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C03E9">
      <w:pPr>
        <w:pStyle w:val="20"/>
        <w:tabs>
          <w:tab w:val="center" w:pos="4536"/>
          <w:tab w:val="right" w:pos="9072"/>
        </w:tabs>
        <w:jc w:val="left"/>
        <w:rPr>
          <w:rFonts w:hint="eastAsia" w:hAnsi="宋体" w:eastAsia="宋体" w:cs="宋体"/>
          <w:b/>
          <w:color w:val="auto"/>
          <w:sz w:val="44"/>
          <w:szCs w:val="44"/>
          <w:highlight w:val="none"/>
          <w:lang w:eastAsia="zh-CN"/>
        </w:rPr>
      </w:pPr>
    </w:p>
    <w:p w14:paraId="3530F52E">
      <w:pPr>
        <w:pStyle w:val="2"/>
        <w:rPr>
          <w:rFonts w:hAnsi="宋体" w:cs="宋体"/>
          <w:b/>
          <w:color w:val="auto"/>
          <w:sz w:val="44"/>
          <w:szCs w:val="44"/>
          <w:highlight w:val="none"/>
        </w:rPr>
      </w:pPr>
    </w:p>
    <w:p w14:paraId="486232AD">
      <w:pPr>
        <w:pStyle w:val="20"/>
        <w:snapToGrid w:val="0"/>
        <w:spacing w:line="480" w:lineRule="auto"/>
        <w:jc w:val="center"/>
        <w:rPr>
          <w:rFonts w:hint="eastAsia" w:hAnsi="宋体" w:eastAsia="宋体" w:cs="宋体"/>
          <w:b/>
          <w:bCs/>
          <w:color w:val="auto"/>
          <w:sz w:val="52"/>
          <w:szCs w:val="52"/>
          <w:highlight w:val="none"/>
          <w:lang w:eastAsia="zh-CN"/>
        </w:rPr>
      </w:pPr>
      <w:r>
        <w:rPr>
          <w:rFonts w:hint="eastAsia" w:hAnsi="宋体" w:cs="宋体"/>
          <w:b/>
          <w:bCs/>
          <w:color w:val="auto"/>
          <w:sz w:val="52"/>
          <w:szCs w:val="52"/>
          <w:highlight w:val="none"/>
          <w:lang w:eastAsia="zh-CN"/>
        </w:rPr>
        <w:t>广西北部湾宏亚建设管理有限公司</w:t>
      </w:r>
    </w:p>
    <w:p w14:paraId="4DFD7F67">
      <w:pPr>
        <w:rPr>
          <w:rFonts w:ascii="宋体" w:hAnsi="宋体" w:cs="宋体"/>
          <w:color w:val="auto"/>
          <w:sz w:val="52"/>
          <w:szCs w:val="52"/>
          <w:highlight w:val="none"/>
        </w:rPr>
      </w:pPr>
    </w:p>
    <w:p w14:paraId="75BA4301">
      <w:pPr>
        <w:snapToGrid w:val="0"/>
        <w:spacing w:beforeLines="50" w:line="360" w:lineRule="auto"/>
        <w:jc w:val="center"/>
        <w:rPr>
          <w:rFonts w:ascii="宋体" w:hAnsi="宋体" w:cs="宋体"/>
          <w:color w:val="auto"/>
          <w:sz w:val="96"/>
          <w:szCs w:val="96"/>
          <w:highlight w:val="none"/>
        </w:rPr>
      </w:pPr>
      <w:r>
        <w:rPr>
          <w:rFonts w:hint="eastAsia" w:ascii="宋体" w:hAnsi="宋体" w:cs="宋体"/>
          <w:color w:val="auto"/>
          <w:sz w:val="96"/>
          <w:szCs w:val="96"/>
          <w:highlight w:val="none"/>
        </w:rPr>
        <w:t>竞争性磋商文件</w:t>
      </w:r>
    </w:p>
    <w:p w14:paraId="4F431E80">
      <w:pPr>
        <w:snapToGrid w:val="0"/>
        <w:spacing w:beforeLines="50" w:line="360" w:lineRule="auto"/>
        <w:jc w:val="center"/>
        <w:rPr>
          <w:rFonts w:ascii="仿宋_GB2312" w:hAnsi="宋体" w:eastAsia="仿宋_GB2312"/>
          <w:color w:val="auto"/>
          <w:sz w:val="30"/>
          <w:szCs w:val="72"/>
          <w:highlight w:val="none"/>
        </w:rPr>
      </w:pPr>
      <w:r>
        <w:rPr>
          <w:rFonts w:hint="eastAsia" w:ascii="仿宋_GB2312" w:hAnsi="宋体" w:eastAsia="仿宋_GB2312"/>
          <w:color w:val="auto"/>
          <w:sz w:val="30"/>
          <w:szCs w:val="72"/>
          <w:highlight w:val="none"/>
        </w:rPr>
        <w:t>（全流程电子化评标）</w:t>
      </w:r>
    </w:p>
    <w:p w14:paraId="3B01A192">
      <w:pPr>
        <w:pStyle w:val="2"/>
        <w:rPr>
          <w:color w:val="auto"/>
          <w:highlight w:val="none"/>
        </w:rPr>
      </w:pPr>
    </w:p>
    <w:p w14:paraId="4D85D3F0">
      <w:pPr>
        <w:pStyle w:val="20"/>
        <w:snapToGrid w:val="0"/>
        <w:spacing w:line="360" w:lineRule="auto"/>
        <w:jc w:val="both"/>
        <w:rPr>
          <w:rFonts w:hAnsi="宋体" w:cs="宋体"/>
          <w:b/>
          <w:bCs/>
          <w:color w:val="auto"/>
          <w:sz w:val="30"/>
          <w:szCs w:val="30"/>
          <w:highlight w:val="none"/>
        </w:rPr>
      </w:pPr>
    </w:p>
    <w:p w14:paraId="45E96278">
      <w:pPr>
        <w:pStyle w:val="20"/>
        <w:snapToGrid w:val="0"/>
        <w:spacing w:line="480" w:lineRule="auto"/>
        <w:ind w:firstLine="1272" w:firstLineChars="396"/>
        <w:rPr>
          <w:rFonts w:ascii="仿宋_GB2312" w:hAnsi="宋体" w:eastAsia="仿宋_GB2312"/>
          <w:b/>
          <w:bCs/>
          <w:color w:val="auto"/>
          <w:sz w:val="32"/>
          <w:szCs w:val="32"/>
          <w:highlight w:val="none"/>
        </w:rPr>
      </w:pPr>
    </w:p>
    <w:p w14:paraId="0D5E1396">
      <w:pPr>
        <w:pStyle w:val="20"/>
        <w:snapToGrid w:val="0"/>
        <w:spacing w:line="480" w:lineRule="auto"/>
        <w:rPr>
          <w:rFonts w:hint="eastAsia" w:ascii="仿宋_GB2312" w:hAnsi="宋体" w:eastAsia="仿宋_GB2312"/>
          <w:b/>
          <w:bCs/>
          <w:color w:val="auto"/>
          <w:sz w:val="32"/>
          <w:szCs w:val="32"/>
          <w:highlight w:val="none"/>
          <w:lang w:eastAsia="zh-CN"/>
        </w:rPr>
      </w:pPr>
      <w:r>
        <w:rPr>
          <w:rFonts w:hint="eastAsia" w:ascii="仿宋_GB2312" w:hAnsi="宋体" w:eastAsia="仿宋_GB2312"/>
          <w:b/>
          <w:bCs/>
          <w:color w:val="auto"/>
          <w:sz w:val="32"/>
          <w:szCs w:val="32"/>
          <w:highlight w:val="none"/>
        </w:rPr>
        <w:t>项目</w:t>
      </w:r>
      <w:r>
        <w:rPr>
          <w:rFonts w:hint="eastAsia" w:ascii="仿宋_GB2312" w:hAnsi="宋体" w:eastAsia="仿宋_GB2312" w:cs="Courier New"/>
          <w:b/>
          <w:bCs/>
          <w:color w:val="auto"/>
          <w:w w:val="95"/>
          <w:sz w:val="32"/>
          <w:szCs w:val="32"/>
          <w:highlight w:val="none"/>
        </w:rPr>
        <w:t>名称</w:t>
      </w:r>
      <w:r>
        <w:rPr>
          <w:rFonts w:hint="eastAsia" w:ascii="仿宋_GB2312" w:hAnsi="宋体" w:eastAsia="仿宋_GB2312"/>
          <w:b/>
          <w:bCs/>
          <w:color w:val="auto"/>
          <w:sz w:val="32"/>
          <w:szCs w:val="32"/>
          <w:highlight w:val="none"/>
        </w:rPr>
        <w:t>：</w:t>
      </w:r>
      <w:r>
        <w:rPr>
          <w:rFonts w:hint="eastAsia" w:ascii="仿宋_GB2312" w:hAnsi="宋体" w:eastAsia="仿宋_GB2312"/>
          <w:b/>
          <w:bCs/>
          <w:color w:val="auto"/>
          <w:sz w:val="32"/>
          <w:szCs w:val="32"/>
          <w:highlight w:val="none"/>
          <w:lang w:eastAsia="zh-CN"/>
        </w:rPr>
        <w:t>钦州市第二人民医院2026年度打印机耗材等配送服务（重）</w:t>
      </w:r>
    </w:p>
    <w:p w14:paraId="34BEC42D">
      <w:pPr>
        <w:snapToGrid w:val="0"/>
        <w:spacing w:line="480" w:lineRule="auto"/>
        <w:rPr>
          <w:rFonts w:hint="eastAsia" w:ascii="仿宋_GB2312" w:hAnsi="宋体" w:eastAsia="仿宋_GB2312"/>
          <w:b/>
          <w:bCs/>
          <w:color w:val="auto"/>
          <w:sz w:val="32"/>
          <w:szCs w:val="96"/>
          <w:highlight w:val="none"/>
          <w:lang w:eastAsia="zh-CN"/>
        </w:rPr>
      </w:pPr>
      <w:r>
        <w:rPr>
          <w:rFonts w:hint="eastAsia" w:ascii="仿宋_GB2312" w:hAnsi="宋体" w:eastAsia="仿宋_GB2312" w:cs="Courier New"/>
          <w:b/>
          <w:bCs/>
          <w:color w:val="auto"/>
          <w:w w:val="95"/>
          <w:sz w:val="32"/>
          <w:szCs w:val="32"/>
          <w:highlight w:val="none"/>
        </w:rPr>
        <w:t>项目</w:t>
      </w:r>
      <w:r>
        <w:rPr>
          <w:rFonts w:hint="eastAsia" w:ascii="仿宋_GB2312" w:hAnsi="宋体" w:eastAsia="仿宋_GB2312"/>
          <w:b/>
          <w:bCs/>
          <w:color w:val="auto"/>
          <w:sz w:val="32"/>
          <w:szCs w:val="32"/>
          <w:highlight w:val="none"/>
        </w:rPr>
        <w:t>编号</w:t>
      </w:r>
      <w:r>
        <w:rPr>
          <w:rFonts w:hint="eastAsia" w:ascii="仿宋_GB2312" w:hAnsi="宋体" w:eastAsia="仿宋_GB2312" w:cs="Courier New"/>
          <w:b/>
          <w:bCs/>
          <w:color w:val="auto"/>
          <w:w w:val="95"/>
          <w:sz w:val="32"/>
          <w:szCs w:val="32"/>
          <w:highlight w:val="none"/>
        </w:rPr>
        <w:t>：</w:t>
      </w:r>
      <w:r>
        <w:rPr>
          <w:rFonts w:hint="eastAsia" w:ascii="仿宋_GB2312" w:hAnsi="宋体" w:eastAsia="仿宋_GB2312" w:cs="Courier New"/>
          <w:b/>
          <w:bCs/>
          <w:color w:val="auto"/>
          <w:w w:val="95"/>
          <w:sz w:val="32"/>
          <w:szCs w:val="32"/>
          <w:highlight w:val="none"/>
          <w:lang w:eastAsia="zh-CN"/>
        </w:rPr>
        <w:t>QZZC2026-C3-990239-BBWH</w:t>
      </w:r>
    </w:p>
    <w:p w14:paraId="3B979A7E">
      <w:pPr>
        <w:pStyle w:val="20"/>
        <w:snapToGrid w:val="0"/>
        <w:spacing w:line="480" w:lineRule="auto"/>
        <w:rPr>
          <w:rFonts w:hint="eastAsia" w:ascii="仿宋_GB2312" w:hAnsi="宋体" w:eastAsia="仿宋_GB2312"/>
          <w:b/>
          <w:bCs/>
          <w:color w:val="auto"/>
          <w:w w:val="95"/>
          <w:sz w:val="32"/>
          <w:szCs w:val="32"/>
          <w:highlight w:val="none"/>
          <w:lang w:eastAsia="zh-CN"/>
        </w:rPr>
      </w:pPr>
      <w:r>
        <w:rPr>
          <w:rFonts w:hint="eastAsia" w:ascii="仿宋_GB2312" w:hAnsi="宋体" w:eastAsia="仿宋_GB2312"/>
          <w:b/>
          <w:bCs/>
          <w:color w:val="auto"/>
          <w:w w:val="95"/>
          <w:sz w:val="32"/>
          <w:szCs w:val="32"/>
          <w:highlight w:val="none"/>
        </w:rPr>
        <w:t>采 购 人：</w:t>
      </w:r>
      <w:r>
        <w:rPr>
          <w:rFonts w:hint="eastAsia" w:ascii="仿宋_GB2312" w:hAnsi="宋体" w:eastAsia="仿宋_GB2312"/>
          <w:b/>
          <w:bCs/>
          <w:color w:val="auto"/>
          <w:w w:val="95"/>
          <w:sz w:val="32"/>
          <w:szCs w:val="32"/>
          <w:highlight w:val="none"/>
          <w:lang w:eastAsia="zh-CN"/>
        </w:rPr>
        <w:t>钦州市第二人民医院</w:t>
      </w:r>
    </w:p>
    <w:p w14:paraId="77A68BAF">
      <w:pPr>
        <w:pStyle w:val="20"/>
        <w:snapToGrid w:val="0"/>
        <w:spacing w:line="480" w:lineRule="auto"/>
        <w:rPr>
          <w:rFonts w:hint="eastAsia" w:ascii="仿宋_GB2312" w:hAnsi="宋体" w:eastAsia="仿宋_GB2312"/>
          <w:b/>
          <w:bCs/>
          <w:color w:val="auto"/>
          <w:w w:val="95"/>
          <w:sz w:val="32"/>
          <w:szCs w:val="32"/>
          <w:highlight w:val="none"/>
          <w:lang w:eastAsia="zh-CN"/>
        </w:rPr>
      </w:pPr>
      <w:r>
        <w:rPr>
          <w:rFonts w:hint="eastAsia" w:ascii="仿宋_GB2312" w:hAnsi="宋体" w:eastAsia="仿宋_GB2312"/>
          <w:b/>
          <w:bCs/>
          <w:color w:val="auto"/>
          <w:w w:val="95"/>
          <w:sz w:val="32"/>
          <w:szCs w:val="32"/>
          <w:highlight w:val="none"/>
        </w:rPr>
        <w:t>采购代理机构：</w:t>
      </w:r>
      <w:r>
        <w:rPr>
          <w:rFonts w:hint="eastAsia" w:ascii="仿宋_GB2312" w:hAnsi="宋体" w:eastAsia="仿宋_GB2312"/>
          <w:b/>
          <w:bCs/>
          <w:color w:val="auto"/>
          <w:w w:val="95"/>
          <w:sz w:val="32"/>
          <w:szCs w:val="32"/>
          <w:highlight w:val="none"/>
          <w:lang w:eastAsia="zh-CN"/>
        </w:rPr>
        <w:t>广西北部湾宏亚建设管理有限公司</w:t>
      </w:r>
    </w:p>
    <w:p w14:paraId="0CCDEE20">
      <w:pPr>
        <w:pStyle w:val="20"/>
        <w:snapToGrid w:val="0"/>
        <w:spacing w:line="480" w:lineRule="auto"/>
        <w:jc w:val="center"/>
        <w:rPr>
          <w:rFonts w:hint="eastAsia" w:ascii="仿宋_GB2312" w:hAnsi="宋体" w:eastAsia="仿宋_GB2312"/>
          <w:b/>
          <w:bCs/>
          <w:color w:val="auto"/>
          <w:w w:val="95"/>
          <w:sz w:val="32"/>
          <w:szCs w:val="32"/>
          <w:highlight w:val="none"/>
          <w:lang w:eastAsia="zh-CN"/>
        </w:rPr>
      </w:pPr>
      <w:r>
        <w:rPr>
          <w:rFonts w:hint="eastAsia" w:ascii="仿宋_GB2312" w:hAnsi="宋体" w:eastAsia="仿宋_GB2312"/>
          <w:b/>
          <w:bCs/>
          <w:color w:val="auto"/>
          <w:w w:val="95"/>
          <w:sz w:val="32"/>
          <w:szCs w:val="32"/>
          <w:highlight w:val="none"/>
          <w:lang w:eastAsia="zh-CN"/>
        </w:rPr>
        <w:t>202</w:t>
      </w:r>
      <w:r>
        <w:rPr>
          <w:rFonts w:hint="eastAsia" w:ascii="仿宋_GB2312" w:hAnsi="宋体" w:eastAsia="仿宋_GB2312"/>
          <w:b/>
          <w:bCs/>
          <w:color w:val="auto"/>
          <w:w w:val="95"/>
          <w:sz w:val="32"/>
          <w:szCs w:val="32"/>
          <w:highlight w:val="none"/>
          <w:lang w:val="en-US" w:eastAsia="zh-CN"/>
        </w:rPr>
        <w:t>6</w:t>
      </w:r>
      <w:r>
        <w:rPr>
          <w:rFonts w:hint="eastAsia" w:ascii="仿宋_GB2312" w:hAnsi="宋体" w:eastAsia="仿宋_GB2312"/>
          <w:b/>
          <w:bCs/>
          <w:color w:val="auto"/>
          <w:w w:val="95"/>
          <w:sz w:val="32"/>
          <w:szCs w:val="32"/>
          <w:highlight w:val="none"/>
          <w:lang w:eastAsia="zh-CN"/>
        </w:rPr>
        <w:t>年</w:t>
      </w:r>
      <w:r>
        <w:rPr>
          <w:rFonts w:hint="eastAsia" w:ascii="仿宋_GB2312" w:hAnsi="宋体" w:eastAsia="仿宋_GB2312"/>
          <w:b/>
          <w:bCs/>
          <w:color w:val="auto"/>
          <w:w w:val="95"/>
          <w:sz w:val="32"/>
          <w:szCs w:val="32"/>
          <w:highlight w:val="none"/>
          <w:lang w:val="en-US" w:eastAsia="zh-CN"/>
        </w:rPr>
        <w:t>8</w:t>
      </w:r>
      <w:r>
        <w:rPr>
          <w:rFonts w:hint="eastAsia" w:ascii="仿宋_GB2312" w:hAnsi="宋体" w:eastAsia="仿宋_GB2312"/>
          <w:b/>
          <w:bCs/>
          <w:color w:val="auto"/>
          <w:w w:val="95"/>
          <w:sz w:val="32"/>
          <w:szCs w:val="32"/>
          <w:highlight w:val="none"/>
          <w:lang w:eastAsia="zh-CN"/>
        </w:rPr>
        <w:t>月</w:t>
      </w:r>
      <w:r>
        <w:rPr>
          <w:rFonts w:hint="eastAsia" w:ascii="仿宋_GB2312" w:hAnsi="宋体" w:eastAsia="仿宋_GB2312"/>
          <w:b/>
          <w:bCs/>
          <w:color w:val="auto"/>
          <w:w w:val="95"/>
          <w:sz w:val="32"/>
          <w:szCs w:val="32"/>
          <w:highlight w:val="none"/>
          <w:lang w:val="en-US" w:eastAsia="zh-CN"/>
        </w:rPr>
        <w:t>7</w:t>
      </w:r>
      <w:r>
        <w:rPr>
          <w:rFonts w:hint="eastAsia" w:ascii="仿宋_GB2312" w:hAnsi="宋体" w:eastAsia="仿宋_GB2312"/>
          <w:b/>
          <w:bCs/>
          <w:color w:val="auto"/>
          <w:w w:val="95"/>
          <w:sz w:val="32"/>
          <w:szCs w:val="32"/>
          <w:highlight w:val="none"/>
          <w:lang w:eastAsia="zh-CN"/>
        </w:rPr>
        <w:t>日</w:t>
      </w:r>
    </w:p>
    <w:p w14:paraId="226C8B27">
      <w:pPr>
        <w:spacing w:line="360" w:lineRule="auto"/>
        <w:jc w:val="center"/>
        <w:rPr>
          <w:rFonts w:ascii="宋体" w:hAnsi="宋体" w:cs="宋体"/>
          <w:b/>
          <w:bCs/>
          <w:color w:val="auto"/>
          <w:kern w:val="0"/>
          <w:sz w:val="32"/>
          <w:szCs w:val="32"/>
          <w:highlight w:val="none"/>
        </w:rPr>
      </w:pPr>
    </w:p>
    <w:p w14:paraId="780C77E6">
      <w:pPr>
        <w:spacing w:line="360" w:lineRule="auto"/>
        <w:jc w:val="center"/>
        <w:rPr>
          <w:rFonts w:ascii="宋体" w:hAnsi="宋体" w:cs="宋体"/>
          <w:b/>
          <w:color w:val="auto"/>
          <w:sz w:val="44"/>
          <w:szCs w:val="44"/>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17" w:right="1417" w:bottom="1417" w:left="1417" w:header="851" w:footer="567" w:gutter="0"/>
          <w:pgBorders>
            <w:top w:val="none" w:sz="0" w:space="0"/>
            <w:left w:val="none" w:sz="0" w:space="0"/>
            <w:bottom w:val="none" w:sz="0" w:space="0"/>
            <w:right w:val="none" w:sz="0" w:space="0"/>
          </w:pgBorders>
          <w:pgNumType w:start="0"/>
          <w:cols w:space="720" w:num="1"/>
          <w:titlePg/>
          <w:docGrid w:type="lines" w:linePitch="312" w:charSpace="0"/>
        </w:sectPr>
      </w:pPr>
    </w:p>
    <w:p w14:paraId="14CD7205">
      <w:pPr>
        <w:pStyle w:val="2"/>
        <w:rPr>
          <w:color w:val="auto"/>
          <w:highlight w:val="none"/>
        </w:rPr>
      </w:pPr>
    </w:p>
    <w:p w14:paraId="5578FA4A">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37F3FE12">
      <w:pPr>
        <w:spacing w:line="400" w:lineRule="exact"/>
        <w:jc w:val="center"/>
        <w:rPr>
          <w:rFonts w:ascii="宋体" w:hAnsi="宋体" w:cs="宋体"/>
          <w:b/>
          <w:color w:val="auto"/>
          <w:sz w:val="44"/>
          <w:szCs w:val="44"/>
          <w:highlight w:val="none"/>
        </w:rPr>
      </w:pPr>
    </w:p>
    <w:p w14:paraId="27D04A9E">
      <w:pPr>
        <w:pStyle w:val="25"/>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TOC \o "1-2" \h \u </w:instrText>
      </w:r>
      <w:r>
        <w:rPr>
          <w:color w:val="auto"/>
          <w:sz w:val="24"/>
          <w:szCs w:val="24"/>
          <w:highlight w:val="none"/>
        </w:rPr>
        <w:fldChar w:fldCharType="separate"/>
      </w:r>
      <w:r>
        <w:rPr>
          <w:color w:val="auto"/>
          <w:sz w:val="24"/>
          <w:szCs w:val="24"/>
          <w:highlight w:val="none"/>
        </w:rPr>
        <w:fldChar w:fldCharType="begin"/>
      </w:r>
      <w:r>
        <w:rPr>
          <w:color w:val="auto"/>
          <w:sz w:val="24"/>
          <w:szCs w:val="24"/>
          <w:highlight w:val="none"/>
        </w:rPr>
        <w:instrText xml:space="preserve"> HYPERLINK \l _Toc17872 </w:instrText>
      </w:r>
      <w:r>
        <w:rPr>
          <w:color w:val="auto"/>
          <w:sz w:val="24"/>
          <w:szCs w:val="24"/>
          <w:highlight w:val="none"/>
        </w:rPr>
        <w:fldChar w:fldCharType="separate"/>
      </w:r>
      <w:r>
        <w:rPr>
          <w:rFonts w:hint="eastAsia" w:ascii="宋体" w:hAnsi="宋体" w:cs="宋体"/>
          <w:color w:val="auto"/>
          <w:sz w:val="24"/>
          <w:szCs w:val="24"/>
          <w:highlight w:val="none"/>
        </w:rPr>
        <w:t>第一章 竞争性磋商公告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_Toc17872 \h </w:instrText>
      </w:r>
      <w:r>
        <w:rPr>
          <w:color w:val="auto"/>
          <w:sz w:val="24"/>
          <w:szCs w:val="24"/>
          <w:highlight w:val="none"/>
        </w:rPr>
        <w:fldChar w:fldCharType="separate"/>
      </w:r>
      <w:r>
        <w:rPr>
          <w:color w:val="auto"/>
          <w:sz w:val="24"/>
          <w:szCs w:val="24"/>
          <w:highlight w:val="none"/>
        </w:rPr>
        <w:t>2</w:t>
      </w:r>
      <w:r>
        <w:rPr>
          <w:color w:val="auto"/>
          <w:sz w:val="24"/>
          <w:szCs w:val="24"/>
          <w:highlight w:val="none"/>
        </w:rPr>
        <w:fldChar w:fldCharType="end"/>
      </w:r>
      <w:r>
        <w:rPr>
          <w:color w:val="auto"/>
          <w:sz w:val="24"/>
          <w:szCs w:val="24"/>
          <w:highlight w:val="none"/>
        </w:rPr>
        <w:fldChar w:fldCharType="end"/>
      </w:r>
    </w:p>
    <w:p w14:paraId="533EFE86">
      <w:pPr>
        <w:pStyle w:val="25"/>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_Toc20235 </w:instrText>
      </w:r>
      <w:r>
        <w:rPr>
          <w:color w:val="auto"/>
          <w:sz w:val="24"/>
          <w:szCs w:val="24"/>
          <w:highlight w:val="none"/>
        </w:rPr>
        <w:fldChar w:fldCharType="separate"/>
      </w:r>
      <w:r>
        <w:rPr>
          <w:rFonts w:hint="eastAsia" w:hAnsi="宋体" w:cs="宋体"/>
          <w:color w:val="auto"/>
          <w:sz w:val="24"/>
          <w:szCs w:val="24"/>
          <w:highlight w:val="none"/>
        </w:rPr>
        <w:t>第二章采购需求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_Toc20235 \h </w:instrText>
      </w:r>
      <w:r>
        <w:rPr>
          <w:color w:val="auto"/>
          <w:sz w:val="24"/>
          <w:szCs w:val="24"/>
          <w:highlight w:val="none"/>
        </w:rPr>
        <w:fldChar w:fldCharType="separate"/>
      </w:r>
      <w:r>
        <w:rPr>
          <w:color w:val="auto"/>
          <w:sz w:val="24"/>
          <w:szCs w:val="24"/>
          <w:highlight w:val="none"/>
        </w:rPr>
        <w:t>5</w:t>
      </w:r>
      <w:r>
        <w:rPr>
          <w:color w:val="auto"/>
          <w:sz w:val="24"/>
          <w:szCs w:val="24"/>
          <w:highlight w:val="none"/>
        </w:rPr>
        <w:fldChar w:fldCharType="end"/>
      </w:r>
      <w:r>
        <w:rPr>
          <w:color w:val="auto"/>
          <w:sz w:val="24"/>
          <w:szCs w:val="24"/>
          <w:highlight w:val="none"/>
        </w:rPr>
        <w:fldChar w:fldCharType="end"/>
      </w:r>
    </w:p>
    <w:p w14:paraId="1598A662">
      <w:pPr>
        <w:pStyle w:val="25"/>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_Toc28944 </w:instrText>
      </w:r>
      <w:r>
        <w:rPr>
          <w:color w:val="auto"/>
          <w:sz w:val="24"/>
          <w:szCs w:val="24"/>
          <w:highlight w:val="none"/>
        </w:rPr>
        <w:fldChar w:fldCharType="separate"/>
      </w:r>
      <w:r>
        <w:rPr>
          <w:rFonts w:hint="eastAsia" w:ascii="宋体" w:hAnsi="宋体" w:cs="宋体"/>
          <w:color w:val="auto"/>
          <w:sz w:val="24"/>
          <w:szCs w:val="24"/>
          <w:highlight w:val="none"/>
        </w:rPr>
        <w:t>第三章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_Toc28944 \h </w:instrText>
      </w:r>
      <w:r>
        <w:rPr>
          <w:color w:val="auto"/>
          <w:sz w:val="24"/>
          <w:szCs w:val="24"/>
          <w:highlight w:val="none"/>
        </w:rPr>
        <w:fldChar w:fldCharType="separate"/>
      </w:r>
      <w:r>
        <w:rPr>
          <w:color w:val="auto"/>
          <w:sz w:val="24"/>
          <w:szCs w:val="24"/>
          <w:highlight w:val="none"/>
        </w:rPr>
        <w:t>22</w:t>
      </w:r>
      <w:r>
        <w:rPr>
          <w:color w:val="auto"/>
          <w:sz w:val="24"/>
          <w:szCs w:val="24"/>
          <w:highlight w:val="none"/>
        </w:rPr>
        <w:fldChar w:fldCharType="end"/>
      </w:r>
      <w:r>
        <w:rPr>
          <w:color w:val="auto"/>
          <w:sz w:val="24"/>
          <w:szCs w:val="24"/>
          <w:highlight w:val="none"/>
        </w:rPr>
        <w:fldChar w:fldCharType="end"/>
      </w:r>
    </w:p>
    <w:p w14:paraId="50D42DA0">
      <w:pPr>
        <w:pStyle w:val="25"/>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_Toc12116 </w:instrText>
      </w:r>
      <w:r>
        <w:rPr>
          <w:color w:val="auto"/>
          <w:sz w:val="24"/>
          <w:szCs w:val="24"/>
          <w:highlight w:val="none"/>
        </w:rPr>
        <w:fldChar w:fldCharType="separate"/>
      </w:r>
      <w:r>
        <w:rPr>
          <w:rFonts w:hint="eastAsia" w:ascii="宋体" w:hAnsi="宋体" w:cs="宋体"/>
          <w:color w:val="auto"/>
          <w:sz w:val="24"/>
          <w:szCs w:val="24"/>
          <w:highlight w:val="none"/>
        </w:rPr>
        <w:t>第四章  评审程序、评审方法和评审标准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_Toc12116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color w:val="auto"/>
          <w:sz w:val="24"/>
          <w:szCs w:val="24"/>
          <w:highlight w:val="none"/>
        </w:rPr>
        <w:fldChar w:fldCharType="end"/>
      </w:r>
    </w:p>
    <w:p w14:paraId="47FD268B">
      <w:pPr>
        <w:pStyle w:val="28"/>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_Toc11144 </w:instrText>
      </w:r>
      <w:r>
        <w:rPr>
          <w:color w:val="auto"/>
          <w:sz w:val="24"/>
          <w:szCs w:val="24"/>
          <w:highlight w:val="none"/>
        </w:rPr>
        <w:fldChar w:fldCharType="separate"/>
      </w:r>
      <w:r>
        <w:rPr>
          <w:rFonts w:hint="eastAsia" w:ascii="宋体" w:hAnsi="宋体"/>
          <w:color w:val="auto"/>
          <w:sz w:val="24"/>
          <w:szCs w:val="24"/>
          <w:highlight w:val="none"/>
        </w:rPr>
        <w:t>第一节 评审程序和评审方法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_Toc11144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color w:val="auto"/>
          <w:sz w:val="24"/>
          <w:szCs w:val="24"/>
          <w:highlight w:val="none"/>
        </w:rPr>
        <w:fldChar w:fldCharType="end"/>
      </w:r>
    </w:p>
    <w:p w14:paraId="3D5AA9A7">
      <w:pPr>
        <w:pStyle w:val="28"/>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_Toc13277 </w:instrText>
      </w:r>
      <w:r>
        <w:rPr>
          <w:color w:val="auto"/>
          <w:sz w:val="24"/>
          <w:szCs w:val="24"/>
          <w:highlight w:val="none"/>
        </w:rPr>
        <w:fldChar w:fldCharType="separate"/>
      </w:r>
      <w:r>
        <w:rPr>
          <w:rFonts w:hint="eastAsia" w:ascii="宋体" w:hAnsi="宋体"/>
          <w:color w:val="auto"/>
          <w:sz w:val="24"/>
          <w:szCs w:val="24"/>
          <w:highlight w:val="none"/>
        </w:rPr>
        <w:t>第二节 评审报告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_Toc13277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color w:val="auto"/>
          <w:sz w:val="24"/>
          <w:szCs w:val="24"/>
          <w:highlight w:val="none"/>
        </w:rPr>
        <w:fldChar w:fldCharType="end"/>
      </w:r>
      <w:bookmarkStart w:id="177" w:name="_GoBack"/>
      <w:bookmarkEnd w:id="177"/>
    </w:p>
    <w:p w14:paraId="677F5CDB">
      <w:pPr>
        <w:pStyle w:val="28"/>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_Toc32317 </w:instrText>
      </w:r>
      <w:r>
        <w:rPr>
          <w:color w:val="auto"/>
          <w:sz w:val="24"/>
          <w:szCs w:val="24"/>
          <w:highlight w:val="none"/>
        </w:rPr>
        <w:fldChar w:fldCharType="separate"/>
      </w:r>
      <w:r>
        <w:rPr>
          <w:rFonts w:hint="eastAsia" w:ascii="宋体" w:hAnsi="宋体"/>
          <w:color w:val="auto"/>
          <w:sz w:val="24"/>
          <w:szCs w:val="24"/>
          <w:highlight w:val="none"/>
        </w:rPr>
        <w:t>第三节 评审过程的保密与录像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_Toc32317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color w:val="auto"/>
          <w:sz w:val="24"/>
          <w:szCs w:val="24"/>
          <w:highlight w:val="none"/>
        </w:rPr>
        <w:fldChar w:fldCharType="end"/>
      </w:r>
    </w:p>
    <w:p w14:paraId="235E1175">
      <w:pPr>
        <w:pStyle w:val="25"/>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_Toc9845 </w:instrText>
      </w:r>
      <w:r>
        <w:rPr>
          <w:color w:val="auto"/>
          <w:sz w:val="24"/>
          <w:szCs w:val="24"/>
          <w:highlight w:val="none"/>
        </w:rPr>
        <w:fldChar w:fldCharType="separate"/>
      </w:r>
      <w:r>
        <w:rPr>
          <w:rFonts w:hint="eastAsia" w:ascii="宋体" w:hAnsi="宋体" w:cs="宋体"/>
          <w:color w:val="auto"/>
          <w:sz w:val="24"/>
          <w:szCs w:val="24"/>
          <w:highlight w:val="none"/>
        </w:rPr>
        <w:t>第五章 响应文件格式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_Toc9845 \h </w:instrText>
      </w:r>
      <w:r>
        <w:rPr>
          <w:color w:val="auto"/>
          <w:sz w:val="24"/>
          <w:szCs w:val="24"/>
          <w:highlight w:val="none"/>
        </w:rPr>
        <w:fldChar w:fldCharType="separate"/>
      </w:r>
      <w:r>
        <w:rPr>
          <w:color w:val="auto"/>
          <w:sz w:val="24"/>
          <w:szCs w:val="24"/>
          <w:highlight w:val="none"/>
        </w:rPr>
        <w:t>52</w:t>
      </w:r>
      <w:r>
        <w:rPr>
          <w:color w:val="auto"/>
          <w:sz w:val="24"/>
          <w:szCs w:val="24"/>
          <w:highlight w:val="none"/>
        </w:rPr>
        <w:fldChar w:fldCharType="end"/>
      </w:r>
      <w:r>
        <w:rPr>
          <w:color w:val="auto"/>
          <w:sz w:val="24"/>
          <w:szCs w:val="24"/>
          <w:highlight w:val="none"/>
        </w:rPr>
        <w:fldChar w:fldCharType="end"/>
      </w:r>
    </w:p>
    <w:p w14:paraId="77355987">
      <w:pPr>
        <w:pStyle w:val="28"/>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_Toc17271 </w:instrText>
      </w:r>
      <w:r>
        <w:rPr>
          <w:color w:val="auto"/>
          <w:sz w:val="24"/>
          <w:szCs w:val="24"/>
          <w:highlight w:val="none"/>
        </w:rPr>
        <w:fldChar w:fldCharType="separate"/>
      </w:r>
      <w:r>
        <w:rPr>
          <w:rFonts w:hint="eastAsia"/>
          <w:color w:val="auto"/>
          <w:sz w:val="24"/>
          <w:szCs w:val="24"/>
          <w:highlight w:val="none"/>
        </w:rPr>
        <w:t>一、封面格式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_Toc17271 \h </w:instrText>
      </w:r>
      <w:r>
        <w:rPr>
          <w:color w:val="auto"/>
          <w:sz w:val="24"/>
          <w:szCs w:val="24"/>
          <w:highlight w:val="none"/>
        </w:rPr>
        <w:fldChar w:fldCharType="separate"/>
      </w:r>
      <w:r>
        <w:rPr>
          <w:color w:val="auto"/>
          <w:sz w:val="24"/>
          <w:szCs w:val="24"/>
          <w:highlight w:val="none"/>
        </w:rPr>
        <w:t>52</w:t>
      </w:r>
      <w:r>
        <w:rPr>
          <w:color w:val="auto"/>
          <w:sz w:val="24"/>
          <w:szCs w:val="24"/>
          <w:highlight w:val="none"/>
        </w:rPr>
        <w:fldChar w:fldCharType="end"/>
      </w:r>
      <w:r>
        <w:rPr>
          <w:color w:val="auto"/>
          <w:sz w:val="24"/>
          <w:szCs w:val="24"/>
          <w:highlight w:val="none"/>
        </w:rPr>
        <w:fldChar w:fldCharType="end"/>
      </w:r>
    </w:p>
    <w:p w14:paraId="6FBE7E5D">
      <w:pPr>
        <w:pStyle w:val="28"/>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_Toc26721 </w:instrText>
      </w:r>
      <w:r>
        <w:rPr>
          <w:color w:val="auto"/>
          <w:sz w:val="24"/>
          <w:szCs w:val="24"/>
          <w:highlight w:val="none"/>
        </w:rPr>
        <w:fldChar w:fldCharType="separate"/>
      </w:r>
      <w:r>
        <w:rPr>
          <w:rFonts w:hint="eastAsia"/>
          <w:color w:val="auto"/>
          <w:sz w:val="24"/>
          <w:szCs w:val="24"/>
          <w:highlight w:val="none"/>
        </w:rPr>
        <w:t>二、资格证明文件格式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_Toc26721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color w:val="auto"/>
          <w:sz w:val="24"/>
          <w:szCs w:val="24"/>
          <w:highlight w:val="none"/>
        </w:rPr>
        <w:fldChar w:fldCharType="end"/>
      </w:r>
    </w:p>
    <w:p w14:paraId="5531BEF5">
      <w:pPr>
        <w:pStyle w:val="28"/>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_Toc3842 </w:instrText>
      </w:r>
      <w:r>
        <w:rPr>
          <w:color w:val="auto"/>
          <w:sz w:val="24"/>
          <w:szCs w:val="24"/>
          <w:highlight w:val="none"/>
        </w:rPr>
        <w:fldChar w:fldCharType="separate"/>
      </w:r>
      <w:r>
        <w:rPr>
          <w:rFonts w:hint="eastAsia"/>
          <w:color w:val="auto"/>
          <w:sz w:val="24"/>
          <w:szCs w:val="24"/>
          <w:highlight w:val="none"/>
        </w:rPr>
        <w:t>三、商务技术文件格式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_Toc3842 \h </w:instrText>
      </w:r>
      <w:r>
        <w:rPr>
          <w:color w:val="auto"/>
          <w:sz w:val="24"/>
          <w:szCs w:val="24"/>
          <w:highlight w:val="none"/>
        </w:rPr>
        <w:fldChar w:fldCharType="separate"/>
      </w:r>
      <w:r>
        <w:rPr>
          <w:color w:val="auto"/>
          <w:sz w:val="24"/>
          <w:szCs w:val="24"/>
          <w:highlight w:val="none"/>
        </w:rPr>
        <w:t>61</w:t>
      </w:r>
      <w:r>
        <w:rPr>
          <w:color w:val="auto"/>
          <w:sz w:val="24"/>
          <w:szCs w:val="24"/>
          <w:highlight w:val="none"/>
        </w:rPr>
        <w:fldChar w:fldCharType="end"/>
      </w:r>
      <w:r>
        <w:rPr>
          <w:color w:val="auto"/>
          <w:sz w:val="24"/>
          <w:szCs w:val="24"/>
          <w:highlight w:val="none"/>
        </w:rPr>
        <w:fldChar w:fldCharType="end"/>
      </w:r>
    </w:p>
    <w:p w14:paraId="6762F2E8">
      <w:pPr>
        <w:pStyle w:val="28"/>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_Toc32627 </w:instrText>
      </w:r>
      <w:r>
        <w:rPr>
          <w:color w:val="auto"/>
          <w:sz w:val="24"/>
          <w:szCs w:val="24"/>
          <w:highlight w:val="none"/>
        </w:rPr>
        <w:fldChar w:fldCharType="separate"/>
      </w:r>
      <w:r>
        <w:rPr>
          <w:rFonts w:hint="eastAsia"/>
          <w:color w:val="auto"/>
          <w:sz w:val="24"/>
          <w:szCs w:val="24"/>
          <w:highlight w:val="none"/>
        </w:rPr>
        <w:t>三、报价文件格式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_Toc32627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color w:val="auto"/>
          <w:sz w:val="24"/>
          <w:szCs w:val="24"/>
          <w:highlight w:val="none"/>
        </w:rPr>
        <w:fldChar w:fldCharType="end"/>
      </w:r>
    </w:p>
    <w:p w14:paraId="214C254A">
      <w:pPr>
        <w:pStyle w:val="25"/>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_Toc21458 </w:instrText>
      </w:r>
      <w:r>
        <w:rPr>
          <w:color w:val="auto"/>
          <w:sz w:val="24"/>
          <w:szCs w:val="24"/>
          <w:highlight w:val="none"/>
        </w:rPr>
        <w:fldChar w:fldCharType="separate"/>
      </w:r>
      <w:r>
        <w:rPr>
          <w:rFonts w:hint="eastAsia" w:ascii="宋体" w:hAnsi="宋体" w:cs="宋体"/>
          <w:color w:val="auto"/>
          <w:sz w:val="24"/>
          <w:szCs w:val="24"/>
          <w:highlight w:val="none"/>
        </w:rPr>
        <w:t>第六章 合同主要条款格式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_Toc21458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color w:val="auto"/>
          <w:sz w:val="24"/>
          <w:szCs w:val="24"/>
          <w:highlight w:val="none"/>
        </w:rPr>
        <w:fldChar w:fldCharType="end"/>
      </w:r>
    </w:p>
    <w:p w14:paraId="14EAD895">
      <w:pPr>
        <w:pStyle w:val="28"/>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_Toc11666 </w:instrText>
      </w:r>
      <w:r>
        <w:rPr>
          <w:color w:val="auto"/>
          <w:sz w:val="24"/>
          <w:szCs w:val="24"/>
          <w:highlight w:val="none"/>
        </w:rPr>
        <w:fldChar w:fldCharType="separate"/>
      </w:r>
      <w:r>
        <w:rPr>
          <w:rFonts w:hint="eastAsia" w:ascii="宋体" w:hAnsi="宋体" w:cs="宋体"/>
          <w:bCs/>
          <w:color w:val="auto"/>
          <w:kern w:val="0"/>
          <w:sz w:val="24"/>
          <w:szCs w:val="24"/>
          <w:highlight w:val="none"/>
        </w:rPr>
        <w:t>广西壮族自治区政府采购合同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_Toc11666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color w:val="auto"/>
          <w:sz w:val="24"/>
          <w:szCs w:val="24"/>
          <w:highlight w:val="none"/>
        </w:rPr>
        <w:fldChar w:fldCharType="end"/>
      </w:r>
    </w:p>
    <w:p w14:paraId="7157A3F4">
      <w:pPr>
        <w:pStyle w:val="25"/>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_Toc25754 </w:instrText>
      </w:r>
      <w:r>
        <w:rPr>
          <w:color w:val="auto"/>
          <w:sz w:val="24"/>
          <w:szCs w:val="24"/>
          <w:highlight w:val="none"/>
        </w:rPr>
        <w:fldChar w:fldCharType="separate"/>
      </w:r>
      <w:r>
        <w:rPr>
          <w:rFonts w:hint="eastAsia" w:ascii="宋体" w:hAnsi="宋体" w:cs="仿宋_GB2312"/>
          <w:color w:val="auto"/>
          <w:sz w:val="24"/>
          <w:szCs w:val="24"/>
          <w:highlight w:val="none"/>
        </w:rPr>
        <w:t>第七章 质疑、投诉材料格式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_Toc25754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color w:val="auto"/>
          <w:sz w:val="24"/>
          <w:szCs w:val="24"/>
          <w:highlight w:val="none"/>
        </w:rPr>
        <w:fldChar w:fldCharType="end"/>
      </w:r>
    </w:p>
    <w:p w14:paraId="32924F30">
      <w:pPr>
        <w:spacing w:line="360" w:lineRule="auto"/>
        <w:jc w:val="left"/>
        <w:rPr>
          <w:rFonts w:ascii="宋体" w:hAnsi="宋体" w:cs="宋体"/>
          <w:b/>
          <w:color w:val="auto"/>
          <w:sz w:val="24"/>
          <w:szCs w:val="24"/>
          <w:highlight w:val="none"/>
        </w:rPr>
      </w:pPr>
      <w:r>
        <w:rPr>
          <w:color w:val="auto"/>
          <w:sz w:val="24"/>
          <w:szCs w:val="24"/>
          <w:highlight w:val="none"/>
        </w:rPr>
        <w:fldChar w:fldCharType="end"/>
      </w:r>
    </w:p>
    <w:p w14:paraId="1F540ABD">
      <w:pPr>
        <w:spacing w:line="360" w:lineRule="auto"/>
        <w:jc w:val="center"/>
        <w:rPr>
          <w:rFonts w:ascii="宋体" w:hAnsi="宋体" w:cs="宋体"/>
          <w:b/>
          <w:color w:val="auto"/>
          <w:sz w:val="32"/>
          <w:szCs w:val="32"/>
          <w:highlight w:val="none"/>
        </w:rPr>
      </w:pPr>
    </w:p>
    <w:p w14:paraId="4EDD7C51">
      <w:pPr>
        <w:spacing w:line="360" w:lineRule="auto"/>
        <w:jc w:val="center"/>
        <w:rPr>
          <w:rFonts w:ascii="宋体" w:hAnsi="宋体" w:cs="宋体"/>
          <w:b/>
          <w:color w:val="auto"/>
          <w:sz w:val="32"/>
          <w:szCs w:val="32"/>
          <w:highlight w:val="none"/>
        </w:rPr>
      </w:pPr>
    </w:p>
    <w:p w14:paraId="592E30FC">
      <w:pPr>
        <w:spacing w:line="360" w:lineRule="auto"/>
        <w:jc w:val="center"/>
        <w:rPr>
          <w:rFonts w:ascii="宋体" w:hAnsi="宋体" w:cs="宋体"/>
          <w:b/>
          <w:color w:val="auto"/>
          <w:sz w:val="32"/>
          <w:szCs w:val="32"/>
          <w:highlight w:val="none"/>
        </w:rPr>
      </w:pPr>
    </w:p>
    <w:p w14:paraId="2EF38583">
      <w:pPr>
        <w:spacing w:line="360" w:lineRule="auto"/>
        <w:jc w:val="center"/>
        <w:rPr>
          <w:rFonts w:ascii="宋体" w:hAnsi="宋体" w:cs="宋体"/>
          <w:b/>
          <w:color w:val="auto"/>
          <w:sz w:val="32"/>
          <w:szCs w:val="32"/>
          <w:highlight w:val="none"/>
        </w:rPr>
      </w:pPr>
    </w:p>
    <w:p w14:paraId="6A6361A5">
      <w:pPr>
        <w:pStyle w:val="28"/>
        <w:tabs>
          <w:tab w:val="right" w:leader="dot" w:pos="8931"/>
          <w:tab w:val="clear" w:pos="8296"/>
        </w:tabs>
        <w:snapToGrid w:val="0"/>
        <w:spacing w:line="500" w:lineRule="atLeast"/>
        <w:ind w:left="0" w:leftChars="0"/>
        <w:rPr>
          <w:rFonts w:ascii="宋体" w:hAnsi="宋体" w:cs="宋体"/>
          <w:b/>
          <w:color w:val="auto"/>
          <w:sz w:val="24"/>
          <w:highlight w:val="none"/>
        </w:rPr>
      </w:pPr>
    </w:p>
    <w:p w14:paraId="32427ECA">
      <w:pPr>
        <w:spacing w:line="400" w:lineRule="exact"/>
        <w:jc w:val="center"/>
        <w:rPr>
          <w:rFonts w:ascii="宋体" w:hAnsi="宋体" w:cs="宋体"/>
          <w:b/>
          <w:color w:val="auto"/>
          <w:sz w:val="32"/>
          <w:szCs w:val="32"/>
          <w:highlight w:val="none"/>
        </w:rPr>
      </w:pPr>
    </w:p>
    <w:p w14:paraId="01347CFB">
      <w:pPr>
        <w:pStyle w:val="3"/>
        <w:spacing w:line="360" w:lineRule="auto"/>
        <w:jc w:val="center"/>
        <w:rPr>
          <w:rFonts w:ascii="宋体" w:hAnsi="宋体" w:cs="宋体"/>
          <w:color w:val="auto"/>
          <w:highlight w:val="none"/>
        </w:rPr>
      </w:pPr>
      <w:bookmarkStart w:id="0" w:name="_Toc24449"/>
      <w:bookmarkStart w:id="1" w:name="_Toc17872"/>
      <w:bookmarkStart w:id="2" w:name="_Toc22622"/>
      <w:bookmarkStart w:id="3" w:name="_Toc27493"/>
      <w:bookmarkStart w:id="4" w:name="_Toc24219"/>
      <w:r>
        <w:rPr>
          <w:rFonts w:hint="eastAsia" w:ascii="宋体" w:hAnsi="宋体" w:cs="宋体"/>
          <w:color w:val="auto"/>
          <w:highlight w:val="none"/>
        </w:rPr>
        <w:t>第一章 竞争性磋商公告</w:t>
      </w:r>
      <w:bookmarkEnd w:id="0"/>
      <w:bookmarkEnd w:id="1"/>
      <w:bookmarkEnd w:id="2"/>
      <w:bookmarkEnd w:id="3"/>
      <w:bookmarkEnd w:id="4"/>
    </w:p>
    <w:p w14:paraId="5C3E9AD2">
      <w:pPr>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lang w:eastAsia="zh-CN"/>
        </w:rPr>
        <w:t>广西北部湾宏亚建设管理有限公司关于钦州市第二人民医院2026年度打印机耗材等配送服务（重）</w:t>
      </w:r>
      <w:r>
        <w:rPr>
          <w:rFonts w:hint="eastAsia" w:ascii="宋体" w:hAnsi="宋体" w:cs="宋体"/>
          <w:b/>
          <w:bCs/>
          <w:color w:val="auto"/>
          <w:sz w:val="28"/>
          <w:szCs w:val="28"/>
          <w:highlight w:val="none"/>
        </w:rPr>
        <w:t>（</w:t>
      </w:r>
      <w:r>
        <w:rPr>
          <w:rFonts w:hint="eastAsia" w:ascii="宋体" w:hAnsi="宋体" w:cs="宋体"/>
          <w:b/>
          <w:bCs/>
          <w:color w:val="auto"/>
          <w:sz w:val="28"/>
          <w:szCs w:val="28"/>
          <w:highlight w:val="none"/>
          <w:lang w:eastAsia="zh-CN"/>
        </w:rPr>
        <w:t>QZZC2026-C3-990239-BBWH</w:t>
      </w:r>
      <w:r>
        <w:rPr>
          <w:rFonts w:hint="eastAsia" w:ascii="宋体" w:hAnsi="宋体" w:cs="宋体"/>
          <w:b/>
          <w:bCs/>
          <w:color w:val="auto"/>
          <w:sz w:val="28"/>
          <w:szCs w:val="28"/>
          <w:highlight w:val="none"/>
        </w:rPr>
        <w:t>）竞争性磋商公告</w:t>
      </w:r>
    </w:p>
    <w:p w14:paraId="34E10F1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bookmarkStart w:id="5" w:name="_Hlk37430271"/>
      <w:r>
        <w:rPr>
          <w:rFonts w:hint="eastAsia" w:ascii="宋体" w:hAnsi="宋体" w:cs="宋体"/>
          <w:color w:val="auto"/>
          <w:szCs w:val="21"/>
          <w:highlight w:val="none"/>
        </w:rPr>
        <w:t>项目概况</w:t>
      </w:r>
    </w:p>
    <w:p w14:paraId="31CD2519">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 w:val="24"/>
          <w:highlight w:val="none"/>
        </w:rPr>
      </w:pPr>
      <w:r>
        <w:rPr>
          <w:rFonts w:hint="eastAsia" w:ascii="宋体" w:hAnsi="宋体"/>
          <w:color w:val="auto"/>
          <w:szCs w:val="21"/>
          <w:highlight w:val="none"/>
          <w:u w:val="single"/>
          <w:lang w:eastAsia="zh-CN"/>
        </w:rPr>
        <w:t>钦州市第二人民医院2026年度打印机耗材等配送服务（重）</w:t>
      </w:r>
      <w:r>
        <w:rPr>
          <w:rFonts w:hint="eastAsia" w:ascii="宋体" w:hAnsi="宋体"/>
          <w:color w:val="auto"/>
          <w:szCs w:val="21"/>
          <w:highlight w:val="none"/>
          <w:u w:val="none"/>
        </w:rPr>
        <w:t>项目</w:t>
      </w:r>
      <w:r>
        <w:rPr>
          <w:rFonts w:hint="eastAsia" w:ascii="宋体" w:hAnsi="宋体" w:cs="宋体"/>
          <w:color w:val="auto"/>
          <w:szCs w:val="21"/>
          <w:highlight w:val="none"/>
        </w:rPr>
        <w:t>的潜在供应商应在</w:t>
      </w:r>
      <w:r>
        <w:rPr>
          <w:rFonts w:hint="eastAsia" w:ascii="宋体" w:hAnsi="宋体" w:cs="宋体"/>
          <w:color w:val="auto"/>
          <w:szCs w:val="21"/>
          <w:highlight w:val="none"/>
          <w:u w:val="single"/>
        </w:rPr>
        <w:t>广西政府采购云平台（https://www.gcy.zfcg.gxzf.gov.cn/）</w:t>
      </w:r>
      <w:r>
        <w:rPr>
          <w:rFonts w:hint="eastAsia" w:ascii="宋体" w:hAnsi="宋体" w:cs="宋体"/>
          <w:color w:val="auto"/>
          <w:szCs w:val="21"/>
          <w:highlight w:val="none"/>
        </w:rPr>
        <w:t>获取采购文件，并于</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4B88D575">
      <w:pPr>
        <w:widowControl/>
        <w:spacing w:line="360" w:lineRule="auto"/>
        <w:ind w:firstLine="482" w:firstLineChars="200"/>
        <w:rPr>
          <w:rFonts w:ascii="宋体" w:hAnsi="宋体" w:cs="宋体"/>
          <w:b/>
          <w:color w:val="auto"/>
          <w:sz w:val="24"/>
          <w:highlight w:val="none"/>
        </w:rPr>
      </w:pPr>
      <w:bookmarkStart w:id="6" w:name="_Hlk37429674"/>
      <w:bookmarkStart w:id="7" w:name="_Toc44229885"/>
      <w:bookmarkStart w:id="8" w:name="_Toc35393636"/>
      <w:bookmarkStart w:id="9" w:name="_Toc35393805"/>
      <w:bookmarkStart w:id="10" w:name="_Toc28359095"/>
      <w:bookmarkStart w:id="11" w:name="_Toc28359018"/>
    </w:p>
    <w:p w14:paraId="2AEC08D2">
      <w:pPr>
        <w:widowControl/>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一、项目基本情况</w:t>
      </w:r>
    </w:p>
    <w:p w14:paraId="171B4576">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QZZC2026-C3-990239-BBWH</w:t>
      </w:r>
    </w:p>
    <w:p w14:paraId="0CB74C74">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钦州市第二人民医院2026年度打印机耗材等配送服务（重）</w:t>
      </w:r>
    </w:p>
    <w:p w14:paraId="36B255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59A9D9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750000</w:t>
      </w:r>
      <w:r>
        <w:rPr>
          <w:rFonts w:hint="eastAsia" w:ascii="宋体" w:hAnsi="宋体" w:cs="宋体"/>
          <w:color w:val="auto"/>
          <w:szCs w:val="21"/>
          <w:highlight w:val="none"/>
        </w:rPr>
        <w:t>.00</w:t>
      </w:r>
    </w:p>
    <w:p w14:paraId="42BF6F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p w14:paraId="5383E9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钦州市第二人民医院2026年度打印机耗材等配送服务（重）</w:t>
      </w:r>
    </w:p>
    <w:p w14:paraId="5270D1D9">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数量:</w:t>
      </w:r>
      <w:r>
        <w:rPr>
          <w:rFonts w:hint="eastAsia" w:ascii="宋体" w:hAnsi="宋体" w:cs="宋体"/>
          <w:color w:val="auto"/>
          <w:szCs w:val="21"/>
          <w:highlight w:val="none"/>
          <w:lang w:val="en-US" w:eastAsia="zh-CN"/>
        </w:rPr>
        <w:t>1项</w:t>
      </w:r>
    </w:p>
    <w:p w14:paraId="624FC7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75</w:t>
      </w:r>
      <w:r>
        <w:rPr>
          <w:rFonts w:hint="eastAsia" w:ascii="宋体" w:hAnsi="宋体" w:cs="宋体"/>
          <w:color w:val="auto"/>
          <w:szCs w:val="21"/>
          <w:highlight w:val="none"/>
        </w:rPr>
        <w:t>0000.00</w:t>
      </w:r>
    </w:p>
    <w:p w14:paraId="736F200B">
      <w:pPr>
        <w:widowControl/>
        <w:spacing w:line="240" w:lineRule="auto"/>
        <w:ind w:firstLine="0" w:firstLineChars="0"/>
        <w:jc w:val="left"/>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eastAsia="zh-CN"/>
        </w:rPr>
        <w:t>钦州市第二人民医院2026年度打印机耗材等配送服务</w:t>
      </w:r>
      <w:r>
        <w:rPr>
          <w:rFonts w:hint="eastAsia" w:ascii="宋体" w:hAnsi="宋体" w:cs="宋体"/>
          <w:color w:val="auto"/>
          <w:szCs w:val="21"/>
          <w:highlight w:val="none"/>
        </w:rPr>
        <w:t>，</w:t>
      </w:r>
      <w:r>
        <w:rPr>
          <w:rFonts w:hint="eastAsia" w:ascii="宋体" w:hAnsi="宋体"/>
          <w:color w:val="auto"/>
          <w:szCs w:val="21"/>
          <w:highlight w:val="none"/>
        </w:rPr>
        <w:t>如需进一步了解详细内容，详见采购文件第二章采购需求</w:t>
      </w:r>
      <w:r>
        <w:rPr>
          <w:rFonts w:hint="eastAsia" w:ascii="宋体" w:hAnsi="宋体" w:cs="宋体"/>
          <w:color w:val="auto"/>
          <w:szCs w:val="21"/>
          <w:highlight w:val="none"/>
        </w:rPr>
        <w:t>。</w:t>
      </w:r>
    </w:p>
    <w:p w14:paraId="225718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75</w:t>
      </w:r>
      <w:r>
        <w:rPr>
          <w:rFonts w:hint="eastAsia" w:ascii="宋体" w:hAnsi="宋体" w:cs="宋体"/>
          <w:color w:val="auto"/>
          <w:szCs w:val="21"/>
          <w:highlight w:val="none"/>
        </w:rPr>
        <w:t>0000.00</w:t>
      </w:r>
    </w:p>
    <w:p w14:paraId="7BEF800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合同履约期限：自合同签订之日起1年，服务期内按照采购人当次的使用需求提供货物。</w:t>
      </w:r>
    </w:p>
    <w:p w14:paraId="656BFC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本标项（否）接受联合体投标</w:t>
      </w:r>
    </w:p>
    <w:p w14:paraId="113D2D0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备注：</w:t>
      </w:r>
    </w:p>
    <w:p w14:paraId="55C35F6C">
      <w:pPr>
        <w:widowControl/>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二、申请人的资格条件：</w:t>
      </w:r>
    </w:p>
    <w:p w14:paraId="585DF1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4B423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2.落实政府采购政策需满足的资格要求：</w:t>
      </w:r>
      <w:r>
        <w:rPr>
          <w:rFonts w:hint="eastAsia" w:ascii="宋体" w:hAnsi="宋体" w:cs="宋体"/>
          <w:color w:val="auto"/>
          <w:sz w:val="21"/>
          <w:szCs w:val="21"/>
          <w:highlight w:val="none"/>
          <w:lang w:eastAsia="zh-CN"/>
        </w:rPr>
        <w:t>本项目为</w:t>
      </w:r>
      <w:r>
        <w:rPr>
          <w:rFonts w:hint="eastAsia" w:ascii="宋体" w:hAnsi="宋体" w:eastAsia="宋体" w:cs="宋体"/>
          <w:color w:val="auto"/>
          <w:sz w:val="21"/>
          <w:szCs w:val="21"/>
          <w:highlight w:val="none"/>
        </w:rPr>
        <w:t>专门面向中小</w:t>
      </w:r>
      <w:r>
        <w:rPr>
          <w:rFonts w:hint="eastAsia" w:ascii="宋体" w:hAnsi="宋体" w:eastAsia="宋体" w:cs="宋体"/>
          <w:color w:val="auto"/>
          <w:sz w:val="21"/>
          <w:szCs w:val="21"/>
          <w:highlight w:val="none"/>
          <w:lang w:eastAsia="zh-CN"/>
        </w:rPr>
        <w:t>微</w:t>
      </w:r>
      <w:r>
        <w:rPr>
          <w:rFonts w:hint="eastAsia" w:ascii="宋体" w:hAnsi="宋体" w:eastAsia="宋体" w:cs="宋体"/>
          <w:color w:val="auto"/>
          <w:sz w:val="21"/>
          <w:szCs w:val="21"/>
          <w:highlight w:val="none"/>
        </w:rPr>
        <w:t>企业采购（供应商应为中小微企业</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监狱企业</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残疾人福利性单位)</w:t>
      </w:r>
    </w:p>
    <w:p w14:paraId="3BDDD8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eastAsia="zh-CN"/>
        </w:rPr>
        <w:t>无</w:t>
      </w:r>
      <w:r>
        <w:rPr>
          <w:rFonts w:hint="eastAsia" w:ascii="宋体" w:hAnsi="宋体" w:cs="宋体"/>
          <w:color w:val="auto"/>
          <w:szCs w:val="21"/>
          <w:highlight w:val="none"/>
        </w:rPr>
        <w:t>。</w:t>
      </w:r>
    </w:p>
    <w:p w14:paraId="4777AE5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单位负责人为同一人或者存在直接控股、管理关系的不同供应商，不得参加本项目同一合同项下的政府采购活动。</w:t>
      </w:r>
    </w:p>
    <w:p w14:paraId="33A8F748">
      <w:pPr>
        <w:keepNext w:val="0"/>
        <w:keepLines w:val="0"/>
        <w:pageBreakBefore w:val="0"/>
        <w:widowControl w:val="0"/>
        <w:kinsoku/>
        <w:wordWrap/>
        <w:overflowPunct/>
        <w:topLinePunct w:val="0"/>
        <w:autoSpaceDE/>
        <w:autoSpaceDN/>
        <w:bidi w:val="0"/>
        <w:adjustRightInd/>
        <w:snapToGrid/>
        <w:spacing w:line="500" w:lineRule="exact"/>
        <w:ind w:left="399" w:leftChars="190" w:firstLine="0" w:firstLineChars="0"/>
        <w:textAlignment w:val="auto"/>
        <w:rPr>
          <w:rFonts w:hint="eastAsia" w:ascii="宋体" w:hAnsi="宋体" w:eastAsia="宋体" w:cs="宋体"/>
          <w:bCs w:val="0"/>
          <w:color w:val="auto"/>
          <w:sz w:val="21"/>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未被列入失信被执行人、重大税收违法失信主体、政府采购严重违法失信行为记录名单。</w:t>
      </w:r>
      <w:r>
        <w:rPr>
          <w:rFonts w:hint="eastAsia" w:ascii="宋体" w:hAnsi="宋体" w:cs="宋体"/>
          <w:color w:val="auto"/>
          <w:szCs w:val="21"/>
          <w:highlight w:val="none"/>
        </w:rPr>
        <w:br w:type="textWrapping"/>
      </w:r>
      <w:r>
        <w:rPr>
          <w:rFonts w:hint="eastAsia" w:ascii="宋体" w:hAnsi="宋体" w:cs="宋体"/>
          <w:color w:val="auto"/>
          <w:szCs w:val="21"/>
          <w:highlight w:val="none"/>
          <w:lang w:val="en-US" w:eastAsia="zh-CN"/>
        </w:rPr>
        <w:t>6.</w:t>
      </w:r>
      <w:r>
        <w:rPr>
          <w:rFonts w:hint="eastAsia" w:ascii="宋体" w:hAnsi="宋体" w:eastAsia="宋体" w:cs="宋体"/>
          <w:b w:val="0"/>
          <w:bCs w:val="0"/>
          <w:color w:val="auto"/>
          <w:spacing w:val="0"/>
          <w:kern w:val="2"/>
          <w:sz w:val="21"/>
          <w:szCs w:val="21"/>
          <w:highlight w:val="none"/>
          <w:lang w:val="en-US" w:eastAsia="zh-CN"/>
        </w:rPr>
        <w:t>本项目不接受联合体投标。</w:t>
      </w:r>
    </w:p>
    <w:p w14:paraId="0DAFDB64">
      <w:pPr>
        <w:widowControl/>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三、获取采购文件</w:t>
      </w:r>
    </w:p>
    <w:p w14:paraId="7BE2FD68">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时间：</w:t>
      </w:r>
      <w:r>
        <w:rPr>
          <w:rFonts w:hint="eastAsia" w:ascii="宋体" w:hAnsi="宋体" w:cs="宋体"/>
          <w:color w:val="auto"/>
          <w:szCs w:val="21"/>
          <w:highlight w:val="non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日，每天上午00:00至1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，下午12:00至23:59（北京时间，法定节假日除外）</w:t>
      </w:r>
      <w:r>
        <w:rPr>
          <w:rFonts w:hint="eastAsia" w:ascii="宋体" w:hAnsi="宋体" w:cs="宋体"/>
          <w:bCs/>
          <w:color w:val="auto"/>
          <w:kern w:val="0"/>
          <w:szCs w:val="21"/>
          <w:highlight w:val="none"/>
        </w:rPr>
        <w:t>。</w:t>
      </w:r>
    </w:p>
    <w:p w14:paraId="685C2440">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562D2E6E">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方式：网上下载。本项目不发放纸质采购文件，供应商可自行在广西政府采购云平台（https://www.gcy.zfcg.gxzf.gov.cn/）下载采购文件（操作路径：登录广西</w:t>
      </w:r>
      <w:r>
        <w:rPr>
          <w:rFonts w:hint="eastAsia" w:ascii="宋体" w:hAnsi="宋体" w:cs="宋体"/>
          <w:bCs/>
          <w:color w:val="auto"/>
          <w:kern w:val="0"/>
          <w:szCs w:val="21"/>
          <w:highlight w:val="none"/>
          <w:lang w:eastAsia="zh-CN"/>
        </w:rPr>
        <w:t>政府采购云</w:t>
      </w:r>
      <w:r>
        <w:rPr>
          <w:rFonts w:hint="eastAsia" w:ascii="宋体" w:hAnsi="宋体" w:cs="宋体"/>
          <w:bCs/>
          <w:color w:val="auto"/>
          <w:kern w:val="0"/>
          <w:szCs w:val="21"/>
          <w:highlight w:val="none"/>
        </w:rPr>
        <w:t>平台-项目采购-获取采购文件-找到本项目-点击“申请获取采购文件”），电子响应文件制作需要基于广西政府采购云平台获取的采购文件编制，通过其他方式获取采购文件的，将有可能导致供应商无法在广西政府采购云平台编制及上传响应文件。</w:t>
      </w:r>
    </w:p>
    <w:p w14:paraId="4B25FEFC">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售价：0元。</w:t>
      </w:r>
    </w:p>
    <w:p w14:paraId="18ABE4BD">
      <w:pPr>
        <w:widowControl/>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四、响应文件提交</w:t>
      </w:r>
    </w:p>
    <w:p w14:paraId="640BD2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lang w:eastAsia="zh-CN"/>
        </w:rPr>
        <w:t>日</w:t>
      </w:r>
      <w:r>
        <w:rPr>
          <w:rFonts w:hint="eastAsia" w:ascii="宋体" w:hAnsi="宋体" w:cs="宋体"/>
          <w:color w:val="auto"/>
          <w:szCs w:val="21"/>
          <w:highlight w:val="none"/>
        </w:rPr>
        <w:t xml:space="preserve"> 09:30（北京时间）</w:t>
      </w:r>
    </w:p>
    <w:p w14:paraId="701A0C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点（网址）：本项目为全流程电子化项目，无现场递交投标文件及现场开标环节，通过广西政府采购云平台实行在线电子投标，供应商应先安装“广西政府采购云平台投标客户端”（请自行前往广西政府采购云平台进行下载），并按照本项目招标文件和广西政府采购云平台的要求使用CA认证编制、加密投标文件后在投标截止时间前上传至广西政府采购云平台，供应商在广西政府采购云平台提交电子版投标文件时，请填写参加远程开标活动经办人联系方式。</w:t>
      </w:r>
    </w:p>
    <w:p w14:paraId="16FE3204">
      <w:pPr>
        <w:widowControl/>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五、响应文件开启</w:t>
      </w:r>
    </w:p>
    <w:p w14:paraId="013BF45C">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开启时间：</w:t>
      </w:r>
      <w:r>
        <w:rPr>
          <w:rFonts w:hint="eastAsia" w:ascii="宋体" w:hAnsi="宋体" w:cs="宋体"/>
          <w:bCs/>
          <w:color w:val="auto"/>
          <w:szCs w:val="21"/>
          <w:highlight w:val="none"/>
          <w:lang w:eastAsia="zh-CN"/>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cs="宋体"/>
          <w:bCs/>
          <w:color w:val="auto"/>
          <w:szCs w:val="21"/>
          <w:highlight w:val="none"/>
          <w:lang w:eastAsia="zh-CN"/>
        </w:rPr>
        <w:t>月</w:t>
      </w:r>
      <w:r>
        <w:rPr>
          <w:rFonts w:hint="eastAsia" w:ascii="宋体" w:hAnsi="宋体" w:cs="宋体"/>
          <w:color w:val="auto"/>
          <w:szCs w:val="21"/>
          <w:highlight w:val="none"/>
          <w:lang w:val="en-US" w:eastAsia="zh-CN"/>
        </w:rPr>
        <w:t>18</w:t>
      </w:r>
      <w:r>
        <w:rPr>
          <w:rFonts w:hint="eastAsia" w:ascii="宋体" w:hAnsi="宋体" w:cs="宋体"/>
          <w:bCs/>
          <w:color w:val="auto"/>
          <w:szCs w:val="21"/>
          <w:highlight w:val="none"/>
          <w:lang w:eastAsia="zh-CN"/>
        </w:rPr>
        <w:t>日</w:t>
      </w:r>
      <w:r>
        <w:rPr>
          <w:rFonts w:hint="eastAsia" w:ascii="宋体" w:hAnsi="宋体" w:cs="宋体"/>
          <w:bCs/>
          <w:color w:val="auto"/>
          <w:szCs w:val="21"/>
          <w:highlight w:val="none"/>
        </w:rPr>
        <w:t xml:space="preserve"> 09:30 （北京时间）</w:t>
      </w:r>
    </w:p>
    <w:p w14:paraId="4DC20624">
      <w:pPr>
        <w:spacing w:line="360" w:lineRule="auto"/>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地点：供应商登录广西政府采购云平台电子开标大厅开标。</w:t>
      </w:r>
    </w:p>
    <w:p w14:paraId="4393AE10">
      <w:pPr>
        <w:widowControl/>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六、公告期限</w:t>
      </w:r>
    </w:p>
    <w:p w14:paraId="7C83613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3718C39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七、</w:t>
      </w:r>
      <w:r>
        <w:rPr>
          <w:rFonts w:hint="eastAsia" w:ascii="宋体" w:hAnsi="宋体" w:cs="宋体"/>
          <w:b/>
          <w:color w:val="auto"/>
          <w:sz w:val="24"/>
          <w:highlight w:val="none"/>
        </w:rPr>
        <w:t>其他补充事宜</w:t>
      </w:r>
      <w:r>
        <w:rPr>
          <w:rFonts w:hint="eastAsia" w:ascii="宋体" w:hAnsi="宋体" w:cs="宋体"/>
          <w:color w:val="auto"/>
          <w:sz w:val="24"/>
          <w:highlight w:val="none"/>
        </w:rPr>
        <w:t>：</w:t>
      </w:r>
    </w:p>
    <w:p w14:paraId="64C12674">
      <w:pPr>
        <w:widowControl/>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1.磋商保证金：本项目不收取投标保证金</w:t>
      </w:r>
    </w:p>
    <w:p w14:paraId="6402EED5">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2.网上公告媒体查询</w:t>
      </w:r>
    </w:p>
    <w:p w14:paraId="5776DCAC">
      <w:pPr>
        <w:widowControl/>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中国政府采购网（http：//www.ccgp.gov.cn）、广西壮族自治区政府采购网（http：//zfcg.gxzf.gov.cn）</w:t>
      </w:r>
    </w:p>
    <w:p w14:paraId="478B810F">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3.本项目需要落实的政府采购政策</w:t>
      </w:r>
    </w:p>
    <w:p w14:paraId="4981694C">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58D0AEEF">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473F2979">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5288AC0B">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36898B28">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bookmarkEnd w:id="6"/>
    <w:p w14:paraId="2327D2E6">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4.注意事项：</w:t>
      </w:r>
    </w:p>
    <w:p w14:paraId="0B40CD88">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08C7995D">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0C441327">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获取采小蜜智能服务管家帮助或点击右侧帮助文档查看供应商指南或拨打广西政府采购云平台服务热线</w:t>
      </w:r>
      <w:r>
        <w:rPr>
          <w:rFonts w:hint="eastAsia" w:ascii="宋体" w:hAnsi="宋体" w:cs="宋体"/>
          <w:b/>
          <w:bCs/>
          <w:color w:val="auto"/>
          <w:kern w:val="0"/>
          <w:szCs w:val="21"/>
          <w:highlight w:val="none"/>
        </w:rPr>
        <w:t>95763</w:t>
      </w:r>
      <w:r>
        <w:rPr>
          <w:rFonts w:hint="eastAsia" w:ascii="宋体" w:hAnsi="宋体" w:cs="宋体"/>
          <w:color w:val="auto"/>
          <w:kern w:val="0"/>
          <w:szCs w:val="21"/>
          <w:highlight w:val="none"/>
        </w:rPr>
        <w:t>获取热线服务帮助。</w:t>
      </w:r>
    </w:p>
    <w:p w14:paraId="2033EB23">
      <w:pPr>
        <w:widowControl/>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7"/>
      <w:bookmarkEnd w:id="8"/>
      <w:bookmarkEnd w:id="9"/>
      <w:bookmarkEnd w:id="10"/>
      <w:bookmarkEnd w:id="11"/>
    </w:p>
    <w:p w14:paraId="102F5243">
      <w:pPr>
        <w:keepNext w:val="0"/>
        <w:keepLines/>
        <w:pageBreakBefore w:val="0"/>
        <w:widowControl w:val="0"/>
        <w:kinsoku/>
        <w:wordWrap/>
        <w:overflowPunct/>
        <w:topLinePunct w:val="0"/>
        <w:autoSpaceDE/>
        <w:autoSpaceDN/>
        <w:bidi w:val="0"/>
        <w:adjustRightInd/>
        <w:snapToGrid/>
        <w:spacing w:before="0" w:line="400" w:lineRule="exact"/>
        <w:ind w:left="0" w:right="0" w:firstLine="444" w:firstLineChars="200"/>
        <w:textAlignment w:val="auto"/>
        <w:outlineLvl w:val="9"/>
        <w:rPr>
          <w:rFonts w:hint="eastAsia" w:ascii="宋体" w:hAnsi="宋体" w:eastAsia="宋体" w:cs="宋体"/>
          <w:color w:val="auto"/>
          <w:sz w:val="21"/>
          <w:szCs w:val="21"/>
          <w:highlight w:val="none"/>
        </w:rPr>
      </w:pPr>
      <w:bookmarkStart w:id="12" w:name="_Toc35393806"/>
      <w:bookmarkStart w:id="13" w:name="_Toc28359019"/>
      <w:bookmarkStart w:id="14" w:name="_Toc28359096"/>
      <w:bookmarkStart w:id="15" w:name="_Toc35393637"/>
      <w:r>
        <w:rPr>
          <w:rFonts w:hint="eastAsia" w:ascii="宋体" w:hAnsi="宋体" w:eastAsia="宋体" w:cs="宋体"/>
          <w:color w:val="auto"/>
          <w:spacing w:val="6"/>
          <w:position w:val="1"/>
          <w:sz w:val="21"/>
          <w:szCs w:val="21"/>
          <w:highlight w:val="none"/>
        </w:rPr>
        <w:t>1</w:t>
      </w:r>
      <w:r>
        <w:rPr>
          <w:rFonts w:hint="eastAsia" w:ascii="宋体" w:hAnsi="宋体" w:eastAsia="宋体" w:cs="宋体"/>
          <w:color w:val="auto"/>
          <w:spacing w:val="5"/>
          <w:position w:val="1"/>
          <w:sz w:val="21"/>
          <w:szCs w:val="21"/>
          <w:highlight w:val="none"/>
        </w:rPr>
        <w:t>.采购人信息</w:t>
      </w:r>
    </w:p>
    <w:p w14:paraId="3D516B0A">
      <w:pPr>
        <w:keepNext w:val="0"/>
        <w:keepLines/>
        <w:pageBreakBefore w:val="0"/>
        <w:widowControl w:val="0"/>
        <w:kinsoku/>
        <w:wordWrap/>
        <w:overflowPunct/>
        <w:topLinePunct w:val="0"/>
        <w:autoSpaceDE/>
        <w:autoSpaceDN/>
        <w:bidi w:val="0"/>
        <w:adjustRightInd/>
        <w:snapToGrid/>
        <w:spacing w:before="0" w:line="400" w:lineRule="exact"/>
        <w:ind w:left="0" w:right="0" w:firstLine="476"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4"/>
          <w:sz w:val="21"/>
          <w:szCs w:val="21"/>
          <w:highlight w:val="none"/>
        </w:rPr>
        <w:t>名</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7"/>
          <w:sz w:val="21"/>
          <w:szCs w:val="21"/>
          <w:highlight w:val="none"/>
        </w:rPr>
        <w:t xml:space="preserve">   称：</w:t>
      </w:r>
      <w:r>
        <w:rPr>
          <w:rFonts w:hint="eastAsia" w:ascii="宋体" w:hAnsi="宋体" w:eastAsia="宋体" w:cs="宋体"/>
          <w:color w:val="auto"/>
          <w:spacing w:val="7"/>
          <w:sz w:val="21"/>
          <w:szCs w:val="21"/>
          <w:highlight w:val="none"/>
          <w:lang w:eastAsia="zh-CN"/>
        </w:rPr>
        <w:t>钦州市第二人民医院</w:t>
      </w:r>
    </w:p>
    <w:p w14:paraId="0F3FEC9F">
      <w:pPr>
        <w:keepNext w:val="0"/>
        <w:keepLines/>
        <w:pageBreakBefore w:val="0"/>
        <w:widowControl w:val="0"/>
        <w:kinsoku/>
        <w:wordWrap/>
        <w:overflowPunct/>
        <w:topLinePunct w:val="0"/>
        <w:autoSpaceDE/>
        <w:autoSpaceDN/>
        <w:bidi w:val="0"/>
        <w:adjustRightInd/>
        <w:snapToGrid/>
        <w:spacing w:before="0" w:line="400" w:lineRule="exact"/>
        <w:ind w:left="0" w:right="0" w:firstLine="428"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地    址：</w:t>
      </w:r>
      <w:r>
        <w:rPr>
          <w:rFonts w:hint="eastAsia" w:ascii="宋体" w:hAnsi="宋体" w:eastAsia="宋体" w:cs="宋体"/>
          <w:color w:val="auto"/>
          <w:spacing w:val="2"/>
          <w:sz w:val="21"/>
          <w:szCs w:val="21"/>
          <w:highlight w:val="none"/>
          <w:lang w:eastAsia="zh-CN"/>
        </w:rPr>
        <w:t>钦州市钦南区文峰南路219号</w:t>
      </w:r>
    </w:p>
    <w:p w14:paraId="2C1A760E">
      <w:pPr>
        <w:keepNext w:val="0"/>
        <w:keepLines/>
        <w:pageBreakBefore w:val="0"/>
        <w:widowControl w:val="0"/>
        <w:kinsoku/>
        <w:wordWrap/>
        <w:overflowPunct/>
        <w:topLinePunct w:val="0"/>
        <w:autoSpaceDE/>
        <w:autoSpaceDN/>
        <w:bidi w:val="0"/>
        <w:adjustRightInd/>
        <w:snapToGrid/>
        <w:spacing w:before="0" w:line="400" w:lineRule="exact"/>
        <w:ind w:left="0" w:right="0" w:firstLine="432" w:firstLineChars="200"/>
        <w:textAlignment w:val="auto"/>
        <w:outlineLvl w:val="9"/>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eastAsia="zh-CN"/>
        </w:rPr>
        <w:t>联系方式：刘</w:t>
      </w:r>
      <w:r>
        <w:rPr>
          <w:rFonts w:hint="eastAsia" w:ascii="宋体" w:hAnsi="宋体" w:cs="宋体"/>
          <w:color w:val="auto"/>
          <w:spacing w:val="3"/>
          <w:sz w:val="21"/>
          <w:szCs w:val="21"/>
          <w:highlight w:val="none"/>
          <w:lang w:eastAsia="zh-CN"/>
        </w:rPr>
        <w:t>工</w:t>
      </w:r>
      <w:r>
        <w:rPr>
          <w:rFonts w:hint="eastAsia" w:ascii="宋体" w:hAnsi="宋体" w:eastAsia="宋体" w:cs="宋体"/>
          <w:color w:val="auto"/>
          <w:spacing w:val="3"/>
          <w:sz w:val="21"/>
          <w:szCs w:val="21"/>
          <w:highlight w:val="none"/>
          <w:lang w:eastAsia="zh-CN"/>
        </w:rPr>
        <w:t xml:space="preserve">  0777-2873316</w:t>
      </w:r>
    </w:p>
    <w:p w14:paraId="667D5DBE">
      <w:pPr>
        <w:keepNext w:val="0"/>
        <w:keepLines/>
        <w:pageBreakBefore w:val="0"/>
        <w:widowControl w:val="0"/>
        <w:kinsoku/>
        <w:wordWrap/>
        <w:overflowPunct/>
        <w:topLinePunct w:val="0"/>
        <w:autoSpaceDE/>
        <w:autoSpaceDN/>
        <w:bidi w:val="0"/>
        <w:adjustRightInd/>
        <w:snapToGrid/>
        <w:spacing w:before="0" w:line="400" w:lineRule="exact"/>
        <w:ind w:left="0" w:right="0" w:firstLine="452"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pacing w:val="8"/>
          <w:position w:val="1"/>
          <w:sz w:val="21"/>
          <w:szCs w:val="21"/>
          <w:highlight w:val="none"/>
        </w:rPr>
        <w:t>2.采购代理机构信</w:t>
      </w:r>
      <w:r>
        <w:rPr>
          <w:rFonts w:hint="eastAsia" w:ascii="宋体" w:hAnsi="宋体" w:eastAsia="宋体" w:cs="宋体"/>
          <w:color w:val="auto"/>
          <w:spacing w:val="6"/>
          <w:position w:val="1"/>
          <w:sz w:val="21"/>
          <w:szCs w:val="21"/>
          <w:highlight w:val="none"/>
        </w:rPr>
        <w:t>息</w:t>
      </w:r>
    </w:p>
    <w:p w14:paraId="45876308">
      <w:pPr>
        <w:keepNext w:val="0"/>
        <w:keepLines/>
        <w:pageBreakBefore w:val="0"/>
        <w:widowControl w:val="0"/>
        <w:kinsoku/>
        <w:wordWrap/>
        <w:overflowPunct/>
        <w:topLinePunct w:val="0"/>
        <w:autoSpaceDE/>
        <w:autoSpaceDN/>
        <w:bidi w:val="0"/>
        <w:adjustRightInd/>
        <w:snapToGrid/>
        <w:spacing w:before="0" w:line="400" w:lineRule="exact"/>
        <w:ind w:left="0" w:right="0" w:firstLine="464"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rPr>
        <w:t>名</w:t>
      </w:r>
      <w:r>
        <w:rPr>
          <w:rFonts w:hint="eastAsia" w:ascii="宋体" w:hAnsi="宋体" w:eastAsia="宋体" w:cs="宋体"/>
          <w:color w:val="auto"/>
          <w:spacing w:val="8"/>
          <w:sz w:val="21"/>
          <w:szCs w:val="21"/>
          <w:highlight w:val="none"/>
        </w:rPr>
        <w:t xml:space="preserve">    称：</w:t>
      </w:r>
      <w:r>
        <w:rPr>
          <w:rFonts w:hint="eastAsia" w:ascii="宋体" w:hAnsi="宋体" w:eastAsia="宋体" w:cs="宋体"/>
          <w:color w:val="auto"/>
          <w:spacing w:val="8"/>
          <w:sz w:val="21"/>
          <w:szCs w:val="21"/>
          <w:highlight w:val="none"/>
          <w:lang w:eastAsia="zh-CN"/>
        </w:rPr>
        <w:t>广西北部湾宏亚建设管理有限公司</w:t>
      </w:r>
    </w:p>
    <w:p w14:paraId="0B700E1A">
      <w:pPr>
        <w:keepNext w:val="0"/>
        <w:keepLines/>
        <w:pageBreakBefore w:val="0"/>
        <w:widowControl w:val="0"/>
        <w:kinsoku/>
        <w:wordWrap/>
        <w:overflowPunct/>
        <w:topLinePunct w:val="0"/>
        <w:autoSpaceDE/>
        <w:autoSpaceDN/>
        <w:bidi w:val="0"/>
        <w:adjustRightInd/>
        <w:snapToGrid/>
        <w:spacing w:before="0" w:line="400" w:lineRule="exact"/>
        <w:ind w:left="0" w:right="0" w:firstLine="432" w:firstLineChars="200"/>
        <w:textAlignment w:val="auto"/>
        <w:outlineLvl w:val="9"/>
        <w:rPr>
          <w:rFonts w:hint="eastAsia" w:eastAsia="宋体"/>
          <w:color w:val="auto"/>
          <w:highlight w:val="none"/>
          <w:lang w:eastAsia="zh-CN"/>
        </w:rPr>
      </w:pPr>
      <w:r>
        <w:rPr>
          <w:rFonts w:hint="eastAsia" w:ascii="宋体" w:hAnsi="宋体" w:eastAsia="宋体" w:cs="宋体"/>
          <w:color w:val="auto"/>
          <w:spacing w:val="3"/>
          <w:sz w:val="21"/>
          <w:szCs w:val="21"/>
          <w:highlight w:val="none"/>
        </w:rPr>
        <w:t>地    址：</w:t>
      </w:r>
      <w:r>
        <w:rPr>
          <w:rFonts w:hint="eastAsia" w:ascii="宋体" w:hAnsi="宋体" w:eastAsia="宋体" w:cs="宋体"/>
          <w:color w:val="auto"/>
          <w:spacing w:val="3"/>
          <w:sz w:val="21"/>
          <w:szCs w:val="21"/>
          <w:highlight w:val="none"/>
          <w:lang w:eastAsia="zh-CN"/>
        </w:rPr>
        <w:t>钦州市蓬莱大道鸿亭街33</w:t>
      </w:r>
      <w:r>
        <w:rPr>
          <w:rFonts w:hint="eastAsia" w:ascii="宋体" w:hAnsi="宋体" w:eastAsia="宋体" w:cs="宋体"/>
          <w:color w:val="auto"/>
          <w:spacing w:val="3"/>
          <w:sz w:val="21"/>
          <w:szCs w:val="21"/>
          <w:highlight w:val="none"/>
          <w:lang w:val="en-US" w:eastAsia="zh-CN"/>
        </w:rPr>
        <w:t>3</w:t>
      </w:r>
      <w:r>
        <w:rPr>
          <w:rFonts w:hint="eastAsia" w:ascii="宋体" w:hAnsi="宋体" w:eastAsia="宋体" w:cs="宋体"/>
          <w:color w:val="auto"/>
          <w:spacing w:val="3"/>
          <w:sz w:val="21"/>
          <w:szCs w:val="21"/>
          <w:highlight w:val="none"/>
          <w:lang w:eastAsia="zh-CN"/>
        </w:rPr>
        <w:t>号皇庭天麓湖小区183栋203室</w:t>
      </w:r>
    </w:p>
    <w:p w14:paraId="4C5B3AE3">
      <w:pPr>
        <w:keepNext w:val="0"/>
        <w:keepLines/>
        <w:pageBreakBefore w:val="0"/>
        <w:widowControl w:val="0"/>
        <w:kinsoku/>
        <w:wordWrap/>
        <w:overflowPunct/>
        <w:topLinePunct w:val="0"/>
        <w:autoSpaceDE/>
        <w:autoSpaceDN/>
        <w:bidi w:val="0"/>
        <w:adjustRightInd/>
        <w:snapToGrid/>
        <w:spacing w:before="0" w:line="400" w:lineRule="exact"/>
        <w:ind w:left="0" w:right="0" w:firstLine="448" w:firstLineChars="200"/>
        <w:textAlignment w:val="auto"/>
        <w:outlineLvl w:val="9"/>
        <w:rPr>
          <w:rFonts w:hint="eastAsia" w:ascii="宋体" w:hAnsi="宋体" w:eastAsia="宋体" w:cs="宋体"/>
          <w:color w:val="auto"/>
          <w:spacing w:val="7"/>
          <w:position w:val="1"/>
          <w:sz w:val="21"/>
          <w:szCs w:val="21"/>
          <w:highlight w:val="none"/>
        </w:rPr>
      </w:pPr>
      <w:r>
        <w:rPr>
          <w:rFonts w:hint="eastAsia" w:ascii="宋体" w:hAnsi="宋体" w:eastAsia="宋体" w:cs="宋体"/>
          <w:color w:val="auto"/>
          <w:spacing w:val="7"/>
          <w:position w:val="1"/>
          <w:sz w:val="21"/>
          <w:szCs w:val="21"/>
          <w:highlight w:val="none"/>
        </w:rPr>
        <w:t>联系电话：0777-2800211</w:t>
      </w:r>
    </w:p>
    <w:p w14:paraId="5D8A46E4">
      <w:pPr>
        <w:keepNext w:val="0"/>
        <w:keepLines/>
        <w:pageBreakBefore w:val="0"/>
        <w:widowControl w:val="0"/>
        <w:kinsoku/>
        <w:wordWrap/>
        <w:overflowPunct/>
        <w:topLinePunct w:val="0"/>
        <w:autoSpaceDE/>
        <w:autoSpaceDN/>
        <w:bidi w:val="0"/>
        <w:adjustRightInd/>
        <w:snapToGrid/>
        <w:spacing w:before="0" w:line="400" w:lineRule="exact"/>
        <w:ind w:left="0" w:right="0" w:firstLine="448"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3.项目联系方式</w:t>
      </w:r>
    </w:p>
    <w:p w14:paraId="2BC95DD7">
      <w:pPr>
        <w:keepNext w:val="0"/>
        <w:keepLines/>
        <w:pageBreakBefore w:val="0"/>
        <w:widowControl w:val="0"/>
        <w:kinsoku/>
        <w:wordWrap/>
        <w:overflowPunct/>
        <w:topLinePunct w:val="0"/>
        <w:autoSpaceDE/>
        <w:autoSpaceDN/>
        <w:bidi w:val="0"/>
        <w:adjustRightInd/>
        <w:snapToGrid/>
        <w:spacing w:before="0" w:line="400" w:lineRule="exact"/>
        <w:ind w:left="0" w:right="0" w:firstLine="432" w:firstLineChars="200"/>
        <w:textAlignment w:val="auto"/>
        <w:outlineLvl w:val="9"/>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rPr>
        <w:t>项目联系人：</w:t>
      </w:r>
      <w:r>
        <w:rPr>
          <w:rFonts w:hint="eastAsia" w:ascii="宋体" w:hAnsi="宋体" w:eastAsia="宋体" w:cs="宋体"/>
          <w:color w:val="auto"/>
          <w:spacing w:val="3"/>
          <w:sz w:val="21"/>
          <w:szCs w:val="21"/>
          <w:highlight w:val="none"/>
          <w:lang w:eastAsia="zh-CN"/>
        </w:rPr>
        <w:t>卢工</w:t>
      </w:r>
    </w:p>
    <w:p w14:paraId="433638C1">
      <w:pPr>
        <w:keepNext w:val="0"/>
        <w:keepLines/>
        <w:pageBreakBefore w:val="0"/>
        <w:widowControl w:val="0"/>
        <w:kinsoku/>
        <w:wordWrap/>
        <w:overflowPunct/>
        <w:topLinePunct w:val="0"/>
        <w:autoSpaceDE/>
        <w:autoSpaceDN/>
        <w:bidi w:val="0"/>
        <w:adjustRightInd/>
        <w:snapToGrid/>
        <w:spacing w:before="0" w:line="400" w:lineRule="exact"/>
        <w:ind w:left="0" w:right="0" w:firstLine="432" w:firstLineChars="200"/>
        <w:textAlignment w:val="auto"/>
        <w:outlineLvl w:val="9"/>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电    话： 0777-280021</w:t>
      </w:r>
      <w:r>
        <w:rPr>
          <w:rFonts w:hint="eastAsia" w:ascii="宋体" w:hAnsi="宋体" w:eastAsia="宋体" w:cs="宋体"/>
          <w:color w:val="auto"/>
          <w:spacing w:val="3"/>
          <w:sz w:val="21"/>
          <w:szCs w:val="21"/>
          <w:highlight w:val="none"/>
          <w:lang w:val="en-US" w:eastAsia="zh-CN"/>
        </w:rPr>
        <w:t>1</w:t>
      </w:r>
    </w:p>
    <w:bookmarkEnd w:id="5"/>
    <w:bookmarkEnd w:id="12"/>
    <w:bookmarkEnd w:id="13"/>
    <w:bookmarkEnd w:id="14"/>
    <w:bookmarkEnd w:id="15"/>
    <w:p w14:paraId="6084D3E1">
      <w:pPr>
        <w:spacing w:line="360" w:lineRule="auto"/>
        <w:ind w:firstLine="567" w:firstLineChars="270"/>
        <w:jc w:val="righ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广西北部湾宏亚建设管理有限公司</w:t>
      </w:r>
    </w:p>
    <w:p w14:paraId="4D0C7F4D">
      <w:pPr>
        <w:spacing w:line="360" w:lineRule="auto"/>
        <w:ind w:firstLine="567" w:firstLineChars="270"/>
        <w:jc w:val="righ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日</w:t>
      </w:r>
    </w:p>
    <w:p w14:paraId="658C7FDA">
      <w:pPr>
        <w:pStyle w:val="3"/>
        <w:jc w:val="center"/>
        <w:rPr>
          <w:rFonts w:hAnsi="宋体" w:cs="宋体"/>
          <w:color w:val="auto"/>
          <w:highlight w:val="none"/>
        </w:rPr>
      </w:pPr>
      <w:r>
        <w:rPr>
          <w:rFonts w:hint="eastAsia" w:hAnsi="宋体" w:cs="宋体"/>
          <w:color w:val="auto"/>
          <w:highlight w:val="none"/>
        </w:rPr>
        <w:br w:type="page"/>
      </w:r>
      <w:bookmarkStart w:id="16" w:name="_Toc7075"/>
      <w:bookmarkStart w:id="17" w:name="_Toc13104"/>
      <w:bookmarkStart w:id="18" w:name="_Toc20235"/>
      <w:bookmarkStart w:id="19" w:name="_Toc16584"/>
      <w:bookmarkStart w:id="20" w:name="_Toc7391"/>
      <w:r>
        <w:rPr>
          <w:rFonts w:hint="eastAsia" w:hAnsi="宋体" w:cs="宋体"/>
          <w:color w:val="auto"/>
          <w:highlight w:val="none"/>
        </w:rPr>
        <w:t>第二章采购需求</w:t>
      </w:r>
      <w:bookmarkEnd w:id="16"/>
      <w:bookmarkEnd w:id="17"/>
      <w:bookmarkEnd w:id="18"/>
      <w:bookmarkEnd w:id="19"/>
      <w:bookmarkEnd w:id="20"/>
    </w:p>
    <w:p w14:paraId="79940C87">
      <w:pPr>
        <w:spacing w:line="360" w:lineRule="auto"/>
        <w:jc w:val="left"/>
        <w:rPr>
          <w:rFonts w:ascii="宋体" w:hAnsi="宋体" w:cs="宋体"/>
          <w:color w:val="auto"/>
          <w:sz w:val="24"/>
          <w:highlight w:val="none"/>
        </w:rPr>
      </w:pPr>
      <w:r>
        <w:rPr>
          <w:rFonts w:hint="eastAsia" w:ascii="宋体" w:hAnsi="宋体" w:cs="宋体"/>
          <w:color w:val="auto"/>
          <w:sz w:val="24"/>
          <w:highlight w:val="none"/>
        </w:rPr>
        <w:t>说明：</w:t>
      </w:r>
    </w:p>
    <w:p w14:paraId="503894B1">
      <w:pPr>
        <w:spacing w:line="360" w:lineRule="auto"/>
        <w:ind w:firstLine="424" w:firstLineChars="202"/>
        <w:jc w:val="left"/>
        <w:rPr>
          <w:color w:val="auto"/>
          <w:highlight w:val="none"/>
        </w:rPr>
      </w:pPr>
      <w:r>
        <w:rPr>
          <w:rFonts w:hint="eastAsia"/>
          <w:color w:val="auto"/>
          <w:highlight w:val="none"/>
        </w:rPr>
        <w:t>1.为落实政府采购政策需满足的要求（根据项目实际情况填写内容）</w:t>
      </w:r>
    </w:p>
    <w:p w14:paraId="380078F0">
      <w:pPr>
        <w:spacing w:line="360" w:lineRule="auto"/>
        <w:ind w:firstLine="424" w:firstLineChars="202"/>
        <w:jc w:val="left"/>
        <w:rPr>
          <w:color w:val="auto"/>
          <w:highlight w:val="none"/>
        </w:rPr>
      </w:pPr>
      <w:r>
        <w:rPr>
          <w:rFonts w:hint="eastAsia"/>
          <w:color w:val="auto"/>
          <w:highlight w:val="none"/>
        </w:rPr>
        <w:t>（1）本采购文件所称中小企业必须符合《政府采购促进中小企业发展管理办法》（财库〔2020〕46号）的规定。</w:t>
      </w:r>
    </w:p>
    <w:p w14:paraId="683B93BC">
      <w:pPr>
        <w:spacing w:line="360" w:lineRule="auto"/>
        <w:ind w:firstLine="424" w:firstLineChars="202"/>
        <w:jc w:val="left"/>
        <w:rPr>
          <w:color w:val="auto"/>
          <w:highlight w:val="none"/>
        </w:rPr>
      </w:pPr>
      <w:r>
        <w:rPr>
          <w:rFonts w:hint="eastAsia"/>
          <w:color w:val="auto"/>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评标方法及评标标准”。</w:t>
      </w:r>
    </w:p>
    <w:p w14:paraId="3D6BC3D7">
      <w:pPr>
        <w:spacing w:line="360" w:lineRule="auto"/>
        <w:ind w:firstLine="424" w:firstLineChars="202"/>
        <w:jc w:val="left"/>
        <w:rPr>
          <w:color w:val="auto"/>
          <w:highlight w:val="none"/>
        </w:rPr>
      </w:pPr>
      <w:r>
        <w:rPr>
          <w:rFonts w:hint="eastAsia"/>
          <w:color w:val="auto"/>
          <w:highlight w:val="none"/>
        </w:rPr>
        <w:t>（3）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投标人必须在投标文件中提供中国信息安全认证中心授予的有效的信息安全产品认证证书（加盖投标人公章），否则投标文件作无效处理。</w:t>
      </w:r>
    </w:p>
    <w:p w14:paraId="5060BF6F">
      <w:pPr>
        <w:spacing w:line="360" w:lineRule="auto"/>
        <w:ind w:firstLine="424" w:firstLineChars="202"/>
        <w:jc w:val="left"/>
        <w:rPr>
          <w:rFonts w:hint="eastAsia"/>
          <w:color w:val="auto"/>
          <w:highlight w:val="none"/>
        </w:rPr>
      </w:pPr>
      <w:r>
        <w:rPr>
          <w:rFonts w:hint="eastAsia"/>
          <w:color w:val="auto"/>
          <w:highlight w:val="none"/>
        </w:rPr>
        <w:t>2.“实质性要求”是指采购文件中已经指明不满足则响应文件按无效响应处理的条款，或者不能负偏离的条款，或者采购需求中带“▲”的条款。</w:t>
      </w:r>
    </w:p>
    <w:p w14:paraId="542993D1">
      <w:pPr>
        <w:spacing w:line="360" w:lineRule="auto"/>
        <w:ind w:firstLine="424" w:firstLineChars="202"/>
        <w:jc w:val="left"/>
        <w:rPr>
          <w:rFonts w:hint="eastAsia" w:eastAsia="宋体"/>
          <w:color w:val="auto"/>
          <w:highlight w:val="none"/>
          <w:lang w:eastAsia="zh-CN"/>
        </w:rPr>
      </w:pPr>
      <w:r>
        <w:rPr>
          <w:rFonts w:hint="eastAsia"/>
          <w:color w:val="auto"/>
          <w:highlight w:val="none"/>
        </w:rPr>
        <w:t>3．如竞标产品存在侵犯他人的知识产权或者专利成果行为的，</w:t>
      </w:r>
      <w:r>
        <w:rPr>
          <w:rFonts w:hint="eastAsia"/>
          <w:color w:val="auto"/>
          <w:highlight w:val="none"/>
          <w:lang w:eastAsia="zh-CN"/>
        </w:rPr>
        <w:t>供应商</w:t>
      </w:r>
      <w:r>
        <w:rPr>
          <w:rFonts w:hint="eastAsia"/>
          <w:color w:val="auto"/>
          <w:highlight w:val="none"/>
        </w:rPr>
        <w:t>应承担相应法律责任。采购需求中如出现品牌、型号或者生产厂家等均仅起参考作用，不属于指定品牌、型号或者生产厂家的情形，供应商可参照或者选用其他相当的品牌、型号或者生产供应商替代，但供应商的产品实质上应相当于或优于本需求中的技术要求</w:t>
      </w:r>
      <w:r>
        <w:rPr>
          <w:rFonts w:hint="eastAsia"/>
          <w:color w:val="auto"/>
          <w:highlight w:val="none"/>
          <w:lang w:eastAsia="zh-CN"/>
        </w:rPr>
        <w:t>。</w:t>
      </w:r>
    </w:p>
    <w:p w14:paraId="61596189">
      <w:pPr>
        <w:spacing w:line="360" w:lineRule="auto"/>
        <w:ind w:firstLine="424" w:firstLineChars="202"/>
        <w:jc w:val="left"/>
        <w:rPr>
          <w:rFonts w:hint="eastAsia"/>
          <w:color w:val="auto"/>
          <w:highlight w:val="none"/>
        </w:rPr>
      </w:pPr>
      <w:r>
        <w:rPr>
          <w:rFonts w:hint="eastAsia"/>
          <w:color w:val="auto"/>
          <w:highlight w:val="none"/>
          <w:lang w:val="en-US" w:eastAsia="zh-CN"/>
        </w:rPr>
        <w:t>4</w:t>
      </w:r>
      <w:r>
        <w:rPr>
          <w:rFonts w:hint="eastAsia"/>
          <w:color w:val="auto"/>
          <w:highlight w:val="none"/>
        </w:rPr>
        <w:t>.中小企业划分标准所属行业名称（行业名称及划分见本章附件2）：</w:t>
      </w:r>
      <w:r>
        <w:rPr>
          <w:rFonts w:hint="eastAsia"/>
          <w:b/>
          <w:bCs/>
          <w:color w:val="auto"/>
          <w:highlight w:val="none"/>
        </w:rPr>
        <w:t>其他未列明行业</w:t>
      </w:r>
    </w:p>
    <w:p w14:paraId="0177EA08">
      <w:pPr>
        <w:widowControl/>
        <w:jc w:val="both"/>
        <w:textAlignment w:val="center"/>
        <w:rPr>
          <w:rFonts w:hint="eastAsia"/>
          <w:bCs/>
          <w:color w:val="auto"/>
          <w:sz w:val="24"/>
          <w:highlight w:val="none"/>
        </w:rPr>
      </w:pPr>
      <w:r>
        <w:rPr>
          <w:rFonts w:hint="eastAsia"/>
          <w:bCs/>
          <w:color w:val="auto"/>
          <w:sz w:val="24"/>
          <w:highlight w:val="none"/>
        </w:rPr>
        <w:br w:type="page"/>
      </w:r>
    </w:p>
    <w:tbl>
      <w:tblPr>
        <w:tblStyle w:val="35"/>
        <w:tblW w:w="101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694"/>
        <w:gridCol w:w="723"/>
        <w:gridCol w:w="804"/>
        <w:gridCol w:w="5928"/>
      </w:tblGrid>
      <w:tr w14:paraId="6E0D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2" w:type="dxa"/>
            <w:noWrap w:val="0"/>
            <w:vAlign w:val="top"/>
          </w:tcPr>
          <w:p w14:paraId="4AD5DB93">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694" w:type="dxa"/>
            <w:noWrap w:val="0"/>
            <w:vAlign w:val="top"/>
          </w:tcPr>
          <w:p w14:paraId="5DE430E9">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标的名称</w:t>
            </w:r>
          </w:p>
        </w:tc>
        <w:tc>
          <w:tcPr>
            <w:tcW w:w="723" w:type="dxa"/>
            <w:noWrap w:val="0"/>
            <w:vAlign w:val="top"/>
          </w:tcPr>
          <w:p w14:paraId="376F4F9F">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数量</w:t>
            </w:r>
          </w:p>
        </w:tc>
        <w:tc>
          <w:tcPr>
            <w:tcW w:w="804" w:type="dxa"/>
            <w:noWrap w:val="0"/>
            <w:vAlign w:val="top"/>
          </w:tcPr>
          <w:p w14:paraId="462510B3">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5928" w:type="dxa"/>
            <w:noWrap w:val="0"/>
            <w:vAlign w:val="top"/>
          </w:tcPr>
          <w:p w14:paraId="6823C8D3">
            <w:pPr>
              <w:pStyle w:val="17"/>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技术服务要求</w:t>
            </w:r>
          </w:p>
        </w:tc>
      </w:tr>
      <w:tr w14:paraId="4426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992" w:type="dxa"/>
            <w:noWrap w:val="0"/>
            <w:vAlign w:val="center"/>
          </w:tcPr>
          <w:p w14:paraId="0205C0A6">
            <w:pPr>
              <w:pStyle w:val="17"/>
              <w:spacing w:line="360" w:lineRule="auto"/>
              <w:ind w:left="0" w:leftChars="0" w:firstLine="0" w:firstLineChars="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694" w:type="dxa"/>
            <w:noWrap w:val="0"/>
            <w:vAlign w:val="center"/>
          </w:tcPr>
          <w:p w14:paraId="6EBDBB3F">
            <w:pPr>
              <w:pStyle w:val="17"/>
              <w:spacing w:line="360" w:lineRule="auto"/>
              <w:ind w:left="0" w:leftChars="0" w:firstLine="0" w:firstLineChars="0"/>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钦州市第二人民医院2026年度打印机耗材等配送服务（重）</w:t>
            </w:r>
          </w:p>
        </w:tc>
        <w:tc>
          <w:tcPr>
            <w:tcW w:w="723" w:type="dxa"/>
            <w:noWrap w:val="0"/>
            <w:vAlign w:val="center"/>
          </w:tcPr>
          <w:p w14:paraId="1378AEB2">
            <w:pPr>
              <w:pStyle w:val="17"/>
              <w:spacing w:line="360" w:lineRule="auto"/>
              <w:ind w:left="0" w:leftChars="0" w:firstLine="0" w:firstLineChars="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804" w:type="dxa"/>
            <w:noWrap w:val="0"/>
            <w:vAlign w:val="center"/>
          </w:tcPr>
          <w:p w14:paraId="40ECDDAE">
            <w:pPr>
              <w:pStyle w:val="17"/>
              <w:spacing w:line="360" w:lineRule="auto"/>
              <w:ind w:left="0" w:leftChars="0" w:firstLine="0" w:firstLineChars="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项</w:t>
            </w:r>
          </w:p>
        </w:tc>
        <w:tc>
          <w:tcPr>
            <w:tcW w:w="5928" w:type="dxa"/>
            <w:noWrap w:val="0"/>
            <w:vAlign w:val="top"/>
          </w:tcPr>
          <w:p w14:paraId="0D032E0C">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一、项目概况</w:t>
            </w:r>
          </w:p>
          <w:p w14:paraId="14F23BAD">
            <w:pPr>
              <w:spacing w:line="360" w:lineRule="auto"/>
              <w:ind w:firstLine="482" w:firstLineChars="200"/>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b/>
                <w:color w:val="auto"/>
                <w:kern w:val="0"/>
                <w:sz w:val="24"/>
                <w:szCs w:val="24"/>
                <w:highlight w:val="none"/>
                <w:lang w:bidi="ar"/>
              </w:rPr>
              <w:t>▲</w:t>
            </w:r>
            <w:r>
              <w:rPr>
                <w:rFonts w:hint="eastAsia" w:ascii="宋体" w:hAnsi="宋体" w:eastAsia="宋体" w:cs="宋体"/>
                <w:color w:val="auto"/>
                <w:sz w:val="24"/>
                <w:szCs w:val="24"/>
                <w:highlight w:val="none"/>
                <w:shd w:val="clear" w:color="auto" w:fill="FFFFFF"/>
              </w:rPr>
              <w:t>1.供应商</w:t>
            </w:r>
            <w:r>
              <w:rPr>
                <w:rFonts w:hint="eastAsia" w:ascii="宋体" w:hAnsi="宋体" w:eastAsia="宋体" w:cs="宋体"/>
                <w:color w:val="auto"/>
                <w:sz w:val="24"/>
                <w:szCs w:val="24"/>
                <w:highlight w:val="none"/>
                <w:shd w:val="clear" w:color="auto" w:fill="FFFFFF"/>
                <w:lang w:eastAsia="zh-CN"/>
              </w:rPr>
              <w:t>应</w:t>
            </w:r>
            <w:r>
              <w:rPr>
                <w:rFonts w:hint="eastAsia" w:ascii="宋体" w:hAnsi="宋体" w:eastAsia="宋体" w:cs="宋体"/>
                <w:color w:val="auto"/>
                <w:sz w:val="24"/>
                <w:szCs w:val="24"/>
                <w:highlight w:val="none"/>
                <w:shd w:val="clear" w:color="auto" w:fill="FFFFFF"/>
              </w:rPr>
              <w:t>安排</w:t>
            </w:r>
            <w:r>
              <w:rPr>
                <w:rFonts w:hint="eastAsia" w:ascii="宋体" w:hAnsi="宋体" w:eastAsia="宋体" w:cs="宋体"/>
                <w:color w:val="auto"/>
                <w:sz w:val="24"/>
                <w:szCs w:val="24"/>
                <w:highlight w:val="none"/>
                <w:shd w:val="clear" w:color="auto" w:fill="FFFFFF"/>
                <w:lang w:eastAsia="zh-CN"/>
              </w:rPr>
              <w:t>至少</w:t>
            </w:r>
            <w:r>
              <w:rPr>
                <w:rFonts w:hint="eastAsia" w:ascii="宋体" w:hAnsi="宋体" w:eastAsia="宋体" w:cs="宋体"/>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名熟悉信息化设备维修的专业人员，在法定工作日的8:00-12:00、14:30-17:30期间驻场</w:t>
            </w:r>
            <w:r>
              <w:rPr>
                <w:rFonts w:hint="eastAsia" w:ascii="宋体" w:hAnsi="宋体" w:eastAsia="宋体" w:cs="宋体"/>
                <w:color w:val="auto"/>
                <w:sz w:val="24"/>
                <w:szCs w:val="24"/>
                <w:highlight w:val="none"/>
                <w:shd w:val="clear" w:color="auto" w:fill="FFFFFF"/>
                <w:lang w:eastAsia="zh-CN"/>
              </w:rPr>
              <w:t>办公</w:t>
            </w:r>
            <w:r>
              <w:rPr>
                <w:rFonts w:hint="eastAsia" w:ascii="宋体" w:hAnsi="宋体" w:eastAsia="宋体" w:cs="宋体"/>
                <w:color w:val="auto"/>
                <w:sz w:val="24"/>
                <w:szCs w:val="24"/>
                <w:highlight w:val="none"/>
                <w:shd w:val="clear" w:color="auto" w:fill="FFFFFF"/>
              </w:rPr>
              <w:t>服务，及时响应我院电子产品及信息化设备的维修需求</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rPr>
              <w:t>包含但不限于电脑系统安装、打印机调试、维修、网络维护等</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rPr>
              <w:t>、配件对接事宜，确保服务质量与性价比，保障采购过程可追溯、可监督</w:t>
            </w:r>
            <w:r>
              <w:rPr>
                <w:rFonts w:hint="eastAsia" w:ascii="宋体" w:hAnsi="宋体" w:eastAsia="宋体" w:cs="宋体"/>
                <w:color w:val="auto"/>
                <w:sz w:val="24"/>
                <w:szCs w:val="24"/>
                <w:highlight w:val="none"/>
                <w:shd w:val="clear" w:color="auto" w:fill="FFFFFF"/>
                <w:lang w:eastAsia="zh-CN"/>
              </w:rPr>
              <w:t>。</w:t>
            </w:r>
          </w:p>
          <w:p w14:paraId="6CC7FDAD">
            <w:pPr>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color w:val="auto"/>
                <w:kern w:val="0"/>
                <w:sz w:val="24"/>
                <w:szCs w:val="24"/>
                <w:highlight w:val="none"/>
                <w:lang w:bidi="ar"/>
              </w:rPr>
              <w:t>▲</w:t>
            </w:r>
            <w:r>
              <w:rPr>
                <w:rFonts w:hint="eastAsia" w:ascii="宋体" w:hAnsi="宋体" w:eastAsia="宋体" w:cs="宋体"/>
                <w:color w:val="auto"/>
                <w:kern w:val="0"/>
                <w:sz w:val="24"/>
                <w:szCs w:val="24"/>
                <w:highlight w:val="none"/>
                <w:lang w:bidi="ar"/>
              </w:rPr>
              <w:t>2.</w:t>
            </w:r>
            <w:r>
              <w:rPr>
                <w:rFonts w:hint="eastAsia" w:ascii="宋体" w:hAnsi="宋体" w:eastAsia="宋体" w:cs="宋体"/>
                <w:color w:val="auto"/>
                <w:sz w:val="24"/>
                <w:szCs w:val="24"/>
                <w:highlight w:val="none"/>
                <w:shd w:val="clear" w:color="auto" w:fill="FFFFFF"/>
              </w:rPr>
              <w:t>采购人常用的</w:t>
            </w:r>
            <w:r>
              <w:rPr>
                <w:rFonts w:hint="eastAsia" w:ascii="宋体" w:hAnsi="宋体" w:eastAsia="宋体" w:cs="宋体"/>
                <w:color w:val="auto"/>
                <w:sz w:val="24"/>
                <w:szCs w:val="24"/>
                <w:highlight w:val="none"/>
                <w:shd w:val="clear" w:color="auto" w:fill="FFFFFF"/>
                <w:lang w:eastAsia="zh-CN"/>
              </w:rPr>
              <w:t>打印机</w:t>
            </w:r>
            <w:r>
              <w:rPr>
                <w:rFonts w:hint="eastAsia" w:ascii="宋体" w:hAnsi="宋体" w:eastAsia="宋体" w:cs="宋体"/>
                <w:color w:val="auto"/>
                <w:sz w:val="24"/>
                <w:szCs w:val="24"/>
                <w:highlight w:val="none"/>
                <w:shd w:val="clear" w:color="auto" w:fill="FFFFFF"/>
              </w:rPr>
              <w:t>耗材清单详见附件1，清单中没有列出的</w:t>
            </w:r>
            <w:r>
              <w:rPr>
                <w:rFonts w:hint="eastAsia" w:ascii="宋体" w:hAnsi="宋体" w:eastAsia="宋体" w:cs="宋体"/>
                <w:color w:val="auto"/>
                <w:sz w:val="24"/>
                <w:szCs w:val="24"/>
                <w:highlight w:val="none"/>
                <w:shd w:val="clear" w:color="auto" w:fill="FFFFFF"/>
                <w:lang w:eastAsia="zh-CN"/>
              </w:rPr>
              <w:t>货物</w:t>
            </w:r>
            <w:r>
              <w:rPr>
                <w:rFonts w:hint="eastAsia" w:ascii="宋体" w:hAnsi="宋体" w:eastAsia="宋体" w:cs="宋体"/>
                <w:color w:val="auto"/>
                <w:sz w:val="24"/>
                <w:szCs w:val="24"/>
                <w:highlight w:val="none"/>
                <w:shd w:val="clear" w:color="auto" w:fill="FFFFFF"/>
              </w:rPr>
              <w:t>，如采购人有需求，供应商应按市场价供应。</w:t>
            </w:r>
          </w:p>
          <w:p w14:paraId="1BDDE909">
            <w:pPr>
              <w:spacing w:line="360" w:lineRule="auto"/>
              <w:ind w:firstLine="480" w:firstLineChars="200"/>
              <w:rPr>
                <w:rFonts w:hint="eastAsia" w:ascii="宋体" w:hAnsi="宋体" w:eastAsia="宋体" w:cs="宋体"/>
                <w:b/>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3.供应商须对附件1所列</w:t>
            </w:r>
            <w:r>
              <w:rPr>
                <w:rFonts w:hint="eastAsia" w:ascii="宋体" w:hAnsi="宋体" w:eastAsia="宋体" w:cs="宋体"/>
                <w:color w:val="auto"/>
                <w:sz w:val="24"/>
                <w:szCs w:val="24"/>
                <w:highlight w:val="none"/>
                <w:shd w:val="clear" w:color="auto" w:fill="FFFFFF"/>
                <w:lang w:eastAsia="zh-CN"/>
              </w:rPr>
              <w:t>打印机</w:t>
            </w:r>
            <w:r>
              <w:rPr>
                <w:rFonts w:hint="eastAsia" w:ascii="宋体" w:hAnsi="宋体" w:eastAsia="宋体" w:cs="宋体"/>
                <w:color w:val="auto"/>
                <w:sz w:val="24"/>
                <w:szCs w:val="24"/>
                <w:highlight w:val="none"/>
                <w:shd w:val="clear" w:color="auto" w:fill="FFFFFF"/>
              </w:rPr>
              <w:t>耗材作出单价报价，</w:t>
            </w:r>
            <w:r>
              <w:rPr>
                <w:rFonts w:hint="eastAsia" w:ascii="宋体" w:hAnsi="宋体" w:eastAsia="宋体" w:cs="宋体"/>
                <w:b/>
                <w:color w:val="auto"/>
                <w:sz w:val="24"/>
                <w:szCs w:val="24"/>
                <w:highlight w:val="none"/>
                <w:shd w:val="clear" w:color="auto" w:fill="FFFFFF"/>
              </w:rPr>
              <w:t>所报单价不能超过各项货物清单中的最高单价，否则按无效响应处理。</w:t>
            </w:r>
          </w:p>
          <w:p w14:paraId="1BEEFDAC">
            <w:pPr>
              <w:spacing w:line="360" w:lineRule="auto"/>
              <w:ind w:firstLine="482" w:firstLineChars="200"/>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二、供应商要求</w:t>
            </w:r>
          </w:p>
          <w:p w14:paraId="763CDEF4">
            <w:pPr>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1.供应商应具备足够的生产能力或库存管理能力，确保及时、充足地供应产品。</w:t>
            </w:r>
          </w:p>
          <w:p w14:paraId="7A185C94">
            <w:pPr>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2.供应商应提供全面的售后服务，包括产品安装、调试、维修和技术支持等。供应商应建立完善的售后服务体系，配备专业的服务团队，并能够快速响应采购人的需求和问题。</w:t>
            </w:r>
          </w:p>
          <w:p w14:paraId="2F977E19">
            <w:pPr>
              <w:numPr>
                <w:ilvl w:val="0"/>
                <w:numId w:val="0"/>
              </w:numPr>
              <w:tabs>
                <w:tab w:val="center" w:pos="2856"/>
              </w:tabs>
              <w:spacing w:line="360" w:lineRule="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3.技术支持是</w:t>
            </w:r>
            <w:r>
              <w:rPr>
                <w:rFonts w:hint="eastAsia" w:ascii="宋体" w:hAnsi="宋体" w:eastAsia="宋体" w:cs="宋体"/>
                <w:color w:val="auto"/>
                <w:sz w:val="24"/>
                <w:szCs w:val="24"/>
                <w:highlight w:val="none"/>
                <w:shd w:val="clear" w:color="auto" w:fill="FFFFFF"/>
                <w:lang w:eastAsia="zh-CN"/>
              </w:rPr>
              <w:t>本项目</w:t>
            </w:r>
            <w:r>
              <w:rPr>
                <w:rFonts w:hint="eastAsia" w:ascii="宋体" w:hAnsi="宋体" w:eastAsia="宋体" w:cs="宋体"/>
                <w:color w:val="auto"/>
                <w:sz w:val="24"/>
                <w:szCs w:val="24"/>
                <w:highlight w:val="none"/>
                <w:shd w:val="clear" w:color="auto" w:fill="FFFFFF"/>
              </w:rPr>
              <w:t>中不可或缺的一部分，供应商应具备技术支持能力，能够提供产品使用、维护和升级等方面的技术指导。</w:t>
            </w:r>
          </w:p>
          <w:p w14:paraId="67BA0B7E">
            <w:pPr>
              <w:pStyle w:val="43"/>
              <w:ind w:firstLine="0" w:firstLineChars="0"/>
              <w:rPr>
                <w:rFonts w:hint="eastAsia" w:eastAsia="宋体"/>
                <w:color w:val="auto"/>
                <w:highlight w:val="none"/>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eastAsia="宋体" w:cs="宋体"/>
                <w:color w:val="auto"/>
                <w:szCs w:val="24"/>
                <w:highlight w:val="none"/>
                <w:shd w:val="clear" w:color="auto" w:fill="FFFFFF"/>
                <w:lang w:eastAsia="zh-CN"/>
              </w:rPr>
              <w:t>供应商</w:t>
            </w:r>
            <w:r>
              <w:rPr>
                <w:rFonts w:hint="eastAsia" w:ascii="宋体" w:hAnsi="宋体" w:eastAsia="宋体" w:cs="宋体"/>
                <w:color w:val="auto"/>
                <w:szCs w:val="24"/>
                <w:highlight w:val="none"/>
                <w:shd w:val="clear" w:color="auto" w:fill="FFFFFF"/>
              </w:rPr>
              <w:t>应拥有对应行业成熟实施经验，承诺在项目落地区域配置本地化服务网点、常驻技术及售后人员，可就近提供响应</w:t>
            </w:r>
            <w:r>
              <w:rPr>
                <w:rFonts w:hint="eastAsia" w:ascii="宋体" w:hAnsi="宋体" w:eastAsia="宋体" w:cs="宋体"/>
                <w:color w:val="auto"/>
                <w:szCs w:val="24"/>
                <w:highlight w:val="none"/>
                <w:shd w:val="clear" w:color="auto" w:fill="FFFFFF"/>
                <w:lang w:eastAsia="zh-CN"/>
              </w:rPr>
              <w:t>及</w:t>
            </w:r>
            <w:r>
              <w:rPr>
                <w:rFonts w:hint="eastAsia" w:ascii="宋体" w:hAnsi="宋体" w:eastAsia="宋体" w:cs="宋体"/>
                <w:color w:val="auto"/>
                <w:szCs w:val="24"/>
                <w:highlight w:val="none"/>
                <w:shd w:val="clear" w:color="auto" w:fill="FFFFFF"/>
              </w:rPr>
              <w:t>运维保障</w:t>
            </w:r>
            <w:r>
              <w:rPr>
                <w:rFonts w:hint="eastAsia" w:ascii="宋体" w:hAnsi="宋体" w:eastAsia="宋体" w:cs="宋体"/>
                <w:color w:val="auto"/>
                <w:szCs w:val="24"/>
                <w:highlight w:val="none"/>
                <w:shd w:val="clear" w:color="auto" w:fill="FFFFFF"/>
                <w:lang w:eastAsia="zh-CN"/>
              </w:rPr>
              <w:t>。</w:t>
            </w:r>
          </w:p>
        </w:tc>
      </w:tr>
      <w:tr w14:paraId="0A9B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0141" w:type="dxa"/>
            <w:gridSpan w:val="5"/>
            <w:noWrap w:val="0"/>
            <w:vAlign w:val="center"/>
          </w:tcPr>
          <w:p w14:paraId="297FD4C3">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vertAlign w:val="baseline"/>
              </w:rPr>
              <w:t>商务条款:</w:t>
            </w:r>
          </w:p>
        </w:tc>
      </w:tr>
      <w:tr w14:paraId="3B9C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gridSpan w:val="2"/>
            <w:noWrap w:val="0"/>
            <w:vAlign w:val="center"/>
          </w:tcPr>
          <w:p w14:paraId="7D846F4A">
            <w:pPr>
              <w:pStyle w:val="17"/>
              <w:spacing w:line="360" w:lineRule="auto"/>
              <w:ind w:left="0" w:leftChars="0" w:firstLine="0" w:firstLineChars="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报价要求</w:t>
            </w:r>
          </w:p>
        </w:tc>
        <w:tc>
          <w:tcPr>
            <w:tcW w:w="7455" w:type="dxa"/>
            <w:gridSpan w:val="3"/>
            <w:noWrap w:val="0"/>
            <w:vAlign w:val="top"/>
          </w:tcPr>
          <w:p w14:paraId="06ADCE5B">
            <w:pPr>
              <w:pStyle w:val="17"/>
              <w:numPr>
                <w:ilvl w:val="0"/>
                <w:numId w:val="0"/>
              </w:numPr>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SA"/>
              </w:rPr>
              <w:t>1.</w:t>
            </w:r>
            <w:r>
              <w:rPr>
                <w:rFonts w:hint="eastAsia" w:ascii="宋体" w:hAnsi="宋体" w:eastAsia="宋体" w:cs="宋体"/>
                <w:color w:val="auto"/>
                <w:sz w:val="24"/>
                <w:szCs w:val="24"/>
                <w:highlight w:val="none"/>
                <w:vertAlign w:val="baseline"/>
              </w:rPr>
              <w:t>本项目要求对采购清单中所有项目报统一下浮系数报价，下浮系数以%表示，精确到个位数。且有效报价范围：5%≤有效下浮率</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100%，（如：A产品供货价为100元，下浮系数为20%，最终A产品实际结算单价=100×（1-20%）=80元），即：各产品</w:t>
            </w:r>
            <w:r>
              <w:rPr>
                <w:rFonts w:hint="eastAsia" w:ascii="宋体" w:hAnsi="宋体" w:eastAsia="宋体" w:cs="宋体"/>
                <w:color w:val="auto"/>
                <w:sz w:val="24"/>
                <w:szCs w:val="24"/>
                <w:highlight w:val="none"/>
                <w:vertAlign w:val="baseline"/>
                <w:lang w:eastAsia="zh-CN"/>
              </w:rPr>
              <w:t>实际结算单价</w:t>
            </w:r>
            <w:r>
              <w:rPr>
                <w:rFonts w:hint="eastAsia" w:ascii="宋体" w:hAnsi="宋体" w:eastAsia="宋体" w:cs="宋体"/>
                <w:color w:val="auto"/>
                <w:sz w:val="24"/>
                <w:szCs w:val="24"/>
                <w:highlight w:val="none"/>
                <w:vertAlign w:val="baseline"/>
              </w:rPr>
              <w:t>=各产品</w:t>
            </w:r>
            <w:r>
              <w:rPr>
                <w:rFonts w:hint="eastAsia" w:ascii="宋体" w:hAnsi="宋体" w:eastAsia="宋体" w:cs="宋体"/>
                <w:color w:val="auto"/>
                <w:sz w:val="24"/>
                <w:szCs w:val="24"/>
                <w:highlight w:val="none"/>
                <w:vertAlign w:val="baseline"/>
                <w:lang w:eastAsia="zh-CN"/>
              </w:rPr>
              <w:t>最高限价单</w:t>
            </w:r>
            <w:r>
              <w:rPr>
                <w:rFonts w:hint="eastAsia" w:ascii="宋体" w:hAnsi="宋体" w:eastAsia="宋体" w:cs="宋体"/>
                <w:color w:val="auto"/>
                <w:sz w:val="24"/>
                <w:szCs w:val="24"/>
                <w:highlight w:val="none"/>
                <w:vertAlign w:val="baseline"/>
              </w:rPr>
              <w:t>价×（1-下浮系数）。</w:t>
            </w:r>
            <w:r>
              <w:rPr>
                <w:rFonts w:hint="eastAsia" w:ascii="宋体" w:hAnsi="宋体" w:eastAsia="宋体" w:cs="宋体"/>
                <w:color w:val="auto"/>
                <w:sz w:val="24"/>
                <w:szCs w:val="24"/>
                <w:highlight w:val="none"/>
              </w:rPr>
              <w:t>且年度结算费用不超过本项目年度预算总金额，即人民币750000.00；采购人没有义务确保每个配件的采购数量，也不承诺采购金额，请供应商根据自身经验自行承担采购风险。</w:t>
            </w:r>
          </w:p>
          <w:p w14:paraId="2A37976E">
            <w:pPr>
              <w:pStyle w:val="17"/>
              <w:numPr>
                <w:ilvl w:val="0"/>
                <w:numId w:val="0"/>
              </w:numPr>
              <w:spacing w:line="360" w:lineRule="auto"/>
              <w:ind w:left="0" w:leftChars="0" w:firstLine="240" w:firstLineChars="10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eastAsia="zh-CN"/>
              </w:rPr>
              <w:t>磋商</w:t>
            </w:r>
            <w:r>
              <w:rPr>
                <w:rFonts w:hint="eastAsia" w:ascii="宋体" w:hAnsi="宋体" w:eastAsia="宋体" w:cs="宋体"/>
                <w:color w:val="auto"/>
                <w:sz w:val="24"/>
                <w:szCs w:val="24"/>
                <w:highlight w:val="none"/>
                <w:vertAlign w:val="baseline"/>
              </w:rPr>
              <w:t>报价须就第二章采购需求《附件1》中的全部内容作出统一报价。若供应商对《附件1》中的部分内容存在无法提供统一</w:t>
            </w:r>
            <w:r>
              <w:rPr>
                <w:rFonts w:hint="eastAsia" w:ascii="宋体" w:hAnsi="宋体" w:eastAsia="宋体" w:cs="宋体"/>
                <w:color w:val="auto"/>
                <w:sz w:val="24"/>
                <w:szCs w:val="24"/>
                <w:highlight w:val="none"/>
                <w:vertAlign w:val="baseline"/>
                <w:lang w:eastAsia="zh-CN"/>
              </w:rPr>
              <w:t>下浮率</w:t>
            </w:r>
            <w:r>
              <w:rPr>
                <w:rFonts w:hint="eastAsia" w:ascii="宋体" w:hAnsi="宋体" w:eastAsia="宋体" w:cs="宋体"/>
                <w:color w:val="auto"/>
                <w:sz w:val="24"/>
                <w:szCs w:val="24"/>
                <w:highlight w:val="none"/>
                <w:vertAlign w:val="baseline"/>
              </w:rPr>
              <w:t>的特殊情况，应在报价文件中详细说明原因，并提供替代方案或协商处理意见。</w:t>
            </w:r>
          </w:p>
          <w:p w14:paraId="44F1C72C">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2.</w:t>
            </w:r>
            <w:r>
              <w:rPr>
                <w:rFonts w:hint="eastAsia" w:ascii="宋体" w:hAnsi="宋体" w:eastAsia="宋体" w:cs="宋体"/>
                <w:color w:val="auto"/>
                <w:sz w:val="24"/>
                <w:szCs w:val="24"/>
                <w:highlight w:val="none"/>
                <w:vertAlign w:val="baseline"/>
                <w:lang w:eastAsia="zh-CN"/>
              </w:rPr>
              <w:t>磋商</w:t>
            </w:r>
            <w:r>
              <w:rPr>
                <w:rFonts w:hint="eastAsia" w:ascii="宋体" w:hAnsi="宋体" w:eastAsia="宋体" w:cs="宋体"/>
                <w:color w:val="auto"/>
                <w:sz w:val="24"/>
                <w:szCs w:val="24"/>
                <w:highlight w:val="none"/>
                <w:vertAlign w:val="baseline"/>
              </w:rPr>
              <w:t>报价必须包括所提供服务费用及指定地点的现场交货价，包括：</w:t>
            </w:r>
          </w:p>
          <w:p w14:paraId="73B457FD">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（1）所有耗材及配件的价格；</w:t>
            </w:r>
          </w:p>
          <w:p w14:paraId="18AFD000">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（2）设备维护服务的价格；</w:t>
            </w:r>
          </w:p>
          <w:p w14:paraId="76E81C6D">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（3）货物的标准附件、备品备件、专用工具的价格；</w:t>
            </w:r>
          </w:p>
          <w:p w14:paraId="39775CF7">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（4）运输、装卸、调试、技术支持、售后服务等费用；</w:t>
            </w:r>
          </w:p>
          <w:p w14:paraId="4DB30BFA">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（5）安装、辅材及样品检验、验收等费用。</w:t>
            </w:r>
          </w:p>
          <w:p w14:paraId="76ADDF39">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（6）税金及其他所有可能发生的一切费用。采购人不再支付任何费用。</w:t>
            </w:r>
          </w:p>
          <w:p w14:paraId="6C82A2C3">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3.本项目预算价包含耗材配件更换和技术服务费用，全年结算金额不得超过预算总金额。</w:t>
            </w:r>
          </w:p>
        </w:tc>
      </w:tr>
      <w:tr w14:paraId="0BB8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gridSpan w:val="2"/>
            <w:noWrap w:val="0"/>
            <w:vAlign w:val="center"/>
          </w:tcPr>
          <w:p w14:paraId="0E0C2C6B">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售后服务要求</w:t>
            </w:r>
          </w:p>
        </w:tc>
        <w:tc>
          <w:tcPr>
            <w:tcW w:w="7455" w:type="dxa"/>
            <w:gridSpan w:val="3"/>
            <w:noWrap w:val="0"/>
            <w:vAlign w:val="top"/>
          </w:tcPr>
          <w:p w14:paraId="5DD4A051">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1.质量保证期：已配送至采购人备库但未使用耗材产品质保期不少于1年。</w:t>
            </w:r>
          </w:p>
          <w:p w14:paraId="1C247DFD">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在打印机日常使用过程中，如因使用本项目采购的指定型号原装耗材（非人为故意损坏或操作不当所致）导致设备故障，成交供应商应在接到报修通知后2小时内提供维修服务，费用由成交供应商承担，维修范围包括故障部件的检测、更换及人工服务，且不得以任何名目收取材料费、上门费及其他附加费用。</w:t>
            </w:r>
          </w:p>
          <w:p w14:paraId="75F65444">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供应商有完整的售后服务体系和团队，保障日常服务的质量。具有良好的服务，有专门固定技术队伍，必须认真做好所需维修设备故障鉴定工作，不得以换代修。具体修理项目须经采购人确认同意维修后方可进行。维修更换下来的损坏件归采购人所有，并按要求交还到指定地点，成交供应商不能占有或带走。</w:t>
            </w:r>
          </w:p>
          <w:p w14:paraId="0F2D6FBA">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4.成交供应商 对采购人的服务通知、紧急故障处理：必须在1小时之内现场处理，不需要更换备件的条件下应在2小时内解除故障，报修4个工作小时内无法修复的设备，成交供应商须当日内提供相应的同档次设备给予替用，不得收取任何相关费用。</w:t>
            </w:r>
          </w:p>
          <w:p w14:paraId="0DCB4D8B">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5.本项目采购品种涉及打印机耗材含后期维护维修费用，成交供应商须保障每个硒鼓至少可加粉两次，并做好标注供采购人检查确认。</w:t>
            </w:r>
          </w:p>
        </w:tc>
      </w:tr>
      <w:tr w14:paraId="35D9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gridSpan w:val="2"/>
            <w:noWrap w:val="0"/>
            <w:vAlign w:val="center"/>
          </w:tcPr>
          <w:p w14:paraId="6558961F">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合同签订期</w:t>
            </w:r>
          </w:p>
        </w:tc>
        <w:tc>
          <w:tcPr>
            <w:tcW w:w="7455" w:type="dxa"/>
            <w:gridSpan w:val="3"/>
            <w:noWrap w:val="0"/>
            <w:vAlign w:val="top"/>
          </w:tcPr>
          <w:p w14:paraId="3A494476">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自成交通知书发出之日起25日内</w:t>
            </w:r>
          </w:p>
        </w:tc>
      </w:tr>
      <w:tr w14:paraId="67F8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gridSpan w:val="2"/>
            <w:noWrap w:val="0"/>
            <w:vAlign w:val="center"/>
          </w:tcPr>
          <w:p w14:paraId="1BAF1030">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服务期限</w:t>
            </w:r>
          </w:p>
        </w:tc>
        <w:tc>
          <w:tcPr>
            <w:tcW w:w="7455" w:type="dxa"/>
            <w:gridSpan w:val="3"/>
            <w:noWrap w:val="0"/>
            <w:vAlign w:val="top"/>
          </w:tcPr>
          <w:p w14:paraId="19EDFA9B">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rPr>
              <w:t>服务期为自合同签订之日起1年，服务期内按照采购人当次的使用需求提供货物</w:t>
            </w:r>
          </w:p>
        </w:tc>
      </w:tr>
      <w:tr w14:paraId="253B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gridSpan w:val="2"/>
            <w:noWrap w:val="0"/>
            <w:vAlign w:val="center"/>
          </w:tcPr>
          <w:p w14:paraId="66799D3B">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服务及交货地点</w:t>
            </w:r>
          </w:p>
        </w:tc>
        <w:tc>
          <w:tcPr>
            <w:tcW w:w="7455" w:type="dxa"/>
            <w:gridSpan w:val="3"/>
            <w:noWrap w:val="0"/>
            <w:vAlign w:val="top"/>
          </w:tcPr>
          <w:p w14:paraId="340081E5">
            <w:pPr>
              <w:pStyle w:val="17"/>
              <w:spacing w:line="360" w:lineRule="auto"/>
              <w:ind w:left="0" w:leftChars="0" w:firstLine="0" w:firstLineChars="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钦州市采购人指定地点。</w:t>
            </w:r>
          </w:p>
        </w:tc>
      </w:tr>
      <w:tr w14:paraId="10B2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gridSpan w:val="2"/>
            <w:noWrap w:val="0"/>
            <w:vAlign w:val="center"/>
          </w:tcPr>
          <w:p w14:paraId="4DC4A6E3">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付款方式</w:t>
            </w:r>
          </w:p>
        </w:tc>
        <w:tc>
          <w:tcPr>
            <w:tcW w:w="7455" w:type="dxa"/>
            <w:gridSpan w:val="3"/>
            <w:noWrap w:val="0"/>
            <w:vAlign w:val="top"/>
          </w:tcPr>
          <w:p w14:paraId="60715D6A">
            <w:pPr>
              <w:pStyle w:val="17"/>
              <w:numPr>
                <w:ilvl w:val="0"/>
                <w:numId w:val="0"/>
              </w:numPr>
              <w:spacing w:line="360" w:lineRule="auto"/>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本项目无预付款，每个季度末结算一次，结算款=本季度实际供货数量×（</w:t>
            </w:r>
            <w:r>
              <w:rPr>
                <w:rFonts w:hint="eastAsia" w:ascii="宋体" w:hAnsi="宋体" w:eastAsia="宋体" w:cs="宋体"/>
                <w:color w:val="auto"/>
                <w:sz w:val="24"/>
                <w:szCs w:val="24"/>
                <w:highlight w:val="none"/>
                <w:vertAlign w:val="baseline"/>
                <w:lang w:val="en-US" w:eastAsia="zh-CN"/>
              </w:rPr>
              <w:t>1-</w:t>
            </w:r>
            <w:r>
              <w:rPr>
                <w:rFonts w:hint="eastAsia" w:ascii="宋体" w:hAnsi="宋体" w:eastAsia="宋体" w:cs="宋体"/>
                <w:color w:val="auto"/>
                <w:sz w:val="24"/>
                <w:szCs w:val="24"/>
                <w:highlight w:val="none"/>
                <w:vertAlign w:val="baseline"/>
                <w:lang w:eastAsia="zh-CN"/>
              </w:rPr>
              <w:t>成交</w:t>
            </w:r>
            <w:r>
              <w:rPr>
                <w:rFonts w:hint="eastAsia" w:ascii="宋体" w:hAnsi="宋体" w:eastAsia="宋体" w:cs="宋体"/>
                <w:color w:val="auto"/>
                <w:sz w:val="24"/>
                <w:szCs w:val="24"/>
                <w:highlight w:val="none"/>
                <w:vertAlign w:val="baseline"/>
                <w:lang w:val="en-US" w:eastAsia="zh-CN"/>
              </w:rPr>
              <w:t>下浮系数</w:t>
            </w:r>
            <w:r>
              <w:rPr>
                <w:rFonts w:hint="eastAsia" w:ascii="宋体" w:hAnsi="宋体" w:eastAsia="宋体" w:cs="宋体"/>
                <w:color w:val="auto"/>
                <w:sz w:val="24"/>
                <w:szCs w:val="24"/>
                <w:highlight w:val="none"/>
                <w:vertAlign w:val="baseline"/>
                <w:lang w:eastAsia="zh-CN"/>
              </w:rPr>
              <w:t>）。采购人与成交供应商确定结算款后，并且通过本季度考核，由采购人在下一季度开始40个工作日内向成交供应商 一次性支付上季度结算款。</w:t>
            </w:r>
          </w:p>
        </w:tc>
      </w:tr>
      <w:tr w14:paraId="38F7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gridSpan w:val="2"/>
            <w:noWrap w:val="0"/>
            <w:vAlign w:val="center"/>
          </w:tcPr>
          <w:p w14:paraId="704AF3EE">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验收要求</w:t>
            </w:r>
          </w:p>
        </w:tc>
        <w:tc>
          <w:tcPr>
            <w:tcW w:w="7455" w:type="dxa"/>
            <w:gridSpan w:val="3"/>
            <w:noWrap w:val="0"/>
            <w:vAlign w:val="top"/>
          </w:tcPr>
          <w:p w14:paraId="7930C319">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（1）入库核验</w:t>
            </w:r>
          </w:p>
          <w:p w14:paraId="4FB1833B">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① 核对耗材外包装密封完整性、防伪标识、生产批号及有效期；</w:t>
            </w:r>
          </w:p>
          <w:p w14:paraId="0F90CE0F">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② 核对采购合同约定品牌、型号、规格、数量；</w:t>
            </w:r>
          </w:p>
          <w:p w14:paraId="4A86A887">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③ 抽取5%样品（不少于3件）现场拆封，检查碳粉/墨水封装状态、芯片识别码有效性；</w:t>
            </w:r>
          </w:p>
          <w:p w14:paraId="453545E3">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④ 签署《入库单》后完成采购人后勤部物资入库流程，视为形式验收合格。</w:t>
            </w:r>
          </w:p>
          <w:p w14:paraId="3D24B5B7">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（2）出现以下情形视为验收不合格：</w:t>
            </w:r>
          </w:p>
          <w:p w14:paraId="0AEA998D">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① 外包装破损导致受潮/氧化（须提供物流公司责任证明除外）</w:t>
            </w:r>
          </w:p>
          <w:p w14:paraId="7467394A">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② 单批次≥10%耗材打印页数未达标称值的90%</w:t>
            </w:r>
          </w:p>
          <w:p w14:paraId="1A59AC96">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③ 同一型号连续3个生产批次出现兼容性故障</w:t>
            </w:r>
          </w:p>
        </w:tc>
      </w:tr>
      <w:tr w14:paraId="0BDA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gridSpan w:val="2"/>
            <w:noWrap w:val="0"/>
            <w:vAlign w:val="center"/>
          </w:tcPr>
          <w:p w14:paraId="42E31626">
            <w:pPr>
              <w:pStyle w:val="17"/>
              <w:spacing w:line="360" w:lineRule="auto"/>
              <w:ind w:left="0" w:leftChars="0" w:firstLine="0" w:firstLineChars="0"/>
              <w:jc w:val="center"/>
              <w:rPr>
                <w:rFonts w:hint="eastAsia" w:ascii="宋体" w:hAnsi="宋体" w:eastAsia="宋体" w:cs="宋体"/>
                <w:color w:val="auto"/>
                <w:spacing w:val="2"/>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其他说明</w:t>
            </w:r>
          </w:p>
        </w:tc>
        <w:tc>
          <w:tcPr>
            <w:tcW w:w="7455" w:type="dxa"/>
            <w:gridSpan w:val="3"/>
            <w:noWrap w:val="0"/>
            <w:vAlign w:val="top"/>
          </w:tcPr>
          <w:p w14:paraId="39D07381">
            <w:pPr>
              <w:pStyle w:val="17"/>
              <w:numPr>
                <w:ilvl w:val="0"/>
                <w:numId w:val="0"/>
              </w:numPr>
              <w:spacing w:line="360" w:lineRule="auto"/>
              <w:jc w:val="left"/>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对不符合要求货物退换的及时性及处置办法：</w:t>
            </w:r>
          </w:p>
          <w:p w14:paraId="319025B4">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1.成交供应商提供的货物破损或存在质量问题，不符合国家标准要求的一律退货处理，采购人有权要求成交供应商更换，且采购人对存在问题的货物保留追究法律责任的权利。</w:t>
            </w:r>
          </w:p>
          <w:p w14:paraId="484E0483">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2.在服务期内出现两次以上质量问题退货或两次以上逾期交货的，采购人可要求成交供应商更换品质更好的品牌（价格不变），或进行限期整改。</w:t>
            </w:r>
          </w:p>
          <w:p w14:paraId="392CEA48">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（2）对于不合格的耗材，供应商应在48小时内完成退换货操作。若在规定时间内更换的货物仍未能通过验收，则认定为2次验收不合格。</w:t>
            </w:r>
          </w:p>
          <w:p w14:paraId="37FE3077">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（3）年度累计2次验收不合格的，采购人有权终止合同。</w:t>
            </w:r>
          </w:p>
          <w:p w14:paraId="2FFDF64B">
            <w:pPr>
              <w:pStyle w:val="17"/>
              <w:numPr>
                <w:ilvl w:val="0"/>
                <w:numId w:val="0"/>
              </w:num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（4）开封即损条款：耗材拆封后非因采购人保管不当导致的结块/漏粉问题，供应商应无条件更换。</w:t>
            </w:r>
          </w:p>
        </w:tc>
      </w:tr>
      <w:tr w14:paraId="33BE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gridSpan w:val="2"/>
            <w:noWrap w:val="0"/>
            <w:vAlign w:val="center"/>
          </w:tcPr>
          <w:p w14:paraId="5F03503B">
            <w:pPr>
              <w:pStyle w:val="17"/>
              <w:spacing w:line="360" w:lineRule="auto"/>
              <w:ind w:left="0" w:leftChars="0" w:firstLine="0" w:firstLineChars="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服务质量考核：</w:t>
            </w:r>
          </w:p>
        </w:tc>
        <w:tc>
          <w:tcPr>
            <w:tcW w:w="7455" w:type="dxa"/>
            <w:gridSpan w:val="3"/>
            <w:noWrap w:val="0"/>
            <w:vAlign w:val="top"/>
          </w:tcPr>
          <w:p w14:paraId="179CCE23">
            <w:pPr>
              <w:pStyle w:val="17"/>
              <w:numPr>
                <w:ilvl w:val="0"/>
                <w:numId w:val="0"/>
              </w:numPr>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每季进行一次考核，考核结果实行百分制评定等级：95-100 分为优秀，85-94 分为良好，80-84 分为及格，79 分（含 79 分）以下为不</w:t>
            </w:r>
            <w:r>
              <w:rPr>
                <w:rFonts w:hint="eastAsia" w:ascii="宋体" w:hAnsi="宋体" w:eastAsia="宋体" w:cs="宋体"/>
                <w:color w:val="auto"/>
                <w:sz w:val="24"/>
                <w:szCs w:val="24"/>
                <w:highlight w:val="none"/>
                <w:lang w:eastAsia="zh-CN"/>
              </w:rPr>
              <w:t>不</w:t>
            </w:r>
            <w:r>
              <w:rPr>
                <w:rFonts w:hint="eastAsia" w:ascii="宋体" w:hAnsi="宋体" w:eastAsia="宋体" w:cs="宋体"/>
                <w:color w:val="auto"/>
                <w:sz w:val="24"/>
                <w:szCs w:val="24"/>
                <w:highlight w:val="none"/>
              </w:rPr>
              <w:t>及格；考核评分标准见</w:t>
            </w:r>
            <w:r>
              <w:rPr>
                <w:rFonts w:hint="eastAsia" w:ascii="宋体" w:hAnsi="宋体" w:eastAsia="宋体" w:cs="宋体"/>
                <w:color w:val="auto"/>
                <w:sz w:val="24"/>
                <w:szCs w:val="24"/>
                <w:highlight w:val="none"/>
                <w:lang w:eastAsia="zh-CN"/>
              </w:rPr>
              <w:t>下表</w:t>
            </w:r>
            <w:r>
              <w:rPr>
                <w:rFonts w:hint="eastAsia" w:ascii="宋体" w:hAnsi="宋体" w:eastAsia="宋体" w:cs="宋体"/>
                <w:color w:val="auto"/>
                <w:sz w:val="24"/>
                <w:szCs w:val="24"/>
                <w:highlight w:val="none"/>
              </w:rPr>
              <w:t>。</w:t>
            </w:r>
          </w:p>
          <w:p w14:paraId="651D5C43">
            <w:pPr>
              <w:pStyle w:val="17"/>
              <w:numPr>
                <w:ilvl w:val="0"/>
                <w:numId w:val="0"/>
              </w:numPr>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考核结果与服务费用支付、合同履行直接挂钩，具体约定如下：</w:t>
            </w:r>
          </w:p>
          <w:p w14:paraId="1B316FBF">
            <w:pPr>
              <w:pStyle w:val="17"/>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（1）单次考核结果为优秀的，按合同约定正常支付对应周期服务费用；</w:t>
            </w:r>
          </w:p>
          <w:p w14:paraId="376C1A23">
            <w:pPr>
              <w:pStyle w:val="17"/>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（2）单次考核结果为良好或及格的，暂停支付当期服务费用，成交供应商须按医院要求限期完成整改，整改完成后参与下次考核；下次考核结果达到优秀的，方可补付当期费用；</w:t>
            </w:r>
          </w:p>
          <w:p w14:paraId="67BD9DF1">
            <w:pPr>
              <w:pStyle w:val="17"/>
              <w:numPr>
                <w:ilvl w:val="0"/>
                <w:numId w:val="0"/>
              </w:numPr>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（3）单次考核结果为不及格的，医院有权立即终止本合同，且不承担任何违约责任，成交供应商须配合完成后续交接工作。</w:t>
            </w:r>
          </w:p>
        </w:tc>
      </w:tr>
    </w:tbl>
    <w:p w14:paraId="78185C91">
      <w:pPr>
        <w:widowControl/>
        <w:jc w:val="both"/>
        <w:textAlignment w:val="center"/>
        <w:rPr>
          <w:rFonts w:hint="eastAsia" w:ascii="宋体" w:hAnsi="宋体" w:eastAsia="宋体" w:cs="宋体"/>
          <w:bCs/>
          <w:color w:val="auto"/>
          <w:sz w:val="24"/>
          <w:szCs w:val="24"/>
          <w:highlight w:val="none"/>
        </w:rPr>
      </w:pPr>
    </w:p>
    <w:p w14:paraId="026F1381">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56B28541">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3B44F60A">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7896107E">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2AD57C0D">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075781BE">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78DBBB02">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4F227B61">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3281790F">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420CF7EA">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6D91AE5F">
      <w:pPr>
        <w:wordWrap w:val="0"/>
        <w:spacing w:before="0" w:line="380" w:lineRule="exact"/>
        <w:jc w:val="center"/>
        <w:rPr>
          <w:rFonts w:hint="eastAsia" w:ascii="宋体" w:hAnsi="宋体" w:eastAsia="宋体" w:cs="宋体"/>
          <w:b/>
          <w:bCs/>
          <w:color w:val="auto"/>
          <w:sz w:val="32"/>
          <w:szCs w:val="32"/>
          <w:highlight w:val="none"/>
          <w:lang w:val="en-US" w:eastAsia="zh-CN"/>
        </w:rPr>
      </w:pPr>
    </w:p>
    <w:p w14:paraId="639CBFF7">
      <w:pPr>
        <w:wordWrap w:val="0"/>
        <w:spacing w:before="0" w:line="380" w:lineRule="exact"/>
        <w:jc w:val="center"/>
        <w:rPr>
          <w:rFonts w:hint="default" w:eastAsia="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服务质量考核标准</w:t>
      </w:r>
    </w:p>
    <w:tbl>
      <w:tblPr>
        <w:tblStyle w:val="34"/>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82"/>
        <w:gridCol w:w="948"/>
        <w:gridCol w:w="851"/>
        <w:gridCol w:w="2499"/>
        <w:gridCol w:w="2506"/>
        <w:gridCol w:w="842"/>
        <w:gridCol w:w="1318"/>
      </w:tblGrid>
      <w:tr w14:paraId="452C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9" w:hRule="atLeast"/>
          <w:tblHeader/>
          <w:jc w:val="center"/>
        </w:trPr>
        <w:tc>
          <w:tcPr>
            <w:tcW w:w="0" w:type="auto"/>
            <w:noWrap w:val="0"/>
            <w:tcMar>
              <w:top w:w="120" w:type="dxa"/>
              <w:left w:w="120" w:type="dxa"/>
              <w:bottom w:w="120" w:type="dxa"/>
              <w:right w:w="120" w:type="dxa"/>
            </w:tcMar>
            <w:vAlign w:val="center"/>
          </w:tcPr>
          <w:p w14:paraId="274460B6">
            <w:pPr>
              <w:keepNext w:val="0"/>
              <w:keepLines w:val="0"/>
              <w:widowControl/>
              <w:suppressLineNumbers w:val="0"/>
              <w:ind w:left="0" w:firstLine="0"/>
              <w:jc w:val="center"/>
              <w:rPr>
                <w:rFonts w:hint="eastAsia" w:ascii="宋体" w:hAnsi="宋体" w:eastAsia="宋体" w:cs="宋体"/>
                <w:b/>
                <w:bCs/>
                <w:caps w:val="0"/>
                <w:color w:val="auto"/>
                <w:spacing w:val="0"/>
                <w:sz w:val="22"/>
                <w:szCs w:val="22"/>
                <w:highlight w:val="none"/>
              </w:rPr>
            </w:pPr>
            <w:r>
              <w:rPr>
                <w:rFonts w:hint="eastAsia" w:ascii="宋体" w:hAnsi="宋体" w:eastAsia="宋体" w:cs="宋体"/>
                <w:b/>
                <w:bCs/>
                <w:caps w:val="0"/>
                <w:color w:val="auto"/>
                <w:spacing w:val="0"/>
                <w:kern w:val="0"/>
                <w:sz w:val="22"/>
                <w:szCs w:val="22"/>
                <w:highlight w:val="none"/>
                <w:lang w:val="en-US" w:eastAsia="zh-CN" w:bidi="ar"/>
              </w:rPr>
              <w:t>序号</w:t>
            </w:r>
          </w:p>
        </w:tc>
        <w:tc>
          <w:tcPr>
            <w:tcW w:w="948" w:type="dxa"/>
            <w:noWrap w:val="0"/>
            <w:tcMar>
              <w:top w:w="120" w:type="dxa"/>
              <w:left w:w="120" w:type="dxa"/>
              <w:bottom w:w="120" w:type="dxa"/>
              <w:right w:w="120" w:type="dxa"/>
            </w:tcMar>
            <w:vAlign w:val="center"/>
          </w:tcPr>
          <w:p w14:paraId="57116FA7">
            <w:pPr>
              <w:keepNext w:val="0"/>
              <w:keepLines w:val="0"/>
              <w:widowControl/>
              <w:suppressLineNumbers w:val="0"/>
              <w:ind w:left="0" w:firstLine="0"/>
              <w:jc w:val="center"/>
              <w:rPr>
                <w:rFonts w:hint="eastAsia" w:ascii="宋体" w:hAnsi="宋体" w:eastAsia="宋体" w:cs="宋体"/>
                <w:b/>
                <w:bCs/>
                <w:caps w:val="0"/>
                <w:color w:val="auto"/>
                <w:spacing w:val="0"/>
                <w:sz w:val="22"/>
                <w:szCs w:val="22"/>
                <w:highlight w:val="none"/>
              </w:rPr>
            </w:pPr>
            <w:r>
              <w:rPr>
                <w:rFonts w:hint="eastAsia" w:ascii="宋体" w:hAnsi="宋体" w:eastAsia="宋体" w:cs="宋体"/>
                <w:b/>
                <w:bCs/>
                <w:caps w:val="0"/>
                <w:color w:val="auto"/>
                <w:spacing w:val="0"/>
                <w:kern w:val="0"/>
                <w:sz w:val="22"/>
                <w:szCs w:val="22"/>
                <w:highlight w:val="none"/>
                <w:lang w:val="en-US" w:eastAsia="zh-CN" w:bidi="ar"/>
              </w:rPr>
              <w:t>考核项目</w:t>
            </w:r>
          </w:p>
        </w:tc>
        <w:tc>
          <w:tcPr>
            <w:tcW w:w="851" w:type="dxa"/>
            <w:noWrap w:val="0"/>
            <w:tcMar>
              <w:top w:w="120" w:type="dxa"/>
              <w:left w:w="120" w:type="dxa"/>
              <w:bottom w:w="120" w:type="dxa"/>
              <w:right w:w="120" w:type="dxa"/>
            </w:tcMar>
            <w:vAlign w:val="center"/>
          </w:tcPr>
          <w:p w14:paraId="712B0ECB">
            <w:pPr>
              <w:keepNext w:val="0"/>
              <w:keepLines w:val="0"/>
              <w:widowControl/>
              <w:suppressLineNumbers w:val="0"/>
              <w:ind w:left="0" w:firstLine="0"/>
              <w:jc w:val="center"/>
              <w:rPr>
                <w:rFonts w:hint="eastAsia" w:ascii="宋体" w:hAnsi="宋体" w:eastAsia="宋体" w:cs="宋体"/>
                <w:b/>
                <w:bCs/>
                <w:caps w:val="0"/>
                <w:color w:val="auto"/>
                <w:spacing w:val="0"/>
                <w:sz w:val="22"/>
                <w:szCs w:val="22"/>
                <w:highlight w:val="none"/>
              </w:rPr>
            </w:pPr>
            <w:r>
              <w:rPr>
                <w:rFonts w:hint="eastAsia" w:ascii="宋体" w:hAnsi="宋体" w:eastAsia="宋体" w:cs="宋体"/>
                <w:b/>
                <w:bCs/>
                <w:caps w:val="0"/>
                <w:color w:val="auto"/>
                <w:spacing w:val="0"/>
                <w:kern w:val="0"/>
                <w:sz w:val="22"/>
                <w:szCs w:val="22"/>
                <w:highlight w:val="none"/>
                <w:lang w:val="en-US" w:eastAsia="zh-CN" w:bidi="ar"/>
              </w:rPr>
              <w:t>分值</w:t>
            </w:r>
          </w:p>
        </w:tc>
        <w:tc>
          <w:tcPr>
            <w:tcW w:w="5020" w:type="dxa"/>
            <w:gridSpan w:val="2"/>
            <w:noWrap w:val="0"/>
            <w:tcMar>
              <w:top w:w="120" w:type="dxa"/>
              <w:left w:w="120" w:type="dxa"/>
              <w:bottom w:w="120" w:type="dxa"/>
              <w:right w:w="120" w:type="dxa"/>
            </w:tcMar>
            <w:vAlign w:val="center"/>
          </w:tcPr>
          <w:p w14:paraId="5ACAE5DF">
            <w:pPr>
              <w:keepNext w:val="0"/>
              <w:keepLines w:val="0"/>
              <w:widowControl/>
              <w:suppressLineNumbers w:val="0"/>
              <w:ind w:left="0" w:firstLine="0"/>
              <w:jc w:val="center"/>
              <w:rPr>
                <w:rFonts w:hint="eastAsia" w:ascii="宋体" w:hAnsi="宋体" w:eastAsia="宋体" w:cs="宋体"/>
                <w:b/>
                <w:bCs/>
                <w:caps w:val="0"/>
                <w:color w:val="auto"/>
                <w:spacing w:val="0"/>
                <w:sz w:val="22"/>
                <w:szCs w:val="22"/>
                <w:highlight w:val="none"/>
              </w:rPr>
            </w:pPr>
            <w:r>
              <w:rPr>
                <w:rFonts w:hint="eastAsia" w:ascii="宋体" w:hAnsi="宋体" w:eastAsia="宋体" w:cs="宋体"/>
                <w:b/>
                <w:bCs/>
                <w:caps w:val="0"/>
                <w:color w:val="auto"/>
                <w:spacing w:val="0"/>
                <w:kern w:val="0"/>
                <w:sz w:val="22"/>
                <w:szCs w:val="22"/>
                <w:highlight w:val="none"/>
                <w:lang w:val="en-US" w:eastAsia="zh-CN" w:bidi="ar"/>
              </w:rPr>
              <w:t>考核标准</w:t>
            </w:r>
          </w:p>
        </w:tc>
        <w:tc>
          <w:tcPr>
            <w:tcW w:w="836" w:type="dxa"/>
            <w:noWrap w:val="0"/>
            <w:tcMar>
              <w:top w:w="120" w:type="dxa"/>
              <w:left w:w="120" w:type="dxa"/>
              <w:bottom w:w="120" w:type="dxa"/>
              <w:right w:w="120" w:type="dxa"/>
            </w:tcMar>
            <w:vAlign w:val="center"/>
          </w:tcPr>
          <w:p w14:paraId="47A3E0A6">
            <w:pPr>
              <w:keepNext w:val="0"/>
              <w:keepLines w:val="0"/>
              <w:widowControl/>
              <w:suppressLineNumbers w:val="0"/>
              <w:ind w:left="0" w:firstLine="0"/>
              <w:jc w:val="center"/>
              <w:rPr>
                <w:rFonts w:hint="eastAsia" w:ascii="宋体" w:hAnsi="宋体" w:eastAsia="宋体" w:cs="宋体"/>
                <w:b/>
                <w:bCs/>
                <w:caps w:val="0"/>
                <w:color w:val="auto"/>
                <w:spacing w:val="0"/>
                <w:sz w:val="22"/>
                <w:szCs w:val="22"/>
                <w:highlight w:val="none"/>
              </w:rPr>
            </w:pPr>
            <w:r>
              <w:rPr>
                <w:rFonts w:hint="eastAsia" w:ascii="宋体" w:hAnsi="宋体" w:eastAsia="宋体" w:cs="宋体"/>
                <w:b/>
                <w:bCs/>
                <w:caps w:val="0"/>
                <w:color w:val="auto"/>
                <w:spacing w:val="0"/>
                <w:kern w:val="0"/>
                <w:sz w:val="22"/>
                <w:szCs w:val="22"/>
                <w:highlight w:val="none"/>
                <w:lang w:val="en-US" w:eastAsia="zh-CN" w:bidi="ar"/>
              </w:rPr>
              <w:t>扣分</w:t>
            </w:r>
          </w:p>
        </w:tc>
        <w:tc>
          <w:tcPr>
            <w:tcW w:w="1310" w:type="dxa"/>
            <w:noWrap w:val="0"/>
            <w:tcMar>
              <w:top w:w="120" w:type="dxa"/>
              <w:left w:w="120" w:type="dxa"/>
              <w:bottom w:w="120" w:type="dxa"/>
              <w:right w:w="120" w:type="dxa"/>
            </w:tcMar>
            <w:vAlign w:val="center"/>
          </w:tcPr>
          <w:p w14:paraId="1CA918F8">
            <w:pPr>
              <w:keepNext w:val="0"/>
              <w:keepLines w:val="0"/>
              <w:widowControl/>
              <w:suppressLineNumbers w:val="0"/>
              <w:ind w:left="0" w:firstLine="0"/>
              <w:jc w:val="center"/>
              <w:rPr>
                <w:rFonts w:hint="eastAsia" w:ascii="宋体" w:hAnsi="宋体" w:eastAsia="宋体" w:cs="宋体"/>
                <w:b/>
                <w:bCs/>
                <w:caps w:val="0"/>
                <w:color w:val="auto"/>
                <w:spacing w:val="0"/>
                <w:sz w:val="22"/>
                <w:szCs w:val="22"/>
                <w:highlight w:val="none"/>
              </w:rPr>
            </w:pPr>
            <w:r>
              <w:rPr>
                <w:rFonts w:hint="eastAsia" w:ascii="宋体" w:hAnsi="宋体" w:eastAsia="宋体" w:cs="宋体"/>
                <w:b/>
                <w:bCs/>
                <w:caps w:val="0"/>
                <w:color w:val="auto"/>
                <w:spacing w:val="0"/>
                <w:kern w:val="0"/>
                <w:sz w:val="22"/>
                <w:szCs w:val="22"/>
                <w:highlight w:val="none"/>
                <w:lang w:val="en-US" w:eastAsia="zh-CN" w:bidi="ar"/>
              </w:rPr>
              <w:t>实得分</w:t>
            </w:r>
          </w:p>
        </w:tc>
      </w:tr>
      <w:tr w14:paraId="6FF5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44" w:hRule="atLeast"/>
          <w:jc w:val="center"/>
        </w:trPr>
        <w:tc>
          <w:tcPr>
            <w:tcW w:w="0" w:type="auto"/>
            <w:noWrap w:val="0"/>
            <w:tcMar>
              <w:top w:w="120" w:type="dxa"/>
              <w:left w:w="120" w:type="dxa"/>
              <w:bottom w:w="120" w:type="dxa"/>
              <w:right w:w="120" w:type="dxa"/>
            </w:tcMar>
            <w:vAlign w:val="center"/>
          </w:tcPr>
          <w:p w14:paraId="376A77E1">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1</w:t>
            </w:r>
          </w:p>
        </w:tc>
        <w:tc>
          <w:tcPr>
            <w:tcW w:w="948" w:type="dxa"/>
            <w:noWrap w:val="0"/>
            <w:tcMar>
              <w:top w:w="120" w:type="dxa"/>
              <w:left w:w="120" w:type="dxa"/>
              <w:bottom w:w="120" w:type="dxa"/>
              <w:right w:w="120" w:type="dxa"/>
            </w:tcMar>
            <w:vAlign w:val="center"/>
          </w:tcPr>
          <w:p w14:paraId="1E738A88">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维修质量</w:t>
            </w:r>
          </w:p>
        </w:tc>
        <w:tc>
          <w:tcPr>
            <w:tcW w:w="851" w:type="dxa"/>
            <w:noWrap w:val="0"/>
            <w:tcMar>
              <w:top w:w="120" w:type="dxa"/>
              <w:left w:w="120" w:type="dxa"/>
              <w:bottom w:w="120" w:type="dxa"/>
              <w:right w:w="120" w:type="dxa"/>
            </w:tcMar>
            <w:vAlign w:val="center"/>
          </w:tcPr>
          <w:p w14:paraId="7B3F69C5">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30 分</w:t>
            </w:r>
          </w:p>
        </w:tc>
        <w:tc>
          <w:tcPr>
            <w:tcW w:w="5020" w:type="dxa"/>
            <w:gridSpan w:val="2"/>
            <w:noWrap w:val="0"/>
            <w:tcMar>
              <w:top w:w="120" w:type="dxa"/>
              <w:left w:w="120" w:type="dxa"/>
              <w:bottom w:w="120" w:type="dxa"/>
              <w:right w:w="120" w:type="dxa"/>
            </w:tcMar>
            <w:vAlign w:val="center"/>
          </w:tcPr>
          <w:p w14:paraId="36D5D3D4">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1. 维修后故障未解决、反复复发，每 1 次扣 5 分</w:t>
            </w:r>
          </w:p>
          <w:p w14:paraId="5493C85C">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2. 维修操作不规范，损坏设备 / 配件 / 线路，每 1 次扣 6 分</w:t>
            </w:r>
          </w:p>
          <w:p w14:paraId="1F1196CA">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3. 故障误判、漏检，每 1 次扣 3 分</w:t>
            </w:r>
          </w:p>
          <w:p w14:paraId="08D8A78D">
            <w:pPr>
              <w:keepNext w:val="0"/>
              <w:keepLines w:val="0"/>
              <w:widowControl/>
              <w:suppressLineNumbers w:val="0"/>
              <w:ind w:left="0" w:firstLine="0"/>
              <w:jc w:val="left"/>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4. 维修后未清理现场、遗留安全隐患，每 1 次扣 2 分</w:t>
            </w:r>
          </w:p>
        </w:tc>
        <w:tc>
          <w:tcPr>
            <w:tcW w:w="836" w:type="dxa"/>
            <w:noWrap w:val="0"/>
            <w:tcMar>
              <w:top w:w="120" w:type="dxa"/>
              <w:left w:w="120" w:type="dxa"/>
              <w:bottom w:w="120" w:type="dxa"/>
              <w:right w:w="120" w:type="dxa"/>
            </w:tcMar>
            <w:vAlign w:val="center"/>
          </w:tcPr>
          <w:p w14:paraId="65710915">
            <w:pPr>
              <w:jc w:val="left"/>
              <w:rPr>
                <w:rFonts w:hint="eastAsia" w:ascii="宋体" w:hAnsi="宋体" w:eastAsia="宋体" w:cs="宋体"/>
                <w:caps w:val="0"/>
                <w:color w:val="auto"/>
                <w:spacing w:val="0"/>
                <w:sz w:val="22"/>
                <w:szCs w:val="22"/>
                <w:highlight w:val="none"/>
              </w:rPr>
            </w:pPr>
          </w:p>
        </w:tc>
        <w:tc>
          <w:tcPr>
            <w:tcW w:w="1310" w:type="dxa"/>
            <w:noWrap w:val="0"/>
            <w:tcMar>
              <w:top w:w="120" w:type="dxa"/>
              <w:left w:w="120" w:type="dxa"/>
              <w:bottom w:w="120" w:type="dxa"/>
              <w:right w:w="120" w:type="dxa"/>
            </w:tcMar>
            <w:vAlign w:val="center"/>
          </w:tcPr>
          <w:p w14:paraId="684A6727">
            <w:pPr>
              <w:jc w:val="left"/>
              <w:rPr>
                <w:rFonts w:hint="eastAsia" w:ascii="宋体" w:hAnsi="宋体" w:eastAsia="宋体" w:cs="宋体"/>
                <w:caps w:val="0"/>
                <w:color w:val="auto"/>
                <w:spacing w:val="0"/>
                <w:sz w:val="22"/>
                <w:szCs w:val="22"/>
                <w:highlight w:val="none"/>
              </w:rPr>
            </w:pPr>
          </w:p>
        </w:tc>
      </w:tr>
      <w:tr w14:paraId="4D08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78" w:hRule="atLeast"/>
          <w:jc w:val="center"/>
        </w:trPr>
        <w:tc>
          <w:tcPr>
            <w:tcW w:w="0" w:type="auto"/>
            <w:noWrap w:val="0"/>
            <w:tcMar>
              <w:top w:w="120" w:type="dxa"/>
              <w:left w:w="120" w:type="dxa"/>
              <w:bottom w:w="120" w:type="dxa"/>
              <w:right w:w="120" w:type="dxa"/>
            </w:tcMar>
            <w:vAlign w:val="center"/>
          </w:tcPr>
          <w:p w14:paraId="77411609">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2</w:t>
            </w:r>
          </w:p>
        </w:tc>
        <w:tc>
          <w:tcPr>
            <w:tcW w:w="948" w:type="dxa"/>
            <w:noWrap w:val="0"/>
            <w:tcMar>
              <w:top w:w="120" w:type="dxa"/>
              <w:left w:w="120" w:type="dxa"/>
              <w:bottom w:w="120" w:type="dxa"/>
              <w:right w:w="120" w:type="dxa"/>
            </w:tcMar>
            <w:vAlign w:val="center"/>
          </w:tcPr>
          <w:p w14:paraId="463538B3">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响应时效</w:t>
            </w:r>
            <w:r>
              <w:rPr>
                <w:rFonts w:hint="eastAsia" w:ascii="宋体" w:hAnsi="宋体" w:cs="宋体"/>
                <w:caps w:val="0"/>
                <w:color w:val="auto"/>
                <w:spacing w:val="0"/>
                <w:kern w:val="0"/>
                <w:sz w:val="22"/>
                <w:szCs w:val="22"/>
                <w:highlight w:val="none"/>
                <w:lang w:val="en-US" w:eastAsia="zh-CN" w:bidi="ar"/>
              </w:rPr>
              <w:t>及配送服务</w:t>
            </w:r>
          </w:p>
        </w:tc>
        <w:tc>
          <w:tcPr>
            <w:tcW w:w="851" w:type="dxa"/>
            <w:noWrap w:val="0"/>
            <w:tcMar>
              <w:top w:w="120" w:type="dxa"/>
              <w:left w:w="120" w:type="dxa"/>
              <w:bottom w:w="120" w:type="dxa"/>
              <w:right w:w="120" w:type="dxa"/>
            </w:tcMar>
            <w:vAlign w:val="center"/>
          </w:tcPr>
          <w:p w14:paraId="6629144A">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25 分</w:t>
            </w:r>
          </w:p>
        </w:tc>
        <w:tc>
          <w:tcPr>
            <w:tcW w:w="5020" w:type="dxa"/>
            <w:gridSpan w:val="2"/>
            <w:noWrap w:val="0"/>
            <w:tcMar>
              <w:top w:w="120" w:type="dxa"/>
              <w:left w:w="120" w:type="dxa"/>
              <w:bottom w:w="120" w:type="dxa"/>
              <w:right w:w="120" w:type="dxa"/>
            </w:tcMar>
            <w:vAlign w:val="center"/>
          </w:tcPr>
          <w:p w14:paraId="3135AA4E">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1. 接到报修未在规定时间响应，每超时 1 次扣 3 分</w:t>
            </w:r>
          </w:p>
          <w:p w14:paraId="461481A4">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 xml:space="preserve">2. 紧急故障未及时到场处理，1 次扣 </w:t>
            </w:r>
            <w:r>
              <w:rPr>
                <w:rFonts w:hint="eastAsia" w:ascii="宋体" w:hAnsi="宋体" w:cs="宋体"/>
                <w:caps w:val="0"/>
                <w:color w:val="auto"/>
                <w:spacing w:val="0"/>
                <w:kern w:val="0"/>
                <w:sz w:val="22"/>
                <w:szCs w:val="22"/>
                <w:highlight w:val="none"/>
                <w:lang w:val="en-US" w:eastAsia="zh-CN" w:bidi="ar"/>
              </w:rPr>
              <w:t>4</w:t>
            </w:r>
            <w:r>
              <w:rPr>
                <w:rFonts w:hint="eastAsia" w:ascii="宋体" w:hAnsi="宋体" w:eastAsia="宋体" w:cs="宋体"/>
                <w:caps w:val="0"/>
                <w:color w:val="auto"/>
                <w:spacing w:val="0"/>
                <w:kern w:val="0"/>
                <w:sz w:val="22"/>
                <w:szCs w:val="22"/>
                <w:highlight w:val="none"/>
                <w:lang w:val="en-US" w:eastAsia="zh-CN" w:bidi="ar"/>
              </w:rPr>
              <w:t xml:space="preserve"> 分</w:t>
            </w:r>
          </w:p>
          <w:p w14:paraId="6C665F1B">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3. 常规故障未按时完成，每超时 1 次扣 2 分</w:t>
            </w:r>
          </w:p>
          <w:p w14:paraId="33BCDC5D">
            <w:pPr>
              <w:keepNext w:val="0"/>
              <w:keepLines w:val="0"/>
              <w:widowControl/>
              <w:suppressLineNumbers w:val="0"/>
              <w:ind w:left="0" w:firstLine="0"/>
              <w:jc w:val="left"/>
              <w:rPr>
                <w:rFonts w:hint="eastAsia" w:ascii="宋体" w:hAnsi="宋体" w:cs="宋体"/>
                <w:color w:val="auto"/>
                <w:kern w:val="0"/>
                <w:sz w:val="22"/>
                <w:szCs w:val="22"/>
                <w:highlight w:val="none"/>
                <w:lang w:bidi="ar"/>
              </w:rPr>
            </w:pPr>
            <w:r>
              <w:rPr>
                <w:rFonts w:hint="eastAsia" w:ascii="宋体" w:hAnsi="宋体" w:cs="宋体"/>
                <w:caps w:val="0"/>
                <w:color w:val="auto"/>
                <w:spacing w:val="0"/>
                <w:kern w:val="0"/>
                <w:sz w:val="22"/>
                <w:szCs w:val="22"/>
                <w:highlight w:val="none"/>
                <w:lang w:val="en-US" w:eastAsia="zh-CN" w:bidi="ar"/>
              </w:rPr>
              <w:t>4.</w:t>
            </w:r>
            <w:r>
              <w:rPr>
                <w:rFonts w:hint="eastAsia" w:ascii="宋体" w:hAnsi="宋体" w:cs="宋体"/>
                <w:color w:val="auto"/>
                <w:kern w:val="0"/>
                <w:sz w:val="22"/>
                <w:szCs w:val="22"/>
                <w:highlight w:val="none"/>
                <w:lang w:bidi="ar"/>
              </w:rPr>
              <w:t xml:space="preserve">未按约定时间完成配送，每超时 1 次扣 </w:t>
            </w:r>
            <w:r>
              <w:rPr>
                <w:rFonts w:hint="eastAsia" w:ascii="宋体" w:hAnsi="宋体" w:cs="宋体"/>
                <w:color w:val="auto"/>
                <w:kern w:val="0"/>
                <w:sz w:val="22"/>
                <w:szCs w:val="22"/>
                <w:highlight w:val="none"/>
                <w:lang w:eastAsia="zh-CN" w:bidi="ar"/>
              </w:rPr>
              <w:t>3</w:t>
            </w:r>
            <w:r>
              <w:rPr>
                <w:rFonts w:hint="eastAsia" w:ascii="宋体" w:hAnsi="宋体" w:cs="宋体"/>
                <w:color w:val="auto"/>
                <w:kern w:val="0"/>
                <w:sz w:val="22"/>
                <w:szCs w:val="22"/>
                <w:highlight w:val="none"/>
                <w:lang w:bidi="ar"/>
              </w:rPr>
              <w:t>分</w:t>
            </w:r>
          </w:p>
          <w:p w14:paraId="4C1E634C">
            <w:pPr>
              <w:keepNext w:val="0"/>
              <w:keepLines w:val="0"/>
              <w:widowControl/>
              <w:suppressLineNumbers w:val="0"/>
              <w:ind w:left="0" w:firstLine="0"/>
              <w:jc w:val="left"/>
              <w:rPr>
                <w:rFonts w:hint="eastAsia" w:ascii="宋体" w:hAnsi="宋体" w:cs="宋体"/>
                <w:color w:val="auto"/>
                <w:kern w:val="0"/>
                <w:sz w:val="22"/>
                <w:szCs w:val="22"/>
                <w:highlight w:val="none"/>
                <w:lang w:bidi="ar"/>
              </w:rPr>
            </w:pPr>
            <w:r>
              <w:rPr>
                <w:rFonts w:hint="eastAsia" w:ascii="宋体" w:hAnsi="宋体" w:cs="宋体"/>
                <w:color w:val="auto"/>
                <w:kern w:val="0"/>
                <w:sz w:val="22"/>
                <w:szCs w:val="22"/>
                <w:highlight w:val="none"/>
                <w:lang w:val="en-US" w:eastAsia="zh-CN" w:bidi="ar"/>
              </w:rPr>
              <w:t>5.</w:t>
            </w:r>
            <w:r>
              <w:rPr>
                <w:rFonts w:hint="eastAsia" w:ascii="宋体" w:hAnsi="宋体" w:cs="宋体"/>
                <w:color w:val="auto"/>
                <w:kern w:val="0"/>
                <w:sz w:val="22"/>
                <w:szCs w:val="22"/>
                <w:highlight w:val="none"/>
                <w:lang w:bidi="ar"/>
              </w:rPr>
              <w:t>配送货品破损、</w:t>
            </w:r>
            <w:r>
              <w:rPr>
                <w:rFonts w:hint="eastAsia" w:ascii="宋体" w:hAnsi="宋体" w:cs="宋体"/>
                <w:color w:val="auto"/>
                <w:kern w:val="0"/>
                <w:sz w:val="22"/>
                <w:szCs w:val="22"/>
                <w:highlight w:val="none"/>
                <w:lang w:eastAsia="zh-CN" w:bidi="ar"/>
              </w:rPr>
              <w:t>包装不合规、</w:t>
            </w:r>
            <w:r>
              <w:rPr>
                <w:rFonts w:hint="eastAsia" w:ascii="宋体" w:hAnsi="宋体" w:cs="宋体"/>
                <w:color w:val="auto"/>
                <w:kern w:val="0"/>
                <w:sz w:val="22"/>
                <w:szCs w:val="22"/>
                <w:highlight w:val="none"/>
                <w:lang w:bidi="ar"/>
              </w:rPr>
              <w:t xml:space="preserve">丢失、错发，每 1 次扣 </w:t>
            </w:r>
            <w:r>
              <w:rPr>
                <w:rFonts w:hint="eastAsia" w:ascii="宋体" w:hAnsi="宋体" w:cs="宋体"/>
                <w:color w:val="auto"/>
                <w:kern w:val="0"/>
                <w:sz w:val="22"/>
                <w:szCs w:val="22"/>
                <w:highlight w:val="none"/>
                <w:lang w:val="en-US" w:eastAsia="zh-CN" w:bidi="ar"/>
              </w:rPr>
              <w:t>3</w:t>
            </w:r>
            <w:r>
              <w:rPr>
                <w:rFonts w:hint="eastAsia" w:ascii="宋体" w:hAnsi="宋体" w:cs="宋体"/>
                <w:color w:val="auto"/>
                <w:kern w:val="0"/>
                <w:sz w:val="22"/>
                <w:szCs w:val="22"/>
                <w:highlight w:val="none"/>
                <w:lang w:bidi="ar"/>
              </w:rPr>
              <w:t>分</w:t>
            </w:r>
          </w:p>
          <w:p w14:paraId="28EB8087">
            <w:pPr>
              <w:keepNext w:val="0"/>
              <w:keepLines w:val="0"/>
              <w:widowControl/>
              <w:suppressLineNumbers w:val="0"/>
              <w:ind w:left="0" w:firstLine="0"/>
              <w:jc w:val="left"/>
              <w:rPr>
                <w:rFonts w:hint="default" w:ascii="宋体" w:hAnsi="宋体" w:eastAsia="宋体" w:cs="宋体"/>
                <w:caps w:val="0"/>
                <w:color w:val="auto"/>
                <w:spacing w:val="0"/>
                <w:kern w:val="0"/>
                <w:sz w:val="22"/>
                <w:szCs w:val="22"/>
                <w:highlight w:val="none"/>
                <w:lang w:val="en-US" w:eastAsia="zh-CN" w:bidi="ar"/>
              </w:rPr>
            </w:pPr>
            <w:r>
              <w:rPr>
                <w:rFonts w:hint="eastAsia" w:ascii="宋体" w:hAnsi="宋体" w:cs="宋体"/>
                <w:color w:val="auto"/>
                <w:kern w:val="0"/>
                <w:sz w:val="22"/>
                <w:szCs w:val="22"/>
                <w:highlight w:val="none"/>
                <w:lang w:val="en-US" w:eastAsia="zh-CN" w:bidi="ar"/>
              </w:rPr>
              <w:t>6.</w:t>
            </w:r>
            <w:r>
              <w:rPr>
                <w:rFonts w:hint="eastAsia" w:ascii="宋体" w:hAnsi="宋体" w:cs="宋体"/>
                <w:color w:val="auto"/>
                <w:kern w:val="0"/>
                <w:sz w:val="22"/>
                <w:szCs w:val="22"/>
                <w:highlight w:val="none"/>
                <w:lang w:bidi="ar"/>
              </w:rPr>
              <w:t xml:space="preserve"> 未按要求分区配送、随意堆放，每 1 次扣 2 分</w:t>
            </w:r>
          </w:p>
          <w:p w14:paraId="0FB2B964">
            <w:pPr>
              <w:pStyle w:val="43"/>
              <w:rPr>
                <w:rFonts w:hint="eastAsia"/>
                <w:color w:val="auto"/>
                <w:highlight w:val="none"/>
              </w:rPr>
            </w:pPr>
          </w:p>
        </w:tc>
        <w:tc>
          <w:tcPr>
            <w:tcW w:w="836" w:type="dxa"/>
            <w:noWrap w:val="0"/>
            <w:tcMar>
              <w:top w:w="120" w:type="dxa"/>
              <w:left w:w="120" w:type="dxa"/>
              <w:bottom w:w="120" w:type="dxa"/>
              <w:right w:w="120" w:type="dxa"/>
            </w:tcMar>
            <w:vAlign w:val="center"/>
          </w:tcPr>
          <w:p w14:paraId="3CCCA508">
            <w:pPr>
              <w:jc w:val="left"/>
              <w:rPr>
                <w:rFonts w:hint="eastAsia" w:ascii="宋体" w:hAnsi="宋体" w:eastAsia="宋体" w:cs="宋体"/>
                <w:caps w:val="0"/>
                <w:color w:val="auto"/>
                <w:spacing w:val="0"/>
                <w:sz w:val="22"/>
                <w:szCs w:val="22"/>
                <w:highlight w:val="none"/>
              </w:rPr>
            </w:pPr>
          </w:p>
        </w:tc>
        <w:tc>
          <w:tcPr>
            <w:tcW w:w="1310" w:type="dxa"/>
            <w:noWrap w:val="0"/>
            <w:tcMar>
              <w:top w:w="120" w:type="dxa"/>
              <w:left w:w="120" w:type="dxa"/>
              <w:bottom w:w="120" w:type="dxa"/>
              <w:right w:w="120" w:type="dxa"/>
            </w:tcMar>
            <w:vAlign w:val="center"/>
          </w:tcPr>
          <w:p w14:paraId="69260C4B">
            <w:pPr>
              <w:jc w:val="left"/>
              <w:rPr>
                <w:rFonts w:hint="eastAsia" w:ascii="宋体" w:hAnsi="宋体" w:eastAsia="宋体" w:cs="宋体"/>
                <w:caps w:val="0"/>
                <w:color w:val="auto"/>
                <w:spacing w:val="0"/>
                <w:sz w:val="22"/>
                <w:szCs w:val="22"/>
                <w:highlight w:val="none"/>
              </w:rPr>
            </w:pPr>
          </w:p>
        </w:tc>
      </w:tr>
      <w:tr w14:paraId="2D04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90" w:hRule="atLeast"/>
          <w:jc w:val="center"/>
        </w:trPr>
        <w:tc>
          <w:tcPr>
            <w:tcW w:w="0" w:type="auto"/>
            <w:noWrap w:val="0"/>
            <w:tcMar>
              <w:top w:w="120" w:type="dxa"/>
              <w:left w:w="120" w:type="dxa"/>
              <w:bottom w:w="120" w:type="dxa"/>
              <w:right w:w="120" w:type="dxa"/>
            </w:tcMar>
            <w:vAlign w:val="center"/>
          </w:tcPr>
          <w:p w14:paraId="07E890EA">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3</w:t>
            </w:r>
          </w:p>
        </w:tc>
        <w:tc>
          <w:tcPr>
            <w:tcW w:w="948" w:type="dxa"/>
            <w:noWrap w:val="0"/>
            <w:tcMar>
              <w:top w:w="120" w:type="dxa"/>
              <w:left w:w="120" w:type="dxa"/>
              <w:bottom w:w="120" w:type="dxa"/>
              <w:right w:w="120" w:type="dxa"/>
            </w:tcMar>
            <w:vAlign w:val="center"/>
          </w:tcPr>
          <w:p w14:paraId="38339C57">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配件与价格</w:t>
            </w:r>
          </w:p>
        </w:tc>
        <w:tc>
          <w:tcPr>
            <w:tcW w:w="851" w:type="dxa"/>
            <w:noWrap w:val="0"/>
            <w:tcMar>
              <w:top w:w="120" w:type="dxa"/>
              <w:left w:w="120" w:type="dxa"/>
              <w:bottom w:w="120" w:type="dxa"/>
              <w:right w:w="120" w:type="dxa"/>
            </w:tcMar>
            <w:vAlign w:val="center"/>
          </w:tcPr>
          <w:p w14:paraId="59889CF2">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15 分</w:t>
            </w:r>
          </w:p>
        </w:tc>
        <w:tc>
          <w:tcPr>
            <w:tcW w:w="5020" w:type="dxa"/>
            <w:gridSpan w:val="2"/>
            <w:noWrap w:val="0"/>
            <w:tcMar>
              <w:top w:w="120" w:type="dxa"/>
              <w:left w:w="120" w:type="dxa"/>
              <w:bottom w:w="120" w:type="dxa"/>
              <w:right w:w="120" w:type="dxa"/>
            </w:tcMar>
            <w:vAlign w:val="center"/>
          </w:tcPr>
          <w:p w14:paraId="64D756B4">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1. 使用假冒、劣质、非合规配件</w:t>
            </w:r>
            <w:r>
              <w:rPr>
                <w:rFonts w:hint="eastAsia" w:ascii="宋体" w:hAnsi="宋体" w:cs="宋体"/>
                <w:caps w:val="0"/>
                <w:color w:val="auto"/>
                <w:spacing w:val="0"/>
                <w:kern w:val="0"/>
                <w:sz w:val="22"/>
                <w:szCs w:val="22"/>
                <w:highlight w:val="none"/>
                <w:lang w:val="en-US" w:eastAsia="zh-CN" w:bidi="ar"/>
              </w:rPr>
              <w:t>、</w:t>
            </w:r>
            <w:r>
              <w:rPr>
                <w:rFonts w:hint="eastAsia" w:ascii="宋体" w:hAnsi="宋体" w:cs="宋体"/>
                <w:color w:val="auto"/>
                <w:kern w:val="0"/>
                <w:sz w:val="22"/>
                <w:szCs w:val="22"/>
                <w:highlight w:val="none"/>
                <w:lang w:bidi="ar"/>
              </w:rPr>
              <w:t>私换配送货品、以次充好</w:t>
            </w:r>
            <w:r>
              <w:rPr>
                <w:rFonts w:hint="eastAsia" w:ascii="宋体" w:hAnsi="宋体" w:eastAsia="宋体" w:cs="宋体"/>
                <w:caps w:val="0"/>
                <w:color w:val="auto"/>
                <w:spacing w:val="0"/>
                <w:kern w:val="0"/>
                <w:sz w:val="22"/>
                <w:szCs w:val="22"/>
                <w:highlight w:val="none"/>
                <w:lang w:val="en-US" w:eastAsia="zh-CN" w:bidi="ar"/>
              </w:rPr>
              <w:t>，每 1 次扣 5 分</w:t>
            </w:r>
          </w:p>
          <w:p w14:paraId="64A22046">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2. 配件报价高于合同成交价，每 1 次扣 3 分</w:t>
            </w:r>
          </w:p>
          <w:p w14:paraId="2FF7CE37">
            <w:pPr>
              <w:keepNext w:val="0"/>
              <w:keepLines w:val="0"/>
              <w:widowControl/>
              <w:suppressLineNumbers w:val="0"/>
              <w:ind w:left="0" w:firstLine="0"/>
              <w:jc w:val="left"/>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3. 未告知费用、擅自加价，1 次扣 4 分</w:t>
            </w:r>
          </w:p>
        </w:tc>
        <w:tc>
          <w:tcPr>
            <w:tcW w:w="836" w:type="dxa"/>
            <w:noWrap w:val="0"/>
            <w:tcMar>
              <w:top w:w="120" w:type="dxa"/>
              <w:left w:w="120" w:type="dxa"/>
              <w:bottom w:w="120" w:type="dxa"/>
              <w:right w:w="120" w:type="dxa"/>
            </w:tcMar>
            <w:vAlign w:val="center"/>
          </w:tcPr>
          <w:p w14:paraId="3E66C7F7">
            <w:pPr>
              <w:jc w:val="left"/>
              <w:rPr>
                <w:rFonts w:hint="eastAsia" w:ascii="宋体" w:hAnsi="宋体" w:eastAsia="宋体" w:cs="宋体"/>
                <w:caps w:val="0"/>
                <w:color w:val="auto"/>
                <w:spacing w:val="0"/>
                <w:sz w:val="22"/>
                <w:szCs w:val="22"/>
                <w:highlight w:val="none"/>
              </w:rPr>
            </w:pPr>
          </w:p>
        </w:tc>
        <w:tc>
          <w:tcPr>
            <w:tcW w:w="1310" w:type="dxa"/>
            <w:noWrap w:val="0"/>
            <w:tcMar>
              <w:top w:w="120" w:type="dxa"/>
              <w:left w:w="120" w:type="dxa"/>
              <w:bottom w:w="120" w:type="dxa"/>
              <w:right w:w="120" w:type="dxa"/>
            </w:tcMar>
            <w:vAlign w:val="center"/>
          </w:tcPr>
          <w:p w14:paraId="2E25CE6E">
            <w:pPr>
              <w:jc w:val="left"/>
              <w:rPr>
                <w:rFonts w:hint="eastAsia" w:ascii="宋体" w:hAnsi="宋体" w:eastAsia="宋体" w:cs="宋体"/>
                <w:caps w:val="0"/>
                <w:color w:val="auto"/>
                <w:spacing w:val="0"/>
                <w:sz w:val="22"/>
                <w:szCs w:val="22"/>
                <w:highlight w:val="none"/>
              </w:rPr>
            </w:pPr>
          </w:p>
        </w:tc>
      </w:tr>
      <w:tr w14:paraId="373B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jc w:val="center"/>
        </w:trPr>
        <w:tc>
          <w:tcPr>
            <w:tcW w:w="0" w:type="auto"/>
            <w:noWrap w:val="0"/>
            <w:tcMar>
              <w:top w:w="120" w:type="dxa"/>
              <w:left w:w="120" w:type="dxa"/>
              <w:bottom w:w="120" w:type="dxa"/>
              <w:right w:w="120" w:type="dxa"/>
            </w:tcMar>
            <w:vAlign w:val="center"/>
          </w:tcPr>
          <w:p w14:paraId="0CE13AFC">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4</w:t>
            </w:r>
          </w:p>
        </w:tc>
        <w:tc>
          <w:tcPr>
            <w:tcW w:w="948" w:type="dxa"/>
            <w:noWrap w:val="0"/>
            <w:tcMar>
              <w:top w:w="120" w:type="dxa"/>
              <w:left w:w="120" w:type="dxa"/>
              <w:bottom w:w="120" w:type="dxa"/>
              <w:right w:w="120" w:type="dxa"/>
            </w:tcMar>
            <w:vAlign w:val="center"/>
          </w:tcPr>
          <w:p w14:paraId="792A40F9">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服务态度与沟通</w:t>
            </w:r>
          </w:p>
        </w:tc>
        <w:tc>
          <w:tcPr>
            <w:tcW w:w="851" w:type="dxa"/>
            <w:noWrap w:val="0"/>
            <w:tcMar>
              <w:top w:w="120" w:type="dxa"/>
              <w:left w:w="120" w:type="dxa"/>
              <w:bottom w:w="120" w:type="dxa"/>
              <w:right w:w="120" w:type="dxa"/>
            </w:tcMar>
            <w:vAlign w:val="center"/>
          </w:tcPr>
          <w:p w14:paraId="6CD1A47F">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15 分</w:t>
            </w:r>
          </w:p>
        </w:tc>
        <w:tc>
          <w:tcPr>
            <w:tcW w:w="5020" w:type="dxa"/>
            <w:gridSpan w:val="2"/>
            <w:noWrap w:val="0"/>
            <w:tcMar>
              <w:top w:w="120" w:type="dxa"/>
              <w:left w:w="120" w:type="dxa"/>
              <w:bottom w:w="120" w:type="dxa"/>
              <w:right w:w="120" w:type="dxa"/>
            </w:tcMar>
            <w:vAlign w:val="center"/>
          </w:tcPr>
          <w:p w14:paraId="651EE9FB">
            <w:pPr>
              <w:keepNext w:val="0"/>
              <w:keepLines w:val="0"/>
              <w:widowControl/>
              <w:numPr>
                <w:ilvl w:val="0"/>
                <w:numId w:val="2"/>
              </w:numPr>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态度生硬、推诿报修，每 1 次扣 3 分</w:t>
            </w:r>
          </w:p>
          <w:p w14:paraId="3D2BE592">
            <w:pPr>
              <w:keepNext w:val="0"/>
              <w:keepLines w:val="0"/>
              <w:widowControl/>
              <w:numPr>
                <w:ilvl w:val="0"/>
                <w:numId w:val="2"/>
              </w:numPr>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未主动反馈维修进度，每 1 次扣 2 分</w:t>
            </w:r>
          </w:p>
          <w:p w14:paraId="11AB40F6">
            <w:pPr>
              <w:keepNext w:val="0"/>
              <w:keepLines w:val="0"/>
              <w:widowControl/>
              <w:numPr>
                <w:ilvl w:val="0"/>
                <w:numId w:val="0"/>
              </w:numPr>
              <w:suppressLineNumbers w:val="0"/>
              <w:ind w:left="0" w:firstLine="0"/>
              <w:jc w:val="left"/>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3. 有效投诉、与科室发生争执，1 次扣 5 分</w:t>
            </w:r>
          </w:p>
        </w:tc>
        <w:tc>
          <w:tcPr>
            <w:tcW w:w="836" w:type="dxa"/>
            <w:noWrap w:val="0"/>
            <w:tcMar>
              <w:top w:w="120" w:type="dxa"/>
              <w:left w:w="120" w:type="dxa"/>
              <w:bottom w:w="120" w:type="dxa"/>
              <w:right w:w="120" w:type="dxa"/>
            </w:tcMar>
            <w:vAlign w:val="center"/>
          </w:tcPr>
          <w:p w14:paraId="188D388B">
            <w:pPr>
              <w:jc w:val="left"/>
              <w:rPr>
                <w:rFonts w:hint="eastAsia" w:ascii="宋体" w:hAnsi="宋体" w:eastAsia="宋体" w:cs="宋体"/>
                <w:caps w:val="0"/>
                <w:color w:val="auto"/>
                <w:spacing w:val="0"/>
                <w:sz w:val="22"/>
                <w:szCs w:val="22"/>
                <w:highlight w:val="none"/>
              </w:rPr>
            </w:pPr>
          </w:p>
        </w:tc>
        <w:tc>
          <w:tcPr>
            <w:tcW w:w="1310" w:type="dxa"/>
            <w:noWrap w:val="0"/>
            <w:tcMar>
              <w:top w:w="120" w:type="dxa"/>
              <w:left w:w="120" w:type="dxa"/>
              <w:bottom w:w="120" w:type="dxa"/>
              <w:right w:w="120" w:type="dxa"/>
            </w:tcMar>
            <w:vAlign w:val="center"/>
          </w:tcPr>
          <w:p w14:paraId="4E24C3FC">
            <w:pPr>
              <w:jc w:val="left"/>
              <w:rPr>
                <w:rFonts w:hint="eastAsia" w:ascii="宋体" w:hAnsi="宋体" w:eastAsia="宋体" w:cs="宋体"/>
                <w:caps w:val="0"/>
                <w:color w:val="auto"/>
                <w:spacing w:val="0"/>
                <w:sz w:val="22"/>
                <w:szCs w:val="22"/>
                <w:highlight w:val="none"/>
              </w:rPr>
            </w:pPr>
          </w:p>
        </w:tc>
      </w:tr>
      <w:tr w14:paraId="2749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92" w:hRule="atLeast"/>
          <w:jc w:val="center"/>
        </w:trPr>
        <w:tc>
          <w:tcPr>
            <w:tcW w:w="0" w:type="auto"/>
            <w:noWrap w:val="0"/>
            <w:tcMar>
              <w:top w:w="120" w:type="dxa"/>
              <w:left w:w="120" w:type="dxa"/>
              <w:bottom w:w="120" w:type="dxa"/>
              <w:right w:w="120" w:type="dxa"/>
            </w:tcMar>
            <w:vAlign w:val="center"/>
          </w:tcPr>
          <w:p w14:paraId="3EE58FCF">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5</w:t>
            </w:r>
          </w:p>
        </w:tc>
        <w:tc>
          <w:tcPr>
            <w:tcW w:w="948" w:type="dxa"/>
            <w:noWrap w:val="0"/>
            <w:tcMar>
              <w:top w:w="120" w:type="dxa"/>
              <w:left w:w="120" w:type="dxa"/>
              <w:bottom w:w="120" w:type="dxa"/>
              <w:right w:w="120" w:type="dxa"/>
            </w:tcMar>
            <w:vAlign w:val="center"/>
          </w:tcPr>
          <w:p w14:paraId="51CE166D">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档案与售后</w:t>
            </w:r>
          </w:p>
        </w:tc>
        <w:tc>
          <w:tcPr>
            <w:tcW w:w="851" w:type="dxa"/>
            <w:noWrap w:val="0"/>
            <w:tcMar>
              <w:top w:w="120" w:type="dxa"/>
              <w:left w:w="120" w:type="dxa"/>
              <w:bottom w:w="120" w:type="dxa"/>
              <w:right w:w="120" w:type="dxa"/>
            </w:tcMar>
            <w:vAlign w:val="center"/>
          </w:tcPr>
          <w:p w14:paraId="794B556B">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10 分</w:t>
            </w:r>
          </w:p>
        </w:tc>
        <w:tc>
          <w:tcPr>
            <w:tcW w:w="5020" w:type="dxa"/>
            <w:gridSpan w:val="2"/>
            <w:noWrap w:val="0"/>
            <w:tcMar>
              <w:top w:w="120" w:type="dxa"/>
              <w:left w:w="120" w:type="dxa"/>
              <w:bottom w:w="120" w:type="dxa"/>
              <w:right w:w="120" w:type="dxa"/>
            </w:tcMar>
            <w:vAlign w:val="center"/>
          </w:tcPr>
          <w:p w14:paraId="35655051">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1. 维修记录不及时、不完整、错误，每处扣 2 分</w:t>
            </w:r>
          </w:p>
          <w:p w14:paraId="5BCB539B">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2. 质保期内推诿返修、不履行承诺，1 次扣 4 分</w:t>
            </w:r>
          </w:p>
          <w:p w14:paraId="6875D0DB">
            <w:pPr>
              <w:keepNext w:val="0"/>
              <w:keepLines w:val="0"/>
              <w:widowControl/>
              <w:suppressLineNumbers w:val="0"/>
              <w:ind w:left="0" w:firstLine="0"/>
              <w:jc w:val="left"/>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3. 未完成巡检、培训等服务，每项扣 3 分</w:t>
            </w:r>
          </w:p>
        </w:tc>
        <w:tc>
          <w:tcPr>
            <w:tcW w:w="836" w:type="dxa"/>
            <w:noWrap w:val="0"/>
            <w:tcMar>
              <w:top w:w="120" w:type="dxa"/>
              <w:left w:w="120" w:type="dxa"/>
              <w:bottom w:w="120" w:type="dxa"/>
              <w:right w:w="120" w:type="dxa"/>
            </w:tcMar>
            <w:vAlign w:val="center"/>
          </w:tcPr>
          <w:p w14:paraId="3D1F7F4F">
            <w:pPr>
              <w:jc w:val="left"/>
              <w:rPr>
                <w:rFonts w:hint="eastAsia" w:ascii="宋体" w:hAnsi="宋体" w:eastAsia="宋体" w:cs="宋体"/>
                <w:caps w:val="0"/>
                <w:color w:val="auto"/>
                <w:spacing w:val="0"/>
                <w:sz w:val="22"/>
                <w:szCs w:val="22"/>
                <w:highlight w:val="none"/>
              </w:rPr>
            </w:pPr>
          </w:p>
        </w:tc>
        <w:tc>
          <w:tcPr>
            <w:tcW w:w="1310" w:type="dxa"/>
            <w:noWrap w:val="0"/>
            <w:tcMar>
              <w:top w:w="120" w:type="dxa"/>
              <w:left w:w="120" w:type="dxa"/>
              <w:bottom w:w="120" w:type="dxa"/>
              <w:right w:w="120" w:type="dxa"/>
            </w:tcMar>
            <w:vAlign w:val="center"/>
          </w:tcPr>
          <w:p w14:paraId="27002846">
            <w:pPr>
              <w:jc w:val="left"/>
              <w:rPr>
                <w:rFonts w:hint="eastAsia" w:ascii="宋体" w:hAnsi="宋体" w:eastAsia="宋体" w:cs="宋体"/>
                <w:caps w:val="0"/>
                <w:color w:val="auto"/>
                <w:spacing w:val="0"/>
                <w:sz w:val="22"/>
                <w:szCs w:val="22"/>
                <w:highlight w:val="none"/>
              </w:rPr>
            </w:pPr>
          </w:p>
        </w:tc>
      </w:tr>
      <w:tr w14:paraId="0BFA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6" w:hRule="atLeast"/>
          <w:jc w:val="center"/>
        </w:trPr>
        <w:tc>
          <w:tcPr>
            <w:tcW w:w="0" w:type="auto"/>
            <w:noWrap w:val="0"/>
            <w:tcMar>
              <w:top w:w="120" w:type="dxa"/>
              <w:left w:w="120" w:type="dxa"/>
              <w:bottom w:w="120" w:type="dxa"/>
              <w:right w:w="120" w:type="dxa"/>
            </w:tcMar>
            <w:vAlign w:val="center"/>
          </w:tcPr>
          <w:p w14:paraId="2777E044">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6</w:t>
            </w:r>
          </w:p>
        </w:tc>
        <w:tc>
          <w:tcPr>
            <w:tcW w:w="948" w:type="dxa"/>
            <w:noWrap w:val="0"/>
            <w:tcMar>
              <w:top w:w="120" w:type="dxa"/>
              <w:left w:w="120" w:type="dxa"/>
              <w:bottom w:w="120" w:type="dxa"/>
              <w:right w:w="120" w:type="dxa"/>
            </w:tcMar>
            <w:vAlign w:val="center"/>
          </w:tcPr>
          <w:p w14:paraId="3C3E21CE">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服务商信誉</w:t>
            </w:r>
          </w:p>
        </w:tc>
        <w:tc>
          <w:tcPr>
            <w:tcW w:w="851" w:type="dxa"/>
            <w:noWrap w:val="0"/>
            <w:tcMar>
              <w:top w:w="120" w:type="dxa"/>
              <w:left w:w="120" w:type="dxa"/>
              <w:bottom w:w="120" w:type="dxa"/>
              <w:right w:w="120" w:type="dxa"/>
            </w:tcMar>
            <w:vAlign w:val="center"/>
          </w:tcPr>
          <w:p w14:paraId="19BA19FF">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5 分</w:t>
            </w:r>
          </w:p>
        </w:tc>
        <w:tc>
          <w:tcPr>
            <w:tcW w:w="5020" w:type="dxa"/>
            <w:gridSpan w:val="2"/>
            <w:noWrap w:val="0"/>
            <w:tcMar>
              <w:top w:w="120" w:type="dxa"/>
              <w:left w:w="120" w:type="dxa"/>
              <w:bottom w:w="120" w:type="dxa"/>
              <w:right w:w="120" w:type="dxa"/>
            </w:tcMar>
            <w:vAlign w:val="center"/>
          </w:tcPr>
          <w:p w14:paraId="04E0EA39">
            <w:pPr>
              <w:keepNext w:val="0"/>
              <w:keepLines w:val="0"/>
              <w:widowControl/>
              <w:suppressLineNumbers w:val="0"/>
              <w:ind w:left="0" w:firstLine="0"/>
              <w:jc w:val="left"/>
              <w:rPr>
                <w:rFonts w:hint="eastAsia" w:ascii="宋体" w:hAnsi="宋体" w:eastAsia="宋体" w:cs="宋体"/>
                <w:caps w:val="0"/>
                <w:color w:val="auto"/>
                <w:spacing w:val="0"/>
                <w:kern w:val="0"/>
                <w:sz w:val="22"/>
                <w:szCs w:val="22"/>
                <w:highlight w:val="none"/>
                <w:lang w:val="en-US" w:eastAsia="zh-CN" w:bidi="ar"/>
              </w:rPr>
            </w:pPr>
            <w:r>
              <w:rPr>
                <w:rFonts w:hint="eastAsia" w:ascii="宋体" w:hAnsi="宋体" w:eastAsia="宋体" w:cs="宋体"/>
                <w:caps w:val="0"/>
                <w:color w:val="auto"/>
                <w:spacing w:val="0"/>
                <w:kern w:val="0"/>
                <w:sz w:val="22"/>
                <w:szCs w:val="22"/>
                <w:highlight w:val="none"/>
                <w:lang w:val="en-US" w:eastAsia="zh-CN" w:bidi="ar"/>
              </w:rPr>
              <w:t>1. 被医院书面警告一次，扣 3 分</w:t>
            </w:r>
          </w:p>
          <w:p w14:paraId="48F4AF41">
            <w:pPr>
              <w:keepNext w:val="0"/>
              <w:keepLines w:val="0"/>
              <w:widowControl/>
              <w:suppressLineNumbers w:val="0"/>
              <w:ind w:left="0" w:firstLine="0"/>
              <w:jc w:val="left"/>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2. 擅自变更主体 / 联系人未报备，扣 2 分</w:t>
            </w:r>
          </w:p>
        </w:tc>
        <w:tc>
          <w:tcPr>
            <w:tcW w:w="836" w:type="dxa"/>
            <w:noWrap w:val="0"/>
            <w:tcMar>
              <w:top w:w="120" w:type="dxa"/>
              <w:left w:w="120" w:type="dxa"/>
              <w:bottom w:w="120" w:type="dxa"/>
              <w:right w:w="120" w:type="dxa"/>
            </w:tcMar>
            <w:vAlign w:val="center"/>
          </w:tcPr>
          <w:p w14:paraId="450A32D5">
            <w:pPr>
              <w:jc w:val="left"/>
              <w:rPr>
                <w:rFonts w:hint="eastAsia" w:ascii="宋体" w:hAnsi="宋体" w:eastAsia="宋体" w:cs="宋体"/>
                <w:caps w:val="0"/>
                <w:color w:val="auto"/>
                <w:spacing w:val="0"/>
                <w:sz w:val="22"/>
                <w:szCs w:val="22"/>
                <w:highlight w:val="none"/>
              </w:rPr>
            </w:pPr>
          </w:p>
        </w:tc>
        <w:tc>
          <w:tcPr>
            <w:tcW w:w="1310" w:type="dxa"/>
            <w:noWrap w:val="0"/>
            <w:tcMar>
              <w:top w:w="120" w:type="dxa"/>
              <w:left w:w="120" w:type="dxa"/>
              <w:bottom w:w="120" w:type="dxa"/>
              <w:right w:w="120" w:type="dxa"/>
            </w:tcMar>
            <w:vAlign w:val="center"/>
          </w:tcPr>
          <w:p w14:paraId="25C26993">
            <w:pPr>
              <w:jc w:val="left"/>
              <w:rPr>
                <w:rFonts w:hint="eastAsia" w:ascii="宋体" w:hAnsi="宋体" w:eastAsia="宋体" w:cs="宋体"/>
                <w:caps w:val="0"/>
                <w:color w:val="auto"/>
                <w:spacing w:val="0"/>
                <w:sz w:val="22"/>
                <w:szCs w:val="22"/>
                <w:highlight w:val="none"/>
              </w:rPr>
            </w:pPr>
          </w:p>
        </w:tc>
      </w:tr>
      <w:tr w14:paraId="5FAC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79" w:hRule="atLeast"/>
          <w:jc w:val="center"/>
        </w:trPr>
        <w:tc>
          <w:tcPr>
            <w:tcW w:w="0" w:type="auto"/>
            <w:noWrap w:val="0"/>
            <w:tcMar>
              <w:top w:w="120" w:type="dxa"/>
              <w:left w:w="120" w:type="dxa"/>
              <w:bottom w:w="120" w:type="dxa"/>
              <w:right w:w="120" w:type="dxa"/>
            </w:tcMar>
            <w:vAlign w:val="center"/>
          </w:tcPr>
          <w:p w14:paraId="10228F21">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w:t>
            </w:r>
          </w:p>
        </w:tc>
        <w:tc>
          <w:tcPr>
            <w:tcW w:w="948" w:type="dxa"/>
            <w:noWrap w:val="0"/>
            <w:tcMar>
              <w:top w:w="120" w:type="dxa"/>
              <w:left w:w="120" w:type="dxa"/>
              <w:bottom w:w="120" w:type="dxa"/>
              <w:right w:w="120" w:type="dxa"/>
            </w:tcMar>
            <w:vAlign w:val="center"/>
          </w:tcPr>
          <w:p w14:paraId="4FD7F8DE">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合计</w:t>
            </w:r>
          </w:p>
        </w:tc>
        <w:tc>
          <w:tcPr>
            <w:tcW w:w="851" w:type="dxa"/>
            <w:noWrap w:val="0"/>
            <w:tcMar>
              <w:top w:w="120" w:type="dxa"/>
              <w:left w:w="120" w:type="dxa"/>
              <w:bottom w:w="120" w:type="dxa"/>
              <w:right w:w="120" w:type="dxa"/>
            </w:tcMar>
            <w:vAlign w:val="center"/>
          </w:tcPr>
          <w:p w14:paraId="7D720394">
            <w:pPr>
              <w:keepNext w:val="0"/>
              <w:keepLines w:val="0"/>
              <w:widowControl/>
              <w:suppressLineNumbers w:val="0"/>
              <w:ind w:left="0" w:firstLine="0"/>
              <w:jc w:val="center"/>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100 分</w:t>
            </w:r>
          </w:p>
        </w:tc>
        <w:tc>
          <w:tcPr>
            <w:tcW w:w="5020" w:type="dxa"/>
            <w:gridSpan w:val="2"/>
            <w:noWrap w:val="0"/>
            <w:tcMar>
              <w:top w:w="120" w:type="dxa"/>
              <w:left w:w="120" w:type="dxa"/>
              <w:bottom w:w="120" w:type="dxa"/>
              <w:right w:w="120" w:type="dxa"/>
            </w:tcMar>
            <w:vAlign w:val="center"/>
          </w:tcPr>
          <w:p w14:paraId="1EC6ABE6">
            <w:pPr>
              <w:keepNext w:val="0"/>
              <w:keepLines w:val="0"/>
              <w:widowControl/>
              <w:suppressLineNumbers w:val="0"/>
              <w:ind w:left="0" w:firstLine="0"/>
              <w:jc w:val="left"/>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kern w:val="0"/>
                <w:sz w:val="22"/>
                <w:szCs w:val="22"/>
                <w:highlight w:val="none"/>
                <w:lang w:val="en-US" w:eastAsia="zh-CN" w:bidi="ar"/>
              </w:rPr>
              <w:t>—</w:t>
            </w:r>
          </w:p>
        </w:tc>
        <w:tc>
          <w:tcPr>
            <w:tcW w:w="836" w:type="dxa"/>
            <w:noWrap w:val="0"/>
            <w:tcMar>
              <w:top w:w="120" w:type="dxa"/>
              <w:left w:w="120" w:type="dxa"/>
              <w:bottom w:w="120" w:type="dxa"/>
              <w:right w:w="120" w:type="dxa"/>
            </w:tcMar>
            <w:vAlign w:val="center"/>
          </w:tcPr>
          <w:p w14:paraId="0D0D399C">
            <w:pPr>
              <w:jc w:val="left"/>
              <w:rPr>
                <w:rFonts w:hint="eastAsia" w:ascii="宋体" w:hAnsi="宋体" w:eastAsia="宋体" w:cs="宋体"/>
                <w:caps w:val="0"/>
                <w:color w:val="auto"/>
                <w:spacing w:val="0"/>
                <w:sz w:val="22"/>
                <w:szCs w:val="22"/>
                <w:highlight w:val="none"/>
              </w:rPr>
            </w:pPr>
          </w:p>
        </w:tc>
        <w:tc>
          <w:tcPr>
            <w:tcW w:w="1310" w:type="dxa"/>
            <w:noWrap w:val="0"/>
            <w:tcMar>
              <w:top w:w="120" w:type="dxa"/>
              <w:left w:w="120" w:type="dxa"/>
              <w:bottom w:w="120" w:type="dxa"/>
              <w:right w:w="120" w:type="dxa"/>
            </w:tcMar>
            <w:vAlign w:val="center"/>
          </w:tcPr>
          <w:p w14:paraId="085B38CB">
            <w:pPr>
              <w:jc w:val="left"/>
              <w:rPr>
                <w:rFonts w:hint="eastAsia" w:ascii="宋体" w:hAnsi="宋体" w:eastAsia="宋体" w:cs="宋体"/>
                <w:caps w:val="0"/>
                <w:color w:val="auto"/>
                <w:spacing w:val="0"/>
                <w:sz w:val="22"/>
                <w:szCs w:val="22"/>
                <w:highlight w:val="none"/>
              </w:rPr>
            </w:pPr>
          </w:p>
        </w:tc>
      </w:tr>
      <w:tr w14:paraId="1EB7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18" w:hRule="atLeast"/>
          <w:jc w:val="center"/>
        </w:trPr>
        <w:tc>
          <w:tcPr>
            <w:tcW w:w="4965" w:type="dxa"/>
            <w:gridSpan w:val="4"/>
            <w:noWrap w:val="0"/>
            <w:tcMar>
              <w:top w:w="120" w:type="dxa"/>
              <w:left w:w="120" w:type="dxa"/>
              <w:bottom w:w="120" w:type="dxa"/>
              <w:right w:w="120" w:type="dxa"/>
            </w:tcMar>
            <w:vAlign w:val="center"/>
          </w:tcPr>
          <w:p w14:paraId="09199857">
            <w:pPr>
              <w:jc w:val="left"/>
              <w:rPr>
                <w:rFonts w:hint="eastAsia" w:ascii="宋体" w:hAnsi="宋体" w:eastAsia="宋体" w:cs="宋体"/>
                <w:caps w:val="0"/>
                <w:color w:val="auto"/>
                <w:spacing w:val="0"/>
                <w:sz w:val="22"/>
                <w:szCs w:val="22"/>
                <w:highlight w:val="none"/>
                <w:lang w:val="en-US" w:eastAsia="zh-CN"/>
              </w:rPr>
            </w:pPr>
            <w:r>
              <w:rPr>
                <w:rFonts w:hint="eastAsia" w:ascii="宋体" w:hAnsi="宋体" w:eastAsia="宋体" w:cs="宋体"/>
                <w:caps w:val="0"/>
                <w:color w:val="auto"/>
                <w:spacing w:val="0"/>
                <w:sz w:val="22"/>
                <w:szCs w:val="22"/>
                <w:highlight w:val="none"/>
                <w:lang w:val="en-US" w:eastAsia="zh-CN"/>
              </w:rPr>
              <w:t>成交供应商意见：</w:t>
            </w:r>
          </w:p>
          <w:p w14:paraId="625C594A">
            <w:pPr>
              <w:pStyle w:val="43"/>
              <w:ind w:firstLine="2752" w:firstLineChars="1251"/>
              <w:rPr>
                <w:rFonts w:hint="eastAsia" w:ascii="宋体" w:hAnsi="宋体" w:eastAsia="宋体" w:cs="宋体"/>
                <w:color w:val="auto"/>
                <w:sz w:val="22"/>
                <w:szCs w:val="22"/>
                <w:highlight w:val="none"/>
                <w:lang w:val="en-US" w:eastAsia="zh-CN"/>
              </w:rPr>
            </w:pPr>
            <w:r>
              <w:rPr>
                <w:rFonts w:hint="eastAsia" w:ascii="宋体" w:hAnsi="宋体" w:eastAsia="宋体" w:cs="宋体"/>
                <w:caps w:val="0"/>
                <w:color w:val="auto"/>
                <w:spacing w:val="0"/>
                <w:sz w:val="22"/>
                <w:szCs w:val="22"/>
                <w:highlight w:val="none"/>
                <w:lang w:val="en-US" w:eastAsia="zh-CN"/>
              </w:rPr>
              <w:t xml:space="preserve">年  月  日  </w:t>
            </w:r>
          </w:p>
        </w:tc>
        <w:tc>
          <w:tcPr>
            <w:tcW w:w="4681" w:type="dxa"/>
            <w:gridSpan w:val="3"/>
            <w:noWrap w:val="0"/>
            <w:tcMar>
              <w:top w:w="120" w:type="dxa"/>
              <w:left w:w="120" w:type="dxa"/>
              <w:bottom w:w="120" w:type="dxa"/>
              <w:right w:w="120" w:type="dxa"/>
            </w:tcMar>
            <w:vAlign w:val="center"/>
          </w:tcPr>
          <w:p w14:paraId="34A0C7E0">
            <w:pPr>
              <w:jc w:val="left"/>
              <w:rPr>
                <w:rFonts w:hint="eastAsia" w:ascii="宋体" w:hAnsi="宋体" w:eastAsia="宋体" w:cs="宋体"/>
                <w:caps w:val="0"/>
                <w:color w:val="auto"/>
                <w:spacing w:val="0"/>
                <w:sz w:val="22"/>
                <w:szCs w:val="22"/>
                <w:highlight w:val="none"/>
                <w:lang w:val="en-US" w:eastAsia="zh-CN"/>
              </w:rPr>
            </w:pPr>
            <w:r>
              <w:rPr>
                <w:rFonts w:hint="eastAsia" w:ascii="宋体" w:hAnsi="宋体" w:eastAsia="宋体" w:cs="宋体"/>
                <w:caps w:val="0"/>
                <w:color w:val="auto"/>
                <w:spacing w:val="0"/>
                <w:sz w:val="22"/>
                <w:szCs w:val="22"/>
                <w:highlight w:val="none"/>
                <w:lang w:val="en-US" w:eastAsia="zh-CN"/>
              </w:rPr>
              <w:t>采购人意见：</w:t>
            </w:r>
          </w:p>
          <w:p w14:paraId="291BABC6">
            <w:pPr>
              <w:ind w:firstLine="2200" w:firstLineChars="1000"/>
              <w:jc w:val="left"/>
              <w:rPr>
                <w:rFonts w:hint="eastAsia" w:ascii="宋体" w:hAnsi="宋体" w:eastAsia="宋体" w:cs="宋体"/>
                <w:caps w:val="0"/>
                <w:color w:val="auto"/>
                <w:spacing w:val="0"/>
                <w:sz w:val="22"/>
                <w:szCs w:val="22"/>
                <w:highlight w:val="none"/>
              </w:rPr>
            </w:pPr>
            <w:r>
              <w:rPr>
                <w:rFonts w:hint="eastAsia" w:ascii="宋体" w:hAnsi="宋体" w:eastAsia="宋体" w:cs="宋体"/>
                <w:caps w:val="0"/>
                <w:color w:val="auto"/>
                <w:spacing w:val="0"/>
                <w:sz w:val="22"/>
                <w:szCs w:val="22"/>
                <w:highlight w:val="none"/>
                <w:lang w:val="en-US" w:eastAsia="zh-CN"/>
              </w:rPr>
              <w:t xml:space="preserve">年  月  日  </w:t>
            </w:r>
          </w:p>
        </w:tc>
      </w:tr>
    </w:tbl>
    <w:p w14:paraId="331E6DD3">
      <w:pPr>
        <w:keepNext w:val="0"/>
        <w:keepLines w:val="0"/>
        <w:pageBreakBefore w:val="0"/>
        <w:widowControl w:val="0"/>
        <w:tabs>
          <w:tab w:val="left" w:pos="599"/>
        </w:tabs>
        <w:kinsoku/>
        <w:wordWrap/>
        <w:overflowPunct/>
        <w:topLinePunct w:val="0"/>
        <w:autoSpaceDE/>
        <w:autoSpaceDN/>
        <w:bidi w:val="0"/>
        <w:adjustRightInd/>
        <w:snapToGrid/>
        <w:spacing w:line="500" w:lineRule="exact"/>
        <w:ind w:firstLine="720" w:firstLineChars="200"/>
        <w:textAlignment w:val="auto"/>
        <w:rPr>
          <w:rFonts w:ascii="宋体" w:hAnsi="宋体"/>
          <w:color w:val="auto"/>
          <w:sz w:val="36"/>
          <w:szCs w:val="36"/>
          <w:highlight w:val="none"/>
        </w:rPr>
      </w:pPr>
    </w:p>
    <w:p w14:paraId="472E271D">
      <w:pPr>
        <w:keepNext w:val="0"/>
        <w:keepLines w:val="0"/>
        <w:pageBreakBefore w:val="0"/>
        <w:widowControl w:val="0"/>
        <w:tabs>
          <w:tab w:val="left" w:pos="599"/>
        </w:tabs>
        <w:kinsoku/>
        <w:wordWrap/>
        <w:overflowPunct/>
        <w:topLinePunct w:val="0"/>
        <w:autoSpaceDE/>
        <w:autoSpaceDN/>
        <w:bidi w:val="0"/>
        <w:adjustRightInd/>
        <w:snapToGrid/>
        <w:spacing w:line="500" w:lineRule="exact"/>
        <w:ind w:firstLine="720" w:firstLineChars="200"/>
        <w:textAlignment w:val="auto"/>
        <w:rPr>
          <w:rFonts w:ascii="宋体" w:hAnsi="宋体"/>
          <w:color w:val="auto"/>
          <w:sz w:val="36"/>
          <w:szCs w:val="36"/>
          <w:highlight w:val="none"/>
        </w:rPr>
      </w:pPr>
    </w:p>
    <w:p w14:paraId="6DFC5E67">
      <w:pPr>
        <w:keepNext w:val="0"/>
        <w:keepLines w:val="0"/>
        <w:pageBreakBefore w:val="0"/>
        <w:widowControl w:val="0"/>
        <w:tabs>
          <w:tab w:val="left" w:pos="599"/>
        </w:tabs>
        <w:kinsoku/>
        <w:wordWrap/>
        <w:overflowPunct/>
        <w:topLinePunct w:val="0"/>
        <w:autoSpaceDE/>
        <w:autoSpaceDN/>
        <w:bidi w:val="0"/>
        <w:adjustRightInd/>
        <w:snapToGrid/>
        <w:spacing w:line="500" w:lineRule="exact"/>
        <w:ind w:firstLine="723" w:firstLineChars="200"/>
        <w:textAlignment w:val="auto"/>
        <w:rPr>
          <w:rFonts w:hint="eastAsia" w:ascii="宋体" w:hAnsi="宋体"/>
          <w:b/>
          <w:bCs/>
          <w:color w:val="auto"/>
          <w:sz w:val="36"/>
          <w:szCs w:val="36"/>
          <w:highlight w:val="none"/>
        </w:rPr>
      </w:pPr>
      <w:r>
        <w:rPr>
          <w:rFonts w:ascii="宋体" w:hAnsi="宋体"/>
          <w:b/>
          <w:bCs/>
          <w:color w:val="auto"/>
          <w:sz w:val="36"/>
          <w:szCs w:val="36"/>
          <w:highlight w:val="none"/>
        </w:rPr>
        <w:t>附件</w:t>
      </w:r>
      <w:r>
        <w:rPr>
          <w:rFonts w:hint="eastAsia" w:ascii="宋体" w:hAnsi="宋体"/>
          <w:b/>
          <w:bCs/>
          <w:color w:val="auto"/>
          <w:sz w:val="36"/>
          <w:szCs w:val="36"/>
          <w:highlight w:val="none"/>
        </w:rPr>
        <w:t>1</w:t>
      </w:r>
      <w:r>
        <w:rPr>
          <w:rFonts w:ascii="宋体" w:hAnsi="宋体"/>
          <w:b/>
          <w:bCs/>
          <w:color w:val="auto"/>
          <w:sz w:val="36"/>
          <w:szCs w:val="36"/>
          <w:highlight w:val="none"/>
        </w:rPr>
        <w:t>：</w:t>
      </w:r>
      <w:r>
        <w:rPr>
          <w:rFonts w:hint="eastAsia" w:ascii="宋体" w:hAnsi="宋体"/>
          <w:b/>
          <w:bCs/>
          <w:color w:val="auto"/>
          <w:sz w:val="36"/>
          <w:szCs w:val="36"/>
          <w:highlight w:val="none"/>
        </w:rPr>
        <w:t>钦州市第二人民医院</w:t>
      </w:r>
      <w:r>
        <w:rPr>
          <w:rFonts w:hint="eastAsia" w:ascii="宋体" w:hAnsi="宋体"/>
          <w:b/>
          <w:bCs/>
          <w:color w:val="auto"/>
          <w:sz w:val="36"/>
          <w:szCs w:val="36"/>
          <w:highlight w:val="none"/>
          <w:lang w:eastAsia="zh-CN"/>
        </w:rPr>
        <w:t>打印机</w:t>
      </w:r>
      <w:r>
        <w:rPr>
          <w:rFonts w:hint="eastAsia" w:ascii="宋体" w:hAnsi="宋体"/>
          <w:b/>
          <w:bCs/>
          <w:color w:val="auto"/>
          <w:sz w:val="36"/>
          <w:szCs w:val="36"/>
          <w:highlight w:val="none"/>
        </w:rPr>
        <w:t>耗材清单</w:t>
      </w:r>
    </w:p>
    <w:p w14:paraId="32500D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color w:val="auto"/>
          <w:kern w:val="0"/>
          <w:sz w:val="22"/>
          <w:szCs w:val="22"/>
          <w:highlight w:val="none"/>
          <w:u w:val="none"/>
          <w:lang w:eastAsia="zh-CN" w:bidi="ar"/>
        </w:rPr>
      </w:pPr>
      <w:r>
        <w:rPr>
          <w:rFonts w:hint="eastAsia" w:ascii="宋体" w:hAnsi="宋体" w:cs="宋体"/>
          <w:b/>
          <w:bCs/>
          <w:color w:val="auto"/>
          <w:kern w:val="0"/>
          <w:sz w:val="22"/>
          <w:szCs w:val="22"/>
          <w:highlight w:val="none"/>
          <w:u w:val="none"/>
          <w:lang w:eastAsia="zh-CN" w:bidi="ar"/>
        </w:rPr>
        <w:t>注:表中的货物为院内已有设备所需的配件名称，成交供应商应按下列要求提供适配的产品。</w:t>
      </w:r>
    </w:p>
    <w:tbl>
      <w:tblPr>
        <w:tblStyle w:val="34"/>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2"/>
        <w:gridCol w:w="1305"/>
        <w:gridCol w:w="3105"/>
        <w:gridCol w:w="2235"/>
        <w:gridCol w:w="915"/>
        <w:gridCol w:w="945"/>
      </w:tblGrid>
      <w:tr w14:paraId="5A587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814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C18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打印机耗材（激光打印机硒鼓类）</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E9A7">
            <w:pPr>
              <w:jc w:val="center"/>
              <w:rPr>
                <w:rFonts w:hint="eastAsia" w:ascii="宋体" w:hAnsi="宋体" w:eastAsia="宋体" w:cs="宋体"/>
                <w:i w:val="0"/>
                <w:iCs w:val="0"/>
                <w:color w:val="auto"/>
                <w:sz w:val="22"/>
                <w:szCs w:val="22"/>
                <w:highlight w:val="none"/>
                <w:u w:val="none"/>
              </w:rPr>
            </w:pPr>
          </w:p>
        </w:tc>
      </w:tr>
      <w:tr w14:paraId="30FBD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5CF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7AD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货物名称</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451D">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打印机品牌型号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139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参考耗材型号</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79BA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743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cs="宋体"/>
                <w:b/>
                <w:bCs/>
                <w:i w:val="0"/>
                <w:iCs w:val="0"/>
                <w:color w:val="auto"/>
                <w:kern w:val="0"/>
                <w:sz w:val="22"/>
                <w:szCs w:val="22"/>
                <w:highlight w:val="none"/>
                <w:u w:val="none"/>
                <w:lang w:val="en-US" w:eastAsia="zh-CN" w:bidi="ar"/>
              </w:rPr>
              <w:t>单价限价</w:t>
            </w:r>
          </w:p>
        </w:tc>
      </w:tr>
      <w:tr w14:paraId="4D25B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7E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4DB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FE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三星101S碳粉 111s M2020 M2021</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FA4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101S</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4E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FD5EC">
            <w:pPr>
              <w:keepNext w:val="0"/>
              <w:keepLines w:val="0"/>
              <w:widowControl/>
              <w:suppressLineNumbers w:val="0"/>
              <w:jc w:val="center"/>
              <w:textAlignment w:val="bottom"/>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120</w:t>
            </w:r>
          </w:p>
        </w:tc>
      </w:tr>
      <w:tr w14:paraId="7B603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857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7F6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1F7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京瓷P2035d</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F0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京瓷TK-163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19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ED907E">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1C2C1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CB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360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91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彩色/京瓷5021CDN</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EE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京瓷TK-5233 5230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18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BF916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w:t>
            </w:r>
          </w:p>
        </w:tc>
      </w:tr>
      <w:tr w14:paraId="11138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28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7B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E0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LaserJet P1006/P1102/P1106</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CF6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HP12A硒鼓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16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8A73B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r>
      <w:tr w14:paraId="074BE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85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F7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63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LaserJet Pro P1106/P1108</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81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HP88A硒鼓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91C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199B65">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r>
      <w:tr w14:paraId="6D41E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5C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2B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E57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LaserJet P1505/P1606dn</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4B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HP28A 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BE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5023C4">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52AE9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0C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1A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61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兄弟MFC7340 7450 7480N DCP7030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09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TN2115硒鼓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1B5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F55E43">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110</w:t>
            </w:r>
          </w:p>
        </w:tc>
      </w:tr>
      <w:tr w14:paraId="2E561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8B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B73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B4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M132A、M132NW、M132FN、M132FP</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76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HP18A硒鼓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EB4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9497B">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r>
      <w:tr w14:paraId="3F899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CF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83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5F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 LaserJet P1100/P1102/P1102W</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AC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HP285A 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9B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F3276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1B3DD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52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82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D3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1160、1320、1320n、1320tn</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0F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Q5949A硒鼓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EC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936509">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315FB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C2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5F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3E5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CE260A CP4025ndn、CP4525ndn</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EC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HP260A硒鼓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D4F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84EA54">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230</w:t>
            </w:r>
          </w:p>
        </w:tc>
      </w:tr>
      <w:tr w14:paraId="1C24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32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7C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AA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CC388A、HP88A</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CF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126A硒鼓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09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09C4C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2296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51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94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B6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M251N、CP1210、CP1213、</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F3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CB540A 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8E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04C63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w:t>
            </w:r>
          </w:p>
        </w:tc>
      </w:tr>
      <w:tr w14:paraId="2D103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44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60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B1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M251N、CP1210、CP1213、</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FA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CB540A 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A3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295B13">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260</w:t>
            </w:r>
          </w:p>
        </w:tc>
      </w:tr>
      <w:tr w14:paraId="44D8C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EA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21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39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LaserJet 5200、5200TN、5200DTN、</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F96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HP16A硒鼓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C2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9AF592">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r>
      <w:tr w14:paraId="07B28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2C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99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FA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P2035、P2035N、P2055D、</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18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HP05A硒鼓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BC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C947C3">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260</w:t>
            </w:r>
          </w:p>
        </w:tc>
      </w:tr>
      <w:tr w14:paraId="6359D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06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31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16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LaserJet Enterprise M506n</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B8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HP647A硒鼓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76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779014">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280</w:t>
            </w:r>
          </w:p>
        </w:tc>
      </w:tr>
      <w:tr w14:paraId="565E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CA0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29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86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Color LaserJet Pro M255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27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CE225A硒鼓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39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BF03B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r>
      <w:tr w14:paraId="4A840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2E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4C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AE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P1005、P1006、P1100、P1102、P1102W</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D8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36A硒鼓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F2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B17AAB">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w:t>
            </w:r>
          </w:p>
        </w:tc>
      </w:tr>
      <w:tr w14:paraId="0638F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53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72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F1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联想LJ2200/LJ2200L/LJ2250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09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 LD1641硒鼓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D3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A451F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110</w:t>
            </w:r>
          </w:p>
        </w:tc>
      </w:tr>
      <w:tr w14:paraId="2DD90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777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7D3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0B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HPLaserMFP 178nw、179fnw、150nw</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8B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hp150a墨盒，黑色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36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EDD38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w:t>
            </w:r>
          </w:p>
        </w:tc>
      </w:tr>
      <w:tr w14:paraId="78803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88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21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47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三星ML-2165/2168系列</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610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三星MLT-D108S硒鼓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011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66E13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r>
      <w:tr w14:paraId="783CE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83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32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7D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LaserJet P3015、M521、M525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17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55A 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C7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15436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r>
      <w:tr w14:paraId="14C7D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FD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BB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D74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Color LaserJet Pro M454</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5F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416A 彩色硒鼓6000页</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62F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E6E49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260</w:t>
            </w:r>
          </w:p>
        </w:tc>
      </w:tr>
      <w:tr w14:paraId="49F63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B4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0B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16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Color LaserJet Pro M454</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E2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416A 黑色硒鼓7500页</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8B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FB1296">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w:t>
            </w:r>
          </w:p>
        </w:tc>
      </w:tr>
      <w:tr w14:paraId="3467A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6D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34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1C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HPM154A、M154nw、M180N、M181F、M181fw</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AE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204A 硒鼓（大容3500页）</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4E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26E4B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135</w:t>
            </w:r>
          </w:p>
        </w:tc>
      </w:tr>
      <w:tr w14:paraId="67103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A8E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71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22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LaserJet Pro M203</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273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30A 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41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7FBF1D">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r>
      <w:tr w14:paraId="0901E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3C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35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CC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佳能C700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25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C711/700彩色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96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7E966D">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w:t>
            </w:r>
          </w:p>
        </w:tc>
      </w:tr>
      <w:tr w14:paraId="52BC4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007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0B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48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佳能C700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62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C711/700黑色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E32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A654B">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700</w:t>
            </w:r>
          </w:p>
        </w:tc>
      </w:tr>
      <w:tr w14:paraId="5F9FE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CC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C0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6D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奔图M7109DW、M6709D、P3019DW、M7209FDW</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1D2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DL - 419</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6F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E4AE0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330</w:t>
            </w:r>
          </w:p>
        </w:tc>
      </w:tr>
      <w:tr w14:paraId="45C69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2A6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48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A6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兄弟原装DR-3450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ED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DR-3450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5B7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204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20238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6E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83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E5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佳能激光打印机MF643Cdw原装硒鼓</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446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CRG054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CF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43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390</w:t>
            </w:r>
          </w:p>
        </w:tc>
      </w:tr>
      <w:tr w14:paraId="39C08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7BF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B8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C3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打印机京瓷M4125更换硒鼓</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0E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MLT-111S</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25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0F3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1300</w:t>
            </w:r>
          </w:p>
        </w:tc>
      </w:tr>
      <w:tr w14:paraId="4FA1D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34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62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原装硒鼓架</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1A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兄弟多功能一体机tn-b020硒鼓架</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24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tn-b020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B5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ED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w:t>
            </w:r>
          </w:p>
        </w:tc>
      </w:tr>
      <w:tr w14:paraId="3EF6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72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74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4D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京瓷TK-8558黑色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379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FE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5D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w:t>
            </w:r>
          </w:p>
        </w:tc>
      </w:tr>
      <w:tr w14:paraId="7C643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D6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65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15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京瓷TK-8558红色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AB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E86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8DD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1350</w:t>
            </w:r>
          </w:p>
        </w:tc>
      </w:tr>
      <w:tr w14:paraId="10C00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CF2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A7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88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京瓷TK-8558黄色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A1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E3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0C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1350</w:t>
            </w:r>
          </w:p>
        </w:tc>
      </w:tr>
      <w:tr w14:paraId="5FA4B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B8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2B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BE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京瓷TK-8558青色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C9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56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2E1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1350</w:t>
            </w:r>
          </w:p>
        </w:tc>
      </w:tr>
      <w:tr w14:paraId="6DFDA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0F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BA2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7E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佳能MF643Cdw/CRG054/黑色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AEC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0F0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46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490</w:t>
            </w:r>
          </w:p>
        </w:tc>
      </w:tr>
      <w:tr w14:paraId="098C5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50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2E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15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佳能MF643Cdw/CRG054/红色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5E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1F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AD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490</w:t>
            </w:r>
          </w:p>
        </w:tc>
      </w:tr>
      <w:tr w14:paraId="07E8E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A4F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92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7FD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佳能MF643Cdw/CRG054/黄色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972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0F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F1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490</w:t>
            </w:r>
          </w:p>
        </w:tc>
      </w:tr>
      <w:tr w14:paraId="68E63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A2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AE9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81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佳能MF643Cdw/CRG054/青色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3E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D8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08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490</w:t>
            </w:r>
          </w:p>
        </w:tc>
      </w:tr>
      <w:tr w14:paraId="10F45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013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2D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EE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OPD打印墨盒领盛CF503/CRG-054X</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B6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领盛CF503/CRG-054X</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FD0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58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r>
      <w:tr w14:paraId="64065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5F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39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95C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master打印墨盒（格之格TN3435）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CE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格之格TN3435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8B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72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r>
      <w:tr w14:paraId="60ED2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D3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05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13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天威PR-CRG-054H</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42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天威PR-CRG-054H</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32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35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r>
      <w:tr w14:paraId="3BDDA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D4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352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0D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 imageFORCE C5150/黑色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66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17E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49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8000</w:t>
            </w:r>
          </w:p>
        </w:tc>
      </w:tr>
      <w:tr w14:paraId="5BD42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68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FC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EC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 imageFORCE C5150/红色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32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4B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92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8000</w:t>
            </w:r>
          </w:p>
        </w:tc>
      </w:tr>
      <w:tr w14:paraId="17738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6C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F1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1E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 imageFORCE C5150/黄色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5C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02F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69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8000</w:t>
            </w:r>
          </w:p>
        </w:tc>
      </w:tr>
      <w:tr w14:paraId="0A445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57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BF2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26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 imageFORCE C5150/青色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B1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06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322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8000</w:t>
            </w:r>
          </w:p>
        </w:tc>
      </w:tr>
      <w:tr w14:paraId="23658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1C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05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硒鼓套件</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1E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7180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5C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2525原装碳粉套件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66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0E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r>
      <w:tr w14:paraId="01B06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94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AC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硒鼓套件</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F0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MFC-7895DW</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7E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原装硒鼓套件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13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F614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460</w:t>
            </w:r>
          </w:p>
        </w:tc>
      </w:tr>
      <w:tr w14:paraId="29AFB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88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18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硒鼓套件</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25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M7400Pro</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24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LT2451、LD245原装硒鼓套件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3A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AAA1B2">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650</w:t>
            </w:r>
          </w:p>
        </w:tc>
      </w:tr>
      <w:tr w14:paraId="7D295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B7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5C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硒鼓套件</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7A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奔图M6700DW</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44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TO400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D3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53802">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460</w:t>
            </w:r>
          </w:p>
        </w:tc>
      </w:tr>
      <w:tr w14:paraId="1060C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81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D9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硒鼓套件</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81F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M4125/M4132</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B9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DK-6115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C2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EAA6D4">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950</w:t>
            </w:r>
          </w:p>
        </w:tc>
      </w:tr>
      <w:tr w14:paraId="077B7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CD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D9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89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OKI 650 硒鼓</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B9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原装黑色硒鼓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EA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81A109">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1500</w:t>
            </w:r>
          </w:p>
        </w:tc>
      </w:tr>
      <w:tr w14:paraId="1143A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07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1A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12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OKI 650 硒鼓</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04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原装红色硒鼓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7C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AA8082">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1220</w:t>
            </w:r>
          </w:p>
        </w:tc>
      </w:tr>
      <w:tr w14:paraId="68765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22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38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BE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OKI 650 硒鼓</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39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原装青色硒鼓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C1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DED49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1220</w:t>
            </w:r>
          </w:p>
        </w:tc>
      </w:tr>
      <w:tr w14:paraId="01F67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43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28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15A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OKI 650 硒鼓</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E1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原装黄色硒鼓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98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CC7FE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1220</w:t>
            </w:r>
          </w:p>
        </w:tc>
      </w:tr>
      <w:tr w14:paraId="2B566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E1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B53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62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CA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原装黑色硒鼓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85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7A14A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920</w:t>
            </w:r>
          </w:p>
        </w:tc>
      </w:tr>
      <w:tr w14:paraId="445ED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AC4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8B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01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31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原装红色硒鼓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77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A6C213">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1050</w:t>
            </w:r>
          </w:p>
        </w:tc>
      </w:tr>
      <w:tr w14:paraId="1F2E5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CA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23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BBD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1A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原装青色硒鼓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DF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29B912">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1050</w:t>
            </w:r>
          </w:p>
        </w:tc>
      </w:tr>
      <w:tr w14:paraId="3D693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557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00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267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39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原装黄色硒鼓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57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6B5065">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1050</w:t>
            </w:r>
          </w:p>
        </w:tc>
      </w:tr>
      <w:tr w14:paraId="0C983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30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60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78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MLT-d111s</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A9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40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77FBC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140</w:t>
            </w:r>
          </w:p>
        </w:tc>
      </w:tr>
      <w:tr w14:paraId="50F27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67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C6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硒鼓带芯片</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24B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1003A</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66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1003A</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C7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55E1DE">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13BC7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BCE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81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原装显影仓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20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东芝2610AC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37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黑色显影仓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8A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37DB86">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980</w:t>
            </w:r>
          </w:p>
        </w:tc>
      </w:tr>
      <w:tr w14:paraId="02607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DF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EB1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原装显影仓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4B1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东芝2610AC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D9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红色显影仓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20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9D7F8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1150</w:t>
            </w:r>
          </w:p>
        </w:tc>
      </w:tr>
      <w:tr w14:paraId="66820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4B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77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原装显影仓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322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东芝2610AC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28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蓝色显影仓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285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E7F45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1150</w:t>
            </w:r>
          </w:p>
        </w:tc>
      </w:tr>
      <w:tr w14:paraId="5415D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63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09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原装显影仓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73A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东芝2610AC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347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黄色显影仓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77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21B55D">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1150</w:t>
            </w:r>
          </w:p>
        </w:tc>
      </w:tr>
      <w:tr w14:paraId="33112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814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B3D8">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4E0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r>
      <w:tr w14:paraId="4DBCF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E4BE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6EC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货物名称</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E86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参考打印机品牌型号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AE82">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参考耗材型号</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404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B61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单价限价</w:t>
            </w:r>
          </w:p>
        </w:tc>
      </w:tr>
      <w:tr w14:paraId="40331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94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C3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0C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59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联想LT2451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BE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E7D73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395</w:t>
            </w:r>
          </w:p>
        </w:tc>
      </w:tr>
      <w:tr w14:paraId="725FF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FF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BA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6B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7A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京瓷TK-1173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CF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DB174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1000</w:t>
            </w:r>
          </w:p>
        </w:tc>
      </w:tr>
      <w:tr w14:paraId="5D12A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F3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31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A8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B4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HP104A</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11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BCFAF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500</w:t>
            </w:r>
          </w:p>
        </w:tc>
      </w:tr>
      <w:tr w14:paraId="1F78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FF9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74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D4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5A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惠普126A黑色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8B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3EC01D">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520</w:t>
            </w:r>
          </w:p>
        </w:tc>
      </w:tr>
      <w:tr w14:paraId="0E82E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AB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95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42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431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联想LJ2000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EB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687C6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w:t>
            </w:r>
          </w:p>
        </w:tc>
      </w:tr>
      <w:tr w14:paraId="6C7A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0F4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D8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0AA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D0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惠普130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85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54FE83">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240</w:t>
            </w:r>
          </w:p>
        </w:tc>
      </w:tr>
      <w:tr w14:paraId="51B0A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DB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440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6E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AD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联想2441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E29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760E4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w:t>
            </w:r>
          </w:p>
        </w:tc>
      </w:tr>
      <w:tr w14:paraId="69330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A8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92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A7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80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HP2025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D71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60AAE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850</w:t>
            </w:r>
          </w:p>
        </w:tc>
      </w:tr>
      <w:tr w14:paraId="07BEC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79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8F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48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A7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联想2241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39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C3503D">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w:t>
            </w:r>
          </w:p>
        </w:tc>
      </w:tr>
      <w:tr w14:paraId="6BAC0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668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04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55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94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京瓷TK-163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7B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A498D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w:t>
            </w:r>
          </w:p>
        </w:tc>
      </w:tr>
      <w:tr w14:paraId="64D73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B3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0F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F3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02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2200/7450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41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F3E27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r>
      <w:tr w14:paraId="5EE9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38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CD4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D1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F2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2605/2655/2455/7655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8F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24720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w:t>
            </w:r>
          </w:p>
        </w:tc>
      </w:tr>
      <w:tr w14:paraId="46281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18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2E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23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12D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M403/M427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1F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0316E">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900</w:t>
            </w:r>
          </w:p>
        </w:tc>
      </w:tr>
      <w:tr w14:paraId="625BD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FA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A6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B2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E9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TN-2325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F58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885AF3">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r>
      <w:tr w14:paraId="2F5F7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BA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B5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B7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8F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TK-583（彩色）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81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C705A9">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0516C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5A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DDE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CE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A5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TK-583（黑色）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07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6ABE5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700</w:t>
            </w:r>
          </w:p>
        </w:tc>
      </w:tr>
      <w:tr w14:paraId="0D14A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5C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578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1D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联想、兄弟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0E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2441/2400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67B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A01C9D">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w:t>
            </w:r>
          </w:p>
        </w:tc>
      </w:tr>
      <w:tr w14:paraId="5DE53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70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25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FE0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联想、兄弟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C5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6025/6525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70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88A61E">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530</w:t>
            </w:r>
          </w:p>
        </w:tc>
      </w:tr>
      <w:tr w14:paraId="528E2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31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B2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DB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兄弟7530/7700/7720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9D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TN-B020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782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A307A9">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125</w:t>
            </w:r>
          </w:p>
        </w:tc>
      </w:tr>
      <w:tr w14:paraId="38C6D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0C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1A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36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联想、兄弟7530/7700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EC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TN_B020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5F5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A1E96B">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r>
      <w:tr w14:paraId="50833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F2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A7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9F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京瓷5253/5221</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C8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黑色5233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7D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8B342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w:t>
            </w:r>
          </w:p>
        </w:tc>
      </w:tr>
      <w:tr w14:paraId="10AA6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3C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6F6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彩色粉盒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56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兄弟9140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9C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TN281 TN285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6D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617FF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r>
      <w:tr w14:paraId="7A6A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2E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178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7B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B558/458</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2AA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TN515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6D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CC3BB6">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600</w:t>
            </w:r>
          </w:p>
        </w:tc>
      </w:tr>
      <w:tr w14:paraId="48A76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9A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2A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5E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联想2600/M7400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42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103A</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6A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51C496">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w:t>
            </w:r>
          </w:p>
        </w:tc>
      </w:tr>
      <w:tr w14:paraId="05CD8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42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0E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98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M4125/M4132</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AB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TK6118/TK6228</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07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9AD9C9">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590</w:t>
            </w:r>
          </w:p>
        </w:tc>
      </w:tr>
      <w:tr w14:paraId="6F83A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3F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EF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DC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B558/458</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6C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TN515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37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FDD536">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w:t>
            </w:r>
          </w:p>
        </w:tc>
      </w:tr>
      <w:tr w14:paraId="0AB7C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85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3F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C9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京瓷4125复印机</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1C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京瓷6118原装碳粉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19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支</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FDC86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580</w:t>
            </w:r>
          </w:p>
        </w:tc>
      </w:tr>
      <w:tr w14:paraId="7C0B8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1C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CB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63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TK-8558K</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4AA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D1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C86C7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1050</w:t>
            </w:r>
          </w:p>
        </w:tc>
      </w:tr>
      <w:tr w14:paraId="410EC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369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22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8B8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5521CDN</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D8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15F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9C37E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r>
      <w:tr w14:paraId="4C2D1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60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DB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1B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Bizhub C450i/红黄青</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A4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AA5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D7883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820</w:t>
            </w:r>
          </w:p>
        </w:tc>
      </w:tr>
      <w:tr w14:paraId="1860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B1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7F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35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Bizhub C450i/黑</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43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05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A7FE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700</w:t>
            </w:r>
          </w:p>
        </w:tc>
      </w:tr>
      <w:tr w14:paraId="5411A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A8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3776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3C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7180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64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CE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D9211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w:t>
            </w:r>
          </w:p>
        </w:tc>
      </w:tr>
      <w:tr w14:paraId="3ECAB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1D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9F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F9D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MFC-7895DW</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04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DBB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E3933E">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w:t>
            </w:r>
          </w:p>
        </w:tc>
      </w:tr>
      <w:tr w14:paraId="4D782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B1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AF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D1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奔图M6700DW/m7100/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414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01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4F5685">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w:t>
            </w:r>
          </w:p>
        </w:tc>
      </w:tr>
      <w:tr w14:paraId="766F1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6A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40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AF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M7400Pro</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A88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40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532D3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380</w:t>
            </w:r>
          </w:p>
        </w:tc>
      </w:tr>
      <w:tr w14:paraId="4E733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32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306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DE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M4125/M4132</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7E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9C1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C3BB22">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590</w:t>
            </w:r>
          </w:p>
        </w:tc>
      </w:tr>
      <w:tr w14:paraId="3AC2E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56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E5E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93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OKI 650 硒鼓</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F4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原装黑色粉盒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A2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AC466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520</w:t>
            </w:r>
          </w:p>
        </w:tc>
      </w:tr>
      <w:tr w14:paraId="385C8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BA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EA5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B4A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OKI 650 硒鼓</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16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原装红色粉盒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50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50854B">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1100</w:t>
            </w:r>
          </w:p>
        </w:tc>
      </w:tr>
      <w:tr w14:paraId="2EB34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70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45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7A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OKI 650 硒鼓</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8F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原装青色粉盒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7B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638E1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1100</w:t>
            </w:r>
          </w:p>
        </w:tc>
      </w:tr>
      <w:tr w14:paraId="5BEF2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E1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886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A8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OKI 650 硒鼓</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30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原装黄色粉盒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D5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AE2DA6">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1100</w:t>
            </w:r>
          </w:p>
        </w:tc>
      </w:tr>
      <w:tr w14:paraId="08414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F9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F9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97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09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原装黑色粉盒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21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469D8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620</w:t>
            </w:r>
          </w:p>
        </w:tc>
      </w:tr>
      <w:tr w14:paraId="1A59D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DBB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554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04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64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原装红色粉盒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60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B8BA5B">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74B46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78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C1B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6E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72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原装青色粉盒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DE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A9A81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6C513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8C8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CF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C05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2610AC</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39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原装黄色粉盒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C8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532C25">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60EEF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6E5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11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DD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三星MLT-d111s</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67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BD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47890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5FA02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B28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988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26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适用奔图CP2510DN/奔图CTL-350K粉盒</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5A9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1A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4F75F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69D88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CD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1D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66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适用奔图CP2510DN/奔图CTL-350C\Y\M粉盒</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3F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AD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ACE30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3F7A2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BA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D3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43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京瓷TK-8558黑色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A0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0A7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7C0AD5">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1050</w:t>
            </w:r>
          </w:p>
        </w:tc>
      </w:tr>
      <w:tr w14:paraId="6D700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CA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84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25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京瓷TK-8558红色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83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46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1A59D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1250</w:t>
            </w:r>
          </w:p>
        </w:tc>
      </w:tr>
      <w:tr w14:paraId="60DE9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EC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FE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B7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京瓷TK-8558黄色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64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60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1296A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1250</w:t>
            </w:r>
          </w:p>
        </w:tc>
      </w:tr>
      <w:tr w14:paraId="0225D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61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03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96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京瓷TK-8558青色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4D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6C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D57E4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1250</w:t>
            </w:r>
          </w:p>
        </w:tc>
      </w:tr>
      <w:tr w14:paraId="33A28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15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86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96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佳能MF643Cdw/CRG054/黑色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53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5D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9CB01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490</w:t>
            </w:r>
          </w:p>
        </w:tc>
      </w:tr>
      <w:tr w14:paraId="3A2B3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D1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82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44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佳能MF643Cdw/CRG054/红色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CF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C6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DD39D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490</w:t>
            </w:r>
          </w:p>
        </w:tc>
      </w:tr>
      <w:tr w14:paraId="3589F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238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76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9C0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佳能MF643Cdw/CRG054/黄色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AA6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F0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BB871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490</w:t>
            </w:r>
          </w:p>
        </w:tc>
      </w:tr>
      <w:tr w14:paraId="277A5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3A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CC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1B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佳能MF643Cdw/CRG054/青色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16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CF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13E66">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490</w:t>
            </w:r>
          </w:p>
        </w:tc>
      </w:tr>
      <w:tr w14:paraId="6520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BD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71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B7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 imageFORCE C5150/黑色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73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NPG-1001原装粉盒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498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17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1820</w:t>
            </w:r>
          </w:p>
        </w:tc>
      </w:tr>
      <w:tr w14:paraId="7FFF2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D7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2B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3A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 imageFORCE C5150/红色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C3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NPG-1001原装粉盒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16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192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2250</w:t>
            </w:r>
          </w:p>
        </w:tc>
      </w:tr>
      <w:tr w14:paraId="454C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AA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FE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FB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 imageFORCE C5150/黄色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B1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NPG-1001原装粉盒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75A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C1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2250</w:t>
            </w:r>
          </w:p>
        </w:tc>
      </w:tr>
      <w:tr w14:paraId="06306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84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76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C6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 imageFORCE C5150/青色</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11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NPG-1001原装粉盒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A3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BF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2250</w:t>
            </w:r>
          </w:p>
        </w:tc>
      </w:tr>
      <w:tr w14:paraId="108F7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80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02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加碳粉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BA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HP5200/5000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3E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惠普5200碳粉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1D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FE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130E3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708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9C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加碳粉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28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美能达</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46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 TN515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4A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D87EF5">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460</w:t>
            </w:r>
          </w:p>
        </w:tc>
      </w:tr>
      <w:tr w14:paraId="1103A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F7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46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加碳粉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7C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美能达</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94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美能达TN115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88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EAF994">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510</w:t>
            </w:r>
          </w:p>
        </w:tc>
      </w:tr>
      <w:tr w14:paraId="6B3D5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AF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90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加碳粉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38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美能达</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425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美能达TN414原装碳粉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D7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042DC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460</w:t>
            </w:r>
          </w:p>
        </w:tc>
      </w:tr>
      <w:tr w14:paraId="7F5D3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07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3C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加碳粉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99A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惠普碳粉/1020/1010/佳能2900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78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12A</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5E3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1D152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r>
      <w:tr w14:paraId="3CFF4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81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CB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加碳粉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53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联想碳粉/M7400/2605/兄弟2240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44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联想碳粉/M7400/2605/兄弟2240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56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3AEC8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r>
      <w:tr w14:paraId="7DEB3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57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7A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加碳粉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52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HP1025/M176/177丽彩士黑色碳粉</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2C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HP1025/M176/177丽彩士黑色碳粉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883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51E4F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r>
      <w:tr w14:paraId="2607A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26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BE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加碳粉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16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美能达TN414</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26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美能达TN414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4D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14E6B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r>
      <w:tr w14:paraId="2B9E7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7D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EBA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90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理光</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6C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6054原装碳粉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1E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8E545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900</w:t>
            </w:r>
          </w:p>
        </w:tc>
      </w:tr>
      <w:tr w14:paraId="58B03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C86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68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B7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兄弟DCP-7190DW</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79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兄弟TN-2425原装碳粉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46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AEE23E">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r>
      <w:tr w14:paraId="78147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5B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4C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65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京瓷6525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9F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TK-5233黑色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1B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8BADA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340</w:t>
            </w:r>
          </w:p>
        </w:tc>
      </w:tr>
      <w:tr w14:paraId="16B40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36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20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43B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京瓷6525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F0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TK-5233红色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89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2F4224">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380</w:t>
            </w:r>
          </w:p>
        </w:tc>
      </w:tr>
      <w:tr w14:paraId="6BE8F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26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C1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56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京瓷6525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55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TK-5233黄色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A21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C6723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380</w:t>
            </w:r>
          </w:p>
        </w:tc>
      </w:tr>
      <w:tr w14:paraId="0FA82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28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1F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21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京瓷6525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83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TK-5233青色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1D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05FEC3">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380</w:t>
            </w:r>
          </w:p>
        </w:tc>
      </w:tr>
      <w:tr w14:paraId="09185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D0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CE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E0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兄弟9140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92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TN-281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A6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D9A22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460</w:t>
            </w:r>
          </w:p>
        </w:tc>
      </w:tr>
      <w:tr w14:paraId="5324A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52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C3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104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奔图CP2510/CM7115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95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奔图CTL-350K 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16D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823F8E">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2782C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6D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E7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16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奔图CP2510/CM7115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998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奔图CTL-350C</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42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515D0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79E67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0C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FE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3B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奔图CP2510/CM7115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92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奔图CTL-350M</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B31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3C2A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47736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51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52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原装粉盒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88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奔图CP2510/CM7115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E2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奔图CTL-350Y</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63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5FD259">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r>
      <w:tr w14:paraId="0C111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A6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DB8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2F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奔图CP2510/CM7115</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F3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奔图PD-206原装硒鼓</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04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C6AC04">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260</w:t>
            </w:r>
          </w:p>
        </w:tc>
      </w:tr>
      <w:tr w14:paraId="72E5A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F40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A0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14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佳能C5850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09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NPG-83墨粉黑色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1E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B1983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1800</w:t>
            </w:r>
          </w:p>
        </w:tc>
      </w:tr>
      <w:tr w14:paraId="16AC8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C3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01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原装碳粉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14D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佳能C5850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30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NPG-83墨粉（品红/黄/青）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73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F54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2000</w:t>
            </w:r>
          </w:p>
        </w:tc>
      </w:tr>
      <w:tr w14:paraId="78B7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32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64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硒鼓</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B6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佳能C5850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2E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NPG-83感光鼓（黑/品红/黄/青）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08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8F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9000</w:t>
            </w:r>
          </w:p>
        </w:tc>
      </w:tr>
      <w:tr w14:paraId="65795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814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6DA8">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ADD2">
            <w:pPr>
              <w:jc w:val="center"/>
              <w:rPr>
                <w:rFonts w:hint="eastAsia" w:ascii="宋体" w:hAnsi="宋体" w:eastAsia="宋体" w:cs="宋体"/>
                <w:i w:val="0"/>
                <w:iCs w:val="0"/>
                <w:color w:val="auto"/>
                <w:sz w:val="22"/>
                <w:szCs w:val="22"/>
                <w:highlight w:val="none"/>
                <w:u w:val="none"/>
              </w:rPr>
            </w:pPr>
          </w:p>
        </w:tc>
      </w:tr>
      <w:tr w14:paraId="09ACD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D825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E43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货物名称</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549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参考打印机品牌型号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E02D">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参考耗材型号</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41A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E968">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0"/>
                <w:sz w:val="22"/>
                <w:szCs w:val="22"/>
                <w:highlight w:val="none"/>
                <w:u w:val="none"/>
                <w:lang w:val="en-US" w:eastAsia="zh-CN" w:bidi="ar"/>
              </w:rPr>
              <w:t>单价限价</w:t>
            </w:r>
          </w:p>
        </w:tc>
      </w:tr>
      <w:tr w14:paraId="5D3AD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396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A9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2D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85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835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46B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BD41D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190</w:t>
            </w:r>
          </w:p>
        </w:tc>
      </w:tr>
      <w:tr w14:paraId="7A94A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85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8C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62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2C2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L801墨水</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1E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D0AC09">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54A14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16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6A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C7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HP951</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13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HP8100彩色墨盒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C3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8D432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w:t>
            </w:r>
          </w:p>
        </w:tc>
      </w:tr>
      <w:tr w14:paraId="0A3C5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F5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4F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61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80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845墨盒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31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45902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165</w:t>
            </w:r>
          </w:p>
        </w:tc>
      </w:tr>
      <w:tr w14:paraId="23E40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2D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5A8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BE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HP951XL</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E5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HP8100彩色墨盒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76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E5CAB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400</w:t>
            </w:r>
          </w:p>
        </w:tc>
      </w:tr>
      <w:tr w14:paraId="07918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146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AD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A8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佳能、惠普</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27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 黑845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98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95586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188</w:t>
            </w:r>
          </w:p>
        </w:tc>
      </w:tr>
      <w:tr w14:paraId="0C748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EC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0C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65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佳能、惠普</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19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 黑803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3B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0AF7F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r>
      <w:tr w14:paraId="2CE4A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3C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2C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2CC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A3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T7073黑色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9F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778C1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r>
      <w:tr w14:paraId="781B8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5F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2F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AB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E1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T7073彩色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E9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062DF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r>
      <w:tr w14:paraId="1973D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6D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BB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4B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DC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T085黑色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2B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E77F0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85</w:t>
            </w:r>
          </w:p>
        </w:tc>
      </w:tr>
      <w:tr w14:paraId="26D33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1C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C7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E9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98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T085彩色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DB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57DFF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85</w:t>
            </w:r>
          </w:p>
        </w:tc>
      </w:tr>
      <w:tr w14:paraId="0FBC9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AB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9D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D3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FDD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T109黑色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A2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A9168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r>
      <w:tr w14:paraId="53EB9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4B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F2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EB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348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T109彩色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20E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C6020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110</w:t>
            </w:r>
          </w:p>
        </w:tc>
      </w:tr>
      <w:tr w14:paraId="1EFE7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21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0B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83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爱普生L301/101/310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04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T672四色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62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F10CA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w:t>
            </w:r>
          </w:p>
        </w:tc>
      </w:tr>
      <w:tr w14:paraId="5B1EF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BA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57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FB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EF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831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1D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E08CE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140</w:t>
            </w:r>
          </w:p>
        </w:tc>
      </w:tr>
      <w:tr w14:paraId="6DBEA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51E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4E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DB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B4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815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44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ECA19">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r>
      <w:tr w14:paraId="4D023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03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42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CF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95B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816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76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65F5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140</w:t>
            </w:r>
          </w:p>
        </w:tc>
      </w:tr>
      <w:tr w14:paraId="3F43B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F3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29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152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F83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840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E2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0805F6">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r>
      <w:tr w14:paraId="32895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1E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0B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F1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27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841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F91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6FD04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r>
      <w:tr w14:paraId="78743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98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79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3E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OPD专用标签打印机</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3A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天威PR-CRG 054G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A2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05178C">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w:t>
            </w:r>
          </w:p>
        </w:tc>
      </w:tr>
      <w:tr w14:paraId="5159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95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BF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6F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兄弟TN-283系列打印机</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5F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天威PR-BRO TN283G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CB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4A8C3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w:t>
            </w:r>
          </w:p>
        </w:tc>
      </w:tr>
      <w:tr w14:paraId="2C7D1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C4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B7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63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4F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805黑色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52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8A96B3">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110</w:t>
            </w:r>
          </w:p>
        </w:tc>
      </w:tr>
      <w:tr w14:paraId="61B5A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63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7F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F2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06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HP 805彩色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EFC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B1935D">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r>
      <w:tr w14:paraId="4BEFF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E9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749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0B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67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G1800彩色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08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59F199">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2B5CF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D6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E3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原装墨盒</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E0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94A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G1800黑色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2A5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00711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2763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90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DC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89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43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原装黑色002/004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CED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7F51B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53C57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47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83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C8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4D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彩色002/004</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1F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270A8E">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1192C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C1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77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2E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5C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原装黑色845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39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B35D3F">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190</w:t>
            </w:r>
          </w:p>
        </w:tc>
      </w:tr>
      <w:tr w14:paraId="44AD6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353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AF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3B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佳能</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0F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原装彩色846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E0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BD2EA9">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190</w:t>
            </w:r>
          </w:p>
        </w:tc>
      </w:tr>
      <w:tr w14:paraId="6C8EF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55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76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71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E8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惠普678型黑色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36A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0A16FA">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140</w:t>
            </w:r>
          </w:p>
        </w:tc>
      </w:tr>
      <w:tr w14:paraId="597B0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10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B5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68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BC1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惠普678型红色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18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D76BC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145</w:t>
            </w:r>
          </w:p>
        </w:tc>
      </w:tr>
      <w:tr w14:paraId="5A0F3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56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B5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0E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FC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86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C17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r>
      <w:tr w14:paraId="13028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9A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A5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989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DC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E8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C9A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r>
      <w:tr w14:paraId="3F2C4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C2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29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20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FF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DC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F5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08F1B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85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D9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A5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DF4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41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11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85</w:t>
            </w:r>
          </w:p>
        </w:tc>
      </w:tr>
      <w:tr w14:paraId="5FE4E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18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37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0F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48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674黑色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F9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62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3EA7E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8F0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DF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EF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EC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674彩色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75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25F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5035A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B30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92F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904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89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774黑色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F7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28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3CDE2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2F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6B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1AB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20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774彩色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3E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12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7BFE0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D3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38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6F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08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056黑</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8A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5E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160</w:t>
            </w:r>
          </w:p>
        </w:tc>
      </w:tr>
      <w:tr w14:paraId="28D43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F71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A8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26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爱普生/淡青，青，淡洋红，洋红，黄</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482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056彩色</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6DE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5B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160</w:t>
            </w:r>
          </w:p>
        </w:tc>
      </w:tr>
      <w:tr w14:paraId="7F7CC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6F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82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原装色带</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09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爱普生LQ20K</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B6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色带</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90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124CC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r>
      <w:tr w14:paraId="5EC98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B0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56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7F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爱普生T8591</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66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M105/M205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3B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88B64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140</w:t>
            </w:r>
          </w:p>
        </w:tc>
      </w:tr>
      <w:tr w14:paraId="51D00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986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41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原装墨水</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6FB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爱普生L8058</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276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6A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061EC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160</w:t>
            </w:r>
          </w:p>
        </w:tc>
      </w:tr>
      <w:tr w14:paraId="68191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814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C3DC">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3F6F">
            <w:pPr>
              <w:jc w:val="center"/>
              <w:rPr>
                <w:rFonts w:hint="eastAsia" w:ascii="宋体" w:hAnsi="宋体" w:eastAsia="宋体" w:cs="宋体"/>
                <w:i w:val="0"/>
                <w:iCs w:val="0"/>
                <w:color w:val="auto"/>
                <w:sz w:val="22"/>
                <w:szCs w:val="22"/>
                <w:highlight w:val="none"/>
                <w:u w:val="none"/>
              </w:rPr>
            </w:pPr>
          </w:p>
        </w:tc>
      </w:tr>
      <w:tr w14:paraId="542FF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814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80F1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电脑配件、打印纸及其他</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19FC">
            <w:pPr>
              <w:jc w:val="center"/>
              <w:rPr>
                <w:rFonts w:hint="eastAsia" w:ascii="宋体" w:hAnsi="宋体" w:eastAsia="宋体" w:cs="宋体"/>
                <w:i w:val="0"/>
                <w:iCs w:val="0"/>
                <w:color w:val="auto"/>
                <w:sz w:val="22"/>
                <w:szCs w:val="22"/>
                <w:highlight w:val="none"/>
                <w:u w:val="none"/>
              </w:rPr>
            </w:pPr>
          </w:p>
        </w:tc>
      </w:tr>
      <w:tr w14:paraId="14394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CDA2">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E65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货物名称</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DFA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参考打印机品牌型号</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EDD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参考耗材型号</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6D99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BA3A">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highlight w:val="none"/>
                <w:u w:val="none"/>
                <w:lang w:val="en-US" w:eastAsia="zh-CN" w:bidi="ar-SA"/>
              </w:rPr>
            </w:pPr>
            <w:r>
              <w:rPr>
                <w:rFonts w:hint="eastAsia" w:ascii="宋体" w:hAnsi="宋体" w:cs="宋体"/>
                <w:b/>
                <w:bCs/>
                <w:i w:val="0"/>
                <w:iCs w:val="0"/>
                <w:color w:val="auto"/>
                <w:kern w:val="0"/>
                <w:sz w:val="22"/>
                <w:szCs w:val="22"/>
                <w:highlight w:val="none"/>
                <w:u w:val="none"/>
                <w:lang w:val="en-US" w:eastAsia="zh-CN" w:bidi="ar"/>
              </w:rPr>
              <w:t>单价限价</w:t>
            </w:r>
          </w:p>
        </w:tc>
      </w:tr>
      <w:tr w14:paraId="3B5DB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A2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32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键鼠套件</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8F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双飞燕</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FF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U+U套件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580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A13AE5">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w:t>
            </w:r>
          </w:p>
        </w:tc>
      </w:tr>
      <w:tr w14:paraId="4162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4F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9E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键盘</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BE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双飞燕</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F8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USB口键盘</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97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8061FD">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r>
      <w:tr w14:paraId="23415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27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5B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鼠标</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D1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双飞燕</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FF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USB口鼠标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F0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77E957">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r>
      <w:tr w14:paraId="3D9AB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BD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CC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U盘</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6B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金士顿</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4C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32GU盘</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2D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B0B35E">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r>
      <w:tr w14:paraId="4C148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4D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53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U盘</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A6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金士顿</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D78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64GU盘</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85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9E32D1">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75</w:t>
            </w:r>
          </w:p>
        </w:tc>
      </w:tr>
      <w:tr w14:paraId="1A46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E2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AD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热敏纸</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5F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80*50*13</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F5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80*50*13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FDC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F277E0">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r>
      <w:tr w14:paraId="2857B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D5F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F62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热敏纸</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BE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50MM*50MM*45MM</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6A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50MM*50MM*45MM</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53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2CC78E">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r>
      <w:tr w14:paraId="12566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EA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DA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热敏纸</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B3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50mm*20mm</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40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50mm*20mm</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E1F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A347E8">
            <w:pPr>
              <w:keepNext w:val="0"/>
              <w:keepLines w:val="0"/>
              <w:widowControl/>
              <w:suppressLineNumbers w:val="0"/>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r>
      <w:tr w14:paraId="0E722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9D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3B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热敏纸标签纸</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91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80*40*1000/80*40*1000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23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80*40*1000/80*40*1000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49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3D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r>
      <w:tr w14:paraId="79217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FF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D6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热敏纸标签纸</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77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60*50*1000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D3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60*50*1000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E1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ED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13.5</w:t>
            </w:r>
          </w:p>
        </w:tc>
      </w:tr>
      <w:tr w14:paraId="6D824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68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8A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PHILIPS专用打印纸(热敏)</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20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75mmX20m</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10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75mmX20m</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06F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B2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r>
      <w:tr w14:paraId="74BCB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09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B6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热敏纸</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46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除颤仪专用打印纸50mmX40m</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78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50mmX40m</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3B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3B2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r>
      <w:tr w14:paraId="4DE9E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7B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84A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热敏纸</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54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热敏纸标签纸60*50*1000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B23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60*50*1000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9B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80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13.5</w:t>
            </w:r>
          </w:p>
        </w:tc>
      </w:tr>
      <w:tr w14:paraId="35CF0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911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A6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热敏条码打印纸</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45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50*30*1000/50*30*1000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43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50*30*1000/50*30*1000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37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31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7.5</w:t>
            </w:r>
          </w:p>
        </w:tc>
      </w:tr>
      <w:tr w14:paraId="1F5D3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90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C1C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热敏纸</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2B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57×50</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819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57×50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2B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D2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r>
      <w:tr w14:paraId="7AB74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C2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C7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碳带</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9D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打印机碳带</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CB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110mm×70M</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5E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A8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r>
    </w:tbl>
    <w:p w14:paraId="70D80911">
      <w:pPr>
        <w:keepNext w:val="0"/>
        <w:keepLines w:val="0"/>
        <w:pageBreakBefore w:val="0"/>
        <w:widowControl w:val="0"/>
        <w:tabs>
          <w:tab w:val="left" w:pos="599"/>
        </w:tabs>
        <w:kinsoku/>
        <w:wordWrap/>
        <w:overflowPunct/>
        <w:topLinePunct w:val="0"/>
        <w:autoSpaceDE/>
        <w:autoSpaceDN/>
        <w:bidi w:val="0"/>
        <w:adjustRightInd/>
        <w:snapToGrid/>
        <w:spacing w:line="500" w:lineRule="exact"/>
        <w:ind w:firstLine="720" w:firstLineChars="200"/>
        <w:textAlignment w:val="auto"/>
        <w:rPr>
          <w:rFonts w:hint="eastAsia" w:ascii="宋体" w:hAnsi="宋体"/>
          <w:color w:val="auto"/>
          <w:sz w:val="36"/>
          <w:szCs w:val="36"/>
          <w:highlight w:val="none"/>
        </w:rPr>
      </w:pPr>
    </w:p>
    <w:p w14:paraId="6378D985">
      <w:pPr>
        <w:spacing w:line="428" w:lineRule="exact"/>
        <w:rPr>
          <w:rFonts w:hint="eastAsia" w:ascii="微软雅黑" w:hAnsi="微软雅黑" w:eastAsia="微软雅黑" w:cs="微软雅黑"/>
          <w:color w:val="auto"/>
          <w:sz w:val="32"/>
          <w:szCs w:val="32"/>
          <w:highlight w:val="none"/>
        </w:rPr>
      </w:pPr>
    </w:p>
    <w:p w14:paraId="01DD4CEE">
      <w:pPr>
        <w:spacing w:line="428" w:lineRule="exact"/>
        <w:rPr>
          <w:rFonts w:hint="eastAsia" w:ascii="微软雅黑" w:hAnsi="微软雅黑" w:eastAsia="微软雅黑" w:cs="微软雅黑"/>
          <w:color w:val="auto"/>
          <w:sz w:val="32"/>
          <w:szCs w:val="32"/>
          <w:highlight w:val="none"/>
        </w:rPr>
      </w:pPr>
    </w:p>
    <w:p w14:paraId="45E50A40">
      <w:pPr>
        <w:spacing w:line="428" w:lineRule="exact"/>
        <w:rPr>
          <w:rFonts w:hint="eastAsia" w:ascii="微软雅黑" w:hAnsi="微软雅黑" w:eastAsia="微软雅黑" w:cs="微软雅黑"/>
          <w:color w:val="auto"/>
          <w:sz w:val="32"/>
          <w:szCs w:val="32"/>
          <w:highlight w:val="none"/>
        </w:rPr>
      </w:pPr>
    </w:p>
    <w:p w14:paraId="2655BB65">
      <w:pPr>
        <w:spacing w:line="428" w:lineRule="exact"/>
        <w:rPr>
          <w:rFonts w:hint="eastAsia" w:ascii="微软雅黑" w:hAnsi="微软雅黑" w:eastAsia="微软雅黑" w:cs="微软雅黑"/>
          <w:color w:val="auto"/>
          <w:sz w:val="32"/>
          <w:szCs w:val="32"/>
          <w:highlight w:val="none"/>
        </w:rPr>
      </w:pPr>
    </w:p>
    <w:p w14:paraId="73E1D85E">
      <w:pPr>
        <w:spacing w:line="428" w:lineRule="exact"/>
        <w:rPr>
          <w:rFonts w:hint="eastAsia" w:ascii="微软雅黑" w:hAnsi="微软雅黑" w:eastAsia="微软雅黑" w:cs="微软雅黑"/>
          <w:color w:val="auto"/>
          <w:sz w:val="32"/>
          <w:szCs w:val="32"/>
          <w:highlight w:val="none"/>
        </w:rPr>
      </w:pPr>
    </w:p>
    <w:p w14:paraId="769C7EE9">
      <w:pPr>
        <w:spacing w:line="428" w:lineRule="exact"/>
        <w:rPr>
          <w:rFonts w:hint="eastAsia" w:ascii="微软雅黑" w:hAnsi="微软雅黑" w:eastAsia="微软雅黑" w:cs="微软雅黑"/>
          <w:color w:val="auto"/>
          <w:sz w:val="32"/>
          <w:szCs w:val="32"/>
          <w:highlight w:val="none"/>
        </w:rPr>
      </w:pPr>
    </w:p>
    <w:p w14:paraId="1FA11FD8">
      <w:pPr>
        <w:spacing w:line="428" w:lineRule="exact"/>
        <w:rPr>
          <w:rFonts w:hint="eastAsia" w:ascii="微软雅黑" w:hAnsi="微软雅黑" w:eastAsia="微软雅黑" w:cs="微软雅黑"/>
          <w:color w:val="auto"/>
          <w:sz w:val="32"/>
          <w:szCs w:val="32"/>
          <w:highlight w:val="none"/>
        </w:rPr>
      </w:pPr>
    </w:p>
    <w:p w14:paraId="5F0A6524">
      <w:pPr>
        <w:spacing w:line="428" w:lineRule="exact"/>
        <w:rPr>
          <w:rFonts w:hint="eastAsia" w:ascii="微软雅黑" w:hAnsi="微软雅黑" w:eastAsia="微软雅黑" w:cs="微软雅黑"/>
          <w:color w:val="auto"/>
          <w:sz w:val="32"/>
          <w:szCs w:val="32"/>
          <w:highlight w:val="none"/>
        </w:rPr>
      </w:pPr>
    </w:p>
    <w:p w14:paraId="14CC7A6E">
      <w:pPr>
        <w:spacing w:line="428" w:lineRule="exact"/>
        <w:rPr>
          <w:rFonts w:hint="eastAsia" w:ascii="微软雅黑" w:hAnsi="微软雅黑" w:eastAsia="微软雅黑" w:cs="微软雅黑"/>
          <w:color w:val="auto"/>
          <w:sz w:val="32"/>
          <w:szCs w:val="32"/>
          <w:highlight w:val="none"/>
        </w:rPr>
      </w:pPr>
    </w:p>
    <w:p w14:paraId="61BBB488">
      <w:pPr>
        <w:spacing w:line="428" w:lineRule="exact"/>
        <w:rPr>
          <w:rFonts w:hint="eastAsia" w:ascii="微软雅黑" w:hAnsi="微软雅黑" w:eastAsia="微软雅黑" w:cs="微软雅黑"/>
          <w:color w:val="auto"/>
          <w:sz w:val="32"/>
          <w:szCs w:val="32"/>
          <w:highlight w:val="none"/>
        </w:rPr>
      </w:pPr>
    </w:p>
    <w:p w14:paraId="00C0EFC4">
      <w:pPr>
        <w:spacing w:line="428" w:lineRule="exact"/>
        <w:rPr>
          <w:rFonts w:hint="eastAsia" w:ascii="微软雅黑" w:hAnsi="微软雅黑" w:eastAsia="微软雅黑" w:cs="微软雅黑"/>
          <w:color w:val="auto"/>
          <w:sz w:val="32"/>
          <w:szCs w:val="32"/>
          <w:highlight w:val="none"/>
        </w:rPr>
      </w:pPr>
    </w:p>
    <w:p w14:paraId="4EE7AEF0">
      <w:pPr>
        <w:spacing w:line="428" w:lineRule="exact"/>
        <w:rPr>
          <w:rFonts w:hint="eastAsia" w:ascii="微软雅黑" w:hAnsi="微软雅黑" w:eastAsia="微软雅黑" w:cs="微软雅黑"/>
          <w:color w:val="auto"/>
          <w:sz w:val="32"/>
          <w:szCs w:val="32"/>
          <w:highlight w:val="none"/>
        </w:rPr>
      </w:pPr>
    </w:p>
    <w:p w14:paraId="23ABE57A">
      <w:pPr>
        <w:spacing w:line="428" w:lineRule="exact"/>
        <w:rPr>
          <w:rFonts w:hint="eastAsia" w:ascii="微软雅黑" w:hAnsi="微软雅黑" w:eastAsia="微软雅黑" w:cs="微软雅黑"/>
          <w:color w:val="auto"/>
          <w:sz w:val="32"/>
          <w:szCs w:val="32"/>
          <w:highlight w:val="none"/>
        </w:rPr>
      </w:pPr>
    </w:p>
    <w:p w14:paraId="158BD882">
      <w:pPr>
        <w:pStyle w:val="43"/>
        <w:rPr>
          <w:rFonts w:hint="eastAsia"/>
          <w:color w:val="auto"/>
          <w:highlight w:val="none"/>
        </w:rPr>
      </w:pPr>
    </w:p>
    <w:p w14:paraId="52E802B8">
      <w:pPr>
        <w:spacing w:line="428" w:lineRule="exact"/>
        <w:rPr>
          <w:rFonts w:hint="eastAsia" w:ascii="微软雅黑" w:hAnsi="微软雅黑" w:eastAsia="微软雅黑" w:cs="微软雅黑"/>
          <w:color w:val="auto"/>
          <w:sz w:val="32"/>
          <w:szCs w:val="32"/>
          <w:highlight w:val="none"/>
        </w:rPr>
      </w:pPr>
    </w:p>
    <w:p w14:paraId="541B93E1">
      <w:pPr>
        <w:spacing w:line="428" w:lineRule="exact"/>
        <w:rPr>
          <w:rFonts w:hint="eastAsia" w:ascii="微软雅黑" w:hAnsi="微软雅黑" w:eastAsia="微软雅黑" w:cs="微软雅黑"/>
          <w:color w:val="auto"/>
          <w:sz w:val="32"/>
          <w:szCs w:val="32"/>
          <w:highlight w:val="none"/>
        </w:rPr>
      </w:pPr>
    </w:p>
    <w:p w14:paraId="2394F260">
      <w:pPr>
        <w:spacing w:line="428" w:lineRule="exact"/>
        <w:rPr>
          <w:rFonts w:ascii="Arial Unicode MS" w:hAnsi="Arial Unicode MS" w:eastAsia="Arial Unicode MS" w:cs="Arial Unicode MS"/>
          <w:color w:val="auto"/>
          <w:sz w:val="17"/>
          <w:szCs w:val="17"/>
          <w:highlight w:val="none"/>
        </w:rPr>
      </w:pPr>
      <w:r>
        <w:rPr>
          <w:rFonts w:hint="eastAsia" w:ascii="微软雅黑" w:hAnsi="微软雅黑" w:eastAsia="微软雅黑" w:cs="微软雅黑"/>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2</w:t>
      </w:r>
      <w:r>
        <w:rPr>
          <w:rFonts w:hint="eastAsia" w:ascii="微软雅黑" w:hAnsi="微软雅黑" w:eastAsia="微软雅黑" w:cs="微软雅黑"/>
          <w:color w:val="auto"/>
          <w:sz w:val="32"/>
          <w:szCs w:val="32"/>
          <w:highlight w:val="none"/>
        </w:rPr>
        <w:t>：</w:t>
      </w:r>
    </w:p>
    <w:p w14:paraId="05B3B2B6">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34"/>
        <w:tblW w:w="9220" w:type="dxa"/>
        <w:tblInd w:w="93" w:type="dxa"/>
        <w:tblLayout w:type="autofit"/>
        <w:tblCellMar>
          <w:top w:w="0" w:type="dxa"/>
          <w:left w:w="108" w:type="dxa"/>
          <w:bottom w:w="0" w:type="dxa"/>
          <w:right w:w="108" w:type="dxa"/>
        </w:tblCellMar>
      </w:tblPr>
      <w:tblGrid>
        <w:gridCol w:w="660"/>
        <w:gridCol w:w="1116"/>
        <w:gridCol w:w="1516"/>
        <w:gridCol w:w="1620"/>
        <w:gridCol w:w="4540"/>
      </w:tblGrid>
      <w:tr w14:paraId="32F5B6D6">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tcPr>
          <w:p w14:paraId="4BACC9C8">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ign w:val="center"/>
          </w:tcPr>
          <w:p w14:paraId="211614DF">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ign w:val="center"/>
          </w:tcPr>
          <w:p w14:paraId="5A2CF967">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2D45300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0F5F18B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ign w:val="center"/>
          </w:tcPr>
          <w:p w14:paraId="2E07261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noWrap/>
            <w:vAlign w:val="center"/>
          </w:tcPr>
          <w:p w14:paraId="7F3E2E6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noWrap/>
            <w:vAlign w:val="center"/>
          </w:tcPr>
          <w:p w14:paraId="7EBEA4A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0291F5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308A7D4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23BE9A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3188B99">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437FBCC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noWrap/>
            <w:vAlign w:val="center"/>
          </w:tcPr>
          <w:p w14:paraId="693AD34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1718E7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DE163B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192058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867EA3F">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6CA9E70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noWrap/>
            <w:vAlign w:val="center"/>
          </w:tcPr>
          <w:p w14:paraId="1283003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818E1D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6655050B">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6ACEB0F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ign w:val="center"/>
          </w:tcPr>
          <w:p w14:paraId="6974E5C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55C8E8E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noWrap/>
            <w:vAlign w:val="center"/>
          </w:tcPr>
          <w:p w14:paraId="353790C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noWrap/>
            <w:vAlign w:val="center"/>
          </w:tcPr>
          <w:p w14:paraId="1F45DCE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4DF862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1F7153F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46EC25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D0D1326">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94600D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noWrap/>
            <w:vAlign w:val="center"/>
          </w:tcPr>
          <w:p w14:paraId="32B1208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053E7D6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2D54EBD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2332D6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BA3AF1C">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592ACB5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noWrap/>
            <w:vAlign w:val="center"/>
          </w:tcPr>
          <w:p w14:paraId="406D9C1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718A24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64B6F0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7DF8995">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3CED9F5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noWrap/>
            <w:vAlign w:val="center"/>
          </w:tcPr>
          <w:p w14:paraId="1575D21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noWrap/>
            <w:vAlign w:val="center"/>
          </w:tcPr>
          <w:p w14:paraId="5A000D0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2A761D60">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C3068E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3765483">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401104F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noWrap/>
            <w:vAlign w:val="center"/>
          </w:tcPr>
          <w:p w14:paraId="5812005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noWrap/>
            <w:vAlign w:val="center"/>
          </w:tcPr>
          <w:p w14:paraId="311277F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79771A9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5054E40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noWrap/>
            <w:vAlign w:val="center"/>
          </w:tcPr>
          <w:p w14:paraId="248E86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noWrap/>
            <w:vAlign w:val="center"/>
          </w:tcPr>
          <w:p w14:paraId="2DE1ABA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14BD723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90BE14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68938DA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1BB1D9F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noWrap/>
            <w:vAlign w:val="center"/>
          </w:tcPr>
          <w:p w14:paraId="1F57230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noWrap/>
            <w:vAlign w:val="center"/>
          </w:tcPr>
          <w:p w14:paraId="176542D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1FF7010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ECE36F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0ADCA0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65E91E7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noWrap/>
            <w:vAlign w:val="center"/>
          </w:tcPr>
          <w:p w14:paraId="10390A5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noWrap/>
            <w:vAlign w:val="center"/>
          </w:tcPr>
          <w:p w14:paraId="667032A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noWrap/>
            <w:vAlign w:val="center"/>
          </w:tcPr>
          <w:p w14:paraId="5AF1401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295D1F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3E2C735B">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64CD252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ign w:val="center"/>
          </w:tcPr>
          <w:p w14:paraId="4575E29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1AAF029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noWrap/>
            <w:vAlign w:val="center"/>
          </w:tcPr>
          <w:p w14:paraId="4474A44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noWrap/>
            <w:vAlign w:val="center"/>
          </w:tcPr>
          <w:p w14:paraId="0526188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19E9F1A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42891E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8421B9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1779547">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63D4B89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noWrap/>
            <w:vAlign w:val="center"/>
          </w:tcPr>
          <w:p w14:paraId="0853B48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2AA4F2B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41CB88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B04E33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F93447A">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F32D15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noWrap/>
            <w:vAlign w:val="center"/>
          </w:tcPr>
          <w:p w14:paraId="1B24DF2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0078AA5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796285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0903E7D">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7DCA91E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noWrap/>
            <w:vAlign w:val="center"/>
          </w:tcPr>
          <w:p w14:paraId="17B8C1A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ign w:val="center"/>
          </w:tcPr>
          <w:p w14:paraId="6C5B053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0AAC586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28359D3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4CCF29F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BC50AC3">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4878EF2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ign w:val="center"/>
          </w:tcPr>
          <w:p w14:paraId="54DE68D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3E7A71E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2BB7CA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7458882">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36FEA1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noWrap/>
            <w:vAlign w:val="center"/>
          </w:tcPr>
          <w:p w14:paraId="1C923FA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noWrap/>
            <w:vAlign w:val="center"/>
          </w:tcPr>
          <w:p w14:paraId="050A039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54D1629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B61D39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C1CE95D">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29FE0D6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noWrap/>
            <w:vAlign w:val="center"/>
          </w:tcPr>
          <w:p w14:paraId="37B800B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noWrap/>
            <w:vAlign w:val="center"/>
          </w:tcPr>
          <w:p w14:paraId="584211E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1B81ED4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67849F1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noWrap/>
            <w:vAlign w:val="center"/>
          </w:tcPr>
          <w:p w14:paraId="77CD90E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noWrap/>
            <w:vAlign w:val="center"/>
          </w:tcPr>
          <w:p w14:paraId="23C7472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7049926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24A906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20652F1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5A3CFEC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noWrap/>
            <w:vAlign w:val="center"/>
          </w:tcPr>
          <w:p w14:paraId="5BE562B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noWrap/>
            <w:vAlign w:val="center"/>
          </w:tcPr>
          <w:p w14:paraId="7C25950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noWrap/>
            <w:vAlign w:val="center"/>
          </w:tcPr>
          <w:p w14:paraId="3675597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60999C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184D155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7F59328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noWrap/>
            <w:vAlign w:val="center"/>
          </w:tcPr>
          <w:p w14:paraId="3E74E6A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noWrap/>
            <w:vAlign w:val="center"/>
          </w:tcPr>
          <w:p w14:paraId="501DA67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noWrap/>
            <w:vAlign w:val="center"/>
          </w:tcPr>
          <w:p w14:paraId="527B1C9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522184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167F01C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454D24C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ign w:val="center"/>
          </w:tcPr>
          <w:p w14:paraId="4DE8FB9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noWrap/>
            <w:vAlign w:val="center"/>
          </w:tcPr>
          <w:p w14:paraId="41DCCD7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noWrap/>
            <w:vAlign w:val="center"/>
          </w:tcPr>
          <w:p w14:paraId="647EF5C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ECE035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692647C5">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11396F8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5CF08432">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0F9F559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noWrap/>
            <w:vAlign w:val="center"/>
          </w:tcPr>
          <w:p w14:paraId="0030E4B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noWrap/>
            <w:vAlign w:val="center"/>
          </w:tcPr>
          <w:p w14:paraId="314B245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75A4FE56">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C39209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3B3DF8B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D5B31C4">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0AE19EE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noWrap/>
            <w:vAlign w:val="center"/>
          </w:tcPr>
          <w:p w14:paraId="29F35FF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2C08338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261A247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C29256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82B023E">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9B296C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ign w:val="center"/>
          </w:tcPr>
          <w:p w14:paraId="0A463D2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4A6D4FD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85CF15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387F825F">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2A14E74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noWrap/>
            <w:vAlign w:val="center"/>
          </w:tcPr>
          <w:p w14:paraId="57AFC0E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24C831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4851932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1E251E6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24E1F00">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3A652B3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noWrap/>
            <w:vAlign w:val="center"/>
          </w:tcPr>
          <w:p w14:paraId="4CEBA3A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noWrap/>
            <w:vAlign w:val="center"/>
          </w:tcPr>
          <w:p w14:paraId="28EC35F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7DFDF75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4434B99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2AC3F0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A12AE04">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51F3FB5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noWrap/>
            <w:vAlign w:val="center"/>
          </w:tcPr>
          <w:p w14:paraId="01640F3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2E38E33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E14C6A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5CA90A3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932F34B">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8A62E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noWrap/>
            <w:vAlign w:val="center"/>
          </w:tcPr>
          <w:p w14:paraId="69DE574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667D1EB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F3D730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17C497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CE4921A">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10F61AB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noWrap/>
            <w:vAlign w:val="center"/>
          </w:tcPr>
          <w:p w14:paraId="5C1EF2B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0F7CDB6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76EB234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noWrap/>
            <w:vAlign w:val="center"/>
          </w:tcPr>
          <w:p w14:paraId="3C40FF4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000000" w:sz="8" w:space="0"/>
              <w:right w:val="single" w:color="000000" w:sz="8" w:space="0"/>
            </w:tcBorders>
            <w:noWrap/>
            <w:vAlign w:val="center"/>
          </w:tcPr>
          <w:p w14:paraId="561A396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000000" w:sz="8" w:space="0"/>
              <w:right w:val="single" w:color="000000" w:sz="8" w:space="0"/>
            </w:tcBorders>
            <w:noWrap/>
            <w:vAlign w:val="center"/>
          </w:tcPr>
          <w:p w14:paraId="0EF7F51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D4C4E9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1EF57B4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24D370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A24F09B">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6C1F5B0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000000" w:sz="8" w:space="0"/>
              <w:right w:val="single" w:color="000000" w:sz="8" w:space="0"/>
            </w:tcBorders>
            <w:noWrap/>
            <w:vAlign w:val="center"/>
          </w:tcPr>
          <w:p w14:paraId="6B2B42A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40A116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22DF1DA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205C48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28B1056">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83A308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000000" w:sz="8" w:space="0"/>
              <w:right w:val="single" w:color="000000" w:sz="8" w:space="0"/>
            </w:tcBorders>
            <w:noWrap/>
            <w:vAlign w:val="center"/>
          </w:tcPr>
          <w:p w14:paraId="6460DFA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0B87A9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4E67372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52A0FC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D6E1F10">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80C2F4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000000" w:sz="8" w:space="0"/>
              <w:right w:val="single" w:color="000000" w:sz="8" w:space="0"/>
            </w:tcBorders>
            <w:noWrap/>
            <w:vAlign w:val="center"/>
          </w:tcPr>
          <w:p w14:paraId="3984F56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873AB4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77B60518">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ign w:val="center"/>
          </w:tcPr>
          <w:p w14:paraId="7C33767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000000" w:sz="8" w:space="0"/>
              <w:right w:val="single" w:color="000000" w:sz="8" w:space="0"/>
            </w:tcBorders>
            <w:noWrap/>
            <w:vAlign w:val="center"/>
          </w:tcPr>
          <w:p w14:paraId="2955934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000000" w:sz="8" w:space="0"/>
              <w:right w:val="single" w:color="000000" w:sz="8" w:space="0"/>
            </w:tcBorders>
            <w:noWrap/>
            <w:vAlign w:val="center"/>
          </w:tcPr>
          <w:p w14:paraId="3F3FC99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000000" w:sz="8" w:space="0"/>
              <w:right w:val="single" w:color="000000" w:sz="8" w:space="0"/>
            </w:tcBorders>
            <w:noWrap/>
            <w:vAlign w:val="center"/>
          </w:tcPr>
          <w:p w14:paraId="50BC8DD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4B0FCC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4132F06B">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ign w:val="center"/>
          </w:tcPr>
          <w:p w14:paraId="4EB109B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000000" w:sz="8" w:space="0"/>
              <w:right w:val="single" w:color="000000" w:sz="8" w:space="0"/>
            </w:tcBorders>
            <w:noWrap/>
            <w:vAlign w:val="center"/>
          </w:tcPr>
          <w:p w14:paraId="5EB5234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000000" w:sz="8" w:space="0"/>
              <w:right w:val="single" w:color="000000" w:sz="8" w:space="0"/>
            </w:tcBorders>
            <w:noWrap/>
            <w:vAlign w:val="center"/>
          </w:tcPr>
          <w:p w14:paraId="13530F3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000000" w:sz="8" w:space="0"/>
              <w:right w:val="single" w:color="000000" w:sz="8" w:space="0"/>
            </w:tcBorders>
            <w:noWrap/>
            <w:vAlign w:val="center"/>
          </w:tcPr>
          <w:p w14:paraId="6E06FA3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000000" w:sz="8" w:space="0"/>
              <w:right w:val="single" w:color="000000" w:sz="8" w:space="0"/>
            </w:tcBorders>
            <w:noWrap/>
            <w:vAlign w:val="center"/>
          </w:tcPr>
          <w:p w14:paraId="72C0086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59ADCDB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745D1EE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000000" w:sz="8" w:space="0"/>
              <w:right w:val="single" w:color="000000" w:sz="8" w:space="0"/>
            </w:tcBorders>
            <w:noWrap/>
            <w:vAlign w:val="center"/>
          </w:tcPr>
          <w:p w14:paraId="449D90D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000000" w:sz="8" w:space="0"/>
              <w:right w:val="single" w:color="000000" w:sz="8" w:space="0"/>
            </w:tcBorders>
            <w:noWrap/>
            <w:vAlign w:val="center"/>
          </w:tcPr>
          <w:p w14:paraId="5B90269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000000" w:sz="8" w:space="0"/>
              <w:right w:val="single" w:color="000000" w:sz="8" w:space="0"/>
            </w:tcBorders>
            <w:noWrap/>
            <w:vAlign w:val="center"/>
          </w:tcPr>
          <w:p w14:paraId="545D4D1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6848FC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65C2E5D1">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4B08803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noWrap/>
            <w:vAlign w:val="center"/>
          </w:tcPr>
          <w:p w14:paraId="0C61FBE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000000" w:sz="8" w:space="0"/>
              <w:right w:val="single" w:color="000000" w:sz="8" w:space="0"/>
            </w:tcBorders>
            <w:noWrap/>
            <w:vAlign w:val="center"/>
          </w:tcPr>
          <w:p w14:paraId="34B515A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000000" w:sz="8" w:space="0"/>
              <w:right w:val="single" w:color="000000" w:sz="8" w:space="0"/>
            </w:tcBorders>
            <w:noWrap/>
            <w:vAlign w:val="center"/>
          </w:tcPr>
          <w:p w14:paraId="1DBD463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430B1B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0C37C2C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8AC758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01EAC0C">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517D11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000000" w:sz="8" w:space="0"/>
              <w:right w:val="single" w:color="000000" w:sz="8" w:space="0"/>
            </w:tcBorders>
            <w:noWrap/>
            <w:vAlign w:val="center"/>
          </w:tcPr>
          <w:p w14:paraId="06596D2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C2F1AF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57AA4A4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C80382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2A98511">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34FEE54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000000" w:sz="8" w:space="0"/>
              <w:right w:val="single" w:color="000000" w:sz="8" w:space="0"/>
            </w:tcBorders>
            <w:noWrap/>
            <w:vAlign w:val="center"/>
          </w:tcPr>
          <w:p w14:paraId="1A2A9EE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665326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753F646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426D00A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noWrap/>
            <w:vAlign w:val="center"/>
          </w:tcPr>
          <w:p w14:paraId="0AB5717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noWrap/>
            <w:vAlign w:val="center"/>
          </w:tcPr>
          <w:p w14:paraId="6B23239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3E1195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D8F893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3F8ADFF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0DF072D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noWrap/>
            <w:vAlign w:val="center"/>
          </w:tcPr>
          <w:p w14:paraId="50B43E2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noWrap/>
            <w:vAlign w:val="center"/>
          </w:tcPr>
          <w:p w14:paraId="29F2B50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41A85C7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E69578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44447A1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18D4488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noWrap/>
            <w:vAlign w:val="center"/>
          </w:tcPr>
          <w:p w14:paraId="0FB543F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noWrap/>
            <w:vAlign w:val="center"/>
          </w:tcPr>
          <w:p w14:paraId="68F1FB5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2349563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BE4C64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6EBFC4F3">
      <w:pPr>
        <w:spacing w:after="120" w:line="360" w:lineRule="auto"/>
        <w:rPr>
          <w:rFonts w:ascii="宋体" w:hAns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1E17178B">
      <w:pPr>
        <w:spacing w:line="428" w:lineRule="exact"/>
        <w:rPr>
          <w:rFonts w:ascii="微软雅黑" w:hAnsi="微软雅黑" w:eastAsia="微软雅黑" w:cs="微软雅黑"/>
          <w:color w:val="auto"/>
          <w:sz w:val="32"/>
          <w:szCs w:val="32"/>
          <w:highlight w:val="none"/>
        </w:rPr>
      </w:pPr>
      <w:r>
        <w:rPr>
          <w:rFonts w:hint="eastAsia" w:ascii="宋体" w:hAnsi="Courier New"/>
          <w:color w:val="auto"/>
          <w:kern w:val="0"/>
          <w:sz w:val="20"/>
          <w:szCs w:val="21"/>
          <w:highlight w:val="none"/>
        </w:rPr>
        <w:t>2.以</w:t>
      </w:r>
      <w:r>
        <w:rPr>
          <w:rFonts w:ascii="宋体" w:hAnsi="Courier New"/>
          <w:color w:val="auto"/>
          <w:kern w:val="0"/>
          <w:sz w:val="20"/>
          <w:szCs w:val="21"/>
          <w:highlight w:val="none"/>
        </w:rPr>
        <w:t>“</w:t>
      </w:r>
      <w:r>
        <w:rPr>
          <w:rFonts w:hint="eastAsia" w:ascii="宋体" w:hAnsi="Courier New"/>
          <w:color w:val="auto"/>
          <w:kern w:val="0"/>
          <w:sz w:val="20"/>
          <w:szCs w:val="21"/>
          <w:highlight w:val="none"/>
        </w:rPr>
        <w:t>★</w:t>
      </w:r>
      <w:r>
        <w:rPr>
          <w:rFonts w:ascii="宋体" w:hAnsi="Courier New"/>
          <w:color w:val="auto"/>
          <w:kern w:val="0"/>
          <w:sz w:val="20"/>
          <w:szCs w:val="21"/>
          <w:highlight w:val="none"/>
        </w:rPr>
        <w:t>”</w:t>
      </w:r>
      <w:r>
        <w:rPr>
          <w:rFonts w:hint="eastAsia" w:ascii="宋体" w:hAnsi="Courier New"/>
          <w:color w:val="auto"/>
          <w:kern w:val="0"/>
          <w:sz w:val="20"/>
          <w:szCs w:val="21"/>
          <w:highlight w:val="none"/>
        </w:rPr>
        <w:t>标注的为政府强制采购产品。</w:t>
      </w:r>
      <w:r>
        <w:rPr>
          <w:rFonts w:hint="eastAsia" w:ascii="宋体" w:hAnsi="Courier New"/>
          <w:color w:val="auto"/>
          <w:kern w:val="0"/>
          <w:sz w:val="20"/>
          <w:szCs w:val="21"/>
          <w:highlight w:val="none"/>
        </w:rPr>
        <w:br w:type="page"/>
      </w:r>
    </w:p>
    <w:p w14:paraId="2BF658F3">
      <w:pPr>
        <w:jc w:val="left"/>
        <w:rPr>
          <w:rFonts w:ascii="Arial Unicode MS" w:hAnsi="Arial Unicode MS" w:eastAsia="Arial Unicode MS" w:cs="Arial Unicode MS"/>
          <w:color w:val="auto"/>
          <w:kern w:val="0"/>
          <w:sz w:val="32"/>
          <w:szCs w:val="32"/>
          <w:highlight w:val="none"/>
        </w:rPr>
      </w:pPr>
      <w:r>
        <w:rPr>
          <w:rFonts w:hint="eastAsia" w:ascii="Arial Unicode MS" w:hAnsi="Arial Unicode MS" w:eastAsia="Arial Unicode MS" w:cs="Arial Unicode MS"/>
          <w:color w:val="auto"/>
          <w:kern w:val="0"/>
          <w:sz w:val="32"/>
          <w:szCs w:val="32"/>
          <w:highlight w:val="none"/>
        </w:rPr>
        <w:t>附件</w:t>
      </w:r>
      <w:r>
        <w:rPr>
          <w:rFonts w:hint="eastAsia" w:ascii="Arial Unicode MS" w:hAnsi="Arial Unicode MS" w:eastAsia="Arial Unicode MS" w:cs="Arial Unicode MS"/>
          <w:color w:val="auto"/>
          <w:kern w:val="0"/>
          <w:sz w:val="32"/>
          <w:szCs w:val="32"/>
          <w:highlight w:val="none"/>
          <w:lang w:val="en-US" w:eastAsia="zh-CN"/>
        </w:rPr>
        <w:t>3</w:t>
      </w:r>
      <w:r>
        <w:rPr>
          <w:rFonts w:hint="eastAsia" w:ascii="Arial Unicode MS" w:hAnsi="Arial Unicode MS" w:eastAsia="Arial Unicode MS" w:cs="Arial Unicode MS"/>
          <w:color w:val="auto"/>
          <w:kern w:val="0"/>
          <w:sz w:val="32"/>
          <w:szCs w:val="32"/>
          <w:highlight w:val="none"/>
        </w:rPr>
        <w:t>：</w:t>
      </w:r>
    </w:p>
    <w:p w14:paraId="777931E2">
      <w:pPr>
        <w:spacing w:line="528" w:lineRule="exact"/>
        <w:jc w:val="center"/>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4"/>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05FCF14D">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7CD0AC82">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28DC4FAB">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06A3BBD0">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0B8B6E4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3B593F9C">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016339E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76B1124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0FA89A9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ign w:val="center"/>
          </w:tcPr>
          <w:p w14:paraId="4F33B2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79931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E394B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0D7345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ign w:val="center"/>
          </w:tcPr>
          <w:p w14:paraId="04947BB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3AAC908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D58444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ign w:val="center"/>
          </w:tcPr>
          <w:p w14:paraId="6F4C022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A584D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28EEE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343746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078686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BB8FD8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A5E9BAD">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F321B9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A4D3B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5264F2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ign w:val="center"/>
          </w:tcPr>
          <w:p w14:paraId="6D2774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ign w:val="center"/>
          </w:tcPr>
          <w:p w14:paraId="7FF3B0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4221EDA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B4B569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ign w:val="center"/>
          </w:tcPr>
          <w:p w14:paraId="7CBCBD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AEC9B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7D0734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ign w:val="center"/>
          </w:tcPr>
          <w:p w14:paraId="62CADE9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ign w:val="center"/>
          </w:tcPr>
          <w:p w14:paraId="440ED0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A38A91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10AE556">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186A67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35E184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98A54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ign w:val="center"/>
          </w:tcPr>
          <w:p w14:paraId="15F3C7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ign w:val="center"/>
          </w:tcPr>
          <w:p w14:paraId="7CF487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3F9BFAA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772BB1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ign w:val="center"/>
          </w:tcPr>
          <w:p w14:paraId="269D06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10B03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7D5FA4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ign w:val="center"/>
          </w:tcPr>
          <w:p w14:paraId="794075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ign w:val="center"/>
          </w:tcPr>
          <w:p w14:paraId="10626A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130CC21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1D11E39">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86A7F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92E6A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1BDC8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ign w:val="center"/>
          </w:tcPr>
          <w:p w14:paraId="6AC859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ign w:val="center"/>
          </w:tcPr>
          <w:p w14:paraId="4F2D88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6CDC8FD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276B80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ign w:val="center"/>
          </w:tcPr>
          <w:p w14:paraId="727618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8FBFE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50A003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ign w:val="center"/>
          </w:tcPr>
          <w:p w14:paraId="10806F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ign w:val="center"/>
          </w:tcPr>
          <w:p w14:paraId="390116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F8AA57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44B6055">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1F671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2F497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C489A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4399A2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ign w:val="center"/>
          </w:tcPr>
          <w:p w14:paraId="1AAA83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092413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4CAD5D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ign w:val="center"/>
          </w:tcPr>
          <w:p w14:paraId="39C84E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4AB26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55660A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5260585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5B662E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7F290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7FFF648">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AE8A5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DB389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C8D23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ign w:val="center"/>
          </w:tcPr>
          <w:p w14:paraId="70B07A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ign w:val="center"/>
          </w:tcPr>
          <w:p w14:paraId="6CBBB7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1FCE196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81F123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ign w:val="center"/>
          </w:tcPr>
          <w:p w14:paraId="77CE35A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570DE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F94C3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ign w:val="center"/>
          </w:tcPr>
          <w:p w14:paraId="4FB5F5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ign w:val="center"/>
          </w:tcPr>
          <w:p w14:paraId="0EB0E2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366B34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825142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B87FE4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3DE26D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280A9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ign w:val="center"/>
          </w:tcPr>
          <w:p w14:paraId="10D37E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54EE82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39FD09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AEDACF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ign w:val="center"/>
          </w:tcPr>
          <w:p w14:paraId="164B87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717C7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8C381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25FDDC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332386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803F7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02E08FD">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4C06EA1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29254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D294F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ign w:val="center"/>
          </w:tcPr>
          <w:p w14:paraId="13FA3C5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2CBEBD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F21988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C89B2F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ign w:val="center"/>
          </w:tcPr>
          <w:p w14:paraId="0D3E5D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451ACF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D9C5F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BC36F2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2AB8C15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698080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A7DC20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CC136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B8B489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2D963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2C4A30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2B5C31A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1445C3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1227C2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ign w:val="center"/>
          </w:tcPr>
          <w:p w14:paraId="3650B9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89662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56393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8B496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52C02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242AF8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870BE4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4A328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48FA5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E58F9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0074BB7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0725E3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80D6EF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CE9A7E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ign w:val="center"/>
          </w:tcPr>
          <w:p w14:paraId="36C2DA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B5043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05BBDB5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ign w:val="center"/>
          </w:tcPr>
          <w:p w14:paraId="57D286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DC7E1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C31179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B88DDFC">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BA40E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DAF21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38F34F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ign w:val="center"/>
          </w:tcPr>
          <w:p w14:paraId="19AF22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01DA4B2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F0011A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C47935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5587A65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9D239B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3CFA6F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5F1A71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5D2898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8EBCF8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2455AFB">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FBACF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2C12A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B268E7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ign w:val="center"/>
          </w:tcPr>
          <w:p w14:paraId="4F9C45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ign w:val="center"/>
          </w:tcPr>
          <w:p w14:paraId="50F463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11CB9E0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23DB65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ign w:val="center"/>
          </w:tcPr>
          <w:p w14:paraId="63DB88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086C3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72BEB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ign w:val="center"/>
          </w:tcPr>
          <w:p w14:paraId="7520BB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ign w:val="center"/>
          </w:tcPr>
          <w:p w14:paraId="136DDF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113354E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F0DEFA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0CDC0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64199F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0B3BA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ign w:val="center"/>
          </w:tcPr>
          <w:p w14:paraId="5FF424F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ign w:val="center"/>
          </w:tcPr>
          <w:p w14:paraId="1800A5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1440A51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E90F3B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ign w:val="center"/>
          </w:tcPr>
          <w:p w14:paraId="7C00140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0AFFD97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D7513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1DF4B0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ign w:val="center"/>
          </w:tcPr>
          <w:p w14:paraId="727693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47A7452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3594582">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4FEDF53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B7591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65997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ign w:val="center"/>
          </w:tcPr>
          <w:p w14:paraId="451800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ign w:val="center"/>
          </w:tcPr>
          <w:p w14:paraId="05AA3B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1247C6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788DC3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ign w:val="center"/>
          </w:tcPr>
          <w:p w14:paraId="6153A8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519C55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3190E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13FA095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12B36C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F406B5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A3FEC60">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86B6E1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7E617F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8756F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ign w:val="center"/>
          </w:tcPr>
          <w:p w14:paraId="14F5AC5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ign w:val="center"/>
          </w:tcPr>
          <w:p w14:paraId="5B8E0B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B6CDBC3">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4B09BF3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ign w:val="center"/>
          </w:tcPr>
          <w:p w14:paraId="37CCE7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575A5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DD178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089949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9F955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367AC939">
      <w:pPr>
        <w:pStyle w:val="27"/>
        <w:ind w:left="0" w:leftChars="0" w:firstLine="480" w:firstLineChars="200"/>
        <w:rPr>
          <w:color w:val="auto"/>
          <w:sz w:val="24"/>
          <w:szCs w:val="24"/>
          <w:highlight w:val="none"/>
        </w:rPr>
      </w:pPr>
      <w:r>
        <w:rPr>
          <w:rFonts w:hint="eastAsia" w:ascii="仿宋_GB2312" w:hAnsi="仿宋" w:eastAsia="仿宋_GB2312"/>
          <w:color w:val="auto"/>
          <w:sz w:val="24"/>
          <w:szCs w:val="24"/>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D52666E">
      <w:pPr>
        <w:pStyle w:val="3"/>
        <w:jc w:val="center"/>
        <w:rPr>
          <w:rFonts w:ascii="宋体" w:hAnsi="宋体" w:cs="宋体"/>
          <w:color w:val="auto"/>
          <w:highlight w:val="none"/>
        </w:rPr>
      </w:pPr>
      <w:r>
        <w:rPr>
          <w:rFonts w:hint="eastAsia" w:hAnsi="宋体" w:cs="宋体"/>
          <w:color w:val="auto"/>
          <w:sz w:val="24"/>
          <w:highlight w:val="none"/>
          <w:u w:val="single"/>
        </w:rPr>
        <w:br w:type="page"/>
      </w:r>
      <w:bookmarkStart w:id="21" w:name="_Toc21957"/>
      <w:bookmarkStart w:id="22" w:name="_Toc2953"/>
      <w:bookmarkStart w:id="23" w:name="_Toc28944"/>
      <w:bookmarkStart w:id="24" w:name="_Toc11630"/>
      <w:bookmarkStart w:id="25" w:name="_Toc3574"/>
      <w:r>
        <w:rPr>
          <w:rFonts w:hint="eastAsia" w:ascii="宋体" w:hAnsi="宋体" w:cs="宋体"/>
          <w:color w:val="auto"/>
          <w:highlight w:val="none"/>
        </w:rPr>
        <w:t>第三章 供应商须知</w:t>
      </w:r>
      <w:bookmarkEnd w:id="21"/>
      <w:bookmarkEnd w:id="22"/>
      <w:bookmarkEnd w:id="23"/>
      <w:bookmarkEnd w:id="24"/>
      <w:bookmarkEnd w:id="25"/>
    </w:p>
    <w:p w14:paraId="59768F1C">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BE071AC">
      <w:pPr>
        <w:spacing w:line="400" w:lineRule="exact"/>
        <w:jc w:val="center"/>
        <w:rPr>
          <w:rFonts w:ascii="宋体" w:hAnsi="宋体" w:cs="宋体"/>
          <w:b/>
          <w:color w:val="auto"/>
          <w:sz w:val="32"/>
          <w:szCs w:val="32"/>
          <w:highlight w:val="none"/>
        </w:rPr>
      </w:pPr>
    </w:p>
    <w:tbl>
      <w:tblPr>
        <w:tblStyle w:val="34"/>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5"/>
        <w:gridCol w:w="6850"/>
      </w:tblGrid>
      <w:tr w14:paraId="76D47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tcPr>
          <w:p w14:paraId="3BD27FE9">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1525B93">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850" w:type="dxa"/>
            <w:tcBorders>
              <w:top w:val="single" w:color="000000" w:sz="4" w:space="0"/>
              <w:left w:val="single" w:color="000000" w:sz="4" w:space="0"/>
              <w:bottom w:val="single" w:color="000000" w:sz="4" w:space="0"/>
              <w:right w:val="single" w:color="000000" w:sz="4" w:space="0"/>
            </w:tcBorders>
            <w:noWrap/>
          </w:tcPr>
          <w:p w14:paraId="6DC38F77">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618D0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02C3779">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3E3014B2">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850" w:type="dxa"/>
            <w:tcBorders>
              <w:top w:val="single" w:color="000000" w:sz="4" w:space="0"/>
              <w:left w:val="single" w:color="000000" w:sz="4" w:space="0"/>
              <w:bottom w:val="single" w:color="000000" w:sz="4" w:space="0"/>
              <w:right w:val="single" w:color="000000" w:sz="4" w:space="0"/>
            </w:tcBorders>
            <w:noWrap/>
          </w:tcPr>
          <w:p w14:paraId="4A70654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供应商资格条件要求详见公告。</w:t>
            </w:r>
          </w:p>
        </w:tc>
      </w:tr>
      <w:tr w14:paraId="62C55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7616DF60">
            <w:pPr>
              <w:jc w:val="center"/>
              <w:rPr>
                <w:rFonts w:ascii="宋体" w:hAnsi="宋体" w:cs="宋体"/>
                <w:color w:val="auto"/>
                <w:szCs w:val="21"/>
                <w:highlight w:val="none"/>
              </w:rPr>
            </w:pPr>
            <w:r>
              <w:rPr>
                <w:rFonts w:hint="eastAsia" w:ascii="宋体" w:hAnsi="宋体" w:cs="宋体"/>
                <w:color w:val="auto"/>
                <w:szCs w:val="21"/>
                <w:highlight w:val="none"/>
              </w:rPr>
              <w:t>5.1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616A8650">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6892BC76">
            <w:pPr>
              <w:adjustRightInd w:val="0"/>
              <w:snapToGrid w:val="0"/>
              <w:spacing w:line="360" w:lineRule="auto"/>
              <w:rPr>
                <w:rFonts w:ascii="宋体" w:hAnsi="宋体" w:cs="宋体"/>
                <w:color w:val="auto"/>
                <w:szCs w:val="21"/>
                <w:highlight w:val="none"/>
              </w:rPr>
            </w:pPr>
            <w:r>
              <w:rPr>
                <w:rFonts w:hint="eastAsia" w:ascii="宋体" w:hAnsi="宋体"/>
                <w:color w:val="auto"/>
                <w:szCs w:val="21"/>
                <w:highlight w:val="none"/>
              </w:rPr>
              <w:t>不接受</w:t>
            </w:r>
          </w:p>
        </w:tc>
      </w:tr>
      <w:tr w14:paraId="2BB22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1E4517D">
            <w:pPr>
              <w:jc w:val="center"/>
              <w:rPr>
                <w:rFonts w:ascii="宋体" w:hAnsi="宋体" w:cs="宋体"/>
                <w:color w:val="auto"/>
                <w:szCs w:val="21"/>
                <w:highlight w:val="none"/>
              </w:rPr>
            </w:pPr>
            <w:r>
              <w:rPr>
                <w:rFonts w:hint="eastAsia" w:ascii="宋体" w:hAnsi="宋体" w:cs="宋体"/>
                <w:color w:val="auto"/>
                <w:szCs w:val="21"/>
                <w:highlight w:val="none"/>
              </w:rPr>
              <w:t>5.2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D7B4FA2">
            <w:pPr>
              <w:snapToGrid w:val="0"/>
              <w:spacing w:line="360" w:lineRule="auto"/>
              <w:jc w:val="center"/>
              <w:rPr>
                <w:rFonts w:ascii="宋体" w:hAnsi="宋体" w:cs="宋体"/>
                <w:color w:val="auto"/>
                <w:szCs w:val="21"/>
                <w:highlight w:val="none"/>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8A785E4">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本项目不接受联合体</w:t>
            </w:r>
          </w:p>
        </w:tc>
      </w:tr>
      <w:tr w14:paraId="43138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02786EA">
            <w:pPr>
              <w:jc w:val="center"/>
              <w:rPr>
                <w:rFonts w:ascii="宋体" w:hAnsi="宋体" w:cs="宋体"/>
                <w:color w:val="auto"/>
                <w:szCs w:val="21"/>
                <w:highlight w:val="none"/>
              </w:rPr>
            </w:pPr>
            <w:r>
              <w:rPr>
                <w:rFonts w:hint="eastAsia" w:ascii="宋体" w:hAnsi="宋体" w:cs="宋体"/>
                <w:color w:val="auto"/>
                <w:szCs w:val="21"/>
                <w:highlight w:val="none"/>
              </w:rPr>
              <w:t>6.1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B27BB0B">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F0EF7DA">
            <w:pPr>
              <w:pStyle w:val="15"/>
              <w:spacing w:line="360" w:lineRule="auto"/>
              <w:rPr>
                <w:rFonts w:ascii="宋体" w:hAnsi="宋体" w:cs="宋体"/>
                <w:b/>
                <w:color w:val="auto"/>
                <w:szCs w:val="21"/>
                <w:highlight w:val="none"/>
              </w:rPr>
            </w:pPr>
            <w:r>
              <w:rPr>
                <w:rFonts w:ascii="宋体" w:hAnsi="宋体" w:cs="宋体"/>
                <w:b/>
                <w:color w:val="auto"/>
                <w:szCs w:val="21"/>
                <w:highlight w:val="none"/>
              </w:rPr>
              <w:sym w:font="Wingdings" w:char="00FE"/>
            </w:r>
            <w:r>
              <w:rPr>
                <w:rFonts w:hint="eastAsia" w:ascii="宋体" w:hAnsi="宋体" w:cs="宋体"/>
                <w:b/>
                <w:color w:val="auto"/>
                <w:szCs w:val="21"/>
                <w:highlight w:val="none"/>
              </w:rPr>
              <w:t>本项目不允许分包。</w:t>
            </w:r>
          </w:p>
          <w:p w14:paraId="215364BA">
            <w:pPr>
              <w:pStyle w:val="15"/>
              <w:spacing w:line="360" w:lineRule="auto"/>
              <w:rPr>
                <w:rFonts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本项目允许分包：</w:t>
            </w:r>
          </w:p>
          <w:p w14:paraId="6224B2D6">
            <w:pPr>
              <w:pStyle w:val="15"/>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w:t>
            </w:r>
          </w:p>
          <w:p w14:paraId="62604E6E">
            <w:pPr>
              <w:pStyle w:val="15"/>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w:t>
            </w:r>
          </w:p>
        </w:tc>
      </w:tr>
      <w:tr w14:paraId="0670E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8E7918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A4ABE14">
            <w:pPr>
              <w:snapToGri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资格证明文件组成</w:t>
            </w:r>
          </w:p>
          <w:p w14:paraId="5344450A">
            <w:pPr>
              <w:snapToGrid w:val="0"/>
              <w:spacing w:line="360" w:lineRule="auto"/>
              <w:jc w:val="center"/>
              <w:rPr>
                <w:rFonts w:ascii="宋体" w:hAnsi="宋体" w:cs="宋体"/>
                <w:color w:val="auto"/>
                <w:szCs w:val="21"/>
                <w:highlight w:val="none"/>
              </w:rPr>
            </w:pP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FE861C1">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EFDE03E">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响应文件提交截止之日前半年内连续三个月</w:t>
            </w:r>
            <w:r>
              <w:rPr>
                <w:rFonts w:hint="eastAsia" w:ascii="宋体" w:hAnsi="宋体" w:cs="宋体"/>
                <w:color w:val="auto"/>
                <w:szCs w:val="21"/>
                <w:highlight w:val="none"/>
              </w:rPr>
              <w:t>的依法缴纳税收的凭据复印件；依法免税的，必须提供相应文件证明。从成立之日起到响应文件提交截止时间为止不足要求月数的，只需提供从成立之日起的依法缴纳税收相应证明文件）；</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29D7601C">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ascii="宋体" w:hAnsi="宋体" w:cs="宋体"/>
                <w:color w:val="auto"/>
                <w:szCs w:val="21"/>
                <w:highlight w:val="none"/>
              </w:rPr>
              <w:t>[</w:t>
            </w:r>
            <w:r>
              <w:rPr>
                <w:rFonts w:hint="eastAsia" w:ascii="宋体" w:hAnsi="宋体" w:cs="宋体"/>
                <w:color w:val="auto"/>
                <w:szCs w:val="21"/>
                <w:highlight w:val="none"/>
                <w:u w:val="single"/>
              </w:rPr>
              <w:t>响应文件提交截止之日前半年内连续三个月</w:t>
            </w:r>
            <w:r>
              <w:rPr>
                <w:rFonts w:hint="eastAsia" w:ascii="宋体" w:hAnsi="宋体" w:cs="宋体"/>
                <w:color w:val="auto"/>
                <w:szCs w:val="21"/>
                <w:highlight w:val="none"/>
              </w:rPr>
              <w:t>的依法缴纳社会保障资金的缴费凭证（专用收据或者社会保险缴纳清单）复印件；依法不需要缴纳社会保障资金的，必须提供相应文件证明。从成立之日起到响应文件提交截止时间为止不足要求月数的只需提供从成立之日起一个月的依法缴纳社会保障资金的相应证明文件]</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6282C478">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4.供应商财务状况报告</w:t>
            </w:r>
            <w:r>
              <w:rPr>
                <w:rFonts w:ascii="宋体" w:hAnsi="宋体" w:cs="宋体"/>
                <w:color w:val="auto"/>
                <w:szCs w:val="21"/>
                <w:highlight w:val="none"/>
              </w:rPr>
              <w:t>[</w:t>
            </w:r>
            <w:r>
              <w:rPr>
                <w:rFonts w:hint="eastAsia" w:ascii="宋体" w:hAnsi="宋体" w:cs="宋体"/>
                <w:color w:val="auto"/>
                <w:szCs w:val="21"/>
                <w:highlight w:val="none"/>
              </w:rPr>
              <w:t>提供202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财务状况报告复印件，或者银行出具的资信证明，或者中国人民银行征信中心出具的信用报告；供应商属于成立时间在规定年度之后的法人或其他组织，需提供成立之日起至响应文件提交截止时间上一个月的财务状况报告或银行出具的资信证明或中国人民银行征信中心出具的信用报告（</w:t>
            </w:r>
            <w:r>
              <w:rPr>
                <w:rFonts w:hint="eastAsia" w:ascii="宋体" w:hAnsi="宋体" w:cs="宋体"/>
                <w:b/>
                <w:bCs/>
                <w:color w:val="auto"/>
                <w:szCs w:val="21"/>
                <w:highlight w:val="none"/>
              </w:rPr>
              <w:t>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bCs/>
                <w:color w:val="auto"/>
                <w:szCs w:val="21"/>
                <w:highlight w:val="none"/>
              </w:rPr>
              <w:t>格式自拟，</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46DE7F7F">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F543B8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6.竞标声明函；（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25202B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7.特定资格要求及特定条件设置供应商提供的资格证明材料：</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如有要求</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0B15E54A">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《中小企业声明函》或《残疾人福利性单位声明函》、由省级或以上监狱管理局、戒毒管理局（含新疆生产建设兵团）出具的属于监狱企业的证明文件复印件，供应商应符合以上其中一项，并根据情况提供材料。</w:t>
            </w:r>
            <w:r>
              <w:rPr>
                <w:rFonts w:hint="eastAsia" w:ascii="宋体" w:hAnsi="宋体" w:cs="宋体"/>
                <w:b/>
                <w:bCs/>
                <w:color w:val="auto"/>
                <w:szCs w:val="21"/>
                <w:highlight w:val="none"/>
              </w:rPr>
              <w:t>（必须提供，否则响应文件按无效响应处理）</w:t>
            </w:r>
          </w:p>
          <w:p w14:paraId="734DFBF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.除磋商文件规定必须提供以外，供应商认为需要提供的其他证明材料；（如有请提供）</w:t>
            </w:r>
          </w:p>
          <w:p w14:paraId="3DE4DC3B">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26FDA892">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tc>
      </w:tr>
      <w:tr w14:paraId="1A1F1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1D2BCBC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D8B0AF2">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7DEEBF6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9389C56">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4675E31">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554E180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4.商务要求偏离表；（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0E52A7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5759186C">
            <w:pPr>
              <w:pStyle w:val="2"/>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6.供应商类似业绩一览表；（如有，请提供）</w:t>
            </w:r>
          </w:p>
          <w:p w14:paraId="6EB1CCDC">
            <w:pPr>
              <w:snapToGrid w:val="0"/>
              <w:spacing w:line="360" w:lineRule="auto"/>
              <w:rPr>
                <w:rFonts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7.供应</w:t>
            </w:r>
            <w:r>
              <w:rPr>
                <w:rFonts w:hint="eastAsia" w:ascii="宋体" w:hAnsi="宋体" w:cs="宋体"/>
                <w:color w:val="auto"/>
                <w:szCs w:val="21"/>
                <w:highlight w:val="none"/>
              </w:rPr>
              <w:t>商认为需要提供的其他有关资料。</w:t>
            </w:r>
          </w:p>
          <w:p w14:paraId="1E9E3E9A">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3B0331CA">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7B0DC329">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57EC0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66240237">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A00298E">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67D6C4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lang w:eastAsia="zh-CN"/>
              </w:rPr>
              <w:t>技术要求</w:t>
            </w:r>
            <w:r>
              <w:rPr>
                <w:rFonts w:hint="eastAsia" w:ascii="宋体" w:hAnsi="宋体" w:cs="宋体"/>
                <w:color w:val="auto"/>
                <w:szCs w:val="21"/>
                <w:highlight w:val="none"/>
              </w:rPr>
              <w:t>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5095C1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2.项目实施方案；（</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480DFC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售后服务方案；（</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6A288E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项目实施人员一览表；</w:t>
            </w:r>
          </w:p>
          <w:p w14:paraId="28482901">
            <w:pPr>
              <w:pStyle w:val="2"/>
              <w:snapToGrid w:val="0"/>
              <w:spacing w:line="360" w:lineRule="auto"/>
              <w:rPr>
                <w:color w:val="auto"/>
                <w:highlight w:val="none"/>
              </w:rPr>
            </w:pPr>
            <w:r>
              <w:rPr>
                <w:rFonts w:hint="eastAsia" w:ascii="宋体" w:hAnsi="宋体" w:cs="宋体"/>
                <w:color w:val="auto"/>
                <w:szCs w:val="21"/>
                <w:highlight w:val="none"/>
              </w:rPr>
              <w:t>5.对应采购需求的服务需求、商务要求提供的其他文件资料；</w:t>
            </w:r>
          </w:p>
          <w:p w14:paraId="34B65C68">
            <w:pPr>
              <w:snapToGrid w:val="0"/>
              <w:spacing w:line="360" w:lineRule="auto"/>
              <w:rPr>
                <w:color w:val="auto"/>
                <w:highlight w:val="none"/>
              </w:rPr>
            </w:pPr>
            <w:r>
              <w:rPr>
                <w:rFonts w:hint="eastAsia" w:ascii="宋体" w:hAnsi="宋体" w:cs="宋体"/>
                <w:color w:val="auto"/>
                <w:szCs w:val="21"/>
                <w:highlight w:val="none"/>
              </w:rPr>
              <w:t>6.</w:t>
            </w:r>
            <w:r>
              <w:rPr>
                <w:rFonts w:hint="eastAsia" w:hAnsi="Courier New"/>
                <w:color w:val="auto"/>
                <w:highlight w:val="none"/>
              </w:rPr>
              <w:t>按本竞争性磋商文件规定提交的其它资料。</w:t>
            </w:r>
          </w:p>
          <w:p w14:paraId="2159B688">
            <w:pPr>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2B5D6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8D7651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80A5E74">
            <w:pPr>
              <w:snapToGrid w:val="0"/>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A8ED5D8">
            <w:pPr>
              <w:tabs>
                <w:tab w:val="left" w:pos="459"/>
              </w:tabs>
              <w:snapToGrid w:val="0"/>
              <w:spacing w:line="360" w:lineRule="auto"/>
              <w:jc w:val="left"/>
              <w:rPr>
                <w:rFonts w:ascii="宋体" w:hAnsi="宋体"/>
                <w:color w:val="auto"/>
                <w:szCs w:val="21"/>
                <w:highlight w:val="none"/>
              </w:rPr>
            </w:pPr>
            <w:r>
              <w:rPr>
                <w:rFonts w:hint="eastAsia" w:ascii="宋体" w:hAnsi="宋体"/>
                <w:color w:val="auto"/>
                <w:szCs w:val="21"/>
                <w:highlight w:val="none"/>
              </w:rPr>
              <w:t>1.响应函；</w:t>
            </w:r>
            <w:r>
              <w:rPr>
                <w:rFonts w:hint="eastAsia" w:ascii="宋体" w:hAnsi="宋体"/>
                <w:b/>
                <w:color w:val="auto"/>
                <w:szCs w:val="21"/>
                <w:highlight w:val="none"/>
              </w:rPr>
              <w:t>（必须提供，否则作无效响应处理）</w:t>
            </w:r>
          </w:p>
          <w:p w14:paraId="2C15AD8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2.响应报价表；（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5A4183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3.响应报价明细表</w:t>
            </w:r>
          </w:p>
          <w:p w14:paraId="5D26C68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.供应商针对报价需要提供的其他文件和说明（如有请提供）。</w:t>
            </w:r>
          </w:p>
          <w:p w14:paraId="6C1A44C4">
            <w:pPr>
              <w:snapToGrid w:val="0"/>
              <w:spacing w:line="360" w:lineRule="auto"/>
              <w:rPr>
                <w:rFonts w:ascii="宋体" w:hAnsi="宋体" w:cs="宋体"/>
                <w:color w:val="auto"/>
                <w:szCs w:val="21"/>
                <w:highlight w:val="none"/>
              </w:rPr>
            </w:pPr>
            <w:r>
              <w:rPr>
                <w:rFonts w:hint="eastAsia" w:ascii="宋体" w:hAnsi="宋体" w:cs="宋体"/>
                <w:b/>
                <w:bCs/>
                <w:color w:val="auto"/>
                <w:szCs w:val="21"/>
                <w:highlight w:val="none"/>
              </w:rPr>
              <w:t>注：1.上述材料必须在规定盖章处加盖供应商电子公章，否则作无效响应处理。</w:t>
            </w:r>
          </w:p>
        </w:tc>
      </w:tr>
      <w:tr w14:paraId="529AB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28274B3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4E0FD9B">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68998ED">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4014EC3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.响应文件电子版密封方式：电子响应文件通过平台有效CA加密后在广西政府采购云平台投送。</w:t>
            </w:r>
          </w:p>
        </w:tc>
      </w:tr>
      <w:tr w14:paraId="362DA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6CEDE4D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337F9974">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5180578A">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响应报价必须包含完成所有服务内容所需的费用。如提供服务过程中因采购人增加需求而产生的额外费用，由采购人另外结算；或通过双方协商对服务内容进行调整。</w:t>
            </w:r>
          </w:p>
        </w:tc>
      </w:tr>
      <w:tr w14:paraId="521E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BA807B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0F3BD7C3">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2544B949">
            <w:pPr>
              <w:tabs>
                <w:tab w:val="left" w:pos="720"/>
                <w:tab w:val="left" w:pos="840"/>
              </w:tabs>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60</w:t>
            </w:r>
            <w:r>
              <w:rPr>
                <w:rFonts w:hint="eastAsia" w:ascii="宋体" w:hAnsi="宋体" w:cs="宋体"/>
                <w:color w:val="auto"/>
                <w:szCs w:val="21"/>
                <w:highlight w:val="none"/>
              </w:rPr>
              <w:t>日。</w:t>
            </w:r>
          </w:p>
        </w:tc>
      </w:tr>
      <w:tr w14:paraId="010D2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5A1B15F0">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17</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57C1A657">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C83F558">
            <w:pPr>
              <w:autoSpaceDE w:val="0"/>
              <w:autoSpaceDN w:val="0"/>
              <w:snapToGrid w:val="0"/>
              <w:spacing w:line="312" w:lineRule="auto"/>
              <w:textAlignment w:val="bottom"/>
              <w:rPr>
                <w:color w:val="auto"/>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本项目不收取竞标保证金。</w:t>
            </w:r>
          </w:p>
        </w:tc>
      </w:tr>
      <w:tr w14:paraId="2E92E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091E6D62">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73FDDE5">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8329F9B">
            <w:pPr>
              <w:adjustRightInd w:val="0"/>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0A98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5CF16E4F">
            <w:pPr>
              <w:widowControl/>
              <w:adjustRightInd w:val="0"/>
              <w:snapToGrid w:val="0"/>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64B7D20">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0796F7F">
            <w:pPr>
              <w:adjustRightInd w:val="0"/>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59827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C38FD9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6D6682AF">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397A206">
            <w:pPr>
              <w:adjustRightInd w:val="0"/>
              <w:snapToGrid w:val="0"/>
              <w:spacing w:line="360" w:lineRule="auto"/>
              <w:jc w:val="left"/>
              <w:rPr>
                <w:rFonts w:ascii="宋体" w:hAnsi="宋体" w:cs="宋体"/>
                <w:color w:val="auto"/>
                <w:szCs w:val="21"/>
                <w:highlight w:val="none"/>
              </w:rPr>
            </w:pPr>
            <w:r>
              <w:rPr>
                <w:rFonts w:hint="eastAsia" w:ascii="宋体" w:hAnsi="宋体"/>
                <w:color w:val="auto"/>
                <w:szCs w:val="21"/>
                <w:highlight w:val="none"/>
              </w:rPr>
              <w:t>本项目不接受备份响应文件。</w:t>
            </w:r>
          </w:p>
        </w:tc>
      </w:tr>
      <w:tr w14:paraId="06DE8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133C3E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21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57D23EF1">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首次响应文件的撤回</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362B83A">
            <w:pP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tc>
      </w:tr>
      <w:tr w14:paraId="49441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4EADB29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F46E441">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6202960E">
            <w:pPr>
              <w:adjustRightInd w:val="0"/>
              <w:snapToGrid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1958A5DE">
            <w:pPr>
              <w:adjustRightInd w:val="0"/>
              <w:snapToGrid w:val="0"/>
              <w:spacing w:line="360" w:lineRule="auto"/>
              <w:rPr>
                <w:rFonts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rPr>
              <w:t>项。</w:t>
            </w:r>
          </w:p>
        </w:tc>
      </w:tr>
      <w:tr w14:paraId="50B25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16253178">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0E29C01">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5800EC8">
            <w:pPr>
              <w:snapToGrid w:val="0"/>
              <w:spacing w:line="360" w:lineRule="auto"/>
              <w:jc w:val="left"/>
              <w:rPr>
                <w:rFonts w:ascii="宋体" w:hAnsi="宋体"/>
                <w:color w:val="auto"/>
                <w:szCs w:val="21"/>
                <w:highlight w:val="none"/>
              </w:rPr>
            </w:pPr>
            <w:r>
              <w:rPr>
                <w:rFonts w:hint="eastAsia" w:ascii="MS Mincho" w:hAnsi="MS Mincho" w:cs="MS Mincho"/>
                <w:color w:val="auto"/>
                <w:szCs w:val="21"/>
                <w:highlight w:val="none"/>
              </w:rPr>
              <w:sym w:font="Wingdings 2" w:char="0052"/>
            </w:r>
            <w:r>
              <w:rPr>
                <w:rFonts w:hint="eastAsia" w:ascii="宋体" w:hAnsi="宋体"/>
                <w:color w:val="auto"/>
                <w:szCs w:val="21"/>
                <w:highlight w:val="none"/>
              </w:rPr>
              <w:t>按照</w:t>
            </w:r>
            <w:r>
              <w:rPr>
                <w:rFonts w:hint="eastAsia" w:ascii="宋体" w:hAnsi="宋体" w:cs="宋体"/>
                <w:color w:val="auto"/>
                <w:szCs w:val="21"/>
                <w:highlight w:val="none"/>
              </w:rPr>
              <w:t>提交首次响应文件的顺序，通知磋商时，若某供应商不在通知现场时，该供应商排序到最后磋商，按照签到的顺序由其下一位供应商先参与磋商。</w:t>
            </w:r>
          </w:p>
          <w:p w14:paraId="5634A15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□随机排序。</w:t>
            </w:r>
          </w:p>
          <w:p w14:paraId="4D7EFDC4">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446A8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378110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536F3A20">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D4F1129">
            <w:pPr>
              <w:snapToGrid w:val="0"/>
              <w:spacing w:line="312" w:lineRule="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本项目不收取履约保证金 </w:t>
            </w:r>
          </w:p>
          <w:p w14:paraId="3C868177">
            <w:pPr>
              <w:pStyle w:val="2"/>
              <w:snapToGrid w:val="0"/>
              <w:spacing w:after="0" w:line="312" w:lineRule="auto"/>
              <w:rPr>
                <w:color w:val="auto"/>
                <w:highlight w:val="none"/>
              </w:rPr>
            </w:pPr>
            <w:r>
              <w:rPr>
                <w:rFonts w:hint="eastAsia" w:ascii="宋体" w:hAnsi="宋体" w:cs="宋体"/>
                <w:color w:val="auto"/>
                <w:szCs w:val="21"/>
                <w:highlight w:val="none"/>
                <w:lang w:eastAsia="zh-CN"/>
              </w:rPr>
              <w:t>□</w:t>
            </w:r>
            <w:r>
              <w:rPr>
                <w:rFonts w:hint="eastAsia"/>
                <w:color w:val="auto"/>
                <w:highlight w:val="none"/>
              </w:rPr>
              <w:t>本项目收取履约保证金，具体规定如下：</w:t>
            </w:r>
          </w:p>
          <w:p w14:paraId="4D90B864">
            <w:pPr>
              <w:widowControl/>
              <w:snapToGrid w:val="0"/>
              <w:spacing w:after="0" w:line="312" w:lineRule="auto"/>
              <w:jc w:val="left"/>
              <w:rPr>
                <w:color w:val="auto"/>
                <w:highlight w:val="none"/>
              </w:rPr>
            </w:pPr>
            <w:r>
              <w:rPr>
                <w:rFonts w:hint="eastAsia"/>
                <w:color w:val="auto"/>
                <w:highlight w:val="none"/>
              </w:rPr>
              <w:t>履约保证金金额：</w:t>
            </w:r>
            <w:r>
              <w:rPr>
                <w:rFonts w:hint="eastAsia"/>
                <w:color w:val="auto"/>
                <w:szCs w:val="21"/>
                <w:highlight w:val="none"/>
              </w:rPr>
              <w:t xml:space="preserve"> </w:t>
            </w:r>
            <w:r>
              <w:rPr>
                <w:rFonts w:hint="eastAsia" w:ascii="宋体" w:hAnsi="宋体" w:eastAsia="宋体" w:cs="宋体"/>
                <w:color w:val="auto"/>
                <w:kern w:val="0"/>
                <w:sz w:val="21"/>
                <w:szCs w:val="21"/>
                <w:highlight w:val="none"/>
                <w:lang w:val="en-US" w:eastAsia="zh-CN" w:bidi="ar"/>
              </w:rPr>
              <w:t>在中标通知书发出后 20 日内</w:t>
            </w:r>
            <w:r>
              <w:rPr>
                <w:rFonts w:hint="eastAsia" w:ascii="宋体" w:hAnsi="宋体" w:cs="宋体"/>
                <w:color w:val="auto"/>
                <w:kern w:val="0"/>
                <w:sz w:val="21"/>
                <w:szCs w:val="21"/>
                <w:highlight w:val="none"/>
                <w:lang w:val="en-US" w:eastAsia="zh-CN" w:bidi="ar"/>
              </w:rPr>
              <w:t>，成交供应商</w:t>
            </w:r>
            <w:r>
              <w:rPr>
                <w:rFonts w:hint="eastAsia" w:ascii="宋体" w:hAnsi="宋体" w:eastAsia="宋体" w:cs="宋体"/>
                <w:color w:val="auto"/>
                <w:kern w:val="0"/>
                <w:sz w:val="21"/>
                <w:szCs w:val="21"/>
                <w:highlight w:val="none"/>
                <w:lang w:val="en-US" w:eastAsia="zh-CN" w:bidi="ar"/>
              </w:rPr>
              <w:t>向采购人缴纳履约保证金，</w:t>
            </w:r>
            <w:r>
              <w:rPr>
                <w:rFonts w:hint="eastAsia"/>
                <w:color w:val="auto"/>
                <w:szCs w:val="21"/>
                <w:highlight w:val="none"/>
              </w:rPr>
              <w:t>履约保证金金额</w:t>
            </w:r>
            <w:r>
              <w:rPr>
                <w:rFonts w:hint="eastAsia"/>
                <w:color w:val="auto"/>
                <w:highlight w:val="none"/>
              </w:rPr>
              <w:t>按成交金额的</w:t>
            </w:r>
            <w:r>
              <w:rPr>
                <w:rFonts w:hint="eastAsia"/>
                <w:color w:val="auto"/>
                <w:highlight w:val="none"/>
                <w:u w:val="single"/>
              </w:rPr>
              <w:t xml:space="preserve"> </w:t>
            </w:r>
            <w:r>
              <w:rPr>
                <w:rFonts w:hint="eastAsia"/>
                <w:color w:val="auto"/>
                <w:highlight w:val="none"/>
                <w:u w:val="single"/>
                <w:lang w:val="en-US" w:eastAsia="zh-CN"/>
              </w:rPr>
              <w:t xml:space="preserve">2 </w:t>
            </w:r>
            <w:r>
              <w:rPr>
                <w:rFonts w:hint="eastAsia"/>
                <w:color w:val="auto"/>
                <w:highlight w:val="none"/>
              </w:rPr>
              <w:t>%（中小企业收取的履约保证金数额按成交金额的2%）。</w:t>
            </w:r>
          </w:p>
          <w:p w14:paraId="2D8E431C">
            <w:pPr>
              <w:pStyle w:val="2"/>
              <w:snapToGrid w:val="0"/>
              <w:spacing w:after="0" w:line="312" w:lineRule="auto"/>
              <w:rPr>
                <w:color w:val="auto"/>
                <w:highlight w:val="none"/>
              </w:rPr>
            </w:pPr>
            <w:r>
              <w:rPr>
                <w:rFonts w:hint="eastAsia"/>
                <w:color w:val="auto"/>
                <w:highlight w:val="none"/>
              </w:rPr>
              <w:t>履约保证金提交方式：银行转账、支票、汇票、本票或者银行、保险机构出具的保函等非现金方式（参照竞标保证金）。</w:t>
            </w:r>
          </w:p>
          <w:p w14:paraId="39EB51FE">
            <w:pPr>
              <w:rPr>
                <w:color w:val="auto"/>
                <w:highlight w:val="none"/>
              </w:rPr>
            </w:pPr>
            <w:r>
              <w:rPr>
                <w:rFonts w:hint="eastAsia"/>
                <w:color w:val="auto"/>
                <w:highlight w:val="none"/>
              </w:rPr>
              <w:t>履约保证金退付方式、时间及条件：</w:t>
            </w:r>
            <w:r>
              <w:rPr>
                <w:rFonts w:hint="eastAsia" w:ascii="宋体" w:hAnsi="宋体"/>
                <w:color w:val="auto"/>
                <w:szCs w:val="21"/>
                <w:highlight w:val="none"/>
                <w:u w:val="single"/>
              </w:rPr>
              <w:t>合同签订后，如</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按合同履约的，并按照售后服务要求履行承诺且无质量问题的，服务期限结束且最后一批货物质保期期满后由</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向</w:t>
            </w:r>
            <w:r>
              <w:rPr>
                <w:rFonts w:hint="eastAsia" w:ascii="宋体" w:hAnsi="宋体"/>
                <w:color w:val="auto"/>
                <w:szCs w:val="21"/>
                <w:highlight w:val="none"/>
                <w:u w:val="single"/>
                <w:lang w:eastAsia="zh-CN"/>
              </w:rPr>
              <w:t>采购人</w:t>
            </w:r>
            <w:r>
              <w:rPr>
                <w:rFonts w:hint="eastAsia" w:ascii="宋体" w:hAnsi="宋体"/>
                <w:color w:val="auto"/>
                <w:szCs w:val="21"/>
                <w:highlight w:val="none"/>
                <w:u w:val="single"/>
              </w:rPr>
              <w:t>发出付款函，</w:t>
            </w:r>
            <w:r>
              <w:rPr>
                <w:rFonts w:hint="eastAsia" w:ascii="宋体" w:hAnsi="宋体"/>
                <w:color w:val="auto"/>
                <w:szCs w:val="21"/>
                <w:highlight w:val="none"/>
                <w:u w:val="single"/>
                <w:lang w:eastAsia="zh-CN"/>
              </w:rPr>
              <w:t>采购人</w:t>
            </w:r>
            <w:r>
              <w:rPr>
                <w:rFonts w:hint="eastAsia" w:ascii="宋体" w:hAnsi="宋体"/>
                <w:color w:val="auto"/>
                <w:szCs w:val="21"/>
                <w:highlight w:val="none"/>
                <w:u w:val="single"/>
              </w:rPr>
              <w:t>自收到齐全的付款材料之日起十五个工作日内向</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支付（无息）。如</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不按双方签订的合同履约的，履约保证金不予退还，履约保证金不足以赔偿实际损失的，按实际损失赔偿。</w:t>
            </w:r>
          </w:p>
          <w:p w14:paraId="62D90727">
            <w:pPr>
              <w:pStyle w:val="2"/>
              <w:snapToGrid w:val="0"/>
              <w:spacing w:after="0" w:line="312" w:lineRule="auto"/>
              <w:rPr>
                <w:color w:val="auto"/>
                <w:highlight w:val="none"/>
              </w:rPr>
            </w:pPr>
            <w:r>
              <w:rPr>
                <w:rFonts w:hint="eastAsia"/>
                <w:color w:val="auto"/>
                <w:highlight w:val="none"/>
              </w:rPr>
              <w:t>由成交供应商向履约保证金收取单位提供《广西壮族自治区政府采购项目合同验收书》（详见桂财采〔2015〕22 号），保证金收取单位在收到合格材料后 5个工作日内办理退还手续（不计利息）（若采购文件第二章另有约定的从其规定）。</w:t>
            </w:r>
          </w:p>
          <w:p w14:paraId="06EB9106">
            <w:pPr>
              <w:autoSpaceDE w:val="0"/>
              <w:autoSpaceDN w:val="0"/>
              <w:snapToGrid w:val="0"/>
              <w:spacing w:line="360" w:lineRule="auto"/>
              <w:textAlignment w:val="bottom"/>
              <w:rPr>
                <w:rFonts w:ascii="宋体" w:hAnsi="宋体"/>
                <w:color w:val="auto"/>
                <w:szCs w:val="21"/>
                <w:highlight w:val="none"/>
                <w:u w:val="single"/>
              </w:rPr>
            </w:pPr>
            <w:r>
              <w:rPr>
                <w:rFonts w:hint="eastAsia" w:ascii="宋体" w:hAnsi="宋体"/>
                <w:color w:val="auto"/>
                <w:szCs w:val="21"/>
                <w:highlight w:val="none"/>
                <w:u w:val="single"/>
              </w:rPr>
              <w:t>开户名</w:t>
            </w:r>
            <w:r>
              <w:rPr>
                <w:rFonts w:hint="eastAsia" w:ascii="宋体" w:hAnsi="宋体"/>
                <w:color w:val="auto"/>
                <w:szCs w:val="21"/>
                <w:highlight w:val="none"/>
                <w:u w:val="single"/>
                <w:lang w:eastAsia="zh-CN"/>
              </w:rPr>
              <w:t>称</w:t>
            </w:r>
            <w:r>
              <w:rPr>
                <w:rFonts w:hint="eastAsia" w:ascii="宋体" w:hAnsi="宋体"/>
                <w:color w:val="auto"/>
                <w:szCs w:val="21"/>
                <w:highlight w:val="none"/>
                <w:u w:val="single"/>
              </w:rPr>
              <w:t>：</w:t>
            </w:r>
          </w:p>
          <w:p w14:paraId="3A0536FF">
            <w:pPr>
              <w:autoSpaceDE w:val="0"/>
              <w:autoSpaceDN w:val="0"/>
              <w:snapToGrid w:val="0"/>
              <w:spacing w:line="360" w:lineRule="auto"/>
              <w:textAlignment w:val="bottom"/>
              <w:rPr>
                <w:rFonts w:ascii="宋体" w:hAnsi="宋体"/>
                <w:color w:val="auto"/>
                <w:szCs w:val="21"/>
                <w:highlight w:val="none"/>
                <w:u w:val="single"/>
              </w:rPr>
            </w:pPr>
            <w:r>
              <w:rPr>
                <w:rFonts w:hint="eastAsia" w:ascii="宋体" w:hAnsi="宋体"/>
                <w:color w:val="auto"/>
                <w:szCs w:val="21"/>
                <w:highlight w:val="none"/>
                <w:u w:val="single"/>
              </w:rPr>
              <w:t>开户银行：</w:t>
            </w:r>
          </w:p>
          <w:p w14:paraId="5B740F15">
            <w:pPr>
              <w:autoSpaceDE w:val="0"/>
              <w:autoSpaceDN w:val="0"/>
              <w:snapToGrid w:val="0"/>
              <w:spacing w:line="360" w:lineRule="auto"/>
              <w:textAlignment w:val="bottom"/>
              <w:rPr>
                <w:rFonts w:ascii="宋体" w:hAnsi="宋体"/>
                <w:color w:val="auto"/>
                <w:szCs w:val="21"/>
                <w:highlight w:val="none"/>
                <w:u w:val="single"/>
              </w:rPr>
            </w:pPr>
            <w:r>
              <w:rPr>
                <w:rFonts w:hint="eastAsia" w:ascii="宋体" w:hAnsi="宋体"/>
                <w:color w:val="auto"/>
                <w:szCs w:val="21"/>
                <w:highlight w:val="none"/>
                <w:u w:val="single"/>
              </w:rPr>
              <w:t>银行帐号：</w:t>
            </w:r>
          </w:p>
          <w:p w14:paraId="759735F2">
            <w:pPr>
              <w:spacing w:line="360" w:lineRule="auto"/>
              <w:jc w:val="left"/>
              <w:rPr>
                <w:rFonts w:ascii="宋体" w:hAnsi="宋体"/>
                <w:color w:val="auto"/>
                <w:szCs w:val="21"/>
                <w:highlight w:val="none"/>
                <w:u w:val="single"/>
              </w:rPr>
            </w:pPr>
            <w:r>
              <w:rPr>
                <w:rFonts w:hint="eastAsia" w:ascii="宋体" w:hAnsi="宋体"/>
                <w:color w:val="auto"/>
                <w:szCs w:val="21"/>
                <w:highlight w:val="none"/>
                <w:u w:val="single"/>
              </w:rPr>
              <w:t>统一社会信用代码：</w:t>
            </w:r>
          </w:p>
          <w:p w14:paraId="3DD7AA05">
            <w:pPr>
              <w:pStyle w:val="2"/>
              <w:snapToGrid w:val="0"/>
              <w:spacing w:after="0" w:line="312" w:lineRule="auto"/>
              <w:rPr>
                <w:color w:val="auto"/>
                <w:highlight w:val="none"/>
              </w:rPr>
            </w:pPr>
            <w:r>
              <w:rPr>
                <w:rFonts w:hint="eastAsia"/>
                <w:color w:val="auto"/>
                <w:highlight w:val="none"/>
              </w:rPr>
              <w:t xml:space="preserve">履约保证金备注： </w:t>
            </w:r>
          </w:p>
          <w:p w14:paraId="1E805D5D">
            <w:pPr>
              <w:pStyle w:val="2"/>
              <w:snapToGrid w:val="0"/>
              <w:spacing w:after="0" w:line="312" w:lineRule="auto"/>
              <w:rPr>
                <w:color w:val="auto"/>
                <w:highlight w:val="none"/>
              </w:rPr>
            </w:pPr>
            <w:r>
              <w:rPr>
                <w:rFonts w:hint="eastAsia"/>
                <w:color w:val="auto"/>
                <w:highlight w:val="none"/>
              </w:rPr>
              <w:t xml:space="preserve">1. 根据《广西壮族自治区财政厅关于贯彻落实政府采购优化营商环境百日攻坚行动方案的通知》（桂财采〔2020〕49 号）及广西壮族自治区财政厅关于进一步发挥政府采购政策功能促进企业发展的通知（桂财采〔2022〕30 号）规定，鼓励采购人在与中小微企业签订政府采购合同时，减少或免于收取履约保证金，有必要收取履约保证金的，收取的履约保证金不得超过政府采购合同金额的 5%，对中小企业收取的履约保证金数额不得超过政府采购合同金额的2%。 </w:t>
            </w:r>
          </w:p>
          <w:p w14:paraId="4CD870C3">
            <w:pPr>
              <w:pStyle w:val="2"/>
              <w:snapToGrid w:val="0"/>
              <w:spacing w:after="0" w:line="312" w:lineRule="auto"/>
              <w:rPr>
                <w:color w:val="auto"/>
                <w:highlight w:val="none"/>
              </w:rPr>
            </w:pPr>
            <w:r>
              <w:rPr>
                <w:rFonts w:hint="eastAsia"/>
                <w:color w:val="auto"/>
                <w:highlight w:val="none"/>
              </w:rPr>
              <w:t xml:space="preserve">2.履约保证金不足额缴纳的，或者银行、保险机构出具的保函额度不足的或者保函有效期低于合同履行期限（即签订采购合同之日起至履行完合同约定的权利及义务之日止）的，不予签订合同。 </w:t>
            </w:r>
          </w:p>
          <w:p w14:paraId="63A5D77A">
            <w:pPr>
              <w:pStyle w:val="2"/>
              <w:snapToGrid w:val="0"/>
              <w:spacing w:after="0" w:line="312" w:lineRule="auto"/>
              <w:rPr>
                <w:color w:val="auto"/>
                <w:highlight w:val="none"/>
              </w:rPr>
            </w:pPr>
            <w:r>
              <w:rPr>
                <w:rFonts w:hint="eastAsia"/>
                <w:color w:val="auto"/>
                <w:highlight w:val="none"/>
              </w:rPr>
              <w:t>3.采用银行、保险机构出具的保函的，必须为无条件保函，否则不予签订合同。</w:t>
            </w:r>
          </w:p>
          <w:p w14:paraId="20B883DC">
            <w:pPr>
              <w:pStyle w:val="2"/>
              <w:snapToGrid w:val="0"/>
              <w:spacing w:after="0" w:line="312" w:lineRule="auto"/>
              <w:rPr>
                <w:rFonts w:ascii="宋体" w:hAnsi="宋体" w:cs="宋体"/>
                <w:color w:val="auto"/>
                <w:szCs w:val="21"/>
                <w:highlight w:val="none"/>
              </w:rPr>
            </w:pPr>
            <w:r>
              <w:rPr>
                <w:rFonts w:hint="eastAsia"/>
                <w:color w:val="auto"/>
                <w:highlight w:val="none"/>
              </w:rPr>
              <w:t>4.供应商为联合体的，由联合体任意一方按规定提交的履约保证金，视为有效履约保证金。（本项目不接受联合体，此项不适用）</w:t>
            </w:r>
          </w:p>
        </w:tc>
      </w:tr>
      <w:tr w14:paraId="48969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1DF7A03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3AFB552">
            <w:pPr>
              <w:adjustRightInd w:val="0"/>
              <w:snapToGrid w:val="0"/>
              <w:spacing w:line="360" w:lineRule="auto"/>
              <w:jc w:val="center"/>
              <w:rPr>
                <w:rFonts w:ascii="宋体" w:hAnsi="宋体" w:cs="宋体"/>
                <w:color w:val="auto"/>
                <w:szCs w:val="21"/>
                <w:highlight w:val="none"/>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29696256">
            <w:pPr>
              <w:adjustRightInd w:val="0"/>
              <w:snapToGrid w:val="0"/>
              <w:spacing w:line="360" w:lineRule="auto"/>
              <w:rPr>
                <w:rFonts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12FC2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1F819BF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0BA7499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BF621E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以书面形式</w:t>
            </w:r>
          </w:p>
        </w:tc>
      </w:tr>
      <w:tr w14:paraId="5CB7E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6278B855">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2E2F8383">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731C9D53">
            <w:pPr>
              <w:snapToGrid w:val="0"/>
              <w:spacing w:line="400" w:lineRule="exact"/>
              <w:rPr>
                <w:rFonts w:ascii="宋体" w:hAnsi="宋体"/>
                <w:color w:val="auto"/>
                <w:szCs w:val="21"/>
                <w:highlight w:val="none"/>
              </w:rPr>
            </w:pPr>
            <w:r>
              <w:rPr>
                <w:rFonts w:hint="eastAsia" w:ascii="宋体" w:hAnsi="宋体"/>
                <w:color w:val="auto"/>
                <w:szCs w:val="21"/>
                <w:highlight w:val="none"/>
                <w:u w:val="single"/>
              </w:rPr>
              <w:t>（1）</w:t>
            </w:r>
            <w:r>
              <w:rPr>
                <w:rFonts w:hint="eastAsia" w:ascii="宋体" w:hAnsi="宋体"/>
                <w:color w:val="auto"/>
                <w:szCs w:val="21"/>
                <w:highlight w:val="none"/>
                <w:u w:val="single"/>
                <w:lang w:eastAsia="zh-CN"/>
              </w:rPr>
              <w:t>广西北部湾宏亚建设管理有限公司</w:t>
            </w:r>
            <w:r>
              <w:rPr>
                <w:rFonts w:hint="eastAsia" w:ascii="宋体" w:hAnsi="宋体"/>
                <w:color w:val="auto"/>
                <w:szCs w:val="21"/>
                <w:highlight w:val="none"/>
              </w:rPr>
              <w:t>；</w:t>
            </w:r>
          </w:p>
          <w:p w14:paraId="351C9295">
            <w:pPr>
              <w:snapToGrid w:val="0"/>
              <w:spacing w:line="400" w:lineRule="exact"/>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rPr>
              <w:t>0777-2800211</w:t>
            </w:r>
            <w:r>
              <w:rPr>
                <w:rFonts w:hint="eastAsia" w:ascii="宋体" w:hAnsi="宋体"/>
                <w:color w:val="auto"/>
                <w:szCs w:val="21"/>
                <w:highlight w:val="none"/>
              </w:rPr>
              <w:t>，</w:t>
            </w:r>
          </w:p>
          <w:p w14:paraId="7B2BD0CF">
            <w:pPr>
              <w:snapToGrid w:val="0"/>
              <w:spacing w:line="40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w:t>
            </w:r>
            <w:r>
              <w:rPr>
                <w:rFonts w:hint="eastAsia" w:ascii="宋体" w:hAnsi="宋体" w:eastAsia="宋体"/>
                <w:color w:val="auto"/>
                <w:szCs w:val="21"/>
                <w:highlight w:val="none"/>
                <w:u w:val="single"/>
                <w:lang w:eastAsia="zh-CN"/>
              </w:rPr>
              <w:t>钦州市蓬莱大道鸿亭街33</w:t>
            </w:r>
            <w:r>
              <w:rPr>
                <w:rFonts w:hint="eastAsia" w:ascii="宋体" w:hAnsi="宋体" w:eastAsia="宋体"/>
                <w:color w:val="auto"/>
                <w:szCs w:val="21"/>
                <w:highlight w:val="none"/>
                <w:u w:val="single"/>
                <w:lang w:val="en-US" w:eastAsia="zh-CN"/>
              </w:rPr>
              <w:t>3</w:t>
            </w:r>
            <w:r>
              <w:rPr>
                <w:rFonts w:hint="eastAsia" w:ascii="宋体" w:hAnsi="宋体" w:eastAsia="宋体"/>
                <w:color w:val="auto"/>
                <w:szCs w:val="21"/>
                <w:highlight w:val="none"/>
                <w:u w:val="single"/>
                <w:lang w:eastAsia="zh-CN"/>
              </w:rPr>
              <w:t>号皇庭天麓湖小区183栋203室</w:t>
            </w:r>
          </w:p>
          <w:p w14:paraId="4B77ACCA">
            <w:pPr>
              <w:snapToGrid w:val="0"/>
              <w:spacing w:line="400" w:lineRule="exact"/>
              <w:rPr>
                <w:rFonts w:ascii="宋体" w:hAnsi="宋体"/>
                <w:color w:val="auto"/>
                <w:szCs w:val="21"/>
                <w:highlight w:val="none"/>
              </w:rPr>
            </w:pPr>
            <w:r>
              <w:rPr>
                <w:rFonts w:hint="eastAsia" w:ascii="宋体" w:hAnsi="宋体"/>
                <w:color w:val="auto"/>
                <w:szCs w:val="21"/>
                <w:highlight w:val="none"/>
                <w:u w:val="single"/>
              </w:rPr>
              <w:t>（2）</w:t>
            </w:r>
            <w:r>
              <w:rPr>
                <w:rFonts w:hint="eastAsia" w:ascii="宋体" w:hAnsi="宋体"/>
                <w:color w:val="auto"/>
                <w:szCs w:val="21"/>
                <w:highlight w:val="none"/>
                <w:u w:val="single"/>
                <w:lang w:eastAsia="zh-CN"/>
              </w:rPr>
              <w:t>钦州市第二人民医院</w:t>
            </w:r>
            <w:r>
              <w:rPr>
                <w:rFonts w:hint="eastAsia" w:ascii="宋体" w:hAnsi="宋体"/>
                <w:color w:val="auto"/>
                <w:szCs w:val="21"/>
                <w:highlight w:val="none"/>
              </w:rPr>
              <w:t>；</w:t>
            </w:r>
          </w:p>
          <w:p w14:paraId="530982D1">
            <w:pPr>
              <w:snapToGrid w:val="0"/>
              <w:spacing w:line="400" w:lineRule="exact"/>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eastAsia="宋体" w:cs="宋体"/>
                <w:color w:val="auto"/>
                <w:spacing w:val="6"/>
                <w:sz w:val="21"/>
                <w:szCs w:val="21"/>
                <w:highlight w:val="none"/>
                <w:u w:val="single"/>
              </w:rPr>
              <w:t>0777-2873316</w:t>
            </w:r>
            <w:r>
              <w:rPr>
                <w:rFonts w:hint="eastAsia" w:ascii="宋体" w:hAnsi="宋体"/>
                <w:color w:val="auto"/>
                <w:szCs w:val="21"/>
                <w:highlight w:val="none"/>
              </w:rPr>
              <w:t>，</w:t>
            </w:r>
          </w:p>
          <w:p w14:paraId="513826F7">
            <w:pPr>
              <w:snapToGrid w:val="0"/>
              <w:spacing w:line="40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eastAsia="宋体" w:cs="宋体"/>
                <w:color w:val="auto"/>
                <w:spacing w:val="2"/>
                <w:sz w:val="21"/>
                <w:szCs w:val="21"/>
                <w:highlight w:val="none"/>
                <w:u w:val="single"/>
                <w:lang w:eastAsia="zh-CN"/>
              </w:rPr>
              <w:t>钦州市钦南区文峰南路219号</w:t>
            </w:r>
          </w:p>
        </w:tc>
      </w:tr>
      <w:tr w14:paraId="77C5A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2A7C80B5">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73B5E14">
            <w:pPr>
              <w:snapToGrid w:val="0"/>
              <w:spacing w:line="360" w:lineRule="auto"/>
              <w:jc w:val="center"/>
              <w:rPr>
                <w:rFonts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7C67BAA0">
            <w:pPr>
              <w:snapToGrid w:val="0"/>
              <w:spacing w:line="380" w:lineRule="exact"/>
              <w:rPr>
                <w:rFonts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 xml:space="preserve"> 08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分到</w:t>
            </w:r>
            <w:r>
              <w:rPr>
                <w:rFonts w:hint="eastAsia" w:hAnsi="宋体"/>
                <w:color w:val="auto"/>
                <w:highlight w:val="none"/>
                <w:u w:val="single"/>
              </w:rPr>
              <w:t xml:space="preserve"> 12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w:t>
            </w:r>
            <w:r>
              <w:rPr>
                <w:rFonts w:hint="eastAsia" w:hAnsi="宋体"/>
                <w:color w:val="auto"/>
                <w:highlight w:val="none"/>
                <w:u w:val="single"/>
              </w:rPr>
              <w:t xml:space="preserve"> 15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分到</w:t>
            </w:r>
            <w:r>
              <w:rPr>
                <w:rFonts w:hint="eastAsia" w:hAnsi="宋体"/>
                <w:color w:val="auto"/>
                <w:highlight w:val="none"/>
                <w:u w:val="single"/>
              </w:rPr>
              <w:t xml:space="preserve"> 18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w:t>
            </w:r>
          </w:p>
        </w:tc>
      </w:tr>
      <w:tr w14:paraId="282E4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83431E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6E23CB9">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34BFB64">
            <w:pPr>
              <w:snapToGrid w:val="0"/>
              <w:spacing w:line="400" w:lineRule="exact"/>
              <w:rPr>
                <w:rFonts w:hAnsi="宋体"/>
                <w:color w:val="auto"/>
                <w:highlight w:val="none"/>
              </w:rPr>
            </w:pPr>
            <w:r>
              <w:rPr>
                <w:rFonts w:hAnsi="宋体"/>
                <w:color w:val="auto"/>
                <w:highlight w:val="none"/>
              </w:rPr>
              <w:t>1</w:t>
            </w:r>
            <w:r>
              <w:rPr>
                <w:rFonts w:hint="eastAsia" w:hAnsi="宋体"/>
                <w:color w:val="auto"/>
                <w:highlight w:val="none"/>
              </w:rPr>
              <w:t>、受理方式：纸质方式受理，投诉书正、副本（经过质疑的事项才可投诉）。</w:t>
            </w:r>
          </w:p>
          <w:p w14:paraId="0DC2A446">
            <w:pPr>
              <w:snapToGrid w:val="0"/>
              <w:spacing w:line="400" w:lineRule="exact"/>
              <w:rPr>
                <w:rFonts w:hAnsi="宋体"/>
                <w:color w:val="auto"/>
                <w:highlight w:val="none"/>
              </w:rPr>
            </w:pPr>
            <w:r>
              <w:rPr>
                <w:rFonts w:hAnsi="宋体"/>
                <w:color w:val="auto"/>
                <w:highlight w:val="none"/>
              </w:rPr>
              <w:t>2</w:t>
            </w:r>
            <w:r>
              <w:rPr>
                <w:rFonts w:hint="eastAsia" w:hAnsi="宋体"/>
                <w:color w:val="auto"/>
                <w:highlight w:val="none"/>
              </w:rPr>
              <w:t>、邮寄地址：</w:t>
            </w:r>
          </w:p>
          <w:p w14:paraId="1CE8DE6B">
            <w:pPr>
              <w:snapToGrid w:val="0"/>
              <w:spacing w:line="400" w:lineRule="exact"/>
              <w:rPr>
                <w:rFonts w:hint="eastAsia" w:hAnsi="宋体" w:cs="宋体"/>
                <w:color w:val="auto"/>
                <w:highlight w:val="none"/>
              </w:rPr>
            </w:pPr>
            <w:r>
              <w:rPr>
                <w:rFonts w:hint="eastAsia" w:hAnsi="宋体" w:cs="宋体"/>
                <w:color w:val="auto"/>
                <w:highlight w:val="none"/>
              </w:rPr>
              <w:t xml:space="preserve">名称：钦州市财政局政府采购监督管理科 </w:t>
            </w:r>
          </w:p>
          <w:p w14:paraId="5D0EA848">
            <w:pPr>
              <w:snapToGrid w:val="0"/>
              <w:spacing w:line="400" w:lineRule="exact"/>
              <w:rPr>
                <w:rFonts w:hint="eastAsia" w:hAnsi="宋体" w:cs="宋体"/>
                <w:color w:val="auto"/>
                <w:highlight w:val="none"/>
              </w:rPr>
            </w:pPr>
            <w:r>
              <w:rPr>
                <w:rFonts w:hint="eastAsia" w:hAnsi="宋体" w:cs="宋体"/>
                <w:color w:val="auto"/>
                <w:highlight w:val="none"/>
              </w:rPr>
              <w:t xml:space="preserve">地址：钦州市银河街125号  </w:t>
            </w:r>
          </w:p>
          <w:p w14:paraId="6C42B693">
            <w:pPr>
              <w:snapToGrid w:val="0"/>
              <w:spacing w:line="400" w:lineRule="exact"/>
              <w:rPr>
                <w:rFonts w:hAnsi="宋体" w:cs="宋体"/>
                <w:color w:val="auto"/>
                <w:highlight w:val="none"/>
              </w:rPr>
            </w:pPr>
            <w:r>
              <w:rPr>
                <w:rFonts w:hint="eastAsia" w:hAnsi="宋体" w:cs="宋体"/>
                <w:color w:val="auto"/>
                <w:highlight w:val="none"/>
              </w:rPr>
              <w:t>联系电话：0777-2895258</w:t>
            </w:r>
          </w:p>
        </w:tc>
      </w:tr>
      <w:tr w14:paraId="0BBEE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5490881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3869E16">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553BBF3">
            <w:pPr>
              <w:pStyle w:val="20"/>
              <w:snapToGrid w:val="0"/>
              <w:spacing w:line="400" w:lineRule="exact"/>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采购代理费支付方式：</w:t>
            </w:r>
          </w:p>
          <w:p w14:paraId="07E95029">
            <w:pPr>
              <w:pStyle w:val="20"/>
              <w:snapToGrid w:val="0"/>
              <w:spacing w:line="400" w:lineRule="exact"/>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本项目代理货物费由</w:t>
            </w:r>
            <w:r>
              <w:rPr>
                <w:rFonts w:hint="eastAsia" w:ascii="宋体" w:hAnsi="宋体" w:eastAsia="宋体" w:cs="宋体"/>
                <w:color w:val="auto"/>
                <w:sz w:val="21"/>
                <w:highlight w:val="none"/>
                <w:u w:val="single"/>
                <w:lang w:eastAsia="zh-CN"/>
              </w:rPr>
              <w:t>成交</w:t>
            </w:r>
            <w:r>
              <w:rPr>
                <w:rFonts w:hint="eastAsia" w:ascii="宋体" w:hAnsi="宋体" w:eastAsia="宋体" w:cs="宋体"/>
                <w:color w:val="auto"/>
                <w:sz w:val="21"/>
                <w:highlight w:val="none"/>
                <w:u w:val="single"/>
              </w:rPr>
              <w:t>人</w:t>
            </w:r>
            <w:r>
              <w:rPr>
                <w:rFonts w:hint="eastAsia" w:ascii="宋体" w:hAnsi="宋体" w:eastAsia="宋体" w:cs="宋体"/>
                <w:color w:val="auto"/>
                <w:sz w:val="21"/>
                <w:highlight w:val="none"/>
              </w:rPr>
              <w:t>在领取</w:t>
            </w:r>
            <w:r>
              <w:rPr>
                <w:rFonts w:hint="eastAsia" w:ascii="宋体" w:hAnsi="宋体" w:eastAsia="宋体" w:cs="宋体"/>
                <w:color w:val="auto"/>
                <w:sz w:val="21"/>
                <w:highlight w:val="none"/>
                <w:lang w:eastAsia="zh-CN"/>
              </w:rPr>
              <w:t>成交</w:t>
            </w:r>
            <w:r>
              <w:rPr>
                <w:rFonts w:hint="eastAsia" w:ascii="宋体" w:hAnsi="宋体" w:eastAsia="宋体" w:cs="宋体"/>
                <w:color w:val="auto"/>
                <w:sz w:val="21"/>
                <w:highlight w:val="none"/>
              </w:rPr>
              <w:t>通知书前，一次性向采购代理机构支付。</w:t>
            </w:r>
          </w:p>
          <w:p w14:paraId="379D23B8">
            <w:pPr>
              <w:pStyle w:val="20"/>
              <w:snapToGrid w:val="0"/>
              <w:spacing w:line="400" w:lineRule="exact"/>
              <w:rPr>
                <w:rFonts w:hint="eastAsia" w:ascii="宋体" w:hAnsi="宋体" w:eastAsia="宋体" w:cs="宋体"/>
                <w:color w:val="auto"/>
                <w:sz w:val="21"/>
                <w:highlight w:val="none"/>
              </w:rPr>
            </w:pPr>
            <w:r>
              <w:rPr>
                <w:rFonts w:hint="eastAsia" w:ascii="宋体" w:hAnsi="宋体" w:eastAsia="宋体" w:cs="宋体"/>
                <w:color w:val="auto"/>
                <w:sz w:val="21"/>
                <w:highlight w:val="none"/>
              </w:rPr>
              <w:t>□采购人支付。</w:t>
            </w:r>
          </w:p>
          <w:p w14:paraId="7F7FC594">
            <w:pPr>
              <w:pStyle w:val="20"/>
              <w:snapToGrid w:val="0"/>
              <w:spacing w:line="400" w:lineRule="exact"/>
              <w:rPr>
                <w:rFonts w:hint="eastAsia" w:ascii="宋体" w:hAnsi="宋体" w:eastAsia="宋体" w:cs="宋体"/>
                <w:color w:val="auto"/>
                <w:sz w:val="21"/>
                <w:highlight w:val="none"/>
              </w:rPr>
            </w:pPr>
            <w:r>
              <w:rPr>
                <w:rFonts w:hint="eastAsia" w:ascii="宋体" w:hAnsi="宋体" w:eastAsia="宋体" w:cs="宋体"/>
                <w:color w:val="auto"/>
                <w:sz w:val="21"/>
                <w:highlight w:val="none"/>
              </w:rPr>
              <w:t>□本项目不收取代理货物费。</w:t>
            </w:r>
          </w:p>
          <w:p w14:paraId="3A8424F8">
            <w:pPr>
              <w:pStyle w:val="20"/>
              <w:snapToGrid w:val="0"/>
              <w:spacing w:line="400" w:lineRule="exact"/>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采购代理费收取标准</w:t>
            </w:r>
            <w:r>
              <w:rPr>
                <w:rFonts w:hint="eastAsia" w:ascii="宋体" w:hAnsi="宋体" w:eastAsia="宋体" w:cs="宋体"/>
                <w:color w:val="auto"/>
                <w:sz w:val="21"/>
                <w:highlight w:val="none"/>
                <w:lang w:eastAsia="zh-CN"/>
              </w:rPr>
              <w:t>：</w:t>
            </w:r>
          </w:p>
          <w:p w14:paraId="1389D94B">
            <w:pPr>
              <w:pStyle w:val="20"/>
              <w:snapToGrid w:val="0"/>
              <w:spacing w:line="380" w:lineRule="exact"/>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以分标（</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中标金额/</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采购预算/□暂定中标金额/□其他</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）为计费额，按</w:t>
            </w:r>
            <w:r>
              <w:rPr>
                <w:rFonts w:hint="eastAsia" w:hAnsi="宋体" w:cs="宋体"/>
                <w:color w:val="auto"/>
                <w:sz w:val="21"/>
                <w:szCs w:val="21"/>
                <w:highlight w:val="none"/>
                <w:lang w:eastAsia="zh-CN"/>
              </w:rPr>
              <w:t>服务</w:t>
            </w:r>
            <w:r>
              <w:rPr>
                <w:rFonts w:hint="eastAsia" w:ascii="宋体" w:hAnsi="宋体" w:eastAsia="宋体" w:cs="宋体"/>
                <w:color w:val="auto"/>
                <w:sz w:val="21"/>
                <w:szCs w:val="21"/>
                <w:highlight w:val="none"/>
              </w:rPr>
              <w:t>招标采用差额定率累进法计算出收费基准价格，采购代理收费以（□收费基准价格/</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收费基准价格下浮</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20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/□收费基准价格上浮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）收取。</w:t>
            </w:r>
          </w:p>
          <w:p w14:paraId="287BCA0B">
            <w:pP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固定采购代理收费</w:t>
            </w:r>
            <w:r>
              <w:rPr>
                <w:rFonts w:hint="eastAsia" w:ascii="宋体" w:hAnsi="宋体" w:cs="宋体"/>
                <w:color w:val="auto"/>
                <w:sz w:val="21"/>
                <w:szCs w:val="21"/>
                <w:highlight w:val="none"/>
                <w:lang w:eastAsia="zh-CN"/>
              </w:rPr>
              <w:t>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元</w:t>
            </w:r>
            <w:r>
              <w:rPr>
                <w:rFonts w:hint="eastAsia" w:ascii="宋体" w:hAnsi="宋体" w:eastAsia="宋体" w:cs="宋体"/>
                <w:color w:val="auto"/>
                <w:sz w:val="21"/>
                <w:szCs w:val="21"/>
                <w:highlight w:val="none"/>
                <w:u w:val="none"/>
              </w:rPr>
              <w:t>。</w:t>
            </w:r>
          </w:p>
          <w:p w14:paraId="344A8CB5">
            <w:pPr>
              <w:pStyle w:val="20"/>
              <w:snapToGrid w:val="0"/>
              <w:spacing w:line="400" w:lineRule="exact"/>
              <w:rPr>
                <w:rFonts w:hAnsi="宋体" w:cs="宋体"/>
                <w:color w:val="auto"/>
                <w:sz w:val="21"/>
                <w:highlight w:val="none"/>
              </w:rPr>
            </w:pPr>
            <w:r>
              <w:rPr>
                <w:rFonts w:hint="eastAsia" w:hAnsi="宋体" w:cs="宋体"/>
                <w:color w:val="auto"/>
                <w:sz w:val="21"/>
                <w:highlight w:val="none"/>
              </w:rPr>
              <w:t>采购代理费收取银行账户</w:t>
            </w:r>
          </w:p>
          <w:p w14:paraId="21D7B551">
            <w:pPr>
              <w:pStyle w:val="20"/>
              <w:snapToGrid w:val="0"/>
              <w:spacing w:line="400" w:lineRule="exact"/>
              <w:rPr>
                <w:rFonts w:hint="eastAsia" w:ascii="宋体" w:hAnsi="宋体" w:eastAsia="宋体" w:cs="宋体"/>
                <w:color w:val="auto"/>
                <w:sz w:val="21"/>
                <w:highlight w:val="none"/>
              </w:rPr>
            </w:pPr>
            <w:r>
              <w:rPr>
                <w:rFonts w:hint="eastAsia" w:ascii="宋体" w:hAnsi="宋体" w:eastAsia="宋体" w:cs="宋体"/>
                <w:color w:val="auto"/>
                <w:sz w:val="21"/>
                <w:highlight w:val="none"/>
              </w:rPr>
              <w:t>开户名称：广西北部湾宏亚建设管理有限公司钦州分公司；</w:t>
            </w:r>
          </w:p>
          <w:p w14:paraId="0FCA84A7">
            <w:pPr>
              <w:pStyle w:val="20"/>
              <w:snapToGrid w:val="0"/>
              <w:spacing w:line="400" w:lineRule="exact"/>
              <w:rPr>
                <w:rFonts w:hint="eastAsia" w:ascii="宋体" w:hAnsi="宋体" w:eastAsia="宋体" w:cs="宋体"/>
                <w:color w:val="auto"/>
                <w:sz w:val="21"/>
                <w:highlight w:val="none"/>
              </w:rPr>
            </w:pPr>
            <w:r>
              <w:rPr>
                <w:rFonts w:hint="eastAsia" w:ascii="宋体" w:hAnsi="宋体" w:eastAsia="宋体" w:cs="宋体"/>
                <w:color w:val="auto"/>
                <w:sz w:val="21"/>
                <w:highlight w:val="none"/>
              </w:rPr>
              <w:t>开户银行：中国建设银行股份有限公司钦州永福东大街支行；</w:t>
            </w:r>
          </w:p>
          <w:p w14:paraId="33BA1BBA">
            <w:pPr>
              <w:pStyle w:val="20"/>
              <w:snapToGrid w:val="0"/>
              <w:spacing w:line="400" w:lineRule="exact"/>
              <w:rPr>
                <w:rFonts w:hAnsi="宋体" w:cs="宋体"/>
                <w:color w:val="auto"/>
                <w:highlight w:val="none"/>
              </w:rPr>
            </w:pPr>
            <w:r>
              <w:rPr>
                <w:rFonts w:hint="eastAsia" w:ascii="宋体" w:hAnsi="宋体" w:eastAsia="宋体" w:cs="宋体"/>
                <w:color w:val="auto"/>
                <w:sz w:val="21"/>
                <w:highlight w:val="none"/>
              </w:rPr>
              <w:t>银行账号：45050165986200000062；</w:t>
            </w:r>
          </w:p>
        </w:tc>
      </w:tr>
      <w:tr w14:paraId="160CE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8AB1A7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31E935F8">
            <w:pPr>
              <w:snapToGrid w:val="0"/>
              <w:spacing w:line="360" w:lineRule="auto"/>
              <w:jc w:val="center"/>
              <w:rPr>
                <w:rFonts w:ascii="宋体" w:hAnsi="宋体" w:cs="宋体"/>
                <w:color w:val="auto"/>
                <w:szCs w:val="21"/>
                <w:highlight w:val="none"/>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C15DBB0">
            <w:pPr>
              <w:pStyle w:val="20"/>
              <w:snapToGrid w:val="0"/>
              <w:spacing w:line="400" w:lineRule="exact"/>
              <w:rPr>
                <w:rFonts w:hAnsi="宋体" w:cs="宋体"/>
                <w:b/>
                <w:color w:val="auto"/>
                <w:sz w:val="21"/>
                <w:highlight w:val="none"/>
              </w:rPr>
            </w:pPr>
            <w:r>
              <w:rPr>
                <w:rFonts w:hint="eastAsia" w:hAnsi="宋体" w:cs="宋体"/>
                <w:b/>
                <w:color w:val="auto"/>
                <w:sz w:val="21"/>
                <w:highlight w:val="none"/>
              </w:rPr>
              <w:t>解释权：</w:t>
            </w:r>
            <w:r>
              <w:rPr>
                <w:rFonts w:hint="eastAsia" w:hAnsi="宋体" w:cs="宋体"/>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rPr>
              <w:t>由采购人或者采购代理机构负责解释。</w:t>
            </w:r>
          </w:p>
          <w:p w14:paraId="341BD180">
            <w:pPr>
              <w:pStyle w:val="20"/>
              <w:snapToGrid w:val="0"/>
              <w:spacing w:line="400" w:lineRule="exact"/>
              <w:rPr>
                <w:rFonts w:hAnsi="宋体" w:cs="宋体"/>
                <w:b/>
                <w:color w:val="auto"/>
                <w:sz w:val="21"/>
                <w:highlight w:val="none"/>
              </w:rPr>
            </w:pPr>
            <w:r>
              <w:rPr>
                <w:rFonts w:hint="eastAsia" w:hAnsi="宋体" w:cs="宋体"/>
                <w:b/>
                <w:color w:val="auto"/>
                <w:sz w:val="21"/>
                <w:highlight w:val="none"/>
              </w:rPr>
              <w:t>法律责任：</w:t>
            </w:r>
          </w:p>
          <w:p w14:paraId="1B1493EF">
            <w:pPr>
              <w:pStyle w:val="20"/>
              <w:snapToGrid w:val="0"/>
              <w:spacing w:line="400" w:lineRule="exact"/>
              <w:rPr>
                <w:rFonts w:hAnsi="宋体" w:cs="宋体"/>
                <w:color w:val="auto"/>
                <w:sz w:val="21"/>
                <w:highlight w:val="none"/>
              </w:rPr>
            </w:pPr>
            <w:r>
              <w:rPr>
                <w:rFonts w:hint="eastAsia" w:hAnsi="宋体" w:cs="宋体"/>
                <w:b/>
                <w:color w:val="auto"/>
                <w:sz w:val="21"/>
                <w:highlight w:val="none"/>
              </w:rPr>
              <w:t>1.</w:t>
            </w:r>
            <w:r>
              <w:rPr>
                <w:rFonts w:hint="eastAsia" w:hAnsi="宋体" w:cs="宋体"/>
                <w:color w:val="auto"/>
                <w:sz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37BB18E">
            <w:pPr>
              <w:snapToGrid w:val="0"/>
              <w:spacing w:line="360" w:lineRule="auto"/>
              <w:rPr>
                <w:rFonts w:hAnsi="宋体" w:cs="宋体"/>
                <w:color w:val="auto"/>
                <w:highlight w:val="none"/>
              </w:rPr>
            </w:pPr>
            <w:r>
              <w:rPr>
                <w:rFonts w:hAnsi="宋体" w:cs="宋体"/>
                <w:b/>
                <w:color w:val="auto"/>
                <w:highlight w:val="none"/>
              </w:rPr>
              <w:t>2.</w:t>
            </w:r>
            <w:r>
              <w:rPr>
                <w:rFonts w:hint="eastAsia" w:ascii="宋体" w:hAnsi="宋体"/>
                <w:b/>
                <w:color w:val="auto"/>
                <w:szCs w:val="21"/>
                <w:highlight w:val="none"/>
              </w:rPr>
              <w:t xml:space="preserve"> 本项目采购代理机构应严格按照广西</w:t>
            </w:r>
            <w:r>
              <w:rPr>
                <w:rFonts w:hint="eastAsia" w:ascii="宋体" w:hAnsi="宋体"/>
                <w:b/>
                <w:color w:val="auto"/>
                <w:szCs w:val="21"/>
                <w:highlight w:val="none"/>
                <w:lang w:eastAsia="zh-CN"/>
              </w:rPr>
              <w:t>政府采购云</w:t>
            </w:r>
            <w:r>
              <w:rPr>
                <w:rFonts w:hint="eastAsia" w:ascii="宋体" w:hAnsi="宋体"/>
                <w:b/>
                <w:color w:val="auto"/>
                <w:szCs w:val="21"/>
                <w:highlight w:val="none"/>
              </w:rPr>
              <w:t>平台项目采购全流程电子化电子开评标规程执行项目采购活动，代理机构在</w:t>
            </w:r>
            <w:r>
              <w:rPr>
                <w:rFonts w:hint="eastAsia" w:ascii="宋体" w:hAnsi="宋体"/>
                <w:b/>
                <w:color w:val="auto"/>
                <w:szCs w:val="21"/>
                <w:highlight w:val="none"/>
                <w:lang w:eastAsia="zh-CN"/>
              </w:rPr>
              <w:t>“广西政府采购云平台”</w:t>
            </w:r>
            <w:r>
              <w:rPr>
                <w:rFonts w:hint="eastAsia" w:ascii="宋体" w:hAnsi="宋体"/>
                <w:b/>
                <w:color w:val="auto"/>
                <w:szCs w:val="21"/>
                <w:highlight w:val="none"/>
              </w:rPr>
              <w:t>“项目管理”—“采购文件管理”内开评标规则设置作为本采购文件的组成部分，截标之后不可更改，因代理机构开评标规则设置错误导致采购活动无法开展下去的情况，由代理机构负责解释并承担其后果。</w:t>
            </w:r>
          </w:p>
        </w:tc>
      </w:tr>
      <w:tr w14:paraId="5A7B8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7DAB49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DAA4A0C">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521AB08">
            <w:pPr>
              <w:pStyle w:val="20"/>
              <w:snapToGrid w:val="0"/>
              <w:spacing w:line="400" w:lineRule="exact"/>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D74D972">
            <w:pPr>
              <w:pStyle w:val="20"/>
              <w:snapToGrid w:val="0"/>
              <w:spacing w:line="400" w:lineRule="exact"/>
              <w:rPr>
                <w:rFonts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DDE4FA0">
            <w:pPr>
              <w:pStyle w:val="20"/>
              <w:snapToGrid w:val="0"/>
              <w:spacing w:line="400" w:lineRule="exact"/>
              <w:rPr>
                <w:rFonts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58411F56">
            <w:pPr>
              <w:pStyle w:val="20"/>
              <w:snapToGrid w:val="0"/>
              <w:spacing w:line="400" w:lineRule="exact"/>
              <w:rPr>
                <w:rFonts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41ADDCF7">
            <w:pPr>
              <w:pStyle w:val="20"/>
              <w:snapToGrid w:val="0"/>
              <w:spacing w:line="400" w:lineRule="exact"/>
              <w:rPr>
                <w:rFonts w:hAnsi="宋体" w:cs="宋体"/>
                <w:color w:val="auto"/>
                <w:highlight w:val="none"/>
              </w:rPr>
            </w:pPr>
            <w:r>
              <w:rPr>
                <w:rFonts w:hint="eastAsia" w:hAnsi="宋体" w:cs="宋体"/>
                <w:color w:val="auto"/>
                <w:sz w:val="21"/>
                <w:highlight w:val="none"/>
              </w:rPr>
              <w:t>5.本磋商文件所称的“以上”“以下”“以内”“届满”，包括本数；所称的“不满”“超过”“以外”，不包括本数。</w:t>
            </w:r>
          </w:p>
        </w:tc>
      </w:tr>
    </w:tbl>
    <w:p w14:paraId="207F8099">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678B9818">
      <w:pPr>
        <w:spacing w:line="400" w:lineRule="exact"/>
        <w:jc w:val="center"/>
        <w:rPr>
          <w:rFonts w:ascii="宋体" w:hAnsi="宋体" w:cs="宋体"/>
          <w:b/>
          <w:color w:val="auto"/>
          <w:sz w:val="32"/>
          <w:szCs w:val="32"/>
          <w:highlight w:val="none"/>
        </w:rPr>
      </w:pPr>
    </w:p>
    <w:p w14:paraId="5BE83AE6">
      <w:pPr>
        <w:pStyle w:val="5"/>
        <w:spacing w:before="0" w:after="0" w:line="360" w:lineRule="auto"/>
        <w:ind w:firstLine="640" w:firstLineChars="200"/>
        <w:rPr>
          <w:rFonts w:ascii="宋体" w:hAnsi="宋体"/>
          <w:b w:val="0"/>
          <w:color w:val="auto"/>
          <w:highlight w:val="none"/>
        </w:rPr>
      </w:pPr>
      <w:bookmarkStart w:id="26" w:name="_Toc8899"/>
      <w:r>
        <w:rPr>
          <w:rFonts w:hint="eastAsia" w:ascii="宋体" w:hAnsi="宋体"/>
          <w:b w:val="0"/>
          <w:color w:val="auto"/>
          <w:highlight w:val="none"/>
        </w:rPr>
        <w:t>一、总则</w:t>
      </w:r>
      <w:bookmarkEnd w:id="26"/>
    </w:p>
    <w:p w14:paraId="15BF904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2675E3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DA372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C7BF75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72E372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48F7D2DC">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4353DA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44C4677B">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1CFE2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4F9251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3BB50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67DB6F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772F40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41BF0D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782E41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7E1ECB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1A9FC1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7BB34BE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0DDAA6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0D70D2F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42D763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09A13D5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B7BB9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1FBE2B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07F5B4D4">
      <w:pPr>
        <w:spacing w:line="360" w:lineRule="auto"/>
        <w:ind w:firstLine="420" w:firstLineChars="200"/>
        <w:rPr>
          <w:rFonts w:ascii="宋体" w:hAnsi="宋体"/>
          <w:bCs/>
          <w:color w:val="auto"/>
          <w:szCs w:val="21"/>
          <w:highlight w:val="none"/>
        </w:rPr>
      </w:pPr>
      <w:r>
        <w:rPr>
          <w:rFonts w:hint="eastAsia" w:ascii="宋体" w:hAnsi="宋体" w:cs="宋体"/>
          <w:color w:val="auto"/>
          <w:szCs w:val="21"/>
          <w:highlight w:val="none"/>
        </w:rPr>
        <w:t>5.3</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ascii="仿宋_GB2312" w:hAnsi="Calibri" w:eastAsia="仿宋_GB2312"/>
          <w:color w:val="auto"/>
          <w:sz w:val="24"/>
          <w:highlight w:val="none"/>
        </w:rPr>
        <w:t>）、</w:t>
      </w:r>
      <w:r>
        <w:rPr>
          <w:rFonts w:hint="eastAsia"/>
          <w:color w:val="auto"/>
          <w:highlight w:val="none"/>
        </w:rPr>
        <w:t>《广西壮族自治区财政厅关于贯彻落实政府采购支持中小企业发展政策的通知》（桂财采〔2022〕31号）</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 4%-6%（工程项目为</w:t>
      </w:r>
      <w:r>
        <w:rPr>
          <w:rFonts w:hint="eastAsia" w:ascii="宋体" w:hAnsi="宋体"/>
          <w:bCs/>
          <w:color w:val="auto"/>
          <w:szCs w:val="21"/>
          <w:highlight w:val="none"/>
        </w:rPr>
        <w:tab/>
      </w:r>
      <w:r>
        <w:rPr>
          <w:rFonts w:hint="eastAsia" w:ascii="宋体" w:hAnsi="宋体"/>
          <w:bCs/>
          <w:color w:val="auto"/>
          <w:szCs w:val="21"/>
          <w:highlight w:val="none"/>
        </w:rPr>
        <w:t>1%—2%）的扣除，用扣除后的价格参加评审。组成联合体的小微企业与联合体内其他企业、分包企业之间存在直接控股、管理关系的，不享受价格扣除优惠政策。</w:t>
      </w:r>
    </w:p>
    <w:p w14:paraId="71F1AE7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6.转包与分包</w:t>
      </w:r>
    </w:p>
    <w:p w14:paraId="6FB8FA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6.1本项目是否允许分包详见“供应商须知前附表”，本项目不允许分包。</w:t>
      </w:r>
    </w:p>
    <w:p w14:paraId="09093D91">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color w:val="auto"/>
          <w:highlight w:val="none"/>
        </w:rPr>
        <w:t>《广西壮族自治区财政厅关于贯彻落实政府采购支持中小企业发展政策的通知》（桂财采〔2022〕31号）</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30%以上的，采购人、采购代理机构应当对大中型企业的报价给予4%-6%的扣除，用扣除后的价格参加评审。接受分包的小微企业与分包企业之间存在直接控股、管理关系的，不享受价格扣除优惠政策。</w:t>
      </w:r>
    </w:p>
    <w:p w14:paraId="7BCB8AC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p>
    <w:p w14:paraId="47FBC2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w:t>
      </w:r>
      <w:r>
        <w:rPr>
          <w:rFonts w:hint="eastAsia" w:ascii="宋体" w:hAnsi="宋体"/>
          <w:color w:val="auto"/>
          <w:szCs w:val="21"/>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p w14:paraId="003A39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25B23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182C6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24E786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7565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F3727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318F0B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FF61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B0D34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088C0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BDD1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13DF07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78EB9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10204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24D405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76F2662D">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775950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5F6F45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0B3BF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B5FD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1AFBE1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184FCD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9DA38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1AD8BF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CD941B3">
      <w:pPr>
        <w:pStyle w:val="5"/>
        <w:spacing w:before="0" w:after="0" w:line="360" w:lineRule="auto"/>
        <w:ind w:firstLine="640" w:firstLineChars="200"/>
        <w:rPr>
          <w:rFonts w:ascii="宋体" w:hAnsi="宋体"/>
          <w:b w:val="0"/>
          <w:bCs w:val="0"/>
          <w:color w:val="auto"/>
          <w:highlight w:val="none"/>
        </w:rPr>
      </w:pPr>
      <w:bookmarkStart w:id="27" w:name="_Toc22373"/>
      <w:r>
        <w:rPr>
          <w:rFonts w:hint="eastAsia" w:ascii="宋体" w:hAnsi="宋体"/>
          <w:b w:val="0"/>
          <w:bCs w:val="0"/>
          <w:color w:val="auto"/>
          <w:highlight w:val="none"/>
        </w:rPr>
        <w:t>二、磋商文件</w:t>
      </w:r>
      <w:bookmarkEnd w:id="27"/>
    </w:p>
    <w:p w14:paraId="551F5E2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2367985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竞争性磋商公告；</w:t>
      </w:r>
    </w:p>
    <w:p w14:paraId="4AF34E1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采购需求；</w:t>
      </w:r>
    </w:p>
    <w:p w14:paraId="47257A9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第三章 供应商须知； </w:t>
      </w:r>
    </w:p>
    <w:p w14:paraId="399FF67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评审程序、评审方法和评审标准；</w:t>
      </w:r>
    </w:p>
    <w:p w14:paraId="27B0B6A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响应文件格式；</w:t>
      </w:r>
    </w:p>
    <w:p w14:paraId="28AB89F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合同文本；</w:t>
      </w:r>
    </w:p>
    <w:p w14:paraId="729847B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质疑、投诉材料格式。</w:t>
      </w:r>
    </w:p>
    <w:p w14:paraId="3F324C5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189B1B5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w:t>
      </w:r>
      <w:r>
        <w:rPr>
          <w:rFonts w:hint="eastAsia" w:ascii="宋体" w:hAnsi="宋体"/>
          <w:color w:val="auto"/>
          <w:szCs w:val="21"/>
          <w:highlight w:val="none"/>
          <w:lang w:eastAsia="zh-CN"/>
        </w:rPr>
        <w:t>供应商</w:t>
      </w:r>
      <w:r>
        <w:rPr>
          <w:rFonts w:hint="eastAsia" w:ascii="宋体" w:hAnsi="宋体"/>
          <w:color w:val="auto"/>
          <w:szCs w:val="21"/>
          <w:highlight w:val="none"/>
        </w:rPr>
        <w:t>应在提交首次响应文件截止之日前，以书面形式向采购人、采购代理机构提出。</w:t>
      </w:r>
    </w:p>
    <w:p w14:paraId="3D86786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0FDF34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438A2711">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5A50486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2264039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06925717">
      <w:pPr>
        <w:spacing w:line="360" w:lineRule="auto"/>
        <w:ind w:firstLine="420" w:firstLineChars="200"/>
        <w:rPr>
          <w:color w:val="auto"/>
          <w:highlight w:val="none"/>
        </w:rPr>
      </w:pPr>
      <w:r>
        <w:rPr>
          <w:rFonts w:hAnsi="宋体"/>
          <w:color w:val="auto"/>
          <w:highlight w:val="none"/>
        </w:rPr>
        <w:t>10.5</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4A4A5E91">
      <w:pPr>
        <w:spacing w:line="360" w:lineRule="auto"/>
        <w:ind w:firstLine="422" w:firstLineChars="200"/>
        <w:rPr>
          <w:rFonts w:hint="eastAsia" w:ascii="Arial" w:hAnsi="Arial" w:eastAsia="宋体" w:cs="Arial"/>
          <w:b/>
          <w:bCs/>
          <w:color w:val="auto"/>
          <w:highlight w:val="none"/>
          <w:shd w:val="clear" w:color="auto" w:fill="FFFFFF"/>
        </w:rPr>
      </w:pPr>
      <w:r>
        <w:rPr>
          <w:rFonts w:hint="eastAsia" w:ascii="Arial" w:hAnsi="Arial" w:eastAsia="宋体" w:cs="Arial"/>
          <w:b/>
          <w:bCs/>
          <w:color w:val="auto"/>
          <w:highlight w:val="none"/>
          <w:shd w:val="clear" w:color="auto" w:fill="FFFFFF"/>
        </w:rPr>
        <w:t>▲响应文件未按磋商文件的澄清、修改的内容编制，又不符合实质性要求的，其响应文件作无效处理。</w:t>
      </w:r>
    </w:p>
    <w:p w14:paraId="35593433">
      <w:pPr>
        <w:pStyle w:val="5"/>
        <w:spacing w:before="0" w:after="0" w:line="360" w:lineRule="auto"/>
        <w:ind w:firstLine="640" w:firstLineChars="200"/>
        <w:rPr>
          <w:rFonts w:ascii="宋体" w:hAnsi="宋体"/>
          <w:b w:val="0"/>
          <w:bCs w:val="0"/>
          <w:color w:val="auto"/>
          <w:highlight w:val="none"/>
        </w:rPr>
      </w:pPr>
      <w:bookmarkStart w:id="28" w:name="_Toc31199"/>
      <w:r>
        <w:rPr>
          <w:rFonts w:hint="eastAsia" w:ascii="宋体" w:hAnsi="宋体"/>
          <w:b w:val="0"/>
          <w:bCs w:val="0"/>
          <w:color w:val="auto"/>
          <w:highlight w:val="none"/>
        </w:rPr>
        <w:t>三、响应文件的编制</w:t>
      </w:r>
      <w:bookmarkEnd w:id="28"/>
    </w:p>
    <w:p w14:paraId="3F88769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66F30F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5930C2F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61F562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47460CBC">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5601889A">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59631EC2">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230845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3C35AD1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51981A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11ACD5F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34328E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C9ABC4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27660A8C">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09CF8AB4">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251C52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7D31B5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42AA68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（1）供应商必须就“采购需求”中所竞标的全部内容分别作完整唯一总价报价，不得存在漏项报价；</w:t>
      </w:r>
    </w:p>
    <w:p w14:paraId="486A6C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6780B5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15.3.2响应报价（包含首次报价、最后报价）超过所竞标规定的采购预算金额或者最高限价的，其响应文件将作无效处理。</w:t>
      </w:r>
    </w:p>
    <w:p w14:paraId="730119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15.3.3响应报价（包含首次报价、最后报价）超过分项采购预算金额或者最高限价的，其响应文件将作无效处理。</w:t>
      </w:r>
    </w:p>
    <w:p w14:paraId="450B1A2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281385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9CA1D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5051A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52C9396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502891B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17.1供应商须按</w:t>
      </w:r>
      <w:r>
        <w:rPr>
          <w:rFonts w:ascii="宋体" w:hAnsi="宋体" w:cs="宋体"/>
          <w:color w:val="auto"/>
          <w:szCs w:val="21"/>
          <w:highlight w:val="none"/>
        </w:rPr>
        <w:t>“</w:t>
      </w:r>
      <w:r>
        <w:rPr>
          <w:rFonts w:hint="eastAsia" w:ascii="宋体" w:hAnsi="宋体" w:cs="宋体"/>
          <w:color w:val="auto"/>
          <w:szCs w:val="21"/>
          <w:highlight w:val="none"/>
        </w:rPr>
        <w:t>供应商须知前附表</w:t>
      </w:r>
      <w:r>
        <w:rPr>
          <w:rFonts w:ascii="宋体" w:hAnsi="宋体" w:cs="宋体"/>
          <w:color w:val="auto"/>
          <w:szCs w:val="21"/>
          <w:highlight w:val="none"/>
        </w:rPr>
        <w:t>”</w:t>
      </w:r>
      <w:r>
        <w:rPr>
          <w:rFonts w:hint="eastAsia" w:ascii="宋体" w:hAnsi="宋体" w:cs="宋体"/>
          <w:color w:val="auto"/>
          <w:szCs w:val="21"/>
          <w:highlight w:val="none"/>
        </w:rPr>
        <w:t xml:space="preserve">的规定提交竞标保证金。 </w:t>
      </w:r>
    </w:p>
    <w:p w14:paraId="424341B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17.2竞标保证金的退还 </w:t>
      </w:r>
    </w:p>
    <w:p w14:paraId="4FE21C0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未成交供应商的竞标保证金自成交通知书发出之日起4个工作日内退还；成交供应商的竞标保证金自签订合同之日起4个工作日内退还。 </w:t>
      </w:r>
    </w:p>
    <w:p w14:paraId="5A6F20E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17.3竞标保证金不计息。 </w:t>
      </w:r>
    </w:p>
    <w:p w14:paraId="02BDAE4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17.4供应商有下列情形之一的，竞标保证金将不予退还： </w:t>
      </w:r>
    </w:p>
    <w:p w14:paraId="47C8885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（1）供应商在提交响应文件截止时间后撤回响应文件的； </w:t>
      </w:r>
    </w:p>
    <w:p w14:paraId="285ED2B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（2）未按规定提交履约保证金的； </w:t>
      </w:r>
    </w:p>
    <w:p w14:paraId="435B339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（3）供应商在响应文件中提供虚假材料的； </w:t>
      </w:r>
    </w:p>
    <w:p w14:paraId="7B8F77A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（4）除因不可抗力或者采购文件认可的情形以外，成交供应商不与采购人签订合同的； </w:t>
      </w:r>
    </w:p>
    <w:p w14:paraId="00B5368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（5）供应商与采购人、其他供应商或者采购代理机构恶意串通的； </w:t>
      </w:r>
    </w:p>
    <w:p w14:paraId="3AE440A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（6）法律法规规定的其他情形。 </w:t>
      </w:r>
    </w:p>
    <w:p w14:paraId="1979457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06814B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6D5546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62BBE5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r>
        <w:rPr>
          <w:rFonts w:hint="eastAsia" w:ascii="宋体" w:hAnsi="宋体" w:cs="宋体"/>
          <w:color w:val="auto"/>
          <w:szCs w:val="21"/>
          <w:highlight w:val="none"/>
        </w:rPr>
        <w:t>，否则其响应文件按无效响应处理。骑缝盖公章不视为在规定位置盖章。</w:t>
      </w:r>
    </w:p>
    <w:p w14:paraId="2C044D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4E2F28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392096A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6C6B37D9">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2D177B80">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19.2使用“广西政府采购云平台电子交易客户端”需要提前申领CA数字证书。</w:t>
      </w:r>
    </w:p>
    <w:p w14:paraId="0C76F676">
      <w:pPr>
        <w:pStyle w:val="20"/>
        <w:spacing w:line="360" w:lineRule="auto"/>
        <w:ind w:firstLine="420" w:firstLineChars="200"/>
        <w:rPr>
          <w:rFonts w:hAnsi="宋体" w:cs="仿宋_GB2312"/>
          <w:color w:val="auto"/>
          <w:sz w:val="21"/>
          <w:highlight w:val="none"/>
        </w:rPr>
      </w:pPr>
      <w:r>
        <w:rPr>
          <w:rFonts w:hint="eastAsia" w:hAnsi="宋体" w:cs="仿宋_GB2312"/>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705F0AF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585492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4C2313DD">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4592D89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20.3 在提交“最后报价”后，供应商不能退出谈判。</w:t>
      </w:r>
    </w:p>
    <w:p w14:paraId="590944D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4CFFF6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20.5 采购机构不可视情况延长提交响应文件的截止时间。</w:t>
      </w:r>
    </w:p>
    <w:p w14:paraId="0A0A05E5">
      <w:pPr>
        <w:spacing w:line="360" w:lineRule="auto"/>
        <w:ind w:firstLine="420" w:firstLineChars="200"/>
        <w:rPr>
          <w:rFonts w:ascii="黑体" w:hAnsi="黑体" w:eastAsia="黑体"/>
          <w:color w:val="auto"/>
          <w:sz w:val="24"/>
          <w:highlight w:val="none"/>
        </w:rPr>
      </w:pPr>
      <w:r>
        <w:rPr>
          <w:rFonts w:hint="eastAsia" w:ascii="宋体" w:hAnsi="宋体"/>
          <w:color w:val="auto"/>
          <w:szCs w:val="21"/>
          <w:highlight w:val="none"/>
        </w:rPr>
        <w:t>20.6备份响应文件。</w:t>
      </w:r>
      <w:r>
        <w:rPr>
          <w:rFonts w:hint="eastAsia" w:ascii="宋体" w:hAnsi="宋体"/>
          <w:color w:val="auto"/>
          <w:szCs w:val="21"/>
          <w:highlight w:val="none"/>
          <w:lang w:eastAsia="zh-CN"/>
        </w:rPr>
        <w:t>详见</w:t>
      </w:r>
      <w:r>
        <w:rPr>
          <w:rFonts w:hint="eastAsia" w:hAnsi="宋体"/>
          <w:bCs/>
          <w:color w:val="auto"/>
          <w:szCs w:val="21"/>
          <w:highlight w:val="none"/>
        </w:rPr>
        <w:t>“供应商须知前附表”。</w:t>
      </w:r>
    </w:p>
    <w:p w14:paraId="5724826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2CCC8E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0A0C95F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22. 首次响应文件的退回</w:t>
      </w:r>
    </w:p>
    <w:p w14:paraId="538DE8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0AE1C13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247F4915">
      <w:pPr>
        <w:snapToGrid w:val="0"/>
        <w:spacing w:line="360" w:lineRule="auto"/>
        <w:ind w:firstLine="420" w:firstLineChars="200"/>
        <w:rPr>
          <w:rFonts w:ascii="宋体" w:hAnsi="宋体"/>
          <w:color w:val="auto"/>
          <w:szCs w:val="21"/>
          <w:highlight w:val="none"/>
        </w:rPr>
      </w:pPr>
      <w:r>
        <w:rPr>
          <w:rFonts w:hint="eastAsia" w:ascii="宋体...骝乧." w:hAnsi="宋体...骝乧." w:eastAsia="宋体...骝乧."/>
          <w:color w:val="auto"/>
          <w:highlight w:val="none"/>
        </w:rPr>
        <w:t>供应商在响应文件提交截止时间后向采购人、采购代理机构书面申请撤回响应文件的，将根据本须知正文第17.4条的规定不予退还其竞标保证金。</w:t>
      </w:r>
    </w:p>
    <w:p w14:paraId="2347C08C">
      <w:pPr>
        <w:pStyle w:val="5"/>
        <w:spacing w:before="0" w:after="0" w:line="360" w:lineRule="auto"/>
        <w:ind w:firstLine="640" w:firstLineChars="200"/>
        <w:rPr>
          <w:rFonts w:ascii="宋体" w:hAnsi="宋体"/>
          <w:b w:val="0"/>
          <w:bCs w:val="0"/>
          <w:color w:val="auto"/>
          <w:highlight w:val="none"/>
        </w:rPr>
      </w:pPr>
      <w:bookmarkStart w:id="29" w:name="_Toc31550"/>
      <w:r>
        <w:rPr>
          <w:rFonts w:hint="eastAsia" w:ascii="宋体" w:hAnsi="宋体"/>
          <w:b w:val="0"/>
          <w:bCs w:val="0"/>
          <w:color w:val="auto"/>
          <w:highlight w:val="none"/>
        </w:rPr>
        <w:t>四、评审及磋商</w:t>
      </w:r>
      <w:bookmarkEnd w:id="29"/>
    </w:p>
    <w:p w14:paraId="7453C44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1CA8B0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7FA43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323043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6DE7A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3034CEFF">
      <w:pPr>
        <w:pStyle w:val="20"/>
        <w:spacing w:line="360" w:lineRule="auto"/>
        <w:ind w:firstLine="420" w:firstLineChars="200"/>
        <w:rPr>
          <w:rFonts w:hAnsi="宋体"/>
          <w:bCs/>
          <w:color w:val="auto"/>
          <w:sz w:val="21"/>
          <w:highlight w:val="none"/>
        </w:rPr>
      </w:pPr>
      <w:r>
        <w:rPr>
          <w:rFonts w:hint="eastAsia" w:hAnsi="宋体" w:cs="宋体"/>
          <w:color w:val="auto"/>
          <w:sz w:val="21"/>
          <w:highlight w:val="none"/>
        </w:rPr>
        <w:t xml:space="preserve">25.2 </w:t>
      </w:r>
      <w:r>
        <w:rPr>
          <w:rFonts w:hint="eastAsia" w:hAnsi="宋体"/>
          <w:bCs/>
          <w:color w:val="auto"/>
          <w:sz w:val="21"/>
          <w:highlight w:val="none"/>
        </w:rPr>
        <w:t>响应文件解密</w:t>
      </w:r>
    </w:p>
    <w:p w14:paraId="2C03FC83">
      <w:pPr>
        <w:pStyle w:val="20"/>
        <w:snapToGrid w:val="0"/>
        <w:spacing w:line="360" w:lineRule="auto"/>
        <w:ind w:firstLine="420" w:firstLineChars="200"/>
        <w:rPr>
          <w:rFonts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ascii="宋体" w:hAnsi="宋体" w:eastAsia="宋体" w:cs="Times New Roman"/>
          <w:b/>
          <w:bCs w:val="0"/>
          <w:color w:val="auto"/>
          <w:sz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color w:val="auto"/>
          <w:highlight w:val="none"/>
        </w:rPr>
        <w:t>。</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26.4 电子交易活动的中止。）</w:t>
      </w:r>
    </w:p>
    <w:p w14:paraId="360369FD">
      <w:pPr>
        <w:spacing w:line="360" w:lineRule="auto"/>
        <w:ind w:firstLine="420" w:firstLineChars="200"/>
        <w:rPr>
          <w:rFonts w:ascii="宋体" w:hAnsi="Courier New"/>
          <w:color w:val="auto"/>
          <w:kern w:val="0"/>
          <w:szCs w:val="21"/>
          <w:highlight w:val="none"/>
        </w:rPr>
      </w:pPr>
      <w:r>
        <w:rPr>
          <w:rFonts w:hint="eastAsia" w:ascii="宋体" w:hAnsi="宋体"/>
          <w:color w:val="auto"/>
          <w:kern w:val="0"/>
          <w:szCs w:val="21"/>
          <w:highlight w:val="none"/>
        </w:rPr>
        <w:t>如</w:t>
      </w:r>
      <w:r>
        <w:rPr>
          <w:rFonts w:hint="eastAsia" w:ascii="宋体" w:hAnsi="宋体"/>
          <w:bCs/>
          <w:color w:val="auto"/>
          <w:kern w:val="0"/>
          <w:szCs w:val="21"/>
          <w:highlight w:val="none"/>
        </w:rPr>
        <w:t>供应商成功解密响应文件，但未在广西政府采购云平台电子开标大厅参加磋商的，视同认可磋商过程和结果，</w:t>
      </w:r>
      <w:r>
        <w:rPr>
          <w:rFonts w:hint="eastAsia" w:ascii="宋体" w:hAnsi="宋体"/>
          <w:color w:val="auto"/>
          <w:kern w:val="0"/>
          <w:szCs w:val="21"/>
          <w:highlight w:val="none"/>
        </w:rPr>
        <w:t>由此产生的后果由供应商自行负责。 参与</w:t>
      </w:r>
      <w:r>
        <w:rPr>
          <w:rFonts w:hint="eastAsia" w:ascii="宋体" w:hAnsi="宋体"/>
          <w:bCs/>
          <w:color w:val="auto"/>
          <w:kern w:val="0"/>
          <w:szCs w:val="21"/>
          <w:highlight w:val="none"/>
        </w:rPr>
        <w:t>磋商</w:t>
      </w:r>
      <w:r>
        <w:rPr>
          <w:rFonts w:hint="eastAsia" w:ascii="宋体" w:hAnsi="宋体"/>
          <w:color w:val="auto"/>
          <w:kern w:val="0"/>
          <w:szCs w:val="21"/>
          <w:highlight w:val="none"/>
        </w:rPr>
        <w:t>的供应商</w:t>
      </w:r>
      <w:r>
        <w:rPr>
          <w:rFonts w:hint="eastAsia" w:ascii="宋体" w:hAnsi="Courier New"/>
          <w:color w:val="auto"/>
          <w:kern w:val="0"/>
          <w:szCs w:val="21"/>
          <w:highlight w:val="none"/>
        </w:rPr>
        <w:t>不足3家的，不得</w:t>
      </w:r>
      <w:r>
        <w:rPr>
          <w:rFonts w:hint="eastAsia" w:ascii="宋体" w:hAnsi="宋体"/>
          <w:bCs/>
          <w:color w:val="auto"/>
          <w:kern w:val="0"/>
          <w:szCs w:val="21"/>
          <w:highlight w:val="none"/>
        </w:rPr>
        <w:t>磋商</w:t>
      </w:r>
      <w:r>
        <w:rPr>
          <w:rFonts w:hint="eastAsia" w:ascii="宋体" w:hAnsi="Courier New"/>
          <w:color w:val="auto"/>
          <w:kern w:val="0"/>
          <w:szCs w:val="21"/>
          <w:highlight w:val="none"/>
        </w:rPr>
        <w:t>。</w:t>
      </w:r>
    </w:p>
    <w:p w14:paraId="7E97393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26.评审程序、评审方法和评审标准</w:t>
      </w:r>
    </w:p>
    <w:p w14:paraId="40416A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626B9366">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 xml:space="preserve">26.2 </w:t>
      </w:r>
      <w:r>
        <w:rPr>
          <w:rFonts w:hint="eastAsia" w:ascii="宋体" w:hAnsi="宋体" w:cs="宋体"/>
          <w:color w:val="auto"/>
          <w:szCs w:val="21"/>
          <w:highlight w:val="none"/>
        </w:rPr>
        <w:t>磋商文件内容违反国家有关强制性规定的，磋商小组应当停止评审并向采购人或者采购代理机构说明情况，并在评审报告中书面体现。</w:t>
      </w:r>
    </w:p>
    <w:p w14:paraId="2E5EC30E">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 xml:space="preserve">26.3 </w:t>
      </w:r>
      <w:r>
        <w:rPr>
          <w:rFonts w:hint="eastAsia" w:ascii="宋体" w:hAnsi="宋体"/>
          <w:color w:val="auto"/>
          <w:szCs w:val="21"/>
          <w:highlight w:val="none"/>
        </w:rPr>
        <w:t>采购需求负偏离要求及磋商顺序详见 “ 供应商须知前附表”。</w:t>
      </w:r>
    </w:p>
    <w:p w14:paraId="1860F307">
      <w:pPr>
        <w:spacing w:line="360" w:lineRule="auto"/>
        <w:ind w:firstLine="420" w:firstLineChars="200"/>
        <w:rPr>
          <w:rFonts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7720858E">
      <w:pPr>
        <w:spacing w:line="360" w:lineRule="auto"/>
        <w:ind w:firstLine="420" w:firstLineChars="200"/>
        <w:rPr>
          <w:rFonts w:ascii="宋体" w:hAnsi="宋体"/>
          <w:color w:val="auto"/>
          <w:highlight w:val="none"/>
        </w:rPr>
      </w:pPr>
      <w:r>
        <w:rPr>
          <w:rFonts w:hint="eastAsia" w:ascii="宋体" w:hAnsi="宋体"/>
          <w:color w:val="auto"/>
          <w:highlight w:val="none"/>
        </w:rPr>
        <w:t xml:space="preserve">（1）电子交易平台发生故障而无法登录访问的； </w:t>
      </w:r>
    </w:p>
    <w:p w14:paraId="74227549">
      <w:pPr>
        <w:spacing w:line="360" w:lineRule="auto"/>
        <w:ind w:firstLine="420" w:firstLineChars="200"/>
        <w:rPr>
          <w:rFonts w:ascii="宋体" w:hAnsi="宋体"/>
          <w:color w:val="auto"/>
          <w:highlight w:val="none"/>
        </w:rPr>
      </w:pPr>
      <w:r>
        <w:rPr>
          <w:rFonts w:hint="eastAsia" w:ascii="宋体" w:hAnsi="宋体"/>
          <w:color w:val="auto"/>
          <w:highlight w:val="none"/>
        </w:rPr>
        <w:t>（2）电子交易平台应用或数据库出现错误，不能进行正常操作的；</w:t>
      </w:r>
    </w:p>
    <w:p w14:paraId="5EC68638">
      <w:pPr>
        <w:spacing w:line="360" w:lineRule="auto"/>
        <w:ind w:firstLine="420" w:firstLineChars="200"/>
        <w:rPr>
          <w:rFonts w:ascii="宋体" w:hAnsi="宋体"/>
          <w:color w:val="auto"/>
          <w:highlight w:val="none"/>
        </w:rPr>
      </w:pPr>
      <w:r>
        <w:rPr>
          <w:rFonts w:hint="eastAsia" w:ascii="宋体" w:hAnsi="宋体"/>
          <w:color w:val="auto"/>
          <w:highlight w:val="none"/>
        </w:rPr>
        <w:t>（3）电子交易平台发现严重安全漏洞，有潜在泄密危险的；</w:t>
      </w:r>
    </w:p>
    <w:p w14:paraId="63424CB0">
      <w:pPr>
        <w:spacing w:line="360" w:lineRule="auto"/>
        <w:ind w:firstLine="420" w:firstLineChars="200"/>
        <w:rPr>
          <w:rFonts w:ascii="宋体" w:hAnsi="宋体"/>
          <w:color w:val="auto"/>
          <w:highlight w:val="none"/>
        </w:rPr>
      </w:pPr>
      <w:r>
        <w:rPr>
          <w:rFonts w:hint="eastAsia" w:ascii="宋体" w:hAnsi="宋体"/>
          <w:color w:val="auto"/>
          <w:highlight w:val="none"/>
        </w:rPr>
        <w:t xml:space="preserve">（4）病毒发作导致不能进行正常操作的； </w:t>
      </w:r>
    </w:p>
    <w:p w14:paraId="63F367E3">
      <w:pPr>
        <w:spacing w:line="360" w:lineRule="auto"/>
        <w:ind w:firstLine="420" w:firstLineChars="200"/>
        <w:rPr>
          <w:rFonts w:ascii="宋体" w:hAnsi="宋体"/>
          <w:color w:val="auto"/>
          <w:highlight w:val="none"/>
        </w:rPr>
      </w:pPr>
      <w:r>
        <w:rPr>
          <w:rFonts w:hint="eastAsia" w:ascii="宋体" w:hAnsi="宋体"/>
          <w:color w:val="auto"/>
          <w:highlight w:val="none"/>
        </w:rPr>
        <w:t>（5）其他无法保证电子交易的公平、公正和安全的情况。</w:t>
      </w:r>
    </w:p>
    <w:p w14:paraId="2F1405F1">
      <w:pPr>
        <w:spacing w:line="360" w:lineRule="auto"/>
        <w:ind w:firstLine="420" w:firstLineChars="200"/>
        <w:rPr>
          <w:rFonts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r>
        <w:rPr>
          <w:rFonts w:hint="eastAsia" w:ascii="宋体" w:hAnsi="宋体"/>
          <w:color w:val="auto"/>
          <w:highlight w:val="none"/>
          <w:lang w:eastAsia="zh-CN"/>
        </w:rPr>
        <w:t>做出</w:t>
      </w:r>
      <w:r>
        <w:rPr>
          <w:rFonts w:hint="eastAsia" w:ascii="宋体" w:hAnsi="宋体"/>
          <w:color w:val="auto"/>
          <w:highlight w:val="none"/>
        </w:rPr>
        <w:t>妥善保密处理，并报财政部门备案。</w:t>
      </w:r>
    </w:p>
    <w:p w14:paraId="0CC1DFF2">
      <w:pPr>
        <w:pStyle w:val="5"/>
        <w:spacing w:before="0" w:after="0" w:line="360" w:lineRule="auto"/>
        <w:ind w:firstLine="480" w:firstLineChars="150"/>
        <w:rPr>
          <w:rFonts w:ascii="宋体" w:hAnsi="宋体"/>
          <w:b w:val="0"/>
          <w:bCs w:val="0"/>
          <w:color w:val="auto"/>
          <w:highlight w:val="none"/>
        </w:rPr>
      </w:pPr>
      <w:bookmarkStart w:id="30" w:name="_Toc32496"/>
      <w:r>
        <w:rPr>
          <w:rFonts w:hint="eastAsia" w:ascii="宋体" w:hAnsi="宋体"/>
          <w:b w:val="0"/>
          <w:bCs w:val="0"/>
          <w:color w:val="auto"/>
          <w:highlight w:val="none"/>
        </w:rPr>
        <w:t>五、成交及合同</w:t>
      </w:r>
      <w:bookmarkEnd w:id="30"/>
    </w:p>
    <w:p w14:paraId="11D3884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699313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磋商小组直接确定成交供应商。采购人逾期未确定成交供应商且不提出异议的，视为确定评审报告提出的排名第一的成交候选人为成交供应商。</w:t>
      </w:r>
    </w:p>
    <w:p w14:paraId="6EC9A2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w:t>
      </w:r>
    </w:p>
    <w:p w14:paraId="74DC4B5F">
      <w:pPr>
        <w:spacing w:line="360" w:lineRule="auto"/>
        <w:ind w:firstLine="420" w:firstLineChars="200"/>
        <w:rPr>
          <w:rFonts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59A44F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9F848AF">
      <w:pPr>
        <w:spacing w:line="360" w:lineRule="auto"/>
        <w:ind w:firstLine="420" w:firstLineChars="200"/>
        <w:rPr>
          <w:rFonts w:ascii="宋体" w:hAnsi="宋体" w:cs="宋体"/>
          <w:color w:val="auto"/>
          <w:szCs w:val="21"/>
          <w:highlight w:val="none"/>
        </w:rPr>
      </w:pPr>
      <w:r>
        <w:rPr>
          <w:rFonts w:hint="eastAsia" w:ascii="宋体" w:hAnsi="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1F9B011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478EE816">
      <w:pPr>
        <w:spacing w:line="360" w:lineRule="auto"/>
        <w:ind w:firstLine="420" w:firstLineChars="200"/>
        <w:rPr>
          <w:rFonts w:ascii="黑体" w:hAnsi="黑体" w:eastAsia="黑体" w:cs="宋体"/>
          <w:b/>
          <w:bCs/>
          <w:color w:val="auto"/>
          <w:sz w:val="24"/>
          <w:highlight w:val="none"/>
        </w:rPr>
      </w:pPr>
      <w:r>
        <w:rPr>
          <w:rFonts w:hint="eastAsia" w:ascii="宋体" w:hAnsi="宋体" w:cs="宋体"/>
          <w:color w:val="auto"/>
          <w:szCs w:val="21"/>
          <w:highlight w:val="none"/>
        </w:rPr>
        <w:t>详见 “供应商须知前附表”</w:t>
      </w:r>
    </w:p>
    <w:p w14:paraId="73097B3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41F7B1C5">
      <w:pPr>
        <w:pStyle w:val="102"/>
        <w:snapToGrid w:val="0"/>
        <w:spacing w:before="0"/>
        <w:ind w:firstLine="420"/>
        <w:rPr>
          <w:rFonts w:ascii="宋体" w:hAnsi="宋体"/>
          <w:color w:val="auto"/>
          <w:sz w:val="21"/>
          <w:szCs w:val="21"/>
          <w:highlight w:val="none"/>
          <w:lang w:val="zh-CN"/>
        </w:rPr>
      </w:pPr>
      <w:r>
        <w:rPr>
          <w:rFonts w:hint="eastAsia" w:ascii="宋体" w:hAnsi="宋体" w:cs="宋体"/>
          <w:color w:val="auto"/>
          <w:sz w:val="21"/>
          <w:szCs w:val="21"/>
          <w:highlight w:val="none"/>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rPr>
        <w:t>如成交供应商为联合体的，由联合体成员各方法定代表人或其授权代表与采购人代表签订合同。</w:t>
      </w:r>
    </w:p>
    <w:p w14:paraId="6F9D9D7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1DA5C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2B540A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C5FB5F0">
      <w:pPr>
        <w:pStyle w:val="102"/>
        <w:spacing w:before="0"/>
        <w:ind w:firstLine="420"/>
        <w:rPr>
          <w:rFonts w:ascii="宋体" w:hAnsi="宋体" w:cs="宋体"/>
          <w:color w:val="auto"/>
          <w:szCs w:val="21"/>
          <w:highlight w:val="none"/>
        </w:rPr>
      </w:pPr>
      <w:r>
        <w:rPr>
          <w:rFonts w:hint="eastAsia" w:ascii="宋体" w:hAnsi="宋体" w:cs="仿宋_GB2312"/>
          <w:color w:val="auto"/>
          <w:sz w:val="21"/>
          <w:szCs w:val="21"/>
          <w:highlight w:val="none"/>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rPr>
        <w:t>、响应文件等内容通过政府采购电子交易平台在线签订，自动备案，在线签订须携带的材料见“供应商须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rPr>
        <w:t>”。</w:t>
      </w:r>
    </w:p>
    <w:p w14:paraId="3F0587D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289E9120">
      <w:pPr>
        <w:spacing w:line="360" w:lineRule="auto"/>
        <w:ind w:firstLine="420" w:firstLineChars="200"/>
        <w:rPr>
          <w:rFonts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上公告，但政府采购合同中涉及国家秘密、商业秘密的内容除外。</w:t>
      </w:r>
    </w:p>
    <w:p w14:paraId="498F776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31. 询问、质疑和投诉</w:t>
      </w:r>
    </w:p>
    <w:p w14:paraId="47B7A28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2816A98B">
      <w:pPr>
        <w:spacing w:line="360" w:lineRule="auto"/>
        <w:ind w:firstLine="420" w:firstLineChars="200"/>
        <w:rPr>
          <w:rFonts w:ascii="宋体" w:hAnsi="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具体质疑起算时间及处理方式如下：</w:t>
      </w:r>
    </w:p>
    <w:p w14:paraId="07B3C092">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5D0581B9">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D3D8ADB">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6A114BF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1D9147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2CB31FC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5994CF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7A374FE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5E9BCD0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25FC7EF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508C32E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17B6BFC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5391FB1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6E2040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F10B00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911AC1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597220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BEDA0DF">
      <w:pPr>
        <w:pStyle w:val="5"/>
        <w:spacing w:before="0" w:after="0" w:line="360" w:lineRule="auto"/>
        <w:ind w:firstLine="315" w:firstLineChars="98"/>
        <w:rPr>
          <w:rFonts w:ascii="宋体" w:hAnsi="宋体"/>
          <w:b w:val="0"/>
          <w:color w:val="auto"/>
          <w:highlight w:val="none"/>
        </w:rPr>
      </w:pPr>
      <w:bookmarkStart w:id="31" w:name="_Toc21978"/>
      <w:r>
        <w:rPr>
          <w:rFonts w:hint="eastAsia" w:ascii="宋体" w:hAnsi="宋体"/>
          <w:color w:val="auto"/>
          <w:highlight w:val="none"/>
        </w:rPr>
        <w:t>六</w:t>
      </w:r>
      <w:r>
        <w:rPr>
          <w:rFonts w:hint="eastAsia" w:ascii="宋体" w:hAnsi="宋体"/>
          <w:b w:val="0"/>
          <w:color w:val="auto"/>
          <w:highlight w:val="none"/>
        </w:rPr>
        <w:t>、验收</w:t>
      </w:r>
      <w:bookmarkEnd w:id="31"/>
    </w:p>
    <w:p w14:paraId="1282D5B7">
      <w:pPr>
        <w:tabs>
          <w:tab w:val="left" w:pos="0"/>
        </w:tabs>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5C461799">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6D1585F">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4A7F395F">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B610D88">
      <w:pPr>
        <w:tabs>
          <w:tab w:val="left" w:pos="0"/>
        </w:tabs>
        <w:spacing w:line="360" w:lineRule="auto"/>
        <w:ind w:firstLine="420" w:firstLineChars="200"/>
        <w:rPr>
          <w:rFonts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D2C1C6C">
      <w:pPr>
        <w:pStyle w:val="5"/>
        <w:spacing w:before="0" w:after="0" w:line="360" w:lineRule="auto"/>
        <w:ind w:firstLine="320" w:firstLineChars="100"/>
        <w:rPr>
          <w:rFonts w:ascii="宋体" w:hAnsi="宋体"/>
          <w:b w:val="0"/>
          <w:bCs w:val="0"/>
          <w:color w:val="auto"/>
          <w:highlight w:val="none"/>
        </w:rPr>
      </w:pPr>
      <w:bookmarkStart w:id="32" w:name="_Toc32456"/>
      <w:r>
        <w:rPr>
          <w:rFonts w:hint="eastAsia" w:ascii="宋体" w:hAnsi="宋体"/>
          <w:b w:val="0"/>
          <w:bCs w:val="0"/>
          <w:color w:val="auto"/>
          <w:highlight w:val="none"/>
        </w:rPr>
        <w:t>七、其他事项</w:t>
      </w:r>
      <w:bookmarkEnd w:id="32"/>
    </w:p>
    <w:p w14:paraId="10FFFC9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030BDEF8">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w:t>
      </w:r>
      <w:r>
        <w:rPr>
          <w:rFonts w:hint="eastAsia" w:ascii="宋体" w:hAnsi="宋体" w:cs="宋体"/>
          <w:color w:val="auto"/>
          <w:szCs w:val="21"/>
          <w:highlight w:val="none"/>
          <w:lang w:eastAsia="zh-CN"/>
        </w:rPr>
        <w:t>缴纳</w:t>
      </w:r>
      <w:r>
        <w:rPr>
          <w:rFonts w:hint="eastAsia" w:ascii="宋体" w:hAnsi="宋体" w:cs="宋体"/>
          <w:color w:val="auto"/>
          <w:szCs w:val="21"/>
          <w:highlight w:val="none"/>
        </w:rPr>
        <w:t>代理服务费。</w:t>
      </w:r>
    </w:p>
    <w:p w14:paraId="5D189F8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386982D1">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34.1本磋商文件解释规则详见“供应商须知前附表”。</w:t>
      </w:r>
    </w:p>
    <w:p w14:paraId="16874259">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34.2 其他事项详见“供应商须知前附表”。</w:t>
      </w:r>
    </w:p>
    <w:p w14:paraId="4C1A6115">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auto"/>
          <w:kern w:val="2"/>
          <w:sz w:val="21"/>
          <w:highlight w:val="none"/>
        </w:rPr>
        <w:t>，享受本文件规定的中小企业扶持政策。</w:t>
      </w:r>
    </w:p>
    <w:p w14:paraId="30A41FE8">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40CAB41F">
      <w:pPr>
        <w:pStyle w:val="20"/>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依据本文件规定享受扶持政策获得政府采购合同的，小微企业不得将合同分包给大中型企业，中型企业不得将合同分包给大型企业。</w:t>
      </w:r>
    </w:p>
    <w:p w14:paraId="18F29660">
      <w:pPr>
        <w:spacing w:line="580" w:lineRule="exact"/>
        <w:ind w:firstLine="640" w:firstLineChars="20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广西线上“政采贷”政策告知函</w:t>
      </w:r>
    </w:p>
    <w:p w14:paraId="3E2C8675">
      <w:pPr>
        <w:spacing w:line="580" w:lineRule="exact"/>
        <w:ind w:firstLine="420" w:firstLineChars="200"/>
        <w:rPr>
          <w:rFonts w:hint="eastAsia" w:ascii="宋体" w:hAnsi="宋体" w:cs="宋体"/>
          <w:color w:val="auto"/>
          <w:szCs w:val="32"/>
          <w:highlight w:val="none"/>
        </w:rPr>
      </w:pPr>
    </w:p>
    <w:p w14:paraId="4B72FE2A">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各供应商：</w:t>
      </w:r>
    </w:p>
    <w:p w14:paraId="6B2C3D78">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欢迎贵公司参与广西政府采购活动！</w:t>
      </w:r>
    </w:p>
    <w:p w14:paraId="15DC5E9E">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A25DF6D">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相关金融产品和银行业金融机构联系方式，可在中征应收账款融资服务平台查询（网址：</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"https://www.crcrfsp.com/" </w:instrText>
      </w:r>
      <w:r>
        <w:rPr>
          <w:rFonts w:hint="eastAsia" w:ascii="宋体" w:hAnsi="宋体" w:cs="宋体"/>
          <w:color w:val="auto"/>
          <w:szCs w:val="21"/>
          <w:highlight w:val="none"/>
        </w:rPr>
        <w:fldChar w:fldCharType="separate"/>
      </w:r>
      <w:r>
        <w:rPr>
          <w:rStyle w:val="39"/>
          <w:rFonts w:hint="eastAsia" w:ascii="宋体" w:hAnsi="宋体" w:cs="宋体"/>
          <w:color w:val="auto"/>
          <w:szCs w:val="21"/>
          <w:highlight w:val="none"/>
        </w:rPr>
        <w:t>https://www.crcrfsp.com/</w:t>
      </w:r>
      <w:r>
        <w:rPr>
          <w:rFonts w:hint="eastAsia" w:ascii="宋体" w:hAnsi="宋体" w:cs="宋体"/>
          <w:color w:val="auto"/>
          <w:szCs w:val="21"/>
          <w:highlight w:val="none"/>
        </w:rPr>
        <w:fldChar w:fldCharType="end"/>
      </w:r>
      <w:r>
        <w:rPr>
          <w:rFonts w:hint="eastAsia" w:ascii="宋体" w:hAnsi="宋体" w:cs="宋体"/>
          <w:color w:val="auto"/>
          <w:szCs w:val="21"/>
          <w:highlight w:val="none"/>
        </w:rPr>
        <w:t>，客服电话：400-009-0001）。</w:t>
      </w:r>
    </w:p>
    <w:p w14:paraId="350CF361">
      <w:pPr>
        <w:pStyle w:val="6"/>
        <w:rPr>
          <w:color w:val="auto"/>
          <w:highlight w:val="none"/>
        </w:rPr>
      </w:pPr>
    </w:p>
    <w:p w14:paraId="22FE9DDC">
      <w:pPr>
        <w:rPr>
          <w:rFonts w:ascii="宋体" w:hAnsi="宋体" w:cs="宋体"/>
          <w:color w:val="auto"/>
          <w:highlight w:val="none"/>
        </w:rPr>
      </w:pPr>
    </w:p>
    <w:p w14:paraId="408CBC41">
      <w:pPr>
        <w:pStyle w:val="3"/>
        <w:jc w:val="center"/>
        <w:rPr>
          <w:rFonts w:ascii="宋体" w:hAnsi="宋体" w:cs="宋体"/>
          <w:color w:val="auto"/>
          <w:highlight w:val="none"/>
        </w:rPr>
      </w:pPr>
      <w:bookmarkStart w:id="33" w:name="_Toc5334"/>
      <w:bookmarkStart w:id="34" w:name="_Toc10544"/>
      <w:bookmarkStart w:id="35" w:name="_Toc15482"/>
      <w:bookmarkStart w:id="36" w:name="_Toc12116"/>
      <w:bookmarkStart w:id="37" w:name="_Toc9339"/>
      <w:r>
        <w:rPr>
          <w:rFonts w:hint="eastAsia" w:ascii="宋体" w:hAnsi="宋体" w:cs="宋体"/>
          <w:color w:val="auto"/>
          <w:highlight w:val="none"/>
        </w:rPr>
        <w:t>第四章  评审程序、评审方法和评审标准</w:t>
      </w:r>
      <w:bookmarkEnd w:id="33"/>
      <w:bookmarkEnd w:id="34"/>
      <w:bookmarkEnd w:id="35"/>
      <w:bookmarkEnd w:id="36"/>
      <w:bookmarkEnd w:id="37"/>
    </w:p>
    <w:p w14:paraId="0201443F">
      <w:pPr>
        <w:pStyle w:val="4"/>
        <w:jc w:val="center"/>
        <w:rPr>
          <w:rFonts w:ascii="宋体" w:hAnsi="宋体"/>
          <w:b w:val="0"/>
          <w:color w:val="auto"/>
          <w:highlight w:val="none"/>
        </w:rPr>
      </w:pPr>
      <w:bookmarkStart w:id="38" w:name="_Toc8999"/>
      <w:bookmarkStart w:id="39" w:name="_Toc29786"/>
      <w:bookmarkStart w:id="40" w:name="_Toc6947"/>
      <w:bookmarkStart w:id="41" w:name="_Toc23895"/>
      <w:bookmarkStart w:id="42" w:name="_Toc14840"/>
      <w:bookmarkStart w:id="43" w:name="_Toc11144"/>
      <w:r>
        <w:rPr>
          <w:rFonts w:hint="eastAsia" w:ascii="宋体" w:hAnsi="宋体"/>
          <w:b w:val="0"/>
          <w:color w:val="auto"/>
          <w:highlight w:val="none"/>
        </w:rPr>
        <w:t>第一节 评审程序和评审方法</w:t>
      </w:r>
      <w:bookmarkEnd w:id="38"/>
      <w:bookmarkEnd w:id="39"/>
      <w:bookmarkEnd w:id="40"/>
      <w:bookmarkEnd w:id="41"/>
      <w:bookmarkEnd w:id="42"/>
      <w:bookmarkEnd w:id="43"/>
    </w:p>
    <w:p w14:paraId="03D41D7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1.确认磋商文件</w:t>
      </w:r>
    </w:p>
    <w:p w14:paraId="273566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421807A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355DDB11">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7DE230E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5C8803E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40"/>
          <w:rFonts w:hAnsi="宋体" w:cs="宋体"/>
          <w:color w:val="auto"/>
          <w:highlight w:val="none"/>
        </w:rPr>
        <w:t>www.creditchina.gov.cn</w:t>
      </w:r>
      <w:r>
        <w:rPr>
          <w:rStyle w:val="40"/>
          <w:rFonts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40"/>
          <w:rFonts w:hAnsi="宋体" w:cs="宋体"/>
          <w:color w:val="auto"/>
          <w:highlight w:val="none"/>
        </w:rPr>
        <w:t>www.ccgp.gov.cn</w:t>
      </w:r>
      <w:r>
        <w:rPr>
          <w:rStyle w:val="40"/>
          <w:rFonts w:hAnsi="宋体" w:cs="宋体"/>
          <w:color w:val="auto"/>
          <w:highlight w:val="none"/>
        </w:rPr>
        <w:fldChar w:fldCharType="end"/>
      </w:r>
      <w:r>
        <w:rPr>
          <w:rFonts w:hint="eastAsia" w:ascii="宋体" w:hAnsi="宋体" w:cs="宋体"/>
          <w:color w:val="auto"/>
          <w:szCs w:val="21"/>
          <w:highlight w:val="none"/>
        </w:rPr>
        <w:t>)链接入口。</w:t>
      </w:r>
    </w:p>
    <w:p w14:paraId="3A63508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266122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2B2F40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959B7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849EE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01DBF8A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5DEC6E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447796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5232D3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p>
    <w:p w14:paraId="56C8A9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598A4A4B">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1E1266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388690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ED2E5A6">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7FD3CA53">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首次响应文件报价出现前后不一致的，按照下列规定修正：</w:t>
      </w:r>
    </w:p>
    <w:p w14:paraId="26B6CB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43FC62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7427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2538E0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6AD27C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6834D9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7E889B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238822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397B78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1B3995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66B3A0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5CE01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0F2D5D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06C186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77E4E7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5E2E4E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7AFF14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7EAA0D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70FF38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0EC8C0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11C68E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31A396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6E6D5E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2B46A4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6CC689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任一项“供应商须知前附表”报价文件中“必须提供”的文件资料；响应文件提供的报价文件出现任一项不符合“供应商须知前附表”报价文件中“必须提供”文件资料要求的规定或者提供的报价文件无效；</w:t>
      </w:r>
    </w:p>
    <w:p w14:paraId="0F9E09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340838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进行报价或者存在漏项报价；供应商未就所竞标的单项内容作唯一报价；供应商未就所竞标的全部内容作唯一总价报价；供应商响应文件中存在有选择、有条件报价的（磋商文件允许有备选方案或者其他约定的除外）；</w:t>
      </w:r>
    </w:p>
    <w:p w14:paraId="3DFF7B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规定的采购预算金额或者最高限价（如本项目公布了最高限价）或者有效报价范围的；响应报价（包含首次报价、最后报价）超过磋商文件分项采购预算金额或者最高限价的（如本项目公布了最高限价）；</w:t>
      </w:r>
    </w:p>
    <w:p w14:paraId="1212C0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规定的采购预算金额或者最高限价（如本项目公布了最高限价）或者有效报价范围；或者经供应商确认修正后响应报价（包含首次报价、最后报价）超过磋商文件分项采购预算金额或者最高限价的（如本项目公布了最高限价）。</w:t>
      </w:r>
    </w:p>
    <w:p w14:paraId="58136C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3C7A04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4F361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E68FE25">
      <w:pPr>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5E10C6F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E806A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3AAB2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73EE1E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ED3B4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2D98FD1C">
      <w:pPr>
        <w:widowControl/>
        <w:tabs>
          <w:tab w:val="left" w:pos="540"/>
        </w:tabs>
        <w:spacing w:line="360" w:lineRule="auto"/>
        <w:ind w:firstLine="420" w:firstLineChars="200"/>
        <w:jc w:val="left"/>
        <w:rPr>
          <w:rFonts w:ascii="仿宋" w:hAnsi="仿宋" w:eastAsia="仿宋" w:cs="仿宋_GB2312"/>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58FC3146">
      <w:pPr>
        <w:pStyle w:val="102"/>
        <w:spacing w:before="0"/>
        <w:ind w:firstLine="396"/>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（1）按照相关规定进行公示的，公示情况说明；</w:t>
      </w:r>
    </w:p>
    <w:p w14:paraId="62F36E08">
      <w:pPr>
        <w:pStyle w:val="102"/>
        <w:spacing w:before="0"/>
        <w:ind w:firstLine="396"/>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（2）磋商日期和地点，磋商人员名单；</w:t>
      </w:r>
    </w:p>
    <w:p w14:paraId="24D913CE">
      <w:pPr>
        <w:pStyle w:val="102"/>
        <w:spacing w:before="0"/>
        <w:ind w:firstLine="396"/>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（3）合同主要条款及价格商定情况。</w:t>
      </w:r>
    </w:p>
    <w:p w14:paraId="4AE3BB7B">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5E606996">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100E543C">
      <w:pPr>
        <w:ind w:firstLine="200"/>
        <w:rPr>
          <w:rFonts w:ascii="宋体" w:hAnsi="宋体" w:cs="宋体"/>
          <w:color w:val="auto"/>
          <w:szCs w:val="21"/>
          <w:highlight w:val="none"/>
        </w:rPr>
      </w:pPr>
      <w:r>
        <w:rPr>
          <w:rFonts w:hint="eastAsia" w:ascii="黑体" w:hAnsi="黑体" w:eastAsia="黑体" w:cs="宋体"/>
          <w:b/>
          <w:bCs/>
          <w:color w:val="auto"/>
          <w:sz w:val="24"/>
          <w:highlight w:val="none"/>
        </w:rPr>
        <w:t>5. 最后报价</w:t>
      </w:r>
    </w:p>
    <w:p w14:paraId="11EAEB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3857C01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1A15E3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68F70B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62C42D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314F91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5.6磋商小组对最后报价进行有效性、完整性和响应程度的审查。</w:t>
      </w:r>
    </w:p>
    <w:p w14:paraId="2DB0A6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313B5C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2D3464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AF4AC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（2）经供应商确认修正后的响应报价（包含首次报价、最后报价）超过所竞标规定的采购预算金额或者最高限价（如本项目公布了最高限价）或者有效报价范围的；</w:t>
      </w:r>
    </w:p>
    <w:p w14:paraId="598FEE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761FC8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137220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286E69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19EF4984">
      <w:pPr>
        <w:ind w:firstLine="200"/>
        <w:rPr>
          <w:rFonts w:ascii="黑体" w:hAnsi="黑体" w:eastAsia="黑体" w:cs="宋体"/>
          <w:b/>
          <w:bCs/>
          <w:color w:val="auto"/>
          <w:sz w:val="24"/>
          <w:highlight w:val="none"/>
        </w:rPr>
      </w:pPr>
      <w:r>
        <w:rPr>
          <w:rFonts w:hint="eastAsia" w:ascii="黑体" w:hAnsi="黑体" w:eastAsia="黑体" w:cs="宋体"/>
          <w:b/>
          <w:bCs/>
          <w:color w:val="auto"/>
          <w:sz w:val="24"/>
          <w:highlight w:val="none"/>
        </w:rPr>
        <w:t>6.比较与评价</w:t>
      </w:r>
    </w:p>
    <w:p w14:paraId="05C4A5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523C15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（1）磋商小组按照采购文件中规定的评审方法及评审标准，对资格及符合性审查合格的响应文件进行商务和技术评估，综合比较与评价。</w:t>
      </w:r>
    </w:p>
    <w:p w14:paraId="30A4C4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（2）磋商小组独立对每个供应商的响应文件进行评价，并汇总每个供应商的得分。</w:t>
      </w:r>
    </w:p>
    <w:p w14:paraId="7CDB78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1）磋商小组在评审中发出现下列情形之一的，应当启动异常低价投标审查程序：</w:t>
      </w:r>
    </w:p>
    <w:p w14:paraId="77990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①磋商报价低于全部通过资格及符合性审查供应商磋商报价平均值50%的，即磋商报价＜全部通过资格及符合性审查供应商磋商报价平均值×50%  ； </w:t>
      </w:r>
    </w:p>
    <w:p w14:paraId="39F9C1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②磋商报价低于通过符合性审查的次低报价供应商磋商报价 50%的，即磋商报价＜通过资格及符合性审查的次低报价供应商磋商报价×50%  ； </w:t>
      </w:r>
    </w:p>
    <w:p w14:paraId="24AF05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③磋商报价低于采购项目最高限价50%的，即磋商报价＜采购项目最高限价×50% ； </w:t>
      </w:r>
    </w:p>
    <w:p w14:paraId="63E3A7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02718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磋商小组启动异常低价投标审查后，属于前述第1项至第4项情形的，应当要求相关供应商在评审现场合理的时间内对磋商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3DA3F8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竞标处理。</w:t>
      </w:r>
    </w:p>
    <w:p w14:paraId="30A739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5BFCCC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1AE7D0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416346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（2）磋商小组按照磋商文件中规定的评审标准计算各供应商的报价得分。项目评审过程中，不得去掉最后报价中的最高报价和最低报价。</w:t>
      </w:r>
    </w:p>
    <w:p w14:paraId="521E28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（3）各供应商的得分为磋商小组所有成员的有效评分的算术平均数。</w:t>
      </w:r>
    </w:p>
    <w:p w14:paraId="2B86BC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35E98FE7">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审报告。符合本章第3.7、5.3条情形的，可以推荐2家成交候选供应商。评审得分相同的，按照最后报价由低到高的顺序推荐。评审得分且最后报价相同的，按照技术指标优劣顺序推荐。</w:t>
      </w:r>
    </w:p>
    <w:p w14:paraId="7EA1903C">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438B700">
      <w:pPr>
        <w:spacing w:line="360" w:lineRule="auto"/>
        <w:ind w:firstLine="200"/>
        <w:rPr>
          <w:rFonts w:ascii="黑体" w:hAnsi="黑体" w:eastAsia="黑体" w:cs="宋体"/>
          <w:b/>
          <w:bCs/>
          <w:color w:val="auto"/>
          <w:sz w:val="24"/>
          <w:highlight w:val="none"/>
        </w:rPr>
      </w:pPr>
      <w:r>
        <w:rPr>
          <w:rFonts w:hint="eastAsia" w:ascii="黑体" w:hAnsi="黑体" w:eastAsia="黑体" w:cs="宋体"/>
          <w:b/>
          <w:bCs/>
          <w:color w:val="auto"/>
          <w:sz w:val="24"/>
          <w:highlight w:val="none"/>
        </w:rPr>
        <w:t>7.评审复核</w:t>
      </w:r>
    </w:p>
    <w:p w14:paraId="29670EB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7.1评审报告签署前，评审委员会要对评审结果进行复核，复核意见要体现在评审报告中。</w:t>
      </w:r>
    </w:p>
    <w:p w14:paraId="0057566C">
      <w:pPr>
        <w:widowControl/>
        <w:spacing w:line="360" w:lineRule="auto"/>
        <w:ind w:firstLine="420" w:firstLineChars="200"/>
        <w:jc w:val="left"/>
        <w:rPr>
          <w:rFonts w:ascii="宋体" w:hAnsi="宋体"/>
          <w:color w:val="auto"/>
          <w:kern w:val="0"/>
          <w:szCs w:val="21"/>
          <w:highlight w:val="none"/>
        </w:rPr>
      </w:pPr>
      <w:r>
        <w:rPr>
          <w:rFonts w:hint="eastAsia" w:ascii="宋体" w:hAnsi="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0E561CD9">
      <w:pPr>
        <w:rPr>
          <w:color w:val="auto"/>
          <w:highlight w:val="none"/>
        </w:rPr>
      </w:pPr>
      <w:r>
        <w:rPr>
          <w:rFonts w:hint="eastAsia"/>
          <w:color w:val="auto"/>
          <w:highlight w:val="none"/>
        </w:rPr>
        <w:br w:type="page"/>
      </w:r>
    </w:p>
    <w:p w14:paraId="4E1AE902">
      <w:pPr>
        <w:pStyle w:val="5"/>
        <w:numPr>
          <w:ilvl w:val="0"/>
          <w:numId w:val="0"/>
        </w:numPr>
        <w:rPr>
          <w:rFonts w:hint="eastAsia"/>
          <w:color w:val="auto"/>
          <w:highlight w:val="none"/>
        </w:rPr>
      </w:pPr>
      <w:r>
        <w:rPr>
          <w:rFonts w:hint="eastAsia" w:ascii="Times New Roman" w:hAnsi="Times New Roman" w:eastAsia="宋体" w:cs="Times New Roman"/>
          <w:b/>
          <w:bCs/>
          <w:color w:val="auto"/>
          <w:kern w:val="2"/>
          <w:sz w:val="32"/>
          <w:szCs w:val="32"/>
          <w:highlight w:val="none"/>
          <w:lang w:val="en-US" w:eastAsia="zh-CN" w:bidi="ar-SA"/>
        </w:rPr>
        <w:t>8.</w:t>
      </w:r>
      <w:r>
        <w:rPr>
          <w:rFonts w:hint="eastAsia"/>
          <w:color w:val="auto"/>
          <w:highlight w:val="none"/>
        </w:rPr>
        <w:t>评审标准</w:t>
      </w:r>
    </w:p>
    <w:p w14:paraId="0FC6B93D">
      <w:pPr>
        <w:snapToGrid w:val="0"/>
        <w:spacing w:line="360" w:lineRule="auto"/>
        <w:ind w:firstLine="422" w:firstLineChars="200"/>
        <w:rPr>
          <w:rFonts w:hint="eastAsia" w:ascii="宋体" w:hAnsi="宋体" w:cs="宋体"/>
          <w:color w:val="auto"/>
          <w:highlight w:val="none"/>
        </w:rPr>
      </w:pPr>
      <w:r>
        <w:rPr>
          <w:rFonts w:hint="eastAsia" w:ascii="宋体" w:hAnsi="宋体" w:cs="宋体"/>
          <w:b/>
          <w:bCs/>
          <w:color w:val="auto"/>
          <w:highlight w:val="none"/>
        </w:rPr>
        <w:t>一、评标原则</w:t>
      </w:r>
    </w:p>
    <w:p w14:paraId="293DBDB2">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(一) “磋商小组”构成：本采购项目的“磋商小组”分别由依法组成的评审专家、采购人代表共</w:t>
      </w:r>
      <w:r>
        <w:rPr>
          <w:rFonts w:hint="eastAsia" w:ascii="宋体" w:hAnsi="宋体" w:cs="宋体"/>
          <w:color w:val="auto"/>
          <w:highlight w:val="none"/>
          <w:u w:val="single"/>
        </w:rPr>
        <w:t>三</w:t>
      </w:r>
      <w:r>
        <w:rPr>
          <w:rFonts w:hint="eastAsia" w:ascii="宋体" w:hAnsi="宋体" w:cs="宋体"/>
          <w:color w:val="auto"/>
          <w:highlight w:val="none"/>
        </w:rPr>
        <w:t>人以上单数构成，其中评审专家人数不少于成员总数的三分之二。</w:t>
      </w:r>
    </w:p>
    <w:p w14:paraId="144D548D">
      <w:pPr>
        <w:pStyle w:val="20"/>
        <w:spacing w:line="360" w:lineRule="auto"/>
        <w:ind w:firstLine="420"/>
        <w:rPr>
          <w:rFonts w:hAnsi="宋体" w:cs="宋体"/>
          <w:b/>
          <w:bCs/>
          <w:color w:val="auto"/>
          <w:sz w:val="21"/>
          <w:highlight w:val="none"/>
        </w:rPr>
      </w:pPr>
      <w:r>
        <w:rPr>
          <w:rFonts w:hint="eastAsia" w:hAnsi="宋体" w:cs="宋体"/>
          <w:color w:val="auto"/>
          <w:sz w:val="21"/>
          <w:highlight w:val="none"/>
        </w:rPr>
        <w:t>(二)评审依据：以评审文件和响应文件为评审依据，对供应商的价格、商务、技术等方面内容按百分制打分，共100分。</w:t>
      </w:r>
    </w:p>
    <w:p w14:paraId="78F829C5">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(三)评审方法：以封闭方式进行。评审全过程中不允许供应商与“磋商小组”之间有可能影响到评审结果公正性的私下会面与谈话，以体现公平、公正的基本原则。</w:t>
      </w:r>
    </w:p>
    <w:p w14:paraId="09AED036">
      <w:pPr>
        <w:snapToGrid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二、评审方法</w:t>
      </w:r>
    </w:p>
    <w:p w14:paraId="7A34AE1A">
      <w:pPr>
        <w:pStyle w:val="20"/>
        <w:spacing w:line="360" w:lineRule="auto"/>
        <w:ind w:firstLine="420"/>
        <w:rPr>
          <w:rFonts w:hAnsi="宋体" w:cs="宋体"/>
          <w:bCs/>
          <w:color w:val="auto"/>
          <w:sz w:val="21"/>
          <w:highlight w:val="none"/>
        </w:rPr>
      </w:pPr>
      <w:r>
        <w:rPr>
          <w:rFonts w:hint="eastAsia" w:hAnsi="宋体" w:cs="宋体"/>
          <w:bCs/>
          <w:color w:val="auto"/>
          <w:sz w:val="21"/>
          <w:highlight w:val="none"/>
        </w:rPr>
        <w:t>（一）对进入详评的，采用百分制综合评分法。</w:t>
      </w:r>
    </w:p>
    <w:p w14:paraId="0CE777AC">
      <w:pPr>
        <w:pStyle w:val="20"/>
        <w:spacing w:line="360" w:lineRule="auto"/>
        <w:ind w:firstLine="420"/>
        <w:rPr>
          <w:rFonts w:hAnsi="宋体"/>
          <w:color w:val="auto"/>
          <w:sz w:val="21"/>
          <w:highlight w:val="none"/>
        </w:rPr>
      </w:pPr>
      <w:r>
        <w:rPr>
          <w:rFonts w:hint="eastAsia" w:hAnsi="宋体" w:cs="宋体"/>
          <w:bCs/>
          <w:color w:val="auto"/>
          <w:sz w:val="21"/>
          <w:highlight w:val="none"/>
        </w:rPr>
        <w:t>（二）计分办法（按四舍五入取至百分位）：</w:t>
      </w:r>
    </w:p>
    <w:p w14:paraId="6349EC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Times New Roman"/>
          <w:bCs/>
          <w:color w:val="auto"/>
          <w:sz w:val="28"/>
          <w:szCs w:val="28"/>
          <w:highlight w:val="none"/>
        </w:rPr>
      </w:pPr>
      <w:r>
        <w:rPr>
          <w:rFonts w:hint="eastAsia" w:ascii="宋体" w:hAnsi="宋体" w:eastAsia="宋体" w:cs="Times New Roman"/>
          <w:bCs/>
          <w:color w:val="auto"/>
          <w:sz w:val="28"/>
          <w:szCs w:val="28"/>
          <w:highlight w:val="none"/>
          <w:lang w:eastAsia="zh-CN"/>
        </w:rPr>
        <w:t>☑</w:t>
      </w:r>
      <w:r>
        <w:rPr>
          <w:rFonts w:hint="eastAsia" w:ascii="宋体" w:hAnsi="宋体" w:eastAsia="宋体" w:cs="Times New Roman"/>
          <w:bCs/>
          <w:color w:val="auto"/>
          <w:sz w:val="28"/>
          <w:szCs w:val="28"/>
          <w:highlight w:val="none"/>
        </w:rPr>
        <w:t>综合评分法，选择该评审规则的理由：</w:t>
      </w:r>
    </w:p>
    <w:p w14:paraId="3FDDFA3E">
      <w:pPr>
        <w:numPr>
          <w:ilvl w:val="0"/>
          <w:numId w:val="0"/>
        </w:numPr>
        <w:rPr>
          <w:color w:val="auto"/>
          <w:highlight w:val="none"/>
        </w:rPr>
      </w:pPr>
    </w:p>
    <w:tbl>
      <w:tblPr>
        <w:tblStyle w:val="34"/>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110"/>
        <w:gridCol w:w="6769"/>
        <w:gridCol w:w="1491"/>
      </w:tblGrid>
      <w:tr w14:paraId="0BEA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588" w:type="dxa"/>
            <w:noWrap w:val="0"/>
            <w:vAlign w:val="center"/>
          </w:tcPr>
          <w:p w14:paraId="1E5535A8">
            <w:pPr>
              <w:adjustRightInd w:val="0"/>
              <w:spacing w:line="380" w:lineRule="exact"/>
              <w:jc w:val="center"/>
              <w:textAlignment w:val="baseline"/>
              <w:rPr>
                <w:rFonts w:hint="eastAsia" w:ascii="宋体" w:hAnsi="宋体" w:eastAsia="宋体" w:cs="宋体"/>
                <w:b/>
                <w:color w:val="auto"/>
                <w:sz w:val="22"/>
                <w:szCs w:val="22"/>
                <w:highlight w:val="none"/>
              </w:rPr>
            </w:pPr>
            <w:bookmarkStart w:id="44" w:name="PO_TDCUS_ITEM_SM_TABLE_1"/>
            <w:r>
              <w:rPr>
                <w:rFonts w:hint="eastAsia" w:ascii="宋体" w:hAnsi="宋体" w:eastAsia="宋体" w:cs="宋体"/>
                <w:b/>
                <w:color w:val="auto"/>
                <w:sz w:val="22"/>
                <w:szCs w:val="22"/>
                <w:highlight w:val="none"/>
              </w:rPr>
              <w:t>序号</w:t>
            </w:r>
          </w:p>
        </w:tc>
        <w:tc>
          <w:tcPr>
            <w:tcW w:w="1110" w:type="dxa"/>
            <w:noWrap w:val="0"/>
            <w:vAlign w:val="center"/>
          </w:tcPr>
          <w:p w14:paraId="0A72F911">
            <w:pPr>
              <w:adjustRightInd w:val="0"/>
              <w:spacing w:line="380" w:lineRule="exact"/>
              <w:jc w:val="center"/>
              <w:textAlignment w:val="baseline"/>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评审因素</w:t>
            </w:r>
          </w:p>
        </w:tc>
        <w:tc>
          <w:tcPr>
            <w:tcW w:w="6769" w:type="dxa"/>
            <w:noWrap w:val="0"/>
            <w:vAlign w:val="center"/>
          </w:tcPr>
          <w:p w14:paraId="07B03FF3">
            <w:pPr>
              <w:adjustRightInd w:val="0"/>
              <w:spacing w:line="380" w:lineRule="exact"/>
              <w:jc w:val="center"/>
              <w:textAlignment w:val="baseline"/>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评审标准</w:t>
            </w:r>
          </w:p>
        </w:tc>
        <w:tc>
          <w:tcPr>
            <w:tcW w:w="1491" w:type="dxa"/>
            <w:noWrap w:val="0"/>
            <w:vAlign w:val="center"/>
          </w:tcPr>
          <w:p w14:paraId="3442BCB1">
            <w:pPr>
              <w:widowControl/>
              <w:spacing w:line="360" w:lineRule="auto"/>
              <w:jc w:val="center"/>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rPr>
              <w:t>分值</w:t>
            </w:r>
          </w:p>
        </w:tc>
      </w:tr>
      <w:tr w14:paraId="5FE4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88" w:type="dxa"/>
            <w:noWrap w:val="0"/>
            <w:vAlign w:val="center"/>
          </w:tcPr>
          <w:p w14:paraId="0D3E8AFB">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color w:val="auto"/>
                <w:kern w:val="0"/>
                <w:sz w:val="22"/>
                <w:szCs w:val="22"/>
                <w:highlight w:val="none"/>
              </w:rPr>
              <w:t>1</w:t>
            </w:r>
          </w:p>
        </w:tc>
        <w:tc>
          <w:tcPr>
            <w:tcW w:w="1110" w:type="dxa"/>
            <w:noWrap w:val="0"/>
            <w:vAlign w:val="center"/>
          </w:tcPr>
          <w:p w14:paraId="3A36B6C3">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color w:val="auto"/>
                <w:kern w:val="0"/>
                <w:sz w:val="22"/>
                <w:szCs w:val="22"/>
                <w:highlight w:val="none"/>
              </w:rPr>
              <w:t>价格分</w:t>
            </w:r>
          </w:p>
        </w:tc>
        <w:tc>
          <w:tcPr>
            <w:tcW w:w="6769" w:type="dxa"/>
            <w:noWrap w:val="0"/>
            <w:vAlign w:val="top"/>
          </w:tcPr>
          <w:p w14:paraId="2F7FA3B1">
            <w:pPr>
              <w:keepNext w:val="0"/>
              <w:keepLines w:val="0"/>
              <w:pageBreakBefore w:val="0"/>
              <w:kinsoku/>
              <w:wordWrap/>
              <w:overflowPunct/>
              <w:topLinePunct w:val="0"/>
              <w:autoSpaceDE/>
              <w:autoSpaceDN/>
              <w:bidi w:val="0"/>
              <w:spacing w:line="480" w:lineRule="auto"/>
              <w:ind w:firstLine="420"/>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注：</w:t>
            </w:r>
            <w:r>
              <w:rPr>
                <w:rFonts w:hint="eastAsia" w:ascii="宋体" w:hAnsi="宋体" w:eastAsia="宋体" w:cs="宋体"/>
                <w:b/>
                <w:color w:val="auto"/>
                <w:kern w:val="0"/>
                <w:sz w:val="22"/>
                <w:szCs w:val="22"/>
                <w:highlight w:val="none"/>
                <w:lang w:eastAsia="zh-CN"/>
              </w:rPr>
              <w:t>本</w:t>
            </w:r>
            <w:r>
              <w:rPr>
                <w:rFonts w:hint="eastAsia" w:ascii="宋体" w:hAnsi="宋体" w:eastAsia="宋体" w:cs="宋体"/>
                <w:b/>
                <w:color w:val="auto"/>
                <w:kern w:val="0"/>
                <w:sz w:val="22"/>
                <w:szCs w:val="22"/>
                <w:highlight w:val="none"/>
              </w:rPr>
              <w:t>项目</w:t>
            </w:r>
            <w:r>
              <w:rPr>
                <w:rFonts w:hint="eastAsia" w:ascii="宋体" w:hAnsi="宋体" w:eastAsia="宋体" w:cs="宋体"/>
                <w:b/>
                <w:color w:val="auto"/>
                <w:sz w:val="22"/>
                <w:szCs w:val="22"/>
                <w:highlight w:val="none"/>
              </w:rPr>
              <w:t>预留份额专门面向</w:t>
            </w:r>
            <w:r>
              <w:rPr>
                <w:rFonts w:hint="eastAsia" w:ascii="宋体" w:hAnsi="宋体" w:eastAsia="宋体" w:cs="宋体"/>
                <w:b/>
                <w:color w:val="auto"/>
                <w:sz w:val="22"/>
                <w:szCs w:val="22"/>
                <w:highlight w:val="none"/>
                <w:lang w:val="en-US" w:eastAsia="zh-CN"/>
              </w:rPr>
              <w:t>中小</w:t>
            </w:r>
            <w:r>
              <w:rPr>
                <w:rFonts w:hint="eastAsia" w:ascii="宋体" w:hAnsi="宋体" w:eastAsia="宋体" w:cs="宋体"/>
                <w:b/>
                <w:color w:val="auto"/>
                <w:sz w:val="22"/>
                <w:szCs w:val="22"/>
                <w:highlight w:val="none"/>
              </w:rPr>
              <w:t>企业采购的项目，不再执行</w:t>
            </w:r>
            <w:r>
              <w:rPr>
                <w:rFonts w:hint="eastAsia" w:ascii="宋体" w:hAnsi="宋体" w:eastAsia="宋体" w:cs="宋体"/>
                <w:b/>
                <w:color w:val="auto"/>
                <w:kern w:val="0"/>
                <w:sz w:val="22"/>
                <w:szCs w:val="22"/>
                <w:highlight w:val="none"/>
              </w:rPr>
              <w:t>价格政策性扣除，即最终报价=评</w:t>
            </w:r>
            <w:r>
              <w:rPr>
                <w:rFonts w:hint="eastAsia" w:ascii="宋体" w:hAnsi="宋体" w:eastAsia="宋体" w:cs="宋体"/>
                <w:b/>
                <w:color w:val="auto"/>
                <w:kern w:val="0"/>
                <w:sz w:val="22"/>
                <w:szCs w:val="22"/>
                <w:highlight w:val="none"/>
                <w:lang w:val="en-US" w:eastAsia="zh-CN"/>
              </w:rPr>
              <w:t>审</w:t>
            </w:r>
            <w:r>
              <w:rPr>
                <w:rFonts w:hint="eastAsia" w:ascii="宋体" w:hAnsi="宋体" w:eastAsia="宋体" w:cs="宋体"/>
                <w:b/>
                <w:color w:val="auto"/>
                <w:kern w:val="0"/>
                <w:sz w:val="22"/>
                <w:szCs w:val="22"/>
                <w:highlight w:val="none"/>
              </w:rPr>
              <w:t>价。</w:t>
            </w:r>
          </w:p>
          <w:p w14:paraId="082596B8">
            <w:pPr>
              <w:adjustRightInd w:val="0"/>
              <w:snapToGrid w:val="0"/>
              <w:spacing w:line="480" w:lineRule="auto"/>
              <w:ind w:firstLine="440" w:firstLineChars="200"/>
              <w:jc w:val="left"/>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（1）</w:t>
            </w:r>
            <w:r>
              <w:rPr>
                <w:rFonts w:hint="eastAsia" w:ascii="宋体" w:hAnsi="宋体" w:eastAsia="宋体" w:cs="宋体"/>
                <w:bCs/>
                <w:color w:val="auto"/>
                <w:kern w:val="0"/>
                <w:sz w:val="22"/>
                <w:szCs w:val="22"/>
                <w:highlight w:val="none"/>
                <w:lang w:val="en-US" w:eastAsia="zh-CN"/>
              </w:rPr>
              <w:t>本项目采购统一按</w:t>
            </w:r>
            <w:r>
              <w:rPr>
                <w:rFonts w:hint="eastAsia" w:ascii="宋体" w:hAnsi="宋体" w:eastAsia="宋体" w:cs="宋体"/>
                <w:bCs/>
                <w:color w:val="auto"/>
                <w:sz w:val="22"/>
                <w:szCs w:val="22"/>
                <w:highlight w:val="none"/>
              </w:rPr>
              <w:t>下浮系数报价方式</w:t>
            </w:r>
            <w:r>
              <w:rPr>
                <w:rFonts w:hint="eastAsia" w:ascii="宋体" w:hAnsi="宋体" w:eastAsia="宋体" w:cs="宋体"/>
                <w:bCs/>
                <w:color w:val="auto"/>
                <w:kern w:val="0"/>
                <w:sz w:val="22"/>
                <w:szCs w:val="22"/>
                <w:highlight w:val="none"/>
                <w:lang w:val="en-US" w:eastAsia="zh-CN"/>
              </w:rPr>
              <w:t>。</w:t>
            </w:r>
          </w:p>
          <w:p w14:paraId="24C51E9F">
            <w:pPr>
              <w:pStyle w:val="20"/>
              <w:keepNext w:val="0"/>
              <w:keepLines w:val="0"/>
              <w:pageBreakBefore w:val="0"/>
              <w:kinsoku/>
              <w:wordWrap/>
              <w:overflowPunct/>
              <w:topLinePunct w:val="0"/>
              <w:autoSpaceDE/>
              <w:autoSpaceDN/>
              <w:bidi w:val="0"/>
              <w:spacing w:line="48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（2）满足采购文件要求的报价中，（1-最高下浮系数）为评标基准价，其价格分为满分。</w:t>
            </w:r>
          </w:p>
          <w:p w14:paraId="66AFA891">
            <w:pPr>
              <w:pStyle w:val="20"/>
              <w:keepNext w:val="0"/>
              <w:keepLines w:val="0"/>
              <w:pageBreakBefore w:val="0"/>
              <w:kinsoku/>
              <w:wordWrap/>
              <w:overflowPunct/>
              <w:topLinePunct w:val="0"/>
              <w:autoSpaceDE/>
              <w:autoSpaceDN/>
              <w:bidi w:val="0"/>
              <w:spacing w:line="48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（3）价格分计算公式：价格分=</w:t>
            </w:r>
            <w:r>
              <w:rPr>
                <w:rFonts w:hint="eastAsia" w:ascii="宋体" w:hAnsi="宋体" w:eastAsia="宋体" w:cs="宋体"/>
                <w:b/>
                <w:bCs w:val="0"/>
                <w:color w:val="auto"/>
                <w:sz w:val="22"/>
                <w:szCs w:val="22"/>
                <w:highlight w:val="none"/>
              </w:rPr>
              <w:t>【评标基准价/评标报价（1-下浮系数）】</w:t>
            </w:r>
            <w:r>
              <w:rPr>
                <w:rFonts w:hint="eastAsia" w:ascii="宋体" w:hAnsi="宋体" w:eastAsia="宋体" w:cs="宋体"/>
                <w:bCs/>
                <w:color w:val="auto"/>
                <w:sz w:val="22"/>
                <w:szCs w:val="22"/>
                <w:highlight w:val="none"/>
              </w:rPr>
              <w:t>×30 分</w:t>
            </w:r>
          </w:p>
        </w:tc>
        <w:tc>
          <w:tcPr>
            <w:tcW w:w="1491" w:type="dxa"/>
            <w:noWrap w:val="0"/>
            <w:vAlign w:val="center"/>
          </w:tcPr>
          <w:p w14:paraId="5ACA3820">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sz w:val="22"/>
                <w:szCs w:val="22"/>
                <w:highlight w:val="none"/>
              </w:rPr>
              <w:t>满分</w:t>
            </w:r>
            <w:r>
              <w:rPr>
                <w:rFonts w:hint="eastAsia" w:ascii="宋体" w:hAnsi="宋体" w:eastAsia="宋体" w:cs="宋体"/>
                <w:color w:val="auto"/>
                <w:sz w:val="22"/>
                <w:szCs w:val="22"/>
                <w:highlight w:val="none"/>
                <w:lang w:val="en-US" w:eastAsia="zh-CN"/>
              </w:rPr>
              <w:t>30</w:t>
            </w:r>
            <w:r>
              <w:rPr>
                <w:rFonts w:hint="eastAsia" w:ascii="宋体" w:hAnsi="宋体" w:eastAsia="宋体" w:cs="宋体"/>
                <w:color w:val="auto"/>
                <w:kern w:val="0"/>
                <w:sz w:val="22"/>
                <w:szCs w:val="22"/>
                <w:highlight w:val="none"/>
              </w:rPr>
              <w:t>分</w:t>
            </w:r>
          </w:p>
        </w:tc>
      </w:tr>
      <w:tr w14:paraId="0F9A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88" w:type="dxa"/>
            <w:noWrap w:val="0"/>
            <w:vAlign w:val="center"/>
          </w:tcPr>
          <w:p w14:paraId="4A3A215A">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
                <w:bCs w:val="0"/>
                <w:color w:val="auto"/>
                <w:kern w:val="0"/>
                <w:sz w:val="22"/>
                <w:szCs w:val="22"/>
                <w:highlight w:val="none"/>
              </w:rPr>
            </w:pPr>
            <w:r>
              <w:rPr>
                <w:rFonts w:hint="eastAsia" w:ascii="宋体" w:hAnsi="宋体" w:eastAsia="宋体" w:cs="宋体"/>
                <w:b/>
                <w:bCs w:val="0"/>
                <w:color w:val="auto"/>
                <w:kern w:val="0"/>
                <w:sz w:val="22"/>
                <w:szCs w:val="22"/>
                <w:highlight w:val="none"/>
              </w:rPr>
              <w:t>2</w:t>
            </w:r>
          </w:p>
        </w:tc>
        <w:tc>
          <w:tcPr>
            <w:tcW w:w="1110" w:type="dxa"/>
            <w:noWrap w:val="0"/>
            <w:vAlign w:val="center"/>
          </w:tcPr>
          <w:p w14:paraId="128AD8B9">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
                <w:bCs w:val="0"/>
                <w:color w:val="auto"/>
                <w:kern w:val="0"/>
                <w:sz w:val="22"/>
                <w:szCs w:val="22"/>
                <w:highlight w:val="none"/>
              </w:rPr>
            </w:pPr>
            <w:r>
              <w:rPr>
                <w:rFonts w:hint="eastAsia" w:ascii="宋体" w:hAnsi="宋体" w:eastAsia="宋体" w:cs="宋体"/>
                <w:b/>
                <w:bCs w:val="0"/>
                <w:color w:val="auto"/>
                <w:kern w:val="0"/>
                <w:sz w:val="22"/>
                <w:szCs w:val="22"/>
                <w:highlight w:val="none"/>
              </w:rPr>
              <w:t>技术分</w:t>
            </w:r>
          </w:p>
        </w:tc>
        <w:tc>
          <w:tcPr>
            <w:tcW w:w="6769" w:type="dxa"/>
            <w:noWrap w:val="0"/>
            <w:vAlign w:val="center"/>
          </w:tcPr>
          <w:p w14:paraId="1920C517">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
                <w:bCs w:val="0"/>
                <w:color w:val="auto"/>
                <w:kern w:val="0"/>
                <w:sz w:val="22"/>
                <w:szCs w:val="22"/>
                <w:highlight w:val="none"/>
              </w:rPr>
            </w:pPr>
            <w:r>
              <w:rPr>
                <w:rFonts w:hint="eastAsia" w:ascii="宋体" w:hAnsi="宋体" w:eastAsia="宋体" w:cs="宋体"/>
                <w:b/>
                <w:bCs w:val="0"/>
                <w:color w:val="auto"/>
                <w:kern w:val="0"/>
                <w:sz w:val="22"/>
                <w:szCs w:val="22"/>
                <w:highlight w:val="none"/>
              </w:rPr>
              <w:t>评审因素</w:t>
            </w:r>
          </w:p>
        </w:tc>
        <w:tc>
          <w:tcPr>
            <w:tcW w:w="1491" w:type="dxa"/>
            <w:noWrap w:val="0"/>
            <w:vAlign w:val="top"/>
          </w:tcPr>
          <w:p w14:paraId="47D160DF">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
                <w:bCs w:val="0"/>
                <w:color w:val="auto"/>
                <w:kern w:val="0"/>
                <w:sz w:val="22"/>
                <w:szCs w:val="22"/>
                <w:highlight w:val="none"/>
                <w:lang w:val="en-US" w:eastAsia="zh-CN" w:bidi="ar-SA"/>
              </w:rPr>
            </w:pPr>
            <w:r>
              <w:rPr>
                <w:rFonts w:hint="eastAsia" w:ascii="宋体" w:hAnsi="宋体" w:eastAsia="宋体" w:cs="宋体"/>
                <w:b/>
                <w:bCs w:val="0"/>
                <w:color w:val="auto"/>
                <w:kern w:val="0"/>
                <w:sz w:val="22"/>
                <w:szCs w:val="22"/>
                <w:highlight w:val="none"/>
              </w:rPr>
              <w:t>满分</w:t>
            </w:r>
            <w:r>
              <w:rPr>
                <w:rFonts w:hint="eastAsia" w:ascii="宋体" w:hAnsi="宋体" w:eastAsia="宋体" w:cs="宋体"/>
                <w:b/>
                <w:bCs w:val="0"/>
                <w:color w:val="auto"/>
                <w:kern w:val="0"/>
                <w:sz w:val="22"/>
                <w:szCs w:val="22"/>
                <w:highlight w:val="none"/>
                <w:lang w:val="en-US" w:eastAsia="zh-CN"/>
              </w:rPr>
              <w:t>65</w:t>
            </w:r>
            <w:r>
              <w:rPr>
                <w:rFonts w:hint="eastAsia" w:ascii="宋体" w:hAnsi="宋体" w:eastAsia="宋体" w:cs="宋体"/>
                <w:b/>
                <w:bCs w:val="0"/>
                <w:color w:val="auto"/>
                <w:kern w:val="0"/>
                <w:sz w:val="22"/>
                <w:szCs w:val="22"/>
                <w:highlight w:val="none"/>
              </w:rPr>
              <w:t>分</w:t>
            </w:r>
          </w:p>
        </w:tc>
      </w:tr>
      <w:tr w14:paraId="0277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88" w:type="dxa"/>
            <w:noWrap w:val="0"/>
            <w:vAlign w:val="center"/>
          </w:tcPr>
          <w:p w14:paraId="501BA14E">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
                <w:bCs w:val="0"/>
                <w:color w:val="auto"/>
                <w:kern w:val="0"/>
                <w:sz w:val="22"/>
                <w:szCs w:val="22"/>
                <w:highlight w:val="none"/>
              </w:rPr>
            </w:pPr>
            <w:r>
              <w:rPr>
                <w:rFonts w:hint="eastAsia" w:ascii="宋体" w:hAnsi="宋体" w:eastAsia="宋体" w:cs="宋体"/>
                <w:bCs/>
                <w:color w:val="auto"/>
                <w:kern w:val="0"/>
                <w:sz w:val="22"/>
                <w:szCs w:val="22"/>
                <w:highlight w:val="none"/>
              </w:rPr>
              <w:t>2.</w:t>
            </w:r>
            <w:r>
              <w:rPr>
                <w:rFonts w:hint="eastAsia" w:ascii="宋体" w:hAnsi="宋体" w:eastAsia="宋体" w:cs="宋体"/>
                <w:bCs/>
                <w:color w:val="auto"/>
                <w:kern w:val="0"/>
                <w:sz w:val="22"/>
                <w:szCs w:val="22"/>
                <w:highlight w:val="none"/>
                <w:lang w:val="en-US" w:eastAsia="zh-CN"/>
              </w:rPr>
              <w:t>1</w:t>
            </w:r>
          </w:p>
        </w:tc>
        <w:tc>
          <w:tcPr>
            <w:tcW w:w="1110" w:type="dxa"/>
            <w:noWrap w:val="0"/>
            <w:vAlign w:val="center"/>
          </w:tcPr>
          <w:p w14:paraId="49AB2F84">
            <w:pPr>
              <w:keepNext w:val="0"/>
              <w:keepLines w:val="0"/>
              <w:pageBreakBefore w:val="0"/>
              <w:kinsoku/>
              <w:wordWrap/>
              <w:overflowPunct/>
              <w:topLinePunct w:val="0"/>
              <w:autoSpaceDE/>
              <w:autoSpaceDN/>
              <w:bidi w:val="0"/>
              <w:adjustRightInd w:val="0"/>
              <w:snapToGrid/>
              <w:spacing w:line="360" w:lineRule="auto"/>
              <w:jc w:val="center"/>
              <w:textAlignment w:val="baseline"/>
              <w:outlineLvl w:val="9"/>
              <w:rPr>
                <w:rFonts w:hint="eastAsia" w:ascii="宋体" w:hAnsi="宋体" w:eastAsia="宋体" w:cs="宋体"/>
                <w:b/>
                <w:bCs w:val="0"/>
                <w:color w:val="auto"/>
                <w:kern w:val="0"/>
                <w:sz w:val="22"/>
                <w:szCs w:val="22"/>
                <w:highlight w:val="none"/>
              </w:rPr>
            </w:pPr>
            <w:r>
              <w:rPr>
                <w:rFonts w:hint="eastAsia" w:ascii="宋体" w:hAnsi="宋体" w:eastAsia="宋体" w:cs="宋体"/>
                <w:color w:val="auto"/>
                <w:sz w:val="22"/>
                <w:szCs w:val="22"/>
                <w:highlight w:val="none"/>
                <w:lang w:eastAsia="zh-CN"/>
              </w:rPr>
              <w:t>项目实施</w:t>
            </w:r>
            <w:r>
              <w:rPr>
                <w:rFonts w:hint="eastAsia" w:ascii="宋体" w:hAnsi="宋体" w:eastAsia="宋体" w:cs="宋体"/>
                <w:color w:val="auto"/>
                <w:sz w:val="22"/>
                <w:szCs w:val="22"/>
                <w:highlight w:val="none"/>
              </w:rPr>
              <w:t>方案</w:t>
            </w:r>
          </w:p>
        </w:tc>
        <w:tc>
          <w:tcPr>
            <w:tcW w:w="6769" w:type="dxa"/>
            <w:noWrap w:val="0"/>
            <w:vAlign w:val="center"/>
          </w:tcPr>
          <w:p w14:paraId="20A2C0DF">
            <w:pPr>
              <w:pStyle w:val="20"/>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一档（5分）：</w:t>
            </w:r>
            <w:r>
              <w:rPr>
                <w:rFonts w:hint="eastAsia" w:ascii="宋体" w:hAnsi="宋体" w:eastAsia="宋体" w:cs="宋体"/>
                <w:color w:val="auto"/>
                <w:sz w:val="22"/>
                <w:szCs w:val="22"/>
                <w:highlight w:val="none"/>
                <w:lang w:eastAsia="zh-CN"/>
              </w:rPr>
              <w:t>项目实施</w:t>
            </w:r>
            <w:r>
              <w:rPr>
                <w:rFonts w:hint="eastAsia" w:ascii="宋体" w:hAnsi="宋体" w:eastAsia="宋体" w:cs="宋体"/>
                <w:color w:val="auto"/>
                <w:sz w:val="22"/>
                <w:szCs w:val="22"/>
                <w:highlight w:val="none"/>
              </w:rPr>
              <w:t>方案</w:t>
            </w:r>
            <w:r>
              <w:rPr>
                <w:rFonts w:hint="eastAsia" w:ascii="宋体" w:hAnsi="宋体" w:eastAsia="宋体" w:cs="宋体"/>
                <w:bCs/>
                <w:color w:val="auto"/>
                <w:sz w:val="22"/>
                <w:szCs w:val="22"/>
                <w:highlight w:val="none"/>
              </w:rPr>
              <w:t>描述简单，基本满足项目要求</w:t>
            </w:r>
            <w:r>
              <w:rPr>
                <w:rFonts w:hint="eastAsia" w:ascii="宋体" w:hAnsi="宋体" w:eastAsia="宋体" w:cs="宋体"/>
                <w:color w:val="auto"/>
                <w:sz w:val="22"/>
                <w:szCs w:val="22"/>
                <w:highlight w:val="none"/>
                <w:lang w:val="en-US" w:eastAsia="zh-CN"/>
              </w:rPr>
              <w:t>，实施计划、人员投入方案等基本符合本项目实际要求。</w:t>
            </w:r>
          </w:p>
          <w:p w14:paraId="343BA8FA">
            <w:pPr>
              <w:pStyle w:val="20"/>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二档（10分）：</w:t>
            </w:r>
            <w:r>
              <w:rPr>
                <w:rFonts w:hint="eastAsia" w:ascii="宋体" w:hAnsi="宋体" w:eastAsia="宋体" w:cs="宋体"/>
                <w:color w:val="auto"/>
                <w:sz w:val="22"/>
                <w:szCs w:val="22"/>
                <w:highlight w:val="none"/>
                <w:lang w:eastAsia="zh-CN"/>
              </w:rPr>
              <w:t>项目实施</w:t>
            </w:r>
            <w:r>
              <w:rPr>
                <w:rFonts w:hint="eastAsia" w:ascii="宋体" w:hAnsi="宋体" w:eastAsia="宋体" w:cs="宋体"/>
                <w:color w:val="auto"/>
                <w:sz w:val="22"/>
                <w:szCs w:val="22"/>
                <w:highlight w:val="none"/>
              </w:rPr>
              <w:t>方案</w:t>
            </w:r>
            <w:r>
              <w:rPr>
                <w:rFonts w:hint="eastAsia" w:ascii="宋体" w:hAnsi="宋体" w:eastAsia="宋体" w:cs="宋体"/>
                <w:color w:val="auto"/>
                <w:sz w:val="22"/>
                <w:szCs w:val="22"/>
                <w:highlight w:val="none"/>
                <w:lang w:val="en-US" w:eastAsia="zh-CN"/>
              </w:rPr>
              <w:t>描述较清晰、准确，具有可操作性，较好的满足项目要求。实施计划、人员投入方案等各项保证措施基本得当，符合本项目实际要求。</w:t>
            </w:r>
          </w:p>
          <w:p w14:paraId="7569C5CC">
            <w:pPr>
              <w:pStyle w:val="20"/>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outlineLvl w:val="9"/>
              <w:rPr>
                <w:rFonts w:hint="eastAsia" w:ascii="宋体" w:hAnsi="宋体" w:eastAsia="宋体" w:cs="宋体"/>
                <w:b/>
                <w:bCs w:val="0"/>
                <w:color w:val="auto"/>
                <w:kern w:val="0"/>
                <w:sz w:val="22"/>
                <w:szCs w:val="22"/>
                <w:highlight w:val="none"/>
              </w:rPr>
            </w:pPr>
            <w:r>
              <w:rPr>
                <w:rFonts w:hint="eastAsia" w:ascii="宋体" w:hAnsi="宋体" w:eastAsia="宋体" w:cs="宋体"/>
                <w:color w:val="auto"/>
                <w:sz w:val="22"/>
                <w:szCs w:val="22"/>
                <w:highlight w:val="none"/>
                <w:lang w:val="en-US" w:eastAsia="zh-CN"/>
              </w:rPr>
              <w:t>三档（15分）：</w:t>
            </w:r>
            <w:r>
              <w:rPr>
                <w:rFonts w:hint="eastAsia" w:ascii="宋体" w:hAnsi="宋体" w:eastAsia="宋体" w:cs="宋体"/>
                <w:color w:val="auto"/>
                <w:sz w:val="22"/>
                <w:szCs w:val="22"/>
                <w:highlight w:val="none"/>
                <w:lang w:eastAsia="zh-CN"/>
              </w:rPr>
              <w:t>项目实施</w:t>
            </w:r>
            <w:r>
              <w:rPr>
                <w:rFonts w:hint="eastAsia" w:ascii="宋体" w:hAnsi="宋体" w:eastAsia="宋体" w:cs="宋体"/>
                <w:color w:val="auto"/>
                <w:sz w:val="22"/>
                <w:szCs w:val="22"/>
                <w:highlight w:val="none"/>
              </w:rPr>
              <w:t>方案</w:t>
            </w:r>
            <w:r>
              <w:rPr>
                <w:rFonts w:hint="eastAsia" w:ascii="宋体" w:hAnsi="宋体" w:eastAsia="宋体" w:cs="宋体"/>
                <w:bCs/>
                <w:color w:val="auto"/>
                <w:sz w:val="22"/>
                <w:szCs w:val="22"/>
                <w:highlight w:val="none"/>
              </w:rPr>
              <w:t>描述清晰、准确、完整、合理，可操作性强，能很好的满足项目要求，可行性高。</w:t>
            </w:r>
            <w:r>
              <w:rPr>
                <w:rFonts w:hint="eastAsia" w:ascii="宋体" w:hAnsi="宋体" w:eastAsia="宋体" w:cs="宋体"/>
                <w:color w:val="auto"/>
                <w:sz w:val="22"/>
                <w:szCs w:val="22"/>
                <w:highlight w:val="none"/>
                <w:lang w:val="en-US" w:eastAsia="zh-CN"/>
              </w:rPr>
              <w:t>实施计划、人员投入方案等安排科学合理，各项保证措施详尽周密，完全符合本项目实际要求。</w:t>
            </w:r>
          </w:p>
        </w:tc>
        <w:tc>
          <w:tcPr>
            <w:tcW w:w="1491" w:type="dxa"/>
            <w:noWrap w:val="0"/>
            <w:vAlign w:val="center"/>
          </w:tcPr>
          <w:p w14:paraId="2D3A7991">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
                <w:bCs w:val="0"/>
                <w:color w:val="auto"/>
                <w:kern w:val="0"/>
                <w:sz w:val="22"/>
                <w:szCs w:val="22"/>
                <w:highlight w:val="none"/>
              </w:rPr>
            </w:pPr>
            <w:r>
              <w:rPr>
                <w:rFonts w:hint="eastAsia" w:ascii="宋体" w:hAnsi="宋体" w:eastAsia="宋体" w:cs="宋体"/>
                <w:bCs/>
                <w:color w:val="auto"/>
                <w:sz w:val="22"/>
                <w:szCs w:val="22"/>
                <w:highlight w:val="none"/>
              </w:rPr>
              <w:t>（满分</w:t>
            </w:r>
            <w:r>
              <w:rPr>
                <w:rFonts w:hint="eastAsia" w:ascii="宋体" w:hAnsi="宋体" w:eastAsia="宋体" w:cs="宋体"/>
                <w:bCs/>
                <w:color w:val="auto"/>
                <w:sz w:val="22"/>
                <w:szCs w:val="22"/>
                <w:highlight w:val="none"/>
                <w:lang w:val="en-US" w:eastAsia="zh-CN"/>
              </w:rPr>
              <w:t>15</w:t>
            </w:r>
            <w:r>
              <w:rPr>
                <w:rFonts w:hint="eastAsia" w:ascii="宋体" w:hAnsi="宋体" w:eastAsia="宋体" w:cs="宋体"/>
                <w:bCs/>
                <w:color w:val="auto"/>
                <w:sz w:val="22"/>
                <w:szCs w:val="22"/>
                <w:highlight w:val="none"/>
              </w:rPr>
              <w:t>分）</w:t>
            </w:r>
          </w:p>
        </w:tc>
      </w:tr>
      <w:tr w14:paraId="5B13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9" w:hRule="atLeast"/>
          <w:jc w:val="center"/>
        </w:trPr>
        <w:tc>
          <w:tcPr>
            <w:tcW w:w="588" w:type="dxa"/>
            <w:noWrap w:val="0"/>
            <w:vAlign w:val="center"/>
          </w:tcPr>
          <w:p w14:paraId="12B55DEB">
            <w:pPr>
              <w:keepNext w:val="0"/>
              <w:keepLines w:val="0"/>
              <w:pageBreakBefore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lang w:val="en-US" w:eastAsia="zh-CN"/>
              </w:rPr>
              <w:t>2.2</w:t>
            </w:r>
          </w:p>
        </w:tc>
        <w:tc>
          <w:tcPr>
            <w:tcW w:w="1110" w:type="dxa"/>
            <w:noWrap w:val="0"/>
            <w:vAlign w:val="center"/>
          </w:tcPr>
          <w:p w14:paraId="010A66AD">
            <w:pPr>
              <w:pStyle w:val="43"/>
              <w:keepNext w:val="0"/>
              <w:keepLines w:val="0"/>
              <w:pageBreakBefore w:val="0"/>
              <w:kinsoku/>
              <w:wordWrap/>
              <w:overflowPunct/>
              <w:topLinePunct w:val="0"/>
              <w:autoSpaceDE/>
              <w:autoSpaceDN/>
              <w:bidi w:val="0"/>
              <w:snapToGrid/>
              <w:spacing w:line="360" w:lineRule="auto"/>
              <w:ind w:firstLine="0" w:firstLineChars="0"/>
              <w:jc w:val="center"/>
              <w:outlineLvl w:val="9"/>
              <w:rPr>
                <w:rFonts w:hint="eastAsia" w:ascii="宋体" w:hAnsi="宋体" w:eastAsia="宋体" w:cs="宋体"/>
                <w:bCs/>
                <w:color w:val="auto"/>
                <w:kern w:val="0"/>
                <w:sz w:val="22"/>
                <w:szCs w:val="22"/>
                <w:highlight w:val="none"/>
              </w:rPr>
            </w:pPr>
            <w:r>
              <w:rPr>
                <w:rFonts w:hint="eastAsia" w:ascii="宋体" w:hAnsi="宋体" w:eastAsia="宋体" w:cs="宋体"/>
                <w:b w:val="0"/>
                <w:bCs/>
                <w:color w:val="auto"/>
                <w:sz w:val="22"/>
                <w:szCs w:val="22"/>
                <w:highlight w:val="none"/>
                <w:lang w:val="en-US" w:eastAsia="zh-CN"/>
              </w:rPr>
              <w:t>应急预案</w:t>
            </w:r>
          </w:p>
        </w:tc>
        <w:tc>
          <w:tcPr>
            <w:tcW w:w="6769" w:type="dxa"/>
            <w:noWrap w:val="0"/>
            <w:vAlign w:val="center"/>
          </w:tcPr>
          <w:p w14:paraId="758F370C">
            <w:pPr>
              <w:pStyle w:val="20"/>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供应商应制定有效的预防和补救措施完成</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lang w:eastAsia="zh-CN"/>
              </w:rPr>
              <w:t>服务的应急预案。主要包括</w:t>
            </w:r>
            <w:r>
              <w:rPr>
                <w:rFonts w:hint="eastAsia" w:ascii="宋体" w:hAnsi="宋体" w:eastAsia="宋体" w:cs="宋体"/>
                <w:color w:val="auto"/>
                <w:sz w:val="22"/>
                <w:szCs w:val="22"/>
                <w:highlight w:val="none"/>
                <w:lang w:val="en-US" w:eastAsia="zh-CN"/>
              </w:rPr>
              <w:t>耗材</w:t>
            </w:r>
            <w:r>
              <w:rPr>
                <w:rFonts w:hint="eastAsia" w:ascii="宋体" w:hAnsi="宋体" w:eastAsia="宋体" w:cs="宋体"/>
                <w:color w:val="auto"/>
                <w:sz w:val="22"/>
                <w:szCs w:val="22"/>
                <w:highlight w:val="none"/>
                <w:lang w:eastAsia="zh-CN"/>
              </w:rPr>
              <w:t>来源、调集措施、</w:t>
            </w:r>
            <w:r>
              <w:rPr>
                <w:rFonts w:hint="eastAsia" w:ascii="宋体" w:hAnsi="宋体" w:eastAsia="宋体" w:cs="宋体"/>
                <w:color w:val="auto"/>
                <w:sz w:val="22"/>
                <w:szCs w:val="22"/>
                <w:highlight w:val="none"/>
                <w:lang w:val="en-US" w:eastAsia="zh-CN"/>
              </w:rPr>
              <w:t>应急措施</w:t>
            </w:r>
            <w:r>
              <w:rPr>
                <w:rFonts w:hint="eastAsia" w:ascii="宋体" w:hAnsi="宋体" w:eastAsia="宋体" w:cs="宋体"/>
                <w:color w:val="auto"/>
                <w:sz w:val="22"/>
                <w:szCs w:val="22"/>
                <w:highlight w:val="none"/>
                <w:lang w:eastAsia="zh-CN"/>
              </w:rPr>
              <w:t>等的完整性、可行性等方面</w:t>
            </w:r>
            <w:r>
              <w:rPr>
                <w:rFonts w:hint="eastAsia" w:ascii="宋体" w:hAnsi="宋体" w:eastAsia="宋体" w:cs="宋体"/>
                <w:color w:val="auto"/>
                <w:sz w:val="22"/>
                <w:szCs w:val="22"/>
                <w:highlight w:val="none"/>
                <w:lang w:val="en-US" w:eastAsia="zh-CN"/>
              </w:rPr>
              <w:t>进行评分：</w:t>
            </w:r>
          </w:p>
          <w:p w14:paraId="3A3D2D40">
            <w:pPr>
              <w:pStyle w:val="20"/>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一档（</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eastAsia="zh-CN"/>
              </w:rPr>
              <w:t>分）：应急预案措施、方法基本可行，可操作</w:t>
            </w:r>
            <w:r>
              <w:rPr>
                <w:rFonts w:hint="eastAsia" w:ascii="宋体" w:hAnsi="宋体" w:eastAsia="宋体" w:cs="宋体"/>
                <w:color w:val="auto"/>
                <w:sz w:val="22"/>
                <w:szCs w:val="22"/>
                <w:highlight w:val="none"/>
                <w:lang w:val="en-US" w:eastAsia="zh-CN"/>
              </w:rPr>
              <w:t>性</w:t>
            </w:r>
            <w:r>
              <w:rPr>
                <w:rFonts w:hint="eastAsia" w:ascii="宋体" w:hAnsi="宋体" w:eastAsia="宋体" w:cs="宋体"/>
                <w:color w:val="auto"/>
                <w:sz w:val="22"/>
                <w:szCs w:val="22"/>
                <w:highlight w:val="none"/>
                <w:lang w:eastAsia="zh-CN"/>
              </w:rPr>
              <w:t xml:space="preserve">一般，仍可按时完成服务。 </w:t>
            </w:r>
          </w:p>
          <w:p w14:paraId="2D468E0C">
            <w:pPr>
              <w:pStyle w:val="20"/>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二档（</w:t>
            </w: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lang w:eastAsia="zh-CN"/>
              </w:rPr>
              <w:t xml:space="preserve">分）：应急预案措施详细、方法可行，可操作性强，可按时完成服务，较一档好。 </w:t>
            </w:r>
          </w:p>
          <w:p w14:paraId="271D88EC">
            <w:pPr>
              <w:pStyle w:val="20"/>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outlineLvl w:val="9"/>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lang w:eastAsia="zh-CN"/>
              </w:rPr>
              <w:t>三档（</w:t>
            </w:r>
            <w:r>
              <w:rPr>
                <w:rFonts w:hint="eastAsia" w:ascii="宋体" w:hAnsi="宋体" w:eastAsia="宋体" w:cs="宋体"/>
                <w:color w:val="auto"/>
                <w:sz w:val="22"/>
                <w:szCs w:val="22"/>
                <w:highlight w:val="none"/>
                <w:lang w:val="en-US" w:eastAsia="zh-CN"/>
              </w:rPr>
              <w:t>15</w:t>
            </w:r>
            <w:r>
              <w:rPr>
                <w:rFonts w:hint="eastAsia" w:ascii="宋体" w:hAnsi="宋体" w:eastAsia="宋体" w:cs="宋体"/>
                <w:color w:val="auto"/>
                <w:sz w:val="22"/>
                <w:szCs w:val="22"/>
                <w:highlight w:val="none"/>
                <w:lang w:eastAsia="zh-CN"/>
              </w:rPr>
              <w:t>分）：应急预案措施详细、全面、 方法科学得当，可操作性强，确保按时完成服务。</w:t>
            </w:r>
          </w:p>
        </w:tc>
        <w:tc>
          <w:tcPr>
            <w:tcW w:w="1491" w:type="dxa"/>
            <w:noWrap w:val="0"/>
            <w:vAlign w:val="center"/>
          </w:tcPr>
          <w:p w14:paraId="5B9F89CF">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bCs/>
                <w:color w:val="auto"/>
                <w:sz w:val="22"/>
                <w:szCs w:val="22"/>
                <w:highlight w:val="none"/>
              </w:rPr>
              <w:t>（满分</w:t>
            </w:r>
            <w:r>
              <w:rPr>
                <w:rFonts w:hint="eastAsia" w:ascii="宋体" w:hAnsi="宋体" w:eastAsia="宋体" w:cs="宋体"/>
                <w:bCs/>
                <w:color w:val="auto"/>
                <w:sz w:val="22"/>
                <w:szCs w:val="22"/>
                <w:highlight w:val="none"/>
                <w:lang w:val="en-US" w:eastAsia="zh-CN"/>
              </w:rPr>
              <w:t>15</w:t>
            </w:r>
            <w:r>
              <w:rPr>
                <w:rFonts w:hint="eastAsia" w:ascii="宋体" w:hAnsi="宋体" w:eastAsia="宋体" w:cs="宋体"/>
                <w:bCs/>
                <w:color w:val="auto"/>
                <w:sz w:val="22"/>
                <w:szCs w:val="22"/>
                <w:highlight w:val="none"/>
              </w:rPr>
              <w:t>分）</w:t>
            </w:r>
          </w:p>
        </w:tc>
      </w:tr>
      <w:tr w14:paraId="21C5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5" w:hRule="atLeast"/>
          <w:jc w:val="center"/>
        </w:trPr>
        <w:tc>
          <w:tcPr>
            <w:tcW w:w="588" w:type="dxa"/>
            <w:noWrap w:val="0"/>
            <w:vAlign w:val="center"/>
          </w:tcPr>
          <w:p w14:paraId="566962A6">
            <w:pPr>
              <w:keepNext w:val="0"/>
              <w:keepLines w:val="0"/>
              <w:pageBreakBefore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2.</w:t>
            </w:r>
            <w:r>
              <w:rPr>
                <w:rFonts w:hint="eastAsia" w:ascii="宋体" w:hAnsi="宋体" w:eastAsia="宋体" w:cs="宋体"/>
                <w:bCs/>
                <w:color w:val="auto"/>
                <w:kern w:val="0"/>
                <w:sz w:val="22"/>
                <w:szCs w:val="22"/>
                <w:highlight w:val="none"/>
                <w:lang w:val="en-US" w:eastAsia="zh-CN"/>
              </w:rPr>
              <w:t>3</w:t>
            </w:r>
          </w:p>
        </w:tc>
        <w:tc>
          <w:tcPr>
            <w:tcW w:w="1110" w:type="dxa"/>
            <w:noWrap w:val="0"/>
            <w:vAlign w:val="center"/>
          </w:tcPr>
          <w:p w14:paraId="06A8CDA3">
            <w:pPr>
              <w:keepNext w:val="0"/>
              <w:keepLines w:val="0"/>
              <w:pageBreakBefore w:val="0"/>
              <w:kinsoku/>
              <w:wordWrap/>
              <w:overflowPunct/>
              <w:topLinePunct w:val="0"/>
              <w:autoSpaceDE/>
              <w:autoSpaceDN/>
              <w:bidi w:val="0"/>
              <w:snapToGrid/>
              <w:spacing w:line="360" w:lineRule="auto"/>
              <w:jc w:val="center"/>
              <w:outlineLvl w:val="9"/>
              <w:rPr>
                <w:rFonts w:hint="eastAsia" w:ascii="宋体" w:hAnsi="宋体" w:eastAsia="宋体" w:cs="宋体"/>
                <w:bCs/>
                <w:color w:val="auto"/>
                <w:sz w:val="22"/>
                <w:szCs w:val="22"/>
                <w:highlight w:val="none"/>
                <w:lang w:eastAsia="zh-CN"/>
              </w:rPr>
            </w:pPr>
            <w:r>
              <w:rPr>
                <w:rFonts w:hint="eastAsia" w:ascii="宋体" w:hAnsi="宋体" w:eastAsia="宋体" w:cs="宋体"/>
                <w:color w:val="auto"/>
                <w:sz w:val="22"/>
                <w:szCs w:val="22"/>
                <w:highlight w:val="none"/>
                <w:lang w:eastAsia="zh-CN"/>
              </w:rPr>
              <w:t>服务</w:t>
            </w:r>
            <w:r>
              <w:rPr>
                <w:rFonts w:hint="eastAsia" w:ascii="宋体" w:hAnsi="宋体" w:eastAsia="宋体" w:cs="宋体"/>
                <w:color w:val="auto"/>
                <w:sz w:val="22"/>
                <w:szCs w:val="22"/>
                <w:highlight w:val="none"/>
              </w:rPr>
              <w:t>承诺分</w:t>
            </w:r>
          </w:p>
          <w:p w14:paraId="5796790C">
            <w:pPr>
              <w:keepNext w:val="0"/>
              <w:keepLines w:val="0"/>
              <w:pageBreakBefore w:val="0"/>
              <w:kinsoku/>
              <w:wordWrap/>
              <w:overflowPunct/>
              <w:topLinePunct w:val="0"/>
              <w:autoSpaceDE/>
              <w:autoSpaceDN/>
              <w:bidi w:val="0"/>
              <w:snapToGrid/>
              <w:spacing w:line="360" w:lineRule="auto"/>
              <w:jc w:val="center"/>
              <w:outlineLvl w:val="9"/>
              <w:rPr>
                <w:rFonts w:hint="eastAsia" w:ascii="宋体" w:hAnsi="宋体" w:eastAsia="宋体" w:cs="宋体"/>
                <w:bCs/>
                <w:color w:val="auto"/>
                <w:kern w:val="0"/>
                <w:sz w:val="22"/>
                <w:szCs w:val="22"/>
                <w:highlight w:val="none"/>
              </w:rPr>
            </w:pPr>
          </w:p>
        </w:tc>
        <w:tc>
          <w:tcPr>
            <w:tcW w:w="6769" w:type="dxa"/>
            <w:noWrap w:val="0"/>
            <w:vAlign w:val="center"/>
          </w:tcPr>
          <w:p w14:paraId="1A7AB210">
            <w:pPr>
              <w:pStyle w:val="20"/>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一档（7分）：</w:t>
            </w:r>
            <w:r>
              <w:rPr>
                <w:rFonts w:hint="eastAsia" w:hAnsi="宋体" w:eastAsia="宋体" w:cs="宋体"/>
                <w:color w:val="auto"/>
                <w:sz w:val="22"/>
                <w:szCs w:val="22"/>
                <w:highlight w:val="none"/>
                <w:lang w:val="en-US" w:eastAsia="zh-CN"/>
              </w:rPr>
              <w:t>满足采购人需求，</w:t>
            </w:r>
            <w:r>
              <w:rPr>
                <w:rFonts w:hint="eastAsia" w:ascii="宋体" w:hAnsi="宋体" w:eastAsia="宋体" w:cs="宋体"/>
                <w:color w:val="auto"/>
                <w:sz w:val="22"/>
                <w:szCs w:val="22"/>
                <w:highlight w:val="none"/>
                <w:lang w:val="en-US" w:eastAsia="zh-CN"/>
              </w:rPr>
              <w:t>提供本项目实施期间和实施后的服务承诺简单的。</w:t>
            </w:r>
          </w:p>
          <w:p w14:paraId="43278BD0">
            <w:pPr>
              <w:pStyle w:val="20"/>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二档（13分）：提供本项目实施期间和实施后的服务承诺较一档详细周全的，并承诺响应及到达现场的处理时间。 </w:t>
            </w:r>
          </w:p>
          <w:p w14:paraId="0842BFF6">
            <w:pPr>
              <w:pStyle w:val="20"/>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三档（20分）：提供本项目实施期间和实施后的服务承诺积极完善并承诺响应及到达现场的处理时间，且到达现场的处理时间优于采购人需求的，提出问题解决方案更优的。</w:t>
            </w:r>
          </w:p>
        </w:tc>
        <w:tc>
          <w:tcPr>
            <w:tcW w:w="1491" w:type="dxa"/>
            <w:noWrap w:val="0"/>
            <w:vAlign w:val="center"/>
          </w:tcPr>
          <w:p w14:paraId="0628BD25">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sz w:val="22"/>
                <w:szCs w:val="22"/>
                <w:highlight w:val="none"/>
                <w:lang w:val="en-US" w:eastAsia="zh-CN"/>
              </w:rPr>
              <w:t>（满分20分）</w:t>
            </w:r>
          </w:p>
        </w:tc>
      </w:tr>
      <w:tr w14:paraId="6BC6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noWrap w:val="0"/>
            <w:vAlign w:val="center"/>
          </w:tcPr>
          <w:p w14:paraId="0A75E2C8">
            <w:pPr>
              <w:keepNext w:val="0"/>
              <w:keepLines w:val="0"/>
              <w:pageBreakBefore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2.</w:t>
            </w:r>
            <w:r>
              <w:rPr>
                <w:rFonts w:hint="eastAsia" w:ascii="宋体" w:hAnsi="宋体" w:eastAsia="宋体" w:cs="宋体"/>
                <w:bCs/>
                <w:color w:val="auto"/>
                <w:kern w:val="0"/>
                <w:sz w:val="22"/>
                <w:szCs w:val="22"/>
                <w:highlight w:val="none"/>
                <w:lang w:val="en-US" w:eastAsia="zh-CN"/>
              </w:rPr>
              <w:t>4</w:t>
            </w:r>
          </w:p>
        </w:tc>
        <w:tc>
          <w:tcPr>
            <w:tcW w:w="1110" w:type="dxa"/>
            <w:noWrap w:val="0"/>
            <w:vAlign w:val="center"/>
          </w:tcPr>
          <w:p w14:paraId="356A857B">
            <w:pPr>
              <w:spacing w:line="360" w:lineRule="auto"/>
              <w:jc w:val="center"/>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lang w:eastAsia="zh-CN"/>
              </w:rPr>
              <w:t>配送方案</w:t>
            </w:r>
          </w:p>
        </w:tc>
        <w:tc>
          <w:tcPr>
            <w:tcW w:w="6769" w:type="dxa"/>
            <w:noWrap w:val="0"/>
            <w:vAlign w:val="center"/>
          </w:tcPr>
          <w:p w14:paraId="3C24B546">
            <w:pPr>
              <w:keepNext w:val="0"/>
              <w:keepLines w:val="0"/>
              <w:widowControl/>
              <w:suppressLineNumbers w:val="0"/>
              <w:spacing w:line="360" w:lineRule="auto"/>
              <w:ind w:firstLine="440" w:firstLineChars="200"/>
              <w:jc w:val="left"/>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kern w:val="0"/>
                <w:sz w:val="22"/>
                <w:szCs w:val="22"/>
                <w:highlight w:val="none"/>
                <w:lang w:val="en-US" w:eastAsia="zh-CN" w:bidi="ar"/>
              </w:rPr>
              <w:t>一档（5分）：对项目总体理解不到位，对各个阶段工作安排说明简单粗糙，人员安排，配送流程不具体。</w:t>
            </w:r>
          </w:p>
          <w:p w14:paraId="71FFCBBD">
            <w:pPr>
              <w:keepNext w:val="0"/>
              <w:keepLines w:val="0"/>
              <w:widowControl/>
              <w:suppressLineNumbers w:val="0"/>
              <w:spacing w:line="360" w:lineRule="auto"/>
              <w:ind w:firstLine="440" w:firstLineChars="200"/>
              <w:jc w:val="left"/>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kern w:val="0"/>
                <w:sz w:val="22"/>
                <w:szCs w:val="22"/>
                <w:highlight w:val="none"/>
                <w:lang w:val="en-US" w:eastAsia="zh-CN" w:bidi="ar"/>
              </w:rPr>
              <w:t xml:space="preserve">二档（10 分）：对项目总体理解一般，有一定的合理化建议，有较好的配送计划、配送措施具体有效、有针对性，配送流程方案较详细。 </w:t>
            </w:r>
          </w:p>
          <w:p w14:paraId="213DE4E1">
            <w:pPr>
              <w:widowControl/>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b w:val="0"/>
                <w:bCs w:val="0"/>
                <w:color w:val="auto"/>
                <w:kern w:val="0"/>
                <w:sz w:val="22"/>
                <w:szCs w:val="22"/>
                <w:highlight w:val="none"/>
                <w:lang w:val="en-US" w:eastAsia="zh-CN" w:bidi="ar"/>
              </w:rPr>
              <w:t>三档（15 分）：对项目总体理解到位，合理化建议内容详细可行、 配送方案详细、先进，人员配备充足，进度有保障、能详细说明各个阶段工作安排，能提供合理的配送方案及验收方案，方案切合项目实际。</w:t>
            </w:r>
          </w:p>
        </w:tc>
        <w:tc>
          <w:tcPr>
            <w:tcW w:w="1491" w:type="dxa"/>
            <w:noWrap w:val="0"/>
            <w:vAlign w:val="center"/>
          </w:tcPr>
          <w:p w14:paraId="2844B9A9">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bCs/>
                <w:color w:val="auto"/>
                <w:sz w:val="22"/>
                <w:szCs w:val="22"/>
                <w:highlight w:val="none"/>
              </w:rPr>
              <w:t>（满分</w:t>
            </w:r>
            <w:r>
              <w:rPr>
                <w:rFonts w:hint="eastAsia" w:ascii="宋体" w:hAnsi="宋体" w:eastAsia="宋体" w:cs="宋体"/>
                <w:bCs/>
                <w:color w:val="auto"/>
                <w:sz w:val="22"/>
                <w:szCs w:val="22"/>
                <w:highlight w:val="none"/>
                <w:lang w:val="en-US" w:eastAsia="zh-CN"/>
              </w:rPr>
              <w:t>15</w:t>
            </w:r>
            <w:r>
              <w:rPr>
                <w:rFonts w:hint="eastAsia" w:ascii="宋体" w:hAnsi="宋体" w:eastAsia="宋体" w:cs="宋体"/>
                <w:bCs/>
                <w:color w:val="auto"/>
                <w:sz w:val="22"/>
                <w:szCs w:val="22"/>
                <w:highlight w:val="none"/>
              </w:rPr>
              <w:t>分）</w:t>
            </w:r>
          </w:p>
        </w:tc>
      </w:tr>
      <w:tr w14:paraId="77BE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588" w:type="dxa"/>
            <w:noWrap w:val="0"/>
            <w:vAlign w:val="center"/>
          </w:tcPr>
          <w:p w14:paraId="2B0DCA93">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Cs/>
                <w:color w:val="auto"/>
                <w:kern w:val="0"/>
                <w:sz w:val="22"/>
                <w:szCs w:val="22"/>
                <w:highlight w:val="none"/>
                <w:lang w:val="en-US" w:eastAsia="zh-CN"/>
              </w:rPr>
            </w:pPr>
            <w:r>
              <w:rPr>
                <w:rFonts w:hint="eastAsia" w:ascii="宋体" w:hAnsi="宋体" w:eastAsia="宋体" w:cs="宋体"/>
                <w:color w:val="auto"/>
                <w:kern w:val="0"/>
                <w:sz w:val="22"/>
                <w:szCs w:val="22"/>
                <w:highlight w:val="none"/>
              </w:rPr>
              <w:t>3</w:t>
            </w:r>
          </w:p>
        </w:tc>
        <w:tc>
          <w:tcPr>
            <w:tcW w:w="1110" w:type="dxa"/>
            <w:noWrap w:val="0"/>
            <w:vAlign w:val="center"/>
          </w:tcPr>
          <w:p w14:paraId="24BA3861">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Cs/>
                <w:color w:val="auto"/>
                <w:kern w:val="0"/>
                <w:sz w:val="22"/>
                <w:szCs w:val="22"/>
                <w:highlight w:val="none"/>
              </w:rPr>
            </w:pPr>
            <w:r>
              <w:rPr>
                <w:rFonts w:hint="eastAsia" w:ascii="宋体" w:hAnsi="宋体" w:eastAsia="宋体" w:cs="宋体"/>
                <w:bCs/>
                <w:color w:val="auto"/>
                <w:sz w:val="22"/>
                <w:szCs w:val="22"/>
                <w:highlight w:val="none"/>
              </w:rPr>
              <w:t>商务分</w:t>
            </w:r>
          </w:p>
        </w:tc>
        <w:tc>
          <w:tcPr>
            <w:tcW w:w="6769" w:type="dxa"/>
            <w:noWrap w:val="0"/>
            <w:vAlign w:val="center"/>
          </w:tcPr>
          <w:p w14:paraId="7099DE4E">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color w:val="auto"/>
                <w:kern w:val="0"/>
                <w:sz w:val="22"/>
                <w:szCs w:val="22"/>
                <w:highlight w:val="none"/>
              </w:rPr>
              <w:t>评审因素</w:t>
            </w:r>
          </w:p>
        </w:tc>
        <w:tc>
          <w:tcPr>
            <w:tcW w:w="1491" w:type="dxa"/>
            <w:noWrap w:val="0"/>
            <w:vAlign w:val="center"/>
          </w:tcPr>
          <w:p w14:paraId="4E3489E4">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sz w:val="22"/>
                <w:szCs w:val="22"/>
                <w:highlight w:val="none"/>
              </w:rPr>
              <w:t>满分</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分</w:t>
            </w:r>
          </w:p>
        </w:tc>
      </w:tr>
      <w:tr w14:paraId="39C5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588" w:type="dxa"/>
            <w:noWrap w:val="0"/>
            <w:vAlign w:val="center"/>
          </w:tcPr>
          <w:p w14:paraId="1D049FEB">
            <w:pPr>
              <w:keepNext w:val="0"/>
              <w:keepLines w:val="0"/>
              <w:pageBreakBefore w:val="0"/>
              <w:widowControl/>
              <w:kinsoku/>
              <w:wordWrap/>
              <w:overflowPunct/>
              <w:topLinePunct w:val="0"/>
              <w:autoSpaceDE/>
              <w:autoSpaceDN/>
              <w:bidi w:val="0"/>
              <w:spacing w:line="360" w:lineRule="auto"/>
              <w:jc w:val="left"/>
              <w:rPr>
                <w:rFonts w:hint="eastAsia" w:ascii="宋体" w:hAnsi="宋体" w:eastAsia="宋体" w:cs="宋体"/>
                <w:b/>
                <w:bCs w:val="0"/>
                <w:color w:val="auto"/>
                <w:kern w:val="0"/>
                <w:sz w:val="22"/>
                <w:szCs w:val="22"/>
                <w:highlight w:val="none"/>
                <w:lang w:val="en-US" w:eastAsia="zh-CN"/>
              </w:rPr>
            </w:pPr>
            <w:r>
              <w:rPr>
                <w:rFonts w:hint="eastAsia" w:ascii="宋体" w:hAnsi="宋体" w:eastAsia="宋体" w:cs="宋体"/>
                <w:b w:val="0"/>
                <w:bCs w:val="0"/>
                <w:color w:val="auto"/>
                <w:sz w:val="22"/>
                <w:szCs w:val="22"/>
                <w:highlight w:val="none"/>
              </w:rPr>
              <w:t>3.1</w:t>
            </w:r>
          </w:p>
        </w:tc>
        <w:tc>
          <w:tcPr>
            <w:tcW w:w="1110" w:type="dxa"/>
            <w:noWrap w:val="0"/>
            <w:vAlign w:val="center"/>
          </w:tcPr>
          <w:p w14:paraId="15EB75CE">
            <w:pPr>
              <w:spacing w:line="360" w:lineRule="auto"/>
              <w:jc w:val="center"/>
              <w:rPr>
                <w:rFonts w:hint="eastAsia" w:ascii="宋体" w:hAnsi="宋体" w:eastAsia="宋体" w:cs="宋体"/>
                <w:b/>
                <w:bCs w:val="0"/>
                <w:color w:val="auto"/>
                <w:kern w:val="0"/>
                <w:sz w:val="22"/>
                <w:szCs w:val="22"/>
                <w:highlight w:val="none"/>
              </w:rPr>
            </w:pPr>
            <w:r>
              <w:rPr>
                <w:rFonts w:hint="eastAsia" w:ascii="宋体" w:hAnsi="宋体" w:eastAsia="宋体" w:cs="宋体"/>
                <w:color w:val="auto"/>
                <w:sz w:val="22"/>
                <w:szCs w:val="22"/>
                <w:highlight w:val="none"/>
                <w:lang w:eastAsia="zh-CN"/>
              </w:rPr>
              <w:t>业绩分</w:t>
            </w:r>
          </w:p>
        </w:tc>
        <w:tc>
          <w:tcPr>
            <w:tcW w:w="6769" w:type="dxa"/>
            <w:noWrap w:val="0"/>
            <w:vAlign w:val="center"/>
          </w:tcPr>
          <w:p w14:paraId="799778A1">
            <w:pPr>
              <w:spacing w:line="360" w:lineRule="auto"/>
              <w:ind w:firstLine="0" w:firstLineChars="0"/>
              <w:jc w:val="left"/>
              <w:rPr>
                <w:rFonts w:hint="eastAsia" w:ascii="宋体" w:hAnsi="宋体" w:eastAsia="宋体" w:cs="宋体"/>
                <w:b/>
                <w:bCs w:val="0"/>
                <w:color w:val="auto"/>
                <w:kern w:val="0"/>
                <w:sz w:val="22"/>
                <w:szCs w:val="22"/>
                <w:highlight w:val="none"/>
                <w:lang w:val="en-US" w:eastAsia="zh-CN"/>
              </w:rPr>
            </w:pPr>
            <w:r>
              <w:rPr>
                <w:rFonts w:hint="eastAsia" w:ascii="宋体" w:hAnsi="宋体" w:eastAsia="宋体" w:cs="宋体"/>
                <w:color w:val="auto"/>
                <w:sz w:val="22"/>
                <w:szCs w:val="22"/>
                <w:highlight w:val="none"/>
                <w:lang w:val="en-US" w:eastAsia="zh-CN"/>
              </w:rPr>
              <w:t>2023年1月1日以来</w:t>
            </w:r>
            <w:r>
              <w:rPr>
                <w:rFonts w:hint="eastAsia" w:ascii="宋体" w:hAnsi="宋体" w:eastAsia="宋体" w:cs="宋体"/>
                <w:color w:val="auto"/>
                <w:sz w:val="22"/>
                <w:szCs w:val="22"/>
                <w:highlight w:val="none"/>
                <w:lang w:eastAsia="zh-CN"/>
              </w:rPr>
              <w:t>供应商具有同类项目业绩的，每个得</w:t>
            </w:r>
            <w:r>
              <w:rPr>
                <w:rFonts w:hint="eastAsia" w:ascii="宋体" w:hAnsi="宋体" w:eastAsia="宋体" w:cs="宋体"/>
                <w:color w:val="auto"/>
                <w:sz w:val="22"/>
                <w:szCs w:val="22"/>
                <w:highlight w:val="none"/>
                <w:lang w:val="en-US" w:eastAsia="zh-CN"/>
              </w:rPr>
              <w:t>1分，满分5分。（提供合同或中标（成交）通知书复印件，合同应包含但不限于项目名称、甲乙双方名称、签订时间及地点等主要条款，不提供或者提供不全者不计分。）</w:t>
            </w:r>
          </w:p>
        </w:tc>
        <w:tc>
          <w:tcPr>
            <w:tcW w:w="1491" w:type="dxa"/>
            <w:noWrap w:val="0"/>
            <w:vAlign w:val="center"/>
          </w:tcPr>
          <w:p w14:paraId="10F2CD6A">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b w:val="0"/>
                <w:bCs w:val="0"/>
                <w:color w:val="auto"/>
                <w:sz w:val="22"/>
                <w:szCs w:val="22"/>
                <w:highlight w:val="none"/>
              </w:rPr>
              <w:t>满分</w:t>
            </w:r>
            <w:r>
              <w:rPr>
                <w:rFonts w:hint="eastAsia" w:ascii="宋体" w:hAnsi="宋体" w:eastAsia="宋体" w:cs="宋体"/>
                <w:b w:val="0"/>
                <w:bCs w:val="0"/>
                <w:color w:val="auto"/>
                <w:sz w:val="22"/>
                <w:szCs w:val="22"/>
                <w:highlight w:val="none"/>
                <w:lang w:val="en-US" w:eastAsia="zh-CN"/>
              </w:rPr>
              <w:t>5</w:t>
            </w:r>
            <w:r>
              <w:rPr>
                <w:rFonts w:hint="eastAsia" w:ascii="宋体" w:hAnsi="宋体" w:eastAsia="宋体" w:cs="宋体"/>
                <w:b w:val="0"/>
                <w:bCs w:val="0"/>
                <w:color w:val="auto"/>
                <w:sz w:val="22"/>
                <w:szCs w:val="22"/>
                <w:highlight w:val="none"/>
              </w:rPr>
              <w:t>分</w:t>
            </w:r>
          </w:p>
        </w:tc>
      </w:tr>
      <w:tr w14:paraId="2F8C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958" w:type="dxa"/>
            <w:gridSpan w:val="4"/>
            <w:noWrap w:val="0"/>
            <w:vAlign w:val="center"/>
          </w:tcPr>
          <w:p w14:paraId="507B710F">
            <w:pPr>
              <w:pStyle w:val="20"/>
              <w:spacing w:line="360" w:lineRule="auto"/>
              <w:ind w:firstLine="420"/>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总得分=1+2+3</w:t>
            </w:r>
          </w:p>
        </w:tc>
      </w:tr>
      <w:bookmarkEnd w:id="44"/>
    </w:tbl>
    <w:p w14:paraId="016D82C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9FDEA25">
      <w:pPr>
        <w:spacing w:line="360" w:lineRule="auto"/>
        <w:ind w:firstLine="422" w:firstLineChars="200"/>
        <w:jc w:val="center"/>
        <w:rPr>
          <w:rFonts w:ascii="宋体" w:hAnsi="宋体" w:cs="宋体"/>
          <w:b/>
          <w:color w:val="auto"/>
          <w:highlight w:val="none"/>
        </w:rPr>
      </w:pPr>
    </w:p>
    <w:p w14:paraId="5B770E2B">
      <w:pPr>
        <w:pStyle w:val="4"/>
        <w:spacing w:before="0" w:after="0" w:line="360" w:lineRule="auto"/>
        <w:ind w:firstLine="640" w:firstLineChars="200"/>
        <w:jc w:val="center"/>
        <w:rPr>
          <w:rFonts w:ascii="宋体" w:hAnsi="宋体"/>
          <w:b w:val="0"/>
          <w:color w:val="auto"/>
          <w:highlight w:val="none"/>
        </w:rPr>
      </w:pPr>
      <w:bookmarkStart w:id="45" w:name="_Toc13277"/>
      <w:bookmarkStart w:id="46" w:name="_Toc32746"/>
      <w:bookmarkStart w:id="47" w:name="_Toc3774"/>
      <w:bookmarkStart w:id="48" w:name="_Toc9104"/>
      <w:bookmarkStart w:id="49" w:name="_Toc31464"/>
      <w:bookmarkStart w:id="50" w:name="_Toc1709"/>
      <w:r>
        <w:rPr>
          <w:rFonts w:hint="eastAsia" w:ascii="宋体" w:hAnsi="宋体"/>
          <w:b w:val="0"/>
          <w:color w:val="auto"/>
          <w:highlight w:val="none"/>
        </w:rPr>
        <w:t>第二节 评审报告</w:t>
      </w:r>
      <w:bookmarkEnd w:id="45"/>
      <w:bookmarkEnd w:id="46"/>
      <w:bookmarkEnd w:id="47"/>
      <w:bookmarkEnd w:id="48"/>
      <w:bookmarkEnd w:id="49"/>
      <w:bookmarkEnd w:id="50"/>
    </w:p>
    <w:p w14:paraId="7E23B7DE">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442B4E3F">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由磋商小组根据综合评分情况，按照评审得分由高到低顺序每个分标推荐3名以上成交候选供应商</w:t>
      </w:r>
      <w:r>
        <w:rPr>
          <w:rFonts w:hint="eastAsia" w:ascii="宋体" w:hAnsi="宋体"/>
          <w:bCs/>
          <w:color w:val="auto"/>
          <w:szCs w:val="21"/>
          <w:highlight w:val="none"/>
          <w:lang w:eastAsia="zh-CN"/>
        </w:rPr>
        <w:t>，</w:t>
      </w:r>
      <w:r>
        <w:rPr>
          <w:rFonts w:hint="eastAsia" w:ascii="宋体" w:hAnsi="宋体" w:cs="宋体"/>
          <w:color w:val="auto"/>
          <w:highlight w:val="none"/>
        </w:rPr>
        <w:t>并在线编写电子评审报告</w:t>
      </w:r>
      <w:r>
        <w:rPr>
          <w:rFonts w:hint="eastAsia" w:ascii="宋体" w:hAnsi="宋体"/>
          <w:bCs/>
          <w:color w:val="auto"/>
          <w:szCs w:val="21"/>
          <w:highlight w:val="none"/>
        </w:rPr>
        <w:t>。评审得分相同的，按照最后报价下浮系数由多到少的顺序推荐。评审得分且最后报价下浮系数相同的，按照技术指标优劣顺序推荐（按技术得分由高到低排序，技术得分相同的按照服务需求偏离分由高到低排序）。评审得分、最后报价下浮系数、技术得分、服务需求偏离分均相同的，由磋商小组随机抽取推荐。</w:t>
      </w:r>
    </w:p>
    <w:p w14:paraId="3BE4E576">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2.评标争议事项处理</w:t>
      </w:r>
    </w:p>
    <w:p w14:paraId="5FBF7A13">
      <w:pPr>
        <w:pStyle w:val="102"/>
        <w:spacing w:before="0"/>
        <w:ind w:firstLine="420"/>
        <w:rPr>
          <w:rFonts w:ascii="宋体" w:hAnsi="宋体" w:cs="宋体"/>
          <w:color w:val="auto"/>
          <w:sz w:val="21"/>
          <w:szCs w:val="24"/>
          <w:highlight w:val="none"/>
        </w:rPr>
      </w:pPr>
      <w:r>
        <w:rPr>
          <w:rFonts w:hint="eastAsia" w:ascii="宋体" w:hAnsi="宋体" w:cs="宋体"/>
          <w:color w:val="auto"/>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777F0F3C">
      <w:pPr>
        <w:pStyle w:val="4"/>
        <w:spacing w:before="0" w:after="0" w:line="360" w:lineRule="auto"/>
        <w:ind w:firstLine="640" w:firstLineChars="200"/>
        <w:jc w:val="center"/>
        <w:rPr>
          <w:rFonts w:ascii="宋体" w:hAnsi="宋体" w:cs="宋体"/>
          <w:b w:val="0"/>
          <w:color w:val="auto"/>
          <w:highlight w:val="none"/>
        </w:rPr>
      </w:pPr>
      <w:bookmarkStart w:id="51" w:name="_Toc29027"/>
      <w:bookmarkStart w:id="52" w:name="_Toc28186"/>
      <w:bookmarkStart w:id="53" w:name="_Toc32317"/>
      <w:bookmarkStart w:id="54" w:name="_Toc4183"/>
      <w:bookmarkStart w:id="55" w:name="_Toc27820"/>
      <w:bookmarkStart w:id="56" w:name="_Toc3174"/>
      <w:r>
        <w:rPr>
          <w:rFonts w:hint="eastAsia" w:ascii="宋体" w:hAnsi="宋体"/>
          <w:b w:val="0"/>
          <w:color w:val="auto"/>
          <w:highlight w:val="none"/>
        </w:rPr>
        <w:t>第三节 评审过程的保密与录像</w:t>
      </w:r>
      <w:bookmarkEnd w:id="51"/>
      <w:bookmarkEnd w:id="52"/>
      <w:bookmarkEnd w:id="53"/>
      <w:bookmarkEnd w:id="54"/>
      <w:bookmarkEnd w:id="55"/>
      <w:bookmarkEnd w:id="56"/>
    </w:p>
    <w:p w14:paraId="17161A55">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64CCE0D3">
      <w:pPr>
        <w:widowControl/>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6569FAD">
      <w:pPr>
        <w:widowControl/>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269CF4B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0DF64D25">
      <w:pPr>
        <w:rPr>
          <w:rFonts w:ascii="宋体" w:hAnsi="宋体" w:cs="宋体"/>
          <w:color w:val="auto"/>
          <w:highlight w:val="none"/>
        </w:rPr>
      </w:pPr>
    </w:p>
    <w:p w14:paraId="4D133E28">
      <w:pPr>
        <w:rPr>
          <w:rFonts w:ascii="宋体" w:hAnsi="宋体" w:cs="宋体"/>
          <w:color w:val="auto"/>
          <w:highlight w:val="none"/>
        </w:rPr>
      </w:pPr>
    </w:p>
    <w:p w14:paraId="55D8AAF7">
      <w:pPr>
        <w:rPr>
          <w:color w:val="auto"/>
          <w:highlight w:val="none"/>
        </w:rPr>
      </w:pPr>
    </w:p>
    <w:p w14:paraId="37E26AF1">
      <w:pPr>
        <w:rPr>
          <w:rFonts w:ascii="宋体" w:hAnsi="宋体" w:cs="宋体"/>
          <w:color w:val="auto"/>
          <w:highlight w:val="none"/>
        </w:rPr>
      </w:pPr>
      <w:r>
        <w:rPr>
          <w:rFonts w:hint="eastAsia" w:ascii="宋体" w:hAnsi="宋体" w:cs="宋体"/>
          <w:color w:val="auto"/>
          <w:highlight w:val="none"/>
        </w:rPr>
        <w:br w:type="page"/>
      </w:r>
    </w:p>
    <w:p w14:paraId="49BD56C7">
      <w:pPr>
        <w:pStyle w:val="3"/>
        <w:jc w:val="center"/>
        <w:rPr>
          <w:rFonts w:ascii="宋体" w:hAnsi="宋体" w:cs="宋体"/>
          <w:color w:val="auto"/>
          <w:highlight w:val="none"/>
        </w:rPr>
      </w:pPr>
      <w:bookmarkStart w:id="57" w:name="_Toc9845"/>
      <w:bookmarkStart w:id="58" w:name="_Toc17223"/>
      <w:bookmarkStart w:id="59" w:name="_Toc427"/>
      <w:bookmarkStart w:id="60" w:name="_Toc923"/>
      <w:bookmarkStart w:id="61" w:name="_Toc11570"/>
      <w:r>
        <w:rPr>
          <w:rFonts w:hint="eastAsia" w:ascii="宋体" w:hAnsi="宋体" w:cs="宋体"/>
          <w:color w:val="auto"/>
          <w:highlight w:val="none"/>
        </w:rPr>
        <w:t>第五章 响应文件格式</w:t>
      </w:r>
      <w:bookmarkEnd w:id="57"/>
      <w:bookmarkEnd w:id="58"/>
      <w:bookmarkEnd w:id="59"/>
      <w:bookmarkEnd w:id="60"/>
      <w:bookmarkEnd w:id="61"/>
    </w:p>
    <w:p w14:paraId="6E8746D7">
      <w:pPr>
        <w:pStyle w:val="4"/>
        <w:rPr>
          <w:color w:val="auto"/>
          <w:highlight w:val="none"/>
        </w:rPr>
      </w:pPr>
      <w:bookmarkStart w:id="62" w:name="_Toc619"/>
      <w:bookmarkStart w:id="63" w:name="_Toc23648"/>
      <w:bookmarkStart w:id="64" w:name="_Toc24163"/>
      <w:bookmarkStart w:id="65" w:name="_Toc17271"/>
      <w:bookmarkStart w:id="66" w:name="_Toc14939"/>
      <w:r>
        <w:rPr>
          <w:rFonts w:hint="eastAsia"/>
          <w:color w:val="auto"/>
          <w:highlight w:val="none"/>
        </w:rPr>
        <w:t>一、封面格式</w:t>
      </w:r>
      <w:bookmarkEnd w:id="62"/>
      <w:bookmarkEnd w:id="63"/>
      <w:bookmarkEnd w:id="64"/>
      <w:bookmarkEnd w:id="65"/>
      <w:bookmarkEnd w:id="66"/>
    </w:p>
    <w:p w14:paraId="6FD6EAB7">
      <w:pPr>
        <w:pStyle w:val="2"/>
        <w:rPr>
          <w:color w:val="auto"/>
          <w:highlight w:val="none"/>
        </w:rPr>
      </w:pPr>
    </w:p>
    <w:p w14:paraId="22875D4E">
      <w:pPr>
        <w:pStyle w:val="33"/>
        <w:rPr>
          <w:color w:val="auto"/>
          <w:highlight w:val="none"/>
        </w:rPr>
      </w:pPr>
    </w:p>
    <w:p w14:paraId="08B4B445">
      <w:pPr>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4F64E075">
      <w:pPr>
        <w:snapToGrid w:val="0"/>
        <w:spacing w:beforeLines="50" w:after="50"/>
        <w:jc w:val="center"/>
        <w:rPr>
          <w:rFonts w:ascii="宋体" w:hAnsi="宋体" w:cs="宋体"/>
          <w:bCs/>
          <w:color w:val="auto"/>
          <w:sz w:val="44"/>
          <w:szCs w:val="44"/>
          <w:highlight w:val="none"/>
        </w:rPr>
      </w:pPr>
    </w:p>
    <w:p w14:paraId="73800791">
      <w:pPr>
        <w:snapToGrid w:val="0"/>
        <w:spacing w:beforeLines="50" w:after="50"/>
        <w:jc w:val="center"/>
        <w:rPr>
          <w:rFonts w:ascii="宋体" w:hAnsi="宋体" w:cs="宋体"/>
          <w:bCs/>
          <w:color w:val="auto"/>
          <w:sz w:val="32"/>
          <w:szCs w:val="32"/>
          <w:highlight w:val="none"/>
        </w:rPr>
      </w:pPr>
    </w:p>
    <w:p w14:paraId="5DA92F5C">
      <w:pPr>
        <w:snapToGrid w:val="0"/>
        <w:spacing w:beforeLines="50" w:after="50"/>
        <w:rPr>
          <w:rFonts w:ascii="宋体" w:hAnsi="宋体" w:cs="宋体"/>
          <w:bCs/>
          <w:color w:val="auto"/>
          <w:sz w:val="24"/>
          <w:szCs w:val="20"/>
          <w:highlight w:val="none"/>
        </w:rPr>
      </w:pPr>
    </w:p>
    <w:p w14:paraId="4028937E">
      <w:pPr>
        <w:snapToGrid w:val="0"/>
        <w:spacing w:beforeLines="50" w:after="50"/>
        <w:rPr>
          <w:rFonts w:ascii="宋体" w:hAnsi="宋体" w:cs="宋体"/>
          <w:bCs/>
          <w:color w:val="auto"/>
          <w:sz w:val="22"/>
          <w:szCs w:val="18"/>
          <w:highlight w:val="none"/>
        </w:rPr>
      </w:pPr>
    </w:p>
    <w:p w14:paraId="3C70197E">
      <w:pPr>
        <w:snapToGrid w:val="0"/>
        <w:spacing w:beforeLines="50" w:after="50"/>
        <w:rPr>
          <w:rFonts w:ascii="宋体" w:hAnsi="宋体" w:cs="宋体"/>
          <w:bCs/>
          <w:color w:val="auto"/>
          <w:sz w:val="22"/>
          <w:szCs w:val="18"/>
          <w:highlight w:val="none"/>
        </w:rPr>
      </w:pPr>
    </w:p>
    <w:p w14:paraId="148A6544">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7E1919DF">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项目编号：</w:t>
      </w:r>
    </w:p>
    <w:p w14:paraId="0A902CF6">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所竞分标（如有）：</w:t>
      </w:r>
    </w:p>
    <w:p w14:paraId="6DD68FF9">
      <w:pPr>
        <w:pStyle w:val="8"/>
        <w:snapToGrid w:val="0"/>
        <w:spacing w:before="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1B924AC6">
      <w:pPr>
        <w:pStyle w:val="8"/>
        <w:snapToGrid w:val="0"/>
        <w:spacing w:before="50" w:after="50"/>
        <w:ind w:firstLine="630" w:firstLineChars="225"/>
        <w:rPr>
          <w:rFonts w:ascii="宋体" w:hAnsi="宋体" w:cs="宋体"/>
          <w:bCs/>
          <w:color w:val="auto"/>
          <w:sz w:val="28"/>
          <w:szCs w:val="28"/>
          <w:highlight w:val="none"/>
        </w:rPr>
      </w:pPr>
    </w:p>
    <w:p w14:paraId="6E3A479A">
      <w:pPr>
        <w:pStyle w:val="8"/>
        <w:snapToGrid w:val="0"/>
        <w:spacing w:before="50" w:after="50"/>
        <w:ind w:firstLine="630" w:firstLineChars="225"/>
        <w:rPr>
          <w:rFonts w:ascii="宋体" w:hAnsi="宋体" w:cs="宋体"/>
          <w:bCs/>
          <w:color w:val="auto"/>
          <w:sz w:val="28"/>
          <w:szCs w:val="28"/>
          <w:highlight w:val="none"/>
        </w:rPr>
      </w:pPr>
    </w:p>
    <w:p w14:paraId="31BBA6F5">
      <w:pPr>
        <w:pStyle w:val="8"/>
        <w:snapToGrid w:val="0"/>
        <w:spacing w:before="50" w:after="50"/>
        <w:ind w:firstLine="1120" w:firstLineChars="400"/>
        <w:rPr>
          <w:rFonts w:ascii="宋体" w:hAnsi="宋体" w:cs="宋体"/>
          <w:bCs/>
          <w:color w:val="auto"/>
          <w:sz w:val="28"/>
          <w:szCs w:val="28"/>
          <w:highlight w:val="none"/>
        </w:rPr>
      </w:pPr>
    </w:p>
    <w:p w14:paraId="1E4118BE">
      <w:pPr>
        <w:snapToGrid w:val="0"/>
        <w:spacing w:beforeLines="50" w:after="50"/>
        <w:jc w:val="center"/>
        <w:rPr>
          <w:rFonts w:ascii="宋体" w:hAnsi="宋体" w:cs="宋体"/>
          <w:color w:val="auto"/>
          <w:sz w:val="28"/>
          <w:szCs w:val="28"/>
          <w:highlight w:val="none"/>
        </w:rPr>
      </w:pPr>
      <w:r>
        <w:rPr>
          <w:rFonts w:hint="eastAsia" w:ascii="宋体" w:hAnsi="宋体" w:cs="宋体"/>
          <w:color w:val="auto"/>
          <w:sz w:val="28"/>
          <w:szCs w:val="28"/>
          <w:highlight w:val="none"/>
        </w:rPr>
        <w:t>年    月    日</w:t>
      </w:r>
    </w:p>
    <w:p w14:paraId="2D56D059">
      <w:pPr>
        <w:spacing w:line="240" w:lineRule="atLeast"/>
        <w:rPr>
          <w:rFonts w:ascii="宋体" w:hAnsi="宋体" w:cs="宋体"/>
          <w:b/>
          <w:color w:val="auto"/>
          <w:sz w:val="32"/>
          <w:szCs w:val="32"/>
          <w:highlight w:val="none"/>
        </w:rPr>
      </w:pPr>
    </w:p>
    <w:p w14:paraId="0B648A91">
      <w:pPr>
        <w:spacing w:line="240" w:lineRule="atLeast"/>
        <w:rPr>
          <w:rFonts w:ascii="宋体" w:hAnsi="宋体" w:cs="宋体"/>
          <w:bCs/>
          <w:color w:val="auto"/>
          <w:sz w:val="32"/>
          <w:szCs w:val="32"/>
          <w:highlight w:val="none"/>
        </w:rPr>
      </w:pPr>
    </w:p>
    <w:p w14:paraId="66E524A1">
      <w:pPr>
        <w:rPr>
          <w:color w:val="auto"/>
          <w:highlight w:val="none"/>
        </w:rPr>
      </w:pPr>
      <w:bookmarkStart w:id="67" w:name="_Toc31723070"/>
      <w:bookmarkStart w:id="68" w:name="_Toc35611438"/>
      <w:bookmarkStart w:id="69" w:name="_Toc71365925"/>
      <w:bookmarkStart w:id="70" w:name="_Toc31728084"/>
      <w:bookmarkStart w:id="71" w:name="_Toc44229899"/>
      <w:bookmarkStart w:id="72" w:name="_Toc35611516"/>
      <w:bookmarkStart w:id="73" w:name="_Toc23769"/>
      <w:r>
        <w:rPr>
          <w:rFonts w:hint="eastAsia"/>
          <w:color w:val="auto"/>
          <w:highlight w:val="none"/>
        </w:rPr>
        <w:br w:type="page"/>
      </w:r>
    </w:p>
    <w:p w14:paraId="0E0A12D7">
      <w:pPr>
        <w:pStyle w:val="4"/>
        <w:rPr>
          <w:color w:val="auto"/>
          <w:highlight w:val="none"/>
        </w:rPr>
      </w:pPr>
      <w:bookmarkStart w:id="74" w:name="_Toc17977"/>
      <w:bookmarkStart w:id="75" w:name="_Toc3918"/>
      <w:bookmarkStart w:id="76" w:name="_Toc31171"/>
      <w:bookmarkStart w:id="77" w:name="_Toc26721"/>
      <w:bookmarkStart w:id="78" w:name="_Toc9732"/>
      <w:r>
        <w:rPr>
          <w:rFonts w:hint="eastAsia"/>
          <w:color w:val="auto"/>
          <w:highlight w:val="none"/>
        </w:rPr>
        <w:t>二、资格证明文件格式</w:t>
      </w:r>
      <w:bookmarkEnd w:id="67"/>
      <w:bookmarkEnd w:id="68"/>
      <w:bookmarkEnd w:id="69"/>
      <w:bookmarkEnd w:id="70"/>
      <w:bookmarkEnd w:id="71"/>
      <w:bookmarkEnd w:id="72"/>
      <w:bookmarkEnd w:id="73"/>
      <w:bookmarkEnd w:id="74"/>
      <w:bookmarkEnd w:id="75"/>
      <w:bookmarkEnd w:id="76"/>
      <w:bookmarkEnd w:id="77"/>
      <w:bookmarkEnd w:id="78"/>
    </w:p>
    <w:p w14:paraId="2EA5EBD6">
      <w:pPr>
        <w:snapToGrid w:val="0"/>
        <w:spacing w:beforeLines="50" w:after="50" w:line="360" w:lineRule="auto"/>
        <w:jc w:val="center"/>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p>
    <w:p w14:paraId="0D902D61">
      <w:pPr>
        <w:snapToGrid w:val="0"/>
        <w:spacing w:beforeLines="50" w:after="50"/>
        <w:jc w:val="right"/>
        <w:rPr>
          <w:rFonts w:ascii="宋体" w:hAnsi="宋体" w:cs="宋体"/>
          <w:bCs/>
          <w:color w:val="auto"/>
          <w:sz w:val="36"/>
          <w:szCs w:val="36"/>
          <w:highlight w:val="none"/>
        </w:rPr>
      </w:pPr>
    </w:p>
    <w:p w14:paraId="7D65F835">
      <w:pPr>
        <w:snapToGrid w:val="0"/>
        <w:spacing w:beforeLines="50" w:after="50"/>
        <w:rPr>
          <w:rFonts w:ascii="宋体" w:hAnsi="宋体" w:cs="宋体"/>
          <w:bCs/>
          <w:color w:val="auto"/>
          <w:sz w:val="32"/>
          <w:szCs w:val="20"/>
          <w:highlight w:val="none"/>
        </w:rPr>
      </w:pPr>
    </w:p>
    <w:p w14:paraId="1F696DFD">
      <w:pPr>
        <w:snapToGrid w:val="0"/>
        <w:spacing w:beforeLines="50" w:after="50"/>
        <w:rPr>
          <w:rFonts w:ascii="宋体" w:hAnsi="宋体" w:cs="宋体"/>
          <w:color w:val="auto"/>
          <w:sz w:val="24"/>
          <w:szCs w:val="20"/>
          <w:highlight w:val="none"/>
        </w:rPr>
      </w:pPr>
    </w:p>
    <w:p w14:paraId="06762717">
      <w:pPr>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2C00986C">
      <w:pPr>
        <w:snapToGrid w:val="0"/>
        <w:spacing w:beforeLines="50" w:after="50"/>
        <w:jc w:val="center"/>
        <w:rPr>
          <w:rFonts w:ascii="宋体" w:hAnsi="宋体" w:cs="宋体"/>
          <w:bCs/>
          <w:color w:val="auto"/>
          <w:sz w:val="44"/>
          <w:szCs w:val="44"/>
          <w:highlight w:val="none"/>
        </w:rPr>
      </w:pPr>
    </w:p>
    <w:p w14:paraId="4249A4D5">
      <w:pPr>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  格  证  明  文  件</w:t>
      </w:r>
    </w:p>
    <w:p w14:paraId="58080B8F">
      <w:pPr>
        <w:snapToGrid w:val="0"/>
        <w:spacing w:beforeLines="50" w:after="50"/>
        <w:rPr>
          <w:rFonts w:ascii="宋体" w:hAnsi="宋体" w:cs="宋体"/>
          <w:bCs/>
          <w:color w:val="auto"/>
          <w:sz w:val="24"/>
          <w:szCs w:val="20"/>
          <w:highlight w:val="none"/>
        </w:rPr>
      </w:pPr>
    </w:p>
    <w:p w14:paraId="5D1CFB7C">
      <w:pPr>
        <w:snapToGrid w:val="0"/>
        <w:spacing w:beforeLines="50" w:after="50"/>
        <w:rPr>
          <w:rFonts w:ascii="宋体" w:hAnsi="宋体" w:cs="宋体"/>
          <w:bCs/>
          <w:color w:val="auto"/>
          <w:sz w:val="22"/>
          <w:szCs w:val="18"/>
          <w:highlight w:val="none"/>
        </w:rPr>
      </w:pPr>
    </w:p>
    <w:p w14:paraId="79789F1C">
      <w:pPr>
        <w:snapToGrid w:val="0"/>
        <w:spacing w:beforeLines="50" w:after="50"/>
        <w:rPr>
          <w:rFonts w:ascii="宋体" w:hAnsi="宋体" w:cs="宋体"/>
          <w:bCs/>
          <w:color w:val="auto"/>
          <w:sz w:val="22"/>
          <w:szCs w:val="18"/>
          <w:highlight w:val="none"/>
        </w:rPr>
      </w:pPr>
    </w:p>
    <w:p w14:paraId="3D278B51">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520A5074">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项目编号：</w:t>
      </w:r>
    </w:p>
    <w:p w14:paraId="1913AE86">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所竞分标（如有）：</w:t>
      </w:r>
    </w:p>
    <w:p w14:paraId="67E7E0A9">
      <w:pPr>
        <w:pStyle w:val="8"/>
        <w:snapToGrid w:val="0"/>
        <w:spacing w:before="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07BF5B3A">
      <w:pPr>
        <w:pStyle w:val="8"/>
        <w:snapToGrid w:val="0"/>
        <w:spacing w:before="50" w:after="50"/>
        <w:ind w:firstLine="630" w:firstLineChars="225"/>
        <w:rPr>
          <w:rFonts w:ascii="宋体" w:hAnsi="宋体" w:cs="宋体"/>
          <w:bCs/>
          <w:color w:val="auto"/>
          <w:sz w:val="28"/>
          <w:szCs w:val="28"/>
          <w:highlight w:val="none"/>
        </w:rPr>
      </w:pPr>
    </w:p>
    <w:p w14:paraId="5CCA8B4A">
      <w:pPr>
        <w:pStyle w:val="8"/>
        <w:snapToGrid w:val="0"/>
        <w:spacing w:before="50" w:after="50"/>
        <w:ind w:firstLine="630" w:firstLineChars="225"/>
        <w:rPr>
          <w:rFonts w:ascii="宋体" w:hAnsi="宋体" w:cs="宋体"/>
          <w:bCs/>
          <w:color w:val="auto"/>
          <w:sz w:val="28"/>
          <w:szCs w:val="28"/>
          <w:highlight w:val="none"/>
        </w:rPr>
      </w:pPr>
    </w:p>
    <w:p w14:paraId="18C733ED">
      <w:pPr>
        <w:pStyle w:val="8"/>
        <w:snapToGrid w:val="0"/>
        <w:spacing w:before="50" w:after="50"/>
        <w:ind w:firstLine="1120" w:firstLineChars="400"/>
        <w:rPr>
          <w:rFonts w:ascii="宋体" w:hAnsi="宋体" w:cs="宋体"/>
          <w:bCs/>
          <w:color w:val="auto"/>
          <w:sz w:val="28"/>
          <w:szCs w:val="28"/>
          <w:highlight w:val="none"/>
        </w:rPr>
      </w:pPr>
    </w:p>
    <w:p w14:paraId="37D26A97">
      <w:pPr>
        <w:snapToGrid w:val="0"/>
        <w:spacing w:beforeLines="50" w:after="50"/>
        <w:jc w:val="center"/>
        <w:rPr>
          <w:rFonts w:ascii="宋体" w:hAnsi="宋体" w:cs="宋体"/>
          <w:color w:val="auto"/>
          <w:sz w:val="28"/>
          <w:szCs w:val="28"/>
          <w:highlight w:val="none"/>
        </w:rPr>
      </w:pPr>
      <w:r>
        <w:rPr>
          <w:rFonts w:hint="eastAsia" w:ascii="宋体" w:hAnsi="宋体" w:cs="宋体"/>
          <w:color w:val="auto"/>
          <w:sz w:val="28"/>
          <w:szCs w:val="28"/>
          <w:highlight w:val="none"/>
        </w:rPr>
        <w:t>年    月    日</w:t>
      </w:r>
    </w:p>
    <w:p w14:paraId="448E24A7">
      <w:pPr>
        <w:snapToGrid w:val="0"/>
        <w:spacing w:beforeLines="50" w:after="50"/>
        <w:ind w:left="142"/>
        <w:jc w:val="left"/>
        <w:rPr>
          <w:rFonts w:ascii="宋体" w:hAnsi="宋体" w:cs="宋体"/>
          <w:b/>
          <w:bCs/>
          <w:color w:val="auto"/>
          <w:sz w:val="32"/>
          <w:szCs w:val="32"/>
          <w:highlight w:val="none"/>
        </w:rPr>
      </w:pPr>
      <w:r>
        <w:rPr>
          <w:rFonts w:hint="eastAsia" w:ascii="宋体" w:hAnsi="宋体" w:cs="宋体"/>
          <w:color w:val="auto"/>
          <w:sz w:val="22"/>
          <w:szCs w:val="22"/>
          <w:highlight w:val="none"/>
        </w:rPr>
        <w:br w:type="page"/>
      </w:r>
      <w:r>
        <w:rPr>
          <w:rFonts w:hint="eastAsia" w:ascii="宋体" w:hAnsi="宋体" w:cs="宋体"/>
          <w:b/>
          <w:bCs/>
          <w:color w:val="auto"/>
          <w:sz w:val="32"/>
          <w:szCs w:val="32"/>
          <w:highlight w:val="none"/>
        </w:rPr>
        <w:t>2.资格证明文件目录</w:t>
      </w:r>
    </w:p>
    <w:p w14:paraId="03F75D4A">
      <w:pPr>
        <w:snapToGrid w:val="0"/>
        <w:spacing w:beforeLines="50" w:after="50" w:line="360" w:lineRule="auto"/>
        <w:ind w:firstLine="645"/>
        <w:rPr>
          <w:rFonts w:ascii="宋体" w:hAnsi="宋体" w:cs="宋体"/>
          <w:color w:val="auto"/>
          <w:sz w:val="28"/>
          <w:szCs w:val="28"/>
          <w:highlight w:val="none"/>
        </w:rPr>
      </w:pPr>
      <w:r>
        <w:rPr>
          <w:rFonts w:hint="eastAsia" w:ascii="宋体" w:hAnsi="宋体" w:cs="宋体"/>
          <w:color w:val="auto"/>
          <w:sz w:val="28"/>
          <w:szCs w:val="28"/>
          <w:highlight w:val="none"/>
        </w:rPr>
        <w:t>根据磋商文件规定及供应商提供的材料自行编写目录（部分格式后附）。</w:t>
      </w:r>
    </w:p>
    <w:p w14:paraId="00CF0696">
      <w:pPr>
        <w:snapToGrid w:val="0"/>
        <w:spacing w:beforeLines="50" w:after="50"/>
        <w:rPr>
          <w:rFonts w:ascii="宋体" w:hAnsi="宋体" w:cs="宋体"/>
          <w:color w:val="auto"/>
          <w:szCs w:val="21"/>
          <w:highlight w:val="none"/>
        </w:rPr>
      </w:pPr>
    </w:p>
    <w:p w14:paraId="140641CC">
      <w:pPr>
        <w:spacing w:line="300" w:lineRule="auto"/>
        <w:rPr>
          <w:rFonts w:ascii="宋体" w:hAnsi="宋体" w:cs="宋体"/>
          <w:color w:val="auto"/>
          <w:szCs w:val="21"/>
          <w:highlight w:val="none"/>
        </w:rPr>
      </w:pPr>
    </w:p>
    <w:p w14:paraId="32F480EE">
      <w:pPr>
        <w:spacing w:line="300" w:lineRule="auto"/>
        <w:rPr>
          <w:rFonts w:ascii="宋体" w:hAnsi="宋体" w:cs="宋体"/>
          <w:color w:val="auto"/>
          <w:szCs w:val="21"/>
          <w:highlight w:val="none"/>
        </w:rPr>
      </w:pPr>
    </w:p>
    <w:p w14:paraId="39667789">
      <w:pPr>
        <w:spacing w:line="300" w:lineRule="auto"/>
        <w:rPr>
          <w:rFonts w:ascii="宋体" w:hAnsi="宋体" w:cs="宋体"/>
          <w:color w:val="auto"/>
          <w:szCs w:val="21"/>
          <w:highlight w:val="none"/>
        </w:rPr>
      </w:pPr>
    </w:p>
    <w:p w14:paraId="2C40680F">
      <w:pPr>
        <w:spacing w:line="300" w:lineRule="auto"/>
        <w:rPr>
          <w:rFonts w:ascii="宋体" w:hAnsi="宋体" w:cs="宋体"/>
          <w:color w:val="auto"/>
          <w:szCs w:val="21"/>
          <w:highlight w:val="none"/>
        </w:rPr>
      </w:pPr>
    </w:p>
    <w:p w14:paraId="06BC19DF">
      <w:pPr>
        <w:spacing w:line="300" w:lineRule="auto"/>
        <w:rPr>
          <w:rFonts w:ascii="宋体" w:hAnsi="宋体" w:cs="宋体"/>
          <w:color w:val="auto"/>
          <w:szCs w:val="21"/>
          <w:highlight w:val="none"/>
        </w:rPr>
      </w:pPr>
    </w:p>
    <w:p w14:paraId="601913BA">
      <w:pPr>
        <w:spacing w:line="300" w:lineRule="auto"/>
        <w:rPr>
          <w:rFonts w:ascii="宋体" w:hAnsi="宋体" w:cs="宋体"/>
          <w:color w:val="auto"/>
          <w:szCs w:val="21"/>
          <w:highlight w:val="none"/>
        </w:rPr>
      </w:pPr>
    </w:p>
    <w:p w14:paraId="21B1DD56">
      <w:pPr>
        <w:jc w:val="center"/>
        <w:rPr>
          <w:rFonts w:ascii="宋体" w:hAnsi="宋体" w:cs="宋体"/>
          <w:b/>
          <w:color w:val="auto"/>
          <w:sz w:val="32"/>
          <w:szCs w:val="32"/>
          <w:highlight w:val="none"/>
        </w:rPr>
      </w:pPr>
      <w:r>
        <w:rPr>
          <w:rFonts w:hint="eastAsia" w:ascii="宋体" w:hAnsi="宋体" w:cs="宋体"/>
          <w:color w:val="auto"/>
          <w:szCs w:val="21"/>
          <w:highlight w:val="none"/>
        </w:rPr>
        <w:br w:type="page"/>
      </w:r>
    </w:p>
    <w:p w14:paraId="3C197DEB">
      <w:pPr>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B0FA2AB">
      <w:pPr>
        <w:jc w:val="center"/>
        <w:rPr>
          <w:rFonts w:ascii="宋体" w:hAnsi="宋体" w:cs="宋体"/>
          <w:b/>
          <w:color w:val="auto"/>
          <w:sz w:val="32"/>
          <w:szCs w:val="32"/>
          <w:highlight w:val="none"/>
        </w:rPr>
      </w:pPr>
      <w:r>
        <w:rPr>
          <w:rFonts w:hint="eastAsia" w:ascii="宋体" w:hAnsi="宋体" w:cs="宋体"/>
          <w:b/>
          <w:color w:val="auto"/>
          <w:sz w:val="32"/>
          <w:szCs w:val="32"/>
          <w:highlight w:val="none"/>
        </w:rPr>
        <w:t>（一）供应商</w:t>
      </w:r>
      <w:r>
        <w:rPr>
          <w:rFonts w:hint="eastAsia" w:ascii="宋体" w:hAnsi="宋体" w:cs="宋体"/>
          <w:b/>
          <w:color w:val="auto"/>
          <w:kern w:val="0"/>
          <w:sz w:val="32"/>
          <w:szCs w:val="32"/>
          <w:highlight w:val="none"/>
        </w:rPr>
        <w:t>直接控股股东信息表</w:t>
      </w:r>
    </w:p>
    <w:p w14:paraId="0BE03D70">
      <w:pPr>
        <w:snapToGrid w:val="0"/>
        <w:spacing w:beforeLines="50" w:after="50"/>
        <w:jc w:val="center"/>
        <w:rPr>
          <w:rFonts w:ascii="宋体" w:hAnsi="宋体" w:cs="宋体"/>
          <w:b/>
          <w:color w:val="auto"/>
          <w:sz w:val="24"/>
          <w:highlight w:val="none"/>
        </w:rPr>
      </w:pPr>
    </w:p>
    <w:p w14:paraId="4D3B9890">
      <w:pPr>
        <w:spacing w:line="360" w:lineRule="auto"/>
        <w:contextualSpacing/>
        <w:jc w:val="center"/>
        <w:rPr>
          <w:rFonts w:ascii="宋体" w:hAnsi="宋体" w:cs="宋体"/>
          <w:b/>
          <w:color w:val="auto"/>
          <w:sz w:val="24"/>
          <w:highlight w:val="none"/>
        </w:rPr>
      </w:pPr>
    </w:p>
    <w:tbl>
      <w:tblPr>
        <w:tblStyle w:val="34"/>
        <w:tblW w:w="9557" w:type="dxa"/>
        <w:jc w:val="center"/>
        <w:shd w:val="clear" w:color="auto" w:fill="FBFBFB"/>
        <w:tblLayout w:type="fixed"/>
        <w:tblCellMar>
          <w:top w:w="0" w:type="dxa"/>
          <w:left w:w="0" w:type="dxa"/>
          <w:bottom w:w="0" w:type="dxa"/>
          <w:right w:w="0" w:type="dxa"/>
        </w:tblCellMar>
      </w:tblPr>
      <w:tblGrid>
        <w:gridCol w:w="828"/>
        <w:gridCol w:w="2500"/>
        <w:gridCol w:w="1371"/>
        <w:gridCol w:w="4039"/>
        <w:gridCol w:w="819"/>
      </w:tblGrid>
      <w:tr w14:paraId="68E9F4EA">
        <w:tblPrEx>
          <w:tblCellMar>
            <w:top w:w="0" w:type="dxa"/>
            <w:left w:w="0" w:type="dxa"/>
            <w:bottom w:w="0" w:type="dxa"/>
            <w:right w:w="0" w:type="dxa"/>
          </w:tblCellMar>
        </w:tblPrEx>
        <w:trPr>
          <w:trHeight w:val="532" w:hRule="atLeast"/>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0B2805">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FB375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DF0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4F0CA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E702F9">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2A6043E">
        <w:tblPrEx>
          <w:tblCellMar>
            <w:top w:w="0" w:type="dxa"/>
            <w:left w:w="0" w:type="dxa"/>
            <w:bottom w:w="0" w:type="dxa"/>
            <w:right w:w="0" w:type="dxa"/>
          </w:tblCellMar>
        </w:tblPrEx>
        <w:trPr>
          <w:trHeight w:val="532"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924DF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6E3271">
            <w:pPr>
              <w:widowControl/>
              <w:spacing w:line="360" w:lineRule="auto"/>
              <w:contextualSpacing/>
              <w:jc w:val="center"/>
              <w:rPr>
                <w:rFonts w:ascii="宋体" w:hAnsi="宋体" w:cs="宋体"/>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A3BEEE">
            <w:pPr>
              <w:widowControl/>
              <w:spacing w:line="360" w:lineRule="auto"/>
              <w:contextualSpacing/>
              <w:jc w:val="center"/>
              <w:rPr>
                <w:rFonts w:ascii="宋体" w:hAnsi="宋体" w:cs="宋体"/>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715DD2">
            <w:pPr>
              <w:widowControl/>
              <w:spacing w:line="360" w:lineRule="auto"/>
              <w:contextualSpacing/>
              <w:jc w:val="center"/>
              <w:rPr>
                <w:rFonts w:ascii="宋体" w:hAnsi="宋体" w:cs="宋体"/>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3C9C38">
            <w:pPr>
              <w:widowControl/>
              <w:spacing w:line="360" w:lineRule="auto"/>
              <w:contextualSpacing/>
              <w:jc w:val="center"/>
              <w:rPr>
                <w:rFonts w:ascii="宋体" w:hAnsi="宋体" w:cs="宋体"/>
                <w:color w:val="auto"/>
                <w:kern w:val="0"/>
                <w:sz w:val="24"/>
                <w:highlight w:val="none"/>
              </w:rPr>
            </w:pPr>
          </w:p>
        </w:tc>
      </w:tr>
      <w:tr w14:paraId="7F9F31D7">
        <w:tblPrEx>
          <w:shd w:val="clear" w:color="auto" w:fill="FBFBFB"/>
          <w:tblCellMar>
            <w:top w:w="0" w:type="dxa"/>
            <w:left w:w="0" w:type="dxa"/>
            <w:bottom w:w="0" w:type="dxa"/>
            <w:right w:w="0" w:type="dxa"/>
          </w:tblCellMar>
        </w:tblPrEx>
        <w:trPr>
          <w:trHeight w:val="532"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65D6D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D05AD4">
            <w:pPr>
              <w:widowControl/>
              <w:spacing w:line="360" w:lineRule="auto"/>
              <w:contextualSpacing/>
              <w:jc w:val="center"/>
              <w:rPr>
                <w:rFonts w:ascii="宋体" w:hAnsi="宋体" w:cs="宋体"/>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224570">
            <w:pPr>
              <w:widowControl/>
              <w:spacing w:line="360" w:lineRule="auto"/>
              <w:contextualSpacing/>
              <w:jc w:val="center"/>
              <w:rPr>
                <w:rFonts w:ascii="宋体" w:hAnsi="宋体" w:cs="宋体"/>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0CFABE">
            <w:pPr>
              <w:widowControl/>
              <w:spacing w:line="360" w:lineRule="auto"/>
              <w:contextualSpacing/>
              <w:jc w:val="center"/>
              <w:rPr>
                <w:rFonts w:ascii="宋体" w:hAnsi="宋体" w:cs="宋体"/>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E9C37F">
            <w:pPr>
              <w:widowControl/>
              <w:spacing w:line="360" w:lineRule="auto"/>
              <w:contextualSpacing/>
              <w:jc w:val="center"/>
              <w:rPr>
                <w:rFonts w:ascii="宋体" w:hAnsi="宋体" w:cs="宋体"/>
                <w:color w:val="auto"/>
                <w:kern w:val="0"/>
                <w:sz w:val="24"/>
                <w:highlight w:val="none"/>
              </w:rPr>
            </w:pPr>
          </w:p>
        </w:tc>
      </w:tr>
      <w:tr w14:paraId="08E0ED72">
        <w:tblPrEx>
          <w:tblCellMar>
            <w:top w:w="0" w:type="dxa"/>
            <w:left w:w="0" w:type="dxa"/>
            <w:bottom w:w="0" w:type="dxa"/>
            <w:right w:w="0" w:type="dxa"/>
          </w:tblCellMar>
        </w:tblPrEx>
        <w:trPr>
          <w:trHeight w:val="544"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D9641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4FD28D">
            <w:pPr>
              <w:widowControl/>
              <w:spacing w:line="360" w:lineRule="auto"/>
              <w:contextualSpacing/>
              <w:jc w:val="center"/>
              <w:rPr>
                <w:rFonts w:ascii="宋体" w:hAnsi="宋体" w:cs="宋体"/>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FD5F83">
            <w:pPr>
              <w:widowControl/>
              <w:spacing w:line="360" w:lineRule="auto"/>
              <w:contextualSpacing/>
              <w:jc w:val="center"/>
              <w:rPr>
                <w:rFonts w:ascii="宋体" w:hAnsi="宋体" w:cs="宋体"/>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C3FB71">
            <w:pPr>
              <w:widowControl/>
              <w:spacing w:line="360" w:lineRule="auto"/>
              <w:contextualSpacing/>
              <w:jc w:val="center"/>
              <w:rPr>
                <w:rFonts w:ascii="宋体" w:hAnsi="宋体" w:cs="宋体"/>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2E6D7D">
            <w:pPr>
              <w:widowControl/>
              <w:spacing w:line="360" w:lineRule="auto"/>
              <w:contextualSpacing/>
              <w:jc w:val="center"/>
              <w:rPr>
                <w:rFonts w:ascii="宋体" w:hAnsi="宋体" w:cs="宋体"/>
                <w:color w:val="auto"/>
                <w:kern w:val="0"/>
                <w:sz w:val="24"/>
                <w:highlight w:val="none"/>
              </w:rPr>
            </w:pPr>
          </w:p>
        </w:tc>
      </w:tr>
    </w:tbl>
    <w:p w14:paraId="67CEF8D1">
      <w:pPr>
        <w:spacing w:line="360" w:lineRule="auto"/>
        <w:contextualSpacing/>
        <w:jc w:val="left"/>
        <w:rPr>
          <w:rFonts w:ascii="楷体" w:hAnsi="楷体" w:eastAsia="楷体" w:cs="宋体"/>
          <w:b/>
          <w:color w:val="auto"/>
          <w:sz w:val="24"/>
          <w:highlight w:val="none"/>
        </w:rPr>
      </w:pPr>
      <w:r>
        <w:rPr>
          <w:rFonts w:hint="eastAsia" w:ascii="楷体" w:hAnsi="楷体" w:eastAsia="楷体" w:cs="宋体"/>
          <w:b/>
          <w:color w:val="auto"/>
          <w:sz w:val="24"/>
          <w:highlight w:val="none"/>
        </w:rPr>
        <w:t>注：</w:t>
      </w:r>
    </w:p>
    <w:p w14:paraId="1F601D8F">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6C198A4">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2.本表所指的控股关系仅限于直接控股关系，不包括间接的控股关系。公司实际控制人与公司之间的关系不属于本表所指的直接控股关系。</w:t>
      </w:r>
    </w:p>
    <w:p w14:paraId="60700B6E">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3.供应商不存在直接控股股东的，则填“无”。</w:t>
      </w:r>
    </w:p>
    <w:p w14:paraId="245D41DD">
      <w:pPr>
        <w:snapToGrid w:val="0"/>
        <w:spacing w:line="360" w:lineRule="auto"/>
        <w:jc w:val="left"/>
        <w:rPr>
          <w:rFonts w:ascii="宋体" w:hAnsi="宋体" w:cs="宋体"/>
          <w:color w:val="auto"/>
          <w:sz w:val="24"/>
          <w:highlight w:val="none"/>
        </w:rPr>
      </w:pPr>
    </w:p>
    <w:p w14:paraId="3250BC07">
      <w:pPr>
        <w:snapToGrid w:val="0"/>
        <w:spacing w:line="360" w:lineRule="auto"/>
        <w:jc w:val="left"/>
        <w:rPr>
          <w:rFonts w:ascii="宋体" w:hAnsi="宋体" w:cs="宋体"/>
          <w:color w:val="auto"/>
          <w:sz w:val="24"/>
          <w:highlight w:val="none"/>
        </w:rPr>
      </w:pPr>
    </w:p>
    <w:p w14:paraId="5ADCF3BA">
      <w:pPr>
        <w:snapToGrid w:val="0"/>
        <w:spacing w:line="360" w:lineRule="auto"/>
        <w:jc w:val="left"/>
        <w:rPr>
          <w:rFonts w:ascii="宋体" w:hAnsi="宋体" w:cs="宋体"/>
          <w:color w:val="auto"/>
          <w:sz w:val="24"/>
          <w:highlight w:val="none"/>
        </w:rPr>
      </w:pPr>
    </w:p>
    <w:p w14:paraId="12F122D1">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106FE76">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6778DA47">
      <w:pPr>
        <w:snapToGrid w:val="0"/>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6902A5D0">
      <w:pPr>
        <w:jc w:val="center"/>
        <w:rPr>
          <w:rFonts w:ascii="宋体" w:hAnsi="宋体" w:cs="宋体"/>
          <w:b/>
          <w:color w:val="auto"/>
          <w:sz w:val="32"/>
          <w:szCs w:val="32"/>
          <w:highlight w:val="none"/>
        </w:rPr>
      </w:pPr>
      <w:r>
        <w:rPr>
          <w:rFonts w:hint="eastAsia" w:ascii="宋体" w:hAnsi="宋体" w:cs="宋体"/>
          <w:b/>
          <w:color w:val="auto"/>
          <w:sz w:val="32"/>
          <w:szCs w:val="32"/>
          <w:highlight w:val="none"/>
        </w:rPr>
        <w:t>（二）供应商直接管理关系信息表</w:t>
      </w:r>
    </w:p>
    <w:p w14:paraId="1ED5F7E0">
      <w:pPr>
        <w:snapToGrid w:val="0"/>
        <w:spacing w:line="360" w:lineRule="auto"/>
        <w:jc w:val="center"/>
        <w:rPr>
          <w:rFonts w:ascii="宋体" w:hAnsi="宋体" w:cs="宋体"/>
          <w:b/>
          <w:color w:val="auto"/>
          <w:sz w:val="24"/>
          <w:highlight w:val="none"/>
        </w:rPr>
      </w:pPr>
    </w:p>
    <w:tbl>
      <w:tblPr>
        <w:tblStyle w:val="3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48C8FCB">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6D61C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10ACE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2BD43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7B3D7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77EB56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C99B8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33A602">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B49E5B">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066688">
            <w:pPr>
              <w:widowControl/>
              <w:spacing w:line="360" w:lineRule="auto"/>
              <w:contextualSpacing/>
              <w:jc w:val="center"/>
              <w:rPr>
                <w:rFonts w:ascii="宋体" w:hAnsi="宋体" w:cs="宋体"/>
                <w:color w:val="auto"/>
                <w:kern w:val="0"/>
                <w:sz w:val="24"/>
                <w:highlight w:val="none"/>
              </w:rPr>
            </w:pPr>
          </w:p>
        </w:tc>
      </w:tr>
      <w:tr w14:paraId="79F4F9A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36757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8D6BFC">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3D3DC0">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CF499F">
            <w:pPr>
              <w:widowControl/>
              <w:spacing w:line="360" w:lineRule="auto"/>
              <w:contextualSpacing/>
              <w:jc w:val="center"/>
              <w:rPr>
                <w:rFonts w:ascii="宋体" w:hAnsi="宋体" w:cs="宋体"/>
                <w:color w:val="auto"/>
                <w:kern w:val="0"/>
                <w:sz w:val="24"/>
                <w:highlight w:val="none"/>
              </w:rPr>
            </w:pPr>
          </w:p>
        </w:tc>
      </w:tr>
      <w:tr w14:paraId="762E5CE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D1792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6B0420">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0A3122">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67B1CF">
            <w:pPr>
              <w:widowControl/>
              <w:spacing w:line="360" w:lineRule="auto"/>
              <w:contextualSpacing/>
              <w:jc w:val="center"/>
              <w:rPr>
                <w:rFonts w:ascii="宋体" w:hAnsi="宋体" w:cs="宋体"/>
                <w:color w:val="auto"/>
                <w:kern w:val="0"/>
                <w:sz w:val="24"/>
                <w:highlight w:val="none"/>
              </w:rPr>
            </w:pPr>
          </w:p>
        </w:tc>
      </w:tr>
      <w:tr w14:paraId="37A0971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DB4734">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AD5D5F">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139C3D">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C845BC">
            <w:pPr>
              <w:widowControl/>
              <w:spacing w:line="360" w:lineRule="auto"/>
              <w:contextualSpacing/>
              <w:jc w:val="center"/>
              <w:rPr>
                <w:rFonts w:ascii="宋体" w:hAnsi="宋体" w:cs="宋体"/>
                <w:color w:val="auto"/>
                <w:kern w:val="0"/>
                <w:sz w:val="24"/>
                <w:highlight w:val="none"/>
              </w:rPr>
            </w:pPr>
          </w:p>
        </w:tc>
      </w:tr>
    </w:tbl>
    <w:p w14:paraId="67D90AC3">
      <w:pPr>
        <w:spacing w:line="360" w:lineRule="auto"/>
        <w:contextualSpacing/>
        <w:jc w:val="left"/>
        <w:rPr>
          <w:rFonts w:ascii="楷体" w:hAnsi="楷体" w:eastAsia="楷体" w:cs="宋体"/>
          <w:b/>
          <w:color w:val="auto"/>
          <w:sz w:val="24"/>
          <w:highlight w:val="none"/>
        </w:rPr>
      </w:pPr>
      <w:r>
        <w:rPr>
          <w:rFonts w:hint="eastAsia" w:ascii="楷体" w:hAnsi="楷体" w:eastAsia="楷体" w:cs="宋体"/>
          <w:b/>
          <w:color w:val="auto"/>
          <w:sz w:val="24"/>
          <w:highlight w:val="none"/>
        </w:rPr>
        <w:t>注：</w:t>
      </w:r>
    </w:p>
    <w:p w14:paraId="5258EC7D">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1.管理关系：是指不具有出资持股关系的其他单位之间存在的管理与被管理关系，如一些上下级关系的事业单位和团体组织。</w:t>
      </w:r>
    </w:p>
    <w:p w14:paraId="1B7D2AC1">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2.</w:t>
      </w:r>
      <w:r>
        <w:rPr>
          <w:rFonts w:hint="eastAsia" w:ascii="楷体" w:hAnsi="楷体" w:eastAsia="楷体" w:cs="宋体"/>
          <w:color w:val="auto"/>
          <w:spacing w:val="-6"/>
          <w:sz w:val="24"/>
          <w:highlight w:val="none"/>
        </w:rPr>
        <w:t>本表所指的管理关系仅限于直接管理关系，不包括间接的管理关系。</w:t>
      </w:r>
    </w:p>
    <w:p w14:paraId="18163A50">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3.供应商不存在直接管理关系的，则填“无”。</w:t>
      </w:r>
    </w:p>
    <w:p w14:paraId="12598B52">
      <w:pPr>
        <w:spacing w:line="360" w:lineRule="auto"/>
        <w:contextualSpacing/>
        <w:jc w:val="left"/>
        <w:rPr>
          <w:rFonts w:ascii="宋体" w:hAnsi="宋体" w:cs="宋体"/>
          <w:color w:val="auto"/>
          <w:sz w:val="24"/>
          <w:highlight w:val="none"/>
        </w:rPr>
      </w:pPr>
    </w:p>
    <w:p w14:paraId="473DF8FB">
      <w:pPr>
        <w:spacing w:line="360" w:lineRule="auto"/>
        <w:contextualSpacing/>
        <w:jc w:val="left"/>
        <w:rPr>
          <w:rFonts w:ascii="宋体" w:hAnsi="宋体" w:cs="宋体"/>
          <w:color w:val="auto"/>
          <w:sz w:val="24"/>
          <w:highlight w:val="none"/>
        </w:rPr>
      </w:pPr>
    </w:p>
    <w:p w14:paraId="50DF0369">
      <w:pPr>
        <w:spacing w:line="360" w:lineRule="auto"/>
        <w:contextualSpacing/>
        <w:jc w:val="left"/>
        <w:rPr>
          <w:rFonts w:ascii="宋体" w:hAnsi="宋体" w:cs="宋体"/>
          <w:color w:val="auto"/>
          <w:sz w:val="24"/>
          <w:highlight w:val="none"/>
        </w:rPr>
      </w:pPr>
    </w:p>
    <w:p w14:paraId="3D61E627">
      <w:pPr>
        <w:spacing w:line="360" w:lineRule="auto"/>
        <w:contextualSpacing/>
        <w:jc w:val="left"/>
        <w:rPr>
          <w:rFonts w:ascii="宋体" w:hAnsi="宋体" w:cs="宋体"/>
          <w:color w:val="auto"/>
          <w:sz w:val="24"/>
          <w:highlight w:val="none"/>
        </w:rPr>
      </w:pPr>
    </w:p>
    <w:p w14:paraId="7B5BA268">
      <w:pPr>
        <w:spacing w:line="360" w:lineRule="auto"/>
        <w:contextualSpacing/>
        <w:jc w:val="left"/>
        <w:rPr>
          <w:rFonts w:ascii="宋体" w:hAnsi="宋体" w:cs="宋体"/>
          <w:color w:val="auto"/>
          <w:sz w:val="24"/>
          <w:highlight w:val="none"/>
        </w:rPr>
      </w:pPr>
    </w:p>
    <w:p w14:paraId="46A1386C">
      <w:pPr>
        <w:spacing w:line="360" w:lineRule="auto"/>
        <w:contextualSpacing/>
        <w:jc w:val="left"/>
        <w:rPr>
          <w:rFonts w:ascii="宋体" w:hAnsi="宋体" w:cs="宋体"/>
          <w:color w:val="auto"/>
          <w:sz w:val="24"/>
          <w:highlight w:val="none"/>
        </w:rPr>
      </w:pPr>
    </w:p>
    <w:p w14:paraId="7E235934">
      <w:pPr>
        <w:snapToGrid w:val="0"/>
        <w:spacing w:line="360" w:lineRule="auto"/>
        <w:jc w:val="left"/>
        <w:rPr>
          <w:rFonts w:ascii="宋体" w:hAnsi="宋体" w:cs="宋体"/>
          <w:color w:val="auto"/>
          <w:sz w:val="24"/>
          <w:highlight w:val="none"/>
        </w:rPr>
      </w:pPr>
    </w:p>
    <w:p w14:paraId="0C632E3C">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B9C50C7">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42BF4DA6">
      <w:pPr>
        <w:jc w:val="center"/>
        <w:rPr>
          <w:rFonts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竞标声明函</w:t>
      </w:r>
    </w:p>
    <w:p w14:paraId="5AF96B60">
      <w:pPr>
        <w:spacing w:line="320" w:lineRule="exact"/>
        <w:jc w:val="center"/>
        <w:rPr>
          <w:rFonts w:ascii="宋体" w:hAnsi="宋体" w:cs="宋体"/>
          <w:color w:val="auto"/>
          <w:sz w:val="24"/>
          <w:szCs w:val="20"/>
          <w:highlight w:val="none"/>
        </w:rPr>
      </w:pPr>
    </w:p>
    <w:p w14:paraId="06CAF150">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ADB119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15569EA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项目的竞争性磋商，为便于贵方公正、择优地确定成交供应商及其参与竞争性磋商提供的产品和服务，我方就本次参与竞争性磋商有关事项郑重声明如下：</w:t>
      </w:r>
    </w:p>
    <w:p w14:paraId="7CFCC90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2BB56E7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194FD92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27380F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5548413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02F6437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103BFEE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（4）响应磋商文件规定的竞争性磋商有效期。</w:t>
      </w:r>
    </w:p>
    <w:p w14:paraId="6A9C742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DE06D9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5B6694C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4A5459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DC58AE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7E2F2D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（5）参加采购活动前三年内，在经营活动中没有重大违法记录；</w:t>
      </w:r>
    </w:p>
    <w:p w14:paraId="29AC7D9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33A48D4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C48B6D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6.我方就对本次响应文件进行注明如下：（两项内容中必须选择一项）</w:t>
      </w:r>
    </w:p>
    <w:p w14:paraId="58B0356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B3EA05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rPr>
        <w:t>；</w:t>
      </w:r>
    </w:p>
    <w:p w14:paraId="4ACAFEA4">
      <w:pPr>
        <w:pStyle w:val="20"/>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lang w:val="en-US" w:eastAsia="zh-CN"/>
        </w:rPr>
        <w:t xml:space="preserve"> </w:t>
      </w:r>
      <w:r>
        <w:rPr>
          <w:rFonts w:hint="eastAsia" w:hAnsi="宋体" w:cs="宋体"/>
          <w:color w:val="auto"/>
          <w:sz w:val="24"/>
          <w:szCs w:val="24"/>
          <w:highlight w:val="none"/>
        </w:rPr>
        <w:t>邮政编号：</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lang w:val="en-US" w:eastAsia="zh-CN"/>
        </w:rPr>
        <w:t xml:space="preserve"> </w:t>
      </w:r>
    </w:p>
    <w:p w14:paraId="11B68D86">
      <w:pPr>
        <w:pStyle w:val="20"/>
        <w:spacing w:line="360" w:lineRule="auto"/>
        <w:ind w:firstLine="480" w:firstLineChars="200"/>
        <w:contextualSpacing/>
        <w:rPr>
          <w:rFonts w:hint="default" w:hAnsi="宋体" w:cs="宋体"/>
          <w:color w:val="auto"/>
          <w:sz w:val="24"/>
          <w:szCs w:val="24"/>
          <w:highlight w:val="none"/>
          <w:lang w:val="en-US"/>
        </w:rPr>
      </w:pPr>
      <w:r>
        <w:rPr>
          <w:rFonts w:hint="eastAsia" w:hAnsi="宋体" w:cs="宋体"/>
          <w:color w:val="auto"/>
          <w:sz w:val="24"/>
          <w:szCs w:val="24"/>
          <w:highlight w:val="none"/>
        </w:rPr>
        <w:t>电话/传真：</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lang w:val="en-US" w:eastAsia="zh-CN"/>
        </w:rPr>
        <w:t xml:space="preserve"> </w:t>
      </w:r>
      <w:r>
        <w:rPr>
          <w:rFonts w:hint="eastAsia" w:hAnsi="宋体" w:cs="宋体"/>
          <w:color w:val="auto"/>
          <w:sz w:val="24"/>
          <w:szCs w:val="24"/>
          <w:highlight w:val="none"/>
        </w:rPr>
        <w:t>电子函件：</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p>
    <w:p w14:paraId="24DC5D22">
      <w:pPr>
        <w:pStyle w:val="19"/>
        <w:tabs>
          <w:tab w:val="left" w:pos="939"/>
        </w:tabs>
        <w:spacing w:line="360" w:lineRule="auto"/>
        <w:ind w:left="0" w:leftChars="0" w:firstLine="360" w:firstLineChars="150"/>
        <w:rPr>
          <w:rFonts w:hint="default" w:ascii="宋体" w:hAnsi="宋体" w:cs="宋体"/>
          <w:color w:val="auto"/>
          <w:sz w:val="24"/>
          <w:highlight w:val="none"/>
          <w:lang w:val="en-US"/>
        </w:rPr>
      </w:pPr>
      <w:r>
        <w:rPr>
          <w:rFonts w:hint="eastAsia" w:ascii="宋体" w:hAnsi="宋体" w:cs="宋体"/>
          <w:color w:val="auto"/>
          <w:sz w:val="24"/>
          <w:highlight w:val="none"/>
        </w:rPr>
        <w:t>开户银行：</w:t>
      </w:r>
      <w:r>
        <w:rPr>
          <w:rFonts w:hint="eastAsia" w:ascii="宋体" w:hAnsi="宋体" w:cs="宋体"/>
          <w:color w:val="auto"/>
          <w:kern w:val="0"/>
          <w:sz w:val="24"/>
          <w:highlight w:val="none"/>
          <w:u w:val="single"/>
          <w:lang w:val="en-US" w:eastAsia="zh-CN"/>
        </w:rPr>
        <w:t xml:space="preserve">           账号</w:t>
      </w:r>
      <w:r>
        <w:rPr>
          <w:rFonts w:hint="eastAsia" w:ascii="宋体" w:hAnsi="宋体" w:cs="宋体"/>
          <w:color w:val="auto"/>
          <w:sz w:val="24"/>
          <w:highlight w:val="none"/>
        </w:rPr>
        <w:t>：</w:t>
      </w:r>
      <w:r>
        <w:rPr>
          <w:rFonts w:hint="eastAsia" w:ascii="宋体" w:hAnsi="宋体" w:cs="宋体"/>
          <w:color w:val="auto"/>
          <w:kern w:val="0"/>
          <w:sz w:val="24"/>
          <w:highlight w:val="none"/>
          <w:u w:val="single"/>
          <w:lang w:val="en-US" w:eastAsia="zh-CN"/>
        </w:rPr>
        <w:t xml:space="preserve">          </w:t>
      </w:r>
    </w:p>
    <w:p w14:paraId="14A810F9">
      <w:pPr>
        <w:pStyle w:val="19"/>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078617B">
      <w:pPr>
        <w:pStyle w:val="19"/>
        <w:tabs>
          <w:tab w:val="left" w:pos="939"/>
        </w:tabs>
        <w:spacing w:line="360" w:lineRule="auto"/>
        <w:ind w:left="0" w:leftChars="0"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44EB5ECC">
      <w:pPr>
        <w:pStyle w:val="19"/>
        <w:tabs>
          <w:tab w:val="left" w:pos="939"/>
        </w:tabs>
        <w:spacing w:line="360" w:lineRule="auto"/>
        <w:ind w:left="0" w:leftChars="0" w:firstLine="482" w:firstLineChars="200"/>
        <w:rPr>
          <w:rFonts w:ascii="楷体" w:hAnsi="楷体" w:eastAsia="楷体" w:cs="宋体"/>
          <w:b/>
          <w:color w:val="auto"/>
          <w:sz w:val="24"/>
          <w:highlight w:val="none"/>
        </w:rPr>
      </w:pPr>
    </w:p>
    <w:p w14:paraId="0A28A5A6">
      <w:pPr>
        <w:pStyle w:val="19"/>
        <w:tabs>
          <w:tab w:val="left" w:pos="939"/>
        </w:tabs>
        <w:spacing w:line="360" w:lineRule="auto"/>
        <w:ind w:left="0" w:leftChars="0" w:firstLine="480" w:firstLineChars="200"/>
        <w:rPr>
          <w:rFonts w:ascii="宋体" w:hAnsi="宋体" w:cs="宋体"/>
          <w:color w:val="auto"/>
          <w:sz w:val="24"/>
          <w:highlight w:val="none"/>
        </w:rPr>
      </w:pPr>
    </w:p>
    <w:p w14:paraId="0F582864">
      <w:pPr>
        <w:snapToGrid w:val="0"/>
        <w:spacing w:line="360" w:lineRule="auto"/>
        <w:jc w:val="left"/>
        <w:rPr>
          <w:rFonts w:ascii="宋体" w:hAnsi="宋体" w:cs="宋体"/>
          <w:color w:val="auto"/>
          <w:sz w:val="24"/>
          <w:highlight w:val="none"/>
        </w:rPr>
      </w:pPr>
    </w:p>
    <w:p w14:paraId="59873592">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ED59132">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5C191EE9">
      <w:pPr>
        <w:autoSpaceDE/>
        <w:autoSpaceDN/>
        <w:spacing w:line="240" w:lineRule="auto"/>
        <w:ind w:firstLine="0" w:firstLineChars="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br w:type="page"/>
      </w:r>
    </w:p>
    <w:p w14:paraId="77B058FC">
      <w:pPr>
        <w:spacing w:line="300" w:lineRule="auto"/>
        <w:ind w:firstLine="2200" w:firstLineChars="50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中小企业声明函（服务）</w:t>
      </w:r>
    </w:p>
    <w:p w14:paraId="502F649E">
      <w:pPr>
        <w:pStyle w:val="2"/>
        <w:spacing w:line="500" w:lineRule="exact"/>
        <w:ind w:right="142" w:firstLine="480" w:firstLineChars="200"/>
        <w:rPr>
          <w:rFonts w:ascii="仿宋_GB2312" w:hAnsi="宋体" w:eastAsia="仿宋_GB2312"/>
          <w:color w:val="auto"/>
          <w:sz w:val="24"/>
          <w:highlight w:val="none"/>
        </w:rPr>
      </w:pPr>
      <w:r>
        <w:rPr>
          <w:rFonts w:hint="eastAsia" w:ascii="仿宋_GB2312" w:hAnsi="宋体" w:eastAsia="仿宋_GB2312"/>
          <w:color w:val="auto"/>
          <w:sz w:val="24"/>
          <w:highlight w:val="none"/>
        </w:rPr>
        <w:t>本公司（联合体）郑重声明，根据《政府采购促进中小企业发展管理办法》（财库</w:t>
      </w:r>
      <w:r>
        <w:rPr>
          <w:rFonts w:hint="eastAsia" w:ascii="仿宋_GB2312" w:hAnsi="宋体"/>
          <w:color w:val="auto"/>
          <w:sz w:val="24"/>
          <w:highlight w:val="none"/>
        </w:rPr>
        <w:t>﹝</w:t>
      </w:r>
      <w:r>
        <w:rPr>
          <w:rFonts w:hint="eastAsia" w:ascii="仿宋_GB2312" w:hAnsi="宋体" w:eastAsia="仿宋_GB2312"/>
          <w:color w:val="auto"/>
          <w:sz w:val="24"/>
          <w:highlight w:val="none"/>
        </w:rPr>
        <w:t>2020</w:t>
      </w:r>
      <w:r>
        <w:rPr>
          <w:rFonts w:hint="eastAsia" w:ascii="仿宋_GB2312" w:hAnsi="宋体"/>
          <w:color w:val="auto"/>
          <w:sz w:val="24"/>
          <w:highlight w:val="none"/>
        </w:rPr>
        <w:t>﹞</w:t>
      </w:r>
      <w:r>
        <w:rPr>
          <w:rFonts w:hint="eastAsia" w:ascii="仿宋_GB2312" w:hAnsi="宋体" w:eastAsia="仿宋_GB2312"/>
          <w:color w:val="auto"/>
          <w:sz w:val="24"/>
          <w:highlight w:val="none"/>
        </w:rPr>
        <w:t>46号）的规定，本公司（联合体）参加的采购活动，服务全部由符合政策要求的中小企业承接。相关企业（含联合体中的中小企业、签订分包意向协议的中小企业）的具体情况如下：</w:t>
      </w:r>
    </w:p>
    <w:p w14:paraId="29FD35DB">
      <w:pPr>
        <w:pStyle w:val="2"/>
        <w:spacing w:line="500" w:lineRule="exact"/>
        <w:ind w:right="142" w:firstLine="480" w:firstLineChars="200"/>
        <w:rPr>
          <w:rFonts w:ascii="仿宋_GB2312" w:hAnsi="宋体" w:eastAsia="仿宋_GB2312"/>
          <w:color w:val="auto"/>
          <w:sz w:val="24"/>
          <w:highlight w:val="none"/>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u w:val="single"/>
        </w:rPr>
        <w:t>（标的名称）</w:t>
      </w:r>
      <w:r>
        <w:rPr>
          <w:rFonts w:hint="eastAsia" w:ascii="仿宋_GB2312" w:hAnsi="宋体" w:eastAsia="仿宋_GB2312"/>
          <w:color w:val="auto"/>
          <w:sz w:val="24"/>
          <w:highlight w:val="none"/>
        </w:rPr>
        <w:t>，属于</w:t>
      </w:r>
      <w:r>
        <w:rPr>
          <w:rFonts w:hint="eastAsia" w:ascii="仿宋_GB2312" w:hAnsi="宋体" w:eastAsia="仿宋_GB2312"/>
          <w:color w:val="auto"/>
          <w:sz w:val="24"/>
          <w:highlight w:val="none"/>
          <w:u w:val="single"/>
        </w:rPr>
        <w:t>（采购文件中明确的所属行业）</w:t>
      </w:r>
      <w:r>
        <w:rPr>
          <w:rFonts w:hint="eastAsia" w:ascii="仿宋_GB2312" w:hAnsi="宋体" w:eastAsia="仿宋_GB2312"/>
          <w:color w:val="auto"/>
          <w:sz w:val="24"/>
          <w:highlight w:val="none"/>
        </w:rPr>
        <w:t>；承接企业为</w:t>
      </w:r>
      <w:r>
        <w:rPr>
          <w:rFonts w:hint="eastAsia" w:ascii="仿宋_GB2312" w:hAnsi="宋体" w:eastAsia="仿宋_GB2312"/>
          <w:color w:val="auto"/>
          <w:sz w:val="24"/>
          <w:highlight w:val="none"/>
          <w:u w:val="single"/>
        </w:rPr>
        <w:t>（企业名称）</w:t>
      </w:r>
      <w:r>
        <w:rPr>
          <w:rFonts w:hint="eastAsia" w:ascii="仿宋_GB2312" w:hAnsi="宋体" w:eastAsia="仿宋_GB2312"/>
          <w:color w:val="auto"/>
          <w:sz w:val="24"/>
          <w:highlight w:val="none"/>
        </w:rPr>
        <w:t>，从业人员</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人，营业收入为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万元，资产总额为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万元，属于</w:t>
      </w:r>
      <w:r>
        <w:rPr>
          <w:rFonts w:hint="eastAsia" w:ascii="仿宋_GB2312" w:hAnsi="宋体" w:eastAsia="仿宋_GB2312"/>
          <w:color w:val="auto"/>
          <w:sz w:val="24"/>
          <w:highlight w:val="none"/>
          <w:u w:val="single"/>
        </w:rPr>
        <w:t>（中型企业、小型企业、微型企业）</w:t>
      </w:r>
      <w:r>
        <w:rPr>
          <w:rFonts w:hint="eastAsia" w:ascii="仿宋_GB2312" w:hAnsi="宋体" w:eastAsia="仿宋_GB2312"/>
          <w:color w:val="auto"/>
          <w:sz w:val="24"/>
          <w:highlight w:val="none"/>
        </w:rPr>
        <w:t>；</w:t>
      </w:r>
    </w:p>
    <w:p w14:paraId="22EC7BDA">
      <w:pPr>
        <w:pStyle w:val="2"/>
        <w:spacing w:line="500" w:lineRule="exact"/>
        <w:ind w:right="142" w:firstLine="480" w:firstLineChars="200"/>
        <w:rPr>
          <w:rFonts w:ascii="仿宋_GB2312" w:hAnsi="宋体" w:eastAsia="仿宋_GB2312"/>
          <w:color w:val="auto"/>
          <w:sz w:val="24"/>
          <w:highlight w:val="none"/>
        </w:rPr>
      </w:pPr>
      <w:r>
        <w:rPr>
          <w:rFonts w:hint="eastAsia" w:ascii="仿宋_GB2312" w:hAnsi="宋体" w:eastAsia="仿宋_GB2312"/>
          <w:color w:val="auto"/>
          <w:sz w:val="24"/>
          <w:highlight w:val="none"/>
        </w:rPr>
        <w:t>2.</w:t>
      </w:r>
      <w:r>
        <w:rPr>
          <w:rFonts w:hint="eastAsia" w:ascii="仿宋_GB2312" w:hAnsi="宋体" w:eastAsia="仿宋_GB2312"/>
          <w:color w:val="auto"/>
          <w:sz w:val="24"/>
          <w:highlight w:val="none"/>
          <w:u w:val="single"/>
        </w:rPr>
        <w:t>（标的名称）</w:t>
      </w:r>
      <w:r>
        <w:rPr>
          <w:rFonts w:hint="eastAsia" w:ascii="仿宋_GB2312" w:hAnsi="宋体" w:eastAsia="仿宋_GB2312"/>
          <w:color w:val="auto"/>
          <w:sz w:val="24"/>
          <w:highlight w:val="none"/>
        </w:rPr>
        <w:t>，属于</w:t>
      </w:r>
      <w:r>
        <w:rPr>
          <w:rFonts w:hint="eastAsia" w:ascii="仿宋_GB2312" w:hAnsi="宋体" w:eastAsia="仿宋_GB2312"/>
          <w:color w:val="auto"/>
          <w:sz w:val="24"/>
          <w:highlight w:val="none"/>
          <w:u w:val="single"/>
        </w:rPr>
        <w:t>（采购文件中明确的所属行业）</w:t>
      </w:r>
      <w:r>
        <w:rPr>
          <w:rFonts w:hint="eastAsia" w:ascii="仿宋_GB2312" w:hAnsi="宋体" w:eastAsia="仿宋_GB2312"/>
          <w:color w:val="auto"/>
          <w:sz w:val="24"/>
          <w:highlight w:val="none"/>
        </w:rPr>
        <w:t>；承接企业为</w:t>
      </w:r>
      <w:r>
        <w:rPr>
          <w:rFonts w:hint="eastAsia" w:ascii="仿宋_GB2312" w:hAnsi="宋体" w:eastAsia="仿宋_GB2312"/>
          <w:color w:val="auto"/>
          <w:sz w:val="24"/>
          <w:highlight w:val="none"/>
          <w:u w:val="single"/>
        </w:rPr>
        <w:t>（企业名称）</w:t>
      </w:r>
      <w:r>
        <w:rPr>
          <w:rFonts w:hint="eastAsia" w:ascii="仿宋_GB2312" w:hAnsi="宋体" w:eastAsia="仿宋_GB2312"/>
          <w:color w:val="auto"/>
          <w:sz w:val="24"/>
          <w:highlight w:val="none"/>
        </w:rPr>
        <w:t>，从业人员</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人，营业收入为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万元，资产总额为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万元，属于</w:t>
      </w:r>
      <w:r>
        <w:rPr>
          <w:rFonts w:hint="eastAsia" w:ascii="仿宋_GB2312" w:hAnsi="宋体" w:eastAsia="仿宋_GB2312"/>
          <w:color w:val="auto"/>
          <w:sz w:val="24"/>
          <w:highlight w:val="none"/>
          <w:u w:val="single"/>
        </w:rPr>
        <w:t>（中型企业、小型企业、微型企业）</w:t>
      </w:r>
      <w:r>
        <w:rPr>
          <w:rFonts w:hint="eastAsia" w:ascii="仿宋_GB2312" w:hAnsi="宋体" w:eastAsia="仿宋_GB2312"/>
          <w:color w:val="auto"/>
          <w:sz w:val="24"/>
          <w:highlight w:val="none"/>
        </w:rPr>
        <w:t>；</w:t>
      </w:r>
    </w:p>
    <w:p w14:paraId="5CEB919E">
      <w:pPr>
        <w:pStyle w:val="2"/>
        <w:spacing w:line="500" w:lineRule="exact"/>
        <w:ind w:right="142" w:firstLine="480" w:firstLineChars="200"/>
        <w:rPr>
          <w:rFonts w:ascii="仿宋_GB2312" w:hAnsi="宋体" w:eastAsia="仿宋_GB2312"/>
          <w:color w:val="auto"/>
          <w:sz w:val="24"/>
          <w:highlight w:val="none"/>
        </w:rPr>
      </w:pPr>
    </w:p>
    <w:p w14:paraId="2D03A713">
      <w:pPr>
        <w:pStyle w:val="2"/>
        <w:spacing w:after="0" w:line="360" w:lineRule="auto"/>
        <w:ind w:left="-405" w:leftChars="-193" w:right="142" w:firstLine="453" w:firstLineChars="189"/>
        <w:contextualSpacing/>
        <w:rPr>
          <w:rFonts w:ascii="仿宋_GB2312" w:hAnsi="宋体" w:eastAsia="仿宋_GB2312"/>
          <w:color w:val="auto"/>
          <w:sz w:val="24"/>
          <w:highlight w:val="none"/>
        </w:rPr>
      </w:pPr>
      <w:r>
        <w:rPr>
          <w:rFonts w:hint="eastAsia" w:ascii="仿宋_GB2312" w:hAnsi="宋体" w:eastAsia="仿宋_GB2312"/>
          <w:color w:val="auto"/>
          <w:sz w:val="24"/>
          <w:highlight w:val="none"/>
        </w:rPr>
        <w:t>以上企业，不属于大企业的分支机构，不存在控股股东为大企业的情形，也不存在与大企业的负责人为同一人的情形。</w:t>
      </w:r>
    </w:p>
    <w:p w14:paraId="6EF61A93">
      <w:pPr>
        <w:pStyle w:val="2"/>
        <w:spacing w:after="0" w:line="360" w:lineRule="auto"/>
        <w:ind w:left="-426" w:right="142" w:firstLine="567"/>
        <w:contextualSpacing/>
        <w:rPr>
          <w:rFonts w:ascii="仿宋_GB2312" w:hAnsi="宋体" w:eastAsia="仿宋_GB2312"/>
          <w:color w:val="auto"/>
          <w:sz w:val="24"/>
          <w:highlight w:val="none"/>
        </w:rPr>
      </w:pPr>
      <w:r>
        <w:rPr>
          <w:rFonts w:hint="eastAsia" w:ascii="仿宋_GB2312" w:hAnsi="宋体" w:eastAsia="仿宋_GB2312"/>
          <w:color w:val="auto"/>
          <w:sz w:val="24"/>
          <w:highlight w:val="none"/>
        </w:rPr>
        <w:t>本企业对上述声明内容的真实性负责。如有虚假，将依法承担相应责任。</w:t>
      </w:r>
    </w:p>
    <w:p w14:paraId="669B02B0">
      <w:pPr>
        <w:pStyle w:val="2"/>
        <w:spacing w:after="0" w:line="360" w:lineRule="auto"/>
        <w:ind w:left="3960" w:right="1808"/>
        <w:contextualSpacing/>
        <w:rPr>
          <w:rFonts w:ascii="宋体" w:hAnsi="宋体"/>
          <w:color w:val="auto"/>
          <w:sz w:val="24"/>
          <w:highlight w:val="none"/>
        </w:rPr>
      </w:pPr>
    </w:p>
    <w:p w14:paraId="2C1F0152">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3BC5D73F">
      <w:pPr>
        <w:autoSpaceDE w:val="0"/>
        <w:autoSpaceDN w:val="0"/>
        <w:spacing w:line="360" w:lineRule="auto"/>
        <w:ind w:firstLine="6480" w:firstLineChars="270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055AF4ED">
      <w:pPr>
        <w:pStyle w:val="2"/>
        <w:spacing w:after="0" w:line="360" w:lineRule="auto"/>
        <w:ind w:left="3960" w:right="1808"/>
        <w:contextualSpacing/>
        <w:rPr>
          <w:color w:val="auto"/>
          <w:highlight w:val="none"/>
        </w:rPr>
      </w:pPr>
    </w:p>
    <w:p w14:paraId="1634F920">
      <w:pPr>
        <w:pStyle w:val="27"/>
        <w:ind w:left="900" w:hanging="480"/>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488F87B">
      <w:pPr>
        <w:rPr>
          <w:rFonts w:ascii="宋体" w:hAnsi="宋体" w:cs="仿宋_GB2312"/>
          <w:color w:val="auto"/>
          <w:sz w:val="24"/>
          <w:highlight w:val="none"/>
        </w:rPr>
      </w:pPr>
      <w:r>
        <w:rPr>
          <w:rFonts w:hint="eastAsia" w:ascii="宋体" w:hAnsi="宋体" w:cs="仿宋_GB2312"/>
          <w:color w:val="auto"/>
          <w:sz w:val="24"/>
          <w:highlight w:val="none"/>
        </w:rPr>
        <w:br w:type="page"/>
      </w:r>
    </w:p>
    <w:p w14:paraId="421E8AAE">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残疾人福利性单位声明函</w:t>
      </w:r>
    </w:p>
    <w:p w14:paraId="57630DEF">
      <w:pPr>
        <w:spacing w:line="520" w:lineRule="exact"/>
        <w:rPr>
          <w:rFonts w:ascii="仿宋_GB2312" w:hAnsi="仿宋_GB2312" w:eastAsia="仿宋_GB2312" w:cs="仿宋_GB2312"/>
          <w:color w:val="auto"/>
          <w:sz w:val="32"/>
          <w:szCs w:val="32"/>
          <w:highlight w:val="none"/>
        </w:rPr>
      </w:pPr>
    </w:p>
    <w:p w14:paraId="540D8481">
      <w:pPr>
        <w:spacing w:line="360" w:lineRule="auto"/>
        <w:ind w:firstLine="480" w:firstLineChars="200"/>
        <w:rPr>
          <w:rFonts w:ascii="仿宋_GB2312" w:hAnsi="宋体" w:eastAsia="仿宋_GB2312" w:cs="仿宋_GB2312"/>
          <w:color w:val="auto"/>
          <w:sz w:val="24"/>
          <w:highlight w:val="none"/>
        </w:rPr>
      </w:pPr>
      <w:r>
        <w:rPr>
          <w:rFonts w:hint="eastAsia" w:ascii="仿宋_GB2312" w:hAnsi="宋体" w:eastAsia="仿宋_GB2312"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eastAsia="zh-CN"/>
        </w:rPr>
        <w:t>钦州市第二人民医院</w:t>
      </w:r>
      <w:r>
        <w:rPr>
          <w:rFonts w:hint="eastAsia" w:ascii="仿宋_GB2312" w:hAnsi="宋体" w:eastAsia="仿宋_GB2312" w:cs="仿宋_GB2312"/>
          <w:color w:val="auto"/>
          <w:sz w:val="24"/>
          <w:highlight w:val="none"/>
        </w:rPr>
        <w:t>单位的</w:t>
      </w:r>
      <w:r>
        <w:rPr>
          <w:rFonts w:hint="eastAsia" w:ascii="仿宋_GB2312" w:hAnsi="宋体" w:eastAsia="仿宋_GB2312" w:cs="仿宋_GB2312"/>
          <w:color w:val="auto"/>
          <w:sz w:val="24"/>
          <w:highlight w:val="none"/>
          <w:u w:val="single"/>
          <w:lang w:val="en-US" w:eastAsia="zh-CN"/>
        </w:rPr>
        <w:t xml:space="preserve">        </w:t>
      </w:r>
      <w:r>
        <w:rPr>
          <w:rFonts w:hint="eastAsia" w:ascii="仿宋_GB2312" w:hAnsi="宋体" w:eastAsia="仿宋_GB2312" w:cs="仿宋_GB2312"/>
          <w:color w:val="auto"/>
          <w:sz w:val="24"/>
          <w:highlight w:val="none"/>
        </w:rPr>
        <w:t>项目采购活动由本单位提供服务。</w:t>
      </w:r>
    </w:p>
    <w:p w14:paraId="53CA4A02">
      <w:pPr>
        <w:spacing w:line="360" w:lineRule="auto"/>
        <w:ind w:firstLine="480" w:firstLineChars="200"/>
        <w:rPr>
          <w:rFonts w:ascii="仿宋_GB2312" w:hAnsi="宋体" w:eastAsia="仿宋_GB2312" w:cs="仿宋_GB2312"/>
          <w:color w:val="auto"/>
          <w:sz w:val="24"/>
          <w:highlight w:val="none"/>
        </w:rPr>
      </w:pPr>
      <w:r>
        <w:rPr>
          <w:rFonts w:hint="eastAsia" w:ascii="仿宋_GB2312" w:hAnsi="宋体" w:eastAsia="仿宋_GB2312" w:cs="仿宋_GB2312"/>
          <w:color w:val="auto"/>
          <w:sz w:val="24"/>
          <w:highlight w:val="none"/>
        </w:rPr>
        <w:t>本单位对上述声明的真实性负责。如有虚假，将依法承担相应责任。</w:t>
      </w:r>
    </w:p>
    <w:p w14:paraId="6CE12884">
      <w:pPr>
        <w:spacing w:line="360" w:lineRule="auto"/>
        <w:rPr>
          <w:rFonts w:ascii="宋体" w:hAnsi="宋体" w:cs="仿宋_GB2312"/>
          <w:color w:val="auto"/>
          <w:sz w:val="24"/>
          <w:highlight w:val="none"/>
        </w:rPr>
      </w:pPr>
    </w:p>
    <w:p w14:paraId="6C87A2F8">
      <w:pPr>
        <w:spacing w:line="360" w:lineRule="auto"/>
        <w:rPr>
          <w:rFonts w:ascii="宋体" w:hAnsi="宋体" w:cs="仿宋_GB2312"/>
          <w:color w:val="auto"/>
          <w:sz w:val="24"/>
          <w:highlight w:val="none"/>
        </w:rPr>
      </w:pPr>
    </w:p>
    <w:p w14:paraId="616662A7">
      <w:pPr>
        <w:spacing w:line="360" w:lineRule="auto"/>
        <w:rPr>
          <w:rFonts w:ascii="宋体" w:hAnsi="宋体" w:cs="仿宋_GB2312"/>
          <w:color w:val="auto"/>
          <w:sz w:val="24"/>
          <w:highlight w:val="none"/>
        </w:rPr>
      </w:pPr>
    </w:p>
    <w:p w14:paraId="3B5AFDC0">
      <w:pPr>
        <w:spacing w:line="360" w:lineRule="auto"/>
        <w:ind w:firstLine="2400" w:firstLineChars="1000"/>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7438D75A">
      <w:pPr>
        <w:spacing w:line="360" w:lineRule="auto"/>
        <w:ind w:firstLine="4320" w:firstLineChars="1800"/>
        <w:rPr>
          <w:rFonts w:ascii="宋体" w:hAnsi="宋体" w:cs="仿宋_GB2312"/>
          <w:color w:val="auto"/>
          <w:sz w:val="24"/>
          <w:highlight w:val="none"/>
        </w:rPr>
      </w:pPr>
      <w:r>
        <w:rPr>
          <w:rFonts w:hint="eastAsia" w:ascii="宋体" w:hAnsi="宋体" w:cs="仿宋_GB2312"/>
          <w:color w:val="auto"/>
          <w:sz w:val="24"/>
          <w:highlight w:val="none"/>
        </w:rPr>
        <w:t>日  期：     年   月   日</w:t>
      </w:r>
    </w:p>
    <w:p w14:paraId="19B678DF">
      <w:pPr>
        <w:spacing w:line="360" w:lineRule="auto"/>
        <w:rPr>
          <w:rFonts w:ascii="宋体" w:hAnsi="宋体" w:cs="仿宋_GB2312"/>
          <w:color w:val="auto"/>
          <w:sz w:val="24"/>
          <w:highlight w:val="none"/>
        </w:rPr>
      </w:pPr>
    </w:p>
    <w:p w14:paraId="34650B96">
      <w:pPr>
        <w:spacing w:line="360" w:lineRule="auto"/>
        <w:rPr>
          <w:rFonts w:ascii="宋体" w:hAnsi="宋体" w:cs="仿宋_GB2312"/>
          <w:color w:val="auto"/>
          <w:sz w:val="24"/>
          <w:highlight w:val="none"/>
        </w:rPr>
      </w:pPr>
    </w:p>
    <w:p w14:paraId="58139F8D">
      <w:pPr>
        <w:spacing w:line="360" w:lineRule="auto"/>
        <w:rPr>
          <w:rFonts w:ascii="宋体" w:hAnsi="宋体" w:cs="仿宋_GB2312"/>
          <w:color w:val="auto"/>
          <w:sz w:val="24"/>
          <w:highlight w:val="none"/>
        </w:rPr>
      </w:pPr>
    </w:p>
    <w:p w14:paraId="506A0B8F">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12E5930F">
      <w:pPr>
        <w:rPr>
          <w:color w:val="auto"/>
          <w:highlight w:val="none"/>
        </w:rPr>
      </w:pPr>
    </w:p>
    <w:p w14:paraId="044B87E9">
      <w:pPr>
        <w:pStyle w:val="2"/>
        <w:rPr>
          <w:color w:val="auto"/>
          <w:highlight w:val="none"/>
        </w:rPr>
      </w:pPr>
    </w:p>
    <w:p w14:paraId="22D58613">
      <w:pPr>
        <w:spacing w:line="360" w:lineRule="auto"/>
        <w:ind w:right="480" w:firstLine="240" w:firstLineChars="100"/>
        <w:contextualSpacing/>
        <w:jc w:val="center"/>
        <w:rPr>
          <w:rFonts w:ascii="宋体" w:hAnsi="宋体" w:cs="宋体"/>
          <w:b/>
          <w:bCs/>
          <w:color w:val="auto"/>
          <w:sz w:val="24"/>
          <w:highlight w:val="none"/>
        </w:rPr>
      </w:pPr>
      <w:r>
        <w:rPr>
          <w:rFonts w:hint="eastAsia" w:ascii="宋体" w:hAnsi="宋体" w:cs="宋体"/>
          <w:color w:val="auto"/>
          <w:sz w:val="24"/>
          <w:highlight w:val="none"/>
        </w:rPr>
        <w:br w:type="page"/>
      </w:r>
    </w:p>
    <w:p w14:paraId="51EF49D2">
      <w:pPr>
        <w:pStyle w:val="4"/>
        <w:rPr>
          <w:color w:val="auto"/>
          <w:highlight w:val="none"/>
        </w:rPr>
      </w:pPr>
      <w:bookmarkStart w:id="79" w:name="_Toc24936"/>
      <w:bookmarkStart w:id="80" w:name="_Toc15310"/>
      <w:bookmarkStart w:id="81" w:name="_Toc18398"/>
      <w:bookmarkStart w:id="82" w:name="_Toc3842"/>
      <w:bookmarkStart w:id="83" w:name="_Toc27135"/>
      <w:bookmarkStart w:id="84" w:name="_Toc15584"/>
      <w:bookmarkStart w:id="85" w:name="_Toc4358"/>
      <w:bookmarkStart w:id="86" w:name="_Toc3520"/>
      <w:r>
        <w:rPr>
          <w:rFonts w:hint="eastAsia"/>
          <w:color w:val="auto"/>
          <w:highlight w:val="none"/>
        </w:rPr>
        <w:t>三、商务技术文件格式</w:t>
      </w:r>
      <w:bookmarkEnd w:id="79"/>
      <w:bookmarkEnd w:id="80"/>
      <w:bookmarkEnd w:id="81"/>
      <w:bookmarkEnd w:id="82"/>
      <w:bookmarkEnd w:id="83"/>
      <w:bookmarkEnd w:id="84"/>
    </w:p>
    <w:p w14:paraId="1DCDB608">
      <w:pPr>
        <w:snapToGrid w:val="0"/>
        <w:spacing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651B5D81">
      <w:pPr>
        <w:snapToGrid w:val="0"/>
        <w:spacing w:beforeLines="50" w:after="50"/>
        <w:rPr>
          <w:rFonts w:ascii="宋体" w:hAnsi="宋体" w:cs="宋体"/>
          <w:color w:val="auto"/>
          <w:sz w:val="24"/>
          <w:szCs w:val="20"/>
          <w:highlight w:val="none"/>
        </w:rPr>
      </w:pPr>
    </w:p>
    <w:p w14:paraId="29C53733">
      <w:pPr>
        <w:pStyle w:val="2"/>
        <w:rPr>
          <w:color w:val="auto"/>
          <w:highlight w:val="none"/>
        </w:rPr>
      </w:pPr>
    </w:p>
    <w:p w14:paraId="4D6147F6">
      <w:pPr>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6A31EEEB">
      <w:pPr>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商务技术  文  件</w:t>
      </w:r>
    </w:p>
    <w:p w14:paraId="6707DA16">
      <w:pPr>
        <w:snapToGrid w:val="0"/>
        <w:spacing w:beforeLines="50" w:after="50"/>
        <w:rPr>
          <w:rFonts w:ascii="宋体" w:hAnsi="宋体" w:cs="宋体"/>
          <w:bCs/>
          <w:color w:val="auto"/>
          <w:sz w:val="24"/>
          <w:szCs w:val="20"/>
          <w:highlight w:val="none"/>
        </w:rPr>
      </w:pPr>
    </w:p>
    <w:p w14:paraId="271F4A3C">
      <w:pPr>
        <w:snapToGrid w:val="0"/>
        <w:spacing w:beforeLines="50" w:after="50"/>
        <w:rPr>
          <w:rFonts w:ascii="宋体" w:hAnsi="宋体" w:cs="宋体"/>
          <w:bCs/>
          <w:color w:val="auto"/>
          <w:sz w:val="24"/>
          <w:szCs w:val="20"/>
          <w:highlight w:val="none"/>
        </w:rPr>
      </w:pPr>
    </w:p>
    <w:p w14:paraId="45E95DE4">
      <w:pPr>
        <w:snapToGrid w:val="0"/>
        <w:spacing w:beforeLines="50" w:after="50"/>
        <w:ind w:firstLine="2100" w:firstLineChars="875"/>
        <w:rPr>
          <w:rFonts w:ascii="宋体" w:hAnsi="宋体" w:cs="宋体"/>
          <w:bCs/>
          <w:color w:val="auto"/>
          <w:sz w:val="24"/>
          <w:szCs w:val="20"/>
          <w:highlight w:val="none"/>
        </w:rPr>
      </w:pPr>
    </w:p>
    <w:p w14:paraId="766D29ED">
      <w:pPr>
        <w:snapToGrid w:val="0"/>
        <w:spacing w:beforeLines="50" w:after="50"/>
        <w:ind w:firstLine="2100" w:firstLineChars="875"/>
        <w:rPr>
          <w:rFonts w:ascii="宋体" w:hAnsi="宋体" w:cs="宋体"/>
          <w:bCs/>
          <w:color w:val="auto"/>
          <w:sz w:val="24"/>
          <w:szCs w:val="20"/>
          <w:highlight w:val="none"/>
        </w:rPr>
      </w:pPr>
    </w:p>
    <w:p w14:paraId="162BC69D">
      <w:pPr>
        <w:snapToGrid w:val="0"/>
        <w:spacing w:beforeLines="50" w:after="50"/>
        <w:ind w:firstLine="2100" w:firstLineChars="875"/>
        <w:rPr>
          <w:rFonts w:ascii="宋体" w:hAnsi="宋体" w:cs="宋体"/>
          <w:bCs/>
          <w:color w:val="auto"/>
          <w:sz w:val="24"/>
          <w:szCs w:val="20"/>
          <w:highlight w:val="none"/>
        </w:rPr>
      </w:pPr>
    </w:p>
    <w:p w14:paraId="79194DD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CE1111C">
      <w:pPr>
        <w:snapToGrid w:val="0"/>
        <w:spacing w:beforeLines="50" w:after="50"/>
        <w:ind w:firstLine="2800" w:firstLineChars="875"/>
        <w:rPr>
          <w:rFonts w:ascii="宋体" w:hAnsi="宋体" w:cs="宋体"/>
          <w:bCs/>
          <w:color w:val="auto"/>
          <w:sz w:val="32"/>
          <w:szCs w:val="32"/>
          <w:highlight w:val="none"/>
        </w:rPr>
      </w:pPr>
    </w:p>
    <w:p w14:paraId="02FCDF2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FF9DF66">
      <w:pPr>
        <w:snapToGrid w:val="0"/>
        <w:spacing w:beforeLines="50" w:after="50"/>
        <w:ind w:firstLine="2800" w:firstLineChars="875"/>
        <w:rPr>
          <w:rFonts w:ascii="宋体" w:hAnsi="宋体" w:cs="宋体"/>
          <w:bCs/>
          <w:color w:val="auto"/>
          <w:sz w:val="32"/>
          <w:szCs w:val="32"/>
          <w:highlight w:val="none"/>
        </w:rPr>
      </w:pPr>
    </w:p>
    <w:p w14:paraId="122897B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w:t>
      </w:r>
    </w:p>
    <w:p w14:paraId="4669EA84">
      <w:pPr>
        <w:snapToGrid w:val="0"/>
        <w:spacing w:beforeLines="50" w:after="50"/>
        <w:ind w:firstLine="2800" w:firstLineChars="875"/>
        <w:rPr>
          <w:rFonts w:ascii="宋体" w:hAnsi="宋体" w:cs="宋体"/>
          <w:bCs/>
          <w:color w:val="auto"/>
          <w:sz w:val="32"/>
          <w:szCs w:val="32"/>
          <w:highlight w:val="none"/>
        </w:rPr>
      </w:pPr>
    </w:p>
    <w:p w14:paraId="4F6B5DF6">
      <w:pPr>
        <w:pStyle w:val="8"/>
        <w:snapToGrid w:val="0"/>
        <w:spacing w:before="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1DA6320">
      <w:pPr>
        <w:pStyle w:val="8"/>
        <w:snapToGrid w:val="0"/>
        <w:spacing w:before="50" w:after="50"/>
        <w:ind w:firstLine="2800" w:firstLineChars="875"/>
        <w:rPr>
          <w:rFonts w:ascii="宋体" w:hAnsi="宋体" w:cs="宋体"/>
          <w:bCs/>
          <w:color w:val="auto"/>
          <w:sz w:val="32"/>
          <w:szCs w:val="32"/>
          <w:highlight w:val="none"/>
        </w:rPr>
      </w:pPr>
    </w:p>
    <w:p w14:paraId="169040B0">
      <w:pPr>
        <w:pStyle w:val="8"/>
        <w:snapToGrid w:val="0"/>
        <w:spacing w:before="50" w:after="50"/>
        <w:ind w:firstLine="720" w:firstLineChars="225"/>
        <w:rPr>
          <w:rFonts w:ascii="宋体" w:hAnsi="宋体" w:cs="宋体"/>
          <w:bCs/>
          <w:color w:val="auto"/>
          <w:sz w:val="32"/>
          <w:szCs w:val="32"/>
          <w:highlight w:val="none"/>
        </w:rPr>
      </w:pPr>
    </w:p>
    <w:p w14:paraId="2AAFAE8E">
      <w:pPr>
        <w:pStyle w:val="8"/>
        <w:snapToGrid w:val="0"/>
        <w:spacing w:before="50" w:after="50"/>
        <w:ind w:firstLine="1280" w:firstLineChars="400"/>
        <w:rPr>
          <w:rFonts w:ascii="宋体" w:hAnsi="宋体" w:cs="宋体"/>
          <w:bCs/>
          <w:color w:val="auto"/>
          <w:sz w:val="32"/>
          <w:szCs w:val="32"/>
          <w:highlight w:val="none"/>
        </w:rPr>
      </w:pPr>
    </w:p>
    <w:p w14:paraId="6B641E7C">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B7208A6">
      <w:pPr>
        <w:rPr>
          <w:rFonts w:ascii="宋体" w:hAnsi="宋体" w:cs="宋体"/>
          <w:color w:val="auto"/>
          <w:sz w:val="24"/>
          <w:highlight w:val="none"/>
        </w:rPr>
      </w:pPr>
      <w:r>
        <w:rPr>
          <w:rFonts w:hint="eastAsia" w:ascii="宋体" w:hAnsi="宋体" w:cs="宋体"/>
          <w:color w:val="auto"/>
          <w:sz w:val="24"/>
          <w:highlight w:val="none"/>
        </w:rPr>
        <w:br w:type="page"/>
      </w:r>
    </w:p>
    <w:p w14:paraId="70F7F0A9">
      <w:pPr>
        <w:snapToGrid w:val="0"/>
        <w:spacing w:beforeLines="50" w:after="50" w:line="360" w:lineRule="auto"/>
        <w:ind w:right="480" w:firstLine="321" w:firstLineChars="100"/>
        <w:jc w:val="left"/>
        <w:rPr>
          <w:rFonts w:ascii="宋体" w:hAnsi="宋体"/>
          <w:b/>
          <w:bCs/>
          <w:color w:val="auto"/>
          <w:sz w:val="24"/>
          <w:highlight w:val="none"/>
        </w:rPr>
      </w:pPr>
      <w:r>
        <w:rPr>
          <w:rFonts w:hint="eastAsia" w:ascii="宋体" w:hAnsi="宋体"/>
          <w:b/>
          <w:bCs/>
          <w:color w:val="auto"/>
          <w:sz w:val="32"/>
          <w:szCs w:val="32"/>
          <w:highlight w:val="none"/>
        </w:rPr>
        <w:t>2.商务技术文件目录</w:t>
      </w:r>
    </w:p>
    <w:p w14:paraId="5C678389">
      <w:pPr>
        <w:rPr>
          <w:rFonts w:ascii="宋体" w:hAnsi="宋体" w:cs="宋体"/>
          <w:color w:val="auto"/>
          <w:sz w:val="24"/>
          <w:highlight w:val="none"/>
        </w:rPr>
      </w:pPr>
      <w:r>
        <w:rPr>
          <w:rFonts w:hint="eastAsia" w:ascii="宋体" w:hAnsi="宋体"/>
          <w:color w:val="auto"/>
          <w:sz w:val="32"/>
          <w:szCs w:val="32"/>
          <w:highlight w:val="none"/>
        </w:rPr>
        <w:t>根据磋商文件规定及供应商提供的材料自行编写目录（部分格式后附）。</w:t>
      </w:r>
      <w:r>
        <w:rPr>
          <w:rFonts w:hint="eastAsia" w:ascii="宋体" w:hAnsi="宋体" w:cs="宋体"/>
          <w:color w:val="auto"/>
          <w:sz w:val="24"/>
          <w:highlight w:val="none"/>
        </w:rPr>
        <w:br w:type="page"/>
      </w:r>
    </w:p>
    <w:p w14:paraId="4C944A3E">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无串通竞标行为的承诺函</w:t>
      </w:r>
    </w:p>
    <w:p w14:paraId="6812D424">
      <w:pPr>
        <w:spacing w:line="400" w:lineRule="exact"/>
        <w:ind w:firstLine="640" w:firstLineChars="200"/>
        <w:rPr>
          <w:rFonts w:ascii="仿宋_GB2312" w:hAnsi="仿宋_GB2312" w:eastAsia="仿宋_GB2312" w:cs="仿宋_GB2312"/>
          <w:color w:val="auto"/>
          <w:sz w:val="32"/>
          <w:szCs w:val="32"/>
          <w:highlight w:val="none"/>
        </w:rPr>
      </w:pPr>
    </w:p>
    <w:p w14:paraId="7041B957">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75D71DF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p>
    <w:p w14:paraId="52510E4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C896E8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6855844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0289315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529B56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49EAABA9">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2DC6F9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68376CF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5CCB1EA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199E26B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4.属于同一集团、协会、商会等组织成员的供应商按照该组织要求协同参加采购活动；</w:t>
      </w:r>
    </w:p>
    <w:p w14:paraId="24E2510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092033E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6.供应商之间商定部分供应商放弃参加采购活动或者放弃成交；</w:t>
      </w:r>
    </w:p>
    <w:p w14:paraId="6474D16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4E14960D">
      <w:pPr>
        <w:spacing w:line="360" w:lineRule="auto"/>
        <w:ind w:firstLine="480" w:firstLineChars="200"/>
        <w:contextualSpacing/>
        <w:rPr>
          <w:rFonts w:ascii="宋体" w:hAnsi="宋体" w:cs="仿宋_GB2312"/>
          <w:color w:val="auto"/>
          <w:sz w:val="24"/>
          <w:highlight w:val="none"/>
        </w:rPr>
      </w:pPr>
    </w:p>
    <w:p w14:paraId="13FEE072">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2BA0DE11">
      <w:pPr>
        <w:spacing w:line="360" w:lineRule="auto"/>
        <w:contextualSpacing/>
        <w:rPr>
          <w:rFonts w:ascii="宋体" w:hAnsi="宋体" w:cs="仿宋_GB2312"/>
          <w:color w:val="auto"/>
          <w:sz w:val="24"/>
          <w:highlight w:val="none"/>
        </w:rPr>
      </w:pPr>
    </w:p>
    <w:p w14:paraId="52404FBD">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396A506">
      <w:pPr>
        <w:spacing w:line="520" w:lineRule="exact"/>
        <w:ind w:left="239" w:leftChars="114" w:firstLine="6120" w:firstLineChars="255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666055E7">
      <w:pPr>
        <w:rPr>
          <w:rFonts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20E3955F">
      <w:pPr>
        <w:spacing w:beforeLines="100" w:afterLines="50" w:line="520" w:lineRule="exact"/>
        <w:ind w:left="540"/>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5DFE1650">
      <w:pPr>
        <w:spacing w:line="360" w:lineRule="auto"/>
        <w:ind w:left="540"/>
        <w:contextualSpacing/>
        <w:rPr>
          <w:rFonts w:ascii="宋体" w:hAnsi="宋体" w:cs="仿宋_GB2312"/>
          <w:color w:val="auto"/>
          <w:sz w:val="24"/>
          <w:highlight w:val="none"/>
        </w:rPr>
      </w:pPr>
    </w:p>
    <w:p w14:paraId="1C427C7D">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0D75FA4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034B302A">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700348CF">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1493CA1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32D19D2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（供应商名称）      </w:t>
      </w:r>
      <w:r>
        <w:rPr>
          <w:rFonts w:hint="eastAsia" w:ascii="宋体" w:hAnsi="宋体" w:cs="仿宋_GB2312"/>
          <w:color w:val="auto"/>
          <w:sz w:val="24"/>
          <w:highlight w:val="none"/>
        </w:rPr>
        <w:t>的法定代表人。</w:t>
      </w:r>
    </w:p>
    <w:p w14:paraId="22B6B24D">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021295AF">
      <w:pPr>
        <w:spacing w:line="360" w:lineRule="auto"/>
        <w:ind w:left="540"/>
        <w:contextualSpacing/>
        <w:rPr>
          <w:rFonts w:ascii="宋体" w:hAnsi="宋体" w:cs="仿宋_GB2312"/>
          <w:color w:val="auto"/>
          <w:sz w:val="24"/>
          <w:highlight w:val="none"/>
        </w:rPr>
      </w:pPr>
    </w:p>
    <w:p w14:paraId="5F094A4B">
      <w:pPr>
        <w:spacing w:line="360" w:lineRule="auto"/>
        <w:ind w:left="540"/>
        <w:contextualSpacing/>
        <w:rPr>
          <w:rFonts w:ascii="宋体" w:hAnsi="宋体" w:cs="仿宋_GB2312"/>
          <w:color w:val="auto"/>
          <w:sz w:val="24"/>
          <w:highlight w:val="none"/>
        </w:rPr>
      </w:pPr>
    </w:p>
    <w:p w14:paraId="032CA035">
      <w:pPr>
        <w:spacing w:line="360" w:lineRule="auto"/>
        <w:ind w:left="540"/>
        <w:contextualSpacing/>
        <w:rPr>
          <w:rFonts w:ascii="宋体" w:hAnsi="宋体" w:cs="仿宋_GB2312"/>
          <w:color w:val="auto"/>
          <w:sz w:val="24"/>
          <w:highlight w:val="none"/>
        </w:rPr>
      </w:pPr>
    </w:p>
    <w:p w14:paraId="1461B552">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43B7A4E1">
      <w:pPr>
        <w:spacing w:line="360" w:lineRule="auto"/>
        <w:ind w:left="540"/>
        <w:contextualSpacing/>
        <w:rPr>
          <w:rFonts w:ascii="宋体" w:hAnsi="宋体" w:cs="仿宋_GB2312"/>
          <w:color w:val="auto"/>
          <w:sz w:val="24"/>
          <w:highlight w:val="none"/>
        </w:rPr>
      </w:pPr>
    </w:p>
    <w:p w14:paraId="20B70560">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E69624F">
      <w:pPr>
        <w:spacing w:line="520" w:lineRule="exact"/>
        <w:ind w:left="239" w:leftChars="114" w:firstLine="6120" w:firstLineChars="255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403CC6B8">
      <w:pPr>
        <w:spacing w:line="360" w:lineRule="auto"/>
        <w:contextualSpacing/>
        <w:jc w:val="center"/>
        <w:rPr>
          <w:rFonts w:ascii="宋体" w:hAnsi="宋体" w:cs="仿宋_GB2312"/>
          <w:b/>
          <w:color w:val="auto"/>
          <w:sz w:val="24"/>
          <w:highlight w:val="none"/>
        </w:rPr>
      </w:pPr>
    </w:p>
    <w:p w14:paraId="12BDC678">
      <w:pPr>
        <w:spacing w:line="360" w:lineRule="auto"/>
        <w:contextualSpacing/>
        <w:jc w:val="left"/>
        <w:rPr>
          <w:rFonts w:ascii="宋体" w:hAnsi="宋体" w:cs="仿宋_GB2312"/>
          <w:color w:val="auto"/>
          <w:sz w:val="24"/>
          <w:highlight w:val="none"/>
        </w:rPr>
      </w:pPr>
    </w:p>
    <w:p w14:paraId="05B8FA69">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注：1.自然人竞标的无需提供，联合体竞标的只需牵头人出具。</w:t>
      </w:r>
    </w:p>
    <w:p w14:paraId="0379388F">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82BA491">
      <w:pPr>
        <w:spacing w:line="360" w:lineRule="auto"/>
        <w:contextualSpacing/>
        <w:jc w:val="left"/>
        <w:rPr>
          <w:rFonts w:ascii="宋体" w:hAnsi="宋体" w:cs="仿宋_GB2312"/>
          <w:color w:val="auto"/>
          <w:sz w:val="24"/>
          <w:highlight w:val="none"/>
        </w:rPr>
      </w:pPr>
    </w:p>
    <w:p w14:paraId="4335A436">
      <w:pPr>
        <w:rPr>
          <w:rFonts w:ascii="宋体" w:hAnsi="宋体" w:cs="仿宋_GB2312"/>
          <w:color w:val="auto"/>
          <w:sz w:val="24"/>
          <w:highlight w:val="none"/>
        </w:rPr>
      </w:pPr>
      <w:r>
        <w:rPr>
          <w:rFonts w:hint="eastAsia" w:ascii="宋体" w:hAnsi="宋体" w:cs="仿宋_GB2312"/>
          <w:color w:val="auto"/>
          <w:sz w:val="24"/>
          <w:highlight w:val="none"/>
        </w:rPr>
        <w:br w:type="page"/>
      </w:r>
    </w:p>
    <w:p w14:paraId="4C6096E5">
      <w:pPr>
        <w:spacing w:line="360" w:lineRule="auto"/>
        <w:jc w:val="left"/>
        <w:rPr>
          <w:rFonts w:ascii="仿宋_GB2312" w:hAnsi="仿宋_GB2312" w:eastAsia="仿宋_GB2312" w:cs="仿宋_GB2312"/>
          <w:b/>
          <w:color w:val="auto"/>
          <w:sz w:val="32"/>
          <w:szCs w:val="32"/>
          <w:highlight w:val="none"/>
        </w:rPr>
      </w:pPr>
      <w:r>
        <w:rPr>
          <w:rFonts w:hint="eastAsia" w:hAnsi="宋体"/>
          <w:b/>
          <w:color w:val="auto"/>
          <w:sz w:val="24"/>
          <w:highlight w:val="none"/>
        </w:rPr>
        <w:t>附件：</w:t>
      </w:r>
    </w:p>
    <w:tbl>
      <w:tblPr>
        <w:tblStyle w:val="34"/>
        <w:tblpPr w:leftFromText="180" w:rightFromText="180" w:vertAnchor="text" w:horzAnchor="page" w:tblpX="1824" w:tblpY="70"/>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83B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noWrap/>
          </w:tcPr>
          <w:p w14:paraId="356A9A59">
            <w:pPr>
              <w:adjustRightInd w:val="0"/>
              <w:snapToGrid w:val="0"/>
              <w:spacing w:line="360" w:lineRule="auto"/>
              <w:rPr>
                <w:rFonts w:ascii="宋体"/>
                <w:b/>
                <w:color w:val="auto"/>
                <w:sz w:val="24"/>
                <w:highlight w:val="none"/>
              </w:rPr>
            </w:pPr>
          </w:p>
          <w:p w14:paraId="54DCC3E7">
            <w:pPr>
              <w:adjustRightInd w:val="0"/>
              <w:snapToGrid w:val="0"/>
              <w:spacing w:line="360" w:lineRule="auto"/>
              <w:rPr>
                <w:rFonts w:ascii="宋体"/>
                <w:b/>
                <w:color w:val="auto"/>
                <w:sz w:val="24"/>
                <w:highlight w:val="none"/>
              </w:rPr>
            </w:pPr>
            <w:r>
              <w:rPr>
                <w:rFonts w:hint="eastAsia" w:ascii="宋体"/>
                <w:b/>
                <w:color w:val="auto"/>
                <w:sz w:val="24"/>
                <w:highlight w:val="none"/>
              </w:rPr>
              <w:t>法定代表身份证复印件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5551C6C6">
      <w:pPr>
        <w:pStyle w:val="2"/>
        <w:rPr>
          <w:color w:val="auto"/>
          <w:highlight w:val="none"/>
        </w:rPr>
      </w:pPr>
    </w:p>
    <w:p w14:paraId="67C5D220">
      <w:pPr>
        <w:adjustRightInd w:val="0"/>
        <w:snapToGrid w:val="0"/>
        <w:spacing w:line="300" w:lineRule="auto"/>
        <w:jc w:val="left"/>
        <w:rPr>
          <w:rFonts w:ascii="宋体" w:hAnsi="宋体"/>
          <w:b/>
          <w:color w:val="auto"/>
          <w:szCs w:val="21"/>
          <w:highlight w:val="none"/>
        </w:rPr>
      </w:pPr>
    </w:p>
    <w:p w14:paraId="15FE205E">
      <w:pPr>
        <w:adjustRightInd w:val="0"/>
        <w:snapToGrid w:val="0"/>
        <w:spacing w:line="300" w:lineRule="auto"/>
        <w:jc w:val="left"/>
        <w:rPr>
          <w:rFonts w:ascii="宋体" w:hAnsi="宋体" w:cs="宋体"/>
          <w:b/>
          <w:color w:val="auto"/>
          <w:szCs w:val="21"/>
          <w:highlight w:val="none"/>
        </w:rPr>
      </w:pPr>
    </w:p>
    <w:p w14:paraId="4CFD20BF">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r>
    </w:p>
    <w:p w14:paraId="5BBB3742">
      <w:pPr>
        <w:jc w:val="center"/>
        <w:rPr>
          <w:rFonts w:ascii="宋体" w:hAnsi="宋体" w:cs="宋体"/>
          <w:b/>
          <w:color w:val="auto"/>
          <w:sz w:val="44"/>
          <w:szCs w:val="44"/>
          <w:highlight w:val="none"/>
        </w:rPr>
      </w:pPr>
      <w:bookmarkStart w:id="87" w:name="_Hlk65853643"/>
      <w:r>
        <w:rPr>
          <w:rFonts w:hint="eastAsia" w:ascii="宋体" w:hAnsi="宋体" w:cs="宋体"/>
          <w:b/>
          <w:color w:val="auto"/>
          <w:sz w:val="44"/>
          <w:szCs w:val="44"/>
          <w:highlight w:val="none"/>
        </w:rPr>
        <w:t>授权委托书</w:t>
      </w:r>
    </w:p>
    <w:p w14:paraId="1EFE5C91">
      <w:pPr>
        <w:jc w:val="center"/>
        <w:rPr>
          <w:rFonts w:ascii="宋体" w:hAnsi="宋体" w:cs="宋体"/>
          <w:color w:val="auto"/>
          <w:sz w:val="44"/>
          <w:szCs w:val="44"/>
          <w:highlight w:val="none"/>
        </w:rPr>
      </w:pPr>
      <w:r>
        <w:rPr>
          <w:rFonts w:hint="eastAsia" w:ascii="宋体" w:hAnsi="宋体" w:cs="宋体"/>
          <w:color w:val="auto"/>
          <w:sz w:val="32"/>
          <w:szCs w:val="32"/>
          <w:highlight w:val="none"/>
        </w:rPr>
        <w:t>（如有委托时）</w:t>
      </w:r>
    </w:p>
    <w:p w14:paraId="71F0BFDC">
      <w:pPr>
        <w:spacing w:line="520" w:lineRule="exact"/>
        <w:rPr>
          <w:rFonts w:ascii="宋体" w:hAnsi="宋体" w:cs="宋体"/>
          <w:color w:val="auto"/>
          <w:sz w:val="32"/>
          <w:szCs w:val="32"/>
          <w:highlight w:val="none"/>
        </w:rPr>
      </w:pPr>
    </w:p>
    <w:p w14:paraId="1BC478C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1373507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sym w:font="Wingdings" w:char="00A8"/>
      </w:r>
      <w:r>
        <w:rPr>
          <w:rFonts w:hint="eastAsia" w:ascii="宋体" w:hAnsi="宋体" w:cs="仿宋_GB2312"/>
          <w:color w:val="auto"/>
          <w:sz w:val="24"/>
          <w:highlight w:val="none"/>
          <w:u w:val="single"/>
        </w:rPr>
        <w:t>法定代表人/</w:t>
      </w:r>
      <w:r>
        <w:rPr>
          <w:rFonts w:hint="eastAsia" w:ascii="宋体" w:hAnsi="宋体" w:cs="仿宋_GB2312"/>
          <w:color w:val="auto"/>
          <w:sz w:val="24"/>
          <w:highlight w:val="none"/>
          <w:u w:val="single"/>
          <w:lang w:eastAsia="zh-CN"/>
        </w:rPr>
        <w:t>□</w:t>
      </w:r>
      <w:r>
        <w:rPr>
          <w:rFonts w:hint="eastAsia" w:ascii="宋体" w:hAnsi="宋体" w:cs="仿宋_GB2312"/>
          <w:color w:val="auto"/>
          <w:sz w:val="24"/>
          <w:highlight w:val="none"/>
          <w:u w:val="single"/>
        </w:rPr>
        <w:t>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（项目名称_）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1160C18">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055CE16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3253EB4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C8CA55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575651E1">
      <w:pPr>
        <w:spacing w:line="360" w:lineRule="auto"/>
        <w:contextualSpacing/>
        <w:rPr>
          <w:rFonts w:ascii="宋体" w:hAnsi="宋体" w:cs="仿宋_GB2312"/>
          <w:color w:val="auto"/>
          <w:sz w:val="24"/>
          <w:highlight w:val="none"/>
        </w:rPr>
      </w:pPr>
    </w:p>
    <w:p w14:paraId="165C1735">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w:t>
      </w:r>
      <w:r>
        <w:rPr>
          <w:rFonts w:hint="eastAsia" w:ascii="宋体" w:hAnsi="宋体" w:cs="仿宋_GB2312"/>
          <w:color w:val="auto"/>
          <w:sz w:val="24"/>
          <w:highlight w:val="none"/>
        </w:rPr>
        <w:t xml:space="preserve">）：     法定代表人（签字）：                    </w:t>
      </w:r>
    </w:p>
    <w:p w14:paraId="22DEC3C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55D22002">
      <w:pPr>
        <w:spacing w:line="360" w:lineRule="auto"/>
        <w:contextualSpacing/>
        <w:rPr>
          <w:rFonts w:ascii="宋体" w:hAnsi="宋体" w:cs="仿宋_GB2312"/>
          <w:color w:val="auto"/>
          <w:sz w:val="24"/>
          <w:highlight w:val="none"/>
        </w:rPr>
      </w:pPr>
    </w:p>
    <w:p w14:paraId="7A964914">
      <w:pPr>
        <w:spacing w:line="360" w:lineRule="auto"/>
        <w:rPr>
          <w:rFonts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0DE79978">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63580450">
      <w:pPr>
        <w:spacing w:line="360" w:lineRule="auto"/>
        <w:contextualSpacing/>
        <w:rPr>
          <w:rFonts w:ascii="宋体" w:hAnsi="宋体" w:cs="仿宋_GB2312"/>
          <w:color w:val="auto"/>
          <w:sz w:val="24"/>
          <w:highlight w:val="none"/>
        </w:rPr>
      </w:pPr>
    </w:p>
    <w:p w14:paraId="04C8B993">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法定代表人必须在授权委托书上签字或者盖章，委托代理人必须在授权委托书上签字，</w:t>
      </w:r>
      <w:r>
        <w:rPr>
          <w:rFonts w:hint="eastAsia" w:ascii="宋体" w:hAnsi="宋体" w:cs="仿宋_GB2312"/>
          <w:b/>
          <w:color w:val="auto"/>
          <w:sz w:val="24"/>
          <w:highlight w:val="none"/>
        </w:rPr>
        <w:t>否则其响应文件按无效响应处理。</w:t>
      </w:r>
    </w:p>
    <w:p w14:paraId="63BEC250">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E8AAF1E">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bookmarkStart w:id="88" w:name="_Hlk65853109"/>
      <w:bookmarkStart w:id="89" w:name="_Hlk65853542"/>
      <w:r>
        <w:rPr>
          <w:rFonts w:hint="eastAsia" w:ascii="宋体" w:hAnsi="宋体" w:cs="仿宋_GB2312"/>
          <w:color w:val="auto"/>
          <w:sz w:val="24"/>
          <w:highlight w:val="none"/>
        </w:rPr>
        <w:t>法人、其他组织竞标时“我方”是指“我单位”，自然人竞标时“我方”是指“本人”。</w:t>
      </w:r>
      <w:bookmarkEnd w:id="88"/>
    </w:p>
    <w:bookmarkEnd w:id="89"/>
    <w:p w14:paraId="760E95DB">
      <w:pPr>
        <w:spacing w:line="360" w:lineRule="auto"/>
        <w:ind w:firstLine="420" w:firstLineChars="200"/>
        <w:jc w:val="center"/>
        <w:rPr>
          <w:rFonts w:ascii="宋体" w:hAnsi="宋体" w:cs="宋体"/>
          <w:bCs/>
          <w:color w:val="auto"/>
          <w:sz w:val="44"/>
          <w:szCs w:val="44"/>
          <w:highlight w:val="none"/>
        </w:rPr>
      </w:pPr>
      <w:r>
        <w:rPr>
          <w:rFonts w:hint="eastAsia" w:ascii="宋体" w:hAnsi="宋体" w:cs="宋体"/>
          <w:color w:val="auto"/>
          <w:szCs w:val="21"/>
          <w:highlight w:val="none"/>
        </w:rPr>
        <w:br w:type="page"/>
      </w:r>
      <w:bookmarkEnd w:id="87"/>
      <w:r>
        <w:rPr>
          <w:rFonts w:hint="eastAsia" w:ascii="宋体" w:hAnsi="宋体" w:cs="宋体"/>
          <w:b/>
          <w:bCs/>
          <w:color w:val="auto"/>
          <w:sz w:val="44"/>
          <w:szCs w:val="44"/>
          <w:highlight w:val="none"/>
        </w:rPr>
        <w:t>商务要求偏离表</w:t>
      </w:r>
      <w:r>
        <w:rPr>
          <w:rFonts w:hint="eastAsia" w:ascii="宋体" w:hAnsi="宋体" w:cs="宋体"/>
          <w:bCs/>
          <w:color w:val="auto"/>
          <w:sz w:val="44"/>
          <w:szCs w:val="44"/>
          <w:highlight w:val="none"/>
        </w:rPr>
        <w:t>（格式）</w:t>
      </w:r>
    </w:p>
    <w:p w14:paraId="433B6575">
      <w:pPr>
        <w:pStyle w:val="20"/>
        <w:spacing w:line="360" w:lineRule="auto"/>
        <w:contextualSpacing/>
        <w:rPr>
          <w:rFonts w:hAnsi="宋体" w:cs="仿宋_GB2312"/>
          <w:color w:val="auto"/>
          <w:sz w:val="24"/>
          <w:szCs w:val="24"/>
          <w:highlight w:val="none"/>
        </w:rPr>
      </w:pPr>
      <w:r>
        <w:rPr>
          <w:rFonts w:hint="eastAsia" w:hAnsi="宋体" w:cs="仿宋_GB2312"/>
          <w:color w:val="auto"/>
          <w:sz w:val="24"/>
          <w:szCs w:val="24"/>
          <w:highlight w:val="none"/>
        </w:rPr>
        <w:t>所竞分标：</w:t>
      </w:r>
    </w:p>
    <w:tbl>
      <w:tblPr>
        <w:tblStyle w:val="34"/>
        <w:tblpPr w:leftFromText="180" w:rightFromText="180" w:vertAnchor="text" w:horzAnchor="page" w:tblpX="1723" w:tblpY="93"/>
        <w:tblOverlap w:val="never"/>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43"/>
        <w:gridCol w:w="2866"/>
        <w:gridCol w:w="3274"/>
        <w:gridCol w:w="1562"/>
      </w:tblGrid>
      <w:tr w14:paraId="0A368C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1517C43F">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olor w:val="auto"/>
                <w:szCs w:val="21"/>
                <w:highlight w:val="none"/>
              </w:rPr>
              <w:t>项号</w:t>
            </w:r>
          </w:p>
        </w:tc>
        <w:tc>
          <w:tcPr>
            <w:tcW w:w="2866" w:type="dxa"/>
            <w:tcBorders>
              <w:top w:val="single" w:color="auto" w:sz="4" w:space="0"/>
              <w:left w:val="single" w:color="auto" w:sz="4" w:space="0"/>
              <w:bottom w:val="single" w:color="auto" w:sz="4" w:space="0"/>
              <w:right w:val="single" w:color="auto" w:sz="4" w:space="0"/>
            </w:tcBorders>
            <w:noWrap/>
            <w:vAlign w:val="center"/>
          </w:tcPr>
          <w:p w14:paraId="5AA2E36D">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磋商文件商务要求</w:t>
            </w:r>
          </w:p>
        </w:tc>
        <w:tc>
          <w:tcPr>
            <w:tcW w:w="3274" w:type="dxa"/>
            <w:tcBorders>
              <w:top w:val="single" w:color="auto" w:sz="4" w:space="0"/>
              <w:left w:val="single" w:color="auto" w:sz="4" w:space="0"/>
              <w:bottom w:val="single" w:color="auto" w:sz="4" w:space="0"/>
              <w:right w:val="single" w:color="auto" w:sz="4" w:space="0"/>
            </w:tcBorders>
            <w:noWrap/>
            <w:vAlign w:val="center"/>
          </w:tcPr>
          <w:p w14:paraId="2135FD37">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供应商的响应</w:t>
            </w:r>
          </w:p>
        </w:tc>
        <w:tc>
          <w:tcPr>
            <w:tcW w:w="1562" w:type="dxa"/>
            <w:tcBorders>
              <w:top w:val="single" w:color="auto" w:sz="4" w:space="0"/>
              <w:left w:val="single" w:color="auto" w:sz="4" w:space="0"/>
              <w:bottom w:val="single" w:color="auto" w:sz="4" w:space="0"/>
              <w:right w:val="single" w:color="auto" w:sz="4" w:space="0"/>
            </w:tcBorders>
            <w:noWrap/>
            <w:vAlign w:val="center"/>
          </w:tcPr>
          <w:p w14:paraId="64933C56">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偏离说明</w:t>
            </w:r>
          </w:p>
        </w:tc>
      </w:tr>
      <w:tr w14:paraId="12B35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192F8607">
            <w:pPr>
              <w:adjustRightInd w:val="0"/>
              <w:snapToGrid w:val="0"/>
              <w:spacing w:line="380" w:lineRule="exact"/>
              <w:jc w:val="center"/>
              <w:rPr>
                <w:rFonts w:ascii="宋体" w:hAnsi="宋体" w:cs="宋体"/>
                <w:color w:val="auto"/>
                <w:sz w:val="24"/>
                <w:highlight w:val="none"/>
              </w:rPr>
            </w:pPr>
            <w:r>
              <w:rPr>
                <w:rFonts w:hint="eastAsia" w:ascii="宋体" w:hAnsi="宋体" w:cs="宋体"/>
                <w:color w:val="auto"/>
                <w:sz w:val="24"/>
                <w:highlight w:val="none"/>
              </w:rPr>
              <w:t>一</w:t>
            </w:r>
          </w:p>
        </w:tc>
        <w:tc>
          <w:tcPr>
            <w:tcW w:w="2866" w:type="dxa"/>
            <w:tcBorders>
              <w:top w:val="single" w:color="auto" w:sz="4" w:space="0"/>
              <w:left w:val="single" w:color="auto" w:sz="4" w:space="0"/>
              <w:bottom w:val="single" w:color="auto" w:sz="4" w:space="0"/>
              <w:right w:val="single" w:color="auto" w:sz="4" w:space="0"/>
            </w:tcBorders>
            <w:noWrap/>
            <w:vAlign w:val="center"/>
          </w:tcPr>
          <w:p w14:paraId="16D28752">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45F8B28">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78634F66">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1C243AD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9F63AC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125E4B48">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64E23B8B">
            <w:pPr>
              <w:adjustRightInd w:val="0"/>
              <w:snapToGrid w:val="0"/>
              <w:spacing w:line="380" w:lineRule="exact"/>
              <w:contextualSpacing/>
              <w:jc w:val="center"/>
              <w:rPr>
                <w:rFonts w:ascii="宋体" w:hAnsi="宋体" w:cs="仿宋_GB2312"/>
                <w:color w:val="auto"/>
                <w:sz w:val="24"/>
                <w:highlight w:val="none"/>
              </w:rPr>
            </w:pPr>
          </w:p>
        </w:tc>
      </w:tr>
      <w:tr w14:paraId="7416D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69A882D6">
            <w:pPr>
              <w:adjustRightInd w:val="0"/>
              <w:snapToGrid w:val="0"/>
              <w:spacing w:line="380" w:lineRule="exact"/>
              <w:jc w:val="center"/>
              <w:rPr>
                <w:rFonts w:ascii="宋体" w:hAnsi="宋体" w:cs="宋体"/>
                <w:color w:val="auto"/>
                <w:sz w:val="24"/>
                <w:highlight w:val="none"/>
              </w:rPr>
            </w:pPr>
            <w:r>
              <w:rPr>
                <w:rFonts w:hint="eastAsia" w:ascii="宋体" w:hAnsi="宋体" w:cs="宋体"/>
                <w:color w:val="auto"/>
                <w:sz w:val="24"/>
                <w:highlight w:val="none"/>
              </w:rPr>
              <w:t>二</w:t>
            </w:r>
          </w:p>
        </w:tc>
        <w:tc>
          <w:tcPr>
            <w:tcW w:w="2866" w:type="dxa"/>
            <w:tcBorders>
              <w:top w:val="single" w:color="auto" w:sz="4" w:space="0"/>
              <w:left w:val="single" w:color="auto" w:sz="4" w:space="0"/>
              <w:bottom w:val="single" w:color="auto" w:sz="4" w:space="0"/>
              <w:right w:val="single" w:color="auto" w:sz="4" w:space="0"/>
            </w:tcBorders>
            <w:noWrap/>
            <w:vAlign w:val="center"/>
          </w:tcPr>
          <w:p w14:paraId="6070D8D9">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5B93989">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52540C6">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764900A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385F6C7D">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2F4DFB26">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4F0CDBC4">
            <w:pPr>
              <w:adjustRightInd w:val="0"/>
              <w:snapToGrid w:val="0"/>
              <w:spacing w:line="380" w:lineRule="exact"/>
              <w:contextualSpacing/>
              <w:jc w:val="center"/>
              <w:rPr>
                <w:rFonts w:ascii="宋体" w:hAnsi="宋体" w:cs="仿宋_GB2312"/>
                <w:color w:val="auto"/>
                <w:sz w:val="24"/>
                <w:highlight w:val="none"/>
              </w:rPr>
            </w:pPr>
          </w:p>
        </w:tc>
      </w:tr>
      <w:tr w14:paraId="10A2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75FD7AA8">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三</w:t>
            </w:r>
          </w:p>
        </w:tc>
        <w:tc>
          <w:tcPr>
            <w:tcW w:w="2866" w:type="dxa"/>
            <w:tcBorders>
              <w:top w:val="single" w:color="auto" w:sz="4" w:space="0"/>
              <w:left w:val="single" w:color="auto" w:sz="4" w:space="0"/>
              <w:bottom w:val="single" w:color="auto" w:sz="4" w:space="0"/>
              <w:right w:val="single" w:color="auto" w:sz="4" w:space="0"/>
            </w:tcBorders>
            <w:noWrap/>
            <w:vAlign w:val="center"/>
          </w:tcPr>
          <w:p w14:paraId="12D0449A">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D598D63">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96F3414">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39B97A9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3C4793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E2D4D29">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165E8D0F">
            <w:pPr>
              <w:adjustRightInd w:val="0"/>
              <w:snapToGrid w:val="0"/>
              <w:spacing w:line="380" w:lineRule="exact"/>
              <w:contextualSpacing/>
              <w:jc w:val="center"/>
              <w:rPr>
                <w:rFonts w:ascii="宋体" w:hAnsi="宋体" w:cs="仿宋_GB2312"/>
                <w:color w:val="auto"/>
                <w:sz w:val="24"/>
                <w:highlight w:val="none"/>
              </w:rPr>
            </w:pPr>
          </w:p>
        </w:tc>
      </w:tr>
      <w:tr w14:paraId="17C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6B4598D1">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四</w:t>
            </w:r>
          </w:p>
        </w:tc>
        <w:tc>
          <w:tcPr>
            <w:tcW w:w="2866" w:type="dxa"/>
            <w:tcBorders>
              <w:top w:val="single" w:color="auto" w:sz="4" w:space="0"/>
              <w:left w:val="single" w:color="auto" w:sz="4" w:space="0"/>
              <w:bottom w:val="single" w:color="auto" w:sz="4" w:space="0"/>
              <w:right w:val="single" w:color="auto" w:sz="4" w:space="0"/>
            </w:tcBorders>
            <w:noWrap/>
            <w:vAlign w:val="center"/>
          </w:tcPr>
          <w:p w14:paraId="1C672D8B">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5E774C1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59FDED24">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2F25012B">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212B0B8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20F26C5C">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75636551">
            <w:pPr>
              <w:adjustRightInd w:val="0"/>
              <w:snapToGrid w:val="0"/>
              <w:spacing w:line="380" w:lineRule="exact"/>
              <w:contextualSpacing/>
              <w:jc w:val="center"/>
              <w:rPr>
                <w:rFonts w:ascii="宋体" w:hAnsi="宋体" w:cs="仿宋_GB2312"/>
                <w:color w:val="auto"/>
                <w:sz w:val="24"/>
                <w:highlight w:val="none"/>
              </w:rPr>
            </w:pPr>
          </w:p>
        </w:tc>
      </w:tr>
      <w:tr w14:paraId="2B0F98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02E7B719">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五</w:t>
            </w:r>
          </w:p>
        </w:tc>
        <w:tc>
          <w:tcPr>
            <w:tcW w:w="2866" w:type="dxa"/>
            <w:tcBorders>
              <w:top w:val="single" w:color="auto" w:sz="4" w:space="0"/>
              <w:left w:val="single" w:color="auto" w:sz="4" w:space="0"/>
              <w:bottom w:val="single" w:color="auto" w:sz="4" w:space="0"/>
              <w:right w:val="single" w:color="auto" w:sz="4" w:space="0"/>
            </w:tcBorders>
            <w:noWrap/>
            <w:vAlign w:val="center"/>
          </w:tcPr>
          <w:p w14:paraId="1089268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2096D63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4AD73199">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5AA93B17">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4CF06E0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FF69B03">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2D15C762">
            <w:pPr>
              <w:adjustRightInd w:val="0"/>
              <w:snapToGrid w:val="0"/>
              <w:spacing w:line="380" w:lineRule="exact"/>
              <w:contextualSpacing/>
              <w:jc w:val="center"/>
              <w:rPr>
                <w:rFonts w:ascii="宋体" w:hAnsi="宋体" w:cs="仿宋_GB2312"/>
                <w:color w:val="auto"/>
                <w:sz w:val="24"/>
                <w:highlight w:val="none"/>
              </w:rPr>
            </w:pPr>
          </w:p>
        </w:tc>
      </w:tr>
      <w:tr w14:paraId="33984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0ABF5397">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olor w:val="auto"/>
                <w:sz w:val="24"/>
                <w:highlight w:val="none"/>
              </w:rPr>
              <w:t>…</w:t>
            </w:r>
            <w:r>
              <w:rPr>
                <w:rFonts w:ascii="宋体" w:hAnsi="宋体"/>
                <w:color w:val="auto"/>
                <w:sz w:val="24"/>
                <w:highlight w:val="none"/>
              </w:rPr>
              <w:t>…</w:t>
            </w:r>
          </w:p>
        </w:tc>
        <w:tc>
          <w:tcPr>
            <w:tcW w:w="2866" w:type="dxa"/>
            <w:tcBorders>
              <w:top w:val="single" w:color="auto" w:sz="4" w:space="0"/>
              <w:left w:val="single" w:color="auto" w:sz="4" w:space="0"/>
              <w:bottom w:val="single" w:color="auto" w:sz="4" w:space="0"/>
              <w:right w:val="single" w:color="auto" w:sz="4" w:space="0"/>
            </w:tcBorders>
            <w:noWrap/>
            <w:vAlign w:val="center"/>
          </w:tcPr>
          <w:p w14:paraId="4F182AA9">
            <w:pPr>
              <w:adjustRightInd w:val="0"/>
              <w:snapToGrid w:val="0"/>
              <w:spacing w:line="380" w:lineRule="exact"/>
              <w:rPr>
                <w:rFonts w:ascii="宋体" w:hAnsi="宋体" w:cs="仿宋_GB2312"/>
                <w:color w:val="auto"/>
                <w:highlight w:val="none"/>
              </w:rPr>
            </w:pPr>
          </w:p>
        </w:tc>
        <w:tc>
          <w:tcPr>
            <w:tcW w:w="3274" w:type="dxa"/>
            <w:tcBorders>
              <w:top w:val="single" w:color="auto" w:sz="4" w:space="0"/>
              <w:left w:val="single" w:color="auto" w:sz="4" w:space="0"/>
              <w:bottom w:val="single" w:color="auto" w:sz="4" w:space="0"/>
              <w:right w:val="single" w:color="auto" w:sz="4" w:space="0"/>
            </w:tcBorders>
            <w:noWrap/>
            <w:vAlign w:val="center"/>
          </w:tcPr>
          <w:p w14:paraId="18803D44">
            <w:pPr>
              <w:adjustRightInd w:val="0"/>
              <w:snapToGrid w:val="0"/>
              <w:spacing w:line="380" w:lineRule="exact"/>
              <w:rPr>
                <w:rFonts w:ascii="宋体" w:hAnsi="宋体" w:cs="仿宋_GB2312"/>
                <w:color w:val="auto"/>
                <w:highlight w:val="none"/>
              </w:rPr>
            </w:pPr>
          </w:p>
        </w:tc>
        <w:tc>
          <w:tcPr>
            <w:tcW w:w="1562" w:type="dxa"/>
            <w:tcBorders>
              <w:top w:val="single" w:color="auto" w:sz="4" w:space="0"/>
              <w:left w:val="single" w:color="auto" w:sz="4" w:space="0"/>
              <w:bottom w:val="single" w:color="auto" w:sz="4" w:space="0"/>
              <w:right w:val="single" w:color="auto" w:sz="4" w:space="0"/>
            </w:tcBorders>
            <w:noWrap/>
            <w:vAlign w:val="center"/>
          </w:tcPr>
          <w:p w14:paraId="29DD1BDF">
            <w:pPr>
              <w:adjustRightInd w:val="0"/>
              <w:snapToGrid w:val="0"/>
              <w:spacing w:line="380" w:lineRule="exact"/>
              <w:contextualSpacing/>
              <w:jc w:val="center"/>
              <w:rPr>
                <w:rFonts w:ascii="宋体" w:hAnsi="宋体" w:cs="仿宋_GB2312"/>
                <w:color w:val="auto"/>
                <w:sz w:val="24"/>
                <w:highlight w:val="none"/>
              </w:rPr>
            </w:pPr>
          </w:p>
        </w:tc>
      </w:tr>
    </w:tbl>
    <w:p w14:paraId="576597DA">
      <w:pPr>
        <w:spacing w:line="360" w:lineRule="auto"/>
        <w:contextualSpacing/>
        <w:jc w:val="left"/>
        <w:rPr>
          <w:rFonts w:hint="eastAsia" w:ascii="宋体" w:hAnsi="宋体"/>
          <w:color w:val="auto"/>
          <w:kern w:val="0"/>
          <w:sz w:val="24"/>
          <w:highlight w:val="none"/>
        </w:rPr>
      </w:pPr>
    </w:p>
    <w:p w14:paraId="68DF348D">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注：</w:t>
      </w:r>
    </w:p>
    <w:p w14:paraId="6FFE3F9C">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1. 说明：应对照磋商文件“第二章 采购需求”中的商务要求逐条作出明确响应，并作出偏离说明。</w:t>
      </w:r>
    </w:p>
    <w:p w14:paraId="44F98D31">
      <w:pPr>
        <w:spacing w:line="360" w:lineRule="auto"/>
        <w:contextualSpacing/>
        <w:jc w:val="left"/>
        <w:rPr>
          <w:rFonts w:ascii="宋体" w:hAnsi="宋体" w:cs="仿宋_GB2312"/>
          <w:color w:val="auto"/>
          <w:sz w:val="24"/>
          <w:highlight w:val="none"/>
          <w:u w:val="singl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36313C13">
      <w:pPr>
        <w:spacing w:line="360" w:lineRule="auto"/>
        <w:ind w:right="-817" w:rightChars="-389"/>
        <w:contextualSpacing/>
        <w:rPr>
          <w:rFonts w:ascii="宋体" w:hAnsi="宋体" w:cs="仿宋_GB2312"/>
          <w:color w:val="auto"/>
          <w:sz w:val="24"/>
          <w:highlight w:val="none"/>
        </w:rPr>
      </w:pPr>
    </w:p>
    <w:p w14:paraId="79DC6D98">
      <w:pPr>
        <w:spacing w:line="360" w:lineRule="auto"/>
        <w:ind w:firstLine="3840" w:firstLineChars="1600"/>
        <w:rPr>
          <w:rFonts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37801253">
      <w:pPr>
        <w:spacing w:line="360" w:lineRule="auto"/>
        <w:jc w:val="center"/>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日期：  年  月   日</w:t>
      </w:r>
    </w:p>
    <w:p w14:paraId="0C48EA7C">
      <w:pPr>
        <w:adjustRightInd w:val="0"/>
        <w:snapToGrid w:val="0"/>
        <w:spacing w:line="300" w:lineRule="auto"/>
        <w:rPr>
          <w:rFonts w:ascii="宋体" w:hAnsi="宋体"/>
          <w:color w:val="auto"/>
          <w:highlight w:val="none"/>
          <w:u w:val="single"/>
        </w:rPr>
      </w:pPr>
    </w:p>
    <w:p w14:paraId="351BD77E">
      <w:pPr>
        <w:adjustRightInd w:val="0"/>
        <w:snapToGrid w:val="0"/>
        <w:jc w:val="center"/>
        <w:rPr>
          <w:rFonts w:ascii="宋体" w:hAnsi="宋体" w:cs="宋体"/>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cs="宋体"/>
          <w:b/>
          <w:bCs w:val="0"/>
          <w:color w:val="auto"/>
          <w:sz w:val="44"/>
          <w:szCs w:val="44"/>
          <w:highlight w:val="none"/>
        </w:rPr>
        <w:t>技术</w:t>
      </w:r>
      <w:r>
        <w:rPr>
          <w:rFonts w:hint="eastAsia" w:ascii="宋体" w:hAnsi="宋体" w:cs="宋体"/>
          <w:b/>
          <w:bCs/>
          <w:color w:val="auto"/>
          <w:sz w:val="44"/>
          <w:szCs w:val="44"/>
          <w:highlight w:val="none"/>
        </w:rPr>
        <w:t>要求偏离表</w:t>
      </w:r>
      <w:r>
        <w:rPr>
          <w:rFonts w:hint="eastAsia" w:ascii="宋体" w:hAnsi="宋体" w:cs="宋体"/>
          <w:bCs/>
          <w:color w:val="auto"/>
          <w:sz w:val="44"/>
          <w:szCs w:val="44"/>
          <w:highlight w:val="none"/>
        </w:rPr>
        <w:t>（格式）</w:t>
      </w:r>
    </w:p>
    <w:p w14:paraId="5582DA74">
      <w:pPr>
        <w:spacing w:line="360" w:lineRule="auto"/>
        <w:contextualSpacing/>
        <w:rPr>
          <w:rFonts w:ascii="仿宋_GB2312" w:hAnsi="仿宋_GB2312" w:eastAsia="仿宋_GB2312" w:cs="仿宋_GB2312"/>
          <w:color w:val="auto"/>
          <w:sz w:val="32"/>
          <w:szCs w:val="32"/>
          <w:highlight w:val="none"/>
        </w:rPr>
      </w:pPr>
    </w:p>
    <w:p w14:paraId="51D5E9DD">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项目编号：</w:t>
      </w:r>
    </w:p>
    <w:p w14:paraId="34F3F07E">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项目名称：</w:t>
      </w:r>
    </w:p>
    <w:p w14:paraId="31F61C79">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分标号：</w:t>
      </w:r>
    </w:p>
    <w:tbl>
      <w:tblPr>
        <w:tblStyle w:val="34"/>
        <w:tblW w:w="4895"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41"/>
        <w:gridCol w:w="1201"/>
        <w:gridCol w:w="2835"/>
        <w:gridCol w:w="2791"/>
        <w:gridCol w:w="1525"/>
      </w:tblGrid>
      <w:tr w14:paraId="005CF0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08" w:type="pct"/>
            <w:vAlign w:val="center"/>
          </w:tcPr>
          <w:p w14:paraId="36F8CB12">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90" w:name="_Toc373333689"/>
            <w:bookmarkStart w:id="91" w:name="_Toc173066401"/>
            <w:bookmarkStart w:id="92" w:name="_Toc173211900"/>
            <w:bookmarkStart w:id="93" w:name="_Toc301781611"/>
            <w:bookmarkStart w:id="94" w:name="_Toc254970588"/>
            <w:bookmarkStart w:id="95" w:name="_Toc383699906"/>
            <w:bookmarkStart w:id="96" w:name="_Toc295404981"/>
            <w:bookmarkStart w:id="97" w:name="_Toc254970729"/>
            <w:bookmarkStart w:id="98" w:name="_Toc297193185"/>
            <w:r>
              <w:rPr>
                <w:rFonts w:hint="eastAsia" w:ascii="宋体" w:hAnsi="宋体" w:eastAsia="宋体"/>
                <w:color w:val="auto"/>
                <w:sz w:val="24"/>
                <w:szCs w:val="24"/>
                <w:highlight w:val="none"/>
              </w:rPr>
              <w:t>序号</w:t>
            </w:r>
            <w:bookmarkEnd w:id="90"/>
            <w:bookmarkEnd w:id="91"/>
            <w:bookmarkEnd w:id="92"/>
            <w:bookmarkEnd w:id="93"/>
            <w:bookmarkEnd w:id="94"/>
            <w:bookmarkEnd w:id="95"/>
            <w:bookmarkEnd w:id="96"/>
            <w:bookmarkEnd w:id="97"/>
            <w:bookmarkEnd w:id="98"/>
          </w:p>
        </w:tc>
        <w:tc>
          <w:tcPr>
            <w:tcW w:w="660" w:type="pct"/>
            <w:tcBorders>
              <w:right w:val="single" w:color="auto" w:sz="4" w:space="0"/>
            </w:tcBorders>
            <w:vAlign w:val="center"/>
          </w:tcPr>
          <w:p w14:paraId="6187CC7D">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标的名称</w:t>
            </w:r>
          </w:p>
        </w:tc>
        <w:tc>
          <w:tcPr>
            <w:tcW w:w="1558" w:type="pct"/>
            <w:tcBorders>
              <w:left w:val="single" w:color="auto" w:sz="4" w:space="0"/>
            </w:tcBorders>
            <w:vAlign w:val="center"/>
          </w:tcPr>
          <w:p w14:paraId="3D263E23">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磋商文件技术要求</w:t>
            </w:r>
          </w:p>
        </w:tc>
        <w:tc>
          <w:tcPr>
            <w:tcW w:w="1534" w:type="pct"/>
            <w:vAlign w:val="center"/>
          </w:tcPr>
          <w:p w14:paraId="7EB20402">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99" w:name="_Toc295404983"/>
            <w:bookmarkStart w:id="100" w:name="_Toc373333691"/>
            <w:bookmarkStart w:id="101" w:name="_Toc173211902"/>
            <w:bookmarkStart w:id="102" w:name="_Toc301781613"/>
            <w:bookmarkStart w:id="103" w:name="_Toc254970590"/>
            <w:bookmarkStart w:id="104" w:name="_Toc254970731"/>
            <w:bookmarkStart w:id="105" w:name="_Toc173066403"/>
            <w:bookmarkStart w:id="106" w:name="_Toc297193187"/>
            <w:bookmarkStart w:id="107" w:name="_Toc383699908"/>
            <w:r>
              <w:rPr>
                <w:rFonts w:hint="eastAsia" w:ascii="宋体" w:hAnsi="宋体" w:eastAsia="宋体"/>
                <w:color w:val="auto"/>
                <w:sz w:val="24"/>
                <w:szCs w:val="24"/>
                <w:highlight w:val="none"/>
              </w:rPr>
              <w:t>竞标响应</w:t>
            </w:r>
            <w:bookmarkEnd w:id="99"/>
            <w:bookmarkEnd w:id="100"/>
            <w:bookmarkEnd w:id="101"/>
            <w:bookmarkEnd w:id="102"/>
            <w:bookmarkEnd w:id="103"/>
            <w:bookmarkEnd w:id="104"/>
            <w:bookmarkEnd w:id="105"/>
            <w:bookmarkEnd w:id="106"/>
            <w:bookmarkEnd w:id="107"/>
          </w:p>
        </w:tc>
        <w:tc>
          <w:tcPr>
            <w:tcW w:w="838" w:type="pct"/>
            <w:vAlign w:val="center"/>
          </w:tcPr>
          <w:p w14:paraId="376F5D0C">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08" w:name="_Toc173211903"/>
            <w:bookmarkStart w:id="109" w:name="_Toc301781614"/>
            <w:bookmarkStart w:id="110" w:name="_Toc297193188"/>
            <w:bookmarkStart w:id="111" w:name="_Toc254970732"/>
            <w:bookmarkStart w:id="112" w:name="_Toc383699909"/>
            <w:bookmarkStart w:id="113" w:name="_Toc254970591"/>
            <w:bookmarkStart w:id="114" w:name="_Toc173066404"/>
            <w:bookmarkStart w:id="115" w:name="_Toc373333692"/>
            <w:bookmarkStart w:id="116" w:name="_Toc295404984"/>
            <w:r>
              <w:rPr>
                <w:rFonts w:hint="eastAsia" w:ascii="宋体" w:hAnsi="宋体" w:eastAsia="宋体"/>
                <w:color w:val="auto"/>
                <w:sz w:val="24"/>
                <w:szCs w:val="24"/>
                <w:highlight w:val="none"/>
              </w:rPr>
              <w:t>偏离</w:t>
            </w:r>
            <w:bookmarkEnd w:id="108"/>
            <w:bookmarkEnd w:id="109"/>
            <w:bookmarkEnd w:id="110"/>
            <w:bookmarkEnd w:id="111"/>
            <w:bookmarkEnd w:id="112"/>
            <w:bookmarkEnd w:id="113"/>
            <w:bookmarkEnd w:id="114"/>
            <w:bookmarkEnd w:id="115"/>
            <w:bookmarkEnd w:id="116"/>
            <w:bookmarkStart w:id="117" w:name="_Toc301781615"/>
            <w:bookmarkStart w:id="118" w:name="_Toc295404985"/>
            <w:bookmarkStart w:id="119" w:name="_Toc254970592"/>
            <w:bookmarkStart w:id="120" w:name="_Toc373333693"/>
            <w:bookmarkStart w:id="121" w:name="_Toc383699910"/>
            <w:bookmarkStart w:id="122" w:name="_Toc297193189"/>
            <w:bookmarkStart w:id="123" w:name="_Toc173211904"/>
            <w:bookmarkStart w:id="124" w:name="_Toc254970733"/>
            <w:bookmarkStart w:id="125" w:name="_Toc173066405"/>
            <w:r>
              <w:rPr>
                <w:rFonts w:hint="eastAsia" w:ascii="宋体" w:hAnsi="宋体" w:eastAsia="宋体"/>
                <w:color w:val="auto"/>
                <w:sz w:val="24"/>
                <w:szCs w:val="24"/>
                <w:highlight w:val="none"/>
              </w:rPr>
              <w:t>说明</w:t>
            </w:r>
            <w:bookmarkEnd w:id="117"/>
            <w:bookmarkEnd w:id="118"/>
            <w:bookmarkEnd w:id="119"/>
            <w:bookmarkEnd w:id="120"/>
            <w:bookmarkEnd w:id="121"/>
            <w:bookmarkEnd w:id="122"/>
            <w:bookmarkEnd w:id="123"/>
            <w:bookmarkEnd w:id="124"/>
            <w:bookmarkEnd w:id="125"/>
          </w:p>
        </w:tc>
      </w:tr>
      <w:tr w14:paraId="3A3298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08" w:type="pct"/>
            <w:vAlign w:val="center"/>
          </w:tcPr>
          <w:p w14:paraId="32740169">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26" w:name="_Toc254970734"/>
            <w:bookmarkStart w:id="127" w:name="_Toc373333694"/>
            <w:bookmarkStart w:id="128" w:name="_Toc173211905"/>
            <w:bookmarkStart w:id="129" w:name="_Toc301781616"/>
            <w:bookmarkStart w:id="130" w:name="_Toc254970593"/>
            <w:bookmarkStart w:id="131" w:name="_Toc297193190"/>
            <w:bookmarkStart w:id="132" w:name="_Toc173066406"/>
            <w:bookmarkStart w:id="133" w:name="_Toc295404986"/>
            <w:bookmarkStart w:id="134" w:name="_Toc383699911"/>
            <w:r>
              <w:rPr>
                <w:rFonts w:hint="eastAsia" w:ascii="宋体" w:hAnsi="宋体" w:eastAsia="宋体"/>
                <w:color w:val="auto"/>
                <w:sz w:val="24"/>
                <w:szCs w:val="24"/>
                <w:highlight w:val="none"/>
              </w:rPr>
              <w:t>1</w:t>
            </w:r>
            <w:bookmarkEnd w:id="126"/>
            <w:bookmarkEnd w:id="127"/>
            <w:bookmarkEnd w:id="128"/>
            <w:bookmarkEnd w:id="129"/>
            <w:bookmarkEnd w:id="130"/>
            <w:bookmarkEnd w:id="131"/>
            <w:bookmarkEnd w:id="132"/>
            <w:bookmarkEnd w:id="133"/>
            <w:bookmarkEnd w:id="134"/>
          </w:p>
        </w:tc>
        <w:tc>
          <w:tcPr>
            <w:tcW w:w="660" w:type="pct"/>
            <w:tcBorders>
              <w:right w:val="single" w:color="auto" w:sz="4" w:space="0"/>
            </w:tcBorders>
            <w:vAlign w:val="center"/>
          </w:tcPr>
          <w:p w14:paraId="0AC57022">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p>
        </w:tc>
        <w:tc>
          <w:tcPr>
            <w:tcW w:w="1558" w:type="pct"/>
            <w:tcBorders>
              <w:left w:val="single" w:color="auto" w:sz="4" w:space="0"/>
            </w:tcBorders>
            <w:vAlign w:val="center"/>
          </w:tcPr>
          <w:p w14:paraId="5E010572">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5418E561">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E0364F0">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1534" w:type="pct"/>
            <w:vAlign w:val="center"/>
          </w:tcPr>
          <w:p w14:paraId="45CB3AA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4C37A1D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5E96B64B">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838" w:type="pct"/>
            <w:vAlign w:val="center"/>
          </w:tcPr>
          <w:p w14:paraId="09217023">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p>
        </w:tc>
      </w:tr>
      <w:tr w14:paraId="7D7F3A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08" w:type="pct"/>
            <w:vAlign w:val="center"/>
          </w:tcPr>
          <w:p w14:paraId="08498112">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35" w:name="_Toc173211906"/>
            <w:bookmarkStart w:id="136" w:name="_Toc173066407"/>
            <w:bookmarkStart w:id="137" w:name="_Toc373333695"/>
            <w:bookmarkStart w:id="138" w:name="_Toc254970594"/>
            <w:bookmarkStart w:id="139" w:name="_Toc295404987"/>
            <w:bookmarkStart w:id="140" w:name="_Toc301781617"/>
            <w:bookmarkStart w:id="141" w:name="_Toc254970735"/>
            <w:bookmarkStart w:id="142" w:name="_Toc297193191"/>
            <w:bookmarkStart w:id="143" w:name="_Toc383699912"/>
            <w:r>
              <w:rPr>
                <w:rFonts w:hint="eastAsia" w:ascii="宋体" w:hAnsi="宋体" w:eastAsia="宋体"/>
                <w:color w:val="auto"/>
                <w:sz w:val="24"/>
                <w:szCs w:val="24"/>
                <w:highlight w:val="none"/>
              </w:rPr>
              <w:t>2</w:t>
            </w:r>
            <w:bookmarkEnd w:id="135"/>
            <w:bookmarkEnd w:id="136"/>
            <w:bookmarkEnd w:id="137"/>
            <w:bookmarkEnd w:id="138"/>
            <w:bookmarkEnd w:id="139"/>
            <w:bookmarkEnd w:id="140"/>
            <w:bookmarkEnd w:id="141"/>
            <w:bookmarkEnd w:id="142"/>
            <w:bookmarkEnd w:id="143"/>
          </w:p>
        </w:tc>
        <w:tc>
          <w:tcPr>
            <w:tcW w:w="660" w:type="pct"/>
            <w:tcBorders>
              <w:right w:val="single" w:color="auto" w:sz="4" w:space="0"/>
            </w:tcBorders>
            <w:vAlign w:val="center"/>
          </w:tcPr>
          <w:p w14:paraId="49EBA4F1">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p>
        </w:tc>
        <w:tc>
          <w:tcPr>
            <w:tcW w:w="1558" w:type="pct"/>
            <w:tcBorders>
              <w:left w:val="single" w:color="auto" w:sz="4" w:space="0"/>
            </w:tcBorders>
            <w:vAlign w:val="center"/>
          </w:tcPr>
          <w:p w14:paraId="4770242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0EF8F17">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5C40AE50">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1534" w:type="pct"/>
            <w:vAlign w:val="center"/>
          </w:tcPr>
          <w:p w14:paraId="428ACB2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7CED8A9">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0C1419A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838" w:type="pct"/>
            <w:vAlign w:val="center"/>
          </w:tcPr>
          <w:p w14:paraId="567372CA">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p>
        </w:tc>
      </w:tr>
      <w:tr w14:paraId="589A8E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408" w:type="pct"/>
            <w:vAlign w:val="center"/>
          </w:tcPr>
          <w:p w14:paraId="5292AA9B">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44" w:name="_Toc383699916"/>
            <w:bookmarkStart w:id="145" w:name="_Toc295404991"/>
            <w:bookmarkStart w:id="146" w:name="_Toc373333699"/>
            <w:bookmarkStart w:id="147" w:name="_Toc297193195"/>
            <w:bookmarkStart w:id="148" w:name="_Toc301781621"/>
            <w:bookmarkStart w:id="149" w:name="_Toc254970602"/>
            <w:bookmarkStart w:id="150" w:name="_Toc173211914"/>
            <w:bookmarkStart w:id="151" w:name="_Toc254970743"/>
            <w:bookmarkStart w:id="152" w:name="_Toc173066415"/>
            <w:r>
              <w:rPr>
                <w:rFonts w:hint="eastAsia" w:ascii="宋体" w:hAnsi="宋体" w:eastAsia="宋体"/>
                <w:color w:val="auto"/>
                <w:sz w:val="24"/>
                <w:szCs w:val="24"/>
                <w:highlight w:val="none"/>
              </w:rPr>
              <w:t>…</w:t>
            </w:r>
            <w:bookmarkEnd w:id="144"/>
            <w:bookmarkEnd w:id="145"/>
            <w:bookmarkEnd w:id="146"/>
            <w:bookmarkEnd w:id="147"/>
            <w:bookmarkEnd w:id="148"/>
            <w:bookmarkEnd w:id="149"/>
            <w:bookmarkEnd w:id="150"/>
            <w:bookmarkEnd w:id="151"/>
            <w:bookmarkEnd w:id="152"/>
            <w:r>
              <w:rPr>
                <w:rFonts w:ascii="宋体" w:hAnsi="宋体" w:eastAsia="宋体"/>
                <w:color w:val="auto"/>
                <w:sz w:val="24"/>
                <w:szCs w:val="24"/>
                <w:highlight w:val="none"/>
              </w:rPr>
              <w:t>…</w:t>
            </w:r>
          </w:p>
        </w:tc>
        <w:tc>
          <w:tcPr>
            <w:tcW w:w="660" w:type="pct"/>
            <w:tcBorders>
              <w:right w:val="single" w:color="auto" w:sz="4" w:space="0"/>
            </w:tcBorders>
            <w:vAlign w:val="center"/>
          </w:tcPr>
          <w:p w14:paraId="44B06885">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p>
        </w:tc>
        <w:tc>
          <w:tcPr>
            <w:tcW w:w="1558" w:type="pct"/>
            <w:tcBorders>
              <w:left w:val="single" w:color="auto" w:sz="4" w:space="0"/>
            </w:tcBorders>
            <w:vAlign w:val="center"/>
          </w:tcPr>
          <w:p w14:paraId="58B143B5">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03DC0D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6D4FF72A">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1534" w:type="pct"/>
            <w:vAlign w:val="center"/>
          </w:tcPr>
          <w:p w14:paraId="1566200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231214DD">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7B07F04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838" w:type="pct"/>
            <w:tcBorders>
              <w:right w:val="single" w:color="auto" w:sz="4" w:space="0"/>
            </w:tcBorders>
            <w:vAlign w:val="center"/>
          </w:tcPr>
          <w:p w14:paraId="45CDFD26">
            <w:pPr>
              <w:pStyle w:val="17"/>
              <w:adjustRightInd w:val="0"/>
              <w:snapToGrid w:val="0"/>
              <w:spacing w:line="380" w:lineRule="exact"/>
              <w:ind w:firstLine="0" w:firstLineChars="0"/>
              <w:contextualSpacing/>
              <w:jc w:val="center"/>
              <w:rPr>
                <w:rFonts w:ascii="宋体" w:hAnsi="宋体" w:eastAsia="宋体"/>
                <w:color w:val="auto"/>
                <w:sz w:val="24"/>
                <w:szCs w:val="24"/>
                <w:highlight w:val="none"/>
              </w:rPr>
            </w:pPr>
          </w:p>
        </w:tc>
      </w:tr>
    </w:tbl>
    <w:p w14:paraId="52571B59">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注：</w:t>
      </w:r>
    </w:p>
    <w:p w14:paraId="4103F366">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1. 说明：应对照磋商文件“第二章 采购需求”中的技术要求逐条作出明确响应，并作出偏离说明。</w:t>
      </w:r>
    </w:p>
    <w:p w14:paraId="2F857C4E">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当响应文件的技术响应内容低于竞争性磋商采购文件要求时，竞标人应当如实写明“负偏离”，否则视为虚假应标</w:t>
      </w:r>
    </w:p>
    <w:p w14:paraId="34D0237A">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3.供应商认为其竞标响应有正偏离的，请在技术要求偏离表中列明，且在响应文件中提供竞标产品的第三方检测报告复印件或产品生产厂家出具的技术白皮书或使用说明书等证明材料作为佐证。</w:t>
      </w:r>
    </w:p>
    <w:p w14:paraId="1B5059C0">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4.如技术需求偏离表中的竞标响应与佐证材料不一致的，以佐证材料为准。</w:t>
      </w:r>
    </w:p>
    <w:p w14:paraId="30C6C6DE">
      <w:pPr>
        <w:pStyle w:val="20"/>
        <w:spacing w:line="360" w:lineRule="auto"/>
        <w:contextualSpacing/>
        <w:rPr>
          <w:rFonts w:hAnsi="宋体" w:cs="仿宋_GB2312"/>
          <w:color w:val="auto"/>
          <w:sz w:val="24"/>
          <w:szCs w:val="24"/>
          <w:highlight w:val="none"/>
        </w:rPr>
      </w:pPr>
    </w:p>
    <w:p w14:paraId="47ED2B80">
      <w:pPr>
        <w:spacing w:line="360" w:lineRule="auto"/>
        <w:ind w:firstLine="3840" w:firstLineChars="16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7E4E08E">
      <w:pPr>
        <w:spacing w:line="360" w:lineRule="auto"/>
        <w:ind w:firstLine="480" w:firstLineChars="200"/>
        <w:contextualSpacing/>
        <w:jc w:val="right"/>
        <w:rPr>
          <w:rFonts w:ascii="宋体" w:hAnsi="宋体" w:cs="宋体"/>
          <w:color w:val="auto"/>
          <w:sz w:val="28"/>
          <w:szCs w:val="28"/>
          <w:highlight w:val="none"/>
        </w:rPr>
      </w:pPr>
      <w:r>
        <w:rPr>
          <w:rFonts w:hint="eastAsia" w:ascii="仿宋_GB2312" w:hAnsi="仿宋" w:eastAsia="仿宋_GB2312" w:cs="仿宋_GB2312"/>
          <w:color w:val="auto"/>
          <w:kern w:val="0"/>
          <w:sz w:val="24"/>
          <w:highlight w:val="none"/>
          <w:lang w:val="zh-CN"/>
        </w:rPr>
        <w:t>日期：  年  月   日</w:t>
      </w:r>
      <w:r>
        <w:rPr>
          <w:rFonts w:hint="eastAsia" w:ascii="宋体" w:hAnsi="宋体" w:cs="宋体"/>
          <w:color w:val="auto"/>
          <w:sz w:val="24"/>
          <w:highlight w:val="none"/>
        </w:rPr>
        <w:br w:type="page"/>
      </w:r>
    </w:p>
    <w:p w14:paraId="4F33E655">
      <w:pPr>
        <w:pStyle w:val="4"/>
        <w:rPr>
          <w:color w:val="auto"/>
          <w:highlight w:val="none"/>
        </w:rPr>
      </w:pPr>
      <w:bookmarkStart w:id="153" w:name="_Toc6820"/>
      <w:bookmarkStart w:id="154" w:name="_Toc32627"/>
      <w:bookmarkStart w:id="155" w:name="_Toc13096"/>
      <w:bookmarkStart w:id="156" w:name="_Toc23859"/>
      <w:r>
        <w:rPr>
          <w:rFonts w:hint="eastAsia"/>
          <w:color w:val="auto"/>
          <w:highlight w:val="none"/>
        </w:rPr>
        <w:t>三、报价文件格式</w:t>
      </w:r>
      <w:bookmarkEnd w:id="85"/>
      <w:bookmarkEnd w:id="86"/>
      <w:bookmarkEnd w:id="153"/>
      <w:bookmarkEnd w:id="154"/>
      <w:bookmarkEnd w:id="155"/>
      <w:bookmarkEnd w:id="156"/>
    </w:p>
    <w:p w14:paraId="0A666C4C">
      <w:pPr>
        <w:snapToGrid w:val="0"/>
        <w:spacing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43EA916C">
      <w:pPr>
        <w:snapToGrid w:val="0"/>
        <w:spacing w:beforeLines="50" w:after="50"/>
        <w:rPr>
          <w:rFonts w:ascii="宋体" w:hAnsi="宋体" w:cs="宋体"/>
          <w:color w:val="auto"/>
          <w:sz w:val="24"/>
          <w:szCs w:val="20"/>
          <w:highlight w:val="none"/>
        </w:rPr>
      </w:pPr>
    </w:p>
    <w:p w14:paraId="609D4EC6">
      <w:pPr>
        <w:pStyle w:val="2"/>
        <w:rPr>
          <w:color w:val="auto"/>
          <w:highlight w:val="none"/>
        </w:rPr>
      </w:pPr>
    </w:p>
    <w:p w14:paraId="0A2D8673">
      <w:pPr>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27882663">
      <w:pPr>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  价  文  件</w:t>
      </w:r>
    </w:p>
    <w:p w14:paraId="0F6EB301">
      <w:pPr>
        <w:snapToGrid w:val="0"/>
        <w:spacing w:beforeLines="50" w:after="50"/>
        <w:rPr>
          <w:rFonts w:ascii="宋体" w:hAnsi="宋体" w:cs="宋体"/>
          <w:bCs/>
          <w:color w:val="auto"/>
          <w:sz w:val="24"/>
          <w:szCs w:val="20"/>
          <w:highlight w:val="none"/>
        </w:rPr>
      </w:pPr>
    </w:p>
    <w:p w14:paraId="5A8231E1">
      <w:pPr>
        <w:snapToGrid w:val="0"/>
        <w:spacing w:beforeLines="50" w:after="50"/>
        <w:rPr>
          <w:rFonts w:ascii="宋体" w:hAnsi="宋体" w:cs="宋体"/>
          <w:bCs/>
          <w:color w:val="auto"/>
          <w:sz w:val="24"/>
          <w:szCs w:val="20"/>
          <w:highlight w:val="none"/>
        </w:rPr>
      </w:pPr>
    </w:p>
    <w:p w14:paraId="0E3E084C">
      <w:pPr>
        <w:snapToGrid w:val="0"/>
        <w:spacing w:beforeLines="50" w:after="50"/>
        <w:ind w:firstLine="2100" w:firstLineChars="875"/>
        <w:rPr>
          <w:rFonts w:ascii="宋体" w:hAnsi="宋体" w:cs="宋体"/>
          <w:bCs/>
          <w:color w:val="auto"/>
          <w:sz w:val="24"/>
          <w:szCs w:val="20"/>
          <w:highlight w:val="none"/>
        </w:rPr>
      </w:pPr>
    </w:p>
    <w:p w14:paraId="26840BD9">
      <w:pPr>
        <w:snapToGrid w:val="0"/>
        <w:spacing w:beforeLines="50" w:after="50"/>
        <w:ind w:firstLine="2100" w:firstLineChars="875"/>
        <w:rPr>
          <w:rFonts w:ascii="宋体" w:hAnsi="宋体" w:cs="宋体"/>
          <w:bCs/>
          <w:color w:val="auto"/>
          <w:sz w:val="24"/>
          <w:szCs w:val="20"/>
          <w:highlight w:val="none"/>
        </w:rPr>
      </w:pPr>
    </w:p>
    <w:p w14:paraId="0A54615B">
      <w:pPr>
        <w:snapToGrid w:val="0"/>
        <w:spacing w:beforeLines="50" w:after="50"/>
        <w:ind w:firstLine="2100" w:firstLineChars="875"/>
        <w:rPr>
          <w:rFonts w:ascii="宋体" w:hAnsi="宋体" w:cs="宋体"/>
          <w:bCs/>
          <w:color w:val="auto"/>
          <w:sz w:val="24"/>
          <w:szCs w:val="20"/>
          <w:highlight w:val="none"/>
        </w:rPr>
      </w:pPr>
    </w:p>
    <w:p w14:paraId="493A2DA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4AE42AF">
      <w:pPr>
        <w:snapToGrid w:val="0"/>
        <w:spacing w:beforeLines="50" w:after="50"/>
        <w:ind w:firstLine="2800" w:firstLineChars="875"/>
        <w:rPr>
          <w:rFonts w:ascii="宋体" w:hAnsi="宋体" w:cs="宋体"/>
          <w:bCs/>
          <w:color w:val="auto"/>
          <w:sz w:val="32"/>
          <w:szCs w:val="32"/>
          <w:highlight w:val="none"/>
        </w:rPr>
      </w:pPr>
    </w:p>
    <w:p w14:paraId="44462F67">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67E18ABA">
      <w:pPr>
        <w:snapToGrid w:val="0"/>
        <w:spacing w:beforeLines="50" w:after="50"/>
        <w:ind w:firstLine="2800" w:firstLineChars="875"/>
        <w:rPr>
          <w:rFonts w:ascii="宋体" w:hAnsi="宋体" w:cs="宋体"/>
          <w:bCs/>
          <w:color w:val="auto"/>
          <w:sz w:val="32"/>
          <w:szCs w:val="32"/>
          <w:highlight w:val="none"/>
        </w:rPr>
      </w:pPr>
    </w:p>
    <w:p w14:paraId="19B5B3AC">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w:t>
      </w:r>
    </w:p>
    <w:p w14:paraId="73F597B5">
      <w:pPr>
        <w:snapToGrid w:val="0"/>
        <w:spacing w:beforeLines="50" w:after="50"/>
        <w:ind w:firstLine="2800" w:firstLineChars="875"/>
        <w:rPr>
          <w:rFonts w:ascii="宋体" w:hAnsi="宋体" w:cs="宋体"/>
          <w:bCs/>
          <w:color w:val="auto"/>
          <w:sz w:val="32"/>
          <w:szCs w:val="32"/>
          <w:highlight w:val="none"/>
        </w:rPr>
      </w:pPr>
    </w:p>
    <w:p w14:paraId="724A4F81">
      <w:pPr>
        <w:pStyle w:val="8"/>
        <w:snapToGrid w:val="0"/>
        <w:spacing w:before="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3269AA6">
      <w:pPr>
        <w:pStyle w:val="8"/>
        <w:snapToGrid w:val="0"/>
        <w:spacing w:before="50" w:after="50"/>
        <w:ind w:firstLine="2800" w:firstLineChars="875"/>
        <w:rPr>
          <w:rFonts w:ascii="宋体" w:hAnsi="宋体" w:cs="宋体"/>
          <w:bCs/>
          <w:color w:val="auto"/>
          <w:sz w:val="32"/>
          <w:szCs w:val="32"/>
          <w:highlight w:val="none"/>
        </w:rPr>
      </w:pPr>
    </w:p>
    <w:p w14:paraId="3F699ACC">
      <w:pPr>
        <w:pStyle w:val="8"/>
        <w:snapToGrid w:val="0"/>
        <w:spacing w:before="50" w:after="50"/>
        <w:ind w:firstLine="720" w:firstLineChars="225"/>
        <w:rPr>
          <w:rFonts w:ascii="宋体" w:hAnsi="宋体" w:cs="宋体"/>
          <w:bCs/>
          <w:color w:val="auto"/>
          <w:sz w:val="32"/>
          <w:szCs w:val="32"/>
          <w:highlight w:val="none"/>
        </w:rPr>
      </w:pPr>
    </w:p>
    <w:p w14:paraId="5D06CACE">
      <w:pPr>
        <w:pStyle w:val="8"/>
        <w:snapToGrid w:val="0"/>
        <w:spacing w:before="50" w:after="50"/>
        <w:ind w:firstLine="1280" w:firstLineChars="400"/>
        <w:rPr>
          <w:rFonts w:ascii="宋体" w:hAnsi="宋体" w:cs="宋体"/>
          <w:bCs/>
          <w:color w:val="auto"/>
          <w:sz w:val="32"/>
          <w:szCs w:val="32"/>
          <w:highlight w:val="none"/>
        </w:rPr>
      </w:pPr>
    </w:p>
    <w:p w14:paraId="421D9564">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22BBC6B0">
      <w:pPr>
        <w:snapToGrid w:val="0"/>
        <w:spacing w:beforeLines="50" w:after="50" w:line="360" w:lineRule="auto"/>
        <w:ind w:left="142"/>
        <w:jc w:val="left"/>
        <w:rPr>
          <w:rFonts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2.报价文件目录</w:t>
      </w:r>
    </w:p>
    <w:p w14:paraId="489E101A">
      <w:pPr>
        <w:snapToGrid w:val="0"/>
        <w:spacing w:beforeLines="50" w:after="50" w:line="360"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9DAFD1E">
      <w:pPr>
        <w:spacing w:line="400" w:lineRule="exact"/>
        <w:rPr>
          <w:rFonts w:ascii="宋体" w:hAnsi="宋体" w:cs="宋体"/>
          <w:color w:val="auto"/>
          <w:sz w:val="32"/>
          <w:szCs w:val="32"/>
          <w:highlight w:val="none"/>
        </w:rPr>
      </w:pPr>
    </w:p>
    <w:p w14:paraId="79B54AD3">
      <w:pPr>
        <w:spacing w:line="360" w:lineRule="auto"/>
        <w:ind w:firstLine="880" w:firstLineChars="200"/>
        <w:contextualSpacing/>
        <w:jc w:val="center"/>
        <w:rPr>
          <w:rFonts w:ascii="宋体" w:hAnsi="宋体" w:cs="宋体"/>
          <w:color w:val="auto"/>
          <w:sz w:val="24"/>
          <w:highlight w:val="none"/>
        </w:rPr>
      </w:pPr>
      <w:r>
        <w:rPr>
          <w:rFonts w:hint="eastAsia" w:ascii="宋体" w:hAnsi="宋体" w:cs="宋体"/>
          <w:color w:val="auto"/>
          <w:sz w:val="44"/>
          <w:szCs w:val="44"/>
          <w:highlight w:val="none"/>
        </w:rPr>
        <w:br w:type="page"/>
      </w:r>
    </w:p>
    <w:p w14:paraId="31076D55">
      <w:pPr>
        <w:spacing w:line="360" w:lineRule="auto"/>
        <w:jc w:val="center"/>
        <w:rPr>
          <w:color w:val="auto"/>
          <w:kern w:val="0"/>
          <w:sz w:val="20"/>
          <w:szCs w:val="21"/>
          <w:highlight w:val="none"/>
        </w:rPr>
      </w:pPr>
      <w:r>
        <w:rPr>
          <w:rFonts w:hint="eastAsia"/>
          <w:b/>
          <w:bCs/>
          <w:color w:val="auto"/>
          <w:kern w:val="0"/>
          <w:sz w:val="30"/>
          <w:szCs w:val="30"/>
          <w:highlight w:val="none"/>
        </w:rPr>
        <w:t>响应函</w:t>
      </w:r>
    </w:p>
    <w:p w14:paraId="318085C7">
      <w:pPr>
        <w:spacing w:line="360" w:lineRule="auto"/>
        <w:rPr>
          <w:color w:val="auto"/>
          <w:kern w:val="0"/>
          <w:sz w:val="20"/>
          <w:szCs w:val="21"/>
          <w:highlight w:val="none"/>
        </w:rPr>
      </w:pPr>
      <w:r>
        <w:rPr>
          <w:rFonts w:hint="eastAsia"/>
          <w:color w:val="auto"/>
          <w:kern w:val="0"/>
          <w:sz w:val="20"/>
          <w:szCs w:val="21"/>
          <w:highlight w:val="none"/>
        </w:rPr>
        <w:t>致：</w:t>
      </w:r>
      <w:bookmarkStart w:id="157" w:name="PO_3000001871_PM031_6"/>
      <w:r>
        <w:rPr>
          <w:color w:val="auto"/>
          <w:kern w:val="0"/>
          <w:sz w:val="20"/>
          <w:szCs w:val="21"/>
          <w:highlight w:val="none"/>
          <w:u w:val="single"/>
        </w:rPr>
        <w:t>[</w:t>
      </w:r>
      <w:r>
        <w:rPr>
          <w:rFonts w:hint="eastAsia"/>
          <w:color w:val="auto"/>
          <w:kern w:val="0"/>
          <w:sz w:val="20"/>
          <w:szCs w:val="21"/>
          <w:highlight w:val="none"/>
          <w:u w:val="single"/>
        </w:rPr>
        <w:t>采购代理机构</w:t>
      </w:r>
      <w:r>
        <w:rPr>
          <w:color w:val="auto"/>
          <w:kern w:val="0"/>
          <w:sz w:val="20"/>
          <w:szCs w:val="21"/>
          <w:highlight w:val="none"/>
          <w:u w:val="single"/>
        </w:rPr>
        <w:t>_]</w:t>
      </w:r>
      <w:bookmarkEnd w:id="157"/>
    </w:p>
    <w:p w14:paraId="612FEDC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我方已仔细研究了</w:t>
      </w:r>
      <w:r>
        <w:rPr>
          <w:rFonts w:ascii="Arial" w:hAnsi="Arial" w:cs="Arial"/>
          <w:color w:val="auto"/>
          <w:szCs w:val="21"/>
          <w:highlight w:val="none"/>
          <w:u w:val="single"/>
        </w:rPr>
        <w:t>（项目名称）</w:t>
      </w:r>
      <w:r>
        <w:rPr>
          <w:rFonts w:ascii="Arial" w:hAnsi="Arial" w:cs="Arial"/>
          <w:color w:val="auto"/>
          <w:szCs w:val="21"/>
          <w:highlight w:val="none"/>
        </w:rPr>
        <w:t>的采购文件的全部内容，签字代表</w:t>
      </w:r>
      <w:r>
        <w:rPr>
          <w:rFonts w:ascii="Arial" w:hAnsi="Arial" w:cs="Arial"/>
          <w:color w:val="auto"/>
          <w:szCs w:val="21"/>
          <w:highlight w:val="none"/>
          <w:u w:val="single"/>
        </w:rPr>
        <w:t>（授权代表姓名）</w:t>
      </w:r>
      <w:r>
        <w:rPr>
          <w:rFonts w:ascii="Arial" w:hAnsi="Arial" w:cs="Arial"/>
          <w:color w:val="auto"/>
          <w:szCs w:val="21"/>
          <w:highlight w:val="none"/>
        </w:rPr>
        <w:t>经正式授权并代表供应商</w:t>
      </w:r>
      <w:r>
        <w:rPr>
          <w:rFonts w:ascii="Arial" w:hAnsi="Arial" w:cs="Arial"/>
          <w:color w:val="auto"/>
          <w:szCs w:val="21"/>
          <w:highlight w:val="none"/>
          <w:u w:val="single"/>
        </w:rPr>
        <w:t xml:space="preserve"> （供应商名称） </w:t>
      </w:r>
      <w:r>
        <w:rPr>
          <w:rFonts w:ascii="Arial" w:hAnsi="Arial" w:cs="Arial"/>
          <w:color w:val="auto"/>
          <w:szCs w:val="21"/>
          <w:highlight w:val="none"/>
        </w:rPr>
        <w:t>提交响应文件。</w:t>
      </w:r>
    </w:p>
    <w:p w14:paraId="0375DD0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据此函，签字代表宣布同意如下：</w:t>
      </w:r>
    </w:p>
    <w:p w14:paraId="532FCC69">
      <w:pPr>
        <w:spacing w:line="360" w:lineRule="auto"/>
        <w:rPr>
          <w:rFonts w:ascii="Arial" w:hAnsi="Arial" w:cs="Arial"/>
          <w:color w:val="auto"/>
          <w:szCs w:val="21"/>
          <w:highlight w:val="none"/>
        </w:rPr>
      </w:pPr>
      <w:r>
        <w:rPr>
          <w:rFonts w:ascii="Arial" w:hAnsi="Arial" w:cs="Arial"/>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7566D325">
      <w:pPr>
        <w:spacing w:line="360" w:lineRule="auto"/>
        <w:rPr>
          <w:rFonts w:ascii="Arial" w:hAnsi="Arial" w:cs="Arial"/>
          <w:color w:val="auto"/>
          <w:szCs w:val="21"/>
          <w:highlight w:val="none"/>
        </w:rPr>
      </w:pPr>
      <w:r>
        <w:rPr>
          <w:rFonts w:ascii="Arial" w:hAnsi="Arial" w:cs="Arial"/>
          <w:color w:val="auto"/>
          <w:szCs w:val="21"/>
          <w:highlight w:val="none"/>
        </w:rPr>
        <w:t>（2）供应商在响应之前已经与贵方进行了充分的沟通，完全理解并接受采购文件的各项规定和要求，对采购文件的合理性、合法性不再有异议。</w:t>
      </w:r>
    </w:p>
    <w:p w14:paraId="5B43D5A4">
      <w:pPr>
        <w:spacing w:line="360" w:lineRule="auto"/>
        <w:rPr>
          <w:rFonts w:ascii="Arial" w:hAnsi="Arial" w:cs="Arial"/>
          <w:color w:val="auto"/>
          <w:szCs w:val="21"/>
          <w:highlight w:val="none"/>
        </w:rPr>
      </w:pPr>
      <w:r>
        <w:rPr>
          <w:rFonts w:ascii="Arial" w:hAnsi="Arial" w:cs="Arial"/>
          <w:color w:val="auto"/>
          <w:szCs w:val="21"/>
          <w:highlight w:val="none"/>
        </w:rPr>
        <w:t>（3）本响应有效期自响应文件递交截止</w:t>
      </w:r>
      <w:r>
        <w:rPr>
          <w:rFonts w:hint="eastAsia" w:ascii="Arial" w:hAnsi="Arial" w:cs="Arial"/>
          <w:color w:val="auto"/>
          <w:szCs w:val="21"/>
          <w:highlight w:val="none"/>
          <w:lang w:eastAsia="zh-CN"/>
        </w:rPr>
        <w:t>之日起</w:t>
      </w:r>
      <w:r>
        <w:rPr>
          <w:rFonts w:ascii="Arial" w:hAnsi="Arial" w:cs="Arial"/>
          <w:color w:val="auto"/>
          <w:szCs w:val="21"/>
          <w:highlight w:val="none"/>
        </w:rPr>
        <w:t>（须不少于</w:t>
      </w:r>
      <w:r>
        <w:rPr>
          <w:rFonts w:hint="eastAsia" w:ascii="Arial" w:hAnsi="Arial" w:cs="Arial"/>
          <w:color w:val="auto"/>
          <w:szCs w:val="21"/>
          <w:highlight w:val="none"/>
          <w:lang w:val="en-US" w:eastAsia="zh-CN"/>
        </w:rPr>
        <w:t>6</w:t>
      </w:r>
      <w:r>
        <w:rPr>
          <w:rFonts w:ascii="Arial" w:hAnsi="Arial" w:cs="Arial"/>
          <w:color w:val="auto"/>
          <w:szCs w:val="21"/>
          <w:highlight w:val="none"/>
        </w:rPr>
        <w:t>0天）。</w:t>
      </w:r>
    </w:p>
    <w:p w14:paraId="21B778C2">
      <w:pPr>
        <w:spacing w:line="360" w:lineRule="auto"/>
        <w:rPr>
          <w:rFonts w:ascii="Arial" w:hAnsi="Arial" w:cs="Arial"/>
          <w:color w:val="auto"/>
          <w:szCs w:val="21"/>
          <w:highlight w:val="none"/>
        </w:rPr>
      </w:pPr>
      <w:r>
        <w:rPr>
          <w:rFonts w:ascii="Arial" w:hAnsi="Arial" w:cs="Arial"/>
          <w:color w:val="auto"/>
          <w:szCs w:val="21"/>
          <w:highlight w:val="none"/>
        </w:rPr>
        <w:t>（4）如成交，本响应文件至本项目合同履行完毕止均保持有效，本供应商将按“采购文件”及政府采购法律、法规的规定履行合同责任和义务，并承诺不分包及转包他人。</w:t>
      </w:r>
    </w:p>
    <w:p w14:paraId="625311D0">
      <w:pPr>
        <w:spacing w:line="360" w:lineRule="auto"/>
        <w:rPr>
          <w:rFonts w:ascii="Arial" w:hAnsi="Arial" w:cs="Arial"/>
          <w:color w:val="auto"/>
          <w:szCs w:val="21"/>
          <w:highlight w:val="none"/>
        </w:rPr>
      </w:pPr>
      <w:r>
        <w:rPr>
          <w:rFonts w:ascii="Arial" w:hAnsi="Arial" w:cs="Arial"/>
          <w:color w:val="auto"/>
          <w:szCs w:val="21"/>
          <w:highlight w:val="none"/>
        </w:rPr>
        <w:t>（5）供应商同意按照贵方要求提供与响应有关的一切数据或资料。</w:t>
      </w:r>
    </w:p>
    <w:p w14:paraId="5F1C295D">
      <w:pPr>
        <w:spacing w:line="360" w:lineRule="auto"/>
        <w:rPr>
          <w:rFonts w:ascii="Arial" w:hAnsi="Arial" w:cs="Arial"/>
          <w:color w:val="auto"/>
          <w:szCs w:val="21"/>
          <w:highlight w:val="none"/>
        </w:rPr>
      </w:pPr>
      <w:r>
        <w:rPr>
          <w:rFonts w:ascii="Arial" w:hAnsi="Arial" w:cs="Arial"/>
          <w:color w:val="auto"/>
          <w:szCs w:val="21"/>
          <w:highlight w:val="none"/>
        </w:rPr>
        <w:t>（6）与本项目有关的一切正式往来信函请寄：</w:t>
      </w:r>
    </w:p>
    <w:p w14:paraId="4F6B9D9A">
      <w:pPr>
        <w:spacing w:line="360" w:lineRule="auto"/>
        <w:rPr>
          <w:rFonts w:ascii="Arial" w:hAnsi="Arial" w:cs="Arial"/>
          <w:color w:val="auto"/>
          <w:szCs w:val="21"/>
          <w:highlight w:val="none"/>
        </w:rPr>
      </w:pPr>
      <w:r>
        <w:rPr>
          <w:rFonts w:ascii="Arial" w:hAnsi="Arial" w:cs="Arial"/>
          <w:color w:val="auto"/>
          <w:szCs w:val="21"/>
          <w:highlight w:val="none"/>
        </w:rPr>
        <w:t>地址：</w:t>
      </w:r>
      <w:r>
        <w:rPr>
          <w:rFonts w:hint="eastAsia" w:ascii="宋体" w:hAnsi="宋体" w:cs="仿宋_GB2312"/>
          <w:color w:val="auto"/>
          <w:sz w:val="24"/>
          <w:highlight w:val="none"/>
          <w:u w:val="single"/>
        </w:rPr>
        <w:t xml:space="preserve">      </w:t>
      </w:r>
      <w:r>
        <w:rPr>
          <w:rFonts w:ascii="Arial" w:hAnsi="Arial" w:cs="Arial"/>
          <w:color w:val="auto"/>
          <w:szCs w:val="21"/>
          <w:highlight w:val="none"/>
        </w:rPr>
        <w:t>邮编：</w:t>
      </w:r>
      <w:r>
        <w:rPr>
          <w:rFonts w:hint="eastAsia" w:ascii="宋体" w:hAnsi="宋体" w:cs="仿宋_GB2312"/>
          <w:color w:val="auto"/>
          <w:sz w:val="24"/>
          <w:highlight w:val="none"/>
          <w:u w:val="single"/>
        </w:rPr>
        <w:t xml:space="preserve">      </w:t>
      </w:r>
      <w:r>
        <w:rPr>
          <w:rFonts w:ascii="Arial" w:hAnsi="Arial" w:cs="Arial"/>
          <w:color w:val="auto"/>
          <w:szCs w:val="21"/>
          <w:highlight w:val="none"/>
        </w:rPr>
        <w:t xml:space="preserve">  电话：</w:t>
      </w:r>
      <w:r>
        <w:rPr>
          <w:rFonts w:hint="eastAsia" w:ascii="宋体" w:hAnsi="宋体" w:cs="仿宋_GB2312"/>
          <w:color w:val="auto"/>
          <w:sz w:val="24"/>
          <w:highlight w:val="none"/>
          <w:u w:val="single"/>
        </w:rPr>
        <w:t xml:space="preserve">      </w:t>
      </w:r>
    </w:p>
    <w:p w14:paraId="740F8DC8">
      <w:pPr>
        <w:spacing w:line="360" w:lineRule="auto"/>
        <w:rPr>
          <w:rFonts w:ascii="Arial" w:hAnsi="Arial" w:cs="Arial"/>
          <w:color w:val="auto"/>
          <w:szCs w:val="21"/>
          <w:highlight w:val="none"/>
        </w:rPr>
      </w:pPr>
      <w:r>
        <w:rPr>
          <w:rFonts w:ascii="Arial" w:hAnsi="Arial" w:cs="Arial"/>
          <w:color w:val="auto"/>
          <w:szCs w:val="21"/>
          <w:highlight w:val="none"/>
        </w:rPr>
        <w:t>传真：</w:t>
      </w:r>
      <w:r>
        <w:rPr>
          <w:rFonts w:hint="eastAsia" w:ascii="宋体" w:hAnsi="宋体" w:cs="仿宋_GB2312"/>
          <w:color w:val="auto"/>
          <w:sz w:val="24"/>
          <w:highlight w:val="none"/>
          <w:u w:val="single"/>
        </w:rPr>
        <w:t xml:space="preserve">      </w:t>
      </w:r>
    </w:p>
    <w:p w14:paraId="7664BBA8">
      <w:pPr>
        <w:spacing w:line="360" w:lineRule="auto"/>
        <w:rPr>
          <w:rFonts w:ascii="Arial" w:hAnsi="Arial" w:cs="Arial"/>
          <w:color w:val="auto"/>
          <w:szCs w:val="21"/>
          <w:highlight w:val="none"/>
        </w:rPr>
      </w:pPr>
      <w:r>
        <w:rPr>
          <w:rFonts w:ascii="Arial" w:hAnsi="Arial" w:cs="Arial"/>
          <w:color w:val="auto"/>
          <w:szCs w:val="21"/>
          <w:highlight w:val="none"/>
        </w:rPr>
        <w:t>供应商代表姓名</w:t>
      </w:r>
      <w:r>
        <w:rPr>
          <w:rFonts w:hint="eastAsia" w:ascii="宋体" w:hAnsi="宋体" w:cs="仿宋_GB2312"/>
          <w:color w:val="auto"/>
          <w:sz w:val="24"/>
          <w:highlight w:val="none"/>
          <w:u w:val="single"/>
        </w:rPr>
        <w:t xml:space="preserve">      </w:t>
      </w:r>
      <w:r>
        <w:rPr>
          <w:rFonts w:ascii="Arial" w:hAnsi="Arial" w:cs="Arial"/>
          <w:color w:val="auto"/>
          <w:szCs w:val="21"/>
          <w:highlight w:val="none"/>
        </w:rPr>
        <w:t>职务：</w:t>
      </w:r>
      <w:r>
        <w:rPr>
          <w:rFonts w:hint="eastAsia" w:ascii="宋体" w:hAnsi="宋体" w:cs="仿宋_GB2312"/>
          <w:color w:val="auto"/>
          <w:sz w:val="24"/>
          <w:highlight w:val="none"/>
          <w:u w:val="single"/>
        </w:rPr>
        <w:t xml:space="preserve">      </w:t>
      </w:r>
      <w:r>
        <w:rPr>
          <w:rFonts w:ascii="Arial" w:hAnsi="Arial" w:cs="Arial"/>
          <w:color w:val="auto"/>
          <w:szCs w:val="21"/>
          <w:highlight w:val="none"/>
        </w:rPr>
        <w:t>邮箱：</w:t>
      </w:r>
      <w:r>
        <w:rPr>
          <w:rFonts w:hint="eastAsia" w:ascii="宋体" w:hAnsi="宋体" w:cs="仿宋_GB2312"/>
          <w:color w:val="auto"/>
          <w:sz w:val="24"/>
          <w:highlight w:val="none"/>
          <w:u w:val="single"/>
        </w:rPr>
        <w:t xml:space="preserve">      </w:t>
      </w:r>
    </w:p>
    <w:p w14:paraId="71CA56C7">
      <w:pPr>
        <w:spacing w:line="360" w:lineRule="auto"/>
        <w:rPr>
          <w:rFonts w:ascii="Arial" w:hAnsi="Arial" w:cs="Arial"/>
          <w:color w:val="auto"/>
          <w:szCs w:val="21"/>
          <w:highlight w:val="none"/>
        </w:rPr>
      </w:pPr>
    </w:p>
    <w:p w14:paraId="369C1969">
      <w:pPr>
        <w:spacing w:line="360" w:lineRule="auto"/>
        <w:rPr>
          <w:rFonts w:ascii="Arial" w:hAnsi="Arial" w:cs="Arial"/>
          <w:color w:val="auto"/>
          <w:szCs w:val="21"/>
          <w:highlight w:val="none"/>
        </w:rPr>
      </w:pPr>
    </w:p>
    <w:p w14:paraId="0874C8CE">
      <w:pPr>
        <w:spacing w:line="360" w:lineRule="auto"/>
        <w:rPr>
          <w:rFonts w:ascii="Arial" w:hAnsi="Arial" w:cs="Arial"/>
          <w:color w:val="auto"/>
          <w:szCs w:val="21"/>
          <w:highlight w:val="none"/>
          <w:u w:val="single"/>
        </w:rPr>
      </w:pPr>
      <w:r>
        <w:rPr>
          <w:rFonts w:ascii="Arial" w:hAnsi="Arial" w:cs="Arial"/>
          <w:color w:val="auto"/>
          <w:szCs w:val="21"/>
          <w:highlight w:val="none"/>
        </w:rPr>
        <w:t>供应商名称(电子签章)：</w:t>
      </w:r>
    </w:p>
    <w:p w14:paraId="23954AA4">
      <w:pPr>
        <w:spacing w:line="360" w:lineRule="auto"/>
        <w:rPr>
          <w:rFonts w:ascii="Arial" w:hAnsi="Arial" w:cs="Arial"/>
          <w:color w:val="auto"/>
          <w:szCs w:val="21"/>
          <w:highlight w:val="none"/>
        </w:rPr>
      </w:pPr>
    </w:p>
    <w:p w14:paraId="702DF2C6">
      <w:pPr>
        <w:spacing w:line="360" w:lineRule="auto"/>
        <w:rPr>
          <w:rFonts w:ascii="Arial" w:hAnsi="Arial" w:cs="Arial"/>
          <w:color w:val="auto"/>
          <w:szCs w:val="21"/>
          <w:highlight w:val="none"/>
        </w:rPr>
      </w:pPr>
    </w:p>
    <w:p w14:paraId="26CEA1BF">
      <w:pPr>
        <w:spacing w:line="360" w:lineRule="auto"/>
        <w:rPr>
          <w:rFonts w:ascii="Arial" w:hAnsi="Arial" w:cs="Arial"/>
          <w:color w:val="auto"/>
          <w:szCs w:val="21"/>
          <w:highlight w:val="none"/>
        </w:rPr>
      </w:pPr>
      <w:r>
        <w:rPr>
          <w:rFonts w:ascii="Arial" w:hAnsi="Arial" w:cs="Arial"/>
          <w:color w:val="auto"/>
          <w:szCs w:val="21"/>
          <w:highlight w:val="none"/>
        </w:rPr>
        <w:t>日期：年月日</w:t>
      </w:r>
    </w:p>
    <w:p w14:paraId="3B6143F9">
      <w:pPr>
        <w:rPr>
          <w:rFonts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2C6CFA3C">
      <w:pPr>
        <w:jc w:val="center"/>
        <w:rPr>
          <w:rFonts w:ascii="宋体" w:hAnsi="宋体" w:cs="宋体"/>
          <w:b/>
          <w:bCs/>
          <w:color w:val="auto"/>
          <w:sz w:val="32"/>
          <w:szCs w:val="32"/>
          <w:highlight w:val="none"/>
        </w:rPr>
      </w:pPr>
      <w:r>
        <w:rPr>
          <w:rFonts w:hint="eastAsia" w:ascii="宋体" w:hAnsi="宋体" w:cs="宋体"/>
          <w:b/>
          <w:bCs/>
          <w:color w:val="auto"/>
          <w:sz w:val="44"/>
          <w:szCs w:val="44"/>
          <w:highlight w:val="none"/>
        </w:rPr>
        <w:t>响应报价表</w:t>
      </w:r>
    </w:p>
    <w:p w14:paraId="02B81992">
      <w:pPr>
        <w:spacing w:line="440" w:lineRule="exact"/>
        <w:jc w:val="center"/>
        <w:rPr>
          <w:rFonts w:ascii="宋体" w:hAnsi="宋体" w:cs="宋体"/>
          <w:bCs/>
          <w:color w:val="auto"/>
          <w:sz w:val="32"/>
          <w:szCs w:val="32"/>
          <w:highlight w:val="none"/>
        </w:rPr>
      </w:pPr>
    </w:p>
    <w:p w14:paraId="6180D17A">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项目名称：  </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项目编号：</w:t>
      </w:r>
    </w:p>
    <w:p w14:paraId="040B6825">
      <w:pPr>
        <w:snapToGrid w:val="0"/>
        <w:spacing w:before="50" w:after="50" w:line="360" w:lineRule="auto"/>
        <w:rPr>
          <w:rFonts w:ascii="宋体" w:hAnsi="宋体" w:cs="仿宋_GB2312"/>
          <w:color w:val="auto"/>
          <w:sz w:val="24"/>
          <w:highlight w:val="none"/>
          <w:u w:val="single"/>
        </w:rPr>
      </w:pPr>
      <w:r>
        <w:rPr>
          <w:rFonts w:hint="eastAsia" w:ascii="宋体" w:hAnsi="宋体" w:cs="仿宋_GB2312"/>
          <w:color w:val="auto"/>
          <w:sz w:val="24"/>
          <w:highlight w:val="none"/>
        </w:rPr>
        <w:t>供应商名称：</w:t>
      </w:r>
    </w:p>
    <w:p w14:paraId="6A2E0B56">
      <w:pPr>
        <w:pStyle w:val="20"/>
        <w:spacing w:line="360" w:lineRule="auto"/>
        <w:contextualSpacing/>
        <w:rPr>
          <w:rFonts w:hAnsi="宋体" w:cs="仿宋_GB2312"/>
          <w:color w:val="auto"/>
          <w:sz w:val="24"/>
          <w:highlight w:val="none"/>
          <w:u w:val="single"/>
        </w:rPr>
      </w:pPr>
      <w:r>
        <w:rPr>
          <w:rFonts w:hint="eastAsia" w:hAnsi="宋体" w:cs="仿宋_GB2312"/>
          <w:color w:val="auto"/>
          <w:sz w:val="24"/>
          <w:szCs w:val="24"/>
          <w:highlight w:val="none"/>
        </w:rPr>
        <w:t>所竞</w:t>
      </w:r>
      <w:r>
        <w:rPr>
          <w:rFonts w:hint="eastAsia" w:hAnsi="宋体" w:cs="仿宋_GB2312"/>
          <w:color w:val="auto"/>
          <w:sz w:val="24"/>
          <w:szCs w:val="24"/>
          <w:highlight w:val="none"/>
          <w:lang w:eastAsia="zh-CN"/>
        </w:rPr>
        <w:t>标的</w:t>
      </w:r>
      <w:r>
        <w:rPr>
          <w:rFonts w:hint="eastAsia" w:hAnsi="宋体" w:cs="仿宋_GB2312"/>
          <w:color w:val="auto"/>
          <w:sz w:val="24"/>
          <w:szCs w:val="24"/>
          <w:highlight w:val="none"/>
        </w:rPr>
        <w:t>：</w:t>
      </w:r>
    </w:p>
    <w:tbl>
      <w:tblPr>
        <w:tblStyle w:val="34"/>
        <w:tblW w:w="887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
        <w:gridCol w:w="1968"/>
        <w:gridCol w:w="2895"/>
        <w:gridCol w:w="2338"/>
        <w:gridCol w:w="1290"/>
      </w:tblGrid>
      <w:tr w14:paraId="7A49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381" w:type="dxa"/>
            <w:tcBorders>
              <w:top w:val="single" w:color="auto" w:sz="4" w:space="0"/>
              <w:left w:val="single" w:color="auto" w:sz="4" w:space="0"/>
              <w:bottom w:val="single" w:color="auto" w:sz="4" w:space="0"/>
              <w:right w:val="single" w:color="auto" w:sz="4" w:space="0"/>
            </w:tcBorders>
            <w:noWrap/>
            <w:vAlign w:val="center"/>
          </w:tcPr>
          <w:p w14:paraId="6A7056DF">
            <w:pPr>
              <w:jc w:val="center"/>
              <w:rPr>
                <w:rFonts w:ascii="宋体" w:hAnsi="宋体" w:cs="宋体"/>
                <w:color w:val="auto"/>
                <w:sz w:val="24"/>
                <w:highlight w:val="none"/>
              </w:rPr>
            </w:pPr>
            <w:r>
              <w:rPr>
                <w:rFonts w:hint="eastAsia" w:ascii="宋体" w:hAnsi="宋体" w:cs="宋体"/>
                <w:color w:val="auto"/>
                <w:sz w:val="24"/>
                <w:highlight w:val="none"/>
              </w:rPr>
              <w:t>序号</w:t>
            </w:r>
          </w:p>
        </w:tc>
        <w:tc>
          <w:tcPr>
            <w:tcW w:w="1968" w:type="dxa"/>
            <w:tcBorders>
              <w:top w:val="single" w:color="auto" w:sz="4" w:space="0"/>
              <w:left w:val="single" w:color="auto" w:sz="4" w:space="0"/>
              <w:bottom w:val="single" w:color="auto" w:sz="4" w:space="0"/>
              <w:right w:val="single" w:color="auto" w:sz="4" w:space="0"/>
            </w:tcBorders>
            <w:noWrap/>
            <w:vAlign w:val="center"/>
          </w:tcPr>
          <w:p w14:paraId="540DBE5C">
            <w:pPr>
              <w:jc w:val="center"/>
              <w:rPr>
                <w:rFonts w:ascii="宋体" w:hAnsi="宋体" w:cs="宋体"/>
                <w:color w:val="auto"/>
                <w:sz w:val="24"/>
                <w:highlight w:val="none"/>
              </w:rPr>
            </w:pPr>
            <w:r>
              <w:rPr>
                <w:rFonts w:hint="eastAsia" w:ascii="宋体" w:hAnsi="宋体" w:cs="宋体"/>
                <w:color w:val="auto"/>
                <w:sz w:val="24"/>
                <w:highlight w:val="none"/>
              </w:rPr>
              <w:t>标的的名称</w:t>
            </w:r>
          </w:p>
        </w:tc>
        <w:tc>
          <w:tcPr>
            <w:tcW w:w="2895" w:type="dxa"/>
            <w:tcBorders>
              <w:top w:val="single" w:color="auto" w:sz="4" w:space="0"/>
              <w:left w:val="single" w:color="auto" w:sz="4" w:space="0"/>
              <w:bottom w:val="single" w:color="auto" w:sz="4" w:space="0"/>
              <w:right w:val="single" w:color="auto" w:sz="4" w:space="0"/>
            </w:tcBorders>
            <w:noWrap/>
            <w:vAlign w:val="center"/>
          </w:tcPr>
          <w:p w14:paraId="3B13D418">
            <w:pPr>
              <w:jc w:val="center"/>
              <w:rPr>
                <w:rFonts w:ascii="宋体" w:hAnsi="宋体" w:cs="宋体"/>
                <w:color w:val="auto"/>
                <w:sz w:val="24"/>
                <w:highlight w:val="none"/>
              </w:rPr>
            </w:pPr>
            <w:r>
              <w:rPr>
                <w:rFonts w:hint="eastAsia" w:ascii="宋体" w:hAnsi="宋体" w:cs="宋体"/>
                <w:color w:val="auto"/>
                <w:sz w:val="24"/>
                <w:highlight w:val="none"/>
                <w:lang w:eastAsia="zh-CN"/>
              </w:rPr>
              <w:t>下浮系数</w:t>
            </w:r>
            <w:r>
              <w:rPr>
                <w:rFonts w:hint="eastAsia" w:ascii="宋体" w:hAnsi="宋体" w:cs="宋体"/>
                <w:color w:val="auto"/>
                <w:sz w:val="24"/>
                <w:highlight w:val="none"/>
              </w:rPr>
              <w:t>（%）</w:t>
            </w:r>
          </w:p>
        </w:tc>
        <w:tc>
          <w:tcPr>
            <w:tcW w:w="2338" w:type="dxa"/>
            <w:tcBorders>
              <w:top w:val="single" w:color="auto" w:sz="4" w:space="0"/>
              <w:left w:val="single" w:color="auto" w:sz="4" w:space="0"/>
              <w:bottom w:val="single" w:color="auto" w:sz="4" w:space="0"/>
              <w:right w:val="single" w:color="auto" w:sz="4" w:space="0"/>
            </w:tcBorders>
            <w:noWrap/>
            <w:vAlign w:val="center"/>
          </w:tcPr>
          <w:p w14:paraId="0C312C0D">
            <w:pPr>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技术服务要求</w:t>
            </w:r>
          </w:p>
        </w:tc>
        <w:tc>
          <w:tcPr>
            <w:tcW w:w="1290" w:type="dxa"/>
            <w:tcBorders>
              <w:top w:val="single" w:color="auto" w:sz="4" w:space="0"/>
              <w:left w:val="single" w:color="auto" w:sz="4" w:space="0"/>
              <w:bottom w:val="single" w:color="auto" w:sz="4" w:space="0"/>
              <w:right w:val="single" w:color="auto" w:sz="4" w:space="0"/>
            </w:tcBorders>
            <w:noWrap/>
            <w:vAlign w:val="center"/>
          </w:tcPr>
          <w:p w14:paraId="1A02E93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10A2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0" w:hRule="atLeast"/>
        </w:trPr>
        <w:tc>
          <w:tcPr>
            <w:tcW w:w="381" w:type="dxa"/>
            <w:tcBorders>
              <w:top w:val="single" w:color="auto" w:sz="4" w:space="0"/>
              <w:left w:val="single" w:color="auto" w:sz="4" w:space="0"/>
              <w:right w:val="single" w:color="auto" w:sz="4" w:space="0"/>
            </w:tcBorders>
            <w:noWrap/>
            <w:vAlign w:val="center"/>
          </w:tcPr>
          <w:p w14:paraId="718B157F">
            <w:pPr>
              <w:jc w:val="center"/>
              <w:rPr>
                <w:rFonts w:ascii="宋体" w:hAnsi="宋体" w:cs="宋体"/>
                <w:color w:val="auto"/>
                <w:sz w:val="24"/>
                <w:highlight w:val="none"/>
              </w:rPr>
            </w:pPr>
            <w:r>
              <w:rPr>
                <w:rFonts w:hint="eastAsia" w:ascii="宋体" w:hAnsi="宋体" w:cs="宋体"/>
                <w:color w:val="auto"/>
                <w:sz w:val="24"/>
                <w:highlight w:val="none"/>
              </w:rPr>
              <w:t>1</w:t>
            </w:r>
          </w:p>
        </w:tc>
        <w:tc>
          <w:tcPr>
            <w:tcW w:w="1968" w:type="dxa"/>
            <w:tcBorders>
              <w:top w:val="single" w:color="auto" w:sz="4" w:space="0"/>
              <w:left w:val="single" w:color="auto" w:sz="4" w:space="0"/>
              <w:right w:val="single" w:color="auto" w:sz="4" w:space="0"/>
            </w:tcBorders>
            <w:noWrap/>
            <w:vAlign w:val="center"/>
          </w:tcPr>
          <w:p w14:paraId="6DE5DD68">
            <w:pPr>
              <w:jc w:val="center"/>
              <w:rPr>
                <w:rFonts w:ascii="宋体" w:hAnsi="宋体" w:cs="宋体"/>
                <w:color w:val="auto"/>
                <w:sz w:val="24"/>
                <w:highlight w:val="none"/>
              </w:rPr>
            </w:pPr>
          </w:p>
        </w:tc>
        <w:tc>
          <w:tcPr>
            <w:tcW w:w="2895" w:type="dxa"/>
            <w:tcBorders>
              <w:top w:val="single" w:color="auto" w:sz="4" w:space="0"/>
              <w:left w:val="single" w:color="auto" w:sz="4" w:space="0"/>
              <w:right w:val="single" w:color="auto" w:sz="4" w:space="0"/>
            </w:tcBorders>
            <w:noWrap/>
            <w:vAlign w:val="center"/>
          </w:tcPr>
          <w:p w14:paraId="6760C90D">
            <w:pPr>
              <w:pStyle w:val="2"/>
              <w:rPr>
                <w:color w:val="auto"/>
                <w:szCs w:val="21"/>
                <w:highlight w:val="none"/>
              </w:rPr>
            </w:pPr>
          </w:p>
        </w:tc>
        <w:tc>
          <w:tcPr>
            <w:tcW w:w="2338" w:type="dxa"/>
            <w:tcBorders>
              <w:top w:val="single" w:color="auto" w:sz="4" w:space="0"/>
              <w:left w:val="single" w:color="auto" w:sz="4" w:space="0"/>
              <w:right w:val="single" w:color="auto" w:sz="4" w:space="0"/>
            </w:tcBorders>
            <w:noWrap/>
            <w:vAlign w:val="center"/>
          </w:tcPr>
          <w:p w14:paraId="3D391C02">
            <w:pPr>
              <w:jc w:val="center"/>
              <w:rPr>
                <w:rFonts w:ascii="宋体" w:hAnsi="宋体" w:cs="宋体"/>
                <w:color w:val="auto"/>
                <w:sz w:val="24"/>
                <w:highlight w:val="none"/>
              </w:rPr>
            </w:pPr>
          </w:p>
        </w:tc>
        <w:tc>
          <w:tcPr>
            <w:tcW w:w="1290" w:type="dxa"/>
            <w:tcBorders>
              <w:top w:val="single" w:color="auto" w:sz="4" w:space="0"/>
              <w:left w:val="single" w:color="auto" w:sz="4" w:space="0"/>
              <w:bottom w:val="single" w:color="auto" w:sz="4" w:space="0"/>
              <w:right w:val="single" w:color="auto" w:sz="4" w:space="0"/>
            </w:tcBorders>
            <w:noWrap/>
            <w:vAlign w:val="center"/>
          </w:tcPr>
          <w:p w14:paraId="34F22E0A">
            <w:pPr>
              <w:jc w:val="center"/>
              <w:rPr>
                <w:rFonts w:ascii="宋体" w:hAnsi="宋体" w:cs="宋体"/>
                <w:color w:val="auto"/>
                <w:sz w:val="24"/>
                <w:highlight w:val="none"/>
              </w:rPr>
            </w:pPr>
          </w:p>
        </w:tc>
      </w:tr>
      <w:tr w14:paraId="3C75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872" w:type="dxa"/>
            <w:gridSpan w:val="5"/>
            <w:tcBorders>
              <w:top w:val="single" w:color="auto" w:sz="4" w:space="0"/>
              <w:left w:val="single" w:color="auto" w:sz="4" w:space="0"/>
              <w:bottom w:val="single" w:color="auto" w:sz="4" w:space="0"/>
              <w:right w:val="single" w:color="auto" w:sz="4" w:space="0"/>
            </w:tcBorders>
            <w:noWrap/>
            <w:vAlign w:val="center"/>
          </w:tcPr>
          <w:p w14:paraId="1061A615">
            <w:pPr>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下浮系数</w:t>
            </w:r>
            <w:r>
              <w:rPr>
                <w:rFonts w:hint="eastAsia" w:ascii="宋体" w:hAnsi="宋体" w:eastAsia="宋体" w:cs="宋体"/>
                <w:color w:val="auto"/>
                <w:sz w:val="24"/>
                <w:highlight w:val="none"/>
                <w:lang w:eastAsia="zh-CN"/>
              </w:rPr>
              <w:t>：（大写）百分之                     （            %）</w:t>
            </w:r>
          </w:p>
        </w:tc>
      </w:tr>
      <w:tr w14:paraId="57A8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872" w:type="dxa"/>
            <w:gridSpan w:val="5"/>
            <w:tcBorders>
              <w:top w:val="single" w:color="auto" w:sz="4" w:space="0"/>
              <w:left w:val="single" w:color="auto" w:sz="4" w:space="0"/>
              <w:bottom w:val="single" w:color="auto" w:sz="4" w:space="0"/>
              <w:right w:val="single" w:color="auto" w:sz="4" w:space="0"/>
            </w:tcBorders>
            <w:noWrap/>
            <w:vAlign w:val="center"/>
          </w:tcPr>
          <w:p w14:paraId="3F25D4D3">
            <w:pPr>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服务期限：</w:t>
            </w:r>
          </w:p>
        </w:tc>
      </w:tr>
    </w:tbl>
    <w:p w14:paraId="271C6D7D">
      <w:pPr>
        <w:snapToGrid w:val="0"/>
        <w:spacing w:before="50" w:after="50"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注： </w:t>
      </w:r>
    </w:p>
    <w:p w14:paraId="21E4E310">
      <w:pPr>
        <w:snapToGrid w:val="0"/>
        <w:spacing w:before="50" w:after="50" w:line="360" w:lineRule="auto"/>
        <w:ind w:firstLine="480" w:firstLineChars="200"/>
        <w:rPr>
          <w:rFonts w:ascii="宋体" w:hAnsi="宋体"/>
          <w:color w:val="auto"/>
          <w:sz w:val="24"/>
          <w:highlight w:val="none"/>
        </w:rPr>
      </w:pPr>
      <w:r>
        <w:rPr>
          <w:rFonts w:hint="eastAsia" w:ascii="宋体" w:hAnsi="宋体"/>
          <w:color w:val="auto"/>
          <w:sz w:val="24"/>
          <w:highlight w:val="none"/>
        </w:rPr>
        <w:t>1供应商需按本表格式填写，不得自行更改，也不得留空</w:t>
      </w:r>
      <w:r>
        <w:rPr>
          <w:rFonts w:hint="eastAsia" w:ascii="宋体" w:hAnsi="宋体"/>
          <w:color w:val="auto"/>
          <w:sz w:val="24"/>
          <w:highlight w:val="none"/>
          <w:lang w:eastAsia="zh-CN"/>
        </w:rPr>
        <w:t>，</w:t>
      </w:r>
      <w:r>
        <w:rPr>
          <w:rFonts w:hint="eastAsia" w:ascii="宋体" w:hAnsi="宋体"/>
          <w:color w:val="auto"/>
          <w:sz w:val="24"/>
          <w:highlight w:val="none"/>
        </w:rPr>
        <w:t xml:space="preserve"> 如有多分标，按分标分别提供响应报价表。</w:t>
      </w:r>
    </w:p>
    <w:p w14:paraId="129019AC">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23879CA6">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3C79469A">
      <w:pPr>
        <w:rPr>
          <w:rFonts w:ascii="宋体" w:hAnsi="宋体" w:cs="仿宋_GB2312"/>
          <w:color w:val="auto"/>
          <w:sz w:val="24"/>
          <w:highlight w:val="none"/>
        </w:rPr>
      </w:pPr>
      <w:r>
        <w:rPr>
          <w:rFonts w:ascii="宋体" w:hAnsi="宋体" w:cs="仿宋_GB2312"/>
          <w:color w:val="auto"/>
          <w:sz w:val="24"/>
          <w:highlight w:val="none"/>
        </w:rPr>
        <w:br w:type="page"/>
      </w:r>
    </w:p>
    <w:p w14:paraId="6873A8A9">
      <w:pPr>
        <w:rPr>
          <w:color w:val="auto"/>
          <w:highlight w:val="none"/>
        </w:rPr>
      </w:pPr>
    </w:p>
    <w:p w14:paraId="75523AA0">
      <w:pPr>
        <w:pStyle w:val="3"/>
        <w:spacing w:before="0" w:after="0" w:line="460" w:lineRule="exact"/>
        <w:jc w:val="center"/>
        <w:rPr>
          <w:rFonts w:ascii="宋体" w:hAnsi="宋体" w:cs="宋体"/>
          <w:color w:val="auto"/>
          <w:highlight w:val="none"/>
        </w:rPr>
      </w:pPr>
      <w:bookmarkStart w:id="158" w:name="_Toc1250"/>
      <w:bookmarkStart w:id="159" w:name="_Toc29051"/>
      <w:bookmarkStart w:id="160" w:name="_Toc13208"/>
      <w:bookmarkStart w:id="161" w:name="_Toc21458"/>
      <w:bookmarkStart w:id="162" w:name="_Toc13977"/>
      <w:r>
        <w:rPr>
          <w:rFonts w:hint="eastAsia" w:ascii="宋体" w:hAnsi="宋体" w:cs="宋体"/>
          <w:color w:val="auto"/>
          <w:highlight w:val="none"/>
        </w:rPr>
        <w:t>第六章 合同主要条款格式</w:t>
      </w:r>
      <w:bookmarkEnd w:id="158"/>
      <w:bookmarkEnd w:id="159"/>
      <w:bookmarkEnd w:id="160"/>
      <w:bookmarkEnd w:id="161"/>
      <w:bookmarkEnd w:id="162"/>
    </w:p>
    <w:p w14:paraId="416B0861">
      <w:pPr>
        <w:pStyle w:val="20"/>
        <w:jc w:val="center"/>
        <w:rPr>
          <w:rFonts w:hAnsi="宋体" w:cs="宋体"/>
          <w:b/>
          <w:color w:val="auto"/>
          <w:sz w:val="52"/>
          <w:szCs w:val="52"/>
          <w:highlight w:val="none"/>
        </w:rPr>
      </w:pPr>
    </w:p>
    <w:p w14:paraId="4EBED2FB">
      <w:pPr>
        <w:pStyle w:val="20"/>
        <w:jc w:val="center"/>
        <w:rPr>
          <w:rFonts w:hAnsi="宋体" w:cs="宋体"/>
          <w:b/>
          <w:color w:val="auto"/>
          <w:sz w:val="52"/>
          <w:szCs w:val="52"/>
          <w:highlight w:val="none"/>
        </w:rPr>
      </w:pPr>
      <w:r>
        <w:rPr>
          <w:rFonts w:hint="eastAsia" w:hAnsi="宋体" w:cs="宋体"/>
          <w:b/>
          <w:color w:val="auto"/>
          <w:sz w:val="52"/>
          <w:szCs w:val="52"/>
          <w:highlight w:val="none"/>
        </w:rPr>
        <w:t>广西壮族自治区政府采购合同</w:t>
      </w:r>
    </w:p>
    <w:p w14:paraId="3689B11C">
      <w:pPr>
        <w:pStyle w:val="20"/>
        <w:rPr>
          <w:rFonts w:hAnsi="宋体" w:cs="宋体"/>
          <w:color w:val="auto"/>
          <w:highlight w:val="none"/>
        </w:rPr>
      </w:pPr>
    </w:p>
    <w:p w14:paraId="011EBCF6">
      <w:pPr>
        <w:pStyle w:val="33"/>
        <w:ind w:firstLine="344"/>
        <w:rPr>
          <w:rFonts w:hAnsi="宋体" w:cs="宋体"/>
          <w:color w:val="auto"/>
          <w:highlight w:val="none"/>
        </w:rPr>
      </w:pPr>
    </w:p>
    <w:p w14:paraId="518780E3">
      <w:pPr>
        <w:tabs>
          <w:tab w:val="left" w:pos="721"/>
          <w:tab w:val="left" w:pos="7920"/>
        </w:tabs>
        <w:snapToGrid w:val="0"/>
        <w:spacing w:line="360" w:lineRule="exact"/>
        <w:ind w:firstLine="1306" w:firstLineChars="500"/>
        <w:rPr>
          <w:rFonts w:ascii="宋体" w:hAnsi="宋体" w:cs="宋体"/>
          <w:b/>
          <w:color w:val="auto"/>
          <w:spacing w:val="-20"/>
          <w:sz w:val="30"/>
          <w:szCs w:val="30"/>
          <w:highlight w:val="none"/>
        </w:rPr>
      </w:pPr>
    </w:p>
    <w:p w14:paraId="768CF920">
      <w:pPr>
        <w:tabs>
          <w:tab w:val="left" w:pos="721"/>
          <w:tab w:val="left" w:pos="7920"/>
        </w:tabs>
        <w:snapToGrid w:val="0"/>
        <w:spacing w:line="360" w:lineRule="exact"/>
        <w:ind w:firstLine="784" w:firstLineChars="300"/>
        <w:rPr>
          <w:rFonts w:ascii="宋体" w:hAnsi="宋体" w:cs="宋体"/>
          <w:b/>
          <w:color w:val="auto"/>
          <w:sz w:val="30"/>
          <w:szCs w:val="30"/>
          <w:highlight w:val="none"/>
        </w:rPr>
      </w:pPr>
      <w:r>
        <w:rPr>
          <w:rFonts w:hint="eastAsia" w:ascii="宋体" w:hAnsi="宋体" w:cs="宋体"/>
          <w:b/>
          <w:color w:val="auto"/>
          <w:spacing w:val="-20"/>
          <w:sz w:val="30"/>
          <w:szCs w:val="30"/>
          <w:highlight w:val="none"/>
        </w:rPr>
        <w:t>合 同 名 称：</w:t>
      </w:r>
    </w:p>
    <w:p w14:paraId="2EC5C0ED">
      <w:pPr>
        <w:tabs>
          <w:tab w:val="left" w:pos="721"/>
        </w:tabs>
        <w:snapToGrid w:val="0"/>
        <w:spacing w:line="360" w:lineRule="exact"/>
        <w:rPr>
          <w:rFonts w:ascii="宋体" w:hAnsi="宋体" w:cs="宋体"/>
          <w:b/>
          <w:color w:val="auto"/>
          <w:spacing w:val="-20"/>
          <w:sz w:val="30"/>
          <w:szCs w:val="30"/>
          <w:highlight w:val="none"/>
        </w:rPr>
      </w:pPr>
    </w:p>
    <w:p w14:paraId="25CE98B4">
      <w:pPr>
        <w:tabs>
          <w:tab w:val="left" w:pos="721"/>
        </w:tabs>
        <w:snapToGrid w:val="0"/>
        <w:spacing w:line="360" w:lineRule="exact"/>
        <w:ind w:firstLine="1306" w:firstLineChars="500"/>
        <w:rPr>
          <w:rFonts w:ascii="宋体" w:hAnsi="宋体" w:cs="宋体"/>
          <w:b/>
          <w:color w:val="auto"/>
          <w:spacing w:val="-20"/>
          <w:sz w:val="30"/>
          <w:szCs w:val="30"/>
          <w:highlight w:val="none"/>
        </w:rPr>
      </w:pPr>
    </w:p>
    <w:p w14:paraId="59952ACD">
      <w:pPr>
        <w:tabs>
          <w:tab w:val="left" w:pos="721"/>
        </w:tabs>
        <w:snapToGrid w:val="0"/>
        <w:spacing w:line="360" w:lineRule="exact"/>
        <w:ind w:firstLine="784" w:firstLineChars="300"/>
        <w:rPr>
          <w:rFonts w:ascii="宋体" w:hAnsi="宋体" w:cs="宋体"/>
          <w:b/>
          <w:color w:val="auto"/>
          <w:sz w:val="30"/>
          <w:szCs w:val="30"/>
          <w:highlight w:val="none"/>
          <w:u w:val="single"/>
        </w:rPr>
      </w:pPr>
      <w:r>
        <w:rPr>
          <w:rFonts w:hint="eastAsia" w:ascii="宋体" w:hAnsi="宋体" w:cs="宋体"/>
          <w:b/>
          <w:color w:val="auto"/>
          <w:spacing w:val="-20"/>
          <w:sz w:val="30"/>
          <w:szCs w:val="30"/>
          <w:highlight w:val="none"/>
        </w:rPr>
        <w:t>合 同 编 号：</w:t>
      </w:r>
    </w:p>
    <w:p w14:paraId="32DA2688">
      <w:pPr>
        <w:tabs>
          <w:tab w:val="left" w:pos="721"/>
        </w:tabs>
        <w:snapToGrid w:val="0"/>
        <w:spacing w:line="360" w:lineRule="exact"/>
        <w:rPr>
          <w:rFonts w:ascii="宋体" w:hAnsi="宋体" w:cs="宋体"/>
          <w:b/>
          <w:color w:val="auto"/>
          <w:sz w:val="30"/>
          <w:szCs w:val="30"/>
          <w:highlight w:val="none"/>
        </w:rPr>
      </w:pPr>
    </w:p>
    <w:p w14:paraId="40A526EA">
      <w:pPr>
        <w:tabs>
          <w:tab w:val="left" w:pos="721"/>
        </w:tabs>
        <w:snapToGrid w:val="0"/>
        <w:spacing w:line="360" w:lineRule="exact"/>
        <w:ind w:firstLine="1355" w:firstLineChars="450"/>
        <w:rPr>
          <w:rFonts w:ascii="宋体" w:hAnsi="宋体" w:cs="宋体"/>
          <w:b/>
          <w:color w:val="auto"/>
          <w:sz w:val="30"/>
          <w:szCs w:val="30"/>
          <w:highlight w:val="none"/>
        </w:rPr>
      </w:pPr>
    </w:p>
    <w:p w14:paraId="2EC060A8">
      <w:pPr>
        <w:tabs>
          <w:tab w:val="left" w:pos="721"/>
        </w:tabs>
        <w:snapToGrid w:val="0"/>
        <w:spacing w:line="360" w:lineRule="exact"/>
        <w:ind w:firstLine="904" w:firstLineChars="300"/>
        <w:rPr>
          <w:rFonts w:ascii="宋体" w:hAnsi="宋体" w:cs="宋体"/>
          <w:b/>
          <w:color w:val="auto"/>
          <w:sz w:val="30"/>
          <w:szCs w:val="30"/>
          <w:highlight w:val="none"/>
          <w:u w:val="single"/>
        </w:rPr>
      </w:pPr>
      <w:r>
        <w:rPr>
          <w:rFonts w:hint="eastAsia" w:ascii="宋体" w:hAnsi="宋体" w:cs="宋体"/>
          <w:b/>
          <w:color w:val="auto"/>
          <w:sz w:val="30"/>
          <w:szCs w:val="30"/>
          <w:highlight w:val="none"/>
        </w:rPr>
        <w:t>采购单位（甲方）</w:t>
      </w:r>
      <w:r>
        <w:rPr>
          <w:rFonts w:hint="eastAsia" w:ascii="宋体" w:hAnsi="宋体" w:cs="宋体"/>
          <w:b/>
          <w:color w:val="auto"/>
          <w:sz w:val="30"/>
          <w:szCs w:val="30"/>
          <w:highlight w:val="none"/>
          <w:u w:val="single"/>
          <w:lang w:eastAsia="zh-CN"/>
        </w:rPr>
        <w:t>钦州市第二人民医院</w:t>
      </w:r>
      <w:r>
        <w:rPr>
          <w:rFonts w:hint="eastAsia" w:ascii="宋体" w:hAnsi="宋体" w:cs="宋体"/>
          <w:b/>
          <w:color w:val="auto"/>
          <w:sz w:val="30"/>
          <w:szCs w:val="30"/>
          <w:highlight w:val="none"/>
          <w:u w:val="single"/>
        </w:rPr>
        <w:t xml:space="preserve">   </w:t>
      </w:r>
    </w:p>
    <w:p w14:paraId="04A22659">
      <w:pPr>
        <w:tabs>
          <w:tab w:val="left" w:pos="721"/>
        </w:tabs>
        <w:snapToGrid w:val="0"/>
        <w:spacing w:beforeLines="100" w:line="360" w:lineRule="exact"/>
        <w:ind w:firstLine="904" w:firstLineChars="300"/>
        <w:rPr>
          <w:rFonts w:ascii="宋体" w:hAnsi="宋体" w:cs="宋体"/>
          <w:b/>
          <w:color w:val="auto"/>
          <w:sz w:val="30"/>
          <w:szCs w:val="30"/>
          <w:highlight w:val="none"/>
        </w:rPr>
      </w:pPr>
      <w:r>
        <w:rPr>
          <w:rFonts w:hint="eastAsia" w:ascii="宋体" w:hAnsi="宋体" w:cs="宋体"/>
          <w:b/>
          <w:color w:val="auto"/>
          <w:sz w:val="30"/>
          <w:szCs w:val="30"/>
          <w:highlight w:val="none"/>
        </w:rPr>
        <w:t>住  所：</w:t>
      </w:r>
    </w:p>
    <w:p w14:paraId="6DFCE87E">
      <w:pPr>
        <w:tabs>
          <w:tab w:val="left" w:pos="721"/>
        </w:tabs>
        <w:snapToGrid w:val="0"/>
        <w:spacing w:line="360" w:lineRule="exact"/>
        <w:ind w:firstLine="1355" w:firstLineChars="450"/>
        <w:rPr>
          <w:rFonts w:ascii="宋体" w:hAnsi="宋体" w:cs="宋体"/>
          <w:b/>
          <w:color w:val="auto"/>
          <w:sz w:val="30"/>
          <w:szCs w:val="30"/>
          <w:highlight w:val="none"/>
        </w:rPr>
      </w:pPr>
    </w:p>
    <w:p w14:paraId="24E124E7">
      <w:pPr>
        <w:tabs>
          <w:tab w:val="left" w:pos="721"/>
        </w:tabs>
        <w:snapToGrid w:val="0"/>
        <w:spacing w:line="360" w:lineRule="exact"/>
        <w:ind w:firstLine="1355" w:firstLineChars="450"/>
        <w:rPr>
          <w:rFonts w:ascii="宋体" w:hAnsi="宋体" w:cs="宋体"/>
          <w:b/>
          <w:color w:val="auto"/>
          <w:sz w:val="30"/>
          <w:szCs w:val="30"/>
          <w:highlight w:val="none"/>
        </w:rPr>
      </w:pPr>
    </w:p>
    <w:p w14:paraId="1C111B87">
      <w:pPr>
        <w:tabs>
          <w:tab w:val="left" w:pos="721"/>
        </w:tabs>
        <w:snapToGrid w:val="0"/>
        <w:spacing w:line="360" w:lineRule="exact"/>
        <w:ind w:firstLine="904" w:firstLineChars="300"/>
        <w:rPr>
          <w:rFonts w:ascii="宋体" w:hAnsi="宋体" w:cs="宋体"/>
          <w:b/>
          <w:color w:val="auto"/>
          <w:sz w:val="30"/>
          <w:szCs w:val="30"/>
          <w:highlight w:val="none"/>
          <w:u w:val="single"/>
        </w:rPr>
      </w:pPr>
      <w:r>
        <w:rPr>
          <w:rFonts w:hint="eastAsia" w:ascii="宋体" w:hAnsi="宋体" w:cs="宋体"/>
          <w:b/>
          <w:color w:val="auto"/>
          <w:sz w:val="30"/>
          <w:szCs w:val="30"/>
          <w:highlight w:val="none"/>
        </w:rPr>
        <w:t>供 应 商（乙方）</w:t>
      </w:r>
    </w:p>
    <w:p w14:paraId="16B38FBC">
      <w:pPr>
        <w:tabs>
          <w:tab w:val="left" w:pos="721"/>
        </w:tabs>
        <w:snapToGrid w:val="0"/>
        <w:spacing w:beforeLines="100" w:line="360" w:lineRule="exact"/>
        <w:ind w:firstLine="904" w:firstLineChars="300"/>
        <w:rPr>
          <w:rFonts w:ascii="宋体" w:hAnsi="宋体" w:cs="宋体"/>
          <w:b/>
          <w:color w:val="auto"/>
          <w:sz w:val="30"/>
          <w:szCs w:val="30"/>
          <w:highlight w:val="none"/>
          <w:u w:val="single"/>
        </w:rPr>
      </w:pPr>
      <w:r>
        <w:rPr>
          <w:rFonts w:hint="eastAsia" w:ascii="宋体" w:hAnsi="宋体" w:cs="宋体"/>
          <w:b/>
          <w:color w:val="auto"/>
          <w:sz w:val="30"/>
          <w:szCs w:val="30"/>
          <w:highlight w:val="none"/>
        </w:rPr>
        <w:t>住  所：</w:t>
      </w:r>
    </w:p>
    <w:p w14:paraId="160D1E28">
      <w:pPr>
        <w:tabs>
          <w:tab w:val="left" w:pos="721"/>
        </w:tabs>
        <w:snapToGrid w:val="0"/>
        <w:spacing w:line="360" w:lineRule="exact"/>
        <w:rPr>
          <w:rFonts w:ascii="宋体" w:hAnsi="宋体" w:cs="宋体"/>
          <w:b/>
          <w:color w:val="auto"/>
          <w:sz w:val="30"/>
          <w:szCs w:val="30"/>
          <w:highlight w:val="none"/>
        </w:rPr>
      </w:pPr>
    </w:p>
    <w:p w14:paraId="040FF9BC">
      <w:pPr>
        <w:tabs>
          <w:tab w:val="left" w:pos="721"/>
        </w:tabs>
        <w:snapToGrid w:val="0"/>
        <w:spacing w:line="360" w:lineRule="exact"/>
        <w:ind w:firstLine="1355" w:firstLineChars="450"/>
        <w:rPr>
          <w:rFonts w:ascii="宋体" w:hAnsi="宋体" w:cs="宋体"/>
          <w:b/>
          <w:color w:val="auto"/>
          <w:sz w:val="30"/>
          <w:szCs w:val="30"/>
          <w:highlight w:val="none"/>
        </w:rPr>
      </w:pPr>
    </w:p>
    <w:p w14:paraId="6685721B">
      <w:pPr>
        <w:tabs>
          <w:tab w:val="left" w:pos="721"/>
        </w:tabs>
        <w:snapToGrid w:val="0"/>
        <w:spacing w:line="360" w:lineRule="exact"/>
        <w:ind w:firstLine="904" w:firstLineChars="300"/>
        <w:rPr>
          <w:rFonts w:ascii="宋体" w:hAnsi="宋体" w:cs="宋体"/>
          <w:b/>
          <w:color w:val="auto"/>
          <w:sz w:val="30"/>
          <w:szCs w:val="30"/>
          <w:highlight w:val="none"/>
          <w:u w:val="single"/>
        </w:rPr>
      </w:pPr>
      <w:r>
        <w:rPr>
          <w:rFonts w:hint="eastAsia" w:ascii="宋体" w:hAnsi="宋体" w:cs="宋体"/>
          <w:b/>
          <w:color w:val="auto"/>
          <w:sz w:val="30"/>
          <w:szCs w:val="30"/>
          <w:highlight w:val="none"/>
        </w:rPr>
        <w:t>签订合同地点：</w:t>
      </w:r>
    </w:p>
    <w:p w14:paraId="7EB50BC9">
      <w:pPr>
        <w:tabs>
          <w:tab w:val="left" w:pos="721"/>
        </w:tabs>
        <w:snapToGrid w:val="0"/>
        <w:spacing w:line="360" w:lineRule="exact"/>
        <w:rPr>
          <w:rFonts w:ascii="宋体" w:hAnsi="宋体" w:cs="宋体"/>
          <w:b/>
          <w:color w:val="auto"/>
          <w:sz w:val="30"/>
          <w:szCs w:val="30"/>
          <w:highlight w:val="none"/>
        </w:rPr>
      </w:pPr>
    </w:p>
    <w:p w14:paraId="20FF7D98">
      <w:pPr>
        <w:tabs>
          <w:tab w:val="left" w:pos="721"/>
        </w:tabs>
        <w:snapToGrid w:val="0"/>
        <w:spacing w:line="360" w:lineRule="exact"/>
        <w:ind w:firstLine="1355" w:firstLineChars="450"/>
        <w:rPr>
          <w:rFonts w:ascii="宋体" w:hAnsi="宋体" w:cs="宋体"/>
          <w:b/>
          <w:color w:val="auto"/>
          <w:sz w:val="30"/>
          <w:szCs w:val="30"/>
          <w:highlight w:val="none"/>
        </w:rPr>
      </w:pPr>
    </w:p>
    <w:p w14:paraId="48056DF9">
      <w:pPr>
        <w:tabs>
          <w:tab w:val="left" w:pos="721"/>
        </w:tabs>
        <w:snapToGrid w:val="0"/>
        <w:spacing w:line="360" w:lineRule="exact"/>
        <w:ind w:firstLine="904" w:firstLineChars="300"/>
        <w:rPr>
          <w:rFonts w:ascii="宋体" w:hAnsi="宋体" w:cs="宋体"/>
          <w:b/>
          <w:color w:val="auto"/>
          <w:sz w:val="30"/>
          <w:szCs w:val="30"/>
          <w:highlight w:val="none"/>
          <w:u w:val="single"/>
        </w:rPr>
      </w:pPr>
      <w:r>
        <w:rPr>
          <w:rFonts w:hint="eastAsia" w:ascii="宋体" w:hAnsi="宋体" w:cs="宋体"/>
          <w:b/>
          <w:color w:val="auto"/>
          <w:sz w:val="30"/>
          <w:szCs w:val="30"/>
          <w:highlight w:val="none"/>
        </w:rPr>
        <w:t>签订合同时间：</w:t>
      </w:r>
    </w:p>
    <w:p w14:paraId="0D96F3D0">
      <w:pPr>
        <w:pStyle w:val="20"/>
        <w:jc w:val="center"/>
        <w:rPr>
          <w:rFonts w:hAnsi="宋体" w:cs="宋体"/>
          <w:color w:val="auto"/>
          <w:highlight w:val="none"/>
        </w:rPr>
      </w:pPr>
    </w:p>
    <w:p w14:paraId="219E86A7">
      <w:pPr>
        <w:pStyle w:val="20"/>
        <w:jc w:val="center"/>
        <w:rPr>
          <w:rFonts w:hAnsi="宋体" w:cs="宋体"/>
          <w:color w:val="auto"/>
          <w:highlight w:val="none"/>
        </w:rPr>
      </w:pPr>
    </w:p>
    <w:p w14:paraId="0A9A209A">
      <w:pPr>
        <w:pStyle w:val="20"/>
        <w:jc w:val="center"/>
        <w:rPr>
          <w:rFonts w:hAnsi="宋体" w:cs="宋体"/>
          <w:color w:val="auto"/>
          <w:highlight w:val="none"/>
        </w:rPr>
      </w:pPr>
    </w:p>
    <w:p w14:paraId="62469783">
      <w:pPr>
        <w:pStyle w:val="20"/>
        <w:jc w:val="center"/>
        <w:rPr>
          <w:rFonts w:hAnsi="宋体" w:cs="宋体"/>
          <w:color w:val="auto"/>
          <w:highlight w:val="none"/>
        </w:rPr>
      </w:pPr>
    </w:p>
    <w:p w14:paraId="4900D7FE">
      <w:pPr>
        <w:pStyle w:val="20"/>
        <w:jc w:val="left"/>
        <w:rPr>
          <w:rFonts w:hAnsi="宋体" w:cs="宋体"/>
          <w:color w:val="auto"/>
          <w:highlight w:val="none"/>
        </w:rPr>
      </w:pPr>
      <w:r>
        <w:rPr>
          <w:rFonts w:hint="eastAsia" w:hAnsi="宋体" w:cs="宋体"/>
          <w:color w:val="auto"/>
          <w:highlight w:val="none"/>
        </w:rPr>
        <w:t>合同使用说明：根据《中华人民共和国政府采购法》、《中华人民共和国民法典》等法律、法规规定，按照竞争性磋商文件规定条款和成交供应商竞争性磋商响应文件及其承诺，甲乙双方签订本合同。</w:t>
      </w:r>
    </w:p>
    <w:p w14:paraId="171B3A47">
      <w:pPr>
        <w:jc w:val="center"/>
        <w:rPr>
          <w:b/>
          <w:bCs/>
          <w:color w:val="auto"/>
          <w:kern w:val="44"/>
          <w:sz w:val="44"/>
          <w:szCs w:val="44"/>
          <w:highlight w:val="none"/>
        </w:rPr>
      </w:pPr>
    </w:p>
    <w:p w14:paraId="3736B3BE">
      <w:pPr>
        <w:rPr>
          <w:rFonts w:ascii="宋体" w:hAnsi="宋体" w:cs="仿宋_GB2312"/>
          <w:bCs/>
          <w:color w:val="auto"/>
          <w:kern w:val="44"/>
          <w:sz w:val="44"/>
          <w:szCs w:val="44"/>
          <w:highlight w:val="none"/>
        </w:rPr>
      </w:pPr>
      <w:bookmarkStart w:id="163" w:name="_Toc16500"/>
      <w:r>
        <w:rPr>
          <w:rFonts w:hint="eastAsia" w:ascii="宋体" w:hAnsi="宋体" w:cs="仿宋_GB2312"/>
          <w:bCs/>
          <w:color w:val="auto"/>
          <w:kern w:val="44"/>
          <w:sz w:val="44"/>
          <w:szCs w:val="44"/>
          <w:highlight w:val="none"/>
        </w:rPr>
        <w:br w:type="page"/>
      </w:r>
    </w:p>
    <w:p w14:paraId="3B47336A">
      <w:pPr>
        <w:spacing w:before="120" w:line="320" w:lineRule="atLeast"/>
        <w:ind w:firstLine="482" w:firstLineChars="200"/>
        <w:jc w:val="center"/>
        <w:outlineLvl w:val="1"/>
        <w:rPr>
          <w:rFonts w:ascii="宋体" w:hAnsi="宋体" w:cs="宋体"/>
          <w:b/>
          <w:bCs/>
          <w:color w:val="auto"/>
          <w:kern w:val="0"/>
          <w:sz w:val="24"/>
          <w:szCs w:val="24"/>
          <w:highlight w:val="none"/>
        </w:rPr>
      </w:pPr>
      <w:bookmarkStart w:id="164" w:name="_Toc22182"/>
      <w:bookmarkStart w:id="165" w:name="_Toc3740"/>
      <w:bookmarkStart w:id="166" w:name="_Toc25085"/>
      <w:bookmarkStart w:id="167" w:name="_Toc11666"/>
      <w:r>
        <w:rPr>
          <w:rFonts w:hint="eastAsia" w:ascii="宋体" w:hAnsi="宋体" w:cs="宋体"/>
          <w:b/>
          <w:bCs/>
          <w:color w:val="auto"/>
          <w:kern w:val="0"/>
          <w:sz w:val="24"/>
          <w:szCs w:val="24"/>
          <w:highlight w:val="none"/>
        </w:rPr>
        <w:t>广西壮族自治区政府采购合同</w:t>
      </w:r>
      <w:bookmarkEnd w:id="164"/>
      <w:bookmarkEnd w:id="165"/>
      <w:bookmarkEnd w:id="166"/>
      <w:bookmarkEnd w:id="167"/>
    </w:p>
    <w:p w14:paraId="6951EE7C">
      <w:pPr>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合同编号：</w:t>
      </w:r>
    </w:p>
    <w:p w14:paraId="77399D77">
      <w:pPr>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采购计划编号： </w:t>
      </w:r>
    </w:p>
    <w:p w14:paraId="14B741B5">
      <w:pPr>
        <w:snapToGrid w:val="0"/>
        <w:spacing w:line="360" w:lineRule="auto"/>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采购单位(甲方)：</w:t>
      </w:r>
      <w:r>
        <w:rPr>
          <w:rFonts w:hint="eastAsia" w:ascii="宋体" w:hAnsi="宋体" w:cs="宋体"/>
          <w:color w:val="auto"/>
          <w:sz w:val="24"/>
          <w:szCs w:val="24"/>
          <w:highlight w:val="none"/>
          <w:lang w:eastAsia="zh-CN"/>
        </w:rPr>
        <w:t>钦州市第二人民医院</w:t>
      </w:r>
    </w:p>
    <w:p w14:paraId="32B869FA">
      <w:pPr>
        <w:snapToGrid w:val="0"/>
        <w:spacing w:line="360" w:lineRule="auto"/>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供 应 商(乙方)：</w:t>
      </w:r>
    </w:p>
    <w:p w14:paraId="7A111A90">
      <w:pPr>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项目名称和编号：</w:t>
      </w:r>
    </w:p>
    <w:p w14:paraId="7E93BB53">
      <w:pPr>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签订地点：</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 xml:space="preserve">                                  签订时间：202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   月    日</w:t>
      </w:r>
    </w:p>
    <w:p w14:paraId="44D09B4E">
      <w:pPr>
        <w:snapToGrid w:val="0"/>
        <w:spacing w:line="360" w:lineRule="exact"/>
        <w:ind w:firstLine="480" w:firstLineChars="200"/>
        <w:rPr>
          <w:rFonts w:hint="eastAsia" w:ascii="宋体" w:hAnsi="宋体" w:cs="宋体"/>
          <w:color w:val="auto"/>
          <w:sz w:val="24"/>
          <w:szCs w:val="24"/>
          <w:highlight w:val="none"/>
        </w:rPr>
      </w:pPr>
    </w:p>
    <w:p w14:paraId="7CF33211">
      <w:pPr>
        <w:snapToGrid w:val="0"/>
        <w:spacing w:line="3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根据《中华人民共和国政府采购法》、《中华人民共和国民法典》等</w:t>
      </w:r>
      <w:r>
        <w:rPr>
          <w:rFonts w:hint="eastAsia" w:ascii="宋体" w:hAnsi="宋体" w:cs="宋体"/>
          <w:color w:val="auto"/>
          <w:sz w:val="24"/>
          <w:szCs w:val="24"/>
          <w:highlight w:val="none"/>
          <w:lang w:eastAsia="zh-CN"/>
        </w:rPr>
        <w:t>法律法规</w:t>
      </w:r>
      <w:r>
        <w:rPr>
          <w:rFonts w:hint="eastAsia" w:ascii="宋体" w:hAnsi="宋体" w:cs="宋体"/>
          <w:color w:val="auto"/>
          <w:sz w:val="24"/>
          <w:szCs w:val="24"/>
          <w:highlight w:val="none"/>
        </w:rPr>
        <w:t>规定，按照竞争性磋商文件规定条款和成交供应商承诺，甲乙双方签订本合同。</w:t>
      </w:r>
    </w:p>
    <w:p w14:paraId="1BFDAC70">
      <w:pPr>
        <w:spacing w:line="360" w:lineRule="auto"/>
        <w:ind w:firstLine="482" w:firstLineChars="200"/>
        <w:rPr>
          <w:rFonts w:ascii="宋体" w:hAnsi="宋体"/>
          <w:b/>
          <w:color w:val="auto"/>
          <w:sz w:val="24"/>
          <w:szCs w:val="24"/>
          <w:highlight w:val="none"/>
        </w:rPr>
      </w:pPr>
      <w:r>
        <w:rPr>
          <w:rFonts w:hint="eastAsia" w:ascii="宋体" w:hAnsi="宋体"/>
          <w:b/>
          <w:color w:val="auto"/>
          <w:sz w:val="24"/>
          <w:szCs w:val="24"/>
          <w:highlight w:val="none"/>
        </w:rPr>
        <w:t>第一条　合同标的</w:t>
      </w:r>
    </w:p>
    <w:p w14:paraId="3B964034">
      <w:pPr>
        <w:spacing w:line="360" w:lineRule="auto"/>
        <w:ind w:firstLine="480" w:firstLineChars="200"/>
        <w:rPr>
          <w:rFonts w:ascii="宋体" w:hAnsi="宋体"/>
          <w:color w:val="auto"/>
          <w:sz w:val="24"/>
          <w:szCs w:val="24"/>
          <w:highlight w:val="none"/>
          <w:u w:val="single"/>
        </w:rPr>
      </w:pPr>
      <w:r>
        <w:rPr>
          <w:rFonts w:hint="eastAsia" w:ascii="宋体" w:hAnsi="宋体"/>
          <w:color w:val="auto"/>
          <w:sz w:val="24"/>
          <w:szCs w:val="24"/>
          <w:highlight w:val="none"/>
        </w:rPr>
        <w:t>1.标的名称、数量、单位、技术参数及性能（配置）要求：</w:t>
      </w:r>
      <w:r>
        <w:rPr>
          <w:rFonts w:hint="eastAsia" w:ascii="宋体" w:hAnsi="宋体"/>
          <w:color w:val="auto"/>
          <w:sz w:val="24"/>
          <w:szCs w:val="24"/>
          <w:highlight w:val="none"/>
          <w:u w:val="single"/>
        </w:rPr>
        <w:t>详见附件《采购需求》。</w:t>
      </w:r>
    </w:p>
    <w:p w14:paraId="65AB8E66">
      <w:pPr>
        <w:spacing w:line="360" w:lineRule="auto"/>
        <w:ind w:firstLine="480" w:firstLineChars="200"/>
        <w:rPr>
          <w:rFonts w:ascii="宋体" w:hAnsi="宋体"/>
          <w:color w:val="auto"/>
          <w:sz w:val="24"/>
          <w:szCs w:val="24"/>
          <w:highlight w:val="none"/>
          <w:u w:val="single"/>
        </w:rPr>
      </w:pPr>
      <w:r>
        <w:rPr>
          <w:rFonts w:hint="eastAsia" w:ascii="宋体" w:hAnsi="宋体"/>
          <w:color w:val="auto"/>
          <w:sz w:val="24"/>
          <w:szCs w:val="24"/>
          <w:highlight w:val="none"/>
        </w:rPr>
        <w:t>2.</w:t>
      </w:r>
      <w:r>
        <w:rPr>
          <w:rFonts w:hint="eastAsia" w:ascii="宋体" w:hAnsi="宋体"/>
          <w:color w:val="auto"/>
          <w:sz w:val="24"/>
          <w:szCs w:val="24"/>
          <w:highlight w:val="none"/>
          <w:lang w:eastAsia="zh-CN"/>
        </w:rPr>
        <w:t>磋商</w:t>
      </w:r>
      <w:r>
        <w:rPr>
          <w:rFonts w:hint="eastAsia" w:ascii="宋体" w:hAnsi="宋体"/>
          <w:color w:val="auto"/>
          <w:sz w:val="24"/>
          <w:szCs w:val="24"/>
          <w:highlight w:val="none"/>
        </w:rPr>
        <w:t>报价：</w:t>
      </w:r>
      <w:r>
        <w:rPr>
          <w:rFonts w:hint="eastAsia" w:ascii="宋体" w:hAnsi="宋体" w:cs="宋体"/>
          <w:color w:val="auto"/>
          <w:sz w:val="24"/>
          <w:szCs w:val="24"/>
          <w:highlight w:val="none"/>
        </w:rPr>
        <w:t>__________</w:t>
      </w:r>
    </w:p>
    <w:p w14:paraId="523EA6A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3.合同合计金额包括货物及服务采购、人工费及配送费等各种费用和售后服务、税金</w:t>
      </w:r>
      <w:r>
        <w:rPr>
          <w:rFonts w:hint="eastAsia" w:ascii="宋体" w:hAnsi="宋体" w:cs="宋体"/>
          <w:color w:val="auto"/>
          <w:sz w:val="24"/>
          <w:szCs w:val="24"/>
          <w:highlight w:val="none"/>
          <w:lang w:eastAsia="zh-CN"/>
        </w:rPr>
        <w:t>及其他</w:t>
      </w:r>
      <w:r>
        <w:rPr>
          <w:rFonts w:hint="eastAsia" w:ascii="宋体" w:hAnsi="宋体" w:cs="宋体"/>
          <w:color w:val="auto"/>
          <w:sz w:val="24"/>
          <w:szCs w:val="24"/>
          <w:highlight w:val="none"/>
        </w:rPr>
        <w:t>所有成本费用的总和。如招标文件对其另有规定的，从其规定。</w:t>
      </w:r>
    </w:p>
    <w:p w14:paraId="0C1DE1E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4.合同有效期：自签订合同之日起一年（    年   月   日起至    年   月   日止）。</w:t>
      </w:r>
    </w:p>
    <w:p w14:paraId="062F5E50">
      <w:pPr>
        <w:snapToGrid w:val="0"/>
        <w:spacing w:line="400" w:lineRule="exact"/>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第二条　质量要求</w:t>
      </w:r>
    </w:p>
    <w:p w14:paraId="5D0D9DE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1.乙方所提供的产品名称、商标品牌、生产厂家、规格型号、技术参数等质量必须与</w:t>
      </w:r>
      <w:r>
        <w:rPr>
          <w:rFonts w:hint="eastAsia" w:ascii="宋体" w:hAnsi="宋体" w:cs="宋体"/>
          <w:color w:val="auto"/>
          <w:sz w:val="24"/>
          <w:szCs w:val="24"/>
          <w:highlight w:val="none"/>
          <w:lang w:eastAsia="zh-CN"/>
        </w:rPr>
        <w:t>采购文件</w:t>
      </w:r>
      <w:r>
        <w:rPr>
          <w:rFonts w:hint="eastAsia" w:ascii="宋体" w:hAnsi="宋体" w:cs="宋体"/>
          <w:color w:val="auto"/>
          <w:sz w:val="24"/>
          <w:szCs w:val="24"/>
          <w:highlight w:val="none"/>
        </w:rPr>
        <w:t>规定及响应文件承诺相一致。乙方提供的节能和环保产品必须是列入政府采购品目清单的产品。</w:t>
      </w:r>
    </w:p>
    <w:p w14:paraId="56766180">
      <w:pPr>
        <w:snapToGrid w:val="0"/>
        <w:spacing w:line="40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2.乙方所提供的货物必须是全新、未使用的原装产品，且在正常安装、使用和保养条件下，其使用寿命期内各项指标均达到</w:t>
      </w:r>
      <w:r>
        <w:rPr>
          <w:rFonts w:hint="eastAsia" w:ascii="宋体" w:hAnsi="宋体" w:cs="宋体"/>
          <w:color w:val="auto"/>
          <w:sz w:val="24"/>
          <w:szCs w:val="24"/>
          <w:highlight w:val="none"/>
          <w:lang w:eastAsia="zh-CN"/>
        </w:rPr>
        <w:t>采购文件</w:t>
      </w:r>
      <w:r>
        <w:rPr>
          <w:rFonts w:hint="eastAsia" w:ascii="宋体" w:hAnsi="宋体" w:cs="宋体"/>
          <w:color w:val="auto"/>
          <w:sz w:val="24"/>
          <w:szCs w:val="24"/>
          <w:highlight w:val="none"/>
        </w:rPr>
        <w:t>规定或响应文件承诺的质量要求。</w:t>
      </w:r>
    </w:p>
    <w:p w14:paraId="253DEDB9">
      <w:pPr>
        <w:snapToGrid w:val="0"/>
        <w:spacing w:line="400" w:lineRule="exact"/>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第三条　权利保证</w:t>
      </w:r>
    </w:p>
    <w:p w14:paraId="550F7669">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1.乙方应保证所提供货物在使用时不会侵犯任何第三方的专利权、商标权、工业设计权或其他权利。</w:t>
      </w:r>
    </w:p>
    <w:p w14:paraId="2103907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2.乙方应按</w:t>
      </w:r>
      <w:r>
        <w:rPr>
          <w:rFonts w:hint="eastAsia" w:ascii="宋体" w:hAnsi="宋体" w:cs="宋体"/>
          <w:color w:val="auto"/>
          <w:sz w:val="24"/>
          <w:szCs w:val="24"/>
          <w:highlight w:val="none"/>
          <w:lang w:eastAsia="zh-CN"/>
        </w:rPr>
        <w:t>采购文件</w:t>
      </w:r>
      <w:r>
        <w:rPr>
          <w:rFonts w:hint="eastAsia" w:ascii="宋体" w:hAnsi="宋体" w:cs="宋体"/>
          <w:color w:val="auto"/>
          <w:sz w:val="24"/>
          <w:szCs w:val="24"/>
          <w:highlight w:val="none"/>
        </w:rPr>
        <w:t>规定或响应文件承诺的时间向甲方提供使用货物的有关技术资料。</w:t>
      </w:r>
    </w:p>
    <w:p w14:paraId="3B81E78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732C104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4.乙方保证交付的货物的所有权完全属于乙方且无任何抵押、质押、查封等产权瑕疵。</w:t>
      </w:r>
    </w:p>
    <w:p w14:paraId="44700C01">
      <w:pPr>
        <w:snapToGrid w:val="0"/>
        <w:spacing w:line="40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第四条　包装和运输</w:t>
      </w:r>
    </w:p>
    <w:p w14:paraId="1FDA9E3D">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 乙方提供的货物均应按</w:t>
      </w:r>
      <w:r>
        <w:rPr>
          <w:rFonts w:hint="eastAsia" w:ascii="宋体" w:hAnsi="宋体" w:cs="宋体"/>
          <w:color w:val="auto"/>
          <w:sz w:val="24"/>
          <w:szCs w:val="24"/>
          <w:highlight w:val="none"/>
          <w:lang w:eastAsia="zh-CN"/>
        </w:rPr>
        <w:t>采购文件</w:t>
      </w:r>
      <w:r>
        <w:rPr>
          <w:rFonts w:hint="eastAsia" w:ascii="宋体" w:hAnsi="宋体" w:cs="宋体"/>
          <w:color w:val="auto"/>
          <w:sz w:val="24"/>
          <w:szCs w:val="24"/>
          <w:highlight w:val="none"/>
        </w:rPr>
        <w:t>、响应文件要求的包装材料、包装标准、包装方式、运输距离、防潮、防震、防锈和防破损装卸等要求包装，以保证货物安全运达甲方指定地点，每一包装单元内应附详细的装箱单和质量合格证。除合同另有规定外，乙方提供的全部货物应按标准保护措施进行包装，由于包装不善所引起的货物损失均由乙方承担。</w:t>
      </w:r>
    </w:p>
    <w:p w14:paraId="6E7435AC">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 乙方应提供设备的随机附件、技术资料，可包括相应的安装配件、图纸、操作手册、维护手册、质量保证文件、服务指南、清单等一并附于货物内。</w:t>
      </w:r>
    </w:p>
    <w:p w14:paraId="41DDD723">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 货物的运输方式（</w:t>
      </w:r>
      <w:r>
        <w:rPr>
          <w:rFonts w:hint="eastAsia" w:ascii="宋体" w:hAnsi="宋体" w:cs="宋体"/>
          <w:color w:val="auto"/>
          <w:sz w:val="24"/>
          <w:szCs w:val="24"/>
          <w:highlight w:val="none"/>
          <w:u w:val="single"/>
        </w:rPr>
        <w:t xml:space="preserve">由乙方自定）  </w:t>
      </w:r>
      <w:r>
        <w:rPr>
          <w:rFonts w:hint="eastAsia" w:ascii="宋体" w:hAnsi="宋体" w:cs="宋体"/>
          <w:color w:val="auto"/>
          <w:sz w:val="24"/>
          <w:szCs w:val="24"/>
          <w:highlight w:val="none"/>
        </w:rPr>
        <w:t>，货物运输合理损耗及计算方法：</w:t>
      </w:r>
      <w:r>
        <w:rPr>
          <w:rFonts w:hint="eastAsia" w:ascii="宋体" w:hAnsi="宋体" w:cs="宋体"/>
          <w:color w:val="auto"/>
          <w:sz w:val="24"/>
          <w:szCs w:val="24"/>
          <w:highlight w:val="none"/>
          <w:u w:val="single"/>
        </w:rPr>
        <w:t xml:space="preserve">  由乙方负责  </w:t>
      </w:r>
      <w:r>
        <w:rPr>
          <w:rFonts w:hint="eastAsia" w:ascii="宋体" w:hAnsi="宋体" w:cs="宋体"/>
          <w:color w:val="auto"/>
          <w:sz w:val="24"/>
          <w:szCs w:val="24"/>
          <w:highlight w:val="none"/>
        </w:rPr>
        <w:t>。</w:t>
      </w:r>
    </w:p>
    <w:p w14:paraId="4A3B159D">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4.乙方在货物发运手续办理完毕后二十四小时内或货到甲方四十八小时前通知甲方，以准备接货。货物在交付甲方前发生的风险均由乙方负责。</w:t>
      </w:r>
    </w:p>
    <w:p w14:paraId="69DB21BB">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5. 货物在规定的交付期限内由乙方送达甲方指定的地点视为交付，乙方同时需通知甲方货物已送达。</w:t>
      </w:r>
    </w:p>
    <w:p w14:paraId="218FD004">
      <w:pPr>
        <w:spacing w:line="46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第五条　交货要求</w:t>
      </w:r>
    </w:p>
    <w:p w14:paraId="6722AE70">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1.交货地点：</w:t>
      </w:r>
      <w:r>
        <w:rPr>
          <w:rFonts w:hint="eastAsia" w:ascii="宋体" w:hAnsi="宋体" w:cs="宋体"/>
          <w:color w:val="auto"/>
          <w:sz w:val="24"/>
          <w:szCs w:val="24"/>
          <w:highlight w:val="none"/>
          <w:u w:val="single"/>
        </w:rPr>
        <w:t>钦州市采购人指定地点</w:t>
      </w:r>
      <w:r>
        <w:rPr>
          <w:rFonts w:hint="eastAsia" w:ascii="宋体" w:hAnsi="宋体" w:cs="宋体"/>
          <w:color w:val="auto"/>
          <w:sz w:val="24"/>
          <w:szCs w:val="24"/>
          <w:highlight w:val="none"/>
        </w:rPr>
        <w:t>。</w:t>
      </w:r>
    </w:p>
    <w:p w14:paraId="4691D0D0">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2.交货时间：按采购人要求。</w:t>
      </w:r>
    </w:p>
    <w:p w14:paraId="6703A140">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3.乙方提供不符合采购文件和本合同规定的货物，甲方有权拒绝接受。</w:t>
      </w:r>
    </w:p>
    <w:p w14:paraId="614447FB">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4.交货方式：</w:t>
      </w:r>
      <w:r>
        <w:rPr>
          <w:rFonts w:hint="eastAsia" w:ascii="宋体" w:hAnsi="宋体" w:cs="宋体"/>
          <w:color w:val="auto"/>
          <w:sz w:val="24"/>
          <w:szCs w:val="24"/>
          <w:highlight w:val="none"/>
          <w:u w:val="single"/>
        </w:rPr>
        <w:t>现场交货</w:t>
      </w:r>
      <w:r>
        <w:rPr>
          <w:rFonts w:hint="eastAsia" w:ascii="宋体" w:hAnsi="宋体" w:cs="宋体"/>
          <w:color w:val="auto"/>
          <w:sz w:val="24"/>
          <w:szCs w:val="24"/>
          <w:highlight w:val="none"/>
        </w:rPr>
        <w:t>。</w:t>
      </w:r>
    </w:p>
    <w:p w14:paraId="4B8685E2">
      <w:pPr>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第六条　验收</w:t>
      </w:r>
    </w:p>
    <w:p w14:paraId="2B5A0333">
      <w:pPr>
        <w:spacing w:line="400" w:lineRule="exact"/>
        <w:rPr>
          <w:rFonts w:ascii="宋体" w:hAnsi="宋体" w:cs="宋体"/>
          <w:color w:val="auto"/>
          <w:sz w:val="24"/>
          <w:szCs w:val="24"/>
          <w:highlight w:val="none"/>
        </w:rPr>
      </w:pPr>
      <w:r>
        <w:rPr>
          <w:rFonts w:ascii="宋体" w:hAnsi="宋体" w:cs="宋体"/>
          <w:color w:val="auto"/>
          <w:sz w:val="24"/>
          <w:szCs w:val="24"/>
          <w:highlight w:val="none"/>
        </w:rPr>
        <w:t xml:space="preserve">  1.</w:t>
      </w:r>
      <w:r>
        <w:rPr>
          <w:rFonts w:hint="eastAsia" w:ascii="宋体" w:hAnsi="宋体" w:cs="宋体"/>
          <w:color w:val="auto"/>
          <w:sz w:val="24"/>
          <w:szCs w:val="24"/>
          <w:highlight w:val="none"/>
        </w:rPr>
        <w:t>采购验收方式：在交货验收时，甲方对乙方 所交产品依照采购文件上的技术规格要求和国家有关标准逐项进行现场验收，如有疑问可送相关检验部门检验（所发生的费用由乙方另行支付），性能达到技术要求的给予验收，若有一项指标不满足采购要求及提供虚假承诺的不予验收，并按照政府采购相关法律法规和合同约定条款进行处罚，由此造成的项目延误等所有责任及损失均由乙方承担，甲方保留进一步追究责任的权利。</w:t>
      </w:r>
    </w:p>
    <w:p w14:paraId="63324737">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ascii="宋体" w:hAnsi="宋体" w:cs="宋体"/>
          <w:color w:val="auto"/>
          <w:sz w:val="24"/>
          <w:szCs w:val="24"/>
          <w:highlight w:val="none"/>
        </w:rPr>
        <w:t>.</w:t>
      </w:r>
      <w:r>
        <w:rPr>
          <w:rFonts w:hint="eastAsia" w:ascii="宋体" w:hAnsi="宋体" w:cs="宋体"/>
          <w:color w:val="auto"/>
          <w:sz w:val="24"/>
          <w:szCs w:val="24"/>
          <w:highlight w:val="none"/>
        </w:rPr>
        <w:t>验收条件及标准：符合国家相关标准、</w:t>
      </w:r>
      <w:r>
        <w:rPr>
          <w:rFonts w:hint="eastAsia" w:ascii="宋体" w:hAnsi="宋体" w:cs="宋体"/>
          <w:color w:val="auto"/>
          <w:sz w:val="24"/>
          <w:szCs w:val="24"/>
          <w:highlight w:val="none"/>
          <w:lang w:eastAsia="zh-CN"/>
        </w:rPr>
        <w:t>采购文件</w:t>
      </w:r>
      <w:r>
        <w:rPr>
          <w:rFonts w:hint="eastAsia" w:ascii="宋体" w:hAnsi="宋体" w:cs="宋体"/>
          <w:color w:val="auto"/>
          <w:sz w:val="24"/>
          <w:szCs w:val="24"/>
          <w:highlight w:val="none"/>
        </w:rPr>
        <w:t>及合同要求。</w:t>
      </w:r>
    </w:p>
    <w:p w14:paraId="5A96DF9D">
      <w:pPr>
        <w:spacing w:line="38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第七条　付款方式和质量保证金</w:t>
      </w:r>
    </w:p>
    <w:p w14:paraId="62CC2133">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 当采购数量与实际使用数量不一致时，乙方应根据实际使用量供货，合同的最终结算金额按实际使用量乘以成交单价进行计算。</w:t>
      </w:r>
    </w:p>
    <w:p w14:paraId="703F07D2">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 资金性质：</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4E770CCF">
      <w:pPr>
        <w:autoSpaceDE w:val="0"/>
        <w:autoSpaceDN w:val="0"/>
        <w:adjustRightInd w:val="0"/>
        <w:snapToGrid/>
        <w:spacing w:line="360" w:lineRule="auto"/>
        <w:ind w:firstLine="480" w:firstLineChars="200"/>
        <w:jc w:val="left"/>
        <w:rPr>
          <w:rFonts w:ascii="宋体" w:hAnsi="宋体" w:cs="宋体"/>
          <w:bCs/>
          <w:color w:val="auto"/>
          <w:sz w:val="24"/>
          <w:szCs w:val="24"/>
          <w:highlight w:val="none"/>
          <w:u w:val="single"/>
          <w:lang w:bidi="en-US"/>
        </w:rPr>
      </w:pPr>
      <w:r>
        <w:rPr>
          <w:rFonts w:hint="eastAsia" w:ascii="宋体" w:hAnsi="宋体" w:cs="宋体"/>
          <w:color w:val="auto"/>
          <w:sz w:val="24"/>
          <w:szCs w:val="24"/>
          <w:highlight w:val="none"/>
        </w:rPr>
        <w:t>3.付款方式：本项目无预付款，每个季度末结算一次，结算款=本季度实际供货数量×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成交</w:t>
      </w:r>
      <w:r>
        <w:rPr>
          <w:rFonts w:hint="eastAsia" w:ascii="宋体" w:hAnsi="宋体" w:cs="宋体"/>
          <w:color w:val="auto"/>
          <w:sz w:val="24"/>
          <w:szCs w:val="24"/>
          <w:highlight w:val="none"/>
          <w:lang w:val="en-US" w:eastAsia="zh-CN"/>
        </w:rPr>
        <w:t>下浮系数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。采购人与成交供应商确定结算款后，并且通过</w:t>
      </w:r>
      <w:r>
        <w:rPr>
          <w:rFonts w:hint="eastAsia" w:ascii="宋体" w:hAnsi="宋体" w:cs="宋体"/>
          <w:color w:val="auto"/>
          <w:sz w:val="24"/>
          <w:szCs w:val="24"/>
          <w:highlight w:val="none"/>
          <w:lang w:val="en-US" w:eastAsia="zh-CN"/>
        </w:rPr>
        <w:t>本季度</w:t>
      </w:r>
      <w:r>
        <w:rPr>
          <w:rFonts w:hint="eastAsia" w:ascii="宋体" w:hAnsi="宋体" w:cs="宋体"/>
          <w:color w:val="auto"/>
          <w:sz w:val="24"/>
          <w:szCs w:val="24"/>
          <w:highlight w:val="none"/>
        </w:rPr>
        <w:t>考核，由采购人在下一季度开始40个工作日内向成交供应商 一次性支付上季度结算款。</w:t>
      </w:r>
    </w:p>
    <w:p w14:paraId="73163D91">
      <w:pPr>
        <w:snapToGrid w:val="0"/>
        <w:spacing w:line="400" w:lineRule="exact"/>
        <w:ind w:firstLine="482" w:firstLineChars="200"/>
        <w:rPr>
          <w:rFonts w:ascii="宋体" w:hAnsi="宋体" w:cs="宋体"/>
          <w:color w:val="auto"/>
          <w:sz w:val="24"/>
          <w:szCs w:val="24"/>
          <w:highlight w:val="none"/>
          <w:u w:val="single"/>
        </w:rPr>
      </w:pPr>
      <w:r>
        <w:rPr>
          <w:rFonts w:hint="eastAsia" w:ascii="宋体" w:hAnsi="宋体" w:cs="宋体"/>
          <w:b/>
          <w:color w:val="auto"/>
          <w:sz w:val="24"/>
          <w:szCs w:val="24"/>
          <w:highlight w:val="none"/>
        </w:rPr>
        <w:t>第八条　履约保证金：</w:t>
      </w:r>
      <w:r>
        <w:rPr>
          <w:rFonts w:hint="eastAsia" w:ascii="宋体" w:hAnsi="宋体" w:cs="宋体"/>
          <w:b/>
          <w:color w:val="auto"/>
          <w:sz w:val="24"/>
          <w:szCs w:val="24"/>
          <w:highlight w:val="none"/>
          <w:u w:val="single"/>
        </w:rPr>
        <w:t xml:space="preserve">   / 。</w:t>
      </w:r>
    </w:p>
    <w:p w14:paraId="35C1A96A">
      <w:pPr>
        <w:snapToGrid w:val="0"/>
        <w:spacing w:line="400" w:lineRule="exact"/>
        <w:ind w:left="-61" w:firstLine="514"/>
        <w:rPr>
          <w:rFonts w:hint="eastAsia" w:ascii="宋体" w:hAnsi="宋体" w:cs="宋体"/>
          <w:b/>
          <w:color w:val="auto"/>
          <w:sz w:val="24"/>
          <w:szCs w:val="24"/>
          <w:highlight w:val="none"/>
        </w:rPr>
      </w:pPr>
      <w:r>
        <w:rPr>
          <w:rFonts w:hint="eastAsia" w:ascii="宋体" w:hAnsi="宋体" w:cs="宋体"/>
          <w:b/>
          <w:color w:val="auto"/>
          <w:sz w:val="24"/>
          <w:szCs w:val="24"/>
          <w:highlight w:val="none"/>
        </w:rPr>
        <w:t>第九条  税费</w:t>
      </w:r>
    </w:p>
    <w:p w14:paraId="57F08ADC">
      <w:pPr>
        <w:snapToGrid w:val="0"/>
        <w:spacing w:line="400" w:lineRule="exact"/>
        <w:ind w:left="-61" w:firstLine="514"/>
        <w:rPr>
          <w:rFonts w:hint="eastAsia" w:ascii="宋体" w:hAnsi="宋体" w:cs="宋体"/>
          <w:color w:val="auto"/>
          <w:sz w:val="24"/>
          <w:szCs w:val="24"/>
          <w:highlight w:val="none"/>
        </w:rPr>
      </w:pPr>
      <w:r>
        <w:rPr>
          <w:rFonts w:hint="eastAsia" w:ascii="宋体" w:hAnsi="宋体" w:cs="宋体"/>
          <w:color w:val="auto"/>
          <w:sz w:val="24"/>
          <w:szCs w:val="24"/>
          <w:highlight w:val="none"/>
        </w:rPr>
        <w:t>本合同执行中相关的一切税费均由乙方负担，合同另有约定的除外。</w:t>
      </w:r>
    </w:p>
    <w:p w14:paraId="2DD99C86">
      <w:pPr>
        <w:snapToGrid w:val="0"/>
        <w:spacing w:line="400" w:lineRule="exact"/>
        <w:ind w:left="-61" w:firstLine="514"/>
        <w:rPr>
          <w:rFonts w:hint="eastAsia" w:ascii="宋体" w:hAnsi="宋体" w:cs="宋体"/>
          <w:color w:val="auto"/>
          <w:sz w:val="24"/>
          <w:szCs w:val="24"/>
          <w:highlight w:val="none"/>
        </w:rPr>
      </w:pPr>
      <w:r>
        <w:rPr>
          <w:rFonts w:hint="eastAsia" w:ascii="宋体" w:hAnsi="宋体" w:cs="宋体"/>
          <w:b/>
          <w:color w:val="auto"/>
          <w:sz w:val="24"/>
          <w:szCs w:val="24"/>
          <w:highlight w:val="none"/>
        </w:rPr>
        <w:t>第十条  质量保证及售后服务</w:t>
      </w:r>
    </w:p>
    <w:p w14:paraId="0BCAB58B">
      <w:pPr>
        <w:spacing w:line="400" w:lineRule="exact"/>
        <w:ind w:firstLine="480" w:firstLineChars="200"/>
        <w:rPr>
          <w:rFonts w:hint="eastAsia"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rPr>
        <w:t>质量保证期：备库未使用耗材配件产品质保期不少于1年。</w:t>
      </w:r>
    </w:p>
    <w:p w14:paraId="737489E6">
      <w:pPr>
        <w:spacing w:line="40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乙方有完整的售后服务体系和团队，保障日常服务的质量。具有良好的服务，有专门固定技术队伍，必须认真做好所需维修设备故障鉴定工作，不得以换代修。具体修理项目须经甲方确认同意维修后方可进行。维修更换下来的损坏件归甲方所有，并按要求交还到指定地点，乙方不能占有或带走。乙方</w:t>
      </w:r>
      <w:r>
        <w:rPr>
          <w:rFonts w:hint="eastAsia" w:ascii="宋体" w:hAnsi="宋体" w:cs="宋体"/>
          <w:bCs/>
          <w:color w:val="auto"/>
          <w:sz w:val="24"/>
          <w:szCs w:val="24"/>
          <w:highlight w:val="none"/>
        </w:rPr>
        <w:t>提供</w:t>
      </w:r>
      <w:r>
        <w:rPr>
          <w:rFonts w:hint="eastAsia" w:ascii="宋体" w:hAnsi="宋体" w:cs="宋体"/>
          <w:bCs/>
          <w:color w:val="auto"/>
          <w:sz w:val="24"/>
          <w:szCs w:val="24"/>
          <w:highlight w:val="none"/>
          <w:u w:val="single"/>
          <w:lang w:val="en-US" w:eastAsia="zh-CN"/>
        </w:rPr>
        <w:t>2</w:t>
      </w:r>
      <w:r>
        <w:rPr>
          <w:rFonts w:hint="eastAsia" w:ascii="宋体" w:hAnsi="宋体" w:cs="宋体"/>
          <w:bCs/>
          <w:color w:val="auto"/>
          <w:sz w:val="24"/>
          <w:szCs w:val="24"/>
          <w:highlight w:val="none"/>
          <w:lang w:val="en-US" w:eastAsia="zh-CN"/>
        </w:rPr>
        <w:t>名以上驻场工程师负责对</w:t>
      </w:r>
      <w:r>
        <w:rPr>
          <w:rFonts w:hint="eastAsia" w:ascii="宋体" w:hAnsi="宋体" w:cs="宋体"/>
          <w:bCs/>
          <w:color w:val="auto"/>
          <w:sz w:val="24"/>
          <w:szCs w:val="24"/>
          <w:highlight w:val="none"/>
        </w:rPr>
        <w:t>设备进行维修、更换零部件</w:t>
      </w:r>
      <w:r>
        <w:rPr>
          <w:rFonts w:hint="eastAsia" w:ascii="宋体" w:hAnsi="宋体" w:cs="宋体"/>
          <w:bCs/>
          <w:color w:val="auto"/>
          <w:sz w:val="24"/>
          <w:szCs w:val="24"/>
          <w:highlight w:val="none"/>
          <w:lang w:eastAsia="zh-CN"/>
        </w:rPr>
        <w:t>等维护工作，</w:t>
      </w:r>
      <w:r>
        <w:rPr>
          <w:rFonts w:hint="eastAsia" w:ascii="宋体" w:hAnsi="宋体" w:cs="宋体"/>
          <w:bCs/>
          <w:color w:val="auto"/>
          <w:sz w:val="24"/>
          <w:szCs w:val="24"/>
          <w:highlight w:val="none"/>
        </w:rPr>
        <w:t>工作时间安排为每周五天</w:t>
      </w:r>
      <w:r>
        <w:rPr>
          <w:rFonts w:hint="eastAsia" w:ascii="宋体" w:hAnsi="宋体" w:cs="宋体"/>
          <w:bCs/>
          <w:color w:val="auto"/>
          <w:sz w:val="24"/>
          <w:szCs w:val="24"/>
          <w:highlight w:val="none"/>
          <w:lang w:eastAsia="zh-CN"/>
        </w:rPr>
        <w:t>半，</w:t>
      </w:r>
      <w:r>
        <w:rPr>
          <w:rFonts w:hint="eastAsia" w:ascii="宋体" w:hAnsi="宋体" w:cs="宋体"/>
          <w:bCs/>
          <w:color w:val="auto"/>
          <w:sz w:val="24"/>
          <w:szCs w:val="24"/>
          <w:highlight w:val="none"/>
        </w:rPr>
        <w:t>周一至周五，上午</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rPr>
        <w:t>:00至12:00，下午</w:t>
      </w:r>
      <w:r>
        <w:rPr>
          <w:rFonts w:hint="eastAsia" w:ascii="宋体" w:hAnsi="宋体" w:cs="宋体"/>
          <w:bCs/>
          <w:color w:val="auto"/>
          <w:sz w:val="24"/>
          <w:szCs w:val="24"/>
          <w:highlight w:val="none"/>
          <w:lang w:val="en-US" w:eastAsia="zh-CN"/>
        </w:rPr>
        <w:t>14</w:t>
      </w:r>
      <w:r>
        <w:rPr>
          <w:rFonts w:hint="eastAsia" w:ascii="宋体" w:hAnsi="宋体" w:cs="宋体"/>
          <w:bCs/>
          <w:color w:val="auto"/>
          <w:sz w:val="24"/>
          <w:szCs w:val="24"/>
          <w:highlight w:val="none"/>
        </w:rPr>
        <w:t>:30至1</w:t>
      </w: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rPr>
        <w:t>:30</w:t>
      </w:r>
      <w:r>
        <w:rPr>
          <w:rFonts w:hint="eastAsia" w:ascii="宋体" w:hAnsi="宋体" w:cs="宋体"/>
          <w:bCs/>
          <w:color w:val="auto"/>
          <w:sz w:val="24"/>
          <w:szCs w:val="24"/>
          <w:highlight w:val="none"/>
          <w:lang w:eastAsia="zh-CN"/>
        </w:rPr>
        <w:t>，周六</w:t>
      </w:r>
      <w:r>
        <w:rPr>
          <w:rFonts w:hint="eastAsia" w:ascii="宋体" w:hAnsi="宋体" w:cs="宋体"/>
          <w:bCs/>
          <w:color w:val="auto"/>
          <w:sz w:val="24"/>
          <w:szCs w:val="24"/>
          <w:highlight w:val="none"/>
        </w:rPr>
        <w:t>上午</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rPr>
        <w:t>:00至12:00。</w:t>
      </w:r>
    </w:p>
    <w:p w14:paraId="0D089ABE">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ascii="宋体" w:hAnsi="宋体" w:cs="宋体"/>
          <w:color w:val="auto"/>
          <w:sz w:val="24"/>
          <w:szCs w:val="24"/>
          <w:highlight w:val="none"/>
        </w:rPr>
        <w:t>.</w:t>
      </w:r>
      <w:r>
        <w:rPr>
          <w:rFonts w:hint="eastAsia" w:ascii="宋体" w:hAnsi="宋体" w:cs="宋体"/>
          <w:color w:val="auto"/>
          <w:sz w:val="24"/>
          <w:szCs w:val="24"/>
          <w:highlight w:val="none"/>
        </w:rPr>
        <w:t>乙方对甲方的服务通知、紧急故障处理：必须在2小时之内现场处理，不需要更换备件的条件下应在4小时内解除故障，报修8个工作小时内无法修复的设备，乙方须当日内提供相应的同档次设备给予替用，不得收取任何相关费用。</w:t>
      </w:r>
    </w:p>
    <w:p w14:paraId="31C6D458">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w:t>
      </w:r>
      <w:r>
        <w:rPr>
          <w:rFonts w:ascii="宋体" w:hAnsi="宋体" w:cs="宋体"/>
          <w:color w:val="auto"/>
          <w:sz w:val="24"/>
          <w:szCs w:val="24"/>
          <w:highlight w:val="none"/>
        </w:rPr>
        <w:t>.</w:t>
      </w:r>
      <w:r>
        <w:rPr>
          <w:rFonts w:hint="eastAsia" w:ascii="宋体" w:hAnsi="宋体" w:cs="宋体"/>
          <w:color w:val="auto"/>
          <w:sz w:val="24"/>
          <w:szCs w:val="24"/>
          <w:highlight w:val="none"/>
        </w:rPr>
        <w:t>以上打印机耗材含后期维护维修费用，乙方须保障每个硒鼓至少可加粉两次，并做好标注供甲方检查确认。</w:t>
      </w:r>
    </w:p>
    <w:p w14:paraId="4F62C164">
      <w:pPr>
        <w:spacing w:line="400" w:lineRule="exact"/>
        <w:ind w:firstLine="480" w:firstLineChars="200"/>
        <w:rPr>
          <w:rFonts w:hint="eastAsia"/>
          <w:color w:val="auto"/>
          <w:sz w:val="24"/>
          <w:szCs w:val="24"/>
          <w:highlight w:val="none"/>
        </w:rPr>
      </w:pPr>
      <w:r>
        <w:rPr>
          <w:rFonts w:hint="eastAsia" w:ascii="宋体" w:hAnsi="宋体" w:cs="宋体"/>
          <w:color w:val="auto"/>
          <w:sz w:val="24"/>
          <w:szCs w:val="24"/>
          <w:highlight w:val="none"/>
        </w:rPr>
        <w:t>5</w:t>
      </w:r>
      <w:r>
        <w:rPr>
          <w:rFonts w:ascii="宋体" w:hAnsi="宋体" w:cs="宋体"/>
          <w:color w:val="auto"/>
          <w:sz w:val="24"/>
          <w:szCs w:val="24"/>
          <w:highlight w:val="none"/>
        </w:rPr>
        <w:t>.</w:t>
      </w:r>
      <w:r>
        <w:rPr>
          <w:rFonts w:hint="eastAsia" w:ascii="宋体" w:hAnsi="宋体" w:cs="宋体"/>
          <w:color w:val="auto"/>
          <w:sz w:val="24"/>
          <w:szCs w:val="24"/>
          <w:highlight w:val="none"/>
        </w:rPr>
        <w:t>以上电子类产品服务含日常电脑</w:t>
      </w:r>
      <w:r>
        <w:rPr>
          <w:rFonts w:hint="eastAsia" w:ascii="宋体" w:hAnsi="宋体" w:cs="宋体"/>
          <w:color w:val="auto"/>
          <w:sz w:val="24"/>
          <w:szCs w:val="24"/>
          <w:highlight w:val="none"/>
          <w:lang w:eastAsia="zh-CN"/>
        </w:rPr>
        <w:t>、打印机、</w:t>
      </w:r>
      <w:r>
        <w:rPr>
          <w:rFonts w:hint="eastAsia" w:ascii="宋体" w:hAnsi="宋体" w:cs="宋体"/>
          <w:color w:val="auto"/>
          <w:sz w:val="24"/>
          <w:szCs w:val="24"/>
          <w:highlight w:val="none"/>
          <w:lang w:val="en-US" w:eastAsia="zh-CN"/>
        </w:rPr>
        <w:t>LED电子屏</w:t>
      </w:r>
      <w:r>
        <w:rPr>
          <w:rFonts w:hint="eastAsia" w:ascii="宋体" w:hAnsi="宋体" w:cs="宋体"/>
          <w:color w:val="auto"/>
          <w:sz w:val="24"/>
          <w:szCs w:val="24"/>
          <w:highlight w:val="none"/>
        </w:rPr>
        <w:t>和网络</w:t>
      </w:r>
      <w:r>
        <w:rPr>
          <w:rFonts w:hint="eastAsia" w:ascii="宋体" w:hAnsi="宋体" w:cs="宋体"/>
          <w:color w:val="auto"/>
          <w:sz w:val="24"/>
          <w:szCs w:val="24"/>
          <w:highlight w:val="none"/>
          <w:lang w:eastAsia="zh-CN"/>
        </w:rPr>
        <w:t>等相关设备</w:t>
      </w:r>
      <w:r>
        <w:rPr>
          <w:rFonts w:hint="eastAsia" w:ascii="宋体" w:hAnsi="宋体" w:cs="宋体"/>
          <w:color w:val="auto"/>
          <w:sz w:val="24"/>
          <w:szCs w:val="24"/>
          <w:highlight w:val="none"/>
        </w:rPr>
        <w:t>的维修维护，并不再另外收取任何费用。</w:t>
      </w:r>
    </w:p>
    <w:p w14:paraId="12809710">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6.乙方提供的服务承诺和售后服务及保修期责任等</w:t>
      </w:r>
      <w:r>
        <w:rPr>
          <w:rFonts w:hint="eastAsia" w:ascii="宋体" w:hAnsi="宋体" w:cs="宋体"/>
          <w:color w:val="auto"/>
          <w:sz w:val="24"/>
          <w:szCs w:val="24"/>
          <w:highlight w:val="none"/>
          <w:lang w:eastAsia="zh-CN"/>
        </w:rPr>
        <w:t>其他</w:t>
      </w:r>
      <w:r>
        <w:rPr>
          <w:rFonts w:hint="eastAsia" w:ascii="宋体" w:hAnsi="宋体" w:cs="宋体"/>
          <w:color w:val="auto"/>
          <w:sz w:val="24"/>
          <w:szCs w:val="24"/>
          <w:highlight w:val="none"/>
        </w:rPr>
        <w:t>具体约定事项。（见合同附件）</w:t>
      </w:r>
    </w:p>
    <w:p w14:paraId="086FEFC9">
      <w:pPr>
        <w:spacing w:line="46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第十一条　违约责任</w:t>
      </w:r>
    </w:p>
    <w:p w14:paraId="4DAEB4CF">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 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14:paraId="4F1B4AFC">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 乙方提供的货物如侵犯了第三方合法权益而引发的任何纠纷或诉讼，均由乙方负责交涉并承担全部责任。</w:t>
      </w:r>
    </w:p>
    <w:p w14:paraId="13FA81E9">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 因包装、运输引起的货物损坏，按质量不合格处罚。</w:t>
      </w:r>
    </w:p>
    <w:p w14:paraId="633BFD54">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 甲方无故延期接收货物、乙方逾期交货的，每天向对方偿付违约货款额3‰违约金，超过</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天对方有权解除合同，违约方承担因此给对方造</w:t>
      </w:r>
      <w:r>
        <w:rPr>
          <w:rFonts w:hint="eastAsia" w:ascii="宋体" w:hAnsi="宋体" w:cs="宋体"/>
          <w:color w:val="auto"/>
          <w:sz w:val="24"/>
          <w:szCs w:val="24"/>
          <w:highlight w:val="none"/>
          <w:lang w:eastAsia="zh-CN"/>
        </w:rPr>
        <w:t>成的</w:t>
      </w:r>
      <w:r>
        <w:rPr>
          <w:rFonts w:hint="eastAsia" w:ascii="宋体" w:hAnsi="宋体" w:cs="宋体"/>
          <w:color w:val="auto"/>
          <w:sz w:val="24"/>
          <w:szCs w:val="24"/>
          <w:highlight w:val="none"/>
        </w:rPr>
        <w:t>经济损失；</w:t>
      </w:r>
    </w:p>
    <w:p w14:paraId="3C81E9EB">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 乙方未按本合同和投标文件中规定的服务承诺提供服务的，乙方应按本合同合计金额10%向甲方支付违约金，甲方有权解除合同。</w:t>
      </w:r>
    </w:p>
    <w:p w14:paraId="73B16B1E">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 乙方提供的货物在质量保证期内，因设计、工艺或材料的缺陷和</w:t>
      </w:r>
      <w:r>
        <w:rPr>
          <w:rFonts w:hint="eastAsia" w:ascii="宋体" w:hAnsi="宋体" w:cs="宋体"/>
          <w:color w:val="auto"/>
          <w:sz w:val="24"/>
          <w:szCs w:val="24"/>
          <w:highlight w:val="none"/>
          <w:lang w:eastAsia="zh-CN"/>
        </w:rPr>
        <w:t>其他</w:t>
      </w:r>
      <w:r>
        <w:rPr>
          <w:rFonts w:hint="eastAsia" w:ascii="宋体" w:hAnsi="宋体" w:cs="宋体"/>
          <w:color w:val="auto"/>
          <w:sz w:val="24"/>
          <w:szCs w:val="24"/>
          <w:highlight w:val="none"/>
        </w:rPr>
        <w:t>质量原因造成的问题，由乙方负责。</w:t>
      </w:r>
    </w:p>
    <w:p w14:paraId="2316DA29">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 乙方支付的违约金不足以弥补甲方损失的，还应承担赔偿责任。</w:t>
      </w:r>
    </w:p>
    <w:p w14:paraId="17461229">
      <w:pPr>
        <w:spacing w:line="46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第十二条  不可抗力事件处理</w:t>
      </w:r>
    </w:p>
    <w:p w14:paraId="2EE27E58">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 在合同有效期内，任何一方因不可抗力事件导致不能履行合同，则合同履行期可延长，其延长期与不可抗力影响期相同。</w:t>
      </w:r>
    </w:p>
    <w:p w14:paraId="4E511E86">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 不可抗力事件发生后，应立即通知对方，并寄送有关权威机构出具的证明。</w:t>
      </w:r>
    </w:p>
    <w:p w14:paraId="66FB6EA4">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 不可抗力事件延续一百二十天以上，双方应通过友好协商，确定是否继续履行合同。</w:t>
      </w:r>
    </w:p>
    <w:p w14:paraId="450B1CD5">
      <w:pPr>
        <w:spacing w:line="46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第十三条  合同争议解决</w:t>
      </w:r>
    </w:p>
    <w:p w14:paraId="49496F4D">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 因货物质量问题发生争议的，应邀请国家认可的质量检测机构对货物质量进行鉴定。货物符合标准的，鉴定费由甲方承担；货物不符合标准的，鉴定费由乙方承担。</w:t>
      </w:r>
    </w:p>
    <w:p w14:paraId="3A113E25">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 因履行本合同引起的或与本合同有关的争议，双方从下列两种方式中选择第</w:t>
      </w:r>
      <w:r>
        <w:rPr>
          <w:rFonts w:hint="eastAsia" w:ascii="宋体" w:hAnsi="宋体" w:cs="宋体"/>
          <w:color w:val="auto"/>
          <w:sz w:val="24"/>
          <w:szCs w:val="24"/>
          <w:highlight w:val="none"/>
          <w:u w:val="single"/>
        </w:rPr>
        <w:t xml:space="preserve"> ⑵ </w:t>
      </w:r>
      <w:r>
        <w:rPr>
          <w:rFonts w:hint="eastAsia" w:ascii="宋体" w:hAnsi="宋体" w:cs="宋体"/>
          <w:color w:val="auto"/>
          <w:sz w:val="24"/>
          <w:szCs w:val="24"/>
          <w:highlight w:val="none"/>
        </w:rPr>
        <w:t>种方式，作为本合同争议的解决方式。</w:t>
      </w:r>
    </w:p>
    <w:p w14:paraId="305512AE">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⑴甲乙双方应首先通过友好协商解决，如果协商不能解决，可向甲方所在地钦州仲裁委员会申请仲裁。仲裁期间，本合同继续履行。</w:t>
      </w:r>
    </w:p>
    <w:p w14:paraId="0D19D8FB">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⑵甲乙双方应首先通过友好协商解决，如果协商不能解决，双方均可向甲方所在地人民法院提起诉讼。诉讼期间，本合同继续履行。</w:t>
      </w:r>
    </w:p>
    <w:p w14:paraId="61D7D393">
      <w:pPr>
        <w:spacing w:line="46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第十</w:t>
      </w:r>
      <w:r>
        <w:rPr>
          <w:rFonts w:hint="eastAsia" w:ascii="宋体" w:hAnsi="宋体" w:cs="宋体"/>
          <w:b/>
          <w:bCs/>
          <w:color w:val="auto"/>
          <w:sz w:val="24"/>
          <w:szCs w:val="24"/>
          <w:highlight w:val="none"/>
          <w:lang w:eastAsia="zh-CN"/>
        </w:rPr>
        <w:t>四</w:t>
      </w:r>
      <w:r>
        <w:rPr>
          <w:rFonts w:hint="eastAsia" w:ascii="宋体" w:hAnsi="宋体" w:cs="宋体"/>
          <w:b/>
          <w:bCs/>
          <w:color w:val="auto"/>
          <w:sz w:val="24"/>
          <w:szCs w:val="24"/>
          <w:highlight w:val="none"/>
        </w:rPr>
        <w:t>条　合同的变更、终止与转让</w:t>
      </w:r>
    </w:p>
    <w:p w14:paraId="7C5F023E">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 除《中华人民共和国政府采购法》第五十条规定的情形外，本合同一经签订，甲乙双方不得擅自变更、中止或终止。</w:t>
      </w:r>
    </w:p>
    <w:p w14:paraId="0B73B652">
      <w:pPr>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 乙方不得擅自转让（无进口资格的供应商委托进口货物除外）其应履行的合同义务。</w:t>
      </w:r>
    </w:p>
    <w:p w14:paraId="70EE06BD">
      <w:pPr>
        <w:snapToGrid w:val="0"/>
        <w:spacing w:line="400" w:lineRule="exact"/>
        <w:ind w:firstLine="482" w:firstLineChars="200"/>
        <w:rPr>
          <w:rFonts w:hint="eastAsia" w:ascii="宋体" w:hAnsi="宋体" w:cs="宋体"/>
          <w:b/>
          <w:color w:val="auto"/>
          <w:sz w:val="24"/>
          <w:szCs w:val="24"/>
          <w:highlight w:val="none"/>
        </w:rPr>
      </w:pPr>
      <w:r>
        <w:rPr>
          <w:rFonts w:hint="eastAsia" w:ascii="宋体" w:hAnsi="宋体" w:cs="宋体"/>
          <w:b/>
          <w:bCs/>
          <w:color w:val="auto"/>
          <w:sz w:val="24"/>
          <w:szCs w:val="24"/>
          <w:highlight w:val="none"/>
        </w:rPr>
        <w:t>第十</w:t>
      </w:r>
      <w:r>
        <w:rPr>
          <w:rFonts w:hint="eastAsia" w:ascii="宋体" w:hAnsi="宋体" w:cs="宋体"/>
          <w:b/>
          <w:bCs/>
          <w:color w:val="auto"/>
          <w:sz w:val="24"/>
          <w:szCs w:val="24"/>
          <w:highlight w:val="none"/>
          <w:lang w:eastAsia="zh-CN"/>
        </w:rPr>
        <w:t>五</w:t>
      </w:r>
      <w:r>
        <w:rPr>
          <w:rFonts w:hint="eastAsia" w:ascii="宋体" w:hAnsi="宋体" w:cs="宋体"/>
          <w:b/>
          <w:bCs/>
          <w:color w:val="auto"/>
          <w:sz w:val="24"/>
          <w:szCs w:val="24"/>
          <w:highlight w:val="none"/>
        </w:rPr>
        <w:t>条　</w:t>
      </w:r>
      <w:r>
        <w:rPr>
          <w:rFonts w:hint="eastAsia" w:ascii="宋体" w:hAnsi="宋体" w:cs="宋体"/>
          <w:b/>
          <w:bCs/>
          <w:color w:val="auto"/>
          <w:kern w:val="0"/>
          <w:sz w:val="24"/>
          <w:szCs w:val="24"/>
          <w:highlight w:val="none"/>
        </w:rPr>
        <w:t>本合同书与下列文件一起构成合同文件</w:t>
      </w:r>
    </w:p>
    <w:p w14:paraId="6B0AB6D3">
      <w:pPr>
        <w:snapToGrid w:val="0"/>
        <w:spacing w:line="400" w:lineRule="exact"/>
        <w:ind w:left="420" w:leftChars="200"/>
        <w:rPr>
          <w:rFonts w:hint="eastAsia" w:ascii="宋体" w:hAnsi="宋体" w:cs="宋体"/>
          <w:color w:val="auto"/>
          <w:sz w:val="24"/>
          <w:szCs w:val="24"/>
          <w:highlight w:val="none"/>
        </w:rPr>
      </w:pPr>
      <w:r>
        <w:rPr>
          <w:rFonts w:hint="eastAsia" w:ascii="宋体" w:hAnsi="宋体" w:cs="宋体"/>
          <w:color w:val="auto"/>
          <w:sz w:val="24"/>
          <w:szCs w:val="24"/>
          <w:highlight w:val="none"/>
        </w:rPr>
        <w:t>1.成交通知书；</w:t>
      </w:r>
    </w:p>
    <w:p w14:paraId="257A5E43">
      <w:pPr>
        <w:snapToGrid w:val="0"/>
        <w:spacing w:line="400" w:lineRule="exact"/>
        <w:ind w:left="420" w:leftChars="200"/>
        <w:rPr>
          <w:rFonts w:hint="eastAsia" w:ascii="宋体" w:hAnsi="宋体" w:cs="宋体"/>
          <w:color w:val="auto"/>
          <w:sz w:val="24"/>
          <w:szCs w:val="24"/>
          <w:highlight w:val="none"/>
        </w:rPr>
      </w:pPr>
      <w:r>
        <w:rPr>
          <w:rFonts w:hint="eastAsia" w:ascii="宋体" w:hAnsi="宋体" w:cs="宋体"/>
          <w:color w:val="auto"/>
          <w:sz w:val="24"/>
          <w:szCs w:val="24"/>
          <w:highlight w:val="none"/>
        </w:rPr>
        <w:t>2.竞标声明书；</w:t>
      </w:r>
    </w:p>
    <w:p w14:paraId="39DBE484">
      <w:pPr>
        <w:snapToGrid w:val="0"/>
        <w:spacing w:line="400" w:lineRule="exact"/>
        <w:ind w:left="420" w:leftChars="200"/>
        <w:rPr>
          <w:rFonts w:hint="eastAsia" w:ascii="宋体" w:hAnsi="宋体" w:cs="宋体"/>
          <w:color w:val="auto"/>
          <w:sz w:val="24"/>
          <w:szCs w:val="24"/>
          <w:highlight w:val="none"/>
        </w:rPr>
      </w:pPr>
      <w:r>
        <w:rPr>
          <w:rFonts w:hint="eastAsia" w:ascii="宋体" w:hAnsi="宋体" w:cs="宋体"/>
          <w:color w:val="auto"/>
          <w:sz w:val="24"/>
          <w:szCs w:val="24"/>
          <w:highlight w:val="none"/>
        </w:rPr>
        <w:t>3.商务条款偏离表和</w:t>
      </w:r>
      <w:r>
        <w:rPr>
          <w:rFonts w:hint="eastAsia" w:ascii="宋体" w:hAnsi="宋体" w:cs="宋体"/>
          <w:color w:val="auto"/>
          <w:sz w:val="24"/>
          <w:szCs w:val="24"/>
          <w:highlight w:val="none"/>
          <w:lang w:eastAsia="zh-CN"/>
        </w:rPr>
        <w:t>服务</w:t>
      </w:r>
      <w:r>
        <w:rPr>
          <w:rFonts w:hint="eastAsia" w:ascii="宋体" w:hAnsi="宋体" w:cs="宋体"/>
          <w:color w:val="auto"/>
          <w:sz w:val="24"/>
          <w:szCs w:val="24"/>
          <w:highlight w:val="none"/>
        </w:rPr>
        <w:t>需求偏离表；</w:t>
      </w:r>
    </w:p>
    <w:p w14:paraId="150EFA05">
      <w:pPr>
        <w:snapToGrid w:val="0"/>
        <w:spacing w:line="400" w:lineRule="exact"/>
        <w:ind w:left="420" w:leftChars="200"/>
        <w:rPr>
          <w:rFonts w:hint="eastAsia" w:ascii="宋体" w:hAnsi="宋体" w:cs="宋体"/>
          <w:color w:val="auto"/>
          <w:sz w:val="24"/>
          <w:szCs w:val="24"/>
          <w:highlight w:val="none"/>
        </w:rPr>
      </w:pPr>
      <w:r>
        <w:rPr>
          <w:rFonts w:hint="eastAsia" w:ascii="宋体" w:hAnsi="宋体" w:cs="宋体"/>
          <w:color w:val="auto"/>
          <w:sz w:val="24"/>
          <w:szCs w:val="24"/>
          <w:highlight w:val="none"/>
        </w:rPr>
        <w:t>4.采购需求；</w:t>
      </w:r>
    </w:p>
    <w:p w14:paraId="4F735C99">
      <w:pPr>
        <w:snapToGrid w:val="0"/>
        <w:spacing w:line="400" w:lineRule="exact"/>
        <w:ind w:left="420" w:leftChars="200"/>
        <w:rPr>
          <w:rFonts w:hint="eastAsia" w:ascii="宋体" w:hAnsi="宋体" w:cs="宋体"/>
          <w:color w:val="auto"/>
          <w:sz w:val="24"/>
          <w:szCs w:val="24"/>
          <w:highlight w:val="none"/>
        </w:rPr>
      </w:pPr>
      <w:r>
        <w:rPr>
          <w:rFonts w:hint="eastAsia" w:ascii="宋体" w:hAnsi="宋体" w:cs="宋体"/>
          <w:color w:val="auto"/>
          <w:sz w:val="24"/>
          <w:szCs w:val="24"/>
          <w:highlight w:val="none"/>
        </w:rPr>
        <w:t>5.竞标报价表；</w:t>
      </w:r>
    </w:p>
    <w:p w14:paraId="47119266">
      <w:pPr>
        <w:snapToGrid w:val="0"/>
        <w:spacing w:line="400" w:lineRule="exact"/>
        <w:ind w:left="420" w:leftChars="200"/>
        <w:rPr>
          <w:rFonts w:hint="eastAsia" w:ascii="宋体" w:hAnsi="宋体" w:cs="宋体"/>
          <w:color w:val="auto"/>
          <w:sz w:val="24"/>
          <w:szCs w:val="24"/>
          <w:highlight w:val="none"/>
        </w:rPr>
      </w:pPr>
      <w:r>
        <w:rPr>
          <w:rFonts w:hint="eastAsia" w:ascii="宋体" w:hAnsi="宋体" w:cs="宋体"/>
          <w:color w:val="auto"/>
          <w:sz w:val="24"/>
          <w:szCs w:val="24"/>
          <w:highlight w:val="none"/>
        </w:rPr>
        <w:t>6.其他合同文件。</w:t>
      </w:r>
    </w:p>
    <w:p w14:paraId="3EB94D0A">
      <w:pPr>
        <w:snapToGrid w:val="0"/>
        <w:spacing w:line="400" w:lineRule="exact"/>
        <w:ind w:firstLine="480" w:firstLineChars="200"/>
        <w:rPr>
          <w:rFonts w:hint="eastAsia" w:ascii="宋体" w:hAnsi="宋体" w:cs="宋体"/>
          <w:b/>
          <w:color w:val="auto"/>
          <w:sz w:val="24"/>
          <w:szCs w:val="24"/>
          <w:highlight w:val="none"/>
        </w:rPr>
      </w:pPr>
      <w:r>
        <w:rPr>
          <w:rFonts w:hint="eastAsia" w:ascii="宋体" w:hAnsi="宋体" w:cs="宋体"/>
          <w:color w:val="auto"/>
          <w:sz w:val="24"/>
          <w:szCs w:val="24"/>
          <w:highlight w:val="none"/>
        </w:rPr>
        <w:t>7.上述合同文件互相补充和解释。如果合同文件之间存在矛盾或不一致之处，以上述文件的排列顺序在先者为准。</w:t>
      </w:r>
    </w:p>
    <w:p w14:paraId="03BBF7F3">
      <w:pPr>
        <w:snapToGrid w:val="0"/>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第十</w:t>
      </w:r>
      <w:r>
        <w:rPr>
          <w:rFonts w:hint="eastAsia" w:ascii="宋体" w:hAnsi="宋体" w:cs="宋体"/>
          <w:b/>
          <w:bCs/>
          <w:color w:val="auto"/>
          <w:sz w:val="24"/>
          <w:szCs w:val="24"/>
          <w:highlight w:val="none"/>
          <w:lang w:eastAsia="zh-CN"/>
        </w:rPr>
        <w:t>六</w:t>
      </w:r>
      <w:r>
        <w:rPr>
          <w:rFonts w:hint="eastAsia" w:ascii="宋体" w:hAnsi="宋体" w:cs="宋体"/>
          <w:b/>
          <w:bCs/>
          <w:color w:val="auto"/>
          <w:sz w:val="24"/>
          <w:szCs w:val="24"/>
          <w:highlight w:val="none"/>
        </w:rPr>
        <w:t>条</w:t>
      </w:r>
      <w:r>
        <w:rPr>
          <w:rFonts w:hint="eastAsia" w:ascii="宋体" w:hAnsi="宋体" w:cs="宋体"/>
          <w:color w:val="auto"/>
          <w:sz w:val="24"/>
          <w:szCs w:val="24"/>
          <w:highlight w:val="none"/>
        </w:rPr>
        <w:t>　</w:t>
      </w:r>
      <w:r>
        <w:rPr>
          <w:rFonts w:hint="eastAsia" w:ascii="宋体" w:hAnsi="宋体" w:cs="宋体"/>
          <w:b/>
          <w:bCs/>
          <w:color w:val="auto"/>
          <w:sz w:val="24"/>
          <w:szCs w:val="24"/>
          <w:highlight w:val="none"/>
        </w:rPr>
        <w:t xml:space="preserve"> 合同生效及其它</w:t>
      </w:r>
    </w:p>
    <w:p w14:paraId="43F04EDB">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1.合同经双方法定代表人或授权代表（委托代理人）签字并加盖单位公章后生效。</w:t>
      </w:r>
    </w:p>
    <w:p w14:paraId="43E6B733">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2.本合同一式陆份，甲方执肆份，乙方和代理机构各执壹份，具有同等法律效力。</w:t>
      </w:r>
    </w:p>
    <w:p w14:paraId="5558BCBC">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3.本合同未尽事宜，遵照《民法典》有关条文执行。</w:t>
      </w:r>
    </w:p>
    <w:tbl>
      <w:tblPr>
        <w:tblStyle w:val="34"/>
        <w:tblpPr w:leftFromText="180" w:rightFromText="180" w:vertAnchor="text" w:horzAnchor="margin" w:tblpY="214"/>
        <w:tblW w:w="9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6550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vAlign w:val="center"/>
          </w:tcPr>
          <w:p w14:paraId="638CE0BE">
            <w:pPr>
              <w:snapToGrid/>
              <w:spacing w:line="500" w:lineRule="exact"/>
              <w:ind w:firstLine="420" w:firstLineChars="200"/>
              <w:rPr>
                <w:rFonts w:hint="eastAsia" w:ascii="宋体" w:hAnsi="宋体" w:eastAsia="宋体" w:cs="宋体"/>
                <w:bCs/>
                <w:color w:val="auto"/>
                <w:sz w:val="21"/>
                <w:szCs w:val="21"/>
                <w:highlight w:val="none"/>
              </w:rPr>
            </w:pPr>
            <w:bookmarkStart w:id="168" w:name="_Toc1004"/>
            <w:bookmarkStart w:id="169" w:name="_Toc18254"/>
            <w:bookmarkStart w:id="170" w:name="_Toc5757"/>
            <w:bookmarkStart w:id="171" w:name="_Toc24101"/>
            <w:r>
              <w:rPr>
                <w:rFonts w:hint="eastAsia" w:ascii="宋体" w:hAnsi="宋体" w:eastAsia="宋体" w:cs="宋体"/>
                <w:bCs/>
                <w:color w:val="auto"/>
                <w:sz w:val="21"/>
                <w:szCs w:val="21"/>
                <w:highlight w:val="none"/>
              </w:rPr>
              <w:t>甲方：（章）</w:t>
            </w:r>
          </w:p>
          <w:p w14:paraId="16ED2938">
            <w:pPr>
              <w:snapToGrid/>
              <w:spacing w:line="500" w:lineRule="exact"/>
              <w:ind w:firstLine="420" w:firstLineChars="200"/>
              <w:rPr>
                <w:rFonts w:hint="eastAsia" w:ascii="宋体" w:hAnsi="宋体" w:eastAsia="宋体" w:cs="宋体"/>
                <w:bCs/>
                <w:color w:val="auto"/>
                <w:sz w:val="21"/>
                <w:szCs w:val="21"/>
                <w:highlight w:val="none"/>
              </w:rPr>
            </w:pPr>
          </w:p>
          <w:p w14:paraId="12E5F0A4">
            <w:pPr>
              <w:snapToGrid/>
              <w:spacing w:line="500" w:lineRule="exact"/>
              <w:ind w:firstLine="420" w:firstLineChars="200"/>
              <w:rPr>
                <w:rFonts w:hint="eastAsia" w:ascii="宋体" w:hAnsi="宋体" w:eastAsia="宋体" w:cs="宋体"/>
                <w:bCs/>
                <w:color w:val="auto"/>
                <w:sz w:val="21"/>
                <w:szCs w:val="21"/>
                <w:highlight w:val="none"/>
              </w:rPr>
            </w:pPr>
          </w:p>
          <w:p w14:paraId="70AF5AD2">
            <w:pPr>
              <w:snapToGrid/>
              <w:spacing w:line="500" w:lineRule="exact"/>
              <w:ind w:firstLine="420" w:firstLineChars="200"/>
              <w:jc w:val="left"/>
              <w:rPr>
                <w:rFonts w:hint="eastAsia" w:ascii="宋体" w:hAnsi="宋体" w:eastAsia="宋体" w:cs="宋体"/>
                <w:bCs/>
                <w:color w:val="auto"/>
                <w:sz w:val="21"/>
                <w:szCs w:val="21"/>
                <w:highlight w:val="none"/>
              </w:rPr>
            </w:pPr>
          </w:p>
          <w:p w14:paraId="763C07B7">
            <w:pPr>
              <w:snapToGrid/>
              <w:spacing w:line="5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vAlign w:val="center"/>
          </w:tcPr>
          <w:p w14:paraId="46054427">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乙方：（章）       </w:t>
            </w:r>
          </w:p>
          <w:p w14:paraId="6F03E306">
            <w:pPr>
              <w:snapToGrid/>
              <w:spacing w:line="500" w:lineRule="exact"/>
              <w:ind w:firstLine="420" w:firstLineChars="200"/>
              <w:rPr>
                <w:rFonts w:hint="eastAsia" w:ascii="宋体" w:hAnsi="宋体" w:eastAsia="宋体" w:cs="宋体"/>
                <w:bCs/>
                <w:color w:val="auto"/>
                <w:sz w:val="21"/>
                <w:szCs w:val="21"/>
                <w:highlight w:val="none"/>
              </w:rPr>
            </w:pPr>
          </w:p>
          <w:p w14:paraId="52F4A769">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p>
          <w:p w14:paraId="3B18CAEB">
            <w:pPr>
              <w:snapToGrid/>
              <w:spacing w:line="500" w:lineRule="exact"/>
              <w:ind w:firstLine="420" w:firstLineChars="200"/>
              <w:jc w:val="left"/>
              <w:rPr>
                <w:rFonts w:hint="eastAsia" w:ascii="宋体" w:hAnsi="宋体" w:eastAsia="宋体" w:cs="宋体"/>
                <w:bCs/>
                <w:color w:val="auto"/>
                <w:sz w:val="21"/>
                <w:szCs w:val="21"/>
                <w:highlight w:val="none"/>
              </w:rPr>
            </w:pPr>
          </w:p>
          <w:p w14:paraId="78992E6D">
            <w:pPr>
              <w:snapToGrid/>
              <w:spacing w:line="5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年   月   日</w:t>
            </w:r>
          </w:p>
        </w:tc>
      </w:tr>
      <w:tr w14:paraId="3EAC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61BDE69A">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单位地址： </w:t>
            </w:r>
          </w:p>
        </w:tc>
        <w:tc>
          <w:tcPr>
            <w:tcW w:w="4583" w:type="dxa"/>
            <w:tcBorders>
              <w:top w:val="single" w:color="auto" w:sz="4" w:space="0"/>
              <w:left w:val="single" w:color="auto" w:sz="4" w:space="0"/>
              <w:bottom w:val="single" w:color="auto" w:sz="4" w:space="0"/>
              <w:right w:val="single" w:color="auto" w:sz="4" w:space="0"/>
            </w:tcBorders>
            <w:vAlign w:val="center"/>
          </w:tcPr>
          <w:p w14:paraId="5AA56567">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单位地址： </w:t>
            </w:r>
          </w:p>
        </w:tc>
      </w:tr>
      <w:tr w14:paraId="0DF3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1F79DC46">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法定代表人（负责人）：</w:t>
            </w:r>
          </w:p>
        </w:tc>
        <w:tc>
          <w:tcPr>
            <w:tcW w:w="4583" w:type="dxa"/>
            <w:tcBorders>
              <w:top w:val="single" w:color="auto" w:sz="4" w:space="0"/>
              <w:left w:val="single" w:color="auto" w:sz="4" w:space="0"/>
              <w:bottom w:val="single" w:color="auto" w:sz="4" w:space="0"/>
              <w:right w:val="single" w:color="auto" w:sz="4" w:space="0"/>
            </w:tcBorders>
            <w:vAlign w:val="center"/>
          </w:tcPr>
          <w:p w14:paraId="23D26156">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法定代表人（负责人）：</w:t>
            </w:r>
          </w:p>
        </w:tc>
      </w:tr>
      <w:tr w14:paraId="46A6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6EA50794">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vAlign w:val="center"/>
          </w:tcPr>
          <w:p w14:paraId="421148F8">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委托代理人：</w:t>
            </w:r>
          </w:p>
        </w:tc>
      </w:tr>
      <w:tr w14:paraId="34DE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2BB0BE32">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vAlign w:val="center"/>
          </w:tcPr>
          <w:p w14:paraId="30B55476">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电话：</w:t>
            </w:r>
          </w:p>
        </w:tc>
      </w:tr>
      <w:tr w14:paraId="4F34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228E1956">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vAlign w:val="center"/>
          </w:tcPr>
          <w:p w14:paraId="660CEE29">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开户银行： </w:t>
            </w:r>
          </w:p>
        </w:tc>
      </w:tr>
      <w:tr w14:paraId="2825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567CE7CC">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vAlign w:val="center"/>
          </w:tcPr>
          <w:p w14:paraId="02BB21DE">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账号：</w:t>
            </w:r>
          </w:p>
        </w:tc>
      </w:tr>
      <w:tr w14:paraId="58AE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1644B378">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vAlign w:val="center"/>
          </w:tcPr>
          <w:p w14:paraId="0549B21D">
            <w:pPr>
              <w:snapToGrid/>
              <w:spacing w:line="5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邮政编码：</w:t>
            </w:r>
          </w:p>
        </w:tc>
      </w:tr>
    </w:tbl>
    <w:p w14:paraId="018AA2C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0B4D5CE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62DCF87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0A75C26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3189F5E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6CB668F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6BDC91B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541A69B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bookmarkEnd w:id="168"/>
    <w:bookmarkEnd w:id="169"/>
    <w:bookmarkEnd w:id="170"/>
    <w:bookmarkEnd w:id="171"/>
    <w:p w14:paraId="7CBF8D56">
      <w:pPr>
        <w:snapToGrid w:val="0"/>
        <w:rPr>
          <w:rFonts w:ascii="宋体" w:hAnsi="宋体" w:cs="仿宋_GB2312"/>
          <w:bCs/>
          <w:color w:val="auto"/>
          <w:kern w:val="44"/>
          <w:sz w:val="44"/>
          <w:szCs w:val="44"/>
          <w:highlight w:val="none"/>
        </w:rPr>
      </w:pPr>
    </w:p>
    <w:p w14:paraId="4B30E098">
      <w:pPr>
        <w:pStyle w:val="3"/>
        <w:spacing w:before="0" w:after="0" w:line="460" w:lineRule="exact"/>
        <w:jc w:val="center"/>
        <w:rPr>
          <w:rFonts w:hint="eastAsia" w:ascii="宋体" w:hAnsi="宋体" w:cs="仿宋_GB2312"/>
          <w:color w:val="auto"/>
          <w:highlight w:val="none"/>
        </w:rPr>
      </w:pPr>
      <w:bookmarkStart w:id="172" w:name="_Toc4019"/>
      <w:bookmarkStart w:id="173" w:name="_Toc6585"/>
      <w:bookmarkStart w:id="174" w:name="_Toc25754"/>
      <w:bookmarkStart w:id="175" w:name="_Toc22323"/>
      <w:bookmarkStart w:id="176" w:name="_Toc22260"/>
    </w:p>
    <w:p w14:paraId="6726E345">
      <w:pPr>
        <w:pStyle w:val="3"/>
        <w:spacing w:before="0" w:after="0" w:line="460" w:lineRule="exact"/>
        <w:jc w:val="center"/>
        <w:rPr>
          <w:rFonts w:hint="eastAsia" w:ascii="宋体" w:hAnsi="宋体" w:cs="仿宋_GB2312"/>
          <w:color w:val="auto"/>
          <w:highlight w:val="none"/>
        </w:rPr>
      </w:pPr>
    </w:p>
    <w:p w14:paraId="657F891F">
      <w:pPr>
        <w:pStyle w:val="3"/>
        <w:spacing w:before="0" w:after="0" w:line="460" w:lineRule="exact"/>
        <w:jc w:val="center"/>
        <w:rPr>
          <w:rFonts w:hint="eastAsia" w:ascii="宋体" w:hAnsi="宋体" w:cs="仿宋_GB2312"/>
          <w:color w:val="auto"/>
          <w:highlight w:val="none"/>
        </w:rPr>
      </w:pPr>
    </w:p>
    <w:p w14:paraId="4BED0B0D">
      <w:pPr>
        <w:pStyle w:val="3"/>
        <w:spacing w:before="0" w:after="0" w:line="460" w:lineRule="exact"/>
        <w:jc w:val="center"/>
        <w:rPr>
          <w:rFonts w:hint="eastAsia" w:ascii="宋体" w:hAnsi="宋体" w:cs="仿宋_GB2312"/>
          <w:color w:val="auto"/>
          <w:highlight w:val="none"/>
        </w:rPr>
      </w:pPr>
    </w:p>
    <w:p w14:paraId="0953B031">
      <w:pPr>
        <w:pStyle w:val="3"/>
        <w:spacing w:before="0" w:after="0" w:line="460" w:lineRule="exact"/>
        <w:jc w:val="center"/>
        <w:rPr>
          <w:rFonts w:hint="eastAsia" w:ascii="宋体" w:hAnsi="宋体" w:cs="仿宋_GB2312"/>
          <w:color w:val="auto"/>
          <w:highlight w:val="none"/>
        </w:rPr>
      </w:pPr>
    </w:p>
    <w:p w14:paraId="0A54834E">
      <w:pPr>
        <w:pStyle w:val="3"/>
        <w:spacing w:before="0" w:after="0" w:line="460" w:lineRule="exact"/>
        <w:jc w:val="center"/>
        <w:rPr>
          <w:rFonts w:ascii="宋体" w:hAnsi="宋体" w:cs="仿宋_GB2312"/>
          <w:color w:val="auto"/>
          <w:highlight w:val="none"/>
        </w:rPr>
      </w:pPr>
      <w:r>
        <w:rPr>
          <w:rFonts w:hint="eastAsia" w:ascii="宋体" w:hAnsi="宋体" w:cs="仿宋_GB2312"/>
          <w:color w:val="auto"/>
          <w:highlight w:val="none"/>
        </w:rPr>
        <w:t>第七章 质疑、投诉材料格式</w:t>
      </w:r>
      <w:bookmarkEnd w:id="163"/>
      <w:bookmarkEnd w:id="172"/>
      <w:bookmarkEnd w:id="173"/>
      <w:bookmarkEnd w:id="174"/>
      <w:bookmarkEnd w:id="175"/>
      <w:bookmarkEnd w:id="176"/>
    </w:p>
    <w:p w14:paraId="09030DE5">
      <w:pPr>
        <w:spacing w:line="360" w:lineRule="auto"/>
        <w:jc w:val="center"/>
        <w:rPr>
          <w:rFonts w:hint="eastAsia" w:ascii="宋体" w:hAnsi="宋体" w:cs="宋体"/>
          <w:b/>
          <w:color w:val="auto"/>
          <w:sz w:val="44"/>
          <w:szCs w:val="44"/>
          <w:highlight w:val="none"/>
        </w:rPr>
      </w:pPr>
    </w:p>
    <w:p w14:paraId="2D1B20E6">
      <w:pPr>
        <w:spacing w:line="360" w:lineRule="auto"/>
        <w:jc w:val="center"/>
        <w:rPr>
          <w:rFonts w:hint="eastAsia" w:ascii="宋体" w:hAnsi="宋体" w:cs="宋体"/>
          <w:b/>
          <w:color w:val="auto"/>
          <w:sz w:val="44"/>
          <w:szCs w:val="44"/>
          <w:highlight w:val="none"/>
        </w:rPr>
      </w:pPr>
    </w:p>
    <w:p w14:paraId="3E938395">
      <w:pPr>
        <w:spacing w:line="360" w:lineRule="auto"/>
        <w:jc w:val="center"/>
        <w:rPr>
          <w:rFonts w:hint="eastAsia" w:ascii="宋体" w:hAnsi="宋体" w:cs="宋体"/>
          <w:b/>
          <w:color w:val="auto"/>
          <w:sz w:val="44"/>
          <w:szCs w:val="44"/>
          <w:highlight w:val="none"/>
        </w:rPr>
      </w:pPr>
    </w:p>
    <w:p w14:paraId="3337AE32">
      <w:pPr>
        <w:spacing w:line="360" w:lineRule="auto"/>
        <w:jc w:val="center"/>
        <w:rPr>
          <w:rFonts w:hint="eastAsia" w:ascii="宋体" w:hAnsi="宋体" w:cs="宋体"/>
          <w:b/>
          <w:color w:val="auto"/>
          <w:sz w:val="44"/>
          <w:szCs w:val="44"/>
          <w:highlight w:val="none"/>
        </w:rPr>
      </w:pPr>
    </w:p>
    <w:p w14:paraId="4485A9AB">
      <w:pPr>
        <w:spacing w:line="360" w:lineRule="auto"/>
        <w:jc w:val="center"/>
        <w:rPr>
          <w:rFonts w:hint="eastAsia" w:ascii="宋体" w:hAnsi="宋体" w:cs="宋体"/>
          <w:b/>
          <w:color w:val="auto"/>
          <w:sz w:val="44"/>
          <w:szCs w:val="44"/>
          <w:highlight w:val="none"/>
        </w:rPr>
      </w:pPr>
    </w:p>
    <w:p w14:paraId="2F7A4BEC">
      <w:pPr>
        <w:spacing w:line="360" w:lineRule="auto"/>
        <w:jc w:val="center"/>
        <w:rPr>
          <w:rFonts w:hint="eastAsia" w:ascii="宋体" w:hAnsi="宋体" w:cs="宋体"/>
          <w:b/>
          <w:color w:val="auto"/>
          <w:sz w:val="44"/>
          <w:szCs w:val="44"/>
          <w:highlight w:val="none"/>
        </w:rPr>
      </w:pPr>
    </w:p>
    <w:p w14:paraId="32792548">
      <w:pPr>
        <w:spacing w:line="360" w:lineRule="auto"/>
        <w:jc w:val="center"/>
        <w:rPr>
          <w:rFonts w:hint="eastAsia" w:ascii="宋体" w:hAnsi="宋体" w:cs="宋体"/>
          <w:b/>
          <w:color w:val="auto"/>
          <w:sz w:val="44"/>
          <w:szCs w:val="44"/>
          <w:highlight w:val="none"/>
        </w:rPr>
      </w:pPr>
    </w:p>
    <w:p w14:paraId="28FE3F1D">
      <w:pPr>
        <w:spacing w:line="360" w:lineRule="auto"/>
        <w:jc w:val="center"/>
        <w:rPr>
          <w:rFonts w:hint="eastAsia" w:ascii="宋体" w:hAnsi="宋体" w:cs="宋体"/>
          <w:b/>
          <w:color w:val="auto"/>
          <w:sz w:val="44"/>
          <w:szCs w:val="44"/>
          <w:highlight w:val="none"/>
        </w:rPr>
      </w:pPr>
    </w:p>
    <w:p w14:paraId="579CEBBF">
      <w:pPr>
        <w:spacing w:line="360" w:lineRule="auto"/>
        <w:jc w:val="center"/>
        <w:rPr>
          <w:rFonts w:hint="eastAsia" w:ascii="宋体" w:hAnsi="宋体" w:cs="宋体"/>
          <w:b/>
          <w:color w:val="auto"/>
          <w:sz w:val="44"/>
          <w:szCs w:val="44"/>
          <w:highlight w:val="none"/>
        </w:rPr>
      </w:pPr>
    </w:p>
    <w:p w14:paraId="753BE9B7">
      <w:pPr>
        <w:spacing w:line="360" w:lineRule="auto"/>
        <w:jc w:val="center"/>
        <w:rPr>
          <w:rFonts w:hint="eastAsia" w:ascii="宋体" w:hAnsi="宋体" w:cs="宋体"/>
          <w:b/>
          <w:color w:val="auto"/>
          <w:sz w:val="44"/>
          <w:szCs w:val="44"/>
          <w:highlight w:val="none"/>
        </w:rPr>
      </w:pPr>
    </w:p>
    <w:p w14:paraId="1422AFEC">
      <w:pPr>
        <w:spacing w:line="360" w:lineRule="auto"/>
        <w:jc w:val="center"/>
        <w:rPr>
          <w:rFonts w:hint="eastAsia" w:ascii="宋体" w:hAnsi="宋体" w:cs="宋体"/>
          <w:b/>
          <w:color w:val="auto"/>
          <w:sz w:val="44"/>
          <w:szCs w:val="44"/>
          <w:highlight w:val="none"/>
        </w:rPr>
      </w:pPr>
    </w:p>
    <w:p w14:paraId="03ED3AEB">
      <w:pPr>
        <w:spacing w:line="360" w:lineRule="auto"/>
        <w:jc w:val="center"/>
        <w:rPr>
          <w:rFonts w:hint="eastAsia" w:ascii="宋体" w:hAnsi="宋体" w:cs="宋体"/>
          <w:b/>
          <w:color w:val="auto"/>
          <w:sz w:val="44"/>
          <w:szCs w:val="44"/>
          <w:highlight w:val="none"/>
        </w:rPr>
      </w:pPr>
    </w:p>
    <w:p w14:paraId="28862AF5">
      <w:pPr>
        <w:spacing w:line="360" w:lineRule="auto"/>
        <w:jc w:val="center"/>
        <w:rPr>
          <w:rFonts w:hint="eastAsia" w:ascii="宋体" w:hAnsi="宋体" w:cs="宋体"/>
          <w:b/>
          <w:color w:val="auto"/>
          <w:sz w:val="44"/>
          <w:szCs w:val="44"/>
          <w:highlight w:val="none"/>
        </w:rPr>
      </w:pPr>
    </w:p>
    <w:p w14:paraId="3CD28C4B">
      <w:pPr>
        <w:spacing w:line="360" w:lineRule="auto"/>
        <w:jc w:val="center"/>
        <w:rPr>
          <w:rFonts w:hint="eastAsia" w:ascii="宋体" w:hAnsi="宋体" w:cs="宋体"/>
          <w:b/>
          <w:color w:val="auto"/>
          <w:sz w:val="44"/>
          <w:szCs w:val="44"/>
          <w:highlight w:val="none"/>
        </w:rPr>
      </w:pPr>
    </w:p>
    <w:p w14:paraId="1F6D566B">
      <w:pPr>
        <w:spacing w:line="360" w:lineRule="auto"/>
        <w:jc w:val="center"/>
        <w:rPr>
          <w:rFonts w:hint="eastAsia" w:ascii="宋体" w:hAnsi="宋体" w:cs="宋体"/>
          <w:b/>
          <w:color w:val="auto"/>
          <w:sz w:val="44"/>
          <w:szCs w:val="44"/>
          <w:highlight w:val="none"/>
        </w:rPr>
      </w:pPr>
    </w:p>
    <w:p w14:paraId="149D23A8">
      <w:pPr>
        <w:spacing w:line="360" w:lineRule="auto"/>
        <w:jc w:val="center"/>
        <w:rPr>
          <w:rFonts w:hint="eastAsia" w:ascii="宋体" w:hAnsi="宋体" w:cs="宋体"/>
          <w:b/>
          <w:color w:val="auto"/>
          <w:sz w:val="44"/>
          <w:szCs w:val="44"/>
          <w:highlight w:val="none"/>
        </w:rPr>
      </w:pPr>
    </w:p>
    <w:p w14:paraId="72794D8F">
      <w:pPr>
        <w:spacing w:line="360" w:lineRule="auto"/>
        <w:jc w:val="center"/>
        <w:rPr>
          <w:rFonts w:hint="eastAsia" w:ascii="宋体" w:hAnsi="宋体" w:cs="宋体"/>
          <w:b/>
          <w:color w:val="auto"/>
          <w:sz w:val="44"/>
          <w:szCs w:val="44"/>
          <w:highlight w:val="none"/>
        </w:rPr>
      </w:pPr>
    </w:p>
    <w:p w14:paraId="6684DE8A">
      <w:pPr>
        <w:spacing w:line="360" w:lineRule="auto"/>
        <w:jc w:val="center"/>
        <w:rPr>
          <w:rFonts w:hint="eastAsia" w:ascii="宋体" w:hAnsi="宋体" w:cs="宋体"/>
          <w:b/>
          <w:color w:val="auto"/>
          <w:sz w:val="44"/>
          <w:szCs w:val="44"/>
          <w:highlight w:val="none"/>
        </w:rPr>
      </w:pPr>
    </w:p>
    <w:p w14:paraId="5F84F86B">
      <w:pPr>
        <w:spacing w:line="360" w:lineRule="auto"/>
        <w:jc w:val="center"/>
        <w:rPr>
          <w:rFonts w:hint="eastAsia" w:ascii="宋体" w:hAnsi="宋体" w:cs="宋体"/>
          <w:b/>
          <w:color w:val="auto"/>
          <w:sz w:val="44"/>
          <w:szCs w:val="44"/>
          <w:highlight w:val="none"/>
        </w:rPr>
      </w:pPr>
    </w:p>
    <w:p w14:paraId="4B3A5F90">
      <w:pPr>
        <w:spacing w:line="360" w:lineRule="auto"/>
        <w:jc w:val="center"/>
        <w:rPr>
          <w:rFonts w:ascii="宋体" w:hAnsi="宋体" w:cs="宋体"/>
          <w:b/>
          <w:bCs/>
          <w:color w:val="auto"/>
          <w:sz w:val="32"/>
          <w:szCs w:val="32"/>
          <w:highlight w:val="none"/>
        </w:rPr>
      </w:pPr>
      <w:r>
        <w:rPr>
          <w:rFonts w:hint="eastAsia" w:ascii="宋体" w:hAnsi="宋体" w:cs="宋体"/>
          <w:b/>
          <w:color w:val="auto"/>
          <w:sz w:val="44"/>
          <w:szCs w:val="44"/>
          <w:highlight w:val="none"/>
        </w:rPr>
        <w:t>质疑函</w:t>
      </w:r>
      <w:r>
        <w:rPr>
          <w:rFonts w:hint="eastAsia" w:ascii="宋体" w:hAnsi="宋体" w:cs="宋体"/>
          <w:color w:val="auto"/>
          <w:sz w:val="28"/>
          <w:szCs w:val="28"/>
          <w:highlight w:val="none"/>
        </w:rPr>
        <w:t>（格式）</w:t>
      </w:r>
    </w:p>
    <w:p w14:paraId="1D9FBAAD">
      <w:pPr>
        <w:pStyle w:val="20"/>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1A736C2E">
      <w:pPr>
        <w:pStyle w:val="20"/>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质疑供应商：</w:t>
      </w:r>
    </w:p>
    <w:p w14:paraId="3035D733">
      <w:pPr>
        <w:pStyle w:val="20"/>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地址：邮编：</w:t>
      </w:r>
    </w:p>
    <w:p w14:paraId="2EC7E2D2">
      <w:pPr>
        <w:pStyle w:val="20"/>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联系人：联系电话：</w:t>
      </w:r>
    </w:p>
    <w:p w14:paraId="670A183F">
      <w:pPr>
        <w:pStyle w:val="20"/>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授权代表：</w:t>
      </w:r>
    </w:p>
    <w:p w14:paraId="7A1639AF">
      <w:pPr>
        <w:pStyle w:val="20"/>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联系电话：</w:t>
      </w:r>
    </w:p>
    <w:p w14:paraId="25148CB7">
      <w:pPr>
        <w:pStyle w:val="20"/>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地址：邮编：</w:t>
      </w:r>
    </w:p>
    <w:p w14:paraId="7B0717D4">
      <w:pPr>
        <w:pStyle w:val="20"/>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19E06034">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p>
    <w:p w14:paraId="699DFE75">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p>
    <w:p w14:paraId="15545754">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采购人名称：</w:t>
      </w:r>
    </w:p>
    <w:p w14:paraId="687633AA">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w:t>
      </w:r>
    </w:p>
    <w:p w14:paraId="272A1602">
      <w:pPr>
        <w:pStyle w:val="20"/>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p>
    <w:p w14:paraId="4A987EFF">
      <w:pPr>
        <w:pStyle w:val="20"/>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0659CF47">
      <w:pPr>
        <w:pStyle w:val="20"/>
        <w:spacing w:line="360" w:lineRule="auto"/>
        <w:ind w:left="25" w:leftChars="12" w:firstLine="352" w:firstLineChars="147"/>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797143F9">
      <w:pPr>
        <w:pStyle w:val="20"/>
        <w:spacing w:line="360" w:lineRule="auto"/>
        <w:ind w:left="25" w:leftChars="12" w:firstLine="472" w:firstLineChars="196"/>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00C9A0C8">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质疑事项1：</w:t>
      </w:r>
    </w:p>
    <w:p w14:paraId="7BEA4A5C">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事实依据：</w:t>
      </w:r>
    </w:p>
    <w:p w14:paraId="45B149C0">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法律依据：</w:t>
      </w:r>
    </w:p>
    <w:p w14:paraId="72EC051B">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4BD8E9BD">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w:t>
      </w:r>
    </w:p>
    <w:p w14:paraId="0AB8B214">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28B1570F">
      <w:pPr>
        <w:pStyle w:val="20"/>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请求：</w:t>
      </w:r>
    </w:p>
    <w:p w14:paraId="7F7A8502">
      <w:pPr>
        <w:pStyle w:val="20"/>
        <w:spacing w:line="360" w:lineRule="auto"/>
        <w:ind w:left="25" w:leftChars="12" w:firstLine="352" w:firstLineChars="147"/>
        <w:contextualSpacing/>
        <w:rPr>
          <w:rFonts w:hAnsi="宋体" w:cs="宋体"/>
          <w:color w:val="auto"/>
          <w:sz w:val="24"/>
          <w:szCs w:val="24"/>
          <w:highlight w:val="none"/>
        </w:rPr>
      </w:pPr>
    </w:p>
    <w:p w14:paraId="2586F667">
      <w:pPr>
        <w:pStyle w:val="20"/>
        <w:spacing w:line="360" w:lineRule="auto"/>
        <w:ind w:left="25" w:leftChars="12" w:firstLine="2632" w:firstLineChars="1097"/>
        <w:contextualSpacing/>
        <w:rPr>
          <w:rFonts w:hAnsi="宋体" w:cs="宋体"/>
          <w:color w:val="auto"/>
          <w:sz w:val="24"/>
          <w:szCs w:val="24"/>
          <w:highlight w:val="none"/>
        </w:rPr>
      </w:pPr>
      <w:r>
        <w:rPr>
          <w:rFonts w:hint="eastAsia" w:hAnsi="宋体" w:cs="宋体"/>
          <w:color w:val="auto"/>
          <w:sz w:val="24"/>
          <w:szCs w:val="24"/>
          <w:highlight w:val="none"/>
        </w:rPr>
        <w:t xml:space="preserve">签字（签章）：                                       </w:t>
      </w:r>
    </w:p>
    <w:p w14:paraId="36D2E0A3">
      <w:pPr>
        <w:pStyle w:val="20"/>
        <w:spacing w:line="360" w:lineRule="auto"/>
        <w:ind w:left="25" w:leftChars="12" w:firstLine="2632" w:firstLineChars="1097"/>
        <w:contextualSpacing/>
        <w:rPr>
          <w:rFonts w:hAnsi="宋体" w:cs="宋体"/>
          <w:color w:val="auto"/>
          <w:sz w:val="24"/>
          <w:szCs w:val="24"/>
          <w:highlight w:val="none"/>
        </w:rPr>
      </w:pPr>
      <w:r>
        <w:rPr>
          <w:rFonts w:hint="eastAsia" w:hAnsi="宋体" w:cs="宋体"/>
          <w:color w:val="auto"/>
          <w:sz w:val="24"/>
          <w:szCs w:val="24"/>
          <w:highlight w:val="none"/>
        </w:rPr>
        <w:t>公章：</w:t>
      </w:r>
    </w:p>
    <w:p w14:paraId="623E66A4">
      <w:pPr>
        <w:pStyle w:val="20"/>
        <w:spacing w:line="360" w:lineRule="auto"/>
        <w:ind w:firstLine="2640" w:firstLineChars="1100"/>
        <w:contextualSpacing/>
        <w:rPr>
          <w:rFonts w:hAnsi="宋体" w:cs="宋体"/>
          <w:color w:val="auto"/>
          <w:sz w:val="24"/>
          <w:szCs w:val="24"/>
          <w:highlight w:val="none"/>
        </w:rPr>
      </w:pPr>
      <w:r>
        <w:rPr>
          <w:rFonts w:hint="eastAsia" w:hAnsi="宋体" w:cs="宋体"/>
          <w:color w:val="auto"/>
          <w:sz w:val="24"/>
          <w:szCs w:val="24"/>
          <w:highlight w:val="none"/>
        </w:rPr>
        <w:t>日期： 年 月 日</w:t>
      </w:r>
    </w:p>
    <w:p w14:paraId="1DF088E7">
      <w:pPr>
        <w:pStyle w:val="20"/>
        <w:spacing w:line="360" w:lineRule="auto"/>
        <w:ind w:firstLine="482" w:firstLineChars="200"/>
        <w:contextualSpacing/>
        <w:rPr>
          <w:rFonts w:ascii="楷体" w:hAnsi="楷体" w:eastAsia="楷体" w:cs="宋体"/>
          <w:b/>
          <w:color w:val="auto"/>
          <w:sz w:val="24"/>
          <w:szCs w:val="24"/>
          <w:highlight w:val="none"/>
        </w:rPr>
      </w:pPr>
      <w:r>
        <w:rPr>
          <w:rFonts w:hint="eastAsia" w:ascii="楷体" w:hAnsi="楷体" w:eastAsia="楷体" w:cs="宋体"/>
          <w:b/>
          <w:color w:val="auto"/>
          <w:sz w:val="24"/>
          <w:szCs w:val="24"/>
          <w:highlight w:val="none"/>
        </w:rPr>
        <w:t>说明：</w:t>
      </w:r>
    </w:p>
    <w:p w14:paraId="52C246D5">
      <w:pPr>
        <w:pStyle w:val="20"/>
        <w:spacing w:line="360" w:lineRule="auto"/>
        <w:ind w:left="25" w:leftChars="12" w:firstLine="354" w:firstLineChars="147"/>
        <w:contextualSpacing/>
        <w:rPr>
          <w:rFonts w:ascii="楷体" w:hAnsi="楷体" w:eastAsia="楷体" w:cs="宋体"/>
          <w:b/>
          <w:bCs/>
          <w:color w:val="auto"/>
          <w:sz w:val="24"/>
          <w:szCs w:val="24"/>
          <w:highlight w:val="none"/>
        </w:rPr>
      </w:pPr>
      <w:r>
        <w:rPr>
          <w:rFonts w:ascii="楷体" w:hAnsi="楷体" w:eastAsia="楷体" w:cs="宋体"/>
          <w:b/>
          <w:color w:val="auto"/>
          <w:sz w:val="24"/>
          <w:szCs w:val="24"/>
          <w:highlight w:val="none"/>
        </w:rPr>
        <w:t>1.供应商提出质疑时，应提交质疑函和必要的证明材料</w:t>
      </w:r>
      <w:r>
        <w:rPr>
          <w:rFonts w:hint="eastAsia" w:ascii="楷体" w:hAnsi="楷体" w:eastAsia="楷体" w:cs="宋体"/>
          <w:b/>
          <w:bCs/>
          <w:color w:val="auto"/>
          <w:sz w:val="24"/>
          <w:szCs w:val="24"/>
          <w:highlight w:val="none"/>
        </w:rPr>
        <w:t>。</w:t>
      </w:r>
    </w:p>
    <w:p w14:paraId="50507455">
      <w:pPr>
        <w:pStyle w:val="20"/>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2.质疑供应商若委托代理人进行质疑的，</w:t>
      </w:r>
      <w:r>
        <w:rPr>
          <w:rFonts w:hint="eastAsia" w:ascii="楷体" w:hAnsi="楷体" w:eastAsia="楷体" w:cs="宋体"/>
          <w:b/>
          <w:color w:val="auto"/>
          <w:sz w:val="24"/>
          <w:szCs w:val="24"/>
          <w:highlight w:val="none"/>
        </w:rPr>
        <w:t>质疑函应按要求列明“授权代表”的有关内容，并在附件中提交由质疑供应商签署的授权委托书。授权委托书应载明代理人的姓名或者名称、代理事项、具体权限、期限和相关事项。</w:t>
      </w:r>
    </w:p>
    <w:p w14:paraId="111356CC">
      <w:pPr>
        <w:pStyle w:val="20"/>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3.质疑函的质疑事项应具体、明确，并有必要的事实依据和法律依据。</w:t>
      </w:r>
    </w:p>
    <w:p w14:paraId="75A1769F">
      <w:pPr>
        <w:pStyle w:val="20"/>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4.质疑函的质疑请求应与质疑事项相关。</w:t>
      </w:r>
    </w:p>
    <w:p w14:paraId="25F0414D">
      <w:pPr>
        <w:pStyle w:val="20"/>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5.质疑供应商为法人或者其他组织的，</w:t>
      </w:r>
      <w:r>
        <w:rPr>
          <w:rFonts w:hint="eastAsia" w:ascii="楷体" w:hAnsi="楷体" w:eastAsia="楷体" w:cs="宋体"/>
          <w:b/>
          <w:color w:val="auto"/>
          <w:sz w:val="24"/>
          <w:szCs w:val="24"/>
          <w:highlight w:val="none"/>
        </w:rPr>
        <w:t>质疑函应由法定代表人、主要负责人，或者其授权代表签字或者盖章，并加盖公章。</w:t>
      </w:r>
    </w:p>
    <w:p w14:paraId="2CA14B49">
      <w:pPr>
        <w:pStyle w:val="20"/>
        <w:snapToGrid w:val="0"/>
        <w:rPr>
          <w:rFonts w:hAnsi="宋体" w:cs="宋体"/>
          <w:b/>
          <w:color w:val="auto"/>
          <w:sz w:val="24"/>
          <w:szCs w:val="24"/>
          <w:highlight w:val="none"/>
        </w:rPr>
      </w:pPr>
    </w:p>
    <w:p w14:paraId="4D877626">
      <w:pPr>
        <w:rPr>
          <w:rFonts w:ascii="宋体" w:hAnsi="宋体" w:cs="宋体"/>
          <w:color w:val="auto"/>
          <w:sz w:val="32"/>
          <w:szCs w:val="40"/>
          <w:highlight w:val="none"/>
        </w:rPr>
      </w:pPr>
    </w:p>
    <w:p w14:paraId="30C8BA62">
      <w:pPr>
        <w:rPr>
          <w:rFonts w:ascii="宋体" w:hAnsi="宋体" w:cs="宋体"/>
          <w:color w:val="auto"/>
          <w:sz w:val="32"/>
          <w:szCs w:val="40"/>
          <w:highlight w:val="none"/>
        </w:rPr>
      </w:pPr>
    </w:p>
    <w:p w14:paraId="6394FEBA">
      <w:pPr>
        <w:rPr>
          <w:rFonts w:ascii="宋体" w:hAnsi="宋体" w:cs="宋体"/>
          <w:color w:val="auto"/>
          <w:sz w:val="32"/>
          <w:szCs w:val="40"/>
          <w:highlight w:val="none"/>
        </w:rPr>
      </w:pPr>
    </w:p>
    <w:p w14:paraId="75772E63">
      <w:pPr>
        <w:rPr>
          <w:rFonts w:ascii="宋体" w:hAnsi="宋体" w:cs="宋体"/>
          <w:color w:val="auto"/>
          <w:sz w:val="32"/>
          <w:szCs w:val="40"/>
          <w:highlight w:val="none"/>
        </w:rPr>
      </w:pPr>
    </w:p>
    <w:p w14:paraId="27702C96">
      <w:pPr>
        <w:rPr>
          <w:rFonts w:ascii="宋体" w:hAnsi="宋体" w:cs="宋体"/>
          <w:color w:val="auto"/>
          <w:sz w:val="32"/>
          <w:szCs w:val="40"/>
          <w:highlight w:val="none"/>
        </w:rPr>
      </w:pPr>
    </w:p>
    <w:p w14:paraId="41C28C79">
      <w:pPr>
        <w:rPr>
          <w:rFonts w:ascii="宋体" w:hAnsi="宋体" w:cs="宋体"/>
          <w:color w:val="auto"/>
          <w:sz w:val="32"/>
          <w:szCs w:val="40"/>
          <w:highlight w:val="none"/>
        </w:rPr>
      </w:pPr>
    </w:p>
    <w:p w14:paraId="34C7F207">
      <w:pPr>
        <w:rPr>
          <w:rFonts w:ascii="宋体" w:hAnsi="宋体" w:cs="宋体"/>
          <w:color w:val="auto"/>
          <w:sz w:val="32"/>
          <w:szCs w:val="40"/>
          <w:highlight w:val="none"/>
        </w:rPr>
      </w:pPr>
    </w:p>
    <w:p w14:paraId="41A7D9B1">
      <w:pPr>
        <w:rPr>
          <w:rFonts w:ascii="宋体" w:hAnsi="宋体" w:cs="宋体"/>
          <w:color w:val="auto"/>
          <w:sz w:val="32"/>
          <w:szCs w:val="40"/>
          <w:highlight w:val="none"/>
        </w:rPr>
      </w:pPr>
    </w:p>
    <w:p w14:paraId="2530D97B">
      <w:pPr>
        <w:rPr>
          <w:rFonts w:ascii="宋体" w:hAnsi="宋体" w:cs="宋体"/>
          <w:color w:val="auto"/>
          <w:sz w:val="32"/>
          <w:szCs w:val="40"/>
          <w:highlight w:val="none"/>
        </w:rPr>
      </w:pPr>
    </w:p>
    <w:p w14:paraId="743301A5">
      <w:pPr>
        <w:rPr>
          <w:rFonts w:ascii="宋体" w:hAnsi="宋体" w:cs="宋体"/>
          <w:color w:val="auto"/>
          <w:sz w:val="32"/>
          <w:szCs w:val="40"/>
          <w:highlight w:val="none"/>
        </w:rPr>
      </w:pPr>
    </w:p>
    <w:p w14:paraId="5F6FE8B5">
      <w:pPr>
        <w:rPr>
          <w:rFonts w:ascii="宋体" w:hAnsi="宋体" w:cs="宋体"/>
          <w:color w:val="auto"/>
          <w:sz w:val="32"/>
          <w:szCs w:val="40"/>
          <w:highlight w:val="none"/>
        </w:rPr>
      </w:pPr>
    </w:p>
    <w:p w14:paraId="3CAC6EB8">
      <w:pPr>
        <w:pStyle w:val="2"/>
        <w:rPr>
          <w:rFonts w:ascii="宋体" w:hAnsi="宋体" w:cs="宋体"/>
          <w:color w:val="auto"/>
          <w:sz w:val="32"/>
          <w:szCs w:val="40"/>
          <w:highlight w:val="none"/>
        </w:rPr>
      </w:pPr>
    </w:p>
    <w:p w14:paraId="1D730932">
      <w:pPr>
        <w:rPr>
          <w:rFonts w:ascii="宋体" w:hAnsi="宋体" w:cs="宋体"/>
          <w:color w:val="auto"/>
          <w:sz w:val="32"/>
          <w:szCs w:val="40"/>
          <w:highlight w:val="none"/>
        </w:rPr>
      </w:pPr>
    </w:p>
    <w:p w14:paraId="466F8BFE">
      <w:pPr>
        <w:pStyle w:val="2"/>
        <w:rPr>
          <w:color w:val="auto"/>
          <w:highlight w:val="none"/>
        </w:rPr>
      </w:pPr>
    </w:p>
    <w:p w14:paraId="1FC4222B">
      <w:pPr>
        <w:rPr>
          <w:rFonts w:ascii="宋体" w:hAnsi="宋体" w:cs="宋体"/>
          <w:color w:val="auto"/>
          <w:sz w:val="32"/>
          <w:szCs w:val="40"/>
          <w:highlight w:val="none"/>
        </w:rPr>
      </w:pPr>
    </w:p>
    <w:p w14:paraId="253EEADF">
      <w:pPr>
        <w:rPr>
          <w:rFonts w:ascii="宋体" w:hAnsi="宋体" w:cs="宋体"/>
          <w:color w:val="auto"/>
          <w:sz w:val="32"/>
          <w:szCs w:val="40"/>
          <w:highlight w:val="none"/>
        </w:rPr>
      </w:pPr>
    </w:p>
    <w:p w14:paraId="1E17F005">
      <w:pPr>
        <w:spacing w:line="360" w:lineRule="auto"/>
        <w:jc w:val="center"/>
        <w:rPr>
          <w:rFonts w:ascii="宋体" w:hAnsi="宋体" w:cs="宋体"/>
          <w:color w:val="auto"/>
          <w:sz w:val="24"/>
          <w:highlight w:val="none"/>
        </w:rPr>
      </w:pPr>
      <w:r>
        <w:rPr>
          <w:rFonts w:hint="eastAsia" w:ascii="宋体" w:hAnsi="宋体" w:cs="宋体"/>
          <w:color w:val="auto"/>
          <w:sz w:val="44"/>
          <w:szCs w:val="44"/>
          <w:highlight w:val="none"/>
        </w:rPr>
        <w:t>投诉书</w:t>
      </w:r>
      <w:r>
        <w:rPr>
          <w:rFonts w:hint="eastAsia" w:ascii="宋体" w:hAnsi="宋体" w:cs="宋体"/>
          <w:color w:val="auto"/>
          <w:sz w:val="28"/>
          <w:szCs w:val="28"/>
          <w:highlight w:val="none"/>
        </w:rPr>
        <w:t>（格式）</w:t>
      </w:r>
    </w:p>
    <w:p w14:paraId="3A4DB333">
      <w:pPr>
        <w:pStyle w:val="20"/>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12ED33A5">
      <w:pPr>
        <w:pStyle w:val="20"/>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供应商：</w:t>
      </w:r>
    </w:p>
    <w:p w14:paraId="2873B40A">
      <w:pPr>
        <w:pStyle w:val="20"/>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地址：邮编：</w:t>
      </w:r>
    </w:p>
    <w:p w14:paraId="50B7C534">
      <w:pPr>
        <w:pStyle w:val="20"/>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p>
    <w:p w14:paraId="72E7D88B">
      <w:pPr>
        <w:pStyle w:val="20"/>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p>
    <w:p w14:paraId="22BA6106">
      <w:pPr>
        <w:pStyle w:val="20"/>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授权代表：联系电话：</w:t>
      </w:r>
    </w:p>
    <w:p w14:paraId="274B4EFF">
      <w:pPr>
        <w:pStyle w:val="20"/>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p>
    <w:p w14:paraId="7AF1CE70">
      <w:pPr>
        <w:pStyle w:val="20"/>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p>
    <w:p w14:paraId="67F00B16">
      <w:pPr>
        <w:pStyle w:val="20"/>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06A8588C">
      <w:pPr>
        <w:pStyle w:val="20"/>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p>
    <w:p w14:paraId="543141DC">
      <w:pPr>
        <w:pStyle w:val="20"/>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p>
    <w:p w14:paraId="6CAC2C5F">
      <w:pPr>
        <w:pStyle w:val="20"/>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联系人：联系电话：</w:t>
      </w:r>
    </w:p>
    <w:p w14:paraId="23B93E10">
      <w:pPr>
        <w:pStyle w:val="20"/>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2CF11667">
      <w:pPr>
        <w:pStyle w:val="20"/>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5AD9C420">
      <w:pPr>
        <w:pStyle w:val="20"/>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相关供应商：</w:t>
      </w:r>
    </w:p>
    <w:p w14:paraId="6A521151">
      <w:pPr>
        <w:pStyle w:val="20"/>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地址：邮编：</w:t>
      </w:r>
    </w:p>
    <w:p w14:paraId="10F464D2">
      <w:pPr>
        <w:pStyle w:val="20"/>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联系人：联系电话：</w:t>
      </w:r>
    </w:p>
    <w:p w14:paraId="3A8150F8">
      <w:pPr>
        <w:pStyle w:val="20"/>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68A6DA6B">
      <w:pPr>
        <w:pStyle w:val="20"/>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p>
    <w:p w14:paraId="0274755E">
      <w:pPr>
        <w:pStyle w:val="20"/>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p>
    <w:p w14:paraId="4104E798">
      <w:pPr>
        <w:pStyle w:val="20"/>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p>
    <w:p w14:paraId="6A52DB75">
      <w:pPr>
        <w:pStyle w:val="20"/>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p>
    <w:p w14:paraId="7963FD6C">
      <w:pPr>
        <w:pStyle w:val="20"/>
        <w:spacing w:line="360" w:lineRule="auto"/>
        <w:ind w:left="25" w:leftChars="12" w:firstLine="472" w:firstLineChars="197"/>
        <w:rPr>
          <w:rFonts w:hAnsi="宋体" w:cs="宋体"/>
          <w:bCs/>
          <w:color w:val="auto"/>
          <w:sz w:val="24"/>
          <w:szCs w:val="24"/>
          <w:highlight w:val="none"/>
          <w:u w:val="single"/>
        </w:rPr>
      </w:pPr>
      <w:r>
        <w:rPr>
          <w:rFonts w:hint="eastAsia" w:hAnsi="宋体" w:cs="宋体"/>
          <w:bCs/>
          <w:color w:val="auto"/>
          <w:sz w:val="24"/>
          <w:szCs w:val="24"/>
          <w:highlight w:val="none"/>
        </w:rPr>
        <w:t>竞争性磋商文件公告：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14:paraId="35E56BC2">
      <w:pPr>
        <w:pStyle w:val="20"/>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14:paraId="024B9DE1">
      <w:pPr>
        <w:pStyle w:val="20"/>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4686BE91">
      <w:pPr>
        <w:pStyle w:val="2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投诉人于年月日</w:t>
      </w:r>
      <w:r>
        <w:rPr>
          <w:rFonts w:hint="eastAsia" w:hAnsi="宋体" w:cs="宋体"/>
          <w:color w:val="auto"/>
          <w:sz w:val="24"/>
          <w:szCs w:val="24"/>
          <w:highlight w:val="none"/>
          <w:lang w:eastAsia="zh-CN"/>
        </w:rPr>
        <w:t>，</w:t>
      </w:r>
      <w:r>
        <w:rPr>
          <w:rFonts w:hint="eastAsia" w:hAnsi="宋体" w:cs="宋体"/>
          <w:color w:val="auto"/>
          <w:sz w:val="24"/>
          <w:szCs w:val="24"/>
          <w:highlight w:val="none"/>
        </w:rPr>
        <w:t>提出质疑，质疑事项为：</w:t>
      </w:r>
    </w:p>
    <w:p w14:paraId="1C5C56D3">
      <w:pPr>
        <w:pStyle w:val="20"/>
        <w:spacing w:line="360" w:lineRule="auto"/>
        <w:ind w:firstLine="241"/>
        <w:rPr>
          <w:rFonts w:hAnsi="宋体" w:cs="宋体"/>
          <w:bCs/>
          <w:color w:val="auto"/>
          <w:sz w:val="24"/>
          <w:szCs w:val="24"/>
          <w:highlight w:val="none"/>
          <w:u w:val="single"/>
        </w:rPr>
      </w:pPr>
    </w:p>
    <w:p w14:paraId="3F897B86">
      <w:pPr>
        <w:pStyle w:val="20"/>
        <w:spacing w:line="360" w:lineRule="auto"/>
        <w:ind w:firstLine="241"/>
        <w:rPr>
          <w:rFonts w:hAnsi="宋体" w:cs="宋体"/>
          <w:bCs/>
          <w:color w:val="auto"/>
          <w:sz w:val="24"/>
          <w:szCs w:val="24"/>
          <w:highlight w:val="none"/>
          <w:u w:val="single"/>
        </w:rPr>
      </w:pPr>
    </w:p>
    <w:p w14:paraId="74234E9C">
      <w:pPr>
        <w:pStyle w:val="20"/>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rPr>
        <w:t>年月日，</w:t>
      </w:r>
      <w:r>
        <w:rPr>
          <w:rFonts w:hint="eastAsia" w:hAnsi="宋体" w:cs="宋体"/>
          <w:bCs/>
          <w:color w:val="auto"/>
          <w:sz w:val="24"/>
          <w:szCs w:val="24"/>
          <w:highlight w:val="none"/>
        </w:rPr>
        <w:t xml:space="preserve">就质疑事项作出了答复/没有在法定期限内作出答复。                                                                                             </w:t>
      </w:r>
    </w:p>
    <w:p w14:paraId="763F3453">
      <w:pPr>
        <w:pStyle w:val="20"/>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26FE3290">
      <w:pPr>
        <w:pStyle w:val="20"/>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p>
    <w:p w14:paraId="0634FF02">
      <w:pPr>
        <w:pStyle w:val="2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p>
    <w:p w14:paraId="5BE70665">
      <w:pPr>
        <w:pStyle w:val="20"/>
        <w:spacing w:line="360" w:lineRule="auto"/>
        <w:ind w:left="25" w:leftChars="12" w:firstLine="472" w:firstLineChars="197"/>
        <w:rPr>
          <w:rFonts w:hAnsi="宋体" w:cs="宋体"/>
          <w:color w:val="auto"/>
          <w:sz w:val="24"/>
          <w:szCs w:val="24"/>
          <w:highlight w:val="none"/>
        </w:rPr>
      </w:pPr>
    </w:p>
    <w:p w14:paraId="7FB5FA42">
      <w:pPr>
        <w:pStyle w:val="2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p>
    <w:p w14:paraId="198FE526">
      <w:pPr>
        <w:pStyle w:val="20"/>
        <w:spacing w:line="360" w:lineRule="auto"/>
        <w:ind w:left="25" w:leftChars="12" w:firstLine="352" w:firstLineChars="147"/>
        <w:rPr>
          <w:rFonts w:hAnsi="宋体" w:cs="宋体"/>
          <w:bCs/>
          <w:color w:val="auto"/>
          <w:sz w:val="24"/>
          <w:szCs w:val="24"/>
          <w:highlight w:val="none"/>
          <w:u w:val="single"/>
        </w:rPr>
      </w:pPr>
    </w:p>
    <w:p w14:paraId="4A66BFF3">
      <w:pPr>
        <w:pStyle w:val="20"/>
        <w:spacing w:line="360" w:lineRule="auto"/>
        <w:ind w:left="25" w:leftChars="12"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p>
    <w:p w14:paraId="42696D8A">
      <w:pPr>
        <w:pStyle w:val="20"/>
        <w:spacing w:line="360" w:lineRule="auto"/>
        <w:ind w:left="25" w:leftChars="12"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21BA2287">
      <w:pPr>
        <w:pStyle w:val="20"/>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4ED4A74D">
      <w:pPr>
        <w:pStyle w:val="20"/>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p>
    <w:p w14:paraId="542A735B">
      <w:pPr>
        <w:pStyle w:val="20"/>
        <w:spacing w:line="360" w:lineRule="auto"/>
        <w:ind w:left="25" w:leftChars="12" w:firstLine="352" w:firstLineChars="147"/>
        <w:rPr>
          <w:rFonts w:hAnsi="宋体" w:cs="宋体"/>
          <w:color w:val="auto"/>
          <w:sz w:val="24"/>
          <w:szCs w:val="24"/>
          <w:highlight w:val="none"/>
        </w:rPr>
      </w:pPr>
    </w:p>
    <w:p w14:paraId="1D406DA4">
      <w:pPr>
        <w:pStyle w:val="20"/>
        <w:spacing w:line="360" w:lineRule="auto"/>
        <w:ind w:left="25" w:leftChars="12" w:firstLine="2872" w:firstLineChars="1197"/>
        <w:rPr>
          <w:rFonts w:hAnsi="宋体" w:cs="宋体"/>
          <w:color w:val="auto"/>
          <w:sz w:val="24"/>
          <w:szCs w:val="24"/>
          <w:highlight w:val="none"/>
        </w:rPr>
      </w:pPr>
      <w:r>
        <w:rPr>
          <w:rFonts w:hint="eastAsia" w:hAnsi="宋体" w:cs="宋体"/>
          <w:color w:val="auto"/>
          <w:sz w:val="24"/>
          <w:szCs w:val="24"/>
          <w:highlight w:val="none"/>
        </w:rPr>
        <w:t xml:space="preserve">签字（签章）：                                       </w:t>
      </w:r>
    </w:p>
    <w:p w14:paraId="0CA809B7">
      <w:pPr>
        <w:pStyle w:val="20"/>
        <w:spacing w:line="360" w:lineRule="auto"/>
        <w:ind w:left="25" w:leftChars="12" w:firstLine="2872" w:firstLineChars="1197"/>
        <w:rPr>
          <w:rFonts w:hAnsi="宋体" w:cs="宋体"/>
          <w:color w:val="auto"/>
          <w:sz w:val="24"/>
          <w:szCs w:val="24"/>
          <w:highlight w:val="none"/>
        </w:rPr>
      </w:pPr>
      <w:r>
        <w:rPr>
          <w:rFonts w:hint="eastAsia" w:hAnsi="宋体" w:cs="宋体"/>
          <w:color w:val="auto"/>
          <w:sz w:val="24"/>
          <w:szCs w:val="24"/>
          <w:highlight w:val="none"/>
        </w:rPr>
        <w:t>公章：</w:t>
      </w:r>
    </w:p>
    <w:p w14:paraId="1E618265">
      <w:pPr>
        <w:pStyle w:val="20"/>
        <w:spacing w:line="360" w:lineRule="auto"/>
        <w:ind w:left="25" w:leftChars="12" w:firstLine="352" w:firstLineChars="147"/>
        <w:rPr>
          <w:rFonts w:hAnsi="宋体" w:cs="宋体"/>
          <w:color w:val="auto"/>
          <w:sz w:val="24"/>
          <w:szCs w:val="24"/>
          <w:highlight w:val="none"/>
        </w:rPr>
      </w:pPr>
    </w:p>
    <w:p w14:paraId="3A21880C">
      <w:pPr>
        <w:pStyle w:val="20"/>
        <w:spacing w:line="360" w:lineRule="auto"/>
        <w:ind w:left="25" w:leftChars="12" w:firstLine="2872" w:firstLineChars="1197"/>
        <w:rPr>
          <w:rFonts w:hAnsi="宋体" w:cs="宋体"/>
          <w:color w:val="auto"/>
          <w:sz w:val="24"/>
          <w:szCs w:val="24"/>
          <w:highlight w:val="none"/>
        </w:rPr>
      </w:pPr>
      <w:r>
        <w:rPr>
          <w:rFonts w:hint="eastAsia" w:hAnsi="宋体" w:cs="宋体"/>
          <w:color w:val="auto"/>
          <w:sz w:val="24"/>
          <w:szCs w:val="24"/>
          <w:highlight w:val="none"/>
        </w:rPr>
        <w:t>日期： 年 月 日</w:t>
      </w:r>
    </w:p>
    <w:p w14:paraId="67A2859A">
      <w:pPr>
        <w:pStyle w:val="20"/>
        <w:spacing w:line="360" w:lineRule="auto"/>
        <w:ind w:left="25" w:leftChars="12" w:firstLine="475" w:firstLineChars="197"/>
        <w:rPr>
          <w:rFonts w:hAnsi="宋体" w:cs="宋体"/>
          <w:b/>
          <w:color w:val="auto"/>
          <w:sz w:val="24"/>
          <w:szCs w:val="24"/>
          <w:highlight w:val="none"/>
        </w:rPr>
      </w:pPr>
    </w:p>
    <w:p w14:paraId="4026E998">
      <w:pPr>
        <w:pStyle w:val="20"/>
        <w:snapToGrid w:val="0"/>
        <w:spacing w:line="360" w:lineRule="auto"/>
        <w:rPr>
          <w:rFonts w:ascii="楷体" w:hAnsi="楷体" w:eastAsia="楷体" w:cs="宋体"/>
          <w:b/>
          <w:color w:val="auto"/>
          <w:sz w:val="24"/>
          <w:szCs w:val="24"/>
          <w:highlight w:val="none"/>
        </w:rPr>
      </w:pPr>
      <w:r>
        <w:rPr>
          <w:rFonts w:hint="eastAsia" w:ascii="楷体" w:hAnsi="楷体" w:eastAsia="楷体" w:cs="宋体"/>
          <w:b/>
          <w:color w:val="auto"/>
          <w:sz w:val="24"/>
          <w:szCs w:val="24"/>
          <w:highlight w:val="none"/>
        </w:rPr>
        <w:t>说明：</w:t>
      </w:r>
    </w:p>
    <w:p w14:paraId="60AD32A4">
      <w:pPr>
        <w:pStyle w:val="20"/>
        <w:spacing w:line="360" w:lineRule="auto"/>
        <w:ind w:left="25" w:leftChars="12" w:firstLine="354" w:firstLineChars="147"/>
        <w:rPr>
          <w:rFonts w:ascii="楷体" w:hAnsi="楷体" w:eastAsia="楷体" w:cs="宋体"/>
          <w:b/>
          <w:bCs/>
          <w:color w:val="auto"/>
          <w:sz w:val="24"/>
          <w:szCs w:val="24"/>
          <w:highlight w:val="none"/>
        </w:rPr>
      </w:pPr>
      <w:r>
        <w:rPr>
          <w:rFonts w:ascii="楷体" w:hAnsi="楷体" w:eastAsia="楷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楷体" w:hAnsi="楷体" w:eastAsia="楷体" w:cs="宋体"/>
          <w:b/>
          <w:bCs/>
          <w:color w:val="auto"/>
          <w:sz w:val="24"/>
          <w:szCs w:val="24"/>
          <w:highlight w:val="none"/>
        </w:rPr>
        <w:t>。</w:t>
      </w:r>
    </w:p>
    <w:p w14:paraId="17EA8EBD">
      <w:pPr>
        <w:pStyle w:val="20"/>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ADDAA73">
      <w:pPr>
        <w:pStyle w:val="20"/>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3.投诉书应简要列明质疑事项，质疑函、质疑答复等作为附件材料提供。</w:t>
      </w:r>
    </w:p>
    <w:p w14:paraId="27E6945D">
      <w:pPr>
        <w:pStyle w:val="20"/>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4.投诉书的投诉事项应具体、明确，并有必要的事实依据和法律依据。</w:t>
      </w:r>
    </w:p>
    <w:p w14:paraId="179AFC1B">
      <w:pPr>
        <w:pStyle w:val="20"/>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5.投诉书的投诉请求应与投诉事项相关。</w:t>
      </w:r>
    </w:p>
    <w:p w14:paraId="1E891C89">
      <w:pPr>
        <w:pStyle w:val="20"/>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6.投诉人为法人或者其他组织的，投诉书应由法定代表人、主要负责人，或者其授权代表签字或者盖章，并加盖公章。</w:t>
      </w:r>
    </w:p>
    <w:sectPr>
      <w:headerReference r:id="rId10" w:type="first"/>
      <w:footerReference r:id="rId12" w:type="first"/>
      <w:headerReference r:id="rId9" w:type="default"/>
      <w:footerReference r:id="rId11" w:type="default"/>
      <w:pgSz w:w="11906" w:h="16838"/>
      <w:pgMar w:top="1417" w:right="1417" w:bottom="1417" w:left="1417" w:header="851" w:footer="567"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2318885-4C6F-4672-907A-AAC152A5B068}"/>
  </w:font>
  <w:font w:name="Arial">
    <w:panose1 w:val="020B0604020202020204"/>
    <w:charset w:val="01"/>
    <w:family w:val="swiss"/>
    <w:pitch w:val="default"/>
    <w:sig w:usb0="E0002EFF" w:usb1="C000785B" w:usb2="00000009" w:usb3="00000000" w:csb0="400001FF" w:csb1="FFFF0000"/>
    <w:embedRegular r:id="rId2" w:fontKey="{9034696E-77F3-4AEA-B1A8-397FBBF970FD}"/>
  </w:font>
  <w:font w:name="黑体">
    <w:panose1 w:val="02010609060101010101"/>
    <w:charset w:val="86"/>
    <w:family w:val="auto"/>
    <w:pitch w:val="default"/>
    <w:sig w:usb0="800002BF" w:usb1="38CF7CFA" w:usb2="00000016" w:usb3="00000000" w:csb0="00040001" w:csb1="00000000"/>
    <w:embedRegular r:id="rId3" w:fontKey="{F08AB5AA-02DD-43E5-A339-26C033950DE8}"/>
  </w:font>
  <w:font w:name="Courier New">
    <w:panose1 w:val="02070309020205020404"/>
    <w:charset w:val="01"/>
    <w:family w:val="modern"/>
    <w:pitch w:val="default"/>
    <w:sig w:usb0="E0002EFF" w:usb1="C0007843" w:usb2="00000009" w:usb3="00000000" w:csb0="400001FF" w:csb1="FFFF0000"/>
    <w:embedRegular r:id="rId4" w:fontKey="{621E120A-6492-4103-9C9A-4DB99254F35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896F9DA9-6E70-415F-AE64-F22B93642147}"/>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6" w:fontKey="{90185B59-A3D7-4B6B-A414-C15892E92C82}"/>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7" w:fontKey="{E15C74D0-EAD7-4EB3-9D36-CFE38016A615}"/>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FFFFFFF" w:usb1="E9FFFFFF" w:usb2="0000003F" w:usb3="00000000" w:csb0="603F01FF" w:csb1="FFFF0000"/>
    <w:embedRegular r:id="rId8" w:fontKey="{A6CF742E-F707-4B23-947A-3C2A81B88125}"/>
  </w:font>
  <w:font w:name="Tahoma">
    <w:panose1 w:val="020B0604030504040204"/>
    <w:charset w:val="00"/>
    <w:family w:val="swiss"/>
    <w:pitch w:val="default"/>
    <w:sig w:usb0="E1002EFF" w:usb1="C000605B" w:usb2="00000029" w:usb3="00000000" w:csb0="200101FF" w:csb1="2028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embedRegular r:id="rId9" w:fontKey="{D3AEFAA7-C9A9-4BEF-89FF-39B14FE9153A}"/>
  </w:font>
  <w:font w:name="宋体正文">
    <w:altName w:val="宋体"/>
    <w:panose1 w:val="00000000000000000000"/>
    <w:charset w:val="00"/>
    <w:family w:val="auto"/>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embedRegular r:id="rId10" w:fontKey="{AEDB35E9-915F-47B2-8A5B-8A05297282BB}"/>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1" w:fontKey="{E1B7ECF0-075D-4642-B0A0-93D49577A264}"/>
  </w:font>
  <w:font w:name="MS Mincho">
    <w:panose1 w:val="02020609040205080304"/>
    <w:charset w:val="80"/>
    <w:family w:val="modern"/>
    <w:pitch w:val="default"/>
    <w:sig w:usb0="E00002FF" w:usb1="6AC7FDFB" w:usb2="00000012" w:usb3="00000000" w:csb0="4002009F" w:csb1="DFD70000"/>
    <w:embedRegular r:id="rId12" w:fontKey="{9D84D19E-758D-4562-84F1-B4FEE57B2F90}"/>
  </w:font>
  <w:font w:name="Helvetica">
    <w:altName w:val="Arial"/>
    <w:panose1 w:val="020B0604020202020204"/>
    <w:charset w:val="00"/>
    <w:family w:val="swiss"/>
    <w:pitch w:val="default"/>
    <w:sig w:usb0="00000000" w:usb1="00000000" w:usb2="00000000" w:usb3="00000000" w:csb0="00000000" w:csb1="00000000"/>
    <w:embedRegular r:id="rId13" w:fontKey="{BA0E962E-D312-40FF-A051-2BBCB7A68209}"/>
  </w:font>
  <w:font w:name="宋体...骝乧.">
    <w:altName w:val="宋体"/>
    <w:panose1 w:val="00000000000000000000"/>
    <w:charset w:val="86"/>
    <w:family w:val="roman"/>
    <w:pitch w:val="default"/>
    <w:sig w:usb0="00000000" w:usb1="00000000" w:usb2="00000000" w:usb3="00000000" w:csb0="00040000" w:csb1="00000000"/>
    <w:embedRegular r:id="rId14" w:fontKey="{4D3F5DE4-1264-46BA-B47A-AE89651A0DD6}"/>
  </w:font>
  <w:font w:name="方正小标宋简体">
    <w:panose1 w:val="02000000000000000000"/>
    <w:charset w:val="86"/>
    <w:family w:val="script"/>
    <w:pitch w:val="default"/>
    <w:sig w:usb0="A00002BF" w:usb1="184F6CFA" w:usb2="00000012" w:usb3="00000000" w:csb0="00040001" w:csb1="00000000"/>
    <w:embedRegular r:id="rId15" w:fontKey="{5C4E9D03-C6A5-4940-914A-B068804EC3F5}"/>
  </w:font>
  <w:font w:name="WPSEMBED1">
    <w:panose1 w:val="02010609030101010101"/>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WPSEMBED3">
    <w:panose1 w:val="02020609040205080304"/>
    <w:charset w:val="80"/>
    <w:family w:val="auto"/>
    <w:pitch w:val="default"/>
    <w:sig w:usb0="E00002FF" w:usb1="6AC7FDFB" w:usb2="00000012" w:usb3="00000000" w:csb0="4002009F" w:csb1="DFD70000"/>
  </w:font>
  <w:font w:name="WPSEMBED4">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A257D">
    <w:pPr>
      <w:pStyle w:val="23"/>
      <w:tabs>
        <w:tab w:val="center" w:pos="4439"/>
        <w:tab w:val="clear" w:pos="4153"/>
      </w:tabs>
      <w:jc w:val="both"/>
    </w:pPr>
  </w:p>
  <w:p w14:paraId="4B127CE2">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03BB1">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7ABAD">
    <w:pPr>
      <w:pStyle w:val="23"/>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60EE86E1"/>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&#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AZMSJcDQIAABAEAAAOAAAAAAAAAAEAIAAAAB8B&#10;AABkcnMvZTJvRG9jLnhtbFBLBQYAAAAABgAGAFkBAACeBQAAAAA=&#10;">
              <v:fill on="f" focussize="0,0"/>
              <v:stroke on="f"/>
              <v:imagedata o:title=""/>
              <o:lock v:ext="edit" aspectratio="f"/>
              <v:textbox inset="0mm,0mm,0mm,0mm" style="mso-fit-shape-to-text:t;">
                <w:txbxContent>
                  <w:p w14:paraId="60EE86E1"/>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F1E58">
    <w:pPr>
      <w:pStyle w:val="2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0127D2">
                          <w:pPr>
                            <w:pStyle w:val="23"/>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540127D2">
                    <w:pPr>
                      <w:pStyle w:val="23"/>
                    </w:pPr>
                    <w:r>
                      <w:fldChar w:fldCharType="begin"/>
                    </w:r>
                    <w:r>
                      <w:instrText xml:space="preserve"> PAGE  \* MERGEFORMAT </w:instrText>
                    </w:r>
                    <w:r>
                      <w:fldChar w:fldCharType="separate"/>
                    </w:r>
                    <w:r>
                      <w:t>91</w:t>
                    </w:r>
                    <w:r>
                      <w:fldChar w:fldCharType="end"/>
                    </w:r>
                  </w:p>
                </w:txbxContent>
              </v:textbox>
            </v:shape>
          </w:pict>
        </mc:Fallback>
      </mc:AlternateContent>
    </w:r>
  </w:p>
  <w:p w14:paraId="03A992B3">
    <w:pPr>
      <w:pStyle w:val="2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1D792">
    <w:pPr>
      <w:pStyle w:val="2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EA997A">
                          <w:pPr>
                            <w:pStyle w:val="23"/>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1BEA997A">
                    <w:pPr>
                      <w:pStyle w:val="23"/>
                    </w:pPr>
                    <w:r>
                      <w:fldChar w:fldCharType="begin"/>
                    </w:r>
                    <w:r>
                      <w:instrText xml:space="preserve"> PAGE  \* MERGEFORMAT </w:instrText>
                    </w:r>
                    <w:r>
                      <w:fldChar w:fldCharType="separate"/>
                    </w:r>
                    <w:r>
                      <w:t>90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7878">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E306D">
    <w:pPr>
      <w:pStyle w:val="2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0E61A">
    <w:pPr>
      <w:pStyle w:val="2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C399D">
    <w:pPr>
      <w:pStyle w:val="2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92DF4">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EC2310"/>
    <w:multiLevelType w:val="singleLevel"/>
    <w:tmpl w:val="E2EC2310"/>
    <w:lvl w:ilvl="0" w:tentative="0">
      <w:start w:val="1"/>
      <w:numFmt w:val="decimal"/>
      <w:suff w:val="space"/>
      <w:lvlText w:val="%1."/>
      <w:lvlJc w:val="left"/>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iMTI3MDRiZWJlZDRkZTA3NmY0MjY1ZjJiMjJkMzMifQ=="/>
  </w:docVars>
  <w:rsids>
    <w:rsidRoot w:val="00172A27"/>
    <w:rsid w:val="000042F5"/>
    <w:rsid w:val="0003117E"/>
    <w:rsid w:val="0003179F"/>
    <w:rsid w:val="000420F1"/>
    <w:rsid w:val="000442B2"/>
    <w:rsid w:val="00045203"/>
    <w:rsid w:val="000457AC"/>
    <w:rsid w:val="00047D9E"/>
    <w:rsid w:val="00047E41"/>
    <w:rsid w:val="0005229B"/>
    <w:rsid w:val="000578CA"/>
    <w:rsid w:val="00081C9B"/>
    <w:rsid w:val="00094570"/>
    <w:rsid w:val="00094DA1"/>
    <w:rsid w:val="000A3980"/>
    <w:rsid w:val="000B3752"/>
    <w:rsid w:val="000C3FFB"/>
    <w:rsid w:val="000C509F"/>
    <w:rsid w:val="000C5B27"/>
    <w:rsid w:val="000D047C"/>
    <w:rsid w:val="000D0979"/>
    <w:rsid w:val="0010086F"/>
    <w:rsid w:val="00100BAB"/>
    <w:rsid w:val="00103633"/>
    <w:rsid w:val="001129BA"/>
    <w:rsid w:val="00117D7F"/>
    <w:rsid w:val="001205C9"/>
    <w:rsid w:val="0012137C"/>
    <w:rsid w:val="00121A53"/>
    <w:rsid w:val="00134412"/>
    <w:rsid w:val="00142117"/>
    <w:rsid w:val="001429CF"/>
    <w:rsid w:val="001469F3"/>
    <w:rsid w:val="00152D06"/>
    <w:rsid w:val="00153135"/>
    <w:rsid w:val="001539B0"/>
    <w:rsid w:val="00166429"/>
    <w:rsid w:val="00172A27"/>
    <w:rsid w:val="00173BFA"/>
    <w:rsid w:val="00173D29"/>
    <w:rsid w:val="00195EA5"/>
    <w:rsid w:val="001B3836"/>
    <w:rsid w:val="001D0284"/>
    <w:rsid w:val="001D4FF9"/>
    <w:rsid w:val="001F2E23"/>
    <w:rsid w:val="001F6031"/>
    <w:rsid w:val="00202F70"/>
    <w:rsid w:val="002061DC"/>
    <w:rsid w:val="00206586"/>
    <w:rsid w:val="00231BE2"/>
    <w:rsid w:val="00263E0B"/>
    <w:rsid w:val="00266768"/>
    <w:rsid w:val="00267E08"/>
    <w:rsid w:val="0027471E"/>
    <w:rsid w:val="002801F7"/>
    <w:rsid w:val="00287B89"/>
    <w:rsid w:val="00293C5F"/>
    <w:rsid w:val="00297AB2"/>
    <w:rsid w:val="002A303B"/>
    <w:rsid w:val="002A4F6F"/>
    <w:rsid w:val="002A58F2"/>
    <w:rsid w:val="002C267F"/>
    <w:rsid w:val="002C27BE"/>
    <w:rsid w:val="002E107C"/>
    <w:rsid w:val="002E70B1"/>
    <w:rsid w:val="002F045B"/>
    <w:rsid w:val="002F38FC"/>
    <w:rsid w:val="002F44F7"/>
    <w:rsid w:val="00313ACC"/>
    <w:rsid w:val="00334AF5"/>
    <w:rsid w:val="00345BE0"/>
    <w:rsid w:val="00367FFB"/>
    <w:rsid w:val="00380705"/>
    <w:rsid w:val="00382218"/>
    <w:rsid w:val="00385ADE"/>
    <w:rsid w:val="00391FCC"/>
    <w:rsid w:val="00393306"/>
    <w:rsid w:val="00394C62"/>
    <w:rsid w:val="003A0ED5"/>
    <w:rsid w:val="003A62B3"/>
    <w:rsid w:val="003B459D"/>
    <w:rsid w:val="003B6402"/>
    <w:rsid w:val="003B6F63"/>
    <w:rsid w:val="003B7C96"/>
    <w:rsid w:val="003C2F0F"/>
    <w:rsid w:val="003C39D5"/>
    <w:rsid w:val="003C7126"/>
    <w:rsid w:val="003F18CC"/>
    <w:rsid w:val="00403C65"/>
    <w:rsid w:val="00411D9B"/>
    <w:rsid w:val="004178E4"/>
    <w:rsid w:val="00420F6A"/>
    <w:rsid w:val="00422A3F"/>
    <w:rsid w:val="004339D3"/>
    <w:rsid w:val="00441E5D"/>
    <w:rsid w:val="00443F38"/>
    <w:rsid w:val="004501C2"/>
    <w:rsid w:val="00460B41"/>
    <w:rsid w:val="004621D7"/>
    <w:rsid w:val="00474FE8"/>
    <w:rsid w:val="00477D0E"/>
    <w:rsid w:val="00482293"/>
    <w:rsid w:val="00493A57"/>
    <w:rsid w:val="004A40F1"/>
    <w:rsid w:val="004A47A4"/>
    <w:rsid w:val="004A4DD3"/>
    <w:rsid w:val="004A701A"/>
    <w:rsid w:val="004B1B49"/>
    <w:rsid w:val="004B580B"/>
    <w:rsid w:val="004C2FCF"/>
    <w:rsid w:val="004C53C1"/>
    <w:rsid w:val="004D0060"/>
    <w:rsid w:val="004D37A1"/>
    <w:rsid w:val="004D656E"/>
    <w:rsid w:val="004D7EE2"/>
    <w:rsid w:val="004E21AB"/>
    <w:rsid w:val="004E29A5"/>
    <w:rsid w:val="004F1291"/>
    <w:rsid w:val="004F1F62"/>
    <w:rsid w:val="004F3669"/>
    <w:rsid w:val="004F40EC"/>
    <w:rsid w:val="004F551F"/>
    <w:rsid w:val="004F7C58"/>
    <w:rsid w:val="00507776"/>
    <w:rsid w:val="0051048D"/>
    <w:rsid w:val="00510FE4"/>
    <w:rsid w:val="005176F8"/>
    <w:rsid w:val="005316F1"/>
    <w:rsid w:val="00540C5F"/>
    <w:rsid w:val="00556988"/>
    <w:rsid w:val="005631DB"/>
    <w:rsid w:val="00595C3E"/>
    <w:rsid w:val="005A703B"/>
    <w:rsid w:val="005C4037"/>
    <w:rsid w:val="005C50D8"/>
    <w:rsid w:val="005D793E"/>
    <w:rsid w:val="005F186A"/>
    <w:rsid w:val="00602F64"/>
    <w:rsid w:val="00607ACF"/>
    <w:rsid w:val="006103CF"/>
    <w:rsid w:val="006179E3"/>
    <w:rsid w:val="006216C6"/>
    <w:rsid w:val="00623BC8"/>
    <w:rsid w:val="00631F41"/>
    <w:rsid w:val="00634D55"/>
    <w:rsid w:val="0066690F"/>
    <w:rsid w:val="00686B94"/>
    <w:rsid w:val="00690F7A"/>
    <w:rsid w:val="006C41D5"/>
    <w:rsid w:val="006C49C6"/>
    <w:rsid w:val="006C5D12"/>
    <w:rsid w:val="006C7F9A"/>
    <w:rsid w:val="006D0252"/>
    <w:rsid w:val="006D684C"/>
    <w:rsid w:val="006F0B25"/>
    <w:rsid w:val="007327F4"/>
    <w:rsid w:val="0073502E"/>
    <w:rsid w:val="00740D49"/>
    <w:rsid w:val="00747F79"/>
    <w:rsid w:val="0077246C"/>
    <w:rsid w:val="007801C8"/>
    <w:rsid w:val="00781943"/>
    <w:rsid w:val="00794272"/>
    <w:rsid w:val="007A0403"/>
    <w:rsid w:val="007A62A9"/>
    <w:rsid w:val="007B496E"/>
    <w:rsid w:val="007B49F9"/>
    <w:rsid w:val="007B7D09"/>
    <w:rsid w:val="007C079F"/>
    <w:rsid w:val="007C0998"/>
    <w:rsid w:val="007C1337"/>
    <w:rsid w:val="007D3C00"/>
    <w:rsid w:val="007D7DD1"/>
    <w:rsid w:val="007F5E3C"/>
    <w:rsid w:val="0080016A"/>
    <w:rsid w:val="008002FC"/>
    <w:rsid w:val="0082505C"/>
    <w:rsid w:val="00827DAD"/>
    <w:rsid w:val="008422BC"/>
    <w:rsid w:val="00844347"/>
    <w:rsid w:val="008501B1"/>
    <w:rsid w:val="00861C9D"/>
    <w:rsid w:val="0087375F"/>
    <w:rsid w:val="008A3DE0"/>
    <w:rsid w:val="008A4521"/>
    <w:rsid w:val="008D484B"/>
    <w:rsid w:val="008E52ED"/>
    <w:rsid w:val="008E55CC"/>
    <w:rsid w:val="008E7E46"/>
    <w:rsid w:val="008F7ED2"/>
    <w:rsid w:val="009064F3"/>
    <w:rsid w:val="00921002"/>
    <w:rsid w:val="00921552"/>
    <w:rsid w:val="00926C61"/>
    <w:rsid w:val="00927668"/>
    <w:rsid w:val="00931421"/>
    <w:rsid w:val="0094048F"/>
    <w:rsid w:val="00943B3A"/>
    <w:rsid w:val="00953F4B"/>
    <w:rsid w:val="00970EA2"/>
    <w:rsid w:val="00977A1B"/>
    <w:rsid w:val="009818D3"/>
    <w:rsid w:val="00982078"/>
    <w:rsid w:val="00985C0D"/>
    <w:rsid w:val="009908FD"/>
    <w:rsid w:val="00991454"/>
    <w:rsid w:val="009A415F"/>
    <w:rsid w:val="009A5299"/>
    <w:rsid w:val="009A56AB"/>
    <w:rsid w:val="009B2CDD"/>
    <w:rsid w:val="009C0D1E"/>
    <w:rsid w:val="009D38FD"/>
    <w:rsid w:val="009F1528"/>
    <w:rsid w:val="009F1EC5"/>
    <w:rsid w:val="009F7F25"/>
    <w:rsid w:val="00A02FD8"/>
    <w:rsid w:val="00A1043A"/>
    <w:rsid w:val="00A156CE"/>
    <w:rsid w:val="00A35716"/>
    <w:rsid w:val="00A5267B"/>
    <w:rsid w:val="00A60E40"/>
    <w:rsid w:val="00A613B3"/>
    <w:rsid w:val="00A61526"/>
    <w:rsid w:val="00A64ADF"/>
    <w:rsid w:val="00A64C47"/>
    <w:rsid w:val="00A74E39"/>
    <w:rsid w:val="00A754C3"/>
    <w:rsid w:val="00A835EA"/>
    <w:rsid w:val="00A87624"/>
    <w:rsid w:val="00A96DE4"/>
    <w:rsid w:val="00AB0ADF"/>
    <w:rsid w:val="00AB0B65"/>
    <w:rsid w:val="00AB6EDD"/>
    <w:rsid w:val="00AC2DD3"/>
    <w:rsid w:val="00AD157A"/>
    <w:rsid w:val="00AF0270"/>
    <w:rsid w:val="00AF58FE"/>
    <w:rsid w:val="00B005E9"/>
    <w:rsid w:val="00B0462D"/>
    <w:rsid w:val="00B079C7"/>
    <w:rsid w:val="00B24C49"/>
    <w:rsid w:val="00B26DEC"/>
    <w:rsid w:val="00B36033"/>
    <w:rsid w:val="00B409A4"/>
    <w:rsid w:val="00B44BC1"/>
    <w:rsid w:val="00B64E15"/>
    <w:rsid w:val="00B84A86"/>
    <w:rsid w:val="00B87431"/>
    <w:rsid w:val="00B92192"/>
    <w:rsid w:val="00B975BF"/>
    <w:rsid w:val="00BA4700"/>
    <w:rsid w:val="00BA4D5C"/>
    <w:rsid w:val="00BB2CB9"/>
    <w:rsid w:val="00BB704B"/>
    <w:rsid w:val="00BC01AC"/>
    <w:rsid w:val="00BE0B56"/>
    <w:rsid w:val="00BE3E5C"/>
    <w:rsid w:val="00BF1043"/>
    <w:rsid w:val="00BF2089"/>
    <w:rsid w:val="00C0189B"/>
    <w:rsid w:val="00C05422"/>
    <w:rsid w:val="00C07EA8"/>
    <w:rsid w:val="00C07FBD"/>
    <w:rsid w:val="00C22AB7"/>
    <w:rsid w:val="00C31789"/>
    <w:rsid w:val="00C32BBF"/>
    <w:rsid w:val="00C420F1"/>
    <w:rsid w:val="00C443B0"/>
    <w:rsid w:val="00C54288"/>
    <w:rsid w:val="00C71884"/>
    <w:rsid w:val="00C75246"/>
    <w:rsid w:val="00C75F53"/>
    <w:rsid w:val="00C765AF"/>
    <w:rsid w:val="00C93EB7"/>
    <w:rsid w:val="00C95168"/>
    <w:rsid w:val="00CB1FAB"/>
    <w:rsid w:val="00CB22E9"/>
    <w:rsid w:val="00CD1127"/>
    <w:rsid w:val="00CD4088"/>
    <w:rsid w:val="00CE2C5B"/>
    <w:rsid w:val="00CF2239"/>
    <w:rsid w:val="00D01D04"/>
    <w:rsid w:val="00D0298A"/>
    <w:rsid w:val="00D13EE6"/>
    <w:rsid w:val="00D22E16"/>
    <w:rsid w:val="00D355A7"/>
    <w:rsid w:val="00D4584F"/>
    <w:rsid w:val="00D5541A"/>
    <w:rsid w:val="00D6600A"/>
    <w:rsid w:val="00D72960"/>
    <w:rsid w:val="00D739AB"/>
    <w:rsid w:val="00D744E2"/>
    <w:rsid w:val="00D76C44"/>
    <w:rsid w:val="00D8326F"/>
    <w:rsid w:val="00D861D2"/>
    <w:rsid w:val="00D86669"/>
    <w:rsid w:val="00D97F07"/>
    <w:rsid w:val="00DA0395"/>
    <w:rsid w:val="00DA7057"/>
    <w:rsid w:val="00DB3B9B"/>
    <w:rsid w:val="00DC0480"/>
    <w:rsid w:val="00DD7BED"/>
    <w:rsid w:val="00DE3FFD"/>
    <w:rsid w:val="00DF13CA"/>
    <w:rsid w:val="00E06115"/>
    <w:rsid w:val="00E169C5"/>
    <w:rsid w:val="00E16FE2"/>
    <w:rsid w:val="00E34CE1"/>
    <w:rsid w:val="00E47C86"/>
    <w:rsid w:val="00EA0422"/>
    <w:rsid w:val="00EA4104"/>
    <w:rsid w:val="00EA5DFD"/>
    <w:rsid w:val="00EB4AE1"/>
    <w:rsid w:val="00EB6C34"/>
    <w:rsid w:val="00EC740C"/>
    <w:rsid w:val="00ED6F5F"/>
    <w:rsid w:val="00EE765E"/>
    <w:rsid w:val="00F07501"/>
    <w:rsid w:val="00F1058B"/>
    <w:rsid w:val="00F165A3"/>
    <w:rsid w:val="00F22140"/>
    <w:rsid w:val="00F34120"/>
    <w:rsid w:val="00F34957"/>
    <w:rsid w:val="00F42F1E"/>
    <w:rsid w:val="00F444F4"/>
    <w:rsid w:val="00F521F0"/>
    <w:rsid w:val="00F7304C"/>
    <w:rsid w:val="00F80F29"/>
    <w:rsid w:val="00F9763A"/>
    <w:rsid w:val="00FB2260"/>
    <w:rsid w:val="00FD5DDB"/>
    <w:rsid w:val="00FD6FD5"/>
    <w:rsid w:val="00FE00D4"/>
    <w:rsid w:val="00FE3840"/>
    <w:rsid w:val="00FF3755"/>
    <w:rsid w:val="0355382C"/>
    <w:rsid w:val="037E1CE7"/>
    <w:rsid w:val="03C475CF"/>
    <w:rsid w:val="04090D29"/>
    <w:rsid w:val="040E2973"/>
    <w:rsid w:val="044B6418"/>
    <w:rsid w:val="0516342C"/>
    <w:rsid w:val="058C1BE6"/>
    <w:rsid w:val="063A78C0"/>
    <w:rsid w:val="071B7485"/>
    <w:rsid w:val="07B96905"/>
    <w:rsid w:val="08932D3D"/>
    <w:rsid w:val="08C4756E"/>
    <w:rsid w:val="08D26E5A"/>
    <w:rsid w:val="094269F2"/>
    <w:rsid w:val="09684744"/>
    <w:rsid w:val="0B1F3205"/>
    <w:rsid w:val="0B53254B"/>
    <w:rsid w:val="0BDE2A9B"/>
    <w:rsid w:val="0CEB1C9D"/>
    <w:rsid w:val="0DCA63AF"/>
    <w:rsid w:val="0DD44C7D"/>
    <w:rsid w:val="0E3A4E6E"/>
    <w:rsid w:val="0EA704D8"/>
    <w:rsid w:val="0FF336C4"/>
    <w:rsid w:val="10152804"/>
    <w:rsid w:val="104A5A96"/>
    <w:rsid w:val="11641C95"/>
    <w:rsid w:val="11D23448"/>
    <w:rsid w:val="12004E39"/>
    <w:rsid w:val="12985CF9"/>
    <w:rsid w:val="12A41C0A"/>
    <w:rsid w:val="13702E59"/>
    <w:rsid w:val="15771C08"/>
    <w:rsid w:val="162437A1"/>
    <w:rsid w:val="16B84021"/>
    <w:rsid w:val="17286D0C"/>
    <w:rsid w:val="17981ECF"/>
    <w:rsid w:val="188E455C"/>
    <w:rsid w:val="18A34269"/>
    <w:rsid w:val="19030611"/>
    <w:rsid w:val="19CE0F66"/>
    <w:rsid w:val="1A19311C"/>
    <w:rsid w:val="1C351823"/>
    <w:rsid w:val="1D977549"/>
    <w:rsid w:val="1E025426"/>
    <w:rsid w:val="20187C1D"/>
    <w:rsid w:val="20EE157B"/>
    <w:rsid w:val="21D73967"/>
    <w:rsid w:val="2280798F"/>
    <w:rsid w:val="231B5F2B"/>
    <w:rsid w:val="2345012F"/>
    <w:rsid w:val="23C42EC5"/>
    <w:rsid w:val="23EE1396"/>
    <w:rsid w:val="247F4284"/>
    <w:rsid w:val="249E62AE"/>
    <w:rsid w:val="24F84260"/>
    <w:rsid w:val="263E0B8D"/>
    <w:rsid w:val="26753BA5"/>
    <w:rsid w:val="276C4316"/>
    <w:rsid w:val="280E1C39"/>
    <w:rsid w:val="28C716E4"/>
    <w:rsid w:val="296F6939"/>
    <w:rsid w:val="297C731B"/>
    <w:rsid w:val="29BC7B2A"/>
    <w:rsid w:val="2A177BEC"/>
    <w:rsid w:val="2A24600D"/>
    <w:rsid w:val="2A4E2A3E"/>
    <w:rsid w:val="2B8653D7"/>
    <w:rsid w:val="2BFA4C78"/>
    <w:rsid w:val="2D1D1D5E"/>
    <w:rsid w:val="2D5510AF"/>
    <w:rsid w:val="2D656721"/>
    <w:rsid w:val="2D8E188D"/>
    <w:rsid w:val="2E63100D"/>
    <w:rsid w:val="2FFE489A"/>
    <w:rsid w:val="308C6CC9"/>
    <w:rsid w:val="32167688"/>
    <w:rsid w:val="321760F0"/>
    <w:rsid w:val="32FD1D03"/>
    <w:rsid w:val="331A2249"/>
    <w:rsid w:val="35446C9F"/>
    <w:rsid w:val="35850D03"/>
    <w:rsid w:val="366F2A79"/>
    <w:rsid w:val="36854FAE"/>
    <w:rsid w:val="36A14576"/>
    <w:rsid w:val="370C0F67"/>
    <w:rsid w:val="37E74955"/>
    <w:rsid w:val="389C42C7"/>
    <w:rsid w:val="38A722E3"/>
    <w:rsid w:val="38E7664A"/>
    <w:rsid w:val="393A4A07"/>
    <w:rsid w:val="39472477"/>
    <w:rsid w:val="396C1936"/>
    <w:rsid w:val="39765A7C"/>
    <w:rsid w:val="39D27F2A"/>
    <w:rsid w:val="39E67A78"/>
    <w:rsid w:val="3D434289"/>
    <w:rsid w:val="3D4B0156"/>
    <w:rsid w:val="3D976450"/>
    <w:rsid w:val="3DF634DF"/>
    <w:rsid w:val="3EA11583"/>
    <w:rsid w:val="3ECA7CED"/>
    <w:rsid w:val="3F0A3E60"/>
    <w:rsid w:val="400C0C7E"/>
    <w:rsid w:val="409749EB"/>
    <w:rsid w:val="40AE2621"/>
    <w:rsid w:val="41411495"/>
    <w:rsid w:val="415428DD"/>
    <w:rsid w:val="41BF0FBC"/>
    <w:rsid w:val="42220127"/>
    <w:rsid w:val="440E7F51"/>
    <w:rsid w:val="446551B9"/>
    <w:rsid w:val="44B06A94"/>
    <w:rsid w:val="45066DF0"/>
    <w:rsid w:val="458A60D0"/>
    <w:rsid w:val="46537CD3"/>
    <w:rsid w:val="46596741"/>
    <w:rsid w:val="46A63BDA"/>
    <w:rsid w:val="46ED7F1A"/>
    <w:rsid w:val="475950F1"/>
    <w:rsid w:val="48D013E2"/>
    <w:rsid w:val="48F30C2D"/>
    <w:rsid w:val="4A3B4D6F"/>
    <w:rsid w:val="4B0E7075"/>
    <w:rsid w:val="4B211352"/>
    <w:rsid w:val="4B7D04B7"/>
    <w:rsid w:val="4C3F01F2"/>
    <w:rsid w:val="4C545E87"/>
    <w:rsid w:val="4D2477A6"/>
    <w:rsid w:val="4D70111A"/>
    <w:rsid w:val="4D8A6F8E"/>
    <w:rsid w:val="4E13726D"/>
    <w:rsid w:val="4FDE2637"/>
    <w:rsid w:val="4FE70DC0"/>
    <w:rsid w:val="4FF569DA"/>
    <w:rsid w:val="519F7BA4"/>
    <w:rsid w:val="522F0F63"/>
    <w:rsid w:val="52CA258F"/>
    <w:rsid w:val="52D20EEC"/>
    <w:rsid w:val="52DD2582"/>
    <w:rsid w:val="53542C10"/>
    <w:rsid w:val="53C926BD"/>
    <w:rsid w:val="553403F1"/>
    <w:rsid w:val="555370AB"/>
    <w:rsid w:val="55E069DD"/>
    <w:rsid w:val="56587A30"/>
    <w:rsid w:val="566352E9"/>
    <w:rsid w:val="58596708"/>
    <w:rsid w:val="5AE936B9"/>
    <w:rsid w:val="5B397D61"/>
    <w:rsid w:val="5BAB707A"/>
    <w:rsid w:val="5BC16969"/>
    <w:rsid w:val="5C044F16"/>
    <w:rsid w:val="5C6914DA"/>
    <w:rsid w:val="5CF147FE"/>
    <w:rsid w:val="5D8149B8"/>
    <w:rsid w:val="5DCB485B"/>
    <w:rsid w:val="5F03711F"/>
    <w:rsid w:val="601C7286"/>
    <w:rsid w:val="608C04E2"/>
    <w:rsid w:val="60B255BB"/>
    <w:rsid w:val="61296566"/>
    <w:rsid w:val="6137458B"/>
    <w:rsid w:val="61F1581F"/>
    <w:rsid w:val="62917095"/>
    <w:rsid w:val="62BA020F"/>
    <w:rsid w:val="63D72C1E"/>
    <w:rsid w:val="659A2704"/>
    <w:rsid w:val="65D46CE8"/>
    <w:rsid w:val="662967C6"/>
    <w:rsid w:val="662E109F"/>
    <w:rsid w:val="67251800"/>
    <w:rsid w:val="67601709"/>
    <w:rsid w:val="67710D03"/>
    <w:rsid w:val="67887197"/>
    <w:rsid w:val="67F307F2"/>
    <w:rsid w:val="68994EF5"/>
    <w:rsid w:val="694B0097"/>
    <w:rsid w:val="69B613DE"/>
    <w:rsid w:val="6AF95442"/>
    <w:rsid w:val="6B9A6C3B"/>
    <w:rsid w:val="6BC30F5A"/>
    <w:rsid w:val="6C4F00DF"/>
    <w:rsid w:val="6C4F12CB"/>
    <w:rsid w:val="6D86142C"/>
    <w:rsid w:val="6DD30EA9"/>
    <w:rsid w:val="6DD530D6"/>
    <w:rsid w:val="6E184A41"/>
    <w:rsid w:val="6EBE6FCA"/>
    <w:rsid w:val="6EE43B07"/>
    <w:rsid w:val="6F1F73B2"/>
    <w:rsid w:val="704A4D27"/>
    <w:rsid w:val="70B00D03"/>
    <w:rsid w:val="70DF71F0"/>
    <w:rsid w:val="71054B43"/>
    <w:rsid w:val="720B7CDC"/>
    <w:rsid w:val="730E028E"/>
    <w:rsid w:val="73263829"/>
    <w:rsid w:val="732A1122"/>
    <w:rsid w:val="73C92407"/>
    <w:rsid w:val="7499627D"/>
    <w:rsid w:val="755B12A1"/>
    <w:rsid w:val="75AE24B8"/>
    <w:rsid w:val="767945B8"/>
    <w:rsid w:val="76E804A0"/>
    <w:rsid w:val="770F39D2"/>
    <w:rsid w:val="78996949"/>
    <w:rsid w:val="7A3A3FDB"/>
    <w:rsid w:val="7ABF72FD"/>
    <w:rsid w:val="7ACD58BC"/>
    <w:rsid w:val="7AE26AB1"/>
    <w:rsid w:val="7AFE508C"/>
    <w:rsid w:val="7DAD3EEA"/>
    <w:rsid w:val="7E373A9E"/>
    <w:rsid w:val="7FFE56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qFormat="1" w:uiPriority="0"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7"/>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8"/>
    <w:autoRedefine/>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49"/>
    <w:autoRedefine/>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5"/>
    <w:basedOn w:val="1"/>
    <w:next w:val="8"/>
    <w:link w:val="50"/>
    <w:autoRedefine/>
    <w:qFormat/>
    <w:uiPriority w:val="9"/>
    <w:pPr>
      <w:keepNext/>
      <w:keepLines/>
      <w:spacing w:before="280" w:after="290" w:line="376" w:lineRule="auto"/>
      <w:outlineLvl w:val="4"/>
    </w:pPr>
    <w:rPr>
      <w:b/>
      <w:bCs/>
      <w:sz w:val="28"/>
      <w:szCs w:val="28"/>
    </w:rPr>
  </w:style>
  <w:style w:type="paragraph" w:styleId="9">
    <w:name w:val="heading 6"/>
    <w:basedOn w:val="1"/>
    <w:next w:val="1"/>
    <w:autoRedefine/>
    <w:qFormat/>
    <w:uiPriority w:val="0"/>
    <w:pPr>
      <w:keepNext/>
      <w:keepLines/>
      <w:spacing w:before="240" w:after="64" w:line="316" w:lineRule="auto"/>
      <w:outlineLvl w:val="5"/>
    </w:pPr>
    <w:rPr>
      <w:rFonts w:ascii="Arial" w:hAnsi="Arial" w:eastAsia="黑体"/>
      <w:b/>
      <w:bCs/>
      <w:sz w:val="24"/>
    </w:rPr>
  </w:style>
  <w:style w:type="paragraph" w:styleId="10">
    <w:name w:val="heading 7"/>
    <w:basedOn w:val="1"/>
    <w:next w:val="1"/>
    <w:link w:val="51"/>
    <w:autoRedefine/>
    <w:qFormat/>
    <w:uiPriority w:val="0"/>
    <w:pPr>
      <w:keepNext/>
      <w:keepLines/>
      <w:spacing w:before="240" w:after="64" w:line="320" w:lineRule="auto"/>
      <w:outlineLvl w:val="6"/>
    </w:pPr>
    <w:rPr>
      <w:b/>
      <w:bCs/>
      <w:sz w:val="24"/>
    </w:rPr>
  </w:style>
  <w:style w:type="paragraph" w:styleId="11">
    <w:name w:val="heading 8"/>
    <w:basedOn w:val="1"/>
    <w:next w:val="1"/>
    <w:link w:val="52"/>
    <w:autoRedefine/>
    <w:qFormat/>
    <w:uiPriority w:val="9"/>
    <w:pPr>
      <w:keepNext/>
      <w:keepLines/>
      <w:spacing w:before="240" w:after="64" w:line="320" w:lineRule="auto"/>
      <w:outlineLvl w:val="7"/>
    </w:pPr>
    <w:rPr>
      <w:rFonts w:ascii="等线 Light" w:hAnsi="等线 Light" w:eastAsia="等线 Light"/>
      <w:sz w:val="24"/>
    </w:rPr>
  </w:style>
  <w:style w:type="paragraph" w:styleId="12">
    <w:name w:val="heading 9"/>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4"/>
    <w:autoRedefine/>
    <w:unhideWhenUsed/>
    <w:qFormat/>
    <w:uiPriority w:val="99"/>
    <w:pPr>
      <w:spacing w:after="120"/>
    </w:pPr>
  </w:style>
  <w:style w:type="paragraph" w:styleId="8">
    <w:name w:val="Normal Indent"/>
    <w:basedOn w:val="1"/>
    <w:autoRedefine/>
    <w:qFormat/>
    <w:uiPriority w:val="0"/>
    <w:pPr>
      <w:ind w:firstLine="420"/>
    </w:pPr>
    <w:rPr>
      <w:szCs w:val="20"/>
    </w:rPr>
  </w:style>
  <w:style w:type="paragraph" w:styleId="13">
    <w:name w:val="index 8"/>
    <w:basedOn w:val="1"/>
    <w:next w:val="1"/>
    <w:autoRedefine/>
    <w:qFormat/>
    <w:uiPriority w:val="0"/>
    <w:pPr>
      <w:ind w:left="2940"/>
    </w:pPr>
  </w:style>
  <w:style w:type="paragraph" w:styleId="14">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annotation text"/>
    <w:basedOn w:val="1"/>
    <w:link w:val="57"/>
    <w:autoRedefine/>
    <w:qFormat/>
    <w:uiPriority w:val="0"/>
    <w:pPr>
      <w:jc w:val="left"/>
    </w:pPr>
  </w:style>
  <w:style w:type="paragraph" w:styleId="16">
    <w:name w:val="Body Text 3"/>
    <w:basedOn w:val="1"/>
    <w:link w:val="58"/>
    <w:autoRedefine/>
    <w:unhideWhenUsed/>
    <w:qFormat/>
    <w:uiPriority w:val="99"/>
    <w:pPr>
      <w:spacing w:after="120"/>
    </w:pPr>
    <w:rPr>
      <w:sz w:val="16"/>
      <w:szCs w:val="16"/>
    </w:rPr>
  </w:style>
  <w:style w:type="paragraph" w:styleId="17">
    <w:name w:val="Body Text Indent"/>
    <w:basedOn w:val="1"/>
    <w:next w:val="18"/>
    <w:link w:val="59"/>
    <w:autoRedefine/>
    <w:qFormat/>
    <w:uiPriority w:val="0"/>
    <w:pPr>
      <w:ind w:firstLine="830" w:firstLineChars="352"/>
    </w:pPr>
    <w:rPr>
      <w:rFonts w:ascii="仿宋_GB2312" w:eastAsia="仿宋_GB2312"/>
      <w:kern w:val="0"/>
      <w:sz w:val="32"/>
      <w:szCs w:val="20"/>
    </w:rPr>
  </w:style>
  <w:style w:type="paragraph" w:styleId="18">
    <w:name w:val="envelope return"/>
    <w:basedOn w:val="1"/>
    <w:unhideWhenUsed/>
    <w:qFormat/>
    <w:uiPriority w:val="0"/>
    <w:pPr>
      <w:snapToGrid w:val="0"/>
    </w:pPr>
    <w:rPr>
      <w:rFonts w:ascii="Arial" w:hAnsi="Arial"/>
    </w:rPr>
  </w:style>
  <w:style w:type="paragraph" w:styleId="19">
    <w:name w:val="List 2"/>
    <w:basedOn w:val="1"/>
    <w:autoRedefine/>
    <w:unhideWhenUsed/>
    <w:qFormat/>
    <w:uiPriority w:val="99"/>
    <w:pPr>
      <w:ind w:left="100" w:leftChars="200" w:hanging="200" w:hangingChars="200"/>
      <w:contextualSpacing/>
    </w:pPr>
  </w:style>
  <w:style w:type="paragraph" w:styleId="20">
    <w:name w:val="Plain Text"/>
    <w:basedOn w:val="1"/>
    <w:next w:val="6"/>
    <w:link w:val="61"/>
    <w:autoRedefine/>
    <w:qFormat/>
    <w:uiPriority w:val="99"/>
    <w:rPr>
      <w:rFonts w:ascii="宋体" w:hAnsi="Courier New"/>
      <w:kern w:val="0"/>
      <w:sz w:val="20"/>
      <w:szCs w:val="21"/>
    </w:rPr>
  </w:style>
  <w:style w:type="paragraph" w:styleId="21">
    <w:name w:val="Date"/>
    <w:basedOn w:val="1"/>
    <w:next w:val="1"/>
    <w:link w:val="62"/>
    <w:autoRedefine/>
    <w:unhideWhenUsed/>
    <w:qFormat/>
    <w:uiPriority w:val="99"/>
    <w:pPr>
      <w:ind w:left="100" w:leftChars="2500"/>
    </w:pPr>
  </w:style>
  <w:style w:type="paragraph" w:styleId="22">
    <w:name w:val="Balloon Text"/>
    <w:basedOn w:val="1"/>
    <w:link w:val="63"/>
    <w:autoRedefine/>
    <w:qFormat/>
    <w:uiPriority w:val="0"/>
    <w:rPr>
      <w:sz w:val="18"/>
      <w:szCs w:val="18"/>
    </w:rPr>
  </w:style>
  <w:style w:type="paragraph" w:styleId="23">
    <w:name w:val="footer"/>
    <w:basedOn w:val="1"/>
    <w:next w:val="1"/>
    <w:link w:val="4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4">
    <w:name w:val="header"/>
    <w:basedOn w:val="1"/>
    <w:link w:val="45"/>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5">
    <w:name w:val="toc 1"/>
    <w:basedOn w:val="1"/>
    <w:next w:val="1"/>
    <w:autoRedefine/>
    <w:unhideWhenUsed/>
    <w:qFormat/>
    <w:uiPriority w:val="39"/>
  </w:style>
  <w:style w:type="paragraph" w:styleId="26">
    <w:name w:val="footnote text"/>
    <w:basedOn w:val="1"/>
    <w:link w:val="92"/>
    <w:autoRedefine/>
    <w:unhideWhenUsed/>
    <w:qFormat/>
    <w:uiPriority w:val="99"/>
    <w:pPr>
      <w:snapToGrid w:val="0"/>
      <w:jc w:val="left"/>
    </w:pPr>
    <w:rPr>
      <w:sz w:val="18"/>
      <w:szCs w:val="18"/>
    </w:rPr>
  </w:style>
  <w:style w:type="paragraph" w:styleId="27">
    <w:name w:val="table of figures"/>
    <w:basedOn w:val="1"/>
    <w:next w:val="1"/>
    <w:autoRedefine/>
    <w:unhideWhenUsed/>
    <w:qFormat/>
    <w:uiPriority w:val="0"/>
    <w:pPr>
      <w:ind w:left="200" w:leftChars="200" w:hanging="200" w:hangingChars="200"/>
    </w:pPr>
    <w:rPr>
      <w:rFonts w:ascii="Calibri" w:hAnsi="Calibri"/>
      <w:sz w:val="28"/>
    </w:rPr>
  </w:style>
  <w:style w:type="paragraph" w:styleId="28">
    <w:name w:val="toc 2"/>
    <w:basedOn w:val="1"/>
    <w:next w:val="1"/>
    <w:autoRedefine/>
    <w:unhideWhenUsed/>
    <w:qFormat/>
    <w:uiPriority w:val="39"/>
    <w:pPr>
      <w:tabs>
        <w:tab w:val="right" w:leader="dot" w:pos="8296"/>
      </w:tabs>
      <w:ind w:left="420" w:leftChars="200"/>
    </w:pPr>
  </w:style>
  <w:style w:type="paragraph" w:styleId="29">
    <w:name w:val="Normal (Web)"/>
    <w:basedOn w:val="1"/>
    <w:autoRedefine/>
    <w:unhideWhenUsed/>
    <w:qFormat/>
    <w:uiPriority w:val="99"/>
    <w:rPr>
      <w:rFonts w:ascii="Calibri" w:hAnsi="Calibri"/>
      <w:kern w:val="0"/>
      <w:sz w:val="24"/>
    </w:rPr>
  </w:style>
  <w:style w:type="paragraph" w:styleId="30">
    <w:name w:val="Title"/>
    <w:basedOn w:val="1"/>
    <w:next w:val="1"/>
    <w:link w:val="55"/>
    <w:autoRedefine/>
    <w:qFormat/>
    <w:uiPriority w:val="0"/>
    <w:pPr>
      <w:spacing w:before="240" w:after="60"/>
      <w:jc w:val="center"/>
      <w:outlineLvl w:val="0"/>
    </w:pPr>
    <w:rPr>
      <w:rFonts w:ascii="Arial" w:hAnsi="Arial" w:cs="Arial"/>
      <w:b/>
      <w:bCs/>
      <w:sz w:val="32"/>
      <w:szCs w:val="32"/>
    </w:rPr>
  </w:style>
  <w:style w:type="paragraph" w:styleId="31">
    <w:name w:val="annotation subject"/>
    <w:basedOn w:val="15"/>
    <w:next w:val="15"/>
    <w:link w:val="64"/>
    <w:autoRedefine/>
    <w:qFormat/>
    <w:uiPriority w:val="99"/>
    <w:rPr>
      <w:b/>
      <w:bCs/>
    </w:rPr>
  </w:style>
  <w:style w:type="paragraph" w:styleId="32">
    <w:name w:val="Body Text First Indent"/>
    <w:basedOn w:val="2"/>
    <w:next w:val="1"/>
    <w:autoRedefine/>
    <w:qFormat/>
    <w:uiPriority w:val="0"/>
    <w:pPr>
      <w:adjustRightInd w:val="0"/>
      <w:spacing w:after="60" w:line="360" w:lineRule="atLeast"/>
      <w:ind w:left="72" w:leftChars="30" w:right="30" w:rightChars="30" w:firstLine="420"/>
      <w:jc w:val="center"/>
      <w:textAlignment w:val="baseline"/>
    </w:pPr>
    <w:rPr>
      <w:rFonts w:eastAsia="楷体_GB2312"/>
      <w:kern w:val="0"/>
      <w:sz w:val="32"/>
    </w:rPr>
  </w:style>
  <w:style w:type="paragraph" w:styleId="33">
    <w:name w:val="Body Text First Indent 2"/>
    <w:basedOn w:val="2"/>
    <w:next w:val="32"/>
    <w:link w:val="65"/>
    <w:autoRedefine/>
    <w:qFormat/>
    <w:uiPriority w:val="99"/>
    <w:pPr>
      <w:ind w:firstLine="420" w:firstLineChars="200"/>
    </w:pPr>
    <w:rPr>
      <w:rFonts w:ascii="宋体" w:hAnsi="Courier New"/>
      <w:spacing w:val="-4"/>
      <w:sz w:val="18"/>
    </w:rPr>
  </w:style>
  <w:style w:type="table" w:styleId="35">
    <w:name w:val="Table Grid"/>
    <w:basedOn w:val="34"/>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Strong"/>
    <w:basedOn w:val="36"/>
    <w:autoRedefine/>
    <w:qFormat/>
    <w:uiPriority w:val="22"/>
    <w:rPr>
      <w:b/>
    </w:rPr>
  </w:style>
  <w:style w:type="character" w:styleId="38">
    <w:name w:val="endnote reference"/>
    <w:autoRedefine/>
    <w:unhideWhenUsed/>
    <w:qFormat/>
    <w:uiPriority w:val="99"/>
    <w:rPr>
      <w:vertAlign w:val="superscript"/>
    </w:rPr>
  </w:style>
  <w:style w:type="character" w:styleId="39">
    <w:name w:val="FollowedHyperlink"/>
    <w:unhideWhenUsed/>
    <w:qFormat/>
    <w:uiPriority w:val="99"/>
    <w:rPr>
      <w:color w:val="800080"/>
      <w:u w:val="single"/>
    </w:rPr>
  </w:style>
  <w:style w:type="character" w:styleId="40">
    <w:name w:val="Hyperlink"/>
    <w:basedOn w:val="36"/>
    <w:autoRedefine/>
    <w:unhideWhenUsed/>
    <w:qFormat/>
    <w:uiPriority w:val="99"/>
    <w:rPr>
      <w:color w:val="0000FF"/>
      <w:u w:val="single"/>
    </w:rPr>
  </w:style>
  <w:style w:type="character" w:styleId="41">
    <w:name w:val="annotation reference"/>
    <w:autoRedefine/>
    <w:qFormat/>
    <w:uiPriority w:val="0"/>
    <w:rPr>
      <w:sz w:val="21"/>
      <w:szCs w:val="21"/>
    </w:rPr>
  </w:style>
  <w:style w:type="character" w:styleId="42">
    <w:name w:val="HTML Sample"/>
    <w:basedOn w:val="36"/>
    <w:autoRedefine/>
    <w:semiHidden/>
    <w:unhideWhenUsed/>
    <w:qFormat/>
    <w:uiPriority w:val="99"/>
    <w:rPr>
      <w:rFonts w:ascii="Courier New" w:hAnsi="Courier New"/>
    </w:rPr>
  </w:style>
  <w:style w:type="paragraph" w:customStyle="1" w:styleId="43">
    <w:name w:val="表格文字"/>
    <w:basedOn w:val="17"/>
    <w:qFormat/>
    <w:uiPriority w:val="99"/>
    <w:pPr>
      <w:spacing w:before="25" w:after="25"/>
      <w:jc w:val="left"/>
    </w:pPr>
    <w:rPr>
      <w:bCs/>
      <w:spacing w:val="10"/>
      <w:kern w:val="0"/>
      <w:sz w:val="24"/>
    </w:rPr>
  </w:style>
  <w:style w:type="paragraph" w:customStyle="1" w:styleId="44">
    <w:name w:val="Heading2"/>
    <w:basedOn w:val="1"/>
    <w:next w:val="1"/>
    <w:qFormat/>
    <w:uiPriority w:val="0"/>
    <w:pPr>
      <w:keepNext/>
      <w:keepLines/>
      <w:spacing w:before="60" w:after="60" w:line="413" w:lineRule="auto"/>
      <w:textAlignment w:val="baseline"/>
    </w:pPr>
    <w:rPr>
      <w:rFonts w:ascii="Arial" w:hAnsi="Arial" w:eastAsia="黑体"/>
      <w:b/>
      <w:bCs/>
      <w:szCs w:val="32"/>
    </w:rPr>
  </w:style>
  <w:style w:type="character" w:customStyle="1" w:styleId="45">
    <w:name w:val="页眉 Char"/>
    <w:basedOn w:val="36"/>
    <w:link w:val="24"/>
    <w:autoRedefine/>
    <w:qFormat/>
    <w:uiPriority w:val="99"/>
    <w:rPr>
      <w:sz w:val="18"/>
      <w:szCs w:val="18"/>
    </w:rPr>
  </w:style>
  <w:style w:type="character" w:customStyle="1" w:styleId="46">
    <w:name w:val="页脚 Char"/>
    <w:basedOn w:val="36"/>
    <w:link w:val="23"/>
    <w:autoRedefine/>
    <w:qFormat/>
    <w:uiPriority w:val="99"/>
    <w:rPr>
      <w:sz w:val="18"/>
      <w:szCs w:val="18"/>
    </w:rPr>
  </w:style>
  <w:style w:type="character" w:customStyle="1" w:styleId="47">
    <w:name w:val="标题 1 Char"/>
    <w:basedOn w:val="36"/>
    <w:link w:val="3"/>
    <w:autoRedefine/>
    <w:qFormat/>
    <w:uiPriority w:val="9"/>
    <w:rPr>
      <w:rFonts w:ascii="Times New Roman" w:hAnsi="Times New Roman" w:eastAsia="宋体" w:cs="Times New Roman"/>
      <w:b/>
      <w:bCs/>
      <w:kern w:val="44"/>
      <w:sz w:val="44"/>
      <w:szCs w:val="44"/>
    </w:rPr>
  </w:style>
  <w:style w:type="character" w:customStyle="1" w:styleId="48">
    <w:name w:val="标题 2 Char1"/>
    <w:basedOn w:val="36"/>
    <w:link w:val="4"/>
    <w:autoRedefine/>
    <w:qFormat/>
    <w:uiPriority w:val="0"/>
    <w:rPr>
      <w:rFonts w:ascii="Cambria" w:hAnsi="Cambria" w:eastAsia="宋体" w:cs="Times New Roman"/>
      <w:b/>
      <w:bCs/>
      <w:sz w:val="32"/>
      <w:szCs w:val="32"/>
    </w:rPr>
  </w:style>
  <w:style w:type="character" w:customStyle="1" w:styleId="49">
    <w:name w:val="标题 4 Char"/>
    <w:basedOn w:val="36"/>
    <w:link w:val="6"/>
    <w:autoRedefine/>
    <w:qFormat/>
    <w:uiPriority w:val="0"/>
    <w:rPr>
      <w:rFonts w:ascii="Arial" w:hAnsi="Times New Roman" w:eastAsia="黑体" w:cs="Times New Roman"/>
      <w:kern w:val="0"/>
      <w:sz w:val="28"/>
      <w:szCs w:val="20"/>
    </w:rPr>
  </w:style>
  <w:style w:type="character" w:customStyle="1" w:styleId="50">
    <w:name w:val="标题 5 Char"/>
    <w:basedOn w:val="36"/>
    <w:link w:val="7"/>
    <w:autoRedefine/>
    <w:qFormat/>
    <w:uiPriority w:val="9"/>
    <w:rPr>
      <w:rFonts w:ascii="Times New Roman" w:hAnsi="Times New Roman" w:eastAsia="宋体" w:cs="Times New Roman"/>
      <w:b/>
      <w:bCs/>
      <w:sz w:val="28"/>
      <w:szCs w:val="28"/>
    </w:rPr>
  </w:style>
  <w:style w:type="character" w:customStyle="1" w:styleId="51">
    <w:name w:val="标题 7 Char"/>
    <w:basedOn w:val="36"/>
    <w:link w:val="10"/>
    <w:autoRedefine/>
    <w:qFormat/>
    <w:uiPriority w:val="0"/>
    <w:rPr>
      <w:rFonts w:ascii="Times New Roman" w:hAnsi="Times New Roman" w:eastAsia="宋体" w:cs="Times New Roman"/>
      <w:b/>
      <w:bCs/>
      <w:sz w:val="24"/>
      <w:szCs w:val="24"/>
    </w:rPr>
  </w:style>
  <w:style w:type="character" w:customStyle="1" w:styleId="52">
    <w:name w:val="标题 8 Char1"/>
    <w:basedOn w:val="36"/>
    <w:link w:val="11"/>
    <w:autoRedefine/>
    <w:qFormat/>
    <w:uiPriority w:val="9"/>
    <w:rPr>
      <w:rFonts w:ascii="等线 Light" w:hAnsi="等线 Light" w:eastAsia="等线 Light" w:cs="Times New Roman"/>
      <w:sz w:val="24"/>
      <w:szCs w:val="24"/>
    </w:rPr>
  </w:style>
  <w:style w:type="character" w:customStyle="1" w:styleId="53">
    <w:name w:val="正文文本 字符"/>
    <w:basedOn w:val="36"/>
    <w:autoRedefine/>
    <w:qFormat/>
    <w:uiPriority w:val="99"/>
    <w:rPr>
      <w:rFonts w:ascii="Times New Roman" w:hAnsi="Times New Roman" w:eastAsia="宋体" w:cs="Times New Roman"/>
      <w:szCs w:val="24"/>
    </w:rPr>
  </w:style>
  <w:style w:type="character" w:customStyle="1" w:styleId="54">
    <w:name w:val="正文文本 Char1"/>
    <w:link w:val="2"/>
    <w:autoRedefine/>
    <w:qFormat/>
    <w:uiPriority w:val="0"/>
    <w:rPr>
      <w:rFonts w:ascii="Times New Roman" w:hAnsi="Times New Roman" w:eastAsia="宋体" w:cs="Times New Roman"/>
      <w:szCs w:val="24"/>
    </w:rPr>
  </w:style>
  <w:style w:type="character" w:customStyle="1" w:styleId="55">
    <w:name w:val="标题 Char"/>
    <w:basedOn w:val="36"/>
    <w:link w:val="30"/>
    <w:autoRedefine/>
    <w:qFormat/>
    <w:uiPriority w:val="0"/>
    <w:rPr>
      <w:rFonts w:ascii="Arial" w:hAnsi="Arial" w:eastAsia="宋体" w:cs="Arial"/>
      <w:b/>
      <w:bCs/>
      <w:sz w:val="32"/>
      <w:szCs w:val="32"/>
    </w:rPr>
  </w:style>
  <w:style w:type="character" w:customStyle="1" w:styleId="56">
    <w:name w:val="批注文字 字符"/>
    <w:basedOn w:val="36"/>
    <w:autoRedefine/>
    <w:qFormat/>
    <w:uiPriority w:val="0"/>
    <w:rPr>
      <w:rFonts w:ascii="Times New Roman" w:hAnsi="Times New Roman" w:eastAsia="宋体" w:cs="Times New Roman"/>
      <w:szCs w:val="24"/>
    </w:rPr>
  </w:style>
  <w:style w:type="character" w:customStyle="1" w:styleId="57">
    <w:name w:val="批注文字 Char1"/>
    <w:link w:val="15"/>
    <w:autoRedefine/>
    <w:qFormat/>
    <w:uiPriority w:val="0"/>
    <w:rPr>
      <w:rFonts w:ascii="Times New Roman" w:hAnsi="Times New Roman" w:eastAsia="宋体" w:cs="Times New Roman"/>
      <w:szCs w:val="24"/>
    </w:rPr>
  </w:style>
  <w:style w:type="character" w:customStyle="1" w:styleId="58">
    <w:name w:val="正文文本 3 Char"/>
    <w:basedOn w:val="36"/>
    <w:link w:val="16"/>
    <w:autoRedefine/>
    <w:qFormat/>
    <w:uiPriority w:val="99"/>
    <w:rPr>
      <w:rFonts w:ascii="Times New Roman" w:hAnsi="Times New Roman" w:eastAsia="宋体" w:cs="Times New Roman"/>
      <w:sz w:val="16"/>
      <w:szCs w:val="16"/>
    </w:rPr>
  </w:style>
  <w:style w:type="character" w:customStyle="1" w:styleId="59">
    <w:name w:val="正文文本缩进 Char"/>
    <w:basedOn w:val="36"/>
    <w:link w:val="17"/>
    <w:autoRedefine/>
    <w:qFormat/>
    <w:uiPriority w:val="0"/>
    <w:rPr>
      <w:rFonts w:ascii="仿宋_GB2312" w:hAnsi="Times New Roman" w:eastAsia="仿宋_GB2312" w:cs="Times New Roman"/>
      <w:kern w:val="0"/>
      <w:sz w:val="32"/>
      <w:szCs w:val="20"/>
    </w:rPr>
  </w:style>
  <w:style w:type="character" w:customStyle="1" w:styleId="60">
    <w:name w:val="纯文本 字符"/>
    <w:basedOn w:val="36"/>
    <w:autoRedefine/>
    <w:qFormat/>
    <w:uiPriority w:val="0"/>
    <w:rPr>
      <w:rFonts w:hAnsi="Courier New" w:cs="Courier New" w:asciiTheme="minorEastAsia"/>
      <w:szCs w:val="24"/>
    </w:rPr>
  </w:style>
  <w:style w:type="character" w:customStyle="1" w:styleId="61">
    <w:name w:val="纯文本 Char1"/>
    <w:link w:val="20"/>
    <w:autoRedefine/>
    <w:qFormat/>
    <w:uiPriority w:val="0"/>
    <w:rPr>
      <w:rFonts w:ascii="宋体" w:hAnsi="Courier New" w:eastAsia="宋体" w:cs="Times New Roman"/>
      <w:kern w:val="0"/>
      <w:sz w:val="20"/>
      <w:szCs w:val="21"/>
    </w:rPr>
  </w:style>
  <w:style w:type="character" w:customStyle="1" w:styleId="62">
    <w:name w:val="日期 Char"/>
    <w:basedOn w:val="36"/>
    <w:link w:val="21"/>
    <w:autoRedefine/>
    <w:qFormat/>
    <w:uiPriority w:val="99"/>
    <w:rPr>
      <w:rFonts w:ascii="Times New Roman" w:hAnsi="Times New Roman" w:eastAsia="宋体" w:cs="Times New Roman"/>
      <w:szCs w:val="24"/>
    </w:rPr>
  </w:style>
  <w:style w:type="character" w:customStyle="1" w:styleId="63">
    <w:name w:val="批注框文本 Char"/>
    <w:basedOn w:val="36"/>
    <w:link w:val="22"/>
    <w:autoRedefine/>
    <w:semiHidden/>
    <w:qFormat/>
    <w:uiPriority w:val="0"/>
    <w:rPr>
      <w:rFonts w:ascii="Times New Roman" w:hAnsi="Times New Roman" w:eastAsia="宋体" w:cs="Times New Roman"/>
      <w:sz w:val="18"/>
      <w:szCs w:val="18"/>
    </w:rPr>
  </w:style>
  <w:style w:type="character" w:customStyle="1" w:styleId="64">
    <w:name w:val="批注主题 Char"/>
    <w:basedOn w:val="56"/>
    <w:link w:val="31"/>
    <w:autoRedefine/>
    <w:qFormat/>
    <w:uiPriority w:val="99"/>
    <w:rPr>
      <w:rFonts w:ascii="Times New Roman" w:hAnsi="Times New Roman" w:eastAsia="宋体" w:cs="Times New Roman"/>
      <w:b/>
      <w:bCs/>
      <w:szCs w:val="24"/>
    </w:rPr>
  </w:style>
  <w:style w:type="character" w:customStyle="1" w:styleId="65">
    <w:name w:val="正文首行缩进 2 Char"/>
    <w:basedOn w:val="59"/>
    <w:link w:val="33"/>
    <w:autoRedefine/>
    <w:qFormat/>
    <w:uiPriority w:val="99"/>
    <w:rPr>
      <w:rFonts w:ascii="宋体" w:hAnsi="Courier New" w:eastAsia="仿宋_GB2312" w:cs="Times New Roman"/>
      <w:spacing w:val="-4"/>
      <w:kern w:val="0"/>
      <w:sz w:val="18"/>
      <w:szCs w:val="20"/>
    </w:rPr>
  </w:style>
  <w:style w:type="character" w:customStyle="1" w:styleId="66">
    <w:name w:val="纯文本 字符1"/>
    <w:autoRedefine/>
    <w:qFormat/>
    <w:uiPriority w:val="99"/>
    <w:rPr>
      <w:rFonts w:ascii="宋体" w:hAnsi="Courier New"/>
    </w:rPr>
  </w:style>
  <w:style w:type="character" w:customStyle="1" w:styleId="67">
    <w:name w:val="正文文本 Char"/>
    <w:autoRedefine/>
    <w:qFormat/>
    <w:uiPriority w:val="0"/>
    <w:rPr>
      <w:rFonts w:ascii="Times New Roman" w:hAnsi="Times New Roman"/>
      <w:kern w:val="2"/>
      <w:sz w:val="21"/>
      <w:szCs w:val="24"/>
    </w:rPr>
  </w:style>
  <w:style w:type="character" w:customStyle="1" w:styleId="68">
    <w:name w:val="纯文本 字符2"/>
    <w:autoRedefine/>
    <w:qFormat/>
    <w:uiPriority w:val="0"/>
    <w:rPr>
      <w:rFonts w:ascii="宋体" w:hAnsi="Courier New" w:eastAsia="宋体" w:cs="Courier New"/>
      <w:szCs w:val="21"/>
    </w:rPr>
  </w:style>
  <w:style w:type="character" w:customStyle="1" w:styleId="69">
    <w:name w:val="apple-style-span"/>
    <w:autoRedefine/>
    <w:qFormat/>
    <w:uiPriority w:val="0"/>
  </w:style>
  <w:style w:type="character" w:customStyle="1" w:styleId="70">
    <w:name w:val="批注文字 Char"/>
    <w:autoRedefine/>
    <w:qFormat/>
    <w:uiPriority w:val="0"/>
    <w:rPr>
      <w:rFonts w:ascii="Times New Roman" w:hAnsi="Times New Roman"/>
      <w:kern w:val="2"/>
      <w:sz w:val="21"/>
      <w:szCs w:val="24"/>
    </w:rPr>
  </w:style>
  <w:style w:type="character" w:customStyle="1" w:styleId="71">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2">
    <w:name w:val="textcontents"/>
    <w:autoRedefine/>
    <w:qFormat/>
    <w:uiPriority w:val="0"/>
  </w:style>
  <w:style w:type="character" w:customStyle="1" w:styleId="73">
    <w:name w:val="标题 1 字符1"/>
    <w:autoRedefine/>
    <w:qFormat/>
    <w:uiPriority w:val="0"/>
    <w:rPr>
      <w:b/>
      <w:bCs/>
      <w:kern w:val="44"/>
      <w:sz w:val="44"/>
      <w:szCs w:val="44"/>
    </w:rPr>
  </w:style>
  <w:style w:type="character" w:customStyle="1" w:styleId="74">
    <w:name w:val="批注文字 Char2"/>
    <w:autoRedefine/>
    <w:qFormat/>
    <w:uiPriority w:val="0"/>
    <w:rPr>
      <w:rFonts w:ascii="Times New Roman" w:hAnsi="Times New Roman"/>
      <w:kern w:val="2"/>
      <w:sz w:val="21"/>
      <w:szCs w:val="24"/>
    </w:rPr>
  </w:style>
  <w:style w:type="character" w:customStyle="1" w:styleId="75">
    <w:name w:val="标题 2 Char"/>
    <w:autoRedefine/>
    <w:qFormat/>
    <w:uiPriority w:val="0"/>
    <w:rPr>
      <w:rFonts w:ascii="Cambria" w:hAnsi="Cambria" w:eastAsia="宋体" w:cs="Times New Roman"/>
      <w:b/>
      <w:bCs/>
      <w:kern w:val="2"/>
      <w:sz w:val="32"/>
      <w:szCs w:val="32"/>
    </w:rPr>
  </w:style>
  <w:style w:type="character" w:customStyle="1" w:styleId="76">
    <w:name w:val="纯文本 Char"/>
    <w:autoRedefine/>
    <w:qFormat/>
    <w:uiPriority w:val="0"/>
    <w:rPr>
      <w:rFonts w:ascii="宋体" w:hAnsi="Courier New" w:eastAsia="宋体" w:cs="Courier New"/>
      <w:szCs w:val="21"/>
    </w:rPr>
  </w:style>
  <w:style w:type="character" w:customStyle="1" w:styleId="77">
    <w:name w:val="标题 8 Char"/>
    <w:autoRedefine/>
    <w:qFormat/>
    <w:uiPriority w:val="0"/>
    <w:rPr>
      <w:rFonts w:ascii="Arial" w:hAnsi="Arial" w:eastAsia="黑体"/>
      <w:kern w:val="2"/>
      <w:sz w:val="24"/>
      <w:szCs w:val="24"/>
    </w:rPr>
  </w:style>
  <w:style w:type="character" w:customStyle="1" w:styleId="78">
    <w:name w:val="font51"/>
    <w:autoRedefine/>
    <w:qFormat/>
    <w:uiPriority w:val="0"/>
    <w:rPr>
      <w:rFonts w:hint="default" w:ascii="Times New Roman" w:hAnsi="Times New Roman" w:cs="Times New Roman"/>
      <w:b/>
      <w:color w:val="000000"/>
      <w:sz w:val="18"/>
      <w:szCs w:val="18"/>
      <w:u w:val="none"/>
    </w:rPr>
  </w:style>
  <w:style w:type="character" w:customStyle="1" w:styleId="79">
    <w:name w:val="批注文字 字符1"/>
    <w:autoRedefine/>
    <w:qFormat/>
    <w:uiPriority w:val="0"/>
    <w:rPr>
      <w:rFonts w:ascii="Times New Roman" w:hAnsi="Times New Roman"/>
      <w:kern w:val="2"/>
      <w:sz w:val="21"/>
      <w:szCs w:val="24"/>
    </w:rPr>
  </w:style>
  <w:style w:type="paragraph" w:customStyle="1" w:styleId="80">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styleId="81">
    <w:name w:val="List Paragraph"/>
    <w:basedOn w:val="1"/>
    <w:autoRedefine/>
    <w:qFormat/>
    <w:uiPriority w:val="34"/>
    <w:pPr>
      <w:ind w:firstLine="420" w:firstLineChars="200"/>
    </w:pPr>
  </w:style>
  <w:style w:type="paragraph" w:customStyle="1" w:styleId="82">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
    <w:name w:val="Title1"/>
    <w:basedOn w:val="1"/>
    <w:next w:val="1"/>
    <w:autoRedefine/>
    <w:qFormat/>
    <w:uiPriority w:val="0"/>
    <w:pPr>
      <w:jc w:val="center"/>
      <w:outlineLvl w:val="0"/>
    </w:pPr>
    <w:rPr>
      <w:rFonts w:ascii="Calibri Light" w:hAnsi="Calibri Light" w:eastAsia="Arial Unicode MS"/>
      <w:b/>
    </w:rPr>
  </w:style>
  <w:style w:type="paragraph" w:customStyle="1" w:styleId="84">
    <w:name w:val="默认段落字体 Para Char Char Char Char Char Char Char Char Char1 Char Char Char Char"/>
    <w:basedOn w:val="1"/>
    <w:autoRedefine/>
    <w:qFormat/>
    <w:uiPriority w:val="0"/>
    <w:rPr>
      <w:rFonts w:ascii="Tahoma" w:hAnsi="Tahoma"/>
      <w:sz w:val="24"/>
      <w:szCs w:val="20"/>
    </w:rPr>
  </w:style>
  <w:style w:type="paragraph" w:customStyle="1" w:styleId="85">
    <w:name w:val="样式 0正文 + 首行缩进:  2 字符1"/>
    <w:basedOn w:val="1"/>
    <w:autoRedefine/>
    <w:qFormat/>
    <w:uiPriority w:val="99"/>
    <w:pPr>
      <w:spacing w:line="360" w:lineRule="auto"/>
      <w:ind w:firstLine="200" w:firstLineChars="200"/>
    </w:pPr>
    <w:rPr>
      <w:szCs w:val="20"/>
    </w:rPr>
  </w:style>
  <w:style w:type="paragraph" w:customStyle="1" w:styleId="86">
    <w:name w:val="无间隔1"/>
    <w:autoRedefine/>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Table Paragraph"/>
    <w:basedOn w:val="1"/>
    <w:autoRedefine/>
    <w:qFormat/>
    <w:uiPriority w:val="1"/>
    <w:pPr>
      <w:jc w:val="left"/>
    </w:pPr>
    <w:rPr>
      <w:rFonts w:ascii="Calibri" w:hAnsi="Calibri"/>
      <w:kern w:val="0"/>
      <w:sz w:val="22"/>
      <w:szCs w:val="22"/>
      <w:lang w:eastAsia="en-US"/>
    </w:rPr>
  </w:style>
  <w:style w:type="paragraph" w:customStyle="1" w:styleId="88">
    <w:name w:val="正文-公11"/>
    <w:basedOn w:val="1"/>
    <w:autoRedefine/>
    <w:qFormat/>
    <w:uiPriority w:val="0"/>
    <w:pPr>
      <w:ind w:firstLine="200" w:firstLineChars="200"/>
      <w:jc w:val="left"/>
    </w:pPr>
    <w:rPr>
      <w:rFonts w:eastAsia="仿宋_GB2312"/>
    </w:rPr>
  </w:style>
  <w:style w:type="paragraph" w:customStyle="1" w:styleId="89">
    <w:name w:val="my正文"/>
    <w:basedOn w:val="1"/>
    <w:link w:val="90"/>
    <w:autoRedefine/>
    <w:qFormat/>
    <w:uiPriority w:val="0"/>
    <w:pPr>
      <w:spacing w:line="360" w:lineRule="auto"/>
      <w:ind w:firstLine="480" w:firstLineChars="200"/>
    </w:pPr>
    <w:rPr>
      <w:sz w:val="24"/>
      <w:lang w:val="zh-CN"/>
    </w:rPr>
  </w:style>
  <w:style w:type="character" w:customStyle="1" w:styleId="90">
    <w:name w:val="my正文 Char"/>
    <w:link w:val="89"/>
    <w:autoRedefine/>
    <w:qFormat/>
    <w:uiPriority w:val="0"/>
    <w:rPr>
      <w:rFonts w:ascii="Times New Roman" w:hAnsi="Times New Roman" w:eastAsia="宋体" w:cs="Times New Roman"/>
      <w:sz w:val="24"/>
      <w:szCs w:val="24"/>
      <w:lang w:val="zh-CN"/>
    </w:rPr>
  </w:style>
  <w:style w:type="character" w:customStyle="1" w:styleId="91">
    <w:name w:val="纯文本 Char2"/>
    <w:autoRedefine/>
    <w:qFormat/>
    <w:uiPriority w:val="0"/>
    <w:rPr>
      <w:rFonts w:ascii="宋体" w:hAnsi="Courier New" w:eastAsia="宋体" w:cs="Courier New"/>
      <w:szCs w:val="21"/>
    </w:rPr>
  </w:style>
  <w:style w:type="character" w:customStyle="1" w:styleId="92">
    <w:name w:val="脚注文本 Char"/>
    <w:basedOn w:val="36"/>
    <w:link w:val="26"/>
    <w:autoRedefine/>
    <w:qFormat/>
    <w:uiPriority w:val="99"/>
    <w:rPr>
      <w:rFonts w:ascii="Times New Roman" w:hAnsi="Times New Roman" w:eastAsia="宋体" w:cs="Times New Roman"/>
      <w:sz w:val="18"/>
      <w:szCs w:val="18"/>
    </w:rPr>
  </w:style>
  <w:style w:type="paragraph" w:customStyle="1" w:styleId="93">
    <w:name w:val="p16"/>
    <w:basedOn w:val="1"/>
    <w:autoRedefine/>
    <w:qFormat/>
    <w:uiPriority w:val="99"/>
    <w:pPr>
      <w:widowControl/>
    </w:pPr>
    <w:rPr>
      <w:rFonts w:ascii="宋体" w:hAnsi="宋体" w:cs="宋体"/>
      <w:kern w:val="0"/>
      <w:szCs w:val="21"/>
    </w:rPr>
  </w:style>
  <w:style w:type="character" w:customStyle="1" w:styleId="94">
    <w:name w:val="bookmark-item uuid-1595987425520 code-23021 editdisable multi-line-text-input-box-cls readonly"/>
    <w:autoRedefine/>
    <w:qFormat/>
    <w:uiPriority w:val="0"/>
    <w:rPr>
      <w:rFonts w:ascii="Times New Roman" w:hAnsi="Times New Roman" w:eastAsia="宋体" w:cs="Times New Roman"/>
    </w:rPr>
  </w:style>
  <w:style w:type="character" w:customStyle="1" w:styleId="95">
    <w:name w:val="bookmark-item uuid-1595988095908 code-25009 addword numeric-input-box-cls"/>
    <w:autoRedefine/>
    <w:qFormat/>
    <w:uiPriority w:val="0"/>
    <w:rPr>
      <w:rFonts w:ascii="Times New Roman" w:hAnsi="Times New Roman" w:eastAsia="宋体" w:cs="Times New Roman"/>
    </w:rPr>
  </w:style>
  <w:style w:type="character" w:customStyle="1" w:styleId="96">
    <w:name w:val="bookmark-item uuid-1595988200124 code-25012 editdisable single-line-text-input-box-cls readonly"/>
    <w:autoRedefine/>
    <w:qFormat/>
    <w:uiPriority w:val="0"/>
    <w:rPr>
      <w:rFonts w:ascii="Times New Roman" w:hAnsi="Times New Roman" w:eastAsia="宋体" w:cs="Times New Roman"/>
    </w:rPr>
  </w:style>
  <w:style w:type="character" w:customStyle="1" w:styleId="97">
    <w:name w:val="bookmark-item uuid-1589194982864 code-31006 addword multi-line-text-input-box-cls"/>
    <w:autoRedefine/>
    <w:qFormat/>
    <w:uiPriority w:val="0"/>
    <w:rPr>
      <w:rFonts w:ascii="Times New Roman" w:hAnsi="Times New Roman" w:eastAsia="宋体" w:cs="Times New Roman"/>
    </w:rPr>
  </w:style>
  <w:style w:type="character" w:customStyle="1" w:styleId="98">
    <w:name w:val="bookmark-item uuid-1596004663203 code-00014 editdisable interval-text-box-cls readonly"/>
    <w:autoRedefine/>
    <w:qFormat/>
    <w:uiPriority w:val="0"/>
    <w:rPr>
      <w:rFonts w:ascii="Times New Roman" w:hAnsi="Times New Roman" w:eastAsia="宋体" w:cs="Times New Roman"/>
    </w:rPr>
  </w:style>
  <w:style w:type="character" w:customStyle="1" w:styleId="99">
    <w:name w:val="bookmark-item uuid-1596004721081 code-00009 addword interval-text-box-cls"/>
    <w:autoRedefine/>
    <w:qFormat/>
    <w:uiPriority w:val="0"/>
    <w:rPr>
      <w:rFonts w:ascii="Times New Roman" w:hAnsi="Times New Roman" w:eastAsia="宋体" w:cs="Times New Roman"/>
    </w:rPr>
  </w:style>
  <w:style w:type="character" w:customStyle="1" w:styleId="100">
    <w:name w:val="bookmark-item uuid-1596004745033 code-00010 editdisable single-line-text-input-box-cls readonly"/>
    <w:autoRedefine/>
    <w:qFormat/>
    <w:uiPriority w:val="0"/>
    <w:rPr>
      <w:rFonts w:ascii="Times New Roman" w:hAnsi="Times New Roman" w:eastAsia="宋体" w:cs="Times New Roman"/>
    </w:rPr>
  </w:style>
  <w:style w:type="paragraph" w:customStyle="1" w:styleId="101">
    <w:name w:val="正文1"/>
    <w:basedOn w:val="1"/>
    <w:autoRedefine/>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102">
    <w:name w:val="正文2"/>
    <w:basedOn w:val="1"/>
    <w:autoRedefine/>
    <w:qFormat/>
    <w:uiPriority w:val="0"/>
    <w:pPr>
      <w:adjustRightInd w:val="0"/>
      <w:spacing w:before="156" w:line="360" w:lineRule="auto"/>
      <w:ind w:firstLine="510" w:firstLineChars="200"/>
    </w:pPr>
    <w:rPr>
      <w:sz w:val="24"/>
      <w:szCs w:val="20"/>
    </w:rPr>
  </w:style>
  <w:style w:type="character" w:customStyle="1" w:styleId="103">
    <w:name w:val="font21"/>
    <w:basedOn w:val="36"/>
    <w:autoRedefine/>
    <w:qFormat/>
    <w:uiPriority w:val="0"/>
    <w:rPr>
      <w:rFonts w:ascii="Wingdings 2" w:hAnsi="Wingdings 2" w:eastAsia="Wingdings 2" w:cs="Wingdings 2"/>
      <w:color w:val="000000"/>
      <w:sz w:val="22"/>
      <w:szCs w:val="22"/>
      <w:u w:val="none"/>
    </w:rPr>
  </w:style>
  <w:style w:type="character" w:customStyle="1" w:styleId="104">
    <w:name w:val="font11"/>
    <w:basedOn w:val="36"/>
    <w:autoRedefine/>
    <w:qFormat/>
    <w:uiPriority w:val="0"/>
    <w:rPr>
      <w:rFonts w:hint="eastAsia" w:ascii="宋体" w:hAnsi="宋体" w:eastAsia="宋体" w:cs="宋体"/>
      <w:color w:val="000000"/>
      <w:sz w:val="22"/>
      <w:szCs w:val="22"/>
      <w:u w:val="none"/>
    </w:rPr>
  </w:style>
  <w:style w:type="paragraph" w:customStyle="1" w:styleId="105">
    <w:name w:val="p15"/>
    <w:basedOn w:val="1"/>
    <w:autoRedefine/>
    <w:qFormat/>
    <w:uiPriority w:val="0"/>
    <w:pPr>
      <w:widowControl/>
    </w:pPr>
    <w:rPr>
      <w:rFonts w:ascii="宋体" w:hAnsi="宋体" w:cs="宋体"/>
      <w:kern w:val="0"/>
    </w:rPr>
  </w:style>
  <w:style w:type="paragraph" w:customStyle="1" w:styleId="106">
    <w:name w:val="正文-2字符首行缩进"/>
    <w:basedOn w:val="1"/>
    <w:autoRedefine/>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107">
    <w:name w:val="列出段落1"/>
    <w:basedOn w:val="1"/>
    <w:autoRedefine/>
    <w:qFormat/>
    <w:uiPriority w:val="99"/>
    <w:pPr>
      <w:ind w:firstLine="420" w:firstLineChars="200"/>
    </w:pPr>
    <w:rPr>
      <w:rFonts w:ascii="等线" w:hAnsi="等线" w:eastAsia="等线"/>
    </w:rPr>
  </w:style>
  <w:style w:type="character" w:customStyle="1" w:styleId="108">
    <w:name w:val="font71"/>
    <w:basedOn w:val="36"/>
    <w:qFormat/>
    <w:uiPriority w:val="0"/>
    <w:rPr>
      <w:rFonts w:hint="default" w:ascii="Times New Roman" w:hAnsi="Times New Roman" w:cs="Times New Roman"/>
      <w:color w:val="000000"/>
      <w:sz w:val="18"/>
      <w:szCs w:val="18"/>
      <w:u w:val="none"/>
    </w:rPr>
  </w:style>
  <w:style w:type="character" w:customStyle="1" w:styleId="109">
    <w:name w:val="font61"/>
    <w:basedOn w:val="36"/>
    <w:qFormat/>
    <w:uiPriority w:val="0"/>
    <w:rPr>
      <w:rFonts w:hint="eastAsia" w:ascii="宋体" w:hAnsi="宋体" w:eastAsia="宋体" w:cs="宋体"/>
      <w:color w:val="000000"/>
      <w:sz w:val="18"/>
      <w:szCs w:val="18"/>
      <w:u w:val="none"/>
    </w:rPr>
  </w:style>
  <w:style w:type="paragraph" w:customStyle="1" w:styleId="110">
    <w:name w:val="正文_0"/>
    <w:next w:val="1"/>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02CD6C-0E05-474F-8358-FFBE3FCC39DB}">
  <ds:schemaRefs/>
</ds:datastoreItem>
</file>

<file path=docProps/app.xml><?xml version="1.0" encoding="utf-8"?>
<Properties xmlns="http://schemas.openxmlformats.org/officeDocument/2006/extended-properties" xmlns:vt="http://schemas.openxmlformats.org/officeDocument/2006/docPropsVTypes">
  <Template>Normal.dotm</Template>
  <Pages>84</Pages>
  <Words>6712</Words>
  <Characters>8221</Characters>
  <Lines>479</Lines>
  <Paragraphs>134</Paragraphs>
  <TotalTime>30</TotalTime>
  <ScaleCrop>false</ScaleCrop>
  <LinksUpToDate>false</LinksUpToDate>
  <CharactersWithSpaces>8550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2024-06-12T02:19:00Z</dcterms:created>
  <dc:creator>TSE James</dc:creator>
  <cp:lastModifiedBy>雨过天晴</cp:lastModifiedBy>
  <cp:lastPrinted>2024-07-02T10:25:00Z</cp:lastPrinted>
  <dcterms:modified xsi:type="dcterms:W3CDTF">2026-08-07T04:31:05Z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03F0A6513433415B97EDE317A14C7350_13</vt:lpwstr>
  </property>
  <property fmtid="{D5CDD505-2E9C-101B-9397-08002B2CF9AE}" pid="4" name="KSOTemplateDocerSaveRecord">
    <vt:lpwstr>eyJoZGlkIjoiMzEwNTM5NzYwMDRjMzkwZTVkZjY2ODkwMGIxNGU0OTUiLCJ1c2VySWQiOiI3MDAxMTU0MTgifQ==</vt:lpwstr>
  </property>
</Properties>
</file>