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rPr>
          <w:rFonts w:hint="eastAsia" w:ascii="宋体" w:hAnsi="宋体" w:cs="仿宋_GB2312"/>
          <w:b/>
          <w:color w:val="000000" w:themeColor="text1"/>
          <w:sz w:val="24"/>
          <w:highlight w:val="none"/>
          <w14:textFill>
            <w14:solidFill>
              <w14:schemeClr w14:val="tx1"/>
            </w14:solidFill>
          </w14:textFill>
        </w:rPr>
      </w:pPr>
    </w:p>
    <w:p>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pPr>
        <w:spacing w:line="360" w:lineRule="auto"/>
        <w:jc w:val="center"/>
        <w:rPr>
          <w:rFonts w:hint="eastAsia" w:ascii="宋体" w:hAnsi="宋体" w:eastAsia="宋体" w:cs="仿宋_GB2312"/>
          <w:b/>
          <w:color w:val="000000" w:themeColor="text1"/>
          <w:sz w:val="48"/>
          <w:szCs w:val="48"/>
          <w:highlight w:val="none"/>
          <w:lang w:eastAsia="zh-CN"/>
          <w14:textFill>
            <w14:solidFill>
              <w14:schemeClr w14:val="tx1"/>
            </w14:solidFill>
          </w14:textFill>
        </w:rPr>
      </w:pPr>
      <w:r>
        <w:rPr>
          <w:rFonts w:hint="eastAsia" w:ascii="宋体" w:hAnsi="宋体" w:cs="仿宋_GB2312"/>
          <w:b/>
          <w:color w:val="000000" w:themeColor="text1"/>
          <w:sz w:val="48"/>
          <w:szCs w:val="48"/>
          <w:highlight w:val="none"/>
          <w:lang w:eastAsia="zh-CN"/>
          <w14:textFill>
            <w14:solidFill>
              <w14:schemeClr w14:val="tx1"/>
            </w14:solidFill>
          </w14:textFill>
        </w:rPr>
        <w:t>合浦县党江中学教学楼维修项目</w:t>
      </w:r>
    </w:p>
    <w:p>
      <w:pPr>
        <w:tabs>
          <w:tab w:val="left" w:pos="8035"/>
        </w:tabs>
        <w:spacing w:line="360" w:lineRule="auto"/>
        <w:jc w:val="left"/>
        <w:rPr>
          <w:rFonts w:hint="eastAsia" w:ascii="宋体" w:hAnsi="宋体" w:cs="仿宋_GB2312"/>
          <w:b/>
          <w:bCs/>
          <w:color w:val="000000" w:themeColor="text1"/>
          <w:w w:val="95"/>
          <w:sz w:val="72"/>
          <w:szCs w:val="72"/>
          <w:highlight w:val="none"/>
          <w:lang w:val="zh-CN"/>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ab/>
      </w:r>
    </w:p>
    <w:p>
      <w:pPr>
        <w:spacing w:line="360" w:lineRule="auto"/>
        <w:jc w:val="center"/>
        <w:rPr>
          <w:rFonts w:ascii="宋体" w:hAnsi="宋体" w:cs="仿宋_GB2312"/>
          <w:b/>
          <w:color w:val="000000" w:themeColor="text1"/>
          <w:sz w:val="72"/>
          <w:szCs w:val="72"/>
          <w:highlight w:val="none"/>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竞争性谈判</w:t>
      </w:r>
      <w:r>
        <w:rPr>
          <w:rFonts w:hint="eastAsia" w:ascii="宋体" w:hAnsi="宋体" w:cs="仿宋_GB2312"/>
          <w:b/>
          <w:color w:val="000000" w:themeColor="text1"/>
          <w:sz w:val="72"/>
          <w:szCs w:val="72"/>
          <w:highlight w:val="none"/>
          <w14:textFill>
            <w14:solidFill>
              <w14:schemeClr w14:val="tx1"/>
            </w14:solidFill>
          </w14:textFill>
        </w:rPr>
        <w:t>文件</w:t>
      </w:r>
    </w:p>
    <w:p>
      <w:pPr>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pPr>
        <w:spacing w:line="360" w:lineRule="auto"/>
        <w:jc w:val="center"/>
        <w:rPr>
          <w:rFonts w:ascii="宋体" w:hAnsi="宋体" w:cs="仿宋_GB2312"/>
          <w:b/>
          <w:color w:val="000000" w:themeColor="text1"/>
          <w:sz w:val="44"/>
          <w:szCs w:val="44"/>
          <w:highlight w:val="none"/>
          <w14:textFill>
            <w14:solidFill>
              <w14:schemeClr w14:val="tx1"/>
            </w14:solidFill>
          </w14:textFill>
        </w:rPr>
      </w:pPr>
      <w:r>
        <w:rPr>
          <w:rFonts w:hint="eastAsia" w:ascii="宋体" w:hAnsi="宋体" w:cs="仿宋_GB2312"/>
          <w:b/>
          <w:color w:val="000000" w:themeColor="text1"/>
          <w:sz w:val="44"/>
          <w:szCs w:val="44"/>
          <w:highlight w:val="none"/>
          <w14:textFill>
            <w14:solidFill>
              <w14:schemeClr w14:val="tx1"/>
            </w14:solidFill>
          </w14:textFill>
        </w:rPr>
        <w:t>（电子交易）</w:t>
      </w:r>
    </w:p>
    <w:p>
      <w:pPr>
        <w:adjustRightInd w:val="0"/>
        <w:snapToGrid w:val="0"/>
        <w:spacing w:line="360" w:lineRule="auto"/>
        <w:jc w:val="center"/>
        <w:rPr>
          <w:rFonts w:ascii="宋体" w:hAnsi="宋体" w:cs="仿宋_GB2312"/>
          <w:color w:val="000000" w:themeColor="text1"/>
          <w:sz w:val="30"/>
          <w:szCs w:val="30"/>
          <w:highlight w:val="none"/>
          <w14:textFill>
            <w14:solidFill>
              <w14:schemeClr w14:val="tx1"/>
            </w14:solidFill>
          </w14:textFill>
        </w:rPr>
      </w:pPr>
    </w:p>
    <w:p>
      <w:pPr>
        <w:adjustRightInd w:val="0"/>
        <w:snapToGrid w:val="0"/>
        <w:spacing w:line="360" w:lineRule="auto"/>
        <w:ind w:firstLine="2100" w:firstLineChars="700"/>
        <w:jc w:val="left"/>
        <w:rPr>
          <w:rFonts w:hint="eastAsia" w:ascii="宋体" w:hAnsi="宋体" w:cs="仿宋_GB2312"/>
          <w:color w:val="auto"/>
          <w:sz w:val="30"/>
          <w:szCs w:val="30"/>
          <w:highlight w:val="none"/>
        </w:rPr>
      </w:pPr>
      <w:r>
        <w:rPr>
          <w:rFonts w:hint="eastAsia" w:ascii="宋体" w:hAnsi="宋体" w:cs="仿宋_GB2312"/>
          <w:color w:val="auto"/>
          <w:sz w:val="30"/>
          <w:szCs w:val="30"/>
          <w:highlight w:val="none"/>
        </w:rPr>
        <w:t>项目编号:BHZC2026-J2-210107-JHGC</w:t>
      </w:r>
    </w:p>
    <w:p>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pPr>
        <w:spacing w:line="360" w:lineRule="auto"/>
        <w:rPr>
          <w:rFonts w:ascii="宋体" w:hAnsi="宋体" w:cs="仿宋_GB2312"/>
          <w:color w:val="000000" w:themeColor="text1"/>
          <w:sz w:val="28"/>
          <w:szCs w:val="20"/>
          <w:highlight w:val="none"/>
          <w14:textFill>
            <w14:solidFill>
              <w14:schemeClr w14:val="tx1"/>
            </w14:solidFill>
          </w14:textFill>
        </w:rPr>
      </w:pPr>
    </w:p>
    <w:p>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pPr>
        <w:adjustRightInd w:val="0"/>
        <w:spacing w:line="360" w:lineRule="auto"/>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pPr>
        <w:adjustRightInd w:val="0"/>
        <w:snapToGrid w:val="0"/>
        <w:spacing w:line="240" w:lineRule="auto"/>
        <w:jc w:val="center"/>
        <w:rPr>
          <w:rFonts w:hint="eastAsia" w:ascii="宋体" w:hAnsi="宋体" w:eastAsia="宋体" w:cs="仿宋_GB2312"/>
          <w:color w:val="000000" w:themeColor="text1"/>
          <w:sz w:val="32"/>
          <w:szCs w:val="32"/>
          <w:highlight w:val="none"/>
          <w:lang w:eastAsia="zh-CN"/>
          <w14:textFill>
            <w14:solidFill>
              <w14:schemeClr w14:val="tx1"/>
            </w14:solidFill>
          </w14:textFill>
        </w:rPr>
      </w:pPr>
      <w:r>
        <w:rPr>
          <w:rFonts w:hint="eastAsia" w:ascii="宋体" w:hAnsi="宋体" w:cs="宋体"/>
          <w:color w:val="000000" w:themeColor="text1"/>
          <w:sz w:val="32"/>
          <w:szCs w:val="32"/>
          <w:highlight w:val="none"/>
          <w:lang w:eastAsia="zh-CN"/>
          <w14:textFill>
            <w14:solidFill>
              <w14:schemeClr w14:val="tx1"/>
            </w14:solidFill>
          </w14:textFill>
        </w:rPr>
        <w:t>采购人：合浦县党江中学</w:t>
      </w:r>
    </w:p>
    <w:p>
      <w:pPr>
        <w:adjustRightInd w:val="0"/>
        <w:spacing w:line="240" w:lineRule="auto"/>
        <w:jc w:val="center"/>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宋体"/>
          <w:bCs/>
          <w:color w:val="000000" w:themeColor="text1"/>
          <w:sz w:val="32"/>
          <w:szCs w:val="32"/>
          <w:highlight w:val="none"/>
          <w:lang w:val="en-US" w:eastAsia="zh-CN"/>
          <w14:textFill>
            <w14:solidFill>
              <w14:schemeClr w14:val="tx1"/>
            </w14:solidFill>
          </w14:textFill>
        </w:rPr>
        <w:t xml:space="preserve">  </w:t>
      </w:r>
      <w:r>
        <w:rPr>
          <w:rFonts w:hint="eastAsia" w:ascii="宋体" w:hAnsi="宋体" w:cs="宋体"/>
          <w:bCs/>
          <w:color w:val="000000" w:themeColor="text1"/>
          <w:sz w:val="32"/>
          <w:szCs w:val="32"/>
          <w:highlight w:val="none"/>
          <w14:textFill>
            <w14:solidFill>
              <w14:schemeClr w14:val="tx1"/>
            </w14:solidFill>
          </w14:textFill>
        </w:rPr>
        <w:t>采购代理机构</w:t>
      </w:r>
      <w:r>
        <w:rPr>
          <w:rFonts w:hint="eastAsia" w:ascii="宋体" w:hAnsi="宋体" w:cs="宋体"/>
          <w:bCs/>
          <w:color w:val="000000" w:themeColor="text1"/>
          <w:sz w:val="32"/>
          <w:szCs w:val="32"/>
          <w:highlight w:val="none"/>
          <w:lang w:eastAsia="zh-CN"/>
          <w14:textFill>
            <w14:solidFill>
              <w14:schemeClr w14:val="tx1"/>
            </w14:solidFill>
          </w14:textFill>
        </w:rPr>
        <w:t>：广西璟华工程管理有限公司</w:t>
      </w:r>
    </w:p>
    <w:p>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6</w:t>
      </w:r>
      <w:r>
        <w:rPr>
          <w:rFonts w:hint="eastAsia" w:ascii="宋体" w:hAnsi="宋体" w:cs="仿宋_GB2312"/>
          <w:bCs/>
          <w:color w:val="auto"/>
          <w:sz w:val="32"/>
          <w:szCs w:val="32"/>
          <w:highlight w:val="none"/>
        </w:rPr>
        <w:t>日</w:t>
      </w:r>
    </w:p>
    <w:p>
      <w:pPr>
        <w:pStyle w:val="21"/>
        <w:adjustRightInd w:val="0"/>
        <w:snapToGrid w:val="0"/>
        <w:spacing w:line="240" w:lineRule="auto"/>
        <w:ind w:firstLine="15"/>
        <w:jc w:val="center"/>
        <w:rPr>
          <w:color w:val="000000" w:themeColor="text1"/>
          <w:sz w:val="32"/>
          <w:szCs w:val="32"/>
          <w:highlight w:val="none"/>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pPr>
        <w:adjustRightInd w:val="0"/>
        <w:spacing w:line="360" w:lineRule="auto"/>
        <w:jc w:val="center"/>
        <w:rPr>
          <w:rFonts w:ascii="宋体" w:hAnsi="宋体" w:cs="仿宋_GB2312"/>
          <w:b/>
          <w:color w:val="000000" w:themeColor="text1"/>
          <w:sz w:val="48"/>
          <w:szCs w:val="48"/>
          <w:highlight w:val="none"/>
          <w14:textFill>
            <w14:solidFill>
              <w14:schemeClr w14:val="tx1"/>
            </w14:solidFill>
          </w14:textFill>
        </w:rPr>
      </w:pPr>
      <w:r>
        <w:rPr>
          <w:rFonts w:hint="eastAsia" w:ascii="宋体" w:hAnsi="宋体" w:cs="仿宋_GB2312"/>
          <w:b/>
          <w:color w:val="000000" w:themeColor="text1"/>
          <w:sz w:val="48"/>
          <w:szCs w:val="48"/>
          <w:highlight w:val="none"/>
          <w14:textFill>
            <w14:solidFill>
              <w14:schemeClr w14:val="tx1"/>
            </w14:solidFill>
          </w14:textFill>
        </w:rPr>
        <w:t>目  录</w:t>
      </w: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28"/>
          <w:szCs w:val="28"/>
          <w:highlight w:val="none"/>
          <w14:textFill>
            <w14:solidFill>
              <w14:schemeClr w14:val="tx1"/>
            </w14:solidFill>
          </w14:textFill>
        </w:rPr>
      </w:pPr>
    </w:p>
    <w:p>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w:instrText>
      </w:r>
      <w:r>
        <w:rPr>
          <w:rFonts w:hint="eastAsia" w:ascii="宋体" w:hAnsi="宋体"/>
          <w:color w:val="000000" w:themeColor="text1"/>
          <w:sz w:val="28"/>
          <w:szCs w:val="28"/>
          <w:highlight w:val="none"/>
          <w14:textFill>
            <w14:solidFill>
              <w14:schemeClr w14:val="tx1"/>
            </w14:solidFill>
          </w14:textFill>
        </w:rPr>
        <w:instrText xml:space="preserve">TOC \o "1-1" \h \z \u</w:instrText>
      </w:r>
      <w:r>
        <w:rPr>
          <w:rFonts w:ascii="宋体" w:hAnsi="宋体"/>
          <w:color w:val="000000" w:themeColor="text1"/>
          <w:sz w:val="28"/>
          <w:szCs w:val="28"/>
          <w:highlight w:val="none"/>
          <w14:textFill>
            <w14:solidFill>
              <w14:schemeClr w14:val="tx1"/>
            </w14:solidFill>
          </w14:textFill>
        </w:rPr>
        <w:instrText xml:space="preserve">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_Toc28647 </w:instrText>
      </w:r>
      <w:r>
        <w:rPr>
          <w:rFonts w:ascii="宋体" w:hAnsi="宋体"/>
          <w:sz w:val="28"/>
          <w:szCs w:val="28"/>
          <w:highlight w:val="none"/>
        </w:rPr>
        <w:fldChar w:fldCharType="separate"/>
      </w:r>
      <w:r>
        <w:rPr>
          <w:rFonts w:hint="eastAsia" w:ascii="宋体" w:hAnsi="宋体"/>
          <w:sz w:val="28"/>
          <w:szCs w:val="28"/>
          <w:highlight w:val="none"/>
        </w:rPr>
        <w:t>第一章  竞争性谈判公告</w:t>
      </w:r>
      <w:r>
        <w:rPr>
          <w:sz w:val="28"/>
          <w:szCs w:val="28"/>
        </w:rPr>
        <w:tab/>
      </w:r>
      <w:r>
        <w:rPr>
          <w:sz w:val="28"/>
          <w:szCs w:val="28"/>
        </w:rPr>
        <w:fldChar w:fldCharType="begin"/>
      </w:r>
      <w:r>
        <w:rPr>
          <w:sz w:val="28"/>
          <w:szCs w:val="28"/>
        </w:rPr>
        <w:instrText xml:space="preserve"> PAGEREF _Toc28647 \h </w:instrText>
      </w:r>
      <w:r>
        <w:rPr>
          <w:sz w:val="28"/>
          <w:szCs w:val="28"/>
        </w:rPr>
        <w:fldChar w:fldCharType="separate"/>
      </w:r>
      <w:r>
        <w:rPr>
          <w:sz w:val="28"/>
          <w:szCs w:val="28"/>
        </w:rPr>
        <w:t>2</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_Toc29793 </w:instrText>
      </w:r>
      <w:r>
        <w:rPr>
          <w:rFonts w:ascii="宋体" w:hAnsi="宋体"/>
          <w:sz w:val="28"/>
          <w:szCs w:val="28"/>
          <w:highlight w:val="none"/>
        </w:rPr>
        <w:fldChar w:fldCharType="separate"/>
      </w:r>
      <w:r>
        <w:rPr>
          <w:rFonts w:hint="eastAsia" w:ascii="宋体" w:hAnsi="宋体"/>
          <w:sz w:val="28"/>
          <w:szCs w:val="28"/>
          <w:highlight w:val="none"/>
        </w:rPr>
        <w:t>第二章  谈判供应商须知</w:t>
      </w:r>
      <w:r>
        <w:rPr>
          <w:sz w:val="28"/>
          <w:szCs w:val="28"/>
        </w:rPr>
        <w:tab/>
      </w:r>
      <w:r>
        <w:rPr>
          <w:sz w:val="28"/>
          <w:szCs w:val="28"/>
        </w:rPr>
        <w:fldChar w:fldCharType="begin"/>
      </w:r>
      <w:r>
        <w:rPr>
          <w:sz w:val="28"/>
          <w:szCs w:val="28"/>
        </w:rPr>
        <w:instrText xml:space="preserve"> PAGEREF _Toc29793 \h </w:instrText>
      </w:r>
      <w:r>
        <w:rPr>
          <w:sz w:val="28"/>
          <w:szCs w:val="28"/>
        </w:rPr>
        <w:fldChar w:fldCharType="separate"/>
      </w:r>
      <w:r>
        <w:rPr>
          <w:sz w:val="28"/>
          <w:szCs w:val="28"/>
        </w:rPr>
        <w:t>6</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_Toc23123 </w:instrText>
      </w:r>
      <w:r>
        <w:rPr>
          <w:rFonts w:ascii="宋体" w:hAnsi="宋体"/>
          <w:sz w:val="28"/>
          <w:szCs w:val="28"/>
          <w:highlight w:val="none"/>
        </w:rPr>
        <w:fldChar w:fldCharType="separate"/>
      </w:r>
      <w:r>
        <w:rPr>
          <w:rFonts w:hint="eastAsia" w:ascii="宋体" w:hAnsi="宋体"/>
          <w:sz w:val="28"/>
          <w:szCs w:val="28"/>
          <w:highlight w:val="none"/>
        </w:rPr>
        <w:t>第三章  竞争性谈判响应文件格式</w:t>
      </w:r>
      <w:r>
        <w:rPr>
          <w:sz w:val="28"/>
          <w:szCs w:val="28"/>
        </w:rPr>
        <w:tab/>
      </w:r>
      <w:r>
        <w:rPr>
          <w:sz w:val="28"/>
          <w:szCs w:val="28"/>
        </w:rPr>
        <w:fldChar w:fldCharType="begin"/>
      </w:r>
      <w:r>
        <w:rPr>
          <w:sz w:val="28"/>
          <w:szCs w:val="28"/>
        </w:rPr>
        <w:instrText xml:space="preserve"> PAGEREF _Toc23123 \h </w:instrText>
      </w:r>
      <w:r>
        <w:rPr>
          <w:sz w:val="28"/>
          <w:szCs w:val="28"/>
        </w:rPr>
        <w:fldChar w:fldCharType="separate"/>
      </w:r>
      <w:r>
        <w:rPr>
          <w:sz w:val="28"/>
          <w:szCs w:val="28"/>
        </w:rPr>
        <w:t>33</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_Toc26063 </w:instrText>
      </w:r>
      <w:r>
        <w:rPr>
          <w:rFonts w:ascii="宋体" w:hAnsi="宋体"/>
          <w:sz w:val="28"/>
          <w:szCs w:val="28"/>
          <w:highlight w:val="none"/>
        </w:rPr>
        <w:fldChar w:fldCharType="separate"/>
      </w:r>
      <w:r>
        <w:rPr>
          <w:rFonts w:hint="eastAsia" w:ascii="宋体" w:hAnsi="宋体"/>
          <w:bCs/>
          <w:kern w:val="44"/>
          <w:sz w:val="28"/>
          <w:szCs w:val="28"/>
          <w:highlight w:val="none"/>
        </w:rPr>
        <w:t>第四章  采购项目需求</w:t>
      </w:r>
      <w:r>
        <w:rPr>
          <w:sz w:val="28"/>
          <w:szCs w:val="28"/>
        </w:rPr>
        <w:tab/>
      </w:r>
      <w:r>
        <w:rPr>
          <w:sz w:val="28"/>
          <w:szCs w:val="28"/>
        </w:rPr>
        <w:fldChar w:fldCharType="begin"/>
      </w:r>
      <w:r>
        <w:rPr>
          <w:sz w:val="28"/>
          <w:szCs w:val="28"/>
        </w:rPr>
        <w:instrText xml:space="preserve"> PAGEREF _Toc26063 \h </w:instrText>
      </w:r>
      <w:r>
        <w:rPr>
          <w:sz w:val="28"/>
          <w:szCs w:val="28"/>
        </w:rPr>
        <w:fldChar w:fldCharType="separate"/>
      </w:r>
      <w:r>
        <w:rPr>
          <w:sz w:val="28"/>
          <w:szCs w:val="28"/>
        </w:rPr>
        <w:t>65</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_Toc1297 </w:instrText>
      </w:r>
      <w:r>
        <w:rPr>
          <w:rFonts w:ascii="宋体" w:hAnsi="宋体"/>
          <w:sz w:val="28"/>
          <w:szCs w:val="28"/>
          <w:highlight w:val="none"/>
        </w:rPr>
        <w:fldChar w:fldCharType="separate"/>
      </w:r>
      <w:r>
        <w:rPr>
          <w:rFonts w:hint="eastAsia" w:ascii="宋体" w:hAnsi="宋体"/>
          <w:sz w:val="28"/>
          <w:szCs w:val="28"/>
          <w:highlight w:val="none"/>
        </w:rPr>
        <w:t>第五章  工程量清单及图纸</w:t>
      </w:r>
      <w:r>
        <w:rPr>
          <w:sz w:val="28"/>
          <w:szCs w:val="28"/>
        </w:rPr>
        <w:tab/>
      </w:r>
      <w:r>
        <w:rPr>
          <w:sz w:val="28"/>
          <w:szCs w:val="28"/>
        </w:rPr>
        <w:fldChar w:fldCharType="begin"/>
      </w:r>
      <w:r>
        <w:rPr>
          <w:sz w:val="28"/>
          <w:szCs w:val="28"/>
        </w:rPr>
        <w:instrText xml:space="preserve"> PAGEREF _Toc1297 \h </w:instrText>
      </w:r>
      <w:r>
        <w:rPr>
          <w:sz w:val="28"/>
          <w:szCs w:val="28"/>
        </w:rPr>
        <w:fldChar w:fldCharType="separate"/>
      </w:r>
      <w:r>
        <w:rPr>
          <w:sz w:val="28"/>
          <w:szCs w:val="28"/>
        </w:rPr>
        <w:t>68</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_Toc13588 </w:instrText>
      </w:r>
      <w:r>
        <w:rPr>
          <w:rFonts w:ascii="宋体" w:hAnsi="宋体"/>
          <w:sz w:val="28"/>
          <w:szCs w:val="28"/>
          <w:highlight w:val="none"/>
        </w:rPr>
        <w:fldChar w:fldCharType="separate"/>
      </w:r>
      <w:r>
        <w:rPr>
          <w:rFonts w:hint="eastAsia" w:ascii="宋体" w:hAnsi="宋体"/>
          <w:kern w:val="0"/>
          <w:sz w:val="28"/>
          <w:szCs w:val="28"/>
          <w:highlight w:val="none"/>
        </w:rPr>
        <w:t>第六章  合同格式</w:t>
      </w:r>
      <w:r>
        <w:rPr>
          <w:sz w:val="28"/>
          <w:szCs w:val="28"/>
        </w:rPr>
        <w:tab/>
      </w:r>
      <w:r>
        <w:rPr>
          <w:sz w:val="28"/>
          <w:szCs w:val="28"/>
        </w:rPr>
        <w:fldChar w:fldCharType="begin"/>
      </w:r>
      <w:r>
        <w:rPr>
          <w:sz w:val="28"/>
          <w:szCs w:val="28"/>
        </w:rPr>
        <w:instrText xml:space="preserve"> PAGEREF _Toc13588 \h </w:instrText>
      </w:r>
      <w:r>
        <w:rPr>
          <w:sz w:val="28"/>
          <w:szCs w:val="28"/>
        </w:rPr>
        <w:fldChar w:fldCharType="separate"/>
      </w:r>
      <w:r>
        <w:rPr>
          <w:sz w:val="28"/>
          <w:szCs w:val="28"/>
        </w:rPr>
        <w:t>69</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_Toc17124 </w:instrText>
      </w:r>
      <w:r>
        <w:rPr>
          <w:rFonts w:ascii="宋体" w:hAnsi="宋体"/>
          <w:sz w:val="28"/>
          <w:szCs w:val="28"/>
          <w:highlight w:val="none"/>
        </w:rPr>
        <w:fldChar w:fldCharType="separate"/>
      </w:r>
      <w:r>
        <w:rPr>
          <w:rFonts w:hint="eastAsia" w:ascii="宋体" w:hAnsi="宋体"/>
          <w:kern w:val="0"/>
          <w:sz w:val="28"/>
          <w:szCs w:val="28"/>
          <w:highlight w:val="none"/>
        </w:rPr>
        <w:t>第七章  评定标准</w:t>
      </w:r>
      <w:r>
        <w:rPr>
          <w:sz w:val="28"/>
          <w:szCs w:val="28"/>
        </w:rPr>
        <w:tab/>
      </w:r>
      <w:r>
        <w:rPr>
          <w:sz w:val="28"/>
          <w:szCs w:val="28"/>
        </w:rPr>
        <w:fldChar w:fldCharType="begin"/>
      </w:r>
      <w:r>
        <w:rPr>
          <w:sz w:val="28"/>
          <w:szCs w:val="28"/>
        </w:rPr>
        <w:instrText xml:space="preserve"> PAGEREF _Toc17124 \h </w:instrText>
      </w:r>
      <w:r>
        <w:rPr>
          <w:sz w:val="28"/>
          <w:szCs w:val="28"/>
        </w:rPr>
        <w:fldChar w:fldCharType="separate"/>
      </w:r>
      <w:r>
        <w:rPr>
          <w:sz w:val="28"/>
          <w:szCs w:val="28"/>
        </w:rPr>
        <w:t>117</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pPr>
        <w:spacing w:line="400" w:lineRule="exact"/>
        <w:jc w:val="center"/>
        <w:rPr>
          <w:rFonts w:ascii="宋体" w:hAnsi="宋体"/>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end"/>
      </w:r>
    </w:p>
    <w:p>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sectPr>
          <w:footerReference r:id="rId8" w:type="default"/>
          <w:pgSz w:w="11906" w:h="16838"/>
          <w:pgMar w:top="1474" w:right="1304" w:bottom="1134" w:left="1304" w:header="851" w:footer="992" w:gutter="0"/>
          <w:pgNumType w:fmt="decimal" w:start="1"/>
          <w:cols w:space="720" w:num="1"/>
          <w:docGrid w:type="lines" w:linePitch="312" w:charSpace="0"/>
        </w:sectPr>
      </w:pPr>
    </w:p>
    <w:p>
      <w:pPr>
        <w:pStyle w:val="17"/>
        <w:rPr>
          <w:color w:val="000000" w:themeColor="text1"/>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0" w:name="_Toc3994503"/>
      <w:bookmarkStart w:id="1" w:name="_Toc23639"/>
      <w:bookmarkStart w:id="2" w:name="_Toc28647"/>
      <w:bookmarkStart w:id="3" w:name="_Toc28625"/>
      <w:bookmarkStart w:id="4" w:name="_Toc176429411"/>
      <w:r>
        <w:rPr>
          <w:rFonts w:hint="eastAsia" w:ascii="宋体" w:hAnsi="宋体"/>
          <w:b/>
          <w:color w:val="000000" w:themeColor="text1"/>
          <w:sz w:val="44"/>
          <w:szCs w:val="44"/>
          <w:highlight w:val="none"/>
          <w14:textFill>
            <w14:solidFill>
              <w14:schemeClr w14:val="tx1"/>
            </w14:solidFill>
          </w14:textFill>
        </w:rPr>
        <w:t>第一章  竞争性谈判公告</w:t>
      </w:r>
      <w:bookmarkEnd w:id="0"/>
      <w:bookmarkEnd w:id="1"/>
      <w:bookmarkEnd w:id="2"/>
      <w:bookmarkEnd w:id="3"/>
      <w:bookmarkEnd w:id="4"/>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pPr>
        <w:spacing w:line="400" w:lineRule="exact"/>
        <w:rPr>
          <w:rFonts w:ascii="黑体" w:hAnsi="宋体" w:eastAsia="黑体"/>
          <w:b/>
          <w:color w:val="000000" w:themeColor="text1"/>
          <w:sz w:val="32"/>
          <w:szCs w:val="32"/>
          <w:highlight w:val="none"/>
          <w14:textFill>
            <w14:solidFill>
              <w14:schemeClr w14:val="tx1"/>
            </w14:solidFill>
          </w14:textFill>
        </w:rPr>
      </w:pPr>
    </w:p>
    <w:p>
      <w:pPr>
        <w:tabs>
          <w:tab w:val="left" w:pos="9639"/>
          <w:tab w:val="left" w:pos="9746"/>
        </w:tabs>
        <w:adjustRightInd w:val="0"/>
        <w:snapToGrid w:val="0"/>
        <w:spacing w:line="360" w:lineRule="auto"/>
        <w:jc w:val="center"/>
        <w:rPr>
          <w:rFonts w:hAnsi="宋体" w:cs="宋体"/>
          <w:bCs/>
          <w:color w:val="000000" w:themeColor="text1"/>
          <w:kern w:val="0"/>
          <w:szCs w:val="21"/>
          <w:highlight w:val="none"/>
          <w14:textFill>
            <w14:solidFill>
              <w14:schemeClr w14:val="tx1"/>
            </w14:solidFill>
          </w14:textFill>
        </w:rPr>
      </w:pPr>
    </w:p>
    <w:p>
      <w:pPr>
        <w:rPr>
          <w:rFonts w:hAnsi="宋体" w:cs="宋体"/>
          <w:color w:val="000000" w:themeColor="text1"/>
          <w:szCs w:val="21"/>
          <w:highlight w:val="none"/>
          <w14:textFill>
            <w14:solidFill>
              <w14:schemeClr w14:val="tx1"/>
            </w14:solidFill>
          </w14:textFill>
        </w:rPr>
      </w:pPr>
    </w:p>
    <w:p>
      <w:pPr>
        <w:tabs>
          <w:tab w:val="left" w:pos="3385"/>
        </w:tabs>
        <w:rPr>
          <w:rFonts w:hAnsi="宋体" w:cs="宋体"/>
          <w:color w:val="000000" w:themeColor="text1"/>
          <w:szCs w:val="21"/>
          <w:highlight w:val="none"/>
          <w14:textFill>
            <w14:solidFill>
              <w14:schemeClr w14:val="tx1"/>
            </w14:solidFill>
          </w14:textFill>
        </w:rPr>
      </w:pPr>
      <w:r>
        <w:rPr>
          <w:rFonts w:hAnsi="宋体" w:cs="宋体"/>
          <w:color w:val="000000" w:themeColor="text1"/>
          <w:szCs w:val="21"/>
          <w:highlight w:val="none"/>
          <w14:textFill>
            <w14:solidFill>
              <w14:schemeClr w14:val="tx1"/>
            </w14:solidFill>
          </w14:textFill>
        </w:rPr>
        <w:tab/>
      </w:r>
    </w:p>
    <w:p>
      <w:pPr>
        <w:rPr>
          <w:rFonts w:hAnsi="宋体" w:cs="宋体"/>
          <w:color w:val="000000" w:themeColor="text1"/>
          <w:szCs w:val="21"/>
          <w:highlight w:val="none"/>
          <w14:textFill>
            <w14:solidFill>
              <w14:schemeClr w14:val="tx1"/>
            </w14:solidFill>
          </w14:textFill>
        </w:rPr>
      </w:pPr>
    </w:p>
    <w:p>
      <w:pPr>
        <w:rPr>
          <w:rFonts w:hAnsi="宋体" w:cs="宋体"/>
          <w:color w:val="000000" w:themeColor="text1"/>
          <w:szCs w:val="21"/>
          <w:highlight w:val="none"/>
          <w14:textFill>
            <w14:solidFill>
              <w14:schemeClr w14:val="tx1"/>
            </w14:solidFill>
          </w14:textFill>
        </w:rPr>
        <w:sectPr>
          <w:footerReference r:id="rId9" w:type="default"/>
          <w:pgSz w:w="11907" w:h="16839"/>
          <w:pgMar w:top="1431" w:right="1272" w:bottom="1364" w:left="1418" w:header="850" w:footer="1204" w:gutter="0"/>
          <w:pgNumType w:fmt="decimal"/>
          <w:cols w:space="720" w:num="1"/>
          <w:docGrid w:linePitch="286" w:charSpace="0"/>
        </w:sectPr>
      </w:pPr>
    </w:p>
    <w:p>
      <w:pPr>
        <w:spacing w:line="360" w:lineRule="auto"/>
        <w:jc w:val="center"/>
        <w:rPr>
          <w:rFonts w:ascii="宋体" w:hAnsi="宋体" w:cs="仿宋_GB2312"/>
          <w:b/>
          <w:color w:val="000000" w:themeColor="text1"/>
          <w:sz w:val="36"/>
          <w:szCs w:val="20"/>
          <w:highlight w:val="none"/>
          <w14:textFill>
            <w14:solidFill>
              <w14:schemeClr w14:val="tx1"/>
            </w14:solidFill>
          </w14:textFill>
        </w:rPr>
      </w:pPr>
      <w:r>
        <w:rPr>
          <w:rFonts w:hint="eastAsia" w:ascii="宋体" w:hAnsi="宋体" w:cs="仿宋_GB2312"/>
          <w:b/>
          <w:color w:val="000000" w:themeColor="text1"/>
          <w:sz w:val="36"/>
          <w:szCs w:val="20"/>
          <w:highlight w:val="none"/>
          <w14:textFill>
            <w14:solidFill>
              <w14:schemeClr w14:val="tx1"/>
            </w14:solidFill>
          </w14:textFill>
        </w:rPr>
        <w:t>第一章  竞争性谈判公告</w:t>
      </w:r>
    </w:p>
    <w:p>
      <w:pPr>
        <w:adjustRightInd w:val="0"/>
        <w:spacing w:line="360" w:lineRule="auto"/>
        <w:jc w:val="center"/>
        <w:rPr>
          <w:rFonts w:ascii="宋体" w:hAnsi="宋体"/>
          <w:color w:val="000000" w:themeColor="text1"/>
          <w:sz w:val="24"/>
          <w:highlight w:val="none"/>
          <w14:textFill>
            <w14:solidFill>
              <w14:schemeClr w14:val="tx1"/>
            </w14:solidFill>
          </w14:textFill>
        </w:rPr>
      </w:pP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广西璟华工程管理有限公司</w:t>
      </w:r>
      <w:r>
        <w:rPr>
          <w:rFonts w:hint="eastAsia" w:cs="仿宋_GB2312" w:asciiTheme="minorEastAsia" w:hAnsiTheme="minorEastAsia" w:eastAsiaTheme="minorEastAsia"/>
          <w:b/>
          <w:color w:val="000000" w:themeColor="text1"/>
          <w:sz w:val="32"/>
          <w:szCs w:val="32"/>
          <w14:textFill>
            <w14:solidFill>
              <w14:schemeClr w14:val="tx1"/>
            </w14:solidFill>
          </w14:textFill>
        </w:rPr>
        <w:t>关于</w:t>
      </w: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合浦县党江中学教学楼维修项目</w:t>
      </w:r>
      <w:r>
        <w:rPr>
          <w:rFonts w:hint="eastAsia" w:cs="仿宋_GB2312" w:asciiTheme="minorEastAsia" w:hAnsiTheme="minorEastAsia" w:eastAsiaTheme="minorEastAsia"/>
          <w:b/>
          <w:color w:val="000000" w:themeColor="text1"/>
          <w:sz w:val="32"/>
          <w:szCs w:val="32"/>
          <w14:textFill>
            <w14:solidFill>
              <w14:schemeClr w14:val="tx1"/>
            </w14:solidFill>
          </w14:textFill>
        </w:rPr>
        <w:t>的竞争性谈判公告</w:t>
      </w:r>
    </w:p>
    <w:p>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项目概况</w:t>
      </w:r>
    </w:p>
    <w:p>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000000" w:themeColor="text1"/>
          <w:sz w:val="24"/>
          <w:highlight w:val="none"/>
          <w:lang w:eastAsia="zh-CN"/>
          <w14:textFill>
            <w14:solidFill>
              <w14:schemeClr w14:val="tx1"/>
            </w14:solidFill>
          </w14:textFill>
        </w:rPr>
        <w:t>合浦县党江中学教学楼维修项目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pPr>
        <w:adjustRightInd w:val="0"/>
        <w:snapToGrid w:val="0"/>
        <w:spacing w:line="360" w:lineRule="auto"/>
        <w:jc w:val="left"/>
        <w:rPr>
          <w:rFonts w:ascii="宋体" w:hAnsi="宋体"/>
          <w:b/>
          <w:color w:val="auto"/>
          <w:kern w:val="0"/>
          <w:sz w:val="24"/>
          <w:szCs w:val="20"/>
          <w:highlight w:val="none"/>
        </w:rPr>
      </w:pPr>
      <w:bookmarkStart w:id="5" w:name="_Toc35393629"/>
      <w:bookmarkStart w:id="6" w:name="_Toc35393798"/>
      <w:bookmarkStart w:id="7" w:name="_Toc28359089"/>
      <w:bookmarkStart w:id="8" w:name="_Toc28359012"/>
      <w:r>
        <w:rPr>
          <w:rFonts w:hint="eastAsia" w:ascii="宋体" w:hAnsi="宋体"/>
          <w:b/>
          <w:color w:val="auto"/>
          <w:kern w:val="0"/>
          <w:sz w:val="24"/>
          <w:szCs w:val="20"/>
          <w:highlight w:val="none"/>
        </w:rPr>
        <w:t>一、项目基本情况</w:t>
      </w:r>
      <w:bookmarkEnd w:id="5"/>
      <w:bookmarkEnd w:id="6"/>
      <w:bookmarkEnd w:id="7"/>
      <w:bookmarkEnd w:id="8"/>
    </w:p>
    <w:p>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项目编号：BHZC2026-J2-210107-JHGC</w:t>
      </w:r>
    </w:p>
    <w:p>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合浦县党江中学教学楼维修项目</w:t>
      </w:r>
    </w:p>
    <w:p>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s="宋体"/>
          <w:sz w:val="24"/>
          <w:szCs w:val="24"/>
          <w:lang w:eastAsia="zh-CN"/>
        </w:rPr>
        <w:t>1121432.76</w:t>
      </w:r>
    </w:p>
    <w:p>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s="宋体"/>
          <w:sz w:val="24"/>
          <w:szCs w:val="24"/>
          <w:lang w:eastAsia="zh-CN"/>
        </w:rPr>
        <w:t>1121432.76</w:t>
      </w:r>
    </w:p>
    <w:p>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合浦县党江中学教学楼维修项目</w:t>
      </w:r>
      <w:r>
        <w:rPr>
          <w:rFonts w:hint="eastAsia" w:hAnsi="宋体" w:cs="宋体"/>
          <w:bCs/>
          <w:color w:val="auto"/>
          <w:sz w:val="24"/>
          <w:highlight w:val="none"/>
        </w:rPr>
        <w:t>主要内容：</w:t>
      </w:r>
      <w:r>
        <w:rPr>
          <w:rFonts w:hint="eastAsia" w:ascii="宋体" w:hAnsi="宋体" w:cs="宋体"/>
          <w:sz w:val="24"/>
          <w:szCs w:val="24"/>
          <w:lang w:eastAsia="zh-CN"/>
        </w:rPr>
        <w:t>维修教学楼</w:t>
      </w:r>
      <w:r>
        <w:rPr>
          <w:rFonts w:hint="eastAsia" w:hAnsi="宋体" w:cs="宋体"/>
          <w:bCs/>
          <w:color w:val="auto"/>
          <w:sz w:val="24"/>
          <w:highlight w:val="none"/>
        </w:rPr>
        <w:t>。</w:t>
      </w:r>
      <w:r>
        <w:rPr>
          <w:rFonts w:hint="eastAsia" w:ascii="宋体" w:hAnsi="宋体" w:cs="仿宋_GB2312"/>
          <w:color w:val="auto"/>
          <w:sz w:val="24"/>
          <w:highlight w:val="none"/>
        </w:rPr>
        <w:t>详见谈判文件。</w:t>
      </w:r>
    </w:p>
    <w:p>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60日历天</w:t>
      </w:r>
    </w:p>
    <w:p>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9" w:name="_Toc28359090"/>
      <w:bookmarkStart w:id="10" w:name="_Toc28359013"/>
      <w:bookmarkStart w:id="11" w:name="_Toc35393799"/>
      <w:bookmarkStart w:id="12" w:name="_Toc35393630"/>
      <w:r>
        <w:rPr>
          <w:rFonts w:hint="eastAsia" w:ascii="宋体" w:hAnsi="宋体"/>
          <w:b/>
          <w:color w:val="000000" w:themeColor="text1"/>
          <w:kern w:val="0"/>
          <w:sz w:val="24"/>
          <w:szCs w:val="20"/>
          <w:highlight w:val="none"/>
          <w14:textFill>
            <w14:solidFill>
              <w14:schemeClr w14:val="tx1"/>
            </w14:solidFill>
          </w14:textFill>
        </w:rPr>
        <w:t>二、申请人的资格要求：</w:t>
      </w:r>
      <w:bookmarkEnd w:id="9"/>
      <w:bookmarkEnd w:id="10"/>
      <w:bookmarkEnd w:id="11"/>
      <w:bookmarkEnd w:id="12"/>
    </w:p>
    <w:p>
      <w:pPr>
        <w:adjustRightInd w:val="0"/>
        <w:spacing w:line="360" w:lineRule="auto"/>
        <w:ind w:firstLine="48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 满足《中华人民共和国政府采购法》第二十二条规定；；</w:t>
      </w:r>
    </w:p>
    <w:p>
      <w:pPr>
        <w:adjustRightInd w:val="0"/>
        <w:spacing w:line="360" w:lineRule="auto"/>
        <w:ind w:firstLine="480" w:firstLineChars="200"/>
        <w:rPr>
          <w:rFonts w:ascii="宋体" w:hAnsi="宋体" w:cs="宋体"/>
          <w:color w:val="0000FF"/>
          <w:sz w:val="24"/>
          <w:highlight w:val="none"/>
        </w:rPr>
      </w:pP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.落实政府采购政策需满足的资格要求：本项目专门面向中小企业采购（供应商应为中小微企业或监狱企业或残疾人福利性单位) ；</w:t>
      </w:r>
    </w:p>
    <w:p>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w:t>
      </w:r>
      <w:r>
        <w:rPr>
          <w:rFonts w:hint="eastAsia" w:ascii="宋体" w:hAnsi="宋体" w:cs="宋体"/>
          <w:color w:val="auto"/>
          <w:sz w:val="24"/>
          <w:highlight w:val="none"/>
        </w:rPr>
        <w:t>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adjustRightInd w:val="0"/>
        <w:snapToGrid w:val="0"/>
        <w:spacing w:line="360" w:lineRule="auto"/>
        <w:jc w:val="left"/>
        <w:rPr>
          <w:rFonts w:hint="eastAsia" w:ascii="宋体" w:hAnsi="宋体"/>
          <w:b/>
          <w:color w:val="000000" w:themeColor="text1"/>
          <w:kern w:val="0"/>
          <w:sz w:val="24"/>
          <w:szCs w:val="20"/>
          <w:highlight w:val="none"/>
          <w14:textFill>
            <w14:solidFill>
              <w14:schemeClr w14:val="tx1"/>
            </w14:solidFill>
          </w14:textFill>
        </w:rPr>
      </w:pPr>
      <w:bookmarkStart w:id="13" w:name="_Toc28359014"/>
      <w:bookmarkStart w:id="14" w:name="_Toc35393631"/>
      <w:bookmarkStart w:id="15" w:name="_Toc35393800"/>
      <w:bookmarkStart w:id="16" w:name="_Toc28359091"/>
    </w:p>
    <w:p>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r>
        <w:rPr>
          <w:rFonts w:hint="eastAsia" w:ascii="宋体" w:hAnsi="宋体"/>
          <w:b/>
          <w:color w:val="000000" w:themeColor="text1"/>
          <w:kern w:val="0"/>
          <w:sz w:val="24"/>
          <w:szCs w:val="20"/>
          <w:highlight w:val="none"/>
          <w14:textFill>
            <w14:solidFill>
              <w14:schemeClr w14:val="tx1"/>
            </w14:solidFill>
          </w14:textFill>
        </w:rPr>
        <w:t>三、获取（下载）采购文件</w:t>
      </w:r>
      <w:bookmarkEnd w:id="13"/>
      <w:bookmarkEnd w:id="14"/>
      <w:bookmarkEnd w:id="15"/>
      <w:bookmarkEnd w:id="16"/>
    </w:p>
    <w:p>
      <w:pPr>
        <w:adjustRightInd w:val="0"/>
        <w:spacing w:line="360" w:lineRule="auto"/>
        <w:ind w:firstLine="540"/>
        <w:rPr>
          <w:rFonts w:ascii="宋体" w:hAnsi="宋体" w:cs="宋体"/>
          <w:color w:val="auto"/>
          <w:sz w:val="24"/>
          <w:highlight w:val="none"/>
        </w:rPr>
      </w:pPr>
      <w:r>
        <w:rPr>
          <w:rFonts w:hint="eastAsia" w:ascii="宋体" w:hAnsi="宋体" w:cs="宋体"/>
          <w:b/>
          <w:color w:val="000000" w:themeColor="text1"/>
          <w:sz w:val="24"/>
          <w:highlight w:val="none"/>
          <w14:textFill>
            <w14:solidFill>
              <w14:schemeClr w14:val="tx1"/>
            </w14:solidFill>
          </w14:textFill>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pPr>
        <w:adjustRightInd w:val="0"/>
        <w:snapToGrid w:val="0"/>
        <w:spacing w:line="360" w:lineRule="auto"/>
        <w:jc w:val="left"/>
        <w:rPr>
          <w:rFonts w:ascii="宋体" w:hAnsi="宋体"/>
          <w:b/>
          <w:color w:val="auto"/>
          <w:kern w:val="0"/>
          <w:sz w:val="24"/>
          <w:szCs w:val="20"/>
          <w:highlight w:val="none"/>
        </w:rPr>
      </w:pPr>
      <w:bookmarkStart w:id="17" w:name="_Toc35393632"/>
      <w:bookmarkStart w:id="18" w:name="_Toc35393801"/>
      <w:bookmarkStart w:id="19" w:name="_Toc28359015"/>
      <w:bookmarkStart w:id="20" w:name="_Toc28359092"/>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09</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00</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val="0"/>
          <w:bCs/>
          <w:color w:val="auto"/>
          <w:sz w:val="24"/>
          <w:highlight w:val="none"/>
        </w:rPr>
        <w:t>。</w:t>
      </w:r>
    </w:p>
    <w:p>
      <w:pPr>
        <w:adjustRightInd w:val="0"/>
        <w:snapToGrid w:val="0"/>
        <w:spacing w:line="360" w:lineRule="auto"/>
        <w:jc w:val="left"/>
        <w:rPr>
          <w:rFonts w:ascii="宋体" w:hAnsi="宋体"/>
          <w:b/>
          <w:color w:val="auto"/>
          <w:kern w:val="0"/>
          <w:sz w:val="24"/>
          <w:szCs w:val="20"/>
          <w:highlight w:val="none"/>
        </w:rPr>
      </w:pPr>
      <w:bookmarkStart w:id="21" w:name="_Toc35393802"/>
      <w:bookmarkStart w:id="22" w:name="_Toc28359016"/>
      <w:bookmarkStart w:id="23" w:name="_Toc35393633"/>
      <w:bookmarkStart w:id="24" w:name="_Toc28359093"/>
      <w:r>
        <w:rPr>
          <w:rFonts w:hint="eastAsia" w:ascii="宋体" w:hAnsi="宋体"/>
          <w:b/>
          <w:color w:val="auto"/>
          <w:kern w:val="0"/>
          <w:sz w:val="24"/>
          <w:szCs w:val="20"/>
          <w:highlight w:val="none"/>
        </w:rPr>
        <w:t>五、响应文件开启</w:t>
      </w:r>
      <w:bookmarkEnd w:id="21"/>
      <w:bookmarkEnd w:id="22"/>
      <w:bookmarkEnd w:id="23"/>
      <w:bookmarkEnd w:id="24"/>
    </w:p>
    <w:p>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09</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00</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5" w:name="_Toc28359017"/>
      <w:bookmarkStart w:id="26" w:name="_Toc35393803"/>
      <w:bookmarkStart w:id="27" w:name="_Toc28359094"/>
      <w:bookmarkStart w:id="28" w:name="_Toc35393634"/>
      <w:r>
        <w:rPr>
          <w:rFonts w:hint="eastAsia" w:ascii="宋体" w:hAnsi="宋体"/>
          <w:b/>
          <w:color w:val="000000" w:themeColor="text1"/>
          <w:kern w:val="0"/>
          <w:sz w:val="24"/>
          <w:szCs w:val="20"/>
          <w:highlight w:val="none"/>
          <w14:textFill>
            <w14:solidFill>
              <w14:schemeClr w14:val="tx1"/>
            </w14:solidFill>
          </w14:textFill>
        </w:rPr>
        <w:t>六、公告期限</w:t>
      </w:r>
      <w:bookmarkEnd w:id="25"/>
      <w:bookmarkEnd w:id="26"/>
      <w:bookmarkEnd w:id="27"/>
      <w:bookmarkEnd w:id="28"/>
    </w:p>
    <w:p>
      <w:pPr>
        <w:adjustRightIn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自本公告发布之日起3个工作日。</w:t>
      </w:r>
    </w:p>
    <w:p>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9" w:name="_Toc35393635"/>
      <w:bookmarkStart w:id="30" w:name="_Toc35393804"/>
      <w:r>
        <w:rPr>
          <w:rFonts w:hint="eastAsia" w:ascii="宋体" w:hAnsi="宋体"/>
          <w:b/>
          <w:color w:val="000000" w:themeColor="text1"/>
          <w:kern w:val="0"/>
          <w:sz w:val="24"/>
          <w:szCs w:val="20"/>
          <w:highlight w:val="none"/>
          <w14:textFill>
            <w14:solidFill>
              <w14:schemeClr w14:val="tx1"/>
            </w14:solidFill>
          </w14:textFill>
        </w:rPr>
        <w:t>七、其他补充事宜</w:t>
      </w:r>
      <w:bookmarkEnd w:id="29"/>
      <w:bookmarkEnd w:id="30"/>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1.谈判保证金：</w:t>
      </w:r>
      <w:r>
        <w:rPr>
          <w:rFonts w:hint="eastAsia" w:ascii="宋体" w:hAnsi="宋体" w:cs="宋体"/>
          <w:color w:val="000000" w:themeColor="text1"/>
          <w:sz w:val="24"/>
          <w:highlight w:val="none"/>
          <w:lang w:eastAsia="zh-CN"/>
          <w14:textFill>
            <w14:solidFill>
              <w14:schemeClr w14:val="tx1"/>
            </w14:solidFill>
          </w14:textFill>
        </w:rPr>
        <w:t>不</w:t>
      </w:r>
      <w:r>
        <w:rPr>
          <w:rFonts w:hint="eastAsia" w:ascii="宋体" w:hAnsi="宋体" w:cs="宋体"/>
          <w:color w:val="000000" w:themeColor="text1"/>
          <w:sz w:val="24"/>
          <w:highlight w:val="none"/>
          <w14:textFill>
            <w14:solidFill>
              <w14:schemeClr w14:val="tx1"/>
            </w14:solidFill>
          </w14:textFill>
        </w:rPr>
        <w:t>要求提交谈判保证金。</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2.本项目需要落实的政府采购政策：</w:t>
      </w:r>
      <w:r>
        <w:rPr>
          <w:rFonts w:ascii="宋体" w:hAnsi="宋体" w:eastAsia="宋体" w:cs="宋体"/>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sz w:val="24"/>
          <w:szCs w:val="24"/>
          <w:lang w:val="en-US" w:eastAsia="zh-CN"/>
        </w:rPr>
        <w:t>5</w:t>
      </w:r>
      <w:r>
        <w:rPr>
          <w:rFonts w:ascii="宋体" w:hAnsi="宋体" w:eastAsia="宋体" w:cs="宋体"/>
          <w:sz w:val="24"/>
          <w:szCs w:val="24"/>
        </w:rPr>
        <w:t>）平等对待内外资企业和符合条件的破产重整企业</w:t>
      </w:r>
      <w:r>
        <w:rPr>
          <w:rFonts w:hint="eastAsia" w:ascii="宋体" w:hAnsi="宋体" w:cs="宋体"/>
          <w:color w:val="000000" w:themeColor="text1"/>
          <w:sz w:val="24"/>
          <w:highlight w:val="none"/>
          <w14:textFill>
            <w14:solidFill>
              <w14:schemeClr w14:val="tx1"/>
            </w14:solidFill>
          </w14:textFill>
        </w:rPr>
        <w:t>。</w:t>
      </w:r>
    </w:p>
    <w:p>
      <w:pPr>
        <w:adjustRightInd w:val="0"/>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snapToGrid w:val="0"/>
          <w:color w:val="000000" w:themeColor="text1"/>
          <w:kern w:val="28"/>
          <w:sz w:val="24"/>
          <w:highlight w:val="none"/>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4.网上公告媒体查询：中国政府采购网、广西政府采购网。</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000000" w:themeColor="text1"/>
          <w:sz w:val="24"/>
          <w:highlight w:val="none"/>
          <w14:textFill>
            <w14:solidFill>
              <w14:schemeClr w14:val="tx1"/>
            </w14:solidFill>
          </w14:textFill>
        </w:rPr>
        <w:t>。</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7.本项目采用远程异地评标。</w:t>
      </w:r>
    </w:p>
    <w:p>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1" w:name="_Toc28359095"/>
      <w:bookmarkStart w:id="32" w:name="_Toc35393805"/>
      <w:bookmarkStart w:id="33" w:name="_Toc35393636"/>
      <w:bookmarkStart w:id="34" w:name="_Toc28359018"/>
      <w:r>
        <w:rPr>
          <w:rFonts w:hint="eastAsia" w:ascii="宋体" w:hAnsi="宋体"/>
          <w:b/>
          <w:color w:val="000000" w:themeColor="text1"/>
          <w:kern w:val="0"/>
          <w:sz w:val="24"/>
          <w:szCs w:val="20"/>
          <w:highlight w:val="none"/>
          <w14:textFill>
            <w14:solidFill>
              <w14:schemeClr w14:val="tx1"/>
            </w14:solidFill>
          </w14:textFill>
        </w:rPr>
        <w:t>八、凡对本次采购提出询问、质疑、投诉，请按以下方式联系</w:t>
      </w:r>
      <w:bookmarkEnd w:id="31"/>
      <w:bookmarkEnd w:id="32"/>
      <w:bookmarkEnd w:id="33"/>
      <w:bookmarkEnd w:id="34"/>
    </w:p>
    <w:p>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5" w:name="_Toc28359096"/>
      <w:bookmarkStart w:id="36" w:name="_Toc35393637"/>
      <w:bookmarkStart w:id="37" w:name="_Toc28359019"/>
      <w:bookmarkStart w:id="38" w:name="_Toc35393806"/>
      <w:r>
        <w:rPr>
          <w:rFonts w:hint="eastAsia" w:ascii="宋体" w:hAnsi="宋体"/>
          <w:b/>
          <w:color w:val="000000" w:themeColor="text1"/>
          <w:kern w:val="0"/>
          <w:sz w:val="24"/>
          <w:szCs w:val="20"/>
          <w:highlight w:val="none"/>
          <w14:textFill>
            <w14:solidFill>
              <w14:schemeClr w14:val="tx1"/>
            </w14:solidFill>
          </w14:textFill>
        </w:rPr>
        <w:t>1.采购人信息</w:t>
      </w:r>
      <w:bookmarkEnd w:id="35"/>
      <w:bookmarkEnd w:id="36"/>
      <w:bookmarkEnd w:id="37"/>
      <w:bookmarkEnd w:id="38"/>
    </w:p>
    <w:p>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合浦县党江中学</w:t>
      </w:r>
    </w:p>
    <w:p>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合浦县党江镇</w:t>
      </w:r>
    </w:p>
    <w:p>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val="en-US" w:eastAsia="zh-CN"/>
        </w:rPr>
        <w:t>刘</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项目联系方式：0779-</w:t>
      </w:r>
      <w:r>
        <w:rPr>
          <w:rFonts w:hint="eastAsia" w:ascii="宋体" w:hAnsi="宋体" w:cs="Times New Roman"/>
          <w:color w:val="auto"/>
          <w:sz w:val="24"/>
          <w:highlight w:val="none"/>
          <w:lang w:eastAsia="zh-CN"/>
        </w:rPr>
        <w:t>7280569</w:t>
      </w:r>
      <w:r>
        <w:rPr>
          <w:rFonts w:hint="eastAsia" w:ascii="宋体" w:hAnsi="宋体" w:eastAsia="宋体" w:cs="Times New Roman"/>
          <w:color w:val="auto"/>
          <w:sz w:val="24"/>
          <w:highlight w:val="none"/>
        </w:rPr>
        <w:t xml:space="preserve">  </w:t>
      </w:r>
    </w:p>
    <w:p>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9" w:name="_Toc35393807"/>
      <w:bookmarkStart w:id="40" w:name="_Toc35393638"/>
      <w:bookmarkStart w:id="41" w:name="_Toc28359097"/>
      <w:bookmarkStart w:id="42" w:name="_Toc28359020"/>
      <w:r>
        <w:rPr>
          <w:rFonts w:hint="eastAsia" w:ascii="宋体" w:hAnsi="宋体"/>
          <w:b/>
          <w:color w:val="000000" w:themeColor="text1"/>
          <w:kern w:val="0"/>
          <w:sz w:val="24"/>
          <w:szCs w:val="20"/>
          <w:highlight w:val="none"/>
          <w14:textFill>
            <w14:solidFill>
              <w14:schemeClr w14:val="tx1"/>
            </w14:solidFill>
          </w14:textFill>
        </w:rPr>
        <w:t>2.采购代理机构信息</w:t>
      </w:r>
      <w:bookmarkEnd w:id="39"/>
      <w:bookmarkEnd w:id="40"/>
      <w:bookmarkEnd w:id="41"/>
      <w:bookmarkEnd w:id="42"/>
    </w:p>
    <w:p>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    称：</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    址：北海市合浦县</w:t>
      </w:r>
      <w:r>
        <w:rPr>
          <w:rFonts w:hint="eastAsia" w:ascii="宋体" w:hAnsi="宋体"/>
          <w:color w:val="000000" w:themeColor="text1"/>
          <w:sz w:val="24"/>
          <w:highlight w:val="none"/>
          <w:lang w:eastAsia="zh-CN"/>
          <w14:textFill>
            <w14:solidFill>
              <w14:schemeClr w14:val="tx1"/>
            </w14:solidFill>
          </w14:textFill>
        </w:rPr>
        <w:t>廉州镇</w:t>
      </w:r>
      <w:r>
        <w:rPr>
          <w:rFonts w:hint="eastAsia" w:ascii="宋体" w:hAnsi="宋体"/>
          <w:color w:val="000000" w:themeColor="text1"/>
          <w:sz w:val="24"/>
          <w:highlight w:val="none"/>
          <w14:textFill>
            <w14:solidFill>
              <w14:schemeClr w14:val="tx1"/>
            </w14:solidFill>
          </w14:textFill>
        </w:rPr>
        <w:t>文昌新城二幢9号楼 </w:t>
      </w:r>
      <w:r>
        <w:rPr>
          <w:rFonts w:ascii="宋体" w:hAnsi="宋体"/>
          <w:color w:val="000000" w:themeColor="text1"/>
          <w:sz w:val="24"/>
          <w:highlight w:val="none"/>
          <w14:textFill>
            <w14:solidFill>
              <w14:schemeClr w14:val="tx1"/>
            </w14:solidFill>
          </w14:textFill>
        </w:rPr>
        <w:t xml:space="preserve"> </w:t>
      </w:r>
    </w:p>
    <w:p>
      <w:pPr>
        <w:adjustRightInd w:val="0"/>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项目联系人：</w:t>
      </w:r>
      <w:r>
        <w:rPr>
          <w:rFonts w:hint="eastAsia" w:ascii="宋体" w:hAnsi="宋体"/>
          <w:color w:val="000000" w:themeColor="text1"/>
          <w:sz w:val="24"/>
          <w:highlight w:val="none"/>
          <w:lang w:eastAsia="zh-CN"/>
          <w14:textFill>
            <w14:solidFill>
              <w14:schemeClr w14:val="tx1"/>
            </w14:solidFill>
          </w14:textFill>
        </w:rPr>
        <w:t>陈工</w:t>
      </w:r>
    </w:p>
    <w:p>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项目联系方式：</w:t>
      </w:r>
      <w:r>
        <w:rPr>
          <w:rFonts w:hint="eastAsia" w:ascii="宋体" w:hAnsi="宋体"/>
          <w:color w:val="000000" w:themeColor="text1"/>
          <w:sz w:val="24"/>
          <w:highlight w:val="none"/>
          <w:lang w:val="en-US" w:eastAsia="zh-CN"/>
          <w14:textFill>
            <w14:solidFill>
              <w14:schemeClr w14:val="tx1"/>
            </w14:solidFill>
          </w14:textFill>
        </w:rPr>
        <w:t>0779-7103168</w:t>
      </w:r>
      <w:r>
        <w:rPr>
          <w:rFonts w:hint="eastAsia" w:ascii="宋体" w:hAnsi="宋体"/>
          <w:color w:val="000000" w:themeColor="text1"/>
          <w:sz w:val="24"/>
          <w:highlight w:val="none"/>
          <w14:textFill>
            <w14:solidFill>
              <w14:schemeClr w14:val="tx1"/>
            </w14:solidFill>
          </w14:textFill>
        </w:rPr>
        <w:t xml:space="preserve"> </w:t>
      </w:r>
    </w:p>
    <w:p>
      <w:pPr>
        <w:tabs>
          <w:tab w:val="left" w:pos="9639"/>
          <w:tab w:val="left" w:pos="9746"/>
        </w:tabs>
        <w:adjustRightInd w:val="0"/>
        <w:snapToGrid w:val="0"/>
        <w:rPr>
          <w:rFonts w:ascii="宋体" w:hAnsi="宋体" w:cs="宋体"/>
          <w:color w:val="000000" w:themeColor="text1"/>
          <w:kern w:val="0"/>
          <w:szCs w:val="21"/>
          <w:highlight w:val="none"/>
          <w14:textFill>
            <w14:solidFill>
              <w14:schemeClr w14:val="tx1"/>
            </w14:solidFill>
          </w14:textFill>
        </w:rPr>
      </w:pPr>
    </w:p>
    <w:p>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采购人：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采购代理机构：</w:t>
      </w:r>
    </w:p>
    <w:p>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Times New Roman"/>
          <w:color w:val="000000" w:themeColor="text1"/>
          <w:sz w:val="24"/>
          <w:highlight w:val="none"/>
          <w:lang w:eastAsia="zh-CN"/>
          <w14:textFill>
            <w14:solidFill>
              <w14:schemeClr w14:val="tx1"/>
            </w14:solidFill>
          </w14:textFill>
        </w:rPr>
        <w:t>合浦县党江中学</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43" w:name="_Toc3994504"/>
      <w:bookmarkStart w:id="44" w:name="_Toc3943"/>
      <w:bookmarkStart w:id="45" w:name="_Toc29793"/>
      <w:bookmarkStart w:id="46" w:name="_Toc6942"/>
      <w:bookmarkStart w:id="47" w:name="_Toc176429412"/>
      <w:r>
        <w:rPr>
          <w:rFonts w:hint="eastAsia" w:ascii="宋体" w:hAnsi="宋体"/>
          <w:b/>
          <w:color w:val="000000" w:themeColor="text1"/>
          <w:sz w:val="44"/>
          <w:szCs w:val="44"/>
          <w:highlight w:val="none"/>
          <w14:textFill>
            <w14:solidFill>
              <w14:schemeClr w14:val="tx1"/>
            </w14:solidFill>
          </w14:textFill>
        </w:rPr>
        <w:t>第二章  谈判供应商须知</w:t>
      </w:r>
      <w:bookmarkEnd w:id="43"/>
      <w:bookmarkEnd w:id="44"/>
      <w:bookmarkEnd w:id="45"/>
      <w:bookmarkEnd w:id="46"/>
      <w:bookmarkEnd w:id="47"/>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43"/>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r>
    </w:p>
    <w:p>
      <w:pPr>
        <w:spacing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序号</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名称</w:t>
            </w:r>
          </w:p>
        </w:tc>
        <w:tc>
          <w:tcPr>
            <w:tcW w:w="8781"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w:t>
            </w:r>
          </w:p>
        </w:tc>
        <w:tc>
          <w:tcPr>
            <w:tcW w:w="1284" w:type="dxa"/>
            <w:vAlign w:val="center"/>
          </w:tcPr>
          <w:p>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合浦县党江中学教学楼维修项目</w:t>
            </w:r>
            <w:r>
              <w:rPr>
                <w:rFonts w:hint="eastAsia" w:ascii="宋体" w:hAnsi="宋体" w:cs="宋体"/>
                <w:color w:val="auto"/>
                <w:sz w:val="24"/>
                <w:highlight w:val="none"/>
              </w:rPr>
              <w:t xml:space="preserve"> </w:t>
            </w:r>
          </w:p>
          <w:p>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 xml:space="preserve">项目编号：BHZC2026-J2-210107-JHGC </w:t>
            </w:r>
          </w:p>
          <w:p>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合浦县党江中学校园内</w:t>
            </w:r>
          </w:p>
          <w:p>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60日历天</w:t>
            </w:r>
          </w:p>
          <w:p>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w:t>
            </w:r>
          </w:p>
        </w:tc>
        <w:tc>
          <w:tcPr>
            <w:tcW w:w="1284" w:type="dxa"/>
            <w:vAlign w:val="center"/>
          </w:tcPr>
          <w:p>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 xml:space="preserve">本项目采购预算控制价（包含建安劳保费）: </w:t>
            </w:r>
            <w:r>
              <w:rPr>
                <w:rFonts w:hint="eastAsia" w:hAnsi="宋体" w:cs="宋体"/>
                <w:sz w:val="24"/>
                <w:szCs w:val="24"/>
                <w:lang w:eastAsia="zh-CN"/>
              </w:rPr>
              <w:t>1121432.76</w:t>
            </w:r>
            <w:r>
              <w:rPr>
                <w:rFonts w:hint="eastAsia" w:hAnsi="宋体" w:cs="宋体"/>
                <w:color w:val="auto"/>
                <w:spacing w:val="2"/>
                <w:sz w:val="24"/>
                <w:szCs w:val="24"/>
                <w:highlight w:val="none"/>
              </w:rPr>
              <w:t xml:space="preserve">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284" w:type="dxa"/>
            <w:vAlign w:val="center"/>
          </w:tcPr>
          <w:p>
            <w:pPr>
              <w:pStyle w:val="90"/>
              <w:ind w:firstLine="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采购标的及其对应的中小企业划分标准所属行业</w:t>
            </w:r>
          </w:p>
        </w:tc>
        <w:tc>
          <w:tcPr>
            <w:tcW w:w="8781" w:type="dxa"/>
            <w:vAlign w:val="center"/>
          </w:tcPr>
          <w:p>
            <w:pPr>
              <w:pStyle w:val="90"/>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合浦县党江中学教学楼维修项目</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，属于</w:t>
            </w:r>
            <w:r>
              <w:rPr>
                <w:rFonts w:hint="eastAsia"/>
                <w:color w:val="000000" w:themeColor="text1"/>
                <w:highlight w:val="none"/>
                <w:u w:val="single"/>
                <w14:textFill>
                  <w14:solidFill>
                    <w14:schemeClr w14:val="tx1"/>
                  </w14:solidFill>
                </w14:textFill>
              </w:rPr>
              <w:t xml:space="preserve"> 建筑业 </w:t>
            </w:r>
            <w:r>
              <w:rPr>
                <w:rFonts w:hint="eastAsia"/>
                <w:color w:val="000000" w:themeColor="text1"/>
                <w:highlight w:val="none"/>
                <w14:textFill>
                  <w14:solidFill>
                    <w14:schemeClr w14:val="tx1"/>
                  </w14:solidFill>
                </w14:textFill>
              </w:rPr>
              <w:t>行业；</w:t>
            </w:r>
          </w:p>
          <w:p>
            <w:pPr>
              <w:pStyle w:val="90"/>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谈判供应商资格</w:t>
            </w:r>
          </w:p>
        </w:tc>
        <w:tc>
          <w:tcPr>
            <w:tcW w:w="8781" w:type="dxa"/>
            <w:vAlign w:val="center"/>
          </w:tcPr>
          <w:p>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谈判供应商资格要求：</w:t>
            </w:r>
          </w:p>
          <w:p>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满足《中华人民共和国政府采购法》第二十二条规定；未被“信用中国”（www.creditchina.gov.cn)、中国政府采购网（www.ccgp.gov.cn）列入失信被执行人、重大税收违法案件当事人名单、政府采购严重违法失信行为记录名单；</w:t>
            </w:r>
          </w:p>
          <w:p>
            <w:pPr>
              <w:spacing w:line="360" w:lineRule="auto"/>
              <w:jc w:val="left"/>
              <w:rPr>
                <w:rFonts w:ascii="宋体" w:hAnsi="宋体" w:cs="宋体"/>
                <w:color w:val="0000FF"/>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.落实政府采购政策需满足的资格要求：</w:t>
            </w:r>
            <w:r>
              <w:rPr>
                <w:rFonts w:hint="eastAsia" w:ascii="宋体" w:hAnsi="宋体" w:cs="宋体"/>
                <w:snapToGrid w:val="0"/>
                <w:color w:val="000000" w:themeColor="text1"/>
                <w:kern w:val="28"/>
                <w:sz w:val="24"/>
                <w:szCs w:val="20"/>
                <w:highlight w:val="none"/>
                <w14:textFill>
                  <w14:solidFill>
                    <w14:schemeClr w14:val="tx1"/>
                  </w14:solidFill>
                </w14:textFill>
              </w:rPr>
              <w:t xml:space="preserve">分标1：本项目专门面向中小企业采购（供应商应为中小微企业或监狱企业或残疾人福利性单位) </w:t>
            </w:r>
          </w:p>
          <w:p>
            <w:pPr>
              <w:spacing w:line="360" w:lineRule="auto"/>
              <w:jc w:val="left"/>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w:t>
            </w:r>
            <w:r>
              <w:rPr>
                <w:rFonts w:hint="eastAsia" w:ascii="宋体" w:hAnsi="宋体" w:cs="宋体"/>
                <w:color w:val="auto"/>
                <w:sz w:val="24"/>
                <w:highlight w:val="none"/>
              </w:rPr>
              <w:t>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本项目不</w:t>
            </w:r>
            <w:r>
              <w:rPr>
                <w:rFonts w:hint="eastAsia" w:ascii="宋体" w:hAnsi="宋体" w:cs="宋体"/>
                <w:color w:val="000000" w:themeColor="text1"/>
                <w:sz w:val="24"/>
                <w:highlight w:val="none"/>
                <w14:textFill>
                  <w14:solidFill>
                    <w14:schemeClr w14:val="tx1"/>
                  </w14:solidFill>
                </w14:textFill>
              </w:rPr>
              <w:t>要求提交谈判保证金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4"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分包</w:t>
            </w:r>
          </w:p>
        </w:tc>
        <w:tc>
          <w:tcPr>
            <w:tcW w:w="878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A同意将非主体、非关键性的工作分包。</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þ</w:t>
            </w:r>
            <w:r>
              <w:rPr>
                <w:rFonts w:hint="eastAsia" w:ascii="宋体" w:hAnsi="宋体" w:cs="宋体"/>
                <w:color w:val="000000" w:themeColor="text1"/>
                <w:sz w:val="24"/>
                <w:highlight w:val="none"/>
                <w14:textFill>
                  <w14:solidFill>
                    <w14:schemeClr w14:val="tx1"/>
                  </w14:solidFill>
                </w14:textFill>
              </w:rPr>
              <w:t>B不同意分包。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报价要求</w:t>
            </w:r>
          </w:p>
        </w:tc>
        <w:tc>
          <w:tcPr>
            <w:tcW w:w="8781" w:type="dxa"/>
            <w:vAlign w:val="center"/>
          </w:tcPr>
          <w:p>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供应商应就《采购需求》中所有的服务内容作完整唯一报价。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8</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谈判前准备</w:t>
            </w:r>
          </w:p>
        </w:tc>
        <w:tc>
          <w:tcPr>
            <w:tcW w:w="8781" w:type="dxa"/>
            <w:vAlign w:val="center"/>
          </w:tcPr>
          <w:p>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w:t>
            </w:r>
            <w:r>
              <w:rPr>
                <w:rFonts w:ascii="宋体" w:hAnsi="宋体"/>
                <w:color w:val="000000" w:themeColor="text1"/>
                <w:kern w:val="0"/>
                <w:sz w:val="24"/>
                <w:highlight w:val="none"/>
                <w14:textFill>
                  <w14:solidFill>
                    <w14:schemeClr w14:val="tx1"/>
                  </w14:solidFill>
                </w14:textFill>
              </w:rPr>
              <w:t>本项目实行网上</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，采用电子</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文件。若供应商参与</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，自行承担</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一切费用</w:t>
            </w:r>
            <w:r>
              <w:rPr>
                <w:rFonts w:hint="eastAsia" w:ascii="宋体" w:hAnsi="宋体"/>
                <w:color w:val="000000" w:themeColor="text1"/>
                <w:kern w:val="0"/>
                <w:sz w:val="24"/>
                <w:highlight w:val="none"/>
                <w14:textFill>
                  <w14:solidFill>
                    <w14:schemeClr w14:val="tx1"/>
                  </w14:solidFill>
                </w14:textFill>
              </w:rPr>
              <w:t>。</w:t>
            </w:r>
          </w:p>
          <w:p>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ascii="宋体" w:hAnsi="宋体"/>
                <w:color w:val="000000" w:themeColor="text1"/>
                <w:kern w:val="0"/>
                <w:sz w:val="24"/>
                <w:highlight w:val="none"/>
                <w14:textFill>
                  <w14:solidFill>
                    <w14:schemeClr w14:val="tx1"/>
                  </w14:solidFill>
                </w14:textFill>
              </w:rPr>
              <w:t>各供应商应在</w:t>
            </w:r>
            <w:r>
              <w:rPr>
                <w:rFonts w:hint="eastAsia" w:ascii="宋体" w:hAnsi="宋体"/>
                <w:color w:val="000000" w:themeColor="text1"/>
                <w:kern w:val="0"/>
                <w:sz w:val="24"/>
                <w:highlight w:val="none"/>
                <w14:textFill>
                  <w14:solidFill>
                    <w14:schemeClr w14:val="tx1"/>
                  </w14:solidFill>
                </w14:textFill>
              </w:rPr>
              <w:t>截</w:t>
            </w:r>
            <w:r>
              <w:rPr>
                <w:rFonts w:ascii="宋体" w:hAnsi="宋体"/>
                <w:color w:val="000000" w:themeColor="text1"/>
                <w:kern w:val="0"/>
                <w:sz w:val="24"/>
                <w:highlight w:val="none"/>
                <w14:textFill>
                  <w14:solidFill>
                    <w14:schemeClr w14:val="tx1"/>
                  </w14:solidFill>
                </w14:textFill>
              </w:rPr>
              <w:t>标前应确保成为</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正式注册入库供应商，并完成CA数字证书</w:t>
            </w:r>
            <w:r>
              <w:rPr>
                <w:rFonts w:hint="eastAsia" w:ascii="宋体" w:hAnsi="宋体"/>
                <w:color w:val="000000" w:themeColor="text1"/>
                <w:kern w:val="0"/>
                <w:sz w:val="24"/>
                <w:highlight w:val="none"/>
                <w14:textFill>
                  <w14:solidFill>
                    <w14:schemeClr w14:val="tx1"/>
                  </w14:solidFill>
                </w14:textFill>
              </w:rPr>
              <w:t>申领</w:t>
            </w:r>
            <w:r>
              <w:rPr>
                <w:rFonts w:ascii="宋体" w:hAnsi="宋体"/>
                <w:color w:val="000000" w:themeColor="text1"/>
                <w:kern w:val="0"/>
                <w:sz w:val="24"/>
                <w:highlight w:val="none"/>
                <w14:textFill>
                  <w14:solidFill>
                    <w14:schemeClr w14:val="tx1"/>
                  </w14:solidFill>
                </w14:textFill>
              </w:rPr>
              <w:t>。因未注册入库、未办理CA数字证书等原因造成无法</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或</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失败等后果由供应商自行承担。</w:t>
            </w:r>
          </w:p>
          <w:p>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w:t>
            </w:r>
            <w:r>
              <w:rPr>
                <w:rFonts w:ascii="宋体" w:hAnsi="宋体"/>
                <w:color w:val="000000" w:themeColor="text1"/>
                <w:kern w:val="0"/>
                <w:sz w:val="24"/>
                <w:highlight w:val="none"/>
                <w14:textFill>
                  <w14:solidFill>
                    <w14:schemeClr w14:val="tx1"/>
                  </w14:solidFill>
                </w14:textFill>
              </w:rPr>
              <w:t>供应商将</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电子交易客户端下载、安装完成后，可通过账号密码或CA登录客户端进行</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文件制作。</w:t>
            </w:r>
            <w:r>
              <w:rPr>
                <w:rFonts w:hint="eastAsia" w:ascii="宋体" w:hAnsi="宋体"/>
                <w:color w:val="000000" w:themeColor="text1"/>
                <w:kern w:val="0"/>
                <w:sz w:val="24"/>
                <w:highlight w:val="none"/>
                <w14:textFill>
                  <w14:solidFill>
                    <w14:schemeClr w14:val="tx1"/>
                  </w14:solidFill>
                </w14:textFill>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进行咨询。</w:t>
            </w:r>
          </w:p>
          <w:p>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4.通过“广西政府采购云平台”上传递交的“电子加密谈判响应文件”无法按时解密，视为谈判响应文件撤回，谈判无效。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响应文件递交截止时间</w:t>
            </w:r>
          </w:p>
        </w:tc>
        <w:tc>
          <w:tcPr>
            <w:tcW w:w="8781" w:type="dxa"/>
            <w:vAlign w:val="center"/>
          </w:tcPr>
          <w:p>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响应文件递交截止时间：</w:t>
            </w:r>
            <w:r>
              <w:rPr>
                <w:rFonts w:hint="eastAsia" w:ascii="宋体" w:hAnsi="宋体"/>
                <w:color w:val="auto"/>
                <w:kern w:val="0"/>
                <w:sz w:val="24"/>
                <w:highlight w:val="none"/>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10</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w:t>
            </w:r>
            <w:r>
              <w:rPr>
                <w:rFonts w:hint="eastAsia" w:ascii="宋体" w:hAnsi="宋体"/>
                <w:color w:val="000000" w:themeColor="text1"/>
                <w:kern w:val="0"/>
                <w:sz w:val="24"/>
                <w:highlight w:val="none"/>
                <w14:textFill>
                  <w14:solidFill>
                    <w14:schemeClr w14:val="tx1"/>
                  </w14:solidFill>
                </w14:textFill>
              </w:rPr>
              <w:t>平台的要求编制、加密传输谈判响应文件。供应商在使用系统进行评审的过程中遇到涉及平台使用的任何问题，可致电广西政府采购云平台技术支持热线咨询，联系方式：</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w:t>
            </w:r>
          </w:p>
        </w:tc>
        <w:tc>
          <w:tcPr>
            <w:tcW w:w="1284" w:type="dxa"/>
            <w:vAlign w:val="center"/>
          </w:tcPr>
          <w:p>
            <w:pPr>
              <w:pStyle w:val="21"/>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有效期</w:t>
            </w:r>
          </w:p>
        </w:tc>
        <w:tc>
          <w:tcPr>
            <w:tcW w:w="8781" w:type="dxa"/>
            <w:vAlign w:val="center"/>
          </w:tcPr>
          <w:p>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响应文件有效期：响应文件递交截止日期后六十日。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11</w:t>
            </w:r>
          </w:p>
        </w:tc>
        <w:tc>
          <w:tcPr>
            <w:tcW w:w="1284" w:type="dxa"/>
            <w:vAlign w:val="center"/>
          </w:tcPr>
          <w:p>
            <w:pPr>
              <w:overflowPunct w:val="0"/>
              <w:spacing w:line="360" w:lineRule="auto"/>
              <w:jc w:val="center"/>
              <w:rPr>
                <w:rFonts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谈判响应文件解密时间</w:t>
            </w:r>
          </w:p>
        </w:tc>
        <w:tc>
          <w:tcPr>
            <w:tcW w:w="8781" w:type="dxa"/>
            <w:vAlign w:val="center"/>
          </w:tcPr>
          <w:p>
            <w:pPr>
              <w:widowControl/>
              <w:adjustRightInd w:val="0"/>
              <w:snapToGrid w:val="0"/>
              <w:spacing w:line="360" w:lineRule="auto"/>
              <w:rPr>
                <w:rFonts w:ascii="宋体" w:hAnsi="宋体" w:cs="Courier New"/>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截标时间后30分钟内谈判供应商可以登录广西政府采购云平台，用“项目采购-开标评标”功能进行解密谈判文件。若谈判供应商在规定时间内无法解密或解密失败，视为谈判响应文件撤回，谈判无效。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评审方法</w:t>
            </w:r>
          </w:p>
        </w:tc>
        <w:tc>
          <w:tcPr>
            <w:tcW w:w="8781" w:type="dxa"/>
            <w:vAlign w:val="center"/>
          </w:tcPr>
          <w:p>
            <w:pPr>
              <w:pStyle w:val="69"/>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最低价评分法（详细见第</w:t>
            </w:r>
            <w:r>
              <w:rPr>
                <w:rFonts w:hint="eastAsia" w:hAnsi="宋体"/>
                <w:color w:val="000000" w:themeColor="text1"/>
                <w:sz w:val="24"/>
                <w:szCs w:val="24"/>
                <w:highlight w:val="none"/>
                <w:lang w:eastAsia="zh-CN"/>
                <w14:textFill>
                  <w14:solidFill>
                    <w14:schemeClr w14:val="tx1"/>
                  </w14:solidFill>
                </w14:textFill>
              </w:rPr>
              <w:t>七</w:t>
            </w:r>
            <w:r>
              <w:rPr>
                <w:rFonts w:hint="eastAsia" w:hAnsi="宋体"/>
                <w:color w:val="000000" w:themeColor="text1"/>
                <w:sz w:val="24"/>
                <w:szCs w:val="24"/>
                <w:highlight w:val="none"/>
                <w14:textFill>
                  <w14:solidFill>
                    <w14:schemeClr w14:val="tx1"/>
                  </w14:solidFill>
                </w14:textFill>
              </w:rPr>
              <w:t>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13</w:t>
            </w:r>
          </w:p>
        </w:tc>
        <w:tc>
          <w:tcPr>
            <w:tcW w:w="1284" w:type="dxa"/>
            <w:vAlign w:val="center"/>
          </w:tcPr>
          <w:p>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成交</w:t>
            </w:r>
            <w:r>
              <w:rPr>
                <w:rFonts w:hAnsi="宋体"/>
                <w:bCs/>
                <w:color w:val="000000" w:themeColor="text1"/>
                <w:sz w:val="24"/>
                <w:szCs w:val="24"/>
                <w:highlight w:val="none"/>
                <w14:textFill>
                  <w14:solidFill>
                    <w14:schemeClr w14:val="tx1"/>
                  </w14:solidFill>
                </w14:textFill>
              </w:rPr>
              <w:t>结果</w:t>
            </w:r>
          </w:p>
        </w:tc>
        <w:tc>
          <w:tcPr>
            <w:tcW w:w="878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成交通知书及成交公告：</w:t>
            </w:r>
            <w:r>
              <w:rPr>
                <w:rFonts w:hint="eastAsia" w:ascii="宋体" w:hAnsi="宋体" w:cs="宋体"/>
                <w:color w:val="000000" w:themeColor="text1"/>
                <w:sz w:val="24"/>
                <w:highlight w:val="none"/>
                <w14:textFill>
                  <w14:solidFill>
                    <w14:schemeClr w14:val="tx1"/>
                  </w14:solidFill>
                </w14:textFill>
              </w:rPr>
              <w:t>采购代理机构在采购人依法确定成交人之日起2个工作日内发出成交通知书，并在中国政府采购网、广西政府采购网发布成交公告。</w:t>
            </w:r>
          </w:p>
          <w:p>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中小企业信用融资：</w:t>
            </w:r>
            <w:r>
              <w:rPr>
                <w:rFonts w:hint="eastAsia" w:ascii="宋体" w:hAnsi="宋体" w:cs="宋体"/>
                <w:color w:val="000000" w:themeColor="text1"/>
                <w:sz w:val="24"/>
                <w:highlight w:val="none"/>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供应商成交后也可在“</w:t>
            </w:r>
            <w:r>
              <w:rPr>
                <w:rFonts w:hint="eastAsia" w:ascii="宋体" w:hAnsi="宋体"/>
                <w:color w:val="000000" w:themeColor="text1"/>
                <w:kern w:val="0"/>
                <w:sz w:val="24"/>
                <w:highlight w:val="none"/>
                <w14:textFill>
                  <w14:solidFill>
                    <w14:schemeClr w14:val="tx1"/>
                  </w14:solidFill>
                </w14:textFill>
              </w:rPr>
              <w:t>广西政府采购云平台</w:t>
            </w:r>
            <w:r>
              <w:rPr>
                <w:rFonts w:hint="eastAsia" w:ascii="宋体" w:hAnsi="宋体" w:cs="宋体"/>
                <w:color w:val="000000" w:themeColor="text1"/>
                <w:sz w:val="24"/>
                <w:highlight w:val="none"/>
                <w14:textFill>
                  <w14:solidFill>
                    <w14:schemeClr w14:val="tx1"/>
                  </w14:solidFill>
                </w14:textFill>
              </w:rPr>
              <w:t>”申请政采贷：操作路径：登录广西政府采购云平台-金融服务中心-【融资服务】，可在热门申请中选择产品直接申请。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14</w:t>
            </w:r>
          </w:p>
        </w:tc>
        <w:tc>
          <w:tcPr>
            <w:tcW w:w="1284" w:type="dxa"/>
            <w:vAlign w:val="center"/>
          </w:tcPr>
          <w:p>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自成交通知书发出之日起，原则上要求</w:t>
            </w:r>
            <w:r>
              <w:rPr>
                <w:rFonts w:ascii="宋体" w:hAnsi="宋体" w:cs="宋体"/>
                <w:color w:val="000000" w:themeColor="text1"/>
                <w:sz w:val="24"/>
                <w:highlight w:val="none"/>
                <w14:textFill>
                  <w14:solidFill>
                    <w14:schemeClr w14:val="tx1"/>
                  </w14:solidFill>
                </w14:textFill>
              </w:rPr>
              <w:t>25</w:t>
            </w:r>
            <w:r>
              <w:rPr>
                <w:rFonts w:hint="eastAsia" w:ascii="宋体" w:hAnsi="宋体" w:cs="宋体"/>
                <w:color w:val="000000" w:themeColor="text1"/>
                <w:sz w:val="24"/>
                <w:highlight w:val="none"/>
                <w14:textFill>
                  <w14:solidFill>
                    <w14:schemeClr w14:val="tx1"/>
                  </w14:solidFill>
                </w14:textFill>
              </w:rPr>
              <w:t>日内签订（项目实施过程中出现质疑或投诉的情形除外）。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w:t>
            </w:r>
          </w:p>
        </w:tc>
        <w:tc>
          <w:tcPr>
            <w:tcW w:w="1284" w:type="dxa"/>
            <w:vAlign w:val="center"/>
          </w:tcPr>
          <w:p>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w:t>
            </w:r>
          </w:p>
        </w:tc>
        <w:tc>
          <w:tcPr>
            <w:tcW w:w="8781" w:type="dxa"/>
            <w:vAlign w:val="center"/>
          </w:tcPr>
          <w:p>
            <w:pPr>
              <w:pStyle w:val="21"/>
              <w:adjustRightInd w:val="0"/>
              <w:snapToGrid w:val="0"/>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16</w:t>
            </w:r>
          </w:p>
        </w:tc>
        <w:tc>
          <w:tcPr>
            <w:tcW w:w="1284" w:type="dxa"/>
            <w:vAlign w:val="center"/>
          </w:tcPr>
          <w:p>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质疑及投诉联系方式</w:t>
            </w:r>
          </w:p>
        </w:tc>
        <w:tc>
          <w:tcPr>
            <w:tcW w:w="8781" w:type="dxa"/>
            <w:vAlign w:val="center"/>
          </w:tcPr>
          <w:p>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质疑联系部门：</w:t>
            </w:r>
            <w:r>
              <w:rPr>
                <w:rFonts w:hint="eastAsia" w:hAnsi="宋体"/>
                <w:bCs/>
                <w:color w:val="000000" w:themeColor="text1"/>
                <w:sz w:val="24"/>
                <w:szCs w:val="24"/>
                <w:highlight w:val="none"/>
                <w:lang w:eastAsia="zh-CN"/>
                <w14:textFill>
                  <w14:solidFill>
                    <w14:schemeClr w14:val="tx1"/>
                  </w14:solidFill>
                </w14:textFill>
              </w:rPr>
              <w:t>广西璟华工程管理有限公司招标部</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lang w:val="en-US" w:eastAsia="zh-CN"/>
                <w14:textFill>
                  <w14:solidFill>
                    <w14:schemeClr w14:val="tx1"/>
                  </w14:solidFill>
                </w14:textFill>
              </w:rPr>
              <w:t>0779-7103168</w:t>
            </w:r>
            <w:r>
              <w:rPr>
                <w:rFonts w:hint="eastAsia" w:hAnsi="宋体"/>
                <w:bCs/>
                <w:color w:val="000000" w:themeColor="text1"/>
                <w:sz w:val="24"/>
                <w:szCs w:val="24"/>
                <w:highlight w:val="none"/>
                <w14:textFill>
                  <w14:solidFill>
                    <w14:schemeClr w14:val="tx1"/>
                  </w14:solidFill>
                </w14:textFill>
              </w:rPr>
              <w:t xml:space="preserve">                </w:t>
            </w:r>
          </w:p>
          <w:p>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投诉联系部门：合浦县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联系电话：0779-</w:t>
            </w:r>
            <w:r>
              <w:rPr>
                <w:rFonts w:hint="eastAsia" w:hAnsi="宋体"/>
                <w:bCs/>
                <w:color w:val="000000" w:themeColor="text1"/>
                <w:sz w:val="24"/>
                <w:szCs w:val="24"/>
                <w:highlight w:val="none"/>
                <w:lang w:eastAsia="zh-CN"/>
                <w14:textFill>
                  <w14:solidFill>
                    <w14:schemeClr w14:val="tx1"/>
                  </w14:solidFill>
                </w14:textFill>
              </w:rPr>
              <w:t>7200908</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tc>
      </w:tr>
    </w:tbl>
    <w:p>
      <w:pP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br w:type="page"/>
      </w:r>
    </w:p>
    <w:p>
      <w:pPr>
        <w:spacing w:line="400" w:lineRule="exact"/>
        <w:jc w:val="cente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t>谈判供应商须知</w:t>
      </w:r>
    </w:p>
    <w:p>
      <w:pPr>
        <w:spacing w:line="400" w:lineRule="exact"/>
        <w:rPr>
          <w:rFonts w:eastAsia="仿宋_GB2312"/>
          <w:color w:val="000000" w:themeColor="text1"/>
          <w:szCs w:val="21"/>
          <w:highlight w:val="none"/>
          <w14:textFill>
            <w14:solidFill>
              <w14:schemeClr w14:val="tx1"/>
            </w14:solidFill>
          </w14:textFill>
        </w:rPr>
      </w:pP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一、总　则</w:t>
      </w:r>
    </w:p>
    <w:p>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48" w:name="_Toc254970668"/>
      <w:bookmarkStart w:id="49" w:name="_Toc254970527"/>
      <w:r>
        <w:rPr>
          <w:rFonts w:hint="eastAsia" w:ascii="宋体" w:hAnsi="宋体" w:cs="宋体"/>
          <w:b/>
          <w:color w:val="000000" w:themeColor="text1"/>
          <w:sz w:val="24"/>
          <w:highlight w:val="none"/>
          <w14:textFill>
            <w14:solidFill>
              <w14:schemeClr w14:val="tx1"/>
            </w14:solidFill>
          </w14:textFill>
        </w:rPr>
        <w:t>1.适用范围</w:t>
      </w:r>
      <w:bookmarkEnd w:id="48"/>
      <w:bookmarkEnd w:id="49"/>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1.本谈判文件适用于本项目的谈判、响应、评审、定标、验收、合同履约、付款等行为（法律、法规另有规定的，从其规定）。</w:t>
      </w:r>
    </w:p>
    <w:p>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50" w:name="_Toc254970669"/>
      <w:bookmarkStart w:id="51" w:name="_Toc254970528"/>
      <w:r>
        <w:rPr>
          <w:rFonts w:hint="eastAsia" w:ascii="宋体" w:hAnsi="宋体" w:cs="宋体"/>
          <w:b/>
          <w:color w:val="000000" w:themeColor="text1"/>
          <w:sz w:val="24"/>
          <w:highlight w:val="none"/>
          <w14:textFill>
            <w14:solidFill>
              <w14:schemeClr w14:val="tx1"/>
            </w14:solidFill>
          </w14:textFill>
        </w:rPr>
        <w:t>2.定义</w:t>
      </w:r>
      <w:bookmarkEnd w:id="50"/>
      <w:bookmarkEnd w:id="51"/>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1“采购人”系指组织本次谈判的采购单位。</w:t>
      </w:r>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“采购代理机构”系指组织本次谈判的采购代理机构（以下简称“本代理机构”）。</w:t>
      </w:r>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“谈判供应商”系指响应谈判、参加谈判竞争的法人、其他组织或者自然人。</w:t>
      </w:r>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4“工程”是指建设工程，包括建筑物和构筑物的新建、改建、扩建、装修、拆除、修缮等。</w:t>
      </w:r>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5“项目”系指谈判供应商按竞争性谈判文件规定向采购人提供的产品和服务。</w:t>
      </w:r>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2.6“书面形式”包括信函、传真、电报等。</w:t>
      </w:r>
    </w:p>
    <w:p>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2.7“▲”系指实质性要求条款。</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 供应商的基本条件</w:t>
      </w:r>
    </w:p>
    <w:p>
      <w:pPr>
        <w:adjustRightInd w:val="0"/>
        <w:spacing w:line="360" w:lineRule="auto"/>
        <w:ind w:firstLine="20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3.1满足《中华人民共和国政府采购法》第二十二条规定；未被“信用中国”（www.creditchina.gov.cn)、中国政府采购网（www.ccgp.gov.cn）列入失信被执行人、重大税收违法案件当事人名单、政府采购严重违法失信行为记录名单；</w:t>
      </w:r>
    </w:p>
    <w:p>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w:t>
      </w: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000000" w:themeColor="text1"/>
          <w:kern w:val="28"/>
          <w:sz w:val="24"/>
          <w:szCs w:val="20"/>
          <w:highlight w:val="none"/>
          <w:lang w:eastAsia="zh-CN"/>
          <w14:textFill>
            <w14:solidFill>
              <w14:schemeClr w14:val="tx1"/>
            </w14:solidFill>
          </w14:textFill>
        </w:rPr>
        <w:t>；</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施工总承包叁级及以上资质的企业；②具有有效的安全生产许可证；③项目经理为谈判供应商正式人员，同时具有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专业贰级及以上注册建造师资格和安全生产考核合格证(B证)，已经依法获得书面推荐，并在规定时间内获取采购文件的供应商才有资格参与谈判；</w:t>
      </w:r>
    </w:p>
    <w:p>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3.</w:t>
      </w:r>
      <w:r>
        <w:rPr>
          <w:rFonts w:hint="eastAsia" w:hAnsi="宋体" w:cs="宋体"/>
          <w:color w:val="000000" w:themeColor="text1"/>
          <w:sz w:val="24"/>
          <w:highlight w:val="none"/>
          <w:lang w:val="en-US" w:eastAsia="zh-CN"/>
          <w14:textFill>
            <w14:solidFill>
              <w14:schemeClr w14:val="tx1"/>
            </w14:solidFill>
          </w14:textFill>
        </w:rPr>
        <w:t>4</w:t>
      </w:r>
      <w:r>
        <w:rPr>
          <w:rFonts w:hint="eastAsia"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4.需要落实的政府采购政策</w:t>
      </w:r>
    </w:p>
    <w:p>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4.1是否允许采购进口产品要求</w:t>
      </w:r>
    </w:p>
    <w:p>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000000" w:themeColor="text1"/>
          <w:sz w:val="24"/>
          <w:szCs w:val="20"/>
          <w:highlight w:val="none"/>
          <w14:textFill>
            <w14:solidFill>
              <w14:schemeClr w14:val="tx1"/>
            </w14:solidFill>
          </w14:textFill>
        </w:rPr>
        <w:t>；</w:t>
      </w:r>
      <w:r>
        <w:rPr>
          <w:rFonts w:hint="eastAsia" w:ascii="宋体" w:hAnsi="宋体" w:cs="宋体"/>
          <w:color w:val="000000" w:themeColor="text1"/>
          <w:kern w:val="0"/>
          <w:sz w:val="24"/>
          <w:szCs w:val="20"/>
          <w:highlight w:val="none"/>
          <w14:textFill>
            <w14:solidFill>
              <w14:schemeClr w14:val="tx1"/>
            </w14:solidFill>
          </w14:textFill>
        </w:rPr>
        <w:t>优先采购向我国企业转让技术、与我国企业签订消化吸收再创新方案的供应商的进口产品</w:t>
      </w:r>
      <w:r>
        <w:rPr>
          <w:rFonts w:hint="eastAsia" w:ascii="宋体" w:hAnsi="宋体"/>
          <w:color w:val="000000" w:themeColor="text1"/>
          <w:sz w:val="24"/>
          <w:szCs w:val="20"/>
          <w:highlight w:val="none"/>
          <w14:textFill>
            <w14:solidFill>
              <w14:schemeClr w14:val="tx1"/>
            </w14:solidFill>
          </w14:textFill>
        </w:rPr>
        <w:t>。</w:t>
      </w:r>
    </w:p>
    <w:p>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4.2支持绿色发展</w:t>
      </w:r>
    </w:p>
    <w:p>
      <w:pPr>
        <w:adjustRightInd w:val="0"/>
        <w:spacing w:line="360" w:lineRule="auto"/>
        <w:ind w:firstLine="480"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文件要求提供相关产品认证证书。</w:t>
      </w:r>
      <w:r>
        <w:rPr>
          <w:rFonts w:hint="eastAsia" w:ascii="宋体" w:hAnsi="宋体" w:cs="宋体"/>
          <w:b/>
          <w:color w:val="000000" w:themeColor="text1"/>
          <w:sz w:val="24"/>
          <w:highlight w:val="none"/>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4.2.2纳入政府采购管理的修缮、装修类项目采购建材的，鼓励采购单位将绿色建材性能、指标等作为实质性条件纳入采购文件和合同，具体性能指标要求参考相关绿色建材政府采购需求标准。</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ascii="宋体" w:hAnsi="宋体" w:cs="宋体"/>
          <w:color w:val="000000" w:themeColor="text1"/>
          <w:sz w:val="24"/>
          <w:highlight w:val="none"/>
          <w14:textFill>
            <w14:solidFill>
              <w14:schemeClr w14:val="tx1"/>
            </w14:solidFill>
          </w14:textFill>
        </w:rPr>
        <w:t xml:space="preserve">2.4 </w:t>
      </w:r>
      <w:r>
        <w:rPr>
          <w:rFonts w:hint="eastAsia" w:ascii="宋体" w:hAnsi="宋体" w:cs="宋体"/>
          <w:color w:val="000000" w:themeColor="text1"/>
          <w:sz w:val="24"/>
          <w:highlight w:val="none"/>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4.3支持中小企业发展。</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4.3.1中小企业，是指在中华人民共和国境内依法设立，依据国务院批准的中小企业划分标准确定的中型企业、小型企业和微型企业，但与大企业的负责人为同一人，或者与大企业存在直接控股、管理关系的除外。</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符合中小企业划分标准的个体工商户，在政府采购活动中视同中小企业。</w:t>
      </w:r>
    </w:p>
    <w:p>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w:t>
      </w:r>
      <w:r>
        <w:rPr>
          <w:rFonts w:ascii="宋体" w:hAnsi="宋体" w:cs="宋体"/>
          <w:bCs/>
          <w:color w:val="000000" w:themeColor="text1"/>
          <w:sz w:val="24"/>
          <w:highlight w:val="none"/>
          <w14:textFill>
            <w14:solidFill>
              <w14:schemeClr w14:val="tx1"/>
            </w14:solidFill>
          </w14:textFill>
        </w:rPr>
        <w:t>3.2</w:t>
      </w:r>
      <w:r>
        <w:rPr>
          <w:rFonts w:hint="eastAsia" w:ascii="宋体" w:hAnsi="宋体" w:cs="宋体"/>
          <w:color w:val="000000" w:themeColor="text1"/>
          <w:kern w:val="0"/>
          <w:sz w:val="24"/>
          <w:highlight w:val="none"/>
          <w14:textFill>
            <w14:solidFill>
              <w14:schemeClr w14:val="tx1"/>
            </w14:solidFill>
          </w14:textFill>
        </w:rPr>
        <w:t>在政府采购活动中，服务类项目采购，服务由中小企业承接，即提供服务的人员为中小企业依照《中华人民共和国劳动合同法》订立劳动合同的从业人员，享受中小企业扶持政策。</w:t>
      </w:r>
    </w:p>
    <w:p>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4.3.4符合《关于促进残疾人就业政府采购政策的通知》（财库〔2017〕141号）规定的条件并提供《残疾人福利性单位声明函》（附件</w:t>
      </w: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）的残疾人福利性单位视同小型、微型企业；</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4.3.5符合《关于政府采购支持监狱企业发展有关问题的通知》（财库〔2014〕68号）规定的监狱企业并提供由省级以上监狱管理局、戒毒管理局（含新疆生产建设兵团）出具的属于监狱企业证明文件的，视同为小型、微型企业。</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4.3.6可享受中小企业扶持政策的供应商应按照</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文件格式要求提供《中小企业声明函》，供应商提供的《中小企业声明函》与实际情况不符的，不享受中小企业扶持政策。声明内容不实的，属于提供虚假材料谋取中标、成交的，依法承担法律责任。</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4.3.7中小企业享受扶持政策获得政府采购合同的，小微企业不得将合同分包给大中型企业，中型企业不得将合同分包给大型企业。</w:t>
      </w:r>
    </w:p>
    <w:p>
      <w:pPr>
        <w:adjustRightIn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w:t>
      </w:r>
      <w:r>
        <w:rPr>
          <w:rFonts w:hint="eastAsia" w:ascii="宋体" w:hAnsi="宋体" w:cs="宋体"/>
          <w:b/>
          <w:color w:val="000000" w:themeColor="text1"/>
          <w:sz w:val="24"/>
          <w:highlight w:val="none"/>
          <w:lang w:val="en-US" w:eastAsia="zh-CN"/>
          <w14:textFill>
            <w14:solidFill>
              <w14:schemeClr w14:val="tx1"/>
            </w14:solidFill>
          </w14:textFill>
        </w:rPr>
        <w:t>5</w:t>
      </w:r>
      <w:r>
        <w:rPr>
          <w:rFonts w:hint="eastAsia" w:ascii="宋体" w:hAnsi="宋体" w:cs="宋体"/>
          <w:b/>
          <w:color w:val="000000" w:themeColor="text1"/>
          <w:sz w:val="24"/>
          <w:highlight w:val="none"/>
          <w14:textFill>
            <w14:solidFill>
              <w14:schemeClr w14:val="tx1"/>
            </w14:solidFill>
          </w14:textFill>
        </w:rPr>
        <w:t>平等对待内外资企业</w:t>
      </w:r>
    </w:p>
    <w:p>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adjustRightInd w:val="0"/>
        <w:snapToGrid w:val="0"/>
        <w:spacing w:line="360" w:lineRule="auto"/>
        <w:ind w:firstLine="482" w:firstLineChars="200"/>
        <w:jc w:val="left"/>
        <w:rPr>
          <w:rFonts w:ascii="宋体" w:hAnsi="宋体"/>
          <w:b/>
          <w:bCs/>
          <w:color w:val="000000" w:themeColor="text1"/>
          <w:kern w:val="0"/>
          <w:sz w:val="24"/>
          <w:szCs w:val="20"/>
          <w:highlight w:val="none"/>
          <w14:textFill>
            <w14:solidFill>
              <w14:schemeClr w14:val="tx1"/>
            </w14:solidFill>
          </w14:textFill>
        </w:rPr>
      </w:pPr>
      <w:r>
        <w:rPr>
          <w:rFonts w:hint="eastAsia" w:ascii="宋体" w:hAnsi="宋体" w:cs="宋体"/>
          <w:b/>
          <w:color w:val="000000" w:themeColor="text1"/>
          <w:kern w:val="0"/>
          <w:sz w:val="24"/>
          <w:szCs w:val="20"/>
          <w:highlight w:val="none"/>
          <w14:textFill>
            <w14:solidFill>
              <w14:schemeClr w14:val="tx1"/>
            </w14:solidFill>
          </w14:textFill>
        </w:rPr>
        <w:t>4.</w:t>
      </w:r>
      <w:r>
        <w:rPr>
          <w:rFonts w:hint="eastAsia" w:ascii="宋体" w:hAnsi="宋体" w:cs="宋体"/>
          <w:b/>
          <w:color w:val="000000" w:themeColor="text1"/>
          <w:kern w:val="0"/>
          <w:sz w:val="24"/>
          <w:szCs w:val="20"/>
          <w:highlight w:val="none"/>
          <w:lang w:val="en-US" w:eastAsia="zh-CN"/>
          <w14:textFill>
            <w14:solidFill>
              <w14:schemeClr w14:val="tx1"/>
            </w14:solidFill>
          </w14:textFill>
        </w:rPr>
        <w:t>6</w:t>
      </w:r>
      <w:r>
        <w:rPr>
          <w:rFonts w:hint="eastAsia" w:ascii="宋体" w:hAnsi="宋体"/>
          <w:b/>
          <w:color w:val="000000" w:themeColor="text1"/>
          <w:kern w:val="0"/>
          <w:sz w:val="24"/>
          <w:szCs w:val="20"/>
          <w:highlight w:val="none"/>
          <w14:textFill>
            <w14:solidFill>
              <w14:schemeClr w14:val="tx1"/>
            </w14:solidFill>
          </w14:textFill>
        </w:rPr>
        <w:t>平等对待符合条件的破产重整企业</w:t>
      </w:r>
    </w:p>
    <w:p>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平等对待符合条件的破产重整企业，切实保障企业公平竞争，平等维护企业的合法利益。</w:t>
      </w:r>
    </w:p>
    <w:p>
      <w:pPr>
        <w:widowControl/>
        <w:adjustRightInd w:val="0"/>
        <w:snapToGrid w:val="0"/>
        <w:spacing w:line="360" w:lineRule="auto"/>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5.联合体谈判</w:t>
      </w:r>
    </w:p>
    <w:p>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w:t>
      </w:r>
      <w:r>
        <w:rPr>
          <w:rFonts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1联合体谈判要求:</w:t>
      </w:r>
    </w:p>
    <w:p>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（1）两个以上供应商可以组成一个谈判联合体，以一个供应商的身份谈判。</w:t>
      </w:r>
    </w:p>
    <w:p>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（2）以联合体形式参加谈判的，联合体各方均应当符合“具有独立承担民事责任的能力”的条件。本项目有特殊要求规定供应商特定条件的，联合体各方中至少应当有一方符合谈判文件规定的特定条件。</w:t>
      </w:r>
    </w:p>
    <w:p>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（3）联合体各方之间应当签订</w:t>
      </w:r>
      <w:r>
        <w:rPr>
          <w:rFonts w:hint="eastAsia" w:ascii="宋体" w:hAnsi="宋体" w:cs="宋体"/>
          <w:b/>
          <w:color w:val="000000" w:themeColor="text1"/>
          <w:kern w:val="0"/>
          <w:sz w:val="24"/>
          <w:highlight w:val="none"/>
          <w14:textFill>
            <w14:solidFill>
              <w14:schemeClr w14:val="tx1"/>
            </w14:solidFill>
          </w14:textFill>
        </w:rPr>
        <w:t>联合协议</w:t>
      </w:r>
      <w:r>
        <w:rPr>
          <w:rFonts w:hint="eastAsia" w:ascii="宋体" w:hAnsi="宋体" w:cs="宋体"/>
          <w:color w:val="000000" w:themeColor="text1"/>
          <w:kern w:val="0"/>
          <w:sz w:val="24"/>
          <w:highlight w:val="none"/>
          <w14:textFill>
            <w14:solidFill>
              <w14:schemeClr w14:val="tx1"/>
            </w14:solidFill>
          </w14:textFill>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（4）谈判联合体的业绩和信誉按联合体主体方（或牵头方）计算。</w:t>
      </w:r>
    </w:p>
    <w:p>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联合体各方中至少有一方符合本文件规定的特定资质条件。联合体谈判的，须提供《联合协议》（格式见附件）。</w:t>
      </w:r>
    </w:p>
    <w:p>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2大中型企业与小微企业组成联合体或者大中型企业向小微企业分包的，对其报价给予6%的扣除，用扣除后的价格参加评审。</w:t>
      </w:r>
    </w:p>
    <w:p>
      <w:pPr>
        <w:adjustRightInd w:val="0"/>
        <w:snapToGrid w:val="0"/>
        <w:spacing w:line="360" w:lineRule="auto"/>
        <w:ind w:firstLine="472" w:firstLineChars="196"/>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 谈判费用、竞争性谈判公告、竞争性谈判文件的澄清和修改</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6.1谈判费用：供应商应自行承担所有与编写和提交竞争性谈判响应文件有关的费用，不论谈判结果如何，采购人和本中心在任何情况下无义务和责任承担此类费用。</w:t>
      </w:r>
    </w:p>
    <w:p>
      <w:pPr>
        <w:pStyle w:val="21"/>
        <w:adjustRightInd w:val="0"/>
        <w:snapToGrid w:val="0"/>
        <w:spacing w:line="360" w:lineRule="auto"/>
        <w:ind w:firstLine="468" w:firstLineChars="19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6.2竞争性谈判公告：</w:t>
      </w:r>
      <w:r>
        <w:rPr>
          <w:rFonts w:hint="eastAsia" w:hAnsi="宋体"/>
          <w:color w:val="000000" w:themeColor="text1"/>
          <w:sz w:val="24"/>
          <w:szCs w:val="24"/>
          <w:highlight w:val="none"/>
          <w:lang w:eastAsia="zh-CN"/>
          <w14:textFill>
            <w14:solidFill>
              <w14:schemeClr w14:val="tx1"/>
            </w14:solidFill>
          </w14:textFill>
        </w:rPr>
        <w:t>详见</w:t>
      </w:r>
      <w:r>
        <w:rPr>
          <w:rFonts w:hint="eastAsia" w:hAnsi="宋体" w:cs="宋体"/>
          <w:color w:val="000000" w:themeColor="text1"/>
          <w:sz w:val="24"/>
          <w:szCs w:val="24"/>
          <w:highlight w:val="none"/>
          <w14:textFill>
            <w14:solidFill>
              <w14:schemeClr w14:val="tx1"/>
            </w14:solidFill>
          </w14:textFill>
        </w:rPr>
        <w:t>中国政府采购网、广西政府采购网。</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6.3竞争性谈判文件的澄清和修改：</w:t>
      </w:r>
    </w:p>
    <w:p>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6.3.1</w:t>
      </w:r>
      <w:r>
        <w:rPr>
          <w:rFonts w:hint="eastAsia" w:hAnsi="宋体"/>
          <w:bCs/>
          <w:color w:val="000000" w:themeColor="text1"/>
          <w:sz w:val="24"/>
          <w:szCs w:val="24"/>
          <w:highlight w:val="none"/>
          <w14:textFill>
            <w14:solidFill>
              <w14:schemeClr w14:val="tx1"/>
            </w14:solidFill>
          </w14:textFill>
        </w:rPr>
        <w:t>供应商应认真审核《采购需求》中的服务要求，如发现采购需求中服务要求有误或要求不合理的，供应商必须在规定的时间前要求澄清，否则，由此产生的后果由供应商负责。</w:t>
      </w:r>
    </w:p>
    <w:p>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6.3.2任何要求澄清竞争性谈判文件的供应商，均应在响应文件递交截止日期三日前的正常工作时间以传真等书面形式通知本中心，同时认定其他澄清方式为无效。本中心将以书面形式予以答复。</w:t>
      </w:r>
    </w:p>
    <w:p>
      <w:pPr>
        <w:widowControl/>
        <w:adjustRightInd w:val="0"/>
        <w:snapToGrid w:val="0"/>
        <w:spacing w:line="360" w:lineRule="auto"/>
        <w:ind w:firstLine="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6.3.3本中心对已发出的谈判文件进行必要澄清或者修改的，在竞争性谈判文件要求提交竞争性谈判响应文件截止时间五日前（不足五日顺延），在</w:t>
      </w:r>
      <w:r>
        <w:rPr>
          <w:rFonts w:hint="eastAsia" w:ascii="宋体" w:hAnsi="宋体" w:cs="宋体"/>
          <w:color w:val="000000" w:themeColor="text1"/>
          <w:sz w:val="24"/>
          <w:highlight w:val="none"/>
          <w14:textFill>
            <w14:solidFill>
              <w14:schemeClr w14:val="tx1"/>
            </w14:solidFill>
          </w14:textFill>
        </w:rPr>
        <w:t>中</w:t>
      </w:r>
      <w:r>
        <w:rPr>
          <w:rFonts w:hint="eastAsia" w:ascii="宋体" w:hAnsi="宋体" w:cs="宋体"/>
          <w:color w:val="000000" w:themeColor="text1"/>
          <w:sz w:val="24"/>
          <w:highlight w:val="none"/>
          <w:lang w:eastAsia="zh-CN"/>
          <w14:textFill>
            <w14:solidFill>
              <w14:schemeClr w14:val="tx1"/>
            </w14:solidFill>
          </w14:textFill>
        </w:rPr>
        <w:t>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上发布更正公告，并以书面形式通知所有竞争性谈判文件收受人。该澄清或者修改的内容为竞争性谈判文件的组成部分。</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000000" w:themeColor="text1"/>
          <w:sz w:val="24"/>
          <w:highlight w:val="none"/>
          <w:lang w:eastAsia="zh-CN"/>
          <w14:textFill>
            <w14:solidFill>
              <w14:schemeClr w14:val="tx1"/>
            </w14:solidFill>
          </w14:textFill>
        </w:rPr>
        <w:t>中国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发布变更公告。</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二、竞争性谈判响应文件的编制</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 竞争性谈判响应文件编制基本要求</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w:t>
      </w:r>
      <w:r>
        <w:rPr>
          <w:rFonts w:ascii="宋体" w:hAnsi="宋体"/>
          <w:color w:val="000000" w:themeColor="text1"/>
          <w:sz w:val="24"/>
          <w:highlight w:val="none"/>
          <w14:textFill>
            <w14:solidFill>
              <w14:schemeClr w14:val="tx1"/>
            </w14:solidFill>
          </w14:textFill>
        </w:rPr>
        <w:t>本项目实行电子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，供应商应准备电子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7.1.1</w:t>
      </w:r>
      <w:r>
        <w:rPr>
          <w:rFonts w:ascii="宋体" w:hAnsi="宋体"/>
          <w:color w:val="000000" w:themeColor="text1"/>
          <w:sz w:val="24"/>
          <w:highlight w:val="none"/>
          <w14:textFill>
            <w14:solidFill>
              <w14:schemeClr w14:val="tx1"/>
            </w14:solidFill>
          </w14:textFill>
        </w:rPr>
        <w:t>电子响应文件按</w:t>
      </w:r>
      <w:r>
        <w:rPr>
          <w:rFonts w:hint="eastAsia" w:ascii="宋体" w:hAnsi="宋体"/>
          <w:color w:val="000000" w:themeColor="text1"/>
          <w:sz w:val="24"/>
          <w:highlight w:val="none"/>
          <w14:textFill>
            <w14:solidFill>
              <w14:schemeClr w14:val="tx1"/>
            </w14:solidFill>
          </w14:textFill>
        </w:rPr>
        <w:t>广西政府采购云平台要求</w:t>
      </w:r>
      <w:r>
        <w:rPr>
          <w:rFonts w:ascii="宋体" w:hAnsi="宋体"/>
          <w:color w:val="000000" w:themeColor="text1"/>
          <w:sz w:val="24"/>
          <w:highlight w:val="none"/>
          <w14:textFill>
            <w14:solidFill>
              <w14:schemeClr w14:val="tx1"/>
            </w14:solidFill>
          </w14:textFill>
        </w:rPr>
        <w:t>及本</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文件要求制作、加密并递交。具体操作流程</w:t>
      </w:r>
      <w:r>
        <w:rPr>
          <w:rFonts w:hint="eastAsia" w:ascii="宋体" w:hAnsi="宋体"/>
          <w:color w:val="000000" w:themeColor="text1"/>
          <w:sz w:val="24"/>
          <w:highlight w:val="none"/>
          <w14:textFill>
            <w14:solidFill>
              <w14:schemeClr w14:val="tx1"/>
            </w14:solidFill>
          </w14:textFill>
        </w:rPr>
        <w:t>可参考</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指南可在</w:t>
      </w:r>
      <w:r>
        <w:rPr>
          <w:rFonts w:hint="eastAsia" w:ascii="宋体" w:hAnsi="宋体"/>
          <w:color w:val="000000" w:themeColor="text1"/>
          <w:sz w:val="24"/>
          <w:highlight w:val="none"/>
          <w14:textFill>
            <w14:solidFill>
              <w14:schemeClr w14:val="tx1"/>
            </w14:solidFill>
          </w14:textFill>
        </w:rPr>
        <w:t>“北海市政府采购中心网站-办事指南-政府采购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”下载。</w:t>
      </w:r>
    </w:p>
    <w:p>
      <w:pPr>
        <w:adjustRightInd w:val="0"/>
        <w:snapToGrid w:val="0"/>
        <w:spacing w:line="360" w:lineRule="auto"/>
        <w:ind w:firstLine="240" w:firstLineChars="1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7.1.3谈判响应</w:t>
      </w:r>
      <w:r>
        <w:rPr>
          <w:rFonts w:ascii="宋体" w:hAnsi="宋体"/>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解密</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若谈判供应商在规定时间内无法解密或解密失败，视为谈判响应文件撤回，谈判无效。</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7.3供应商应认真阅读、并充分理解本文件的全部内容（包括所有的澄清、更改、补充、答疑等内容），承诺并履行本文件中各项条款规定及要求。</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7.4竞争性谈判响应文件必须按本文件的全部内容，包括所有的澄清、更改、补充、答疑等内容及附件进行编制。</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7.5如因供应商只填写和提供了本文件要求的部分内容和附件，而给谈判小组评审造成困难，其可能导致的结果和责任由供应商自行承担。</w:t>
      </w:r>
    </w:p>
    <w:p>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7.7竞争性谈判响应文件的组成：竞争性谈判响应文件应分为资格文件、价格文件和商务技术文件组成。</w:t>
      </w:r>
      <w:r>
        <w:rPr>
          <w:rFonts w:ascii="宋体" w:hAnsi="宋体"/>
          <w:color w:val="000000" w:themeColor="text1"/>
          <w:sz w:val="24"/>
          <w:highlight w:val="none"/>
          <w14:textFill>
            <w14:solidFill>
              <w14:schemeClr w14:val="tx1"/>
            </w14:solidFill>
          </w14:textFill>
        </w:rPr>
        <w:t>供应商应仔细阅读</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采购文件的所有内容，按</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采购文件的要求，详细编制</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7.7.1资格文件</w:t>
      </w:r>
    </w:p>
    <w:p>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北海市政府采购供应商信用承诺函</w:t>
      </w:r>
      <w:r>
        <w:rPr>
          <w:rFonts w:hint="eastAsia" w:ascii="宋体" w:hAnsi="宋体"/>
          <w:b/>
          <w:bCs/>
          <w:color w:val="000000" w:themeColor="text1"/>
          <w:sz w:val="24"/>
          <w:highlight w:val="none"/>
          <w14:textFill>
            <w14:solidFill>
              <w14:schemeClr w14:val="tx1"/>
            </w14:solidFill>
          </w14:textFill>
        </w:rPr>
        <w:t>（必须提供，格式见第三章）</w:t>
      </w:r>
    </w:p>
    <w:p>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谈判供应商有效的</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施工承包企业</w:t>
      </w:r>
      <w:r>
        <w:rPr>
          <w:rFonts w:hint="eastAsia" w:ascii="宋体" w:hAnsi="宋体" w:cs="宋体"/>
          <w:color w:val="000000" w:themeColor="text1"/>
          <w:sz w:val="24"/>
          <w:highlight w:val="none"/>
          <w:lang w:eastAsia="zh-CN"/>
          <w14:textFill>
            <w14:solidFill>
              <w14:schemeClr w14:val="tx1"/>
            </w14:solidFill>
          </w14:textFill>
        </w:rPr>
        <w:t>三</w:t>
      </w:r>
      <w:r>
        <w:rPr>
          <w:rFonts w:hint="eastAsia" w:ascii="宋体" w:hAnsi="宋体" w:cs="宋体"/>
          <w:color w:val="000000" w:themeColor="text1"/>
          <w:sz w:val="24"/>
          <w:highlight w:val="none"/>
          <w14:textFill>
            <w14:solidFill>
              <w14:schemeClr w14:val="tx1"/>
            </w14:solidFill>
          </w14:textFill>
        </w:rPr>
        <w:t>级及以上资质证书复印件、供应商有效的安全生产许可证复印件</w:t>
      </w:r>
      <w:r>
        <w:rPr>
          <w:rFonts w:hint="eastAsia" w:ascii="宋体" w:hAnsi="宋体"/>
          <w:b/>
          <w:bCs/>
          <w:color w:val="000000" w:themeColor="text1"/>
          <w:sz w:val="24"/>
          <w:highlight w:val="none"/>
          <w14:textFill>
            <w14:solidFill>
              <w14:schemeClr w14:val="tx1"/>
            </w14:solidFill>
          </w14:textFill>
        </w:rPr>
        <w:t>（必须提供）</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（3）供应商拟派的项目经理须具备</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专业</w:t>
      </w:r>
      <w:r>
        <w:rPr>
          <w:rFonts w:hint="eastAsia" w:ascii="宋体" w:hAnsi="宋体" w:cs="宋体"/>
          <w:color w:val="000000" w:themeColor="text1"/>
          <w:sz w:val="24"/>
          <w:highlight w:val="none"/>
          <w:lang w:eastAsia="zh-CN"/>
          <w14:textFill>
            <w14:solidFill>
              <w14:schemeClr w14:val="tx1"/>
            </w14:solidFill>
          </w14:textFill>
        </w:rPr>
        <w:t>贰</w:t>
      </w:r>
      <w:r>
        <w:rPr>
          <w:rFonts w:hint="eastAsia" w:ascii="宋体" w:hAnsi="宋体" w:cs="宋体"/>
          <w:color w:val="000000" w:themeColor="text1"/>
          <w:sz w:val="24"/>
          <w:highlight w:val="none"/>
          <w14:textFill>
            <w14:solidFill>
              <w14:schemeClr w14:val="tx1"/>
            </w14:solidFill>
          </w14:textFill>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000000" w:themeColor="text1"/>
          <w:sz w:val="24"/>
          <w:highlight w:val="none"/>
          <w14:textFill>
            <w14:solidFill>
              <w14:schemeClr w14:val="tx1"/>
            </w14:solidFill>
          </w14:textFill>
        </w:rPr>
        <w:t>（必须提供）</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▲（4）中小企业声明函（格式见第三章）（专门面向中小企业采购项目必须提供）</w:t>
      </w:r>
    </w:p>
    <w:p>
      <w:pPr>
        <w:adjustRightInd w:val="0"/>
        <w:snapToGrid w:val="0"/>
        <w:spacing w:line="360" w:lineRule="auto"/>
        <w:ind w:firstLine="482" w:firstLineChars="200"/>
        <w:rPr>
          <w:rFonts w:hint="eastAsia" w:ascii="宋体" w:hAnsi="宋体"/>
          <w:b/>
          <w:color w:val="000000" w:themeColor="text1"/>
          <w:sz w:val="24"/>
          <w:highlight w:val="none"/>
          <w:lang w:val="en-US" w:eastAsia="zh-CN"/>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5</w:t>
      </w:r>
      <w:r>
        <w:rPr>
          <w:rFonts w:hint="eastAsia" w:ascii="宋体" w:hAnsi="宋体"/>
          <w:b/>
          <w:bCs/>
          <w:color w:val="000000" w:themeColor="text1"/>
          <w:sz w:val="24"/>
          <w:highlight w:val="none"/>
          <w14:textFill>
            <w14:solidFill>
              <w14:schemeClr w14:val="tx1"/>
            </w14:solidFill>
          </w14:textFill>
        </w:rPr>
        <w:t>）竞争性谈判邀请函</w:t>
      </w:r>
      <w:r>
        <w:rPr>
          <w:rFonts w:hint="eastAsia" w:ascii="宋体" w:hAnsi="宋体"/>
          <w:b/>
          <w:bCs/>
          <w:color w:val="000000" w:themeColor="text1"/>
          <w:sz w:val="24"/>
          <w:highlight w:val="none"/>
          <w:lang w:eastAsia="zh-CN"/>
          <w14:textFill>
            <w14:solidFill>
              <w14:schemeClr w14:val="tx1"/>
            </w14:solidFill>
          </w14:textFill>
        </w:rPr>
        <w:t>复印件</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b/>
          <w:bCs/>
          <w:color w:val="000000" w:themeColor="text1"/>
          <w:sz w:val="24"/>
          <w:highlight w:val="none"/>
          <w:lang w:eastAsia="zh-CN"/>
          <w14:textFill>
            <w14:solidFill>
              <w14:schemeClr w14:val="tx1"/>
            </w14:solidFill>
          </w14:textFill>
        </w:rPr>
        <w:t>。</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.7.2价格文件</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▲（1）竞标函及竞标函附录</w:t>
      </w:r>
      <w:r>
        <w:rPr>
          <w:rFonts w:hint="eastAsia" w:ascii="宋体" w:hAnsi="宋体"/>
          <w:b/>
          <w:bCs/>
          <w:color w:val="000000" w:themeColor="text1"/>
          <w:sz w:val="24"/>
          <w:highlight w:val="none"/>
          <w14:textFill>
            <w14:solidFill>
              <w14:schemeClr w14:val="tx1"/>
            </w14:solidFill>
          </w14:textFill>
        </w:rPr>
        <w:t>（必须提供，格式见第三章）。</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▲（2）竞标报价表</w:t>
      </w:r>
      <w:r>
        <w:rPr>
          <w:rFonts w:hint="eastAsia" w:ascii="宋体" w:hAnsi="宋体"/>
          <w:b/>
          <w:color w:val="000000" w:themeColor="text1"/>
          <w:sz w:val="24"/>
          <w:highlight w:val="none"/>
          <w14:textFill>
            <w14:solidFill>
              <w14:schemeClr w14:val="tx1"/>
            </w14:solidFill>
          </w14:textFill>
        </w:rPr>
        <w:t>（必须提供，格式见第三章）。</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▲（3）已标价工程量清单</w:t>
      </w:r>
      <w:r>
        <w:rPr>
          <w:rFonts w:hint="eastAsia" w:ascii="宋体" w:hAnsi="宋体"/>
          <w:b/>
          <w:color w:val="000000" w:themeColor="text1"/>
          <w:sz w:val="24"/>
          <w:highlight w:val="none"/>
          <w14:textFill>
            <w14:solidFill>
              <w14:schemeClr w14:val="tx1"/>
            </w14:solidFill>
          </w14:textFill>
        </w:rPr>
        <w:t>（必须提供，格式见第三章）。</w:t>
      </w:r>
    </w:p>
    <w:p>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（4）供应商认为需要提供的其他有关资料。</w:t>
      </w:r>
    </w:p>
    <w:p>
      <w:pPr>
        <w:adjustRightInd w:val="0"/>
        <w:snapToGrid w:val="0"/>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.7.3 商务技术文件</w:t>
      </w:r>
      <w:r>
        <w:rPr>
          <w:rFonts w:hint="eastAsia" w:ascii="宋体" w:hAnsi="宋体"/>
          <w:color w:val="000000" w:themeColor="text1"/>
          <w:sz w:val="24"/>
          <w:highlight w:val="none"/>
          <w14:textFill>
            <w14:solidFill>
              <w14:schemeClr w14:val="tx1"/>
            </w14:solidFill>
          </w14:textFill>
        </w:rPr>
        <w:t>（应该有的必须提供,如未提供,谈判小组有权拒绝其谈判响应文件）。</w:t>
      </w:r>
    </w:p>
    <w:p>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▲（1）谈判书</w:t>
      </w:r>
      <w:r>
        <w:rPr>
          <w:rFonts w:hint="eastAsia" w:ascii="宋体" w:hAnsi="宋体"/>
          <w:b/>
          <w:color w:val="000000" w:themeColor="text1"/>
          <w:sz w:val="24"/>
          <w:highlight w:val="none"/>
          <w14:textFill>
            <w14:solidFill>
              <w14:schemeClr w14:val="tx1"/>
            </w14:solidFill>
          </w14:textFill>
        </w:rPr>
        <w:t xml:space="preserve"> （必须提供，格式见第三章）；</w:t>
      </w:r>
    </w:p>
    <w:p>
      <w:pPr>
        <w:adjustRightInd w:val="0"/>
        <w:snapToGrid w:val="0"/>
        <w:spacing w:line="360" w:lineRule="auto"/>
        <w:ind w:firstLine="360" w:firstLineChars="1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▲（2）法定代表人（负责人）授权委托书和委托代理人身份证复印件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委托代理时必须提供）</w:t>
      </w:r>
      <w:r>
        <w:rPr>
          <w:rFonts w:hint="eastAsia" w:ascii="宋体" w:hAnsi="宋体"/>
          <w:color w:val="000000" w:themeColor="text1"/>
          <w:sz w:val="24"/>
          <w:highlight w:val="none"/>
          <w14:textFill>
            <w14:solidFill>
              <w14:schemeClr w14:val="tx1"/>
            </w14:solidFill>
          </w14:textFill>
        </w:rPr>
        <w:t>，法定代表人（负责人）参加谈判时，提供法定代表人（负责人）身份证明书和身份证复印件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color w:val="000000" w:themeColor="text1"/>
          <w:sz w:val="24"/>
          <w:highlight w:val="none"/>
          <w14:textFill>
            <w14:solidFill>
              <w14:schemeClr w14:val="tx1"/>
            </w14:solidFill>
          </w14:textFill>
        </w:rPr>
        <w:t>；</w:t>
      </w:r>
    </w:p>
    <w:p>
      <w:pPr>
        <w:adjustRightInd w:val="0"/>
        <w:snapToGrid w:val="0"/>
        <w:spacing w:line="360" w:lineRule="auto"/>
        <w:ind w:firstLine="360" w:firstLineChars="150"/>
        <w:jc w:val="left"/>
        <w:rPr>
          <w:rFonts w:ascii="宋体" w:hAnsi="宋体"/>
          <w:color w:val="0000FF"/>
          <w:sz w:val="24"/>
          <w:highlight w:val="none"/>
        </w:rPr>
      </w:pPr>
      <w:r>
        <w:rPr>
          <w:rFonts w:hint="eastAsia" w:ascii="宋体" w:hAnsi="宋体"/>
          <w:color w:val="000000" w:themeColor="text1"/>
          <w:sz w:val="24"/>
          <w:highlight w:val="none"/>
          <w14:textFill>
            <w14:solidFill>
              <w14:schemeClr w14:val="tx1"/>
            </w14:solidFill>
          </w14:textFill>
        </w:rPr>
        <w:t>▲（3）承诺函</w:t>
      </w:r>
      <w:r>
        <w:rPr>
          <w:rFonts w:hint="eastAsia" w:ascii="宋体" w:hAnsi="宋体"/>
          <w:b/>
          <w:color w:val="000000" w:themeColor="text1"/>
          <w:sz w:val="24"/>
          <w:highlight w:val="none"/>
          <w14:textFill>
            <w14:solidFill>
              <w14:schemeClr w14:val="tx1"/>
            </w14:solidFill>
          </w14:textFill>
        </w:rPr>
        <w:t>（必须提供，格式见第三章）；</w:t>
      </w:r>
      <w:r>
        <w:rPr>
          <w:rFonts w:hint="eastAsia" w:ascii="宋体" w:hAnsi="宋体"/>
          <w:color w:val="000000" w:themeColor="text1"/>
          <w:sz w:val="24"/>
          <w:highlight w:val="none"/>
          <w14:textFill>
            <w14:solidFill>
              <w14:schemeClr w14:val="tx1"/>
            </w14:solidFill>
          </w14:textFill>
        </w:rPr>
        <w:t xml:space="preserve"> </w:t>
      </w:r>
    </w:p>
    <w:p>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▲（5）项目管理机构配备情况表及主要人员简历表</w:t>
      </w:r>
      <w:r>
        <w:rPr>
          <w:rFonts w:hint="eastAsia" w:ascii="宋体" w:hAnsi="宋体"/>
          <w:b/>
          <w:color w:val="000000" w:themeColor="text1"/>
          <w:sz w:val="24"/>
          <w:highlight w:val="none"/>
          <w14:textFill>
            <w14:solidFill>
              <w14:schemeClr w14:val="tx1"/>
            </w14:solidFill>
          </w14:textFill>
        </w:rPr>
        <w:t>（必须提供）</w:t>
      </w:r>
      <w:r>
        <w:rPr>
          <w:rFonts w:hint="eastAsia" w:ascii="宋体" w:hAnsi="宋体"/>
          <w:b/>
          <w:color w:val="000000" w:themeColor="text1"/>
          <w:sz w:val="24"/>
          <w:highlight w:val="none"/>
          <w:lang w:val="en-US" w:eastAsia="zh-CN"/>
          <w14:textFill>
            <w14:solidFill>
              <w14:schemeClr w14:val="tx1"/>
            </w14:solidFill>
          </w14:textFill>
        </w:rPr>
        <w:t>,</w:t>
      </w:r>
      <w:r>
        <w:rPr>
          <w:rFonts w:hint="eastAsia" w:ascii="宋体" w:hAnsi="宋体"/>
          <w:b w:val="0"/>
          <w:bCs/>
          <w:color w:val="000000" w:themeColor="text1"/>
          <w:sz w:val="24"/>
          <w:highlight w:val="none"/>
          <w:lang w:val="en-US" w:eastAsia="zh-CN"/>
          <w14:textFill>
            <w14:solidFill>
              <w14:schemeClr w14:val="tx1"/>
            </w14:solidFill>
          </w14:textFill>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pPr>
        <w:numPr>
          <w:ilvl w:val="0"/>
          <w:numId w:val="2"/>
        </w:numPr>
        <w:adjustRightInd w:val="0"/>
        <w:snapToGrid w:val="0"/>
        <w:spacing w:line="360" w:lineRule="auto"/>
        <w:ind w:firstLine="595" w:firstLineChars="250"/>
        <w:rPr>
          <w:rFonts w:ascii="宋体" w:hAnsi="宋体"/>
          <w:color w:val="000000" w:themeColor="text1"/>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拟分包项目情况表（格式见第三章）；（如有）</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▲（7）建设工程项目管理承诺书</w:t>
      </w:r>
      <w:r>
        <w:rPr>
          <w:rFonts w:hint="eastAsia" w:ascii="宋体" w:hAnsi="宋体"/>
          <w:b/>
          <w:color w:val="000000" w:themeColor="text1"/>
          <w:sz w:val="24"/>
          <w:highlight w:val="none"/>
          <w14:textFill>
            <w14:solidFill>
              <w14:schemeClr w14:val="tx1"/>
            </w14:solidFill>
          </w14:textFill>
        </w:rPr>
        <w:t>（必须提供，格式见第三章）</w:t>
      </w:r>
    </w:p>
    <w:p>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（8）供应商负责过与本项目相类似的成功案例和经验（如有，需提供合同复印件）；</w:t>
      </w:r>
    </w:p>
    <w:p>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（9）采购需求要求提供的材料</w:t>
      </w:r>
      <w:r>
        <w:rPr>
          <w:rFonts w:hint="eastAsia" w:ascii="宋体" w:hAnsi="宋体"/>
          <w:b/>
          <w:bCs/>
          <w:color w:val="000000" w:themeColor="text1"/>
          <w:sz w:val="24"/>
          <w:highlight w:val="none"/>
          <w14:textFill>
            <w14:solidFill>
              <w14:schemeClr w14:val="tx1"/>
            </w14:solidFill>
          </w14:textFill>
        </w:rPr>
        <w:t>（格式自拟，如有要求则提供）</w:t>
      </w:r>
    </w:p>
    <w:p>
      <w:pPr>
        <w:adjustRightInd w:val="0"/>
        <w:snapToGrid w:val="0"/>
        <w:spacing w:line="360" w:lineRule="auto"/>
        <w:ind w:firstLine="600" w:firstLineChars="25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（10）具备履行合同所必需的设备和专业技术能力的证明材料</w:t>
      </w:r>
      <w:r>
        <w:rPr>
          <w:rFonts w:hint="eastAsia" w:ascii="宋体" w:hAnsi="宋体"/>
          <w:b/>
          <w:color w:val="000000" w:themeColor="text1"/>
          <w:sz w:val="24"/>
          <w:highlight w:val="none"/>
          <w14:textFill>
            <w14:solidFill>
              <w14:schemeClr w14:val="tx1"/>
            </w14:solidFill>
          </w14:textFill>
        </w:rPr>
        <w:t>；</w:t>
      </w:r>
    </w:p>
    <w:p>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（11）谈判供应商认为需要提供的有关资料。</w:t>
      </w:r>
    </w:p>
    <w:p>
      <w:pPr>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▲特别说明：</w:t>
      </w:r>
      <w:r>
        <w:rPr>
          <w:rFonts w:hint="eastAsia" w:ascii="宋体" w:hAnsi="宋体"/>
          <w:b/>
          <w:color w:val="000000" w:themeColor="text1"/>
          <w:sz w:val="24"/>
          <w:highlight w:val="none"/>
          <w14:textFill>
            <w14:solidFill>
              <w14:schemeClr w14:val="tx1"/>
            </w14:solidFill>
          </w14:textFill>
        </w:rPr>
        <w:t>（1）</w:t>
      </w:r>
      <w:r>
        <w:rPr>
          <w:rFonts w:ascii="宋体" w:hAnsi="宋体"/>
          <w:b/>
          <w:color w:val="000000" w:themeColor="text1"/>
          <w:sz w:val="24"/>
          <w:highlight w:val="none"/>
          <w14:textFill>
            <w14:solidFill>
              <w14:schemeClr w14:val="tx1"/>
            </w14:solidFill>
          </w14:textFill>
        </w:rPr>
        <w:t>若</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文件中有专门标注的某关联点</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并要求供应商在电子投标系统中作出</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响应的，如供应商未对关联点进行响应或者在响应文件其它内容进行描述，造成电子评审不能查询的责任由供应商自行承担。</w:t>
      </w:r>
    </w:p>
    <w:p>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）谈判文件要求提供的各种复印件，必须加盖谈判供应商CA签章，否则其谈判无效。</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）谈判文件要求“必须提供”的证明等材料，谈判供应商必须全部提供，缺一不可，否则谈判无效。</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 计量单位</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8.1除技术要求中另有规定外，本文件所要求使用的计量单位均应采用国家法定计量单位。</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三、报价要求</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9.1对于本文件中未列明，而供应商认为必需的费用也需列入总报价。在合同实施时，采购人将不予支付成交供应商没有列入的项目费用，并认为此项目的费用已包括在总报价中。</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9.2成交供应商负责本项目所需服务及售后服务等全部工作。</w:t>
      </w:r>
    </w:p>
    <w:p>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9.4报价：供应商应就《采购项目需求》中所有的服务内容作完整唯一报价。</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四、竞争性谈判响应文件的封装和递交</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 竞争性谈判响应文件的封装</w:t>
      </w:r>
    </w:p>
    <w:p>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10.1</w:t>
      </w:r>
      <w:r>
        <w:rPr>
          <w:rFonts w:hAnsi="宋体"/>
          <w:color w:val="000000" w:themeColor="text1"/>
          <w:sz w:val="24"/>
          <w:szCs w:val="24"/>
          <w:highlight w:val="none"/>
          <w14:textFill>
            <w14:solidFill>
              <w14:schemeClr w14:val="tx1"/>
            </w14:solidFill>
          </w14:textFill>
        </w:rPr>
        <w:t>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响应文件中须加盖供应商公章部分均采用 CA 签章，并根据“政府采购项目电子交易管理操作指南-供应商” 及本</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文件规定的格式和顺序编制电子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响应文件并进行关联定位，以便</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w:t>
      </w:r>
      <w:r>
        <w:rPr>
          <w:rFonts w:hint="eastAsia" w:hAnsi="宋体"/>
          <w:color w:val="000000" w:themeColor="text1"/>
          <w:sz w:val="24"/>
          <w:szCs w:val="24"/>
          <w:highlight w:val="none"/>
          <w14:textFill>
            <w14:solidFill>
              <w14:schemeClr w14:val="tx1"/>
            </w14:solidFill>
          </w14:textFill>
        </w:rPr>
        <w:t>时</w:t>
      </w:r>
      <w:r>
        <w:rPr>
          <w:rFonts w:hAnsi="宋体"/>
          <w:color w:val="000000" w:themeColor="text1"/>
          <w:sz w:val="24"/>
          <w:szCs w:val="24"/>
          <w:highlight w:val="none"/>
          <w14:textFill>
            <w14:solidFill>
              <w14:schemeClr w14:val="tx1"/>
            </w14:solidFill>
          </w14:textFill>
        </w:rPr>
        <w:t>时，点击评分项可直接定位到该评分项内容。如对</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文件的某项要求，供应商的电子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响应文件未能关联定位提供相应的内容与其对应，则</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在评审时如做出对供应商不利的评审由供应商自行承担。电子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响应文件如内容不完整</w:t>
      </w: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编排混乱导致</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响应文件被误读、 漏读，或者在按采购文件规定的部位查找不到相关内容的，由供应商自行承担。</w:t>
      </w:r>
    </w:p>
    <w:p>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10.2谈判</w:t>
      </w:r>
      <w:r>
        <w:rPr>
          <w:rFonts w:hAnsi="宋体"/>
          <w:color w:val="000000" w:themeColor="text1"/>
          <w:sz w:val="24"/>
          <w:szCs w:val="24"/>
          <w:highlight w:val="none"/>
          <w14:textFill>
            <w14:solidFill>
              <w14:schemeClr w14:val="tx1"/>
            </w14:solidFill>
          </w14:textFill>
        </w:rPr>
        <w:t>响应文件不得涂改，若有修改错漏处，须法定代表人</w:t>
      </w:r>
      <w:r>
        <w:rPr>
          <w:rFonts w:hint="eastAsia" w:hAnsi="宋体"/>
          <w:color w:val="000000" w:themeColor="text1"/>
          <w:sz w:val="24"/>
          <w:szCs w:val="24"/>
          <w:highlight w:val="none"/>
          <w14:textFill>
            <w14:solidFill>
              <w14:schemeClr w14:val="tx1"/>
            </w14:solidFill>
          </w14:textFill>
        </w:rPr>
        <w:t>（负责人）</w:t>
      </w:r>
      <w:r>
        <w:rPr>
          <w:rFonts w:hAnsi="宋体"/>
          <w:color w:val="000000" w:themeColor="text1"/>
          <w:sz w:val="24"/>
          <w:szCs w:val="24"/>
          <w:highlight w:val="none"/>
          <w14:textFill>
            <w14:solidFill>
              <w14:schemeClr w14:val="tx1"/>
            </w14:solidFill>
          </w14:textFill>
        </w:rPr>
        <w:t>或授权委托人签字</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响应文件因字迹潦草或表达不清所引起的后果由供应商负责。</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 竞争性谈判响应文件的递交</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11.1所有竞争性谈判响应文件应于竞争性谈判文件中规定的时间前</w:t>
      </w:r>
      <w:r>
        <w:rPr>
          <w:rFonts w:ascii="宋体" w:hAnsi="宋体"/>
          <w:color w:val="000000" w:themeColor="text1"/>
          <w:sz w:val="24"/>
          <w:highlight w:val="none"/>
          <w14:textFill>
            <w14:solidFill>
              <w14:schemeClr w14:val="tx1"/>
            </w14:solidFill>
          </w14:textFill>
        </w:rPr>
        <w:t>上传递交至</w:t>
      </w:r>
      <w:r>
        <w:rPr>
          <w:rFonts w:hint="eastAsia" w:ascii="宋体" w:hAnsi="宋体"/>
          <w:color w:val="000000" w:themeColor="text1"/>
          <w:sz w:val="24"/>
          <w:highlight w:val="none"/>
          <w14:textFill>
            <w14:solidFill>
              <w14:schemeClr w14:val="tx1"/>
            </w14:solidFill>
          </w14:textFill>
        </w:rPr>
        <w:t>广西政府采购云平台</w:t>
      </w:r>
      <w:r>
        <w:rPr>
          <w:rFonts w:ascii="宋体" w:hAnsi="宋体"/>
          <w:color w:val="000000" w:themeColor="text1"/>
          <w:sz w:val="24"/>
          <w:highlight w:val="none"/>
          <w14:textFill>
            <w14:solidFill>
              <w14:schemeClr w14:val="tx1"/>
            </w14:solidFill>
          </w14:textFill>
        </w:rPr>
        <w:t>。</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文件的相关说明</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（1）供应商进行电子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应安装客户端软件，并按照采购文件和电子交易平台的要求编制并加密</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响应文件。供应商未按规定加密的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响应文件，电子交易平台将拒收。供应商应当在</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截止时间前完成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响应文件的传输递交，并可以补充、修改或者撤回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响应文件。补充或者修改</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响应文件的，应当先行撤回原文件</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补充、修改后重新传输递交。</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截止时间前未完成传输的，视为撤回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截止时间后递交的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）如有特殊情况，采购代理机构延长截止时间和开标时间，采购代理机构和供应商的权利和义务将受到新的截止时间和开标时间的约束。</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11.2竞争性谈判响应文件从响应文件递交截止日期后六十日内有效。</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12.迟交的竞争性谈判响应文件</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12.1在本文件要求竞争性谈判响应文件递交截止时间后送达的竞争性谈判响应文件为无效文件，本中心将拒收。</w:t>
      </w:r>
    </w:p>
    <w:p>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r>
        <w:rPr>
          <w:rFonts w:hint="eastAsia" w:ascii="宋体" w:hAnsi="宋体" w:cs="宋体"/>
          <w:snapToGrid w:val="0"/>
          <w:color w:val="000000" w:themeColor="text1"/>
          <w:kern w:val="28"/>
          <w:sz w:val="24"/>
          <w:szCs w:val="20"/>
          <w:highlight w:val="none"/>
          <w14:textFill>
            <w14:solidFill>
              <w14:schemeClr w14:val="tx1"/>
            </w14:solidFill>
          </w14:textFill>
        </w:rPr>
        <w:t xml:space="preserve"> 谈判保证金</w:t>
      </w:r>
    </w:p>
    <w:p>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保证金应当以支票、汇票、本票或者金融机构、担保机构出具的保函等非现金形式提交。</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谈判保证金收取银行账户</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13.2</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书面撤回通知之日起５个工作日内，退还已收取的</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保证金，但因</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自身原因导致无法及时退还的除外。</w:t>
      </w:r>
    </w:p>
    <w:p>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w:t>
      </w:r>
      <w:r>
        <w:rPr>
          <w:rFonts w:hint="eastAsia" w:ascii="宋体" w:hAnsi="宋体"/>
          <w:b/>
          <w:color w:val="000000" w:themeColor="text1"/>
          <w:sz w:val="24"/>
          <w:highlight w:val="none"/>
          <w14:textFill>
            <w14:solidFill>
              <w14:schemeClr w14:val="tx1"/>
            </w14:solidFill>
          </w14:textFill>
        </w:rPr>
        <w:t>谈判</w:t>
      </w:r>
      <w:r>
        <w:rPr>
          <w:rFonts w:hint="eastAsia" w:ascii="宋体" w:hAnsi="宋体"/>
          <w:b/>
          <w:bCs/>
          <w:color w:val="000000" w:themeColor="text1"/>
          <w:sz w:val="24"/>
          <w:highlight w:val="none"/>
          <w14:textFill>
            <w14:solidFill>
              <w14:schemeClr w14:val="tx1"/>
            </w14:solidFill>
          </w14:textFill>
        </w:rPr>
        <w:t>程序及评审方法</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14.谈判程序</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14.1谈判响应文件递交截止时间后，主持人宣布谈判开始。</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14.2供应商登录广西政府采购云平台，用“项目采购-开标评标”功能对电子谈判响应文件进行在线解密。在线解密电子谈判响应文件时间为开标时间起半小时内。</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14.3谈判小组对谈判响应文件进行评估和比较。</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14.4以广西政府采购云平台中“项目采购”应用模块获取谈判文件顺序确定各供应商谈判、顺序。</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14.5谈判小组与单一供应商分别进行谈判。（谈判时供应商的技术资料、价格和其他信息在评审、谈判过程中保密）</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14.6谈判小组要求所有实质性响应的供应商在规定时间内提交最后报价（只公开最后报价，最后报价原则上不得高于初次报价）。</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14.7由谈判小组采用最低评标价法对提交最后报价的供应商的响应文件和最后报价进行评审，在符合采购需求、质量和服务要求的前提下，按评审价从低到高的顺序推荐确定成交候选供应商。</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特别说明：广西政府采购云平台如对电子化谈判及评审程序有调整的，按调整后的程序操作。</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15.采购过程中出现以下情形，导致电子交易平台无法正常运行，或者无法保证电子交易的公平、公正和安全时，采购组织机构可中止电子交易活动：</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15.1电子交易平台发生故障而无法登录访问的；</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15.2电子交易平台应用或数据库出现错误，不能进行正常操作的；</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15.3电子交易平台发现严重安全漏洞，有潜在泄密危险的；</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15.4病毒发作导致不能进行正常操作的；</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15.5其他无法保证电子交易的公平、公正和安全的情况。</w:t>
      </w:r>
    </w:p>
    <w:p>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16.谈判内容</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16.1本次谈判内容为在谈判文件范围内就供应商的谈判响应文件，谈判小组与供应商在技术、价格、服务、合同等问题进行谈判，最终确定成交与否。</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16.2谈判应作书面记录，供应商并就谈判内容作出书面承诺，并由供应商法定代表人或其授权委托人签字后生效，作为谈判响应文件的一部分。</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16.3谈判文件有实质性变动的，谈判小组以书面形式通知所有参加谈判的供应商。</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17.谈判</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17.1谈判小组由采购人、采购代理机构依法组建，负责评审活动。谈判小组遵循公开、公平、公正、科学合理、竞争择优的原则。</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17.2谈判小组由采购人代表和有关方面专家组成，成员人数为3人以上单数。</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17.3谈判小组负责对供应商资格的最终审定。</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17.4谈判小组可以要求供应商对其谈判响应文件中含义不明确的内容作必要的澄清或者说明，但澄清或者说明不得超过谈判响应文件的范围或者改变谈判响应文件的实质性内容。</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17.5谈判小组对谈判响应文件的判定，只依据谈判响应文件和谈判文件内容本身，不依据任何外来证明。</w:t>
      </w:r>
    </w:p>
    <w:p>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17.6谈判小组不向落标方解释落标的原因，不退还谈判响应文件。</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18.谈判响应文件的初审鉴定</w:t>
      </w:r>
    </w:p>
    <w:p>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18.1资格性审查</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18.2符合性审查</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18.3如果谈判响应文件实质不响应谈判文件的各项要求，谈判小组将予以拒绝，并且不允许供应商通过修改或撤销其不符合要求的差异或保留，使之成为具有响应性的谈判。</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19.对明显的文字和计算错误的修正原则</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19.1谈判响应文件中报价一览表（报价表）内容与谈判响应文件中相应内容不一致的，以报价一览表（报价表）为准；</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19.2大写金额和小写金额不一致的，以大写金额为准；</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19.3单价金额小数点或者百分比有明显错位的，以开标一览表的总价为准，并修改单价；</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19.4总价金额与按单价汇总金额不一致的，以单价金额计算结果为准。</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同时出现两种以上不一致的，按照前款规定的顺序修正。修正后的报价经谈判响应人确认后产生约束力，谈判响应人不确认的，其谈判无效。</w:t>
      </w:r>
    </w:p>
    <w:p>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20.谈判响应文件的评审、比较和否决</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20.1谈判小组将对在实质上响应谈判文件要求的谈判响应文件进行评审。</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20.2在评审过程中，谈判小组可以书面形式要求供应商就谈判响应文件含义不明确的内容进行书面说明并提供相关材料。</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20.3在谈判过程中，如发现与谈判文件要求相偏离的，谈判小组应对其偏离情形进行必要的书面核实。</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20.4在评审过程中，如属于实质性偏离或符合无效响应条件的，应当询问相关供应商，并允许其进行陈述申辩，但不允许对偏离条款撤回。</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20.6谈判小组依据谈判文件规定的评定标准和方法，对谈判响应文件进行评审后，向本机构提供书面谈判报告，并按评审价从低到高的顺序推荐成交候选供应商。</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20.7 报价评审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20.7.1根据财政部发布的《政府采购促进中小企业发展管理办法》规定，对于非专门面向中小企业的项目，对小型和微型企业产品的价格给予一定的扣除，用扣除后的价格参与评审。</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20.7.2供应商存在以下报价情形的，谈判无效</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 响应文件未提供“供应商须知前附表” 报价文件中规定的“竞标报价表”的；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2）未采用人民币报价或者未按照谈判文件标明的币种报价的；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6）在单价合同工程中供应商采用总价优惠或以总价百分比优惠的方式进行竞标报价的；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7）竞标总报价与已标价工程量清单汇总表不一致的；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8）安全文明施工费和规费、增值税不按广西区费用定额及造价管理相关文件规定报价的（园林绿化及仿古建筑工程除外）；（适用于房屋建筑和市政工程项目）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9）供应商已标价工程量清单的项目编码（12位）、计量单位、工程量任何一处与工程量清单不一致的；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10）供应商已标价工程量清单的项目名称或项目特征与工程量清单不一致，谈判小组要求澄清、说明或补正，但供应商拒绝澄清、说明或补正的；（适用于房屋建筑和市政工程项目）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11）设有暂估价、暂列金额的，竞标时未按工程量清单给出的暂估价总价、暂列金额总价计入竞标总报价中的；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12）供应商对工程量清单内容进行增减或对竞标范围进行调整的；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13）响应文件响应的标的数量及单位与竞争性谈判采购文件要求实质性不一致的；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14）未响应谈判文件实质性要求的。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20.8评标委员会依据谈判文件规定的评审标准和方法，对谈判响应文件进行评审和比较后，向</w:t>
      </w:r>
      <w:r>
        <w:rPr>
          <w:rFonts w:hint="eastAsia" w:hAnsi="宋体" w:cs="Times New Roman"/>
          <w:color w:val="000000" w:themeColor="text1"/>
          <w:sz w:val="24"/>
          <w:szCs w:val="24"/>
          <w:highlight w:val="none"/>
          <w:lang w:eastAsia="zh-CN"/>
          <w14:textFill>
            <w14:solidFill>
              <w14:schemeClr w14:val="tx1"/>
            </w14:solidFill>
          </w14:textFill>
        </w:rPr>
        <w:t>代理机构</w:t>
      </w:r>
      <w:r>
        <w:rPr>
          <w:rFonts w:hint="eastAsia" w:hAnsi="宋体" w:cs="Times New Roman"/>
          <w:color w:val="000000" w:themeColor="text1"/>
          <w:sz w:val="24"/>
          <w:szCs w:val="24"/>
          <w:highlight w:val="none"/>
          <w14:textFill>
            <w14:solidFill>
              <w14:schemeClr w14:val="tx1"/>
            </w14:solidFill>
          </w14:textFill>
        </w:rPr>
        <w:t>提供书面谈判报告，并按得分高低排序推荐成交候选供应商。</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20.9谈判响应文件的澄清</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为有利于对谈判响应文件的比较和评议，谈判小组可要求供应商对谈判响应文件进行澄清，必要时谈判小组可要求供应商对澄清的问题作出书面答复。</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供应商通过广西政府采购云平台交换的数据电文必须进行电子签章。</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21．无效谈判的情形</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谈判响应文件有下列情形之一的作无效谈判响应处理：</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21.1未按照谈判文件规定要求签署、盖章的；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21.2单位负责人为同一人或者存在直接控股、管理关系的不同供应商参加同一合同项下的政府采购活动的（均无效）；</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21.3为采购项目提供整体设计、规范编制或者项目管理、监理、检测等服务的供应商参加该采购项目的其他采购活动的； </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21.4供应商不具备谈判文件中规定的资格要求的（供应商未提供有效的资格证明文件的，视为其不具备谈判文件中规定的资格要求）；</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w:t>
      </w:r>
      <w:r>
        <w:rPr>
          <w:rFonts w:hAnsi="宋体" w:cs="Times New Roman"/>
          <w:color w:val="000000" w:themeColor="text1"/>
          <w:sz w:val="24"/>
          <w:szCs w:val="24"/>
          <w:highlight w:val="none"/>
          <w14:textFill>
            <w14:solidFill>
              <w14:schemeClr w14:val="tx1"/>
            </w14:solidFill>
          </w14:textFill>
        </w:rPr>
        <w:t xml:space="preserve">.5 </w:t>
      </w:r>
      <w:r>
        <w:rPr>
          <w:rFonts w:hint="eastAsia" w:hAnsi="宋体" w:cs="Times New Roman"/>
          <w:color w:val="000000" w:themeColor="text1"/>
          <w:sz w:val="24"/>
          <w:szCs w:val="24"/>
          <w:highlight w:val="none"/>
          <w14:textFill>
            <w14:solidFill>
              <w14:schemeClr w14:val="tx1"/>
            </w14:solidFill>
          </w14:textFill>
        </w:rPr>
        <w:t>《法定代表人身份证明书》与提供的身份证复印件信息不符的；《法定代表人授权委托书》与提供的身份证复印件信息不符的；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21.6《法定代表人授权委托书》或《法定代表人身份证明书》填写不全、错误、未加盖公章(《法定代表人授权委托书》要求“盖章”和“签字”缺一不可）的；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21.7谈判响应文件中的谈判响应函未加盖供应商的企业公章或填写不全的；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21.8报价一经涂改，未在涂改处加盖谈判响应单位公章或者未经法定代表人或授权代表签字或盖章的；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21.9谈判响应文件中未按谈判文件规定的格式填写，或未详细应答谈判服务（或技术或产品等要求），经谈判后仍无法详细应答或应答不完整有缺失，致使谈判小组无法评审的；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21.10出现同一标的物或本次谈判产品(服务)内的主要产品(重要组成部分)出现商务技术（资信）文件资料、报价文件资料描述不一致或前后描述不一致，经谈判小组认定后为无法评审的；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21.11《技术偏离说明表》不真实填写或弄虚作假的；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21.12谈判响应文件有采购人不能接受的条件；</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21.13最后报价超过预算金额或上限价的；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21.14谈判小组认定有重大偏差或实质性不响应谈判文件要求的；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21.15采购人拟采购的产品属于政府强制采购的节能产品品目清单范围的，供应商未按谈判文件要求提供国家确定的认证机构出具的、处于有效期之内的节能产品认证证书的；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21.16《报价一览表》填写不完整或字迹不能辨认或有漏项的；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21.17供应商对根据修正原则修正后的报价不确认的；</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21.18供应商提供虚假材料谈判的（包括但不限于以下情节）；</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21.18.1使用伪造、变造的许可证件；</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21.18.2提供虚假的财务状况或者业绩；</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21.18.3提供虚假的项目负责人或者主要技术人员简历、劳动关系证明；</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21.18.4提供虚假的信用状况；</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21.18.5其他弄虚作假的行为。</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21.19有下列情形之一的，视为供应商串通谈判，其谈判无效：</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21.19.1不同供应商的谈判响应文件由同一单位或者个人编制；</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21.19.2不同供应商委托同一单位或者个人办理谈判事宜；</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21.19.3不同供应商的谈判响应文件载明的项目管理成员或者联系人员为同一人；</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21.19.4不同供应商的谈判响应文件异常一致或者谈判报价呈规律性差异；</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21.19.5不同供应商的谈判响应文件相互混装；</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21.20有下列情形之一的，属于恶意串通，其谈判无效：</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21.20.1供应商直接或者间接从采购人或者采购机构处获得其他供应商的相关情况并修改其谈判文件或者响应文件；</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21.20.2供应商按照采购人或者采购机构的授意撤换、修改谈判文件或者响应文件；</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21.20.3供应商之间协商报价、技术方案等谈判文件或者响应文件的实质性内容；</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21.20.4属于同一集团、协会、商会等组织成员的供应商按照该组织要求协同参加政府采购活动；</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21.20.5供应商之间事先约定由某一特定供应商成交；</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21.20.6供应商之间商定部分供应商放弃参加政府采购活动或者放弃成交；</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21.20.7供应商与采购人或者采购机构之间、供应商相互之间，为谋求特定供应商成交或者排斥其他供应商的其他串通行为。</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21.21其他违反法律、法规的情形。</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 谈判过程保密</w:t>
      </w:r>
    </w:p>
    <w:p>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22.2 在谈判期间，供应商企图影响采购人、集中采购机构或谈判小组的任何活动，都将导致谈判被拒绝，并由其承担相应的法律责任。</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六、确定成交供应商办法</w:t>
      </w:r>
    </w:p>
    <w:p>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23.1根据以下原则确定成交供应商：</w:t>
      </w:r>
      <w:r>
        <w:rPr>
          <w:rFonts w:ascii="宋体" w:hAnsi="宋体" w:cs="宋体"/>
          <w:color w:val="000000" w:themeColor="text1"/>
          <w:sz w:val="24"/>
          <w:highlight w:val="none"/>
          <w14:textFill>
            <w14:solidFill>
              <w14:schemeClr w14:val="tx1"/>
            </w14:solidFill>
          </w14:textFill>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000000" w:themeColor="text1"/>
          <w:sz w:val="24"/>
          <w:highlight w:val="none"/>
          <w14:textFill>
            <w14:solidFill>
              <w14:schemeClr w14:val="tx1"/>
            </w14:solidFill>
          </w14:textFill>
        </w:rPr>
        <w:t>谈判</w:t>
      </w:r>
      <w:r>
        <w:rPr>
          <w:rFonts w:ascii="宋体" w:hAnsi="宋体" w:cs="宋体"/>
          <w:color w:val="000000" w:themeColor="text1"/>
          <w:sz w:val="24"/>
          <w:highlight w:val="none"/>
          <w14:textFill>
            <w14:solidFill>
              <w14:schemeClr w14:val="tx1"/>
            </w14:solidFill>
          </w14:textFill>
        </w:rPr>
        <w:t>小组直接确定成交供应商。采购人逾期未确定成交供应商且不提出异议的，视为确定评审报告提出的排序第一的供应商为成交供应商。</w:t>
      </w:r>
    </w:p>
    <w:p>
      <w:pPr>
        <w:pStyle w:val="21"/>
        <w:adjustRightInd w:val="0"/>
        <w:snapToGrid w:val="0"/>
        <w:spacing w:line="360" w:lineRule="auto"/>
        <w:ind w:firstLine="482"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七、成交结果公告</w:t>
      </w:r>
    </w:p>
    <w:p>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24.1本中心在评审结束后2个工作日内将谈判评审报告送采购人确认，</w:t>
      </w:r>
      <w:r>
        <w:rPr>
          <w:rFonts w:hAnsi="宋体" w:cs="宋体"/>
          <w:color w:val="000000" w:themeColor="text1"/>
          <w:kern w:val="0"/>
          <w:sz w:val="24"/>
          <w:szCs w:val="24"/>
          <w:highlight w:val="none"/>
          <w14:textFill>
            <w14:solidFill>
              <w14:schemeClr w14:val="tx1"/>
            </w14:solidFill>
          </w14:textFill>
        </w:rPr>
        <w:t>成</w:t>
      </w:r>
      <w:r>
        <w:rPr>
          <w:rFonts w:hint="eastAsia" w:hAnsi="宋体" w:cs="宋体"/>
          <w:color w:val="000000" w:themeColor="text1"/>
          <w:kern w:val="0"/>
          <w:sz w:val="24"/>
          <w:szCs w:val="24"/>
          <w:highlight w:val="none"/>
          <w14:textFill>
            <w14:solidFill>
              <w14:schemeClr w14:val="tx1"/>
            </w14:solidFill>
          </w14:textFill>
        </w:rPr>
        <w:t>交</w:t>
      </w:r>
      <w:r>
        <w:rPr>
          <w:rFonts w:hAnsi="宋体" w:cs="宋体"/>
          <w:color w:val="000000" w:themeColor="text1"/>
          <w:kern w:val="0"/>
          <w:sz w:val="24"/>
          <w:szCs w:val="24"/>
          <w:highlight w:val="none"/>
          <w14:textFill>
            <w14:solidFill>
              <w14:schemeClr w14:val="tx1"/>
            </w14:solidFill>
          </w14:textFill>
        </w:rPr>
        <w:t>供应商</w:t>
      </w:r>
      <w:r>
        <w:rPr>
          <w:rFonts w:hint="eastAsia" w:hAnsi="宋体" w:cs="宋体"/>
          <w:color w:val="000000" w:themeColor="text1"/>
          <w:kern w:val="0"/>
          <w:sz w:val="24"/>
          <w:szCs w:val="24"/>
          <w:highlight w:val="none"/>
          <w14:textFill>
            <w14:solidFill>
              <w14:schemeClr w14:val="tx1"/>
            </w14:solidFill>
          </w14:textFill>
        </w:rPr>
        <w:t>确定后</w:t>
      </w:r>
      <w:r>
        <w:rPr>
          <w:rFonts w:hint="eastAsia" w:hAnsi="宋体"/>
          <w:color w:val="000000" w:themeColor="text1"/>
          <w:sz w:val="24"/>
          <w:szCs w:val="24"/>
          <w:highlight w:val="none"/>
          <w14:textFill>
            <w14:solidFill>
              <w14:schemeClr w14:val="tx1"/>
            </w14:solidFill>
          </w14:textFill>
        </w:rPr>
        <w:t>2个工作日内，成交结果公告将在</w:t>
      </w:r>
      <w:r>
        <w:rPr>
          <w:rFonts w:hint="eastAsia" w:ascii="宋体" w:hAnsi="宋体" w:cs="宋体"/>
          <w:color w:val="000000" w:themeColor="text1"/>
          <w:sz w:val="24"/>
          <w:highlight w:val="none"/>
          <w14:textFill>
            <w14:solidFill>
              <w14:schemeClr w14:val="tx1"/>
            </w14:solidFill>
          </w14:textFill>
        </w:rPr>
        <w:t>中国政府采购网、广西政府采购网</w:t>
      </w:r>
      <w:r>
        <w:rPr>
          <w:rFonts w:hint="eastAsia" w:ascii="宋体" w:hAnsi="宋体" w:cs="宋体"/>
          <w:color w:val="000000" w:themeColor="text1"/>
          <w:sz w:val="24"/>
          <w:highlight w:val="none"/>
          <w:lang w:eastAsia="zh-CN"/>
          <w14:textFill>
            <w14:solidFill>
              <w14:schemeClr w14:val="tx1"/>
            </w14:solidFill>
          </w14:textFill>
        </w:rPr>
        <w:t>网站</w:t>
      </w:r>
      <w:r>
        <w:rPr>
          <w:rFonts w:hint="eastAsia" w:hAnsi="宋体"/>
          <w:color w:val="000000" w:themeColor="text1"/>
          <w:sz w:val="24"/>
          <w:szCs w:val="24"/>
          <w:highlight w:val="none"/>
          <w14:textFill>
            <w14:solidFill>
              <w14:schemeClr w14:val="tx1"/>
            </w14:solidFill>
          </w14:textFill>
        </w:rPr>
        <w:t>上发布，</w:t>
      </w:r>
      <w:r>
        <w:rPr>
          <w:rFonts w:hint="eastAsia" w:hAnsi="宋体" w:cs="宋体"/>
          <w:color w:val="000000" w:themeColor="text1"/>
          <w:kern w:val="0"/>
          <w:sz w:val="24"/>
          <w:szCs w:val="24"/>
          <w:highlight w:val="none"/>
          <w14:textFill>
            <w14:solidFill>
              <w14:schemeClr w14:val="tx1"/>
            </w14:solidFill>
          </w14:textFill>
        </w:rPr>
        <w:t>同时向成交供应商发出成交通知书</w:t>
      </w:r>
      <w:r>
        <w:rPr>
          <w:rFonts w:hint="eastAsia" w:hAnsi="宋体"/>
          <w:color w:val="000000" w:themeColor="text1"/>
          <w:sz w:val="24"/>
          <w:szCs w:val="24"/>
          <w:highlight w:val="none"/>
          <w14:textFill>
            <w14:solidFill>
              <w14:schemeClr w14:val="tx1"/>
            </w14:solidFill>
          </w14:textFill>
        </w:rPr>
        <w:t>。</w:t>
      </w:r>
    </w:p>
    <w:p>
      <w:pPr>
        <w:pStyle w:val="21"/>
        <w:adjustRightInd w:val="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八、履约保证金</w:t>
      </w:r>
    </w:p>
    <w:p>
      <w:pPr>
        <w:tabs>
          <w:tab w:val="left" w:pos="0"/>
        </w:tabs>
        <w:adjustRightInd w:val="0"/>
        <w:spacing w:line="360" w:lineRule="auto"/>
        <w:ind w:firstLine="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25.1拟签订的合同文本要求成交供应商提交履约保证金的，供应商应当以支票、汇票、本票或者金融机构、担保机构出具的保函等非现金形式提交</w:t>
      </w:r>
      <w:r>
        <w:rPr>
          <w:rFonts w:hint="eastAsia" w:ascii="宋体" w:hAnsi="宋体" w:cs="宋体"/>
          <w:color w:val="000000" w:themeColor="text1"/>
          <w:sz w:val="24"/>
          <w:highlight w:val="none"/>
          <w14:textFill>
            <w14:solidFill>
              <w14:schemeClr w14:val="tx1"/>
            </w14:solidFill>
          </w14:textFill>
        </w:rPr>
        <w:t>。履约保证金数额不得超过政府采购合同金额的5%；加大对中小企业发展的扶持力度，对中小企业收取的履约保证金数额不得超过政府采购合同金额的2%。</w:t>
      </w:r>
      <w:r>
        <w:rPr>
          <w:rFonts w:hint="eastAsia" w:ascii="宋体" w:hAnsi="宋体" w:cs="宋体"/>
          <w:color w:val="000000" w:themeColor="text1"/>
          <w:kern w:val="0"/>
          <w:sz w:val="24"/>
          <w:highlight w:val="none"/>
          <w14:textFill>
            <w14:solidFill>
              <w14:schemeClr w14:val="tx1"/>
            </w14:solidFill>
          </w14:textFill>
        </w:rPr>
        <w:t>成交</w:t>
      </w:r>
      <w:r>
        <w:rPr>
          <w:rFonts w:hint="eastAsia" w:ascii="宋体" w:hAnsi="宋体" w:cs="宋体"/>
          <w:color w:val="000000" w:themeColor="text1"/>
          <w:sz w:val="24"/>
          <w:highlight w:val="none"/>
          <w14:textFill>
            <w14:solidFill>
              <w14:schemeClr w14:val="tx1"/>
            </w14:solidFill>
          </w14:textFill>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000000" w:themeColor="text1"/>
          <w:sz w:val="24"/>
          <w:highlight w:val="none"/>
          <w14:textFill>
            <w14:solidFill>
              <w14:schemeClr w14:val="tx1"/>
            </w14:solidFill>
          </w14:textFill>
        </w:rPr>
        <w:t>延迟退还的，应当按照合同约定和法律规定承担相应的赔偿责任</w:t>
      </w:r>
      <w:r>
        <w:rPr>
          <w:rFonts w:hint="eastAsia" w:ascii="宋体" w:hAnsi="宋体" w:cs="宋体"/>
          <w:color w:val="000000" w:themeColor="text1"/>
          <w:sz w:val="24"/>
          <w:highlight w:val="none"/>
          <w14:textFill>
            <w14:solidFill>
              <w14:schemeClr w14:val="tx1"/>
            </w14:solidFill>
          </w14:textFill>
        </w:rPr>
        <w:t>。</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履约保证金</w:t>
      </w:r>
      <w:r>
        <w:rPr>
          <w:rFonts w:hint="eastAsia" w:ascii="宋体" w:hAnsi="宋体" w:cs="宋体"/>
          <w:color w:val="000000" w:themeColor="text1"/>
          <w:sz w:val="24"/>
          <w:highlight w:val="none"/>
          <w14:textFill>
            <w14:solidFill>
              <w14:schemeClr w14:val="tx1"/>
            </w14:solidFill>
          </w14:textFill>
        </w:rPr>
        <w:t>收取银行账户</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pPr>
        <w:adjustRightInd w:val="0"/>
        <w:snapToGrid w:val="0"/>
        <w:spacing w:line="360" w:lineRule="auto"/>
        <w:ind w:firstLine="480" w:firstLineChars="200"/>
        <w:jc w:val="left"/>
        <w:rPr>
          <w:rFonts w:ascii="宋体" w:hAnsi="宋体"/>
          <w:snapToGrid w:val="0"/>
          <w:color w:val="000000" w:themeColor="text1"/>
          <w:kern w:val="0"/>
          <w:sz w:val="24"/>
          <w:szCs w:val="20"/>
          <w:highlight w:val="none"/>
          <w14:textFill>
            <w14:solidFill>
              <w14:schemeClr w14:val="tx1"/>
            </w14:solidFill>
          </w14:textFill>
        </w:rPr>
      </w:pPr>
      <w:r>
        <w:rPr>
          <w:rFonts w:hint="eastAsia" w:ascii="宋体" w:hAnsi="宋体"/>
          <w:snapToGrid w:val="0"/>
          <w:color w:val="000000" w:themeColor="text1"/>
          <w:kern w:val="0"/>
          <w:sz w:val="24"/>
          <w:szCs w:val="20"/>
          <w:highlight w:val="none"/>
          <w14:textFill>
            <w14:solidFill>
              <w14:schemeClr w14:val="tx1"/>
            </w14:solidFill>
          </w14:textFill>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25.3履约保证金的退还。验收合格的政府采购项目，采购人应当按照合同约定的退还方式，在5个工作日内办理履约保证金退还手续。</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九、签订合同</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26.1成交通知书发出后，采购人不得违法改变成交结果，成交供应商无正当理由不得放弃成交，否则，按政府采购采购相关规定处理。</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26.4政府采购合同应当包括采购人与成交供应商的名称和住所、标的、数量、质量、价款或者报酬、履行期限及地点和方式、验收要求、违约责任、解决争议的方法等内容。</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26.5采购人与成交供应商应当根据合同的约定依法履行合同义务。政府采购合同的履行、违约责任和解决争议的方法等适用《中华人民共和国民法典》。</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26.6采购人应当及时对采购项目进行验收。采购人可以邀请参加本项目的其他供应商或者第三方机构参与验收。参与验收的供应商或者第三方机构的意见作为验收书的参考资料一并存档。</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26.7采购人应当加强对成交供应商的履约管理，并按照采购合同约定，及时向成交供应商支付采购资金。对于成交供应商违反采购合同约定的行为，采购人应当及时处理，依法追究其违约责任。</w:t>
      </w:r>
    </w:p>
    <w:p>
      <w:pPr>
        <w:pStyle w:val="87"/>
        <w:snapToGrid w:val="0"/>
        <w:spacing w:before="0"/>
        <w:ind w:firstLine="480"/>
        <w:rPr>
          <w:rFonts w:ascii="宋体" w:hAnsi="宋体" w:cs="宋体"/>
          <w:color w:val="000000" w:themeColor="text1"/>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26.</w:t>
      </w:r>
      <w:r>
        <w:rPr>
          <w:rFonts w:hint="eastAsia" w:ascii="宋体" w:hAnsi="宋体" w:cs="宋体"/>
          <w:color w:val="000000" w:themeColor="text1"/>
          <w:szCs w:val="24"/>
          <w:highlight w:val="none"/>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政采贷</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（四）贷款发放。贷款金融机构根据贷款协议向供应商发放贷款。</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（六）业务终止。贷款偿清后，贷款金融机构或北海市小微企业融资担保有限公司及时办理应收账款质押注销登记，业务终止。</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注：相关合作银行的具体操作流程详见北海市政府采购中心首页“政采贷”板块。</w:t>
      </w:r>
    </w:p>
    <w:p>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snapToGrid w:val="0"/>
        <w:spacing w:line="360" w:lineRule="auto"/>
        <w:ind w:firstLine="480" w:firstLineChars="200"/>
        <w:textAlignment w:val="bottom"/>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1.有贷款需求的供应商可以访问“广西政府采购云平台-金融服务-融资服务”栏目办理有关业务（链接：</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"https://jinrong.gcy.zfcg.gxzf.gov.cn/finance/loan/gx" </w:instrText>
      </w:r>
      <w:r>
        <w:rPr>
          <w:color w:val="000000" w:themeColor="text1"/>
          <w:highlight w:val="none"/>
          <w14:textFill>
            <w14:solidFill>
              <w14:schemeClr w14:val="tx1"/>
            </w14:solidFill>
          </w14:textFill>
        </w:rPr>
        <w:fldChar w:fldCharType="separate"/>
      </w:r>
      <w:r>
        <w:rPr>
          <w:rFonts w:ascii="宋体" w:hAnsi="宋体"/>
          <w:color w:val="000000" w:themeColor="text1"/>
          <w:kern w:val="0"/>
          <w:sz w:val="24"/>
          <w:szCs w:val="20"/>
          <w:highlight w:val="none"/>
          <w14:textFill>
            <w14:solidFill>
              <w14:schemeClr w14:val="tx1"/>
            </w14:solidFill>
          </w14:textFill>
        </w:rPr>
        <w:t>https://jinrong.gcy.zfcg.gxzf.gov.cn/finance/loan/gx</w:t>
      </w:r>
      <w:r>
        <w:rPr>
          <w:rFonts w:ascii="宋体" w:hAnsi="宋体"/>
          <w:color w:val="000000" w:themeColor="text1"/>
          <w:kern w:val="0"/>
          <w:sz w:val="24"/>
          <w:szCs w:val="20"/>
          <w:highlight w:val="none"/>
          <w14:textFill>
            <w14:solidFill>
              <w14:schemeClr w14:val="tx1"/>
            </w14:solidFill>
          </w14:textFill>
        </w:rPr>
        <w:fldChar w:fldCharType="end"/>
      </w:r>
      <w:r>
        <w:rPr>
          <w:rFonts w:hint="eastAsia" w:ascii="宋体" w:hAnsi="宋体"/>
          <w:color w:val="000000" w:themeColor="text1"/>
          <w:kern w:val="0"/>
          <w:sz w:val="24"/>
          <w:szCs w:val="20"/>
          <w:highlight w:val="none"/>
          <w14:textFill>
            <w14:solidFill>
              <w14:schemeClr w14:val="tx1"/>
            </w14:solidFill>
          </w14:textFill>
        </w:rPr>
        <w:t>）</w:t>
      </w:r>
    </w:p>
    <w:p>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银行名称</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联系电话</w:t>
            </w:r>
          </w:p>
        </w:tc>
        <w:tc>
          <w:tcPr>
            <w:tcW w:w="1701"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最高授信金额</w:t>
            </w: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最长授信期限</w:t>
            </w: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最低利率</w:t>
            </w:r>
          </w:p>
        </w:tc>
        <w:tc>
          <w:tcPr>
            <w:tcW w:w="3366"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建设银行</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13077729988</w:t>
            </w:r>
          </w:p>
        </w:tc>
        <w:tc>
          <w:tcPr>
            <w:tcW w:w="1701"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最高3千万</w:t>
            </w: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4%</w:t>
            </w:r>
          </w:p>
        </w:tc>
        <w:tc>
          <w:tcPr>
            <w:tcW w:w="3366"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中国银行</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0779-3997084</w:t>
            </w:r>
          </w:p>
        </w:tc>
        <w:tc>
          <w:tcPr>
            <w:tcW w:w="1701"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3年</w:t>
            </w: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1.93%</w:t>
            </w:r>
          </w:p>
        </w:tc>
        <w:tc>
          <w:tcPr>
            <w:tcW w:w="3366"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兴业银行</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0779-3158330</w:t>
            </w:r>
          </w:p>
        </w:tc>
        <w:tc>
          <w:tcPr>
            <w:tcW w:w="1701"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最高1千万（单笔提款金额达合同金额70%）</w:t>
            </w: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3.70%</w:t>
            </w:r>
          </w:p>
        </w:tc>
        <w:tc>
          <w:tcPr>
            <w:tcW w:w="3366"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工商银行</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0779-3050645</w:t>
            </w:r>
          </w:p>
        </w:tc>
        <w:tc>
          <w:tcPr>
            <w:tcW w:w="1701"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最高1千万且不超过合同金额70%</w:t>
            </w: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货物类1年</w:t>
            </w:r>
          </w:p>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服务类3年</w:t>
            </w:r>
          </w:p>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工程类5年</w:t>
            </w: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国民村镇银行</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0779-2668801</w:t>
            </w:r>
          </w:p>
        </w:tc>
        <w:tc>
          <w:tcPr>
            <w:tcW w:w="1701"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最高500万</w:t>
            </w: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5年</w:t>
            </w: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2.80%</w:t>
            </w:r>
          </w:p>
        </w:tc>
        <w:tc>
          <w:tcPr>
            <w:tcW w:w="3366"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桂林银行</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18577993959</w:t>
            </w:r>
          </w:p>
        </w:tc>
        <w:tc>
          <w:tcPr>
            <w:tcW w:w="1701"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中小微商务服务公司</w:t>
            </w:r>
          </w:p>
        </w:tc>
        <w:tc>
          <w:tcPr>
            <w:tcW w:w="1134"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19907799988</w:t>
            </w:r>
          </w:p>
        </w:tc>
        <w:tc>
          <w:tcPr>
            <w:tcW w:w="1701"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p>
        </w:tc>
        <w:tc>
          <w:tcPr>
            <w:tcW w:w="993"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850" w:type="dxa"/>
            <w:shd w:val="clear" w:color="auto" w:fill="auto"/>
            <w:vAlign w:val="center"/>
          </w:tcPr>
          <w:p>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3366" w:type="dxa"/>
            <w:shd w:val="clear" w:color="auto" w:fill="auto"/>
            <w:vAlign w:val="center"/>
          </w:tcPr>
          <w:p>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具体业务可电话咨询。</w:t>
            </w:r>
          </w:p>
        </w:tc>
      </w:tr>
    </w:tbl>
    <w:p>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注：表中授信金额、授信期限、最低利率可能动态更新，仅供参考，具体以办理时相关银行公布的为准。</w:t>
      </w:r>
    </w:p>
    <w:p>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26.9预付款</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采购单位应当在政府采购合同中约定预付款，对中小企业合同预付款比例原则上不低于合同金额的3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0%；项目分年安排预算的，每年预付款比例</w:t>
      </w:r>
      <w:r>
        <w:rPr>
          <w:rFonts w:hint="eastAsia" w:ascii="宋体" w:hAnsi="宋体"/>
          <w:color w:val="000000" w:themeColor="text1"/>
          <w:sz w:val="24"/>
          <w:highlight w:val="none"/>
          <w14:textFill>
            <w14:solidFill>
              <w14:schemeClr w14:val="tx1"/>
            </w14:solidFill>
          </w14:textFill>
        </w:rPr>
        <w:t>不低于</w:t>
      </w:r>
      <w:r>
        <w:rPr>
          <w:rFonts w:ascii="宋体" w:hAnsi="宋体"/>
          <w:color w:val="000000" w:themeColor="text1"/>
          <w:sz w:val="24"/>
          <w:highlight w:val="none"/>
          <w14:textFill>
            <w14:solidFill>
              <w14:schemeClr w14:val="tx1"/>
            </w14:solidFill>
          </w14:textFill>
        </w:rPr>
        <w:t>项目年度计划支付资金额的</w:t>
      </w: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0%；采购项目实施以人工投入为主的，</w:t>
      </w:r>
      <w:r>
        <w:rPr>
          <w:rFonts w:hint="eastAsia" w:ascii="宋体" w:hAnsi="宋体"/>
          <w:color w:val="000000" w:themeColor="text1"/>
          <w:sz w:val="24"/>
          <w:highlight w:val="none"/>
          <w14:textFill>
            <w14:solidFill>
              <w14:schemeClr w14:val="tx1"/>
            </w14:solidFill>
          </w14:textFill>
        </w:rPr>
        <w:t>可适当降低预付款比例，但不得低于1</w:t>
      </w:r>
      <w:r>
        <w:rPr>
          <w:rFonts w:ascii="宋体" w:hAnsi="宋体"/>
          <w:color w:val="000000" w:themeColor="text1"/>
          <w:sz w:val="24"/>
          <w:highlight w:val="none"/>
          <w14:textFill>
            <w14:solidFill>
              <w14:schemeClr w14:val="tx1"/>
            </w14:solidFill>
          </w14:textFill>
        </w:rPr>
        <w:t>0%。对供应商为大型企业的项目或者以人工投入为主且实行按月定期结算支付款项的项目，预付款可低于上述比例或者不约定预付款。在签订合同时，</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明确表示无需预付款或者主动要求降低预付款比例的，</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可不适用前述规定。</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根据项目特点、供应商诚信等因素，可以要求</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提交银行、保险公司等金融机构出具的预付款保函或其他担保措施。政府采购预付款应在合同生效以及具备实施条件后</w:t>
      </w:r>
      <w:r>
        <w:rPr>
          <w:rFonts w:hint="eastAsia" w:ascii="宋体" w:hAnsi="宋体"/>
          <w:color w:val="000000" w:themeColor="text1"/>
          <w:sz w:val="24"/>
          <w:highlight w:val="none"/>
          <w14:textFill>
            <w14:solidFill>
              <w14:schemeClr w14:val="tx1"/>
            </w14:solidFill>
          </w14:textFill>
        </w:rPr>
        <w:t>5</w:t>
      </w:r>
      <w:r>
        <w:rPr>
          <w:rFonts w:ascii="宋体" w:hAnsi="宋体"/>
          <w:color w:val="000000" w:themeColor="text1"/>
          <w:sz w:val="24"/>
          <w:highlight w:val="none"/>
          <w14:textFill>
            <w14:solidFill>
              <w14:schemeClr w14:val="tx1"/>
            </w14:solidFill>
          </w14:textFill>
        </w:rPr>
        <w:t>个工作日内支付。</w:t>
      </w:r>
      <w:r>
        <w:rPr>
          <w:rFonts w:hint="eastAsia" w:ascii="宋体" w:hAnsi="宋体"/>
          <w:color w:val="000000" w:themeColor="text1"/>
          <w:sz w:val="24"/>
          <w:highlight w:val="none"/>
          <w14:textFill>
            <w14:solidFill>
              <w14:schemeClr w14:val="tx1"/>
            </w14:solidFill>
          </w14:textFill>
        </w:rPr>
        <w:t>政府采购工程以及与工程建设有关的货物、服务，采用招标方式采购的，预付款从其相关规定。</w:t>
      </w:r>
    </w:p>
    <w:p>
      <w:pPr>
        <w:tabs>
          <w:tab w:val="left" w:pos="0"/>
        </w:tabs>
        <w:adjustRightInd w:val="0"/>
        <w:spacing w:line="360" w:lineRule="auto"/>
        <w:ind w:firstLine="480" w:firstLineChars="200"/>
        <w:rPr>
          <w:rFonts w:ascii="宋体" w:hAnsi="宋体" w:cs="宋体"/>
          <w:snapToGrid w:val="0"/>
          <w:color w:val="000000" w:themeColor="text1"/>
          <w:kern w:val="28"/>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供应商可登录广西政府采购云平台前台大厅选择金融服务</w:t>
      </w:r>
      <w:r>
        <w:rPr>
          <w:rFonts w:ascii="宋体" w:hAnsi="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highlight w:val="none"/>
          <w14:textFill>
            <w14:solidFill>
              <w14:schemeClr w14:val="tx1"/>
            </w14:solidFill>
          </w14:textFill>
        </w:rPr>
        <w:t>/保函受理—确认保单—支付保费—成功出单。广西政府采购云平台</w:t>
      </w:r>
      <w:r>
        <w:rPr>
          <w:rFonts w:hint="eastAsia" w:ascii="宋体" w:hAnsi="宋体"/>
          <w:color w:val="000000" w:themeColor="text1"/>
          <w:sz w:val="24"/>
          <w:highlight w:val="none"/>
          <w14:textFill>
            <w14:solidFill>
              <w14:schemeClr w14:val="tx1"/>
            </w14:solidFill>
          </w14:textFill>
        </w:rPr>
        <w:t>金融专线</w:t>
      </w:r>
      <w:r>
        <w:rPr>
          <w:rFonts w:ascii="宋体" w:hAnsi="宋体"/>
          <w:color w:val="000000" w:themeColor="text1"/>
          <w:sz w:val="24"/>
          <w:highlight w:val="none"/>
          <w14:textFill>
            <w14:solidFill>
              <w14:schemeClr w14:val="tx1"/>
            </w14:solidFill>
          </w14:textFill>
        </w:rPr>
        <w:t>400-903-9583。</w:t>
      </w:r>
    </w:p>
    <w:p>
      <w:pPr>
        <w:numPr>
          <w:ilvl w:val="0"/>
          <w:numId w:val="3"/>
        </w:num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转包与分包</w:t>
      </w:r>
    </w:p>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27.1本项目不允许转包。</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rPr>
        <w:t>27.2本项目是否允许分包详见“供应商须知前附表”，本项目不允许违法分包。允许分包的非主体、非关键性工作，根</w:t>
      </w:r>
      <w:r>
        <w:rPr>
          <w:rFonts w:hint="eastAsia" w:ascii="宋体" w:hAnsi="宋体" w:cs="宋体"/>
          <w:color w:val="000000" w:themeColor="text1"/>
          <w:sz w:val="24"/>
          <w:highlight w:val="none"/>
          <w14:textFill>
            <w14:solidFill>
              <w14:schemeClr w14:val="tx1"/>
            </w14:solidFill>
          </w14:textFill>
        </w:rPr>
        <w:t>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pPr>
        <w:widowControl/>
        <w:kinsoku w:val="0"/>
        <w:autoSpaceDE w:val="0"/>
        <w:autoSpaceDN w:val="0"/>
        <w:adjustRightInd w:val="0"/>
        <w:snapToGrid w:val="0"/>
        <w:spacing w:line="360" w:lineRule="auto"/>
        <w:ind w:firstLine="480" w:firstLineChars="200"/>
        <w:textAlignment w:val="baseline"/>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27.3供应商根据谈判文件的规定和采购项目的实际情况，拟在成交后将成交项目的非主体、非关键性工作分包的，应当在响应文件中载明分包承担主体，分包承担主体应当具备相应资质条件且不得再次分包。</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十一、补充合同</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十二、合同公告</w:t>
      </w:r>
    </w:p>
    <w:p>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十三、适用法律</w:t>
      </w:r>
    </w:p>
    <w:p>
      <w:pPr>
        <w:adjustRightInd w:val="0"/>
        <w:snapToGrid w:val="0"/>
        <w:spacing w:line="360" w:lineRule="auto"/>
        <w:ind w:firstLine="484" w:firstLineChars="20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30.1采购当事人的一切活动均适用于《中华人民共和国政府采购法》及相关规定。最终谈判结束后，谈判小组不得再与供应商进行任何形式的谈判。</w:t>
      </w:r>
    </w:p>
    <w:p>
      <w:pPr>
        <w:pStyle w:val="21"/>
        <w:snapToGrid w:val="0"/>
        <w:spacing w:line="360" w:lineRule="auto"/>
        <w:ind w:firstLine="482" w:firstLineChars="200"/>
        <w:rPr>
          <w:rFonts w:hAnsi="宋体" w:cs="宋体"/>
          <w:b/>
          <w:bCs/>
          <w:color w:val="000000" w:themeColor="text1"/>
          <w:kern w:val="0"/>
          <w:sz w:val="24"/>
          <w:szCs w:val="24"/>
          <w:highlight w:val="none"/>
          <w14:textFill>
            <w14:solidFill>
              <w14:schemeClr w14:val="tx1"/>
            </w14:solidFill>
          </w14:textFill>
        </w:rPr>
      </w:pPr>
      <w:r>
        <w:rPr>
          <w:rFonts w:hAnsi="宋体"/>
          <w:b/>
          <w:color w:val="000000" w:themeColor="text1"/>
          <w:kern w:val="0"/>
          <w:sz w:val="24"/>
          <w:szCs w:val="24"/>
          <w:highlight w:val="none"/>
          <w14:textFill>
            <w14:solidFill>
              <w14:schemeClr w14:val="tx1"/>
            </w14:solidFill>
          </w14:textFill>
        </w:rPr>
        <w:t>十</w:t>
      </w:r>
      <w:r>
        <w:rPr>
          <w:rFonts w:hint="eastAsia" w:hAnsi="宋体"/>
          <w:b/>
          <w:color w:val="000000" w:themeColor="text1"/>
          <w:kern w:val="0"/>
          <w:sz w:val="24"/>
          <w:szCs w:val="24"/>
          <w:highlight w:val="none"/>
          <w14:textFill>
            <w14:solidFill>
              <w14:schemeClr w14:val="tx1"/>
            </w14:solidFill>
          </w14:textFill>
        </w:rPr>
        <w:t>四</w:t>
      </w:r>
      <w:r>
        <w:rPr>
          <w:rFonts w:hAnsi="宋体"/>
          <w:b/>
          <w:color w:val="000000" w:themeColor="text1"/>
          <w:kern w:val="0"/>
          <w:sz w:val="24"/>
          <w:szCs w:val="24"/>
          <w:highlight w:val="none"/>
          <w14:textFill>
            <w14:solidFill>
              <w14:schemeClr w14:val="tx1"/>
            </w14:solidFill>
          </w14:textFill>
        </w:rPr>
        <w:t>、</w:t>
      </w:r>
      <w:r>
        <w:rPr>
          <w:rFonts w:hint="eastAsia" w:hAnsi="宋体" w:cs="宋体"/>
          <w:b/>
          <w:color w:val="000000" w:themeColor="text1"/>
          <w:kern w:val="0"/>
          <w:sz w:val="24"/>
          <w:szCs w:val="24"/>
          <w:highlight w:val="none"/>
          <w14:textFill>
            <w14:solidFill>
              <w14:schemeClr w14:val="tx1"/>
            </w14:solidFill>
          </w14:textFill>
        </w:rPr>
        <w:t>询问、质疑和投诉</w:t>
      </w:r>
    </w:p>
    <w:p>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供应商</w:t>
      </w:r>
      <w:r>
        <w:rPr>
          <w:rFonts w:hint="eastAsia" w:ascii="宋体" w:hAnsi="宋体" w:cs="宋体"/>
          <w:color w:val="000000" w:themeColor="text1"/>
          <w:kern w:val="0"/>
          <w:sz w:val="24"/>
          <w:highlight w:val="none"/>
          <w14:textFill>
            <w14:solidFill>
              <w14:schemeClr w14:val="tx1"/>
            </w14:solidFill>
          </w14:textFill>
        </w:rPr>
        <w:t>对政府采购活动事项有疑问的，可以向采购人、采购代理机构提出询问。</w:t>
      </w:r>
    </w:p>
    <w:p>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2供应商认为采购文件、采购过程或成交结果使自己的合法权益受到损害的，应当在知道或者应知其权益受到损害之日起七个工作日内，以书面形式向采购人、采购代理机构提出质疑。具体计算时间如下：</w:t>
      </w:r>
    </w:p>
    <w:p>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（1）对可以质疑的采购文件提出质疑的，为收到采购文件之日；</w:t>
      </w:r>
    </w:p>
    <w:p>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（2）对采购过程提出质疑的，为各采购程序环节结束之日；</w:t>
      </w:r>
    </w:p>
    <w:p>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（3）对成交结果提出质疑的，为成交结果公告期限届满之日。供应商对采购单位的质疑答复不满意或者采购单位未在规定时间内作出答复的，可以在答复期满后十五个工作日内向同级采购监管部门投诉。</w:t>
      </w:r>
    </w:p>
    <w:p>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3质疑、投诉应当采用书面形式，质疑书、投诉书均应明确阐述采购文件、采购过程、成交结果中使自己合法权益受到损害的实质性内容，提供相关事实、明确的请求、必要的证明材料，便于有关单位调查、答复和处理。</w:t>
      </w:r>
    </w:p>
    <w:p>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31.4对同一采购程序环节的质疑，供应商须一次性提出。</w:t>
      </w:r>
    </w:p>
    <w:p>
      <w:pPr>
        <w:adjustRightInd w:val="0"/>
        <w:spacing w:line="360" w:lineRule="auto"/>
        <w:ind w:firstLine="482" w:firstLineChars="200"/>
        <w:rPr>
          <w:rFonts w:ascii="宋体" w:hAnsi="宋体"/>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31.5质疑答复</w:t>
      </w:r>
    </w:p>
    <w:p>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31.5.1根据采购人与采购代理机构签订采购委托协议的规定，质疑答复责任主体如下：</w:t>
      </w:r>
    </w:p>
    <w:p>
      <w:pPr>
        <w:widowControl/>
        <w:spacing w:line="360" w:lineRule="auto"/>
        <w:ind w:firstLine="20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质疑内容</w:t>
            </w:r>
          </w:p>
        </w:tc>
        <w:tc>
          <w:tcPr>
            <w:tcW w:w="2232" w:type="dxa"/>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对采购文件提出质疑</w:t>
            </w:r>
          </w:p>
        </w:tc>
        <w:tc>
          <w:tcPr>
            <w:tcW w:w="4536" w:type="dxa"/>
            <w:shd w:val="clear" w:color="auto" w:fill="auto"/>
            <w:vAlign w:val="center"/>
          </w:tcPr>
          <w:p>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对采购文件中特定资格条件、采购需求、评审办法、评审标准提出的质疑</w:t>
            </w:r>
          </w:p>
        </w:tc>
        <w:tc>
          <w:tcPr>
            <w:tcW w:w="2232" w:type="dxa"/>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对采购文件中其他内容提出的质疑</w:t>
            </w:r>
          </w:p>
        </w:tc>
        <w:tc>
          <w:tcPr>
            <w:tcW w:w="2232" w:type="dxa"/>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对采购过程提出质疑</w:t>
            </w:r>
          </w:p>
        </w:tc>
        <w:tc>
          <w:tcPr>
            <w:tcW w:w="4536" w:type="dxa"/>
            <w:shd w:val="clear" w:color="auto" w:fill="auto"/>
            <w:vAlign w:val="center"/>
          </w:tcPr>
          <w:p>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有关现场考察或开启响应文件前答疑会事项提出的质疑</w:t>
            </w:r>
          </w:p>
        </w:tc>
        <w:tc>
          <w:tcPr>
            <w:tcW w:w="2232" w:type="dxa"/>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对采购过程中其它事项提出的质疑</w:t>
            </w:r>
          </w:p>
        </w:tc>
        <w:tc>
          <w:tcPr>
            <w:tcW w:w="2232" w:type="dxa"/>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对采购结果提出质疑</w:t>
            </w:r>
          </w:p>
        </w:tc>
        <w:tc>
          <w:tcPr>
            <w:tcW w:w="4536" w:type="dxa"/>
            <w:shd w:val="clear" w:color="auto" w:fill="auto"/>
            <w:vAlign w:val="center"/>
          </w:tcPr>
          <w:p>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对采购结果提出的质疑</w:t>
            </w:r>
          </w:p>
        </w:tc>
        <w:tc>
          <w:tcPr>
            <w:tcW w:w="2232" w:type="dxa"/>
            <w:shd w:val="clear" w:color="auto" w:fill="auto"/>
            <w:vAlign w:val="center"/>
          </w:tcPr>
          <w:p>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bl>
    <w:p>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注：采购人或代理机构应当协助质疑答复责任主体及时答复供应商的书面质疑。</w:t>
      </w:r>
    </w:p>
    <w:p>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31.5.3询问或者质疑事项可能影响采购结果的，采购人应当暂停签订合同，已经签订合同的，应当中止履行合同。</w:t>
      </w:r>
    </w:p>
    <w:p>
      <w:pPr>
        <w:spacing w:line="360" w:lineRule="auto"/>
        <w:ind w:firstLine="480" w:firstLineChars="20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31.5.4</w:t>
      </w:r>
      <w:r>
        <w:rPr>
          <w:rFonts w:hint="eastAsia" w:ascii="宋体" w:hAnsi="宋体"/>
          <w:color w:val="000000" w:themeColor="text1"/>
          <w:sz w:val="24"/>
          <w:highlight w:val="none"/>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询问联系部门：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pPr>
        <w:pStyle w:val="90"/>
        <w:ind w:left="248" w:leftChars="114" w:hanging="9" w:hangingChars="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投诉联系部门：</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0779-</w:t>
      </w:r>
      <w:r>
        <w:rPr>
          <w:rFonts w:hint="eastAsia"/>
          <w:bCs/>
          <w:color w:val="000000" w:themeColor="text1"/>
          <w:sz w:val="24"/>
          <w:szCs w:val="24"/>
          <w:highlight w:val="none"/>
          <w:lang w:eastAsia="zh-CN"/>
          <w14:textFill>
            <w14:solidFill>
              <w14:schemeClr w14:val="tx1"/>
            </w14:solidFill>
          </w14:textFill>
        </w:rPr>
        <w:t>7200908</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联系人：</w:t>
      </w:r>
      <w:r>
        <w:rPr>
          <w:rFonts w:hint="eastAsia"/>
          <w:color w:val="000000" w:themeColor="text1"/>
          <w:highlight w:val="none"/>
          <w:lang w:eastAsia="zh-CN"/>
          <w14:textFill>
            <w14:solidFill>
              <w14:schemeClr w14:val="tx1"/>
            </w14:solidFill>
          </w14:textFill>
        </w:rPr>
        <w:t>郭股长</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财政局三楼</w:t>
      </w:r>
      <w:r>
        <w:rPr>
          <w:rFonts w:hint="eastAsia" w:hAnsi="宋体"/>
          <w:bCs/>
          <w:color w:val="000000" w:themeColor="text1"/>
          <w:sz w:val="24"/>
          <w:szCs w:val="24"/>
          <w:highlight w:val="none"/>
          <w14:textFill>
            <w14:solidFill>
              <w14:schemeClr w14:val="tx1"/>
            </w14:solidFill>
          </w14:textFill>
        </w:rPr>
        <w:t xml:space="preserve">  </w:t>
      </w:r>
    </w:p>
    <w:p>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十五、其他事项</w:t>
      </w:r>
    </w:p>
    <w:p>
      <w:pPr>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w:t>
      </w:r>
      <w:r>
        <w:rPr>
          <w:rFonts w:hint="eastAsia" w:ascii="宋体" w:hAnsi="宋体" w:cs="宋体"/>
          <w:b/>
          <w:color w:val="000000" w:themeColor="text1"/>
          <w:sz w:val="24"/>
          <w:highlight w:val="none"/>
          <w14:textFill>
            <w14:solidFill>
              <w14:schemeClr w14:val="tx1"/>
            </w14:solidFill>
          </w14:textFill>
        </w:rPr>
        <w:t>代理费用的收取标准和方式（适用于有权收取代理费用的采购代理机构）</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32.1采购代理费支付方式：</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本项目代理服务费由成交供应商一次性向采购代理机构支付。</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32.2采购代理费收取标准：</w:t>
      </w:r>
    </w:p>
    <w:p>
      <w:pPr>
        <w:adjustRightInd w:val="0"/>
        <w:snapToGrid w:val="0"/>
        <w:spacing w:line="360" w:lineRule="auto"/>
        <w:ind w:firstLine="480" w:firstLineChars="20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以分标（</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□采购预算</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□暂定成交金额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□其他</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）为计费额，按代理服务收费标准（□货物类</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□服务类</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工程类）采用差额定率累进法计算出收费基准价格，采购代理收费以（□收费基准价格</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收费基准价格下浮</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40</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□收费基准价格上浮</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）收取。</w:t>
      </w:r>
      <w:r>
        <w:rPr>
          <w:rFonts w:hint="eastAsia" w:ascii="宋体" w:hAnsi="宋体" w:cs="宋体"/>
          <w:color w:val="000000" w:themeColor="text1"/>
          <w:sz w:val="24"/>
          <w:highlight w:val="none"/>
          <w:lang w:eastAsia="zh-CN"/>
          <w14:textFill>
            <w14:solidFill>
              <w14:schemeClr w14:val="tx1"/>
            </w14:solidFill>
          </w14:textFill>
        </w:rPr>
        <w:t>按此收费标准不足三千元的，按照三千元收取。</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□固定采购代理收费。</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32.3采购代理费收取银行账户</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开户名称：</w:t>
      </w:r>
      <w:r>
        <w:rPr>
          <w:rFonts w:hint="eastAsia" w:ascii="宋体" w:hAnsi="宋体" w:cs="Arial"/>
          <w:kern w:val="2"/>
          <w:sz w:val="24"/>
          <w:szCs w:val="24"/>
          <w:highlight w:val="none"/>
          <w:lang w:val="en-US" w:eastAsia="zh-CN" w:bidi="ar-SA"/>
        </w:rPr>
        <w:t>广西璟华工程管理有限公司</w:t>
      </w:r>
      <w:r>
        <w:rPr>
          <w:rFonts w:hint="eastAsia" w:ascii="宋体" w:hAnsi="宋体" w:cs="宋体"/>
          <w:color w:val="000000" w:themeColor="text1"/>
          <w:sz w:val="24"/>
          <w:highlight w:val="none"/>
          <w14:textFill>
            <w14:solidFill>
              <w14:schemeClr w14:val="tx1"/>
            </w14:solidFill>
          </w14:textFill>
        </w:rPr>
        <w:t xml:space="preserve"> </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开户银行：桂林银行股份有限公司北海工业园区支行 </w:t>
      </w:r>
    </w:p>
    <w:p>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r>
        <w:rPr>
          <w:rFonts w:hint="eastAsia" w:ascii="宋体" w:hAnsi="宋体" w:cs="宋体"/>
          <w:color w:val="000000" w:themeColor="text1"/>
          <w:sz w:val="24"/>
          <w:highlight w:val="none"/>
          <w:lang w:val="en-US" w:eastAsia="zh-CN"/>
          <w14:textFill>
            <w14:solidFill>
              <w14:schemeClr w14:val="tx1"/>
            </w14:solidFill>
          </w14:textFill>
        </w:rPr>
        <w:t>660000017037300014</w:t>
      </w:r>
    </w:p>
    <w:p>
      <w:pPr>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32.4代理服务收费标准：按照桂建标(2018)37号招标代理费取费标准计算收费标准</w:t>
      </w:r>
      <w:r>
        <w:rPr>
          <w:rFonts w:hint="eastAsia" w:ascii="宋体" w:hAnsi="宋体" w:cs="宋体"/>
          <w:bCs/>
          <w:color w:val="000000" w:themeColor="text1"/>
          <w:sz w:val="24"/>
          <w:highlight w:val="none"/>
          <w:lang w:val="en-US" w:eastAsia="zh-CN"/>
          <w14:textFill>
            <w14:solidFill>
              <w14:schemeClr w14:val="tx1"/>
            </w14:solidFill>
          </w14:textFill>
        </w:rPr>
        <w:t>6</w:t>
      </w:r>
      <w:r>
        <w:rPr>
          <w:rFonts w:hint="eastAsia" w:ascii="宋体" w:hAnsi="宋体" w:cs="宋体"/>
          <w:bCs/>
          <w:color w:val="000000" w:themeColor="text1"/>
          <w:sz w:val="24"/>
          <w:highlight w:val="none"/>
          <w14:textFill>
            <w14:solidFill>
              <w14:schemeClr w14:val="tx1"/>
            </w14:solidFill>
          </w14:textFill>
        </w:rPr>
        <w:t>折。</w:t>
      </w:r>
    </w:p>
    <w:p>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w:t>
      </w:r>
      <w:r>
        <w:rPr>
          <w:rFonts w:ascii="宋体" w:hAnsi="宋体"/>
          <w:b/>
          <w:color w:val="000000" w:themeColor="text1"/>
          <w:sz w:val="24"/>
          <w:highlight w:val="none"/>
          <w14:textFill>
            <w14:solidFill>
              <w14:schemeClr w14:val="tx1"/>
            </w14:solidFill>
          </w14:textFill>
        </w:rPr>
        <w:t>解释权</w:t>
      </w:r>
    </w:p>
    <w:p>
      <w:pPr>
        <w:pStyle w:val="21"/>
        <w:adjustRightInd w:val="0"/>
        <w:snapToGrid w:val="0"/>
        <w:spacing w:line="360" w:lineRule="auto"/>
        <w:ind w:firstLine="464" w:firstLineChars="200"/>
        <w:rPr>
          <w:rFonts w:hAnsi="宋体"/>
          <w:color w:val="000000" w:themeColor="text1"/>
          <w:spacing w:val="-4"/>
          <w:sz w:val="24"/>
          <w:szCs w:val="24"/>
          <w:highlight w:val="none"/>
          <w14:textFill>
            <w14:solidFill>
              <w14:schemeClr w14:val="tx1"/>
            </w14:solidFill>
          </w14:textFill>
        </w:rPr>
      </w:pPr>
      <w:r>
        <w:rPr>
          <w:rFonts w:hint="eastAsia" w:hAnsi="宋体"/>
          <w:color w:val="000000" w:themeColor="text1"/>
          <w:spacing w:val="-4"/>
          <w:sz w:val="24"/>
          <w:szCs w:val="24"/>
          <w:highlight w:val="none"/>
          <w14:textFill>
            <w14:solidFill>
              <w14:schemeClr w14:val="tx1"/>
            </w14:solidFill>
          </w14:textFill>
        </w:rPr>
        <w:t>本竞争性</w:t>
      </w:r>
      <w:r>
        <w:rPr>
          <w:rFonts w:hint="eastAsia" w:hAnsi="宋体"/>
          <w:color w:val="000000" w:themeColor="text1"/>
          <w:spacing w:val="-4"/>
          <w:sz w:val="24"/>
          <w:szCs w:val="24"/>
          <w:highlight w:val="none"/>
          <w:lang w:eastAsia="zh-CN"/>
          <w14:textFill>
            <w14:solidFill>
              <w14:schemeClr w14:val="tx1"/>
            </w14:solidFill>
          </w14:textFill>
        </w:rPr>
        <w:t>谈判</w:t>
      </w:r>
      <w:r>
        <w:rPr>
          <w:rFonts w:hint="eastAsia" w:hAnsi="宋体"/>
          <w:color w:val="000000" w:themeColor="text1"/>
          <w:spacing w:val="-4"/>
          <w:sz w:val="24"/>
          <w:szCs w:val="24"/>
          <w:highlight w:val="none"/>
          <w14:textFill>
            <w14:solidFill>
              <w14:schemeClr w14:val="tx1"/>
            </w14:solidFill>
          </w14:textFill>
        </w:rPr>
        <w:t>文件解释权属采购人及本代理机构。</w:t>
      </w:r>
    </w:p>
    <w:p>
      <w:pPr>
        <w:pStyle w:val="21"/>
        <w:spacing w:line="360" w:lineRule="auto"/>
        <w:ind w:firstLine="482" w:firstLineChars="200"/>
        <w:rPr>
          <w:rFonts w:hAnsi="宋体" w:cs="Times New Roman"/>
          <w:b/>
          <w:color w:val="000000" w:themeColor="text1"/>
          <w:sz w:val="24"/>
          <w:szCs w:val="24"/>
          <w:highlight w:val="none"/>
          <w14:textFill>
            <w14:solidFill>
              <w14:schemeClr w14:val="tx1"/>
            </w14:solidFill>
          </w14:textFill>
        </w:rPr>
      </w:pPr>
      <w:r>
        <w:rPr>
          <w:rFonts w:hint="eastAsia" w:hAnsi="宋体" w:cs="Times New Roman"/>
          <w:b/>
          <w:color w:val="000000" w:themeColor="text1"/>
          <w:sz w:val="24"/>
          <w:szCs w:val="24"/>
          <w:highlight w:val="none"/>
          <w14:textFill>
            <w14:solidFill>
              <w14:schemeClr w14:val="tx1"/>
            </w14:solidFill>
          </w14:textFill>
        </w:rPr>
        <w:t>34</w:t>
      </w:r>
      <w:r>
        <w:rPr>
          <w:rFonts w:hAnsi="宋体" w:cs="Times New Roman"/>
          <w:b/>
          <w:color w:val="000000" w:themeColor="text1"/>
          <w:sz w:val="24"/>
          <w:szCs w:val="24"/>
          <w:highlight w:val="none"/>
          <w14:textFill>
            <w14:solidFill>
              <w14:schemeClr w14:val="tx1"/>
            </w14:solidFill>
          </w14:textFill>
        </w:rPr>
        <w:t>有关事宜</w:t>
      </w:r>
    </w:p>
    <w:p>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所有与本</w:t>
      </w:r>
      <w:r>
        <w:rPr>
          <w:rFonts w:hint="eastAsia" w:hAnsi="宋体" w:cs="Times New Roman"/>
          <w:color w:val="000000" w:themeColor="text1"/>
          <w:kern w:val="0"/>
          <w:sz w:val="24"/>
          <w:szCs w:val="24"/>
          <w:highlight w:val="none"/>
          <w:lang w:eastAsia="zh-CN"/>
          <w14:textFill>
            <w14:solidFill>
              <w14:schemeClr w14:val="tx1"/>
            </w14:solidFill>
          </w14:textFill>
        </w:rPr>
        <w:t>谈判</w:t>
      </w:r>
      <w:r>
        <w:rPr>
          <w:rFonts w:hAnsi="宋体" w:cs="Times New Roman"/>
          <w:color w:val="000000" w:themeColor="text1"/>
          <w:kern w:val="0"/>
          <w:sz w:val="24"/>
          <w:szCs w:val="24"/>
          <w:highlight w:val="none"/>
          <w14:textFill>
            <w14:solidFill>
              <w14:schemeClr w14:val="tx1"/>
            </w14:solidFill>
          </w14:textFill>
        </w:rPr>
        <w:t>文件有关的函件请按下列通讯地址联系：</w:t>
      </w:r>
    </w:p>
    <w:p>
      <w:pPr>
        <w:pStyle w:val="21"/>
        <w:spacing w:line="360" w:lineRule="auto"/>
        <w:ind w:firstLine="480" w:firstLineChars="200"/>
        <w:rPr>
          <w:rFonts w:hint="eastAsia" w:hAnsi="宋体" w:eastAsia="宋体" w:cs="Times New Roman"/>
          <w:color w:val="000000" w:themeColor="text1"/>
          <w:kern w:val="0"/>
          <w:sz w:val="24"/>
          <w:szCs w:val="24"/>
          <w:highlight w:val="none"/>
          <w:lang w:eastAsia="zh-CN"/>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单位全称：</w:t>
      </w:r>
      <w:r>
        <w:rPr>
          <w:rFonts w:hint="eastAsia" w:hAnsi="宋体" w:cs="Times New Roman"/>
          <w:color w:val="000000" w:themeColor="text1"/>
          <w:kern w:val="0"/>
          <w:sz w:val="24"/>
          <w:szCs w:val="24"/>
          <w:highlight w:val="none"/>
          <w:lang w:eastAsia="zh-CN"/>
          <w14:textFill>
            <w14:solidFill>
              <w14:schemeClr w14:val="tx1"/>
            </w14:solidFill>
          </w14:textFill>
        </w:rPr>
        <w:t>广西璟华工程管理有限公司</w:t>
      </w:r>
    </w:p>
    <w:p>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通讯地址：</w:t>
      </w:r>
      <w:r>
        <w:rPr>
          <w:rFonts w:hint="eastAsia" w:hAnsi="宋体" w:cs="Times New Roman"/>
          <w:color w:val="000000" w:themeColor="text1"/>
          <w:kern w:val="0"/>
          <w:sz w:val="24"/>
          <w:szCs w:val="24"/>
          <w:highlight w:val="none"/>
          <w:lang w:eastAsia="zh-CN"/>
          <w14:textFill>
            <w14:solidFill>
              <w14:schemeClr w14:val="tx1"/>
            </w14:solidFill>
          </w14:textFill>
        </w:rPr>
        <w:t>北海市合浦县文昌新城二幢9号楼</w:t>
      </w:r>
    </w:p>
    <w:p>
      <w:pPr>
        <w:pStyle w:val="17"/>
        <w:ind w:firstLine="480" w:firstLineChars="200"/>
        <w:rPr>
          <w:color w:val="000000" w:themeColor="text1"/>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电    话：</w:t>
      </w:r>
      <w:r>
        <w:rPr>
          <w:rFonts w:hint="eastAsia" w:hAnsi="宋体" w:cs="Times New Roman"/>
          <w:color w:val="000000" w:themeColor="text1"/>
          <w:kern w:val="0"/>
          <w:sz w:val="24"/>
          <w:szCs w:val="24"/>
          <w:highlight w:val="none"/>
          <w:lang w:val="en-US" w:eastAsia="zh-CN"/>
          <w14:textFill>
            <w14:solidFill>
              <w14:schemeClr w14:val="tx1"/>
            </w14:solidFill>
          </w14:textFill>
        </w:rPr>
        <w:t>0779-7103168</w:t>
      </w:r>
      <w:r>
        <w:rPr>
          <w:rFonts w:hAnsi="宋体" w:cs="Times New Roman"/>
          <w:color w:val="000000" w:themeColor="text1"/>
          <w:kern w:val="0"/>
          <w:sz w:val="24"/>
          <w:szCs w:val="24"/>
          <w:highlight w:val="none"/>
          <w14:textFill>
            <w14:solidFill>
              <w14:schemeClr w14:val="tx1"/>
            </w14:solidFill>
          </w14:textFill>
        </w:rPr>
        <w:t xml:space="preserve">   联 系 人</w:t>
      </w:r>
      <w:r>
        <w:rPr>
          <w:rFonts w:hint="eastAsia" w:hAnsi="宋体" w:cs="Times New Roman"/>
          <w:color w:val="000000" w:themeColor="text1"/>
          <w:kern w:val="0"/>
          <w:sz w:val="24"/>
          <w:szCs w:val="24"/>
          <w:highlight w:val="none"/>
          <w:lang w:eastAsia="zh-CN"/>
          <w14:textFill>
            <w14:solidFill>
              <w14:schemeClr w14:val="tx1"/>
            </w14:solidFill>
          </w14:textFill>
        </w:rPr>
        <w:t>：陈工</w:t>
      </w:r>
    </w:p>
    <w:p>
      <w:pPr>
        <w:adjustRightInd w:val="0"/>
        <w:snapToGrid w:val="0"/>
        <w:spacing w:line="200" w:lineRule="atLeast"/>
        <w:rPr>
          <w:rFonts w:ascii="宋体" w:hAnsi="宋体"/>
          <w:b/>
          <w:color w:val="000000" w:themeColor="text1"/>
          <w:szCs w:val="21"/>
          <w:highlight w:val="none"/>
          <w14:textFill>
            <w14:solidFill>
              <w14:schemeClr w14:val="tx1"/>
            </w14:solidFill>
          </w14:textFill>
        </w:rPr>
      </w:pPr>
    </w:p>
    <w:p>
      <w:pPr>
        <w:rPr>
          <w:b/>
          <w:bCs/>
          <w:color w:val="000000" w:themeColor="text1"/>
          <w:highlight w:val="none"/>
          <w14:textFill>
            <w14:solidFill>
              <w14:schemeClr w14:val="tx1"/>
            </w14:solidFill>
          </w14:textFill>
        </w:rPr>
      </w:pPr>
    </w:p>
    <w:p>
      <w:pPr>
        <w:rPr>
          <w:b/>
          <w:bCs/>
          <w:color w:val="000000" w:themeColor="text1"/>
          <w:highlight w:val="none"/>
          <w14:textFill>
            <w14:solidFill>
              <w14:schemeClr w14:val="tx1"/>
            </w14:solidFill>
          </w14:textFill>
        </w:rPr>
      </w:pPr>
    </w:p>
    <w:p>
      <w:pPr>
        <w:pStyle w:val="17"/>
        <w:rPr>
          <w:rFonts w:ascii="宋体" w:hAnsi="宋体"/>
          <w:b/>
          <w:color w:val="000000" w:themeColor="text1"/>
          <w:sz w:val="44"/>
          <w:szCs w:val="44"/>
          <w:highlight w:val="none"/>
          <w14:textFill>
            <w14:solidFill>
              <w14:schemeClr w14:val="tx1"/>
            </w14:solidFill>
          </w14:textFill>
        </w:rPr>
      </w:pPr>
      <w:bookmarkStart w:id="52" w:name="_Toc3994506"/>
      <w:bookmarkStart w:id="53" w:name="_Toc23819"/>
    </w:p>
    <w:p>
      <w:pPr>
        <w:pStyle w:val="17"/>
        <w:rPr>
          <w:rFonts w:ascii="宋体" w:hAnsi="宋体"/>
          <w:b/>
          <w:color w:val="000000" w:themeColor="text1"/>
          <w:sz w:val="44"/>
          <w:szCs w:val="44"/>
          <w:highlight w:val="none"/>
          <w14:textFill>
            <w14:solidFill>
              <w14:schemeClr w14:val="tx1"/>
            </w14:solidFill>
          </w14:textFill>
        </w:rPr>
      </w:pPr>
    </w:p>
    <w:p>
      <w:pPr>
        <w:rPr>
          <w:rFonts w:ascii="宋体" w:hAnsi="宋体"/>
          <w:b/>
          <w:color w:val="000000" w:themeColor="text1"/>
          <w:sz w:val="44"/>
          <w:szCs w:val="44"/>
          <w:highlight w:val="none"/>
          <w14:textFill>
            <w14:solidFill>
              <w14:schemeClr w14:val="tx1"/>
            </w14:solidFill>
          </w14:textFill>
        </w:rPr>
      </w:pPr>
    </w:p>
    <w:p>
      <w:pPr>
        <w:pStyle w:val="43"/>
        <w:rPr>
          <w:rFonts w:ascii="宋体" w:hAnsi="宋体"/>
          <w:b/>
          <w:color w:val="000000" w:themeColor="text1"/>
          <w:sz w:val="44"/>
          <w:szCs w:val="44"/>
          <w:highlight w:val="none"/>
          <w14:textFill>
            <w14:solidFill>
              <w14:schemeClr w14:val="tx1"/>
            </w14:solidFill>
          </w14:textFill>
        </w:rPr>
      </w:pPr>
    </w:p>
    <w:p>
      <w:pPr>
        <w:pStyle w:val="17"/>
        <w:rPr>
          <w:rFonts w:ascii="宋体" w:hAnsi="宋体"/>
          <w:b/>
          <w:color w:val="000000" w:themeColor="text1"/>
          <w:sz w:val="44"/>
          <w:szCs w:val="44"/>
          <w:highlight w:val="none"/>
          <w14:textFill>
            <w14:solidFill>
              <w14:schemeClr w14:val="tx1"/>
            </w14:solidFill>
          </w14:textFill>
        </w:rPr>
      </w:pPr>
    </w:p>
    <w:p>
      <w:pPr>
        <w:rPr>
          <w:rFonts w:ascii="宋体" w:hAnsi="宋体"/>
          <w:b/>
          <w:color w:val="000000" w:themeColor="text1"/>
          <w:sz w:val="44"/>
          <w:szCs w:val="44"/>
          <w:highlight w:val="none"/>
          <w14:textFill>
            <w14:solidFill>
              <w14:schemeClr w14:val="tx1"/>
            </w14:solidFill>
          </w14:textFill>
        </w:rPr>
      </w:pPr>
    </w:p>
    <w:p>
      <w:pPr>
        <w:pStyle w:val="43"/>
        <w:rPr>
          <w:rFonts w:ascii="宋体" w:hAnsi="宋体"/>
          <w:b/>
          <w:color w:val="000000" w:themeColor="text1"/>
          <w:sz w:val="44"/>
          <w:szCs w:val="44"/>
          <w:highlight w:val="none"/>
          <w14:textFill>
            <w14:solidFill>
              <w14:schemeClr w14:val="tx1"/>
            </w14:solidFill>
          </w14:textFill>
        </w:rPr>
      </w:pPr>
    </w:p>
    <w:p>
      <w:pPr>
        <w:pStyle w:val="17"/>
        <w:rPr>
          <w:rFonts w:ascii="宋体" w:hAnsi="宋体"/>
          <w:b/>
          <w:color w:val="000000" w:themeColor="text1"/>
          <w:sz w:val="44"/>
          <w:szCs w:val="44"/>
          <w:highlight w:val="none"/>
          <w14:textFill>
            <w14:solidFill>
              <w14:schemeClr w14:val="tx1"/>
            </w14:solidFill>
          </w14:textFill>
        </w:rPr>
      </w:pPr>
    </w:p>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spacing w:line="620" w:lineRule="exact"/>
        <w:rPr>
          <w:rFonts w:ascii="宋体" w:hAnsi="宋体"/>
          <w:b/>
          <w:color w:val="000000" w:themeColor="text1"/>
          <w:sz w:val="44"/>
          <w:szCs w:val="44"/>
          <w:highlight w:val="none"/>
          <w14:textFill>
            <w14:solidFill>
              <w14:schemeClr w14:val="tx1"/>
            </w14:solidFill>
          </w14:textFill>
        </w:rPr>
      </w:pPr>
    </w:p>
    <w:p>
      <w:pPr>
        <w:spacing w:line="620" w:lineRule="exact"/>
        <w:jc w:val="center"/>
        <w:outlineLvl w:val="0"/>
        <w:rPr>
          <w:rFonts w:ascii="宋体" w:hAnsi="宋体"/>
          <w:b/>
          <w:color w:val="000000" w:themeColor="text1"/>
          <w:sz w:val="44"/>
          <w:szCs w:val="44"/>
          <w:highlight w:val="none"/>
          <w14:textFill>
            <w14:solidFill>
              <w14:schemeClr w14:val="tx1"/>
            </w14:solidFill>
          </w14:textFill>
        </w:rPr>
      </w:pPr>
      <w:bookmarkStart w:id="54" w:name="_Toc176429413"/>
      <w:bookmarkStart w:id="55" w:name="_Toc25912"/>
      <w:bookmarkStart w:id="56" w:name="_Toc23123"/>
      <w:r>
        <w:rPr>
          <w:rFonts w:hint="eastAsia" w:ascii="宋体" w:hAnsi="宋体"/>
          <w:b/>
          <w:color w:val="000000" w:themeColor="text1"/>
          <w:sz w:val="44"/>
          <w:szCs w:val="44"/>
          <w:highlight w:val="none"/>
          <w14:textFill>
            <w14:solidFill>
              <w14:schemeClr w14:val="tx1"/>
            </w14:solidFill>
          </w14:textFill>
        </w:rPr>
        <w:t>第三章  竞争性谈判响应文件格式</w:t>
      </w:r>
      <w:bookmarkEnd w:id="52"/>
      <w:bookmarkEnd w:id="53"/>
      <w:bookmarkEnd w:id="54"/>
      <w:bookmarkEnd w:id="55"/>
      <w:bookmarkEnd w:id="56"/>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b/>
          <w:color w:val="000000" w:themeColor="text1"/>
          <w:sz w:val="28"/>
          <w:szCs w:val="28"/>
          <w:highlight w:val="none"/>
          <w14:textFill>
            <w14:solidFill>
              <w14:schemeClr w14:val="tx1"/>
            </w14:solidFill>
          </w14:textFill>
        </w:rPr>
        <w:t>一、竞争性谈判响应文件</w:t>
      </w:r>
      <w:r>
        <w:rPr>
          <w:rFonts w:hint="eastAsia" w:ascii="宋体"/>
          <w:b/>
          <w:bCs/>
          <w:color w:val="000000" w:themeColor="text1"/>
          <w:sz w:val="28"/>
          <w:szCs w:val="28"/>
          <w:highlight w:val="none"/>
          <w14:textFill>
            <w14:solidFill>
              <w14:schemeClr w14:val="tx1"/>
            </w14:solidFill>
          </w14:textFill>
        </w:rPr>
        <w:t>格式</w:t>
      </w:r>
    </w:p>
    <w:p>
      <w:pPr>
        <w:snapToGrid w:val="0"/>
        <w:spacing w:before="120" w:beforeLines="50" w:after="50" w:line="360" w:lineRule="exact"/>
        <w:rPr>
          <w:rFonts w:ascii="宋体"/>
          <w:b/>
          <w:color w:val="000000" w:themeColor="text1"/>
          <w:szCs w:val="21"/>
          <w:highlight w:val="none"/>
          <w14:textFill>
            <w14:solidFill>
              <w14:schemeClr w14:val="tx1"/>
            </w14:solidFill>
          </w14:textFill>
        </w:rPr>
      </w:pPr>
    </w:p>
    <w:p>
      <w:pPr>
        <w:pStyle w:val="7"/>
        <w:snapToGrid w:val="0"/>
        <w:spacing w:before="50" w:after="50" w:line="360" w:lineRule="exact"/>
        <w:ind w:firstLine="630" w:firstLineChars="300"/>
        <w:rPr>
          <w:rFonts w:ascii="宋体"/>
          <w:bCs/>
          <w:color w:val="000000" w:themeColor="text1"/>
          <w:szCs w:val="21"/>
          <w:highlight w:val="none"/>
          <w14:textFill>
            <w14:solidFill>
              <w14:schemeClr w14:val="tx1"/>
            </w14:solidFill>
          </w14:textFill>
        </w:rPr>
      </w:pPr>
    </w:p>
    <w:p>
      <w:pPr>
        <w:snapToGrid w:val="0"/>
        <w:spacing w:before="120" w:beforeLines="50" w:after="50" w:line="360" w:lineRule="exact"/>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lang w:eastAsia="zh-CN"/>
          <w14:textFill>
            <w14:solidFill>
              <w14:schemeClr w14:val="tx1"/>
            </w14:solidFill>
          </w14:textFill>
        </w:rPr>
        <w:t>一</w:t>
      </w:r>
      <w:r>
        <w:rPr>
          <w:rFonts w:hint="eastAsia" w:ascii="宋体"/>
          <w:b/>
          <w:color w:val="000000" w:themeColor="text1"/>
          <w:sz w:val="24"/>
          <w:highlight w:val="none"/>
          <w14:textFill>
            <w14:solidFill>
              <w14:schemeClr w14:val="tx1"/>
            </w14:solidFill>
          </w14:textFill>
        </w:rPr>
        <w:t xml:space="preserve">）. 竞争性谈判响应文件封面格式： </w:t>
      </w:r>
    </w:p>
    <w:p>
      <w:pPr>
        <w:snapToGrid w:val="0"/>
        <w:spacing w:before="120" w:beforeLines="50" w:after="50" w:line="360" w:lineRule="exact"/>
        <w:ind w:left="7200" w:hanging="7200" w:hangingChars="30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pPr>
        <w:snapToGrid w:val="0"/>
        <w:spacing w:before="120" w:beforeLines="50" w:after="50" w:line="360" w:lineRule="exact"/>
        <w:ind w:firstLine="2554" w:firstLineChars="795"/>
        <w:rPr>
          <w:rFonts w:ascii="宋体"/>
          <w:bCs/>
          <w:color w:val="000000" w:themeColor="text1"/>
          <w:sz w:val="24"/>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竞争性谈判响应文件（封面）</w:t>
      </w:r>
    </w:p>
    <w:p>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pPr>
        <w:spacing w:line="500" w:lineRule="exact"/>
        <w:ind w:firstLine="422" w:firstLineChars="200"/>
        <w:jc w:val="center"/>
        <w:rPr>
          <w:rFonts w:hint="eastAsia" w:ascii="宋体" w:eastAsia="宋体"/>
          <w:b/>
          <w:bCs/>
          <w:color w:val="000000" w:themeColor="text1"/>
          <w:szCs w:val="21"/>
          <w:highlight w:val="none"/>
          <w:lang w:val="en-US" w:eastAsia="zh-CN"/>
          <w14:textFill>
            <w14:solidFill>
              <w14:schemeClr w14:val="tx1"/>
            </w14:solidFill>
          </w14:textFill>
        </w:rPr>
      </w:pPr>
      <w:r>
        <w:rPr>
          <w:rFonts w:hint="eastAsia" w:ascii="宋体"/>
          <w:b/>
          <w:bCs/>
          <w:color w:val="000000" w:themeColor="text1"/>
          <w:szCs w:val="21"/>
          <w:highlight w:val="none"/>
          <w:lang w:eastAsia="zh-CN"/>
          <w14:textFill>
            <w14:solidFill>
              <w14:schemeClr w14:val="tx1"/>
            </w14:solidFill>
          </w14:textFill>
        </w:rPr>
        <w:t>（</w:t>
      </w:r>
      <w:r>
        <w:rPr>
          <w:rFonts w:hint="eastAsia" w:ascii="宋体"/>
          <w:b/>
          <w:bCs/>
          <w:color w:val="000000" w:themeColor="text1"/>
          <w:szCs w:val="21"/>
          <w:highlight w:val="none"/>
          <w14:textFill>
            <w14:solidFill>
              <w14:schemeClr w14:val="tx1"/>
            </w14:solidFill>
          </w14:textFill>
        </w:rPr>
        <w:t>资格审查</w:t>
      </w:r>
      <w:r>
        <w:rPr>
          <w:rFonts w:hint="eastAsia" w:ascii="宋体"/>
          <w:b/>
          <w:bCs/>
          <w:color w:val="000000" w:themeColor="text1"/>
          <w:szCs w:val="21"/>
          <w:highlight w:val="none"/>
          <w:lang w:val="en-US" w:eastAsia="zh-CN"/>
          <w14:textFill>
            <w14:solidFill>
              <w14:schemeClr w14:val="tx1"/>
            </w14:solidFill>
          </w14:textFill>
        </w:rPr>
        <w:t>/</w:t>
      </w:r>
      <w:r>
        <w:rPr>
          <w:rFonts w:hint="eastAsia" w:ascii="宋体"/>
          <w:b/>
          <w:bCs/>
          <w:color w:val="000000" w:themeColor="text1"/>
          <w:szCs w:val="21"/>
          <w:highlight w:val="none"/>
          <w:lang w:eastAsia="zh-CN"/>
          <w14:textFill>
            <w14:solidFill>
              <w14:schemeClr w14:val="tx1"/>
            </w14:solidFill>
          </w14:textFill>
        </w:rPr>
        <w:t>价格</w:t>
      </w:r>
      <w:r>
        <w:rPr>
          <w:rFonts w:hint="eastAsia" w:ascii="宋体"/>
          <w:b/>
          <w:bCs/>
          <w:color w:val="000000" w:themeColor="text1"/>
          <w:szCs w:val="21"/>
          <w:highlight w:val="none"/>
          <w:lang w:val="en-US" w:eastAsia="zh-CN"/>
          <w14:textFill>
            <w14:solidFill>
              <w14:schemeClr w14:val="tx1"/>
            </w14:solidFill>
          </w14:textFill>
        </w:rPr>
        <w:t>/商务技术）文件</w:t>
      </w:r>
    </w:p>
    <w:p>
      <w:pPr>
        <w:spacing w:line="500" w:lineRule="exact"/>
        <w:ind w:firstLine="420" w:firstLineChars="200"/>
        <w:rPr>
          <w:rFonts w:ascii="宋体"/>
          <w:color w:val="000000" w:themeColor="text1"/>
          <w:szCs w:val="21"/>
          <w:highlight w:val="none"/>
          <w14:textFill>
            <w14:solidFill>
              <w14:schemeClr w14:val="tx1"/>
            </w14:solidFill>
          </w14:textFill>
        </w:rPr>
      </w:pPr>
    </w:p>
    <w:p>
      <w:pPr>
        <w:spacing w:line="500" w:lineRule="exact"/>
        <w:ind w:firstLine="420" w:firstLineChars="200"/>
        <w:rPr>
          <w:rFonts w:ascii="宋体"/>
          <w:color w:val="000000" w:themeColor="text1"/>
          <w:szCs w:val="21"/>
          <w:highlight w:val="none"/>
          <w14:textFill>
            <w14:solidFill>
              <w14:schemeClr w14:val="tx1"/>
            </w14:solidFill>
          </w14:textFill>
        </w:rPr>
      </w:pPr>
    </w:p>
    <w:p>
      <w:pPr>
        <w:spacing w:line="50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项目名称：</w:t>
      </w:r>
      <w:r>
        <w:rPr>
          <w:rFonts w:hint="eastAsia" w:ascii="宋体"/>
          <w:color w:val="000000" w:themeColor="text1"/>
          <w:sz w:val="24"/>
          <w:highlight w:val="none"/>
          <w:u w:val="single"/>
          <w14:textFill>
            <w14:solidFill>
              <w14:schemeClr w14:val="tx1"/>
            </w14:solidFill>
          </w14:textFill>
        </w:rPr>
        <w:t xml:space="preserve">                       </w:t>
      </w:r>
    </w:p>
    <w:p>
      <w:pPr>
        <w:snapToGrid w:val="0"/>
        <w:spacing w:before="120" w:beforeLines="50" w:after="50" w:line="36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项目编号</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pPr>
        <w:snapToGrid w:val="0"/>
        <w:spacing w:before="120" w:beforeLines="50" w:after="50" w:line="360" w:lineRule="exact"/>
        <w:ind w:firstLine="480" w:firstLineChars="2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供应商名称</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pPr>
        <w:spacing w:line="50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pPr>
        <w:snapToGrid w:val="0"/>
        <w:spacing w:before="120" w:beforeLines="50" w:after="50" w:line="36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w:t>
      </w:r>
      <w:r>
        <w:rPr>
          <w:rFonts w:hint="eastAsia" w:ascii="宋体" w:cs="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    日</w:t>
      </w:r>
    </w:p>
    <w:p>
      <w:pPr>
        <w:spacing w:line="520" w:lineRule="exact"/>
        <w:ind w:firstLine="3767" w:firstLineChars="1340"/>
        <w:rPr>
          <w:rFonts w:ascii="宋体"/>
          <w:b/>
          <w:color w:val="000000" w:themeColor="text1"/>
          <w:sz w:val="28"/>
          <w:szCs w:val="28"/>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p>
    <w:p>
      <w:pPr>
        <w:spacing w:line="520" w:lineRule="exact"/>
        <w:rPr>
          <w:rFonts w:ascii="宋体"/>
          <w:b/>
          <w:color w:val="000000" w:themeColor="text1"/>
          <w:sz w:val="28"/>
          <w:szCs w:val="28"/>
          <w:highlight w:val="none"/>
          <w14:textFill>
            <w14:solidFill>
              <w14:schemeClr w14:val="tx1"/>
            </w14:solidFill>
          </w14:textFill>
        </w:rPr>
      </w:pPr>
    </w:p>
    <w:p>
      <w:pPr>
        <w:rPr>
          <w:rFonts w:hint="eastAsia"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br w:type="page"/>
      </w:r>
    </w:p>
    <w:p>
      <w:pPr>
        <w:spacing w:line="520" w:lineRule="exact"/>
        <w:rPr>
          <w:rFonts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t>二、附  件</w:t>
      </w:r>
    </w:p>
    <w:p>
      <w:pPr>
        <w:spacing w:line="520" w:lineRule="exact"/>
        <w:rPr>
          <w:rFonts w:ascii="宋体"/>
          <w:color w:val="000000" w:themeColor="text1"/>
          <w:sz w:val="24"/>
          <w:highlight w:val="none"/>
          <w14:textFill>
            <w14:solidFill>
              <w14:schemeClr w14:val="tx1"/>
            </w14:solidFill>
          </w14:textFill>
        </w:rPr>
      </w:pPr>
    </w:p>
    <w:p>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w:t>
      </w:r>
    </w:p>
    <w:p>
      <w:pPr>
        <w:adjustRightInd w:val="0"/>
        <w:snapToGrid w:val="0"/>
        <w:spacing w:line="276" w:lineRule="auto"/>
        <w:jc w:val="center"/>
        <w:rPr>
          <w:rFonts w:ascii="黑体" w:eastAsia="黑体"/>
          <w:b/>
          <w:color w:val="000000" w:themeColor="text1"/>
          <w:sz w:val="32"/>
          <w:szCs w:val="32"/>
          <w:highlight w:val="none"/>
          <w14:textFill>
            <w14:solidFill>
              <w14:schemeClr w14:val="tx1"/>
            </w14:solidFill>
          </w14:textFill>
        </w:rPr>
      </w:pPr>
      <w:r>
        <w:rPr>
          <w:rFonts w:hint="eastAsia" w:ascii="黑体" w:eastAsia="黑体"/>
          <w:b/>
          <w:color w:val="000000" w:themeColor="text1"/>
          <w:sz w:val="32"/>
          <w:szCs w:val="32"/>
          <w:highlight w:val="none"/>
          <w14:textFill>
            <w14:solidFill>
              <w14:schemeClr w14:val="tx1"/>
            </w14:solidFill>
          </w14:textFill>
        </w:rPr>
        <w:t>北海市政府采购供应商信用承诺函（格式）</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pPr>
        <w:widowControl/>
        <w:spacing w:line="360" w:lineRule="auto"/>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 ：</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统一社会信用代码：</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供应商地址：</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1.我单位具有符合采购文件资格要求独立承担民事责任的能力。</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2.我单位具有符合采购文件资格要求的财务状况报告。</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3.我单位具有符合采购文件资格要求的依法缴纳税收和社会保障记录的良好记录。</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4.我单位具有符合采购文件资格要求履行合同所必需的设备和专业技术能力。</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5.参加政府采购活动前三年内，在经营活动中没有重大违法记录。</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若我单位承诺不实，自愿承担提供虚假材料谋取成交的法律责任。</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pPr>
        <w:adjustRightInd w:val="0"/>
        <w:snapToGrid w:val="0"/>
        <w:spacing w:line="360" w:lineRule="auto"/>
        <w:jc w:val="left"/>
        <w:rPr>
          <w:rFonts w:ascii="宋体"/>
          <w:color w:val="000000" w:themeColor="text1"/>
          <w:sz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adjustRightInd w:val="0"/>
        <w:snapToGrid w:val="0"/>
        <w:spacing w:line="360" w:lineRule="auto"/>
        <w:ind w:firstLine="360" w:firstLineChars="150"/>
        <w:jc w:val="left"/>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u w:val="single"/>
          <w14:textFill>
            <w14:solidFill>
              <w14:schemeClr w14:val="tx1"/>
            </w14:solidFill>
          </w14:textFill>
        </w:rPr>
        <w:t xml:space="preserve">  </w:t>
      </w:r>
    </w:p>
    <w:p>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注：供应商须在响应文件中按此模板提供承诺函，未提供视为未实质性响应采购文件要求，按无效响应处理。</w:t>
      </w:r>
    </w:p>
    <w:p>
      <w:pPr>
        <w:spacing w:line="300" w:lineRule="auto"/>
        <w:ind w:left="420" w:hanging="420"/>
        <w:rPr>
          <w:rFonts w:hint="eastAsia" w:ascii="宋体"/>
          <w:b/>
          <w:color w:val="000000" w:themeColor="text1"/>
          <w:sz w:val="24"/>
          <w:highlight w:val="none"/>
          <w14:textFill>
            <w14:solidFill>
              <w14:schemeClr w14:val="tx1"/>
            </w14:solidFill>
          </w14:textFill>
        </w:rPr>
      </w:pPr>
    </w:p>
    <w:p>
      <w:pPr>
        <w:spacing w:line="300" w:lineRule="auto"/>
        <w:ind w:left="420" w:hanging="420"/>
        <w:rPr>
          <w:rFonts w:hint="eastAsia" w:ascii="宋体"/>
          <w:b/>
          <w:color w:val="000000" w:themeColor="text1"/>
          <w:sz w:val="24"/>
          <w:highlight w:val="none"/>
          <w14:textFill>
            <w14:solidFill>
              <w14:schemeClr w14:val="tx1"/>
            </w14:solidFill>
          </w14:textFill>
        </w:rPr>
      </w:pPr>
    </w:p>
    <w:p>
      <w:pPr>
        <w:spacing w:line="300" w:lineRule="auto"/>
        <w:ind w:left="420" w:hanging="420"/>
        <w:rPr>
          <w:rFonts w:hint="eastAsia" w:ascii="宋体"/>
          <w:b/>
          <w:color w:val="000000" w:themeColor="text1"/>
          <w:sz w:val="24"/>
          <w:highlight w:val="none"/>
          <w14:textFill>
            <w14:solidFill>
              <w14:schemeClr w14:val="tx1"/>
            </w14:solidFill>
          </w14:textFill>
        </w:rPr>
      </w:pPr>
    </w:p>
    <w:p>
      <w:pPr>
        <w:spacing w:line="300" w:lineRule="auto"/>
        <w:ind w:left="420" w:hanging="420"/>
        <w:rPr>
          <w:rFonts w:hint="eastAsia" w:ascii="宋体"/>
          <w:b/>
          <w:color w:val="000000" w:themeColor="text1"/>
          <w:sz w:val="24"/>
          <w:highlight w:val="none"/>
          <w14:textFill>
            <w14:solidFill>
              <w14:schemeClr w14:val="tx1"/>
            </w14:solidFill>
          </w14:textFill>
        </w:rPr>
      </w:pPr>
    </w:p>
    <w:p>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附件2</w:t>
      </w:r>
    </w:p>
    <w:p>
      <w:pPr>
        <w:pStyle w:val="25"/>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竞标函及竞标函附录</w:t>
      </w:r>
    </w:p>
    <w:p>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p>
    <w:p>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（一）竞标函</w:t>
      </w:r>
    </w:p>
    <w:p>
      <w:pPr>
        <w:widowControl/>
        <w:kinsoku w:val="0"/>
        <w:autoSpaceDE w:val="0"/>
        <w:autoSpaceDN w:val="0"/>
        <w:adjustRightInd w:val="0"/>
        <w:snapToGrid w:val="0"/>
        <w:spacing w:line="360" w:lineRule="auto"/>
        <w:ind w:firstLine="420" w:firstLineChars="200"/>
        <w:textAlignment w:val="baseline"/>
        <w:rPr>
          <w:rFonts w:ascii="宋体" w:hAnsi="宋体" w:cs="宋体"/>
          <w:color w:val="000000" w:themeColor="text1"/>
          <w:highlight w:val="none"/>
          <w14:textFill>
            <w14:solidFill>
              <w14:schemeClr w14:val="tx1"/>
            </w14:solidFill>
          </w14:textFill>
        </w:rPr>
      </w:pP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1.我方已仔细研究了</w:t>
      </w:r>
      <w:r>
        <w:rPr>
          <w:rFonts w:hint="eastAsia" w:ascii="宋体" w:hAnsi="宋体" w:cs="宋体"/>
          <w:color w:val="000000" w:themeColor="text1"/>
          <w:sz w:val="24"/>
          <w:highlight w:val="none"/>
          <w:u w:val="single"/>
          <w14:textFill>
            <w14:solidFill>
              <w14:schemeClr w14:val="tx1"/>
            </w14:solidFill>
          </w14:textFill>
        </w:rPr>
        <w:t xml:space="preserve">                      （项目编号：        ） </w:t>
      </w:r>
      <w:r>
        <w:rPr>
          <w:rFonts w:hint="eastAsia" w:ascii="宋体" w:hAnsi="宋体" w:cs="宋体"/>
          <w:color w:val="000000" w:themeColor="text1"/>
          <w:sz w:val="24"/>
          <w:highlight w:val="none"/>
          <w14:textFill>
            <w14:solidFill>
              <w14:schemeClr w14:val="tx1"/>
            </w14:solidFill>
          </w14:textFill>
        </w:rPr>
        <w:t>谈判文件的全部内容，愿意以人民币（大写）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的竞标总报价，工期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日历天，按合同约定实施和完成承包工程，修补工程中的任何缺陷，工程质量达到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2.我方承认竞标函附录是我方竞标函的组成部分。</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3.如我方成交：</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（1）我方承诺在收到成交通知书后，在成交通知书规定的期限内与你方签订合同。</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（2）在签订合同时不向你方提出附加条件。</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（3）我方承诺按照谈判文件规定向你方递交履约担保。</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（4）我方承诺在合同约定的期限内完成并移交全部合同工程。</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4.在合同协议书正式签署生效之前，本竞标函连同你方的成交通知书将构成我们双方之间共同遵守的文件，对双方具有约束力。</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（其他补充说明）。                                                                                           </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pPr>
        <w:spacing w:before="159" w:line="225" w:lineRule="auto"/>
        <w:ind w:left="3222"/>
        <w:rPr>
          <w:rFonts w:ascii="宋体" w:hAnsi="宋体" w:cs="宋体"/>
          <w:b/>
          <w:bCs/>
          <w:color w:val="000000" w:themeColor="text1"/>
          <w:sz w:val="31"/>
          <w:szCs w:val="31"/>
          <w:highlight w:val="none"/>
          <w14:textFill>
            <w14:solidFill>
              <w14:schemeClr w14:val="tx1"/>
            </w14:solidFill>
          </w14:textFill>
        </w:rPr>
      </w:pPr>
      <w:r>
        <w:rPr>
          <w:rFonts w:hint="eastAsia" w:ascii="宋体" w:hAnsi="宋体" w:cs="宋体"/>
          <w:b/>
          <w:bCs/>
          <w:color w:val="000000" w:themeColor="text1"/>
          <w:spacing w:val="-12"/>
          <w:sz w:val="31"/>
          <w:szCs w:val="31"/>
          <w:highlight w:val="none"/>
          <w14:textFill>
            <w14:solidFill>
              <w14:schemeClr w14:val="tx1"/>
            </w14:solidFill>
          </w14:textFill>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序号</w:t>
            </w:r>
          </w:p>
        </w:tc>
        <w:tc>
          <w:tcPr>
            <w:tcW w:w="238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条款内容</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合同条款号</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约定内容</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供应商承诺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项目经理</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竞标有效期</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工期</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缺陷责任期</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个月</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发包人支付担保</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承包人履约担保金额</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分包</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不允许</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逾期竣工违约金</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质量标准</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合格</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预付款额度</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合同价的</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预付款保函金额</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2386"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质量保证金额度</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按工程结算价的</w:t>
            </w:r>
          </w:p>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3 %预留工程质量保修金</w:t>
            </w: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38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95"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1516"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 供应商在响应谈判文件中规定的实质性要求和条件的基础上，可做出其他有利于采购人的承诺。此类承诺可在本表中予以补充填写。</w:t>
            </w:r>
          </w:p>
        </w:tc>
      </w:tr>
    </w:tbl>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pStyle w:val="43"/>
        <w:rPr>
          <w:rFonts w:hint="eastAsia"/>
        </w:rPr>
      </w:pPr>
    </w:p>
    <w:p>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pPr>
        <w:spacing w:before="159" w:line="224" w:lineRule="auto"/>
        <w:jc w:val="left"/>
        <w:rPr>
          <w:rFonts w:ascii="宋体" w:hAnsi="宋体" w:cs="宋体"/>
          <w:b/>
          <w:bCs/>
          <w:color w:val="000000" w:themeColor="text1"/>
          <w:spacing w:val="7"/>
          <w:sz w:val="24"/>
          <w:highlight w:val="none"/>
          <w14:textFill>
            <w14:solidFill>
              <w14:schemeClr w14:val="tx1"/>
            </w14:solidFill>
          </w14:textFill>
        </w:rPr>
      </w:pPr>
      <w:r>
        <w:rPr>
          <w:rFonts w:hint="eastAsia" w:ascii="宋体" w:hAnsi="宋体" w:cs="宋体"/>
          <w:b/>
          <w:bCs/>
          <w:color w:val="000000" w:themeColor="text1"/>
          <w:spacing w:val="7"/>
          <w:sz w:val="24"/>
          <w:highlight w:val="none"/>
          <w14:textFill>
            <w14:solidFill>
              <w14:schemeClr w14:val="tx1"/>
            </w14:solidFill>
          </w14:textFill>
        </w:rPr>
        <w:t>附件3</w:t>
      </w:r>
    </w:p>
    <w:p>
      <w:pPr>
        <w:spacing w:before="159" w:line="224" w:lineRule="auto"/>
        <w:ind w:left="3643"/>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7"/>
          <w:sz w:val="31"/>
          <w:szCs w:val="31"/>
          <w:highlight w:val="none"/>
          <w14:textFill>
            <w14:solidFill>
              <w14:schemeClr w14:val="tx1"/>
            </w14:solidFill>
          </w14:textFill>
        </w:rPr>
        <w:t>竞标报价表</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项目名称：                  项目编号：                    </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分标（如有）：             </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供应商名称：                                            </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lang w:eastAsia="en-US"/>
                <w14:textFill>
                  <w14:solidFill>
                    <w14:schemeClr w14:val="tx1"/>
                  </w14:solidFill>
                </w14:textFill>
              </w:rPr>
              <w:t>报价</w:t>
            </w:r>
          </w:p>
        </w:tc>
        <w:tc>
          <w:tcPr>
            <w:tcW w:w="1984"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8" w:hRule="atLeast"/>
        </w:trPr>
        <w:tc>
          <w:tcPr>
            <w:tcW w:w="1988" w:type="dxa"/>
            <w:vMerge w:val="restart"/>
            <w:tcBorders>
              <w:bottom w:val="nil"/>
            </w:tcBorders>
            <w:shd w:val="clear" w:color="auto" w:fill="auto"/>
            <w:vAlign w:val="center"/>
          </w:tcPr>
          <w:p>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其中</w:t>
            </w:r>
          </w:p>
        </w:tc>
        <w:tc>
          <w:tcPr>
            <w:tcW w:w="3121"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安全文明施工费</w:t>
            </w:r>
          </w:p>
        </w:tc>
        <w:tc>
          <w:tcPr>
            <w:tcW w:w="1984"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发包人提供材料（如有）</w:t>
            </w:r>
          </w:p>
        </w:tc>
        <w:tc>
          <w:tcPr>
            <w:tcW w:w="1984"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承包人提供材料（设备）暂估价</w:t>
            </w:r>
          </w:p>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（如有）</w:t>
            </w:r>
          </w:p>
        </w:tc>
        <w:tc>
          <w:tcPr>
            <w:tcW w:w="1984"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暂估专业工程（如有）</w:t>
            </w:r>
          </w:p>
        </w:tc>
        <w:tc>
          <w:tcPr>
            <w:tcW w:w="1984"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暂列金额（如有）</w:t>
            </w:r>
          </w:p>
        </w:tc>
        <w:tc>
          <w:tcPr>
            <w:tcW w:w="1984"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bl>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lang w:eastAsia="en-US"/>
          <w14:textFill>
            <w14:solidFill>
              <w14:schemeClr w14:val="tx1"/>
            </w14:solidFill>
          </w14:textFill>
        </w:rPr>
      </w:pP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供应商的报价表须签名盖章，否则其响应文件按无效处理。</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2.如为联合体竞标，“供应商名称”处必须列明联合体各方名称，标注联合体牵头人名称，否则其响应文件按无效处理。</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如为联合体竞标，须使用联合体牵头人签名盖章，否则其响应文件按无效处理。</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4.如有多分标，分别列明各分标的报价表，否则其响应文件按无效处理。</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附件4</w:t>
      </w:r>
    </w:p>
    <w:p>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000000" w:themeColor="text1"/>
          <w:sz w:val="28"/>
          <w:szCs w:val="28"/>
          <w:highlight w:val="none"/>
          <w14:textFill>
            <w14:solidFill>
              <w14:schemeClr w14:val="tx1"/>
            </w14:solidFill>
          </w14:textFill>
        </w:rPr>
      </w:pPr>
    </w:p>
    <w:p>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已标价工程量清单</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1.已标价工程量清单应按第七章“工程量清单及图纸”中的相关表格及竞标报价说明填写。构成合同文件的已标价工程量清单包括第五章“工程量清单及图纸”有关工程量清单、竞标报价以及其他说明的内容。</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p>
    <w:p>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p>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供应商在上传竞标报价文件时应上传纸质竞标总价封面的原件扫描件。报标总价封面必须经供应商盖章，并由法定代表人（或其授权人）签字（或盖章），同时由编制人签字盖专用章，否则按无效谈判处理。</w:t>
      </w:r>
    </w:p>
    <w:p>
      <w:pPr>
        <w:spacing w:line="360" w:lineRule="auto"/>
        <w:ind w:left="420" w:hanging="420"/>
        <w:rPr>
          <w:rFonts w:ascii="宋体"/>
          <w:b/>
          <w:color w:val="000000" w:themeColor="text1"/>
          <w:sz w:val="24"/>
          <w:highlight w:val="none"/>
          <w14:textFill>
            <w14:solidFill>
              <w14:schemeClr w14:val="tx1"/>
            </w14:solidFill>
          </w14:textFill>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000000" w:themeColor="text1"/>
          <w:sz w:val="24"/>
          <w:highlight w:val="none"/>
          <w14:textFill>
            <w14:solidFill>
              <w14:schemeClr w14:val="tx1"/>
            </w14:solidFill>
          </w14:textFill>
        </w:rPr>
        <w:t>（2）已标价工程量清单表格要严格按照工程量清单给出的表格要求和内容填报，否则按无效谈判处理。</w:t>
      </w:r>
    </w:p>
    <w:p>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附件5</w:t>
      </w:r>
    </w:p>
    <w:p>
      <w:pPr>
        <w:spacing w:line="520" w:lineRule="exact"/>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谈 判 书</w:t>
      </w:r>
    </w:p>
    <w:p>
      <w:pPr>
        <w:spacing w:line="520" w:lineRule="exact"/>
        <w:jc w:val="center"/>
        <w:rPr>
          <w:rFonts w:ascii="宋体"/>
          <w:b/>
          <w:color w:val="000000" w:themeColor="text1"/>
          <w:szCs w:val="21"/>
          <w:highlight w:val="none"/>
          <w14:textFill>
            <w14:solidFill>
              <w14:schemeClr w14:val="tx1"/>
            </w14:solidFill>
          </w14:textFill>
        </w:rPr>
      </w:pPr>
    </w:p>
    <w:p>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u w:val="single"/>
          <w:lang w:eastAsia="zh-CN"/>
          <w14:textFill>
            <w14:solidFill>
              <w14:schemeClr w14:val="tx1"/>
            </w14:solidFill>
          </w14:textFill>
        </w:rPr>
        <w:t>广西璟华工程管理有限公司</w:t>
      </w:r>
      <w:r>
        <w:rPr>
          <w:rFonts w:hint="eastAsia"/>
          <w:color w:val="000000" w:themeColor="text1"/>
          <w:sz w:val="24"/>
          <w:szCs w:val="24"/>
          <w:highlight w:val="none"/>
          <w14:textFill>
            <w14:solidFill>
              <w14:schemeClr w14:val="tx1"/>
            </w14:solidFill>
          </w14:textFill>
        </w:rPr>
        <w:t>：</w:t>
      </w:r>
    </w:p>
    <w:p>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依据贵方</w:t>
      </w:r>
      <w:r>
        <w:rPr>
          <w:rFonts w:hint="eastAsia"/>
          <w:color w:val="000000" w:themeColor="text1"/>
          <w:sz w:val="24"/>
          <w:szCs w:val="24"/>
          <w:highlight w:val="none"/>
          <w:u w:val="single"/>
          <w14:textFill>
            <w14:solidFill>
              <w14:schemeClr w14:val="tx1"/>
            </w14:solidFill>
          </w14:textFill>
        </w:rPr>
        <w:t>（项目名称/项目编号）</w:t>
      </w:r>
      <w:r>
        <w:rPr>
          <w:rFonts w:hint="eastAsia"/>
          <w:color w:val="000000" w:themeColor="text1"/>
          <w:sz w:val="24"/>
          <w:szCs w:val="24"/>
          <w:highlight w:val="none"/>
          <w14:textFill>
            <w14:solidFill>
              <w14:schemeClr w14:val="tx1"/>
            </w14:solidFill>
          </w14:textFill>
        </w:rPr>
        <w:t>项目政府采购的谈判邀请，我方</w:t>
      </w:r>
      <w:r>
        <w:rPr>
          <w:rFonts w:hint="eastAsia"/>
          <w:color w:val="000000" w:themeColor="text1"/>
          <w:sz w:val="24"/>
          <w:szCs w:val="24"/>
          <w:highlight w:val="none"/>
          <w:u w:val="single"/>
          <w14:textFill>
            <w14:solidFill>
              <w14:schemeClr w14:val="tx1"/>
            </w14:solidFill>
          </w14:textFill>
        </w:rPr>
        <w:t>（姓名和职务）</w:t>
      </w:r>
      <w:r>
        <w:rPr>
          <w:rFonts w:hint="eastAsia"/>
          <w:color w:val="000000" w:themeColor="text1"/>
          <w:sz w:val="24"/>
          <w:szCs w:val="24"/>
          <w:highlight w:val="none"/>
          <w14:textFill>
            <w14:solidFill>
              <w14:schemeClr w14:val="tx1"/>
            </w14:solidFill>
          </w14:textFill>
        </w:rPr>
        <w:t>经正式授权并代表本单位</w:t>
      </w:r>
      <w:r>
        <w:rPr>
          <w:rFonts w:hint="eastAsia"/>
          <w:color w:val="000000" w:themeColor="text1"/>
          <w:sz w:val="24"/>
          <w:szCs w:val="24"/>
          <w:highlight w:val="none"/>
          <w:u w:val="single"/>
          <w14:textFill>
            <w14:solidFill>
              <w14:schemeClr w14:val="tx1"/>
            </w14:solidFill>
          </w14:textFill>
        </w:rPr>
        <w:t>（供应商名称、地址）</w:t>
      </w:r>
      <w:r>
        <w:rPr>
          <w:rFonts w:hint="eastAsia"/>
          <w:color w:val="000000" w:themeColor="text1"/>
          <w:sz w:val="24"/>
          <w:szCs w:val="24"/>
          <w:highlight w:val="none"/>
          <w14:textFill>
            <w14:solidFill>
              <w14:schemeClr w14:val="tx1"/>
            </w14:solidFill>
          </w14:textFill>
        </w:rPr>
        <w:t>提交下述竞争性谈判响应文件</w:t>
      </w:r>
      <w:r>
        <w:rPr>
          <w:rFonts w:hint="eastAsia"/>
          <w:b/>
          <w:color w:val="000000" w:themeColor="text1"/>
          <w:sz w:val="24"/>
          <w:szCs w:val="24"/>
          <w:highlight w:val="none"/>
          <w14:textFill>
            <w14:solidFill>
              <w14:schemeClr w14:val="tx1"/>
            </w14:solidFill>
          </w14:textFill>
        </w:rPr>
        <w:t>（资格文件、价格文件、商务技术文件）</w:t>
      </w:r>
      <w:r>
        <w:rPr>
          <w:rFonts w:hint="eastAsia"/>
          <w:color w:val="000000" w:themeColor="text1"/>
          <w:sz w:val="24"/>
          <w:szCs w:val="24"/>
          <w:highlight w:val="none"/>
          <w14:textFill>
            <w14:solidFill>
              <w14:schemeClr w14:val="tx1"/>
            </w14:solidFill>
          </w14:textFill>
        </w:rPr>
        <w:t>。</w:t>
      </w:r>
    </w:p>
    <w:p>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报价表；</w:t>
      </w:r>
    </w:p>
    <w:p>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2. 资格证明文件； </w:t>
      </w:r>
    </w:p>
    <w:p>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按竞争性谈判文件供应商须知和采购需求提供的有关文件。</w:t>
      </w:r>
    </w:p>
    <w:p>
      <w:pPr>
        <w:pStyle w:val="21"/>
        <w:spacing w:line="360"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在此，授权代表宣布同意如下：</w:t>
      </w:r>
    </w:p>
    <w:p>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将按竞争性谈判文件的约定履行合同责任和义务；</w:t>
      </w:r>
    </w:p>
    <w:p>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 已详细审查全部竞争性谈判文件，包括</w:t>
      </w:r>
      <w:r>
        <w:rPr>
          <w:rFonts w:hint="eastAsia"/>
          <w:color w:val="000000" w:themeColor="text1"/>
          <w:sz w:val="24"/>
          <w:szCs w:val="24"/>
          <w:highlight w:val="none"/>
          <w:u w:val="single"/>
          <w14:textFill>
            <w14:solidFill>
              <w14:schemeClr w14:val="tx1"/>
            </w14:solidFill>
          </w14:textFill>
        </w:rPr>
        <w:t>（补遗文件）（如果有的话）</w:t>
      </w:r>
      <w:r>
        <w:rPr>
          <w:rFonts w:hint="eastAsia"/>
          <w:color w:val="000000" w:themeColor="text1"/>
          <w:sz w:val="24"/>
          <w:szCs w:val="24"/>
          <w:highlight w:val="none"/>
          <w14:textFill>
            <w14:solidFill>
              <w14:schemeClr w14:val="tx1"/>
            </w14:solidFill>
          </w14:textFill>
        </w:rPr>
        <w:t>；</w:t>
      </w:r>
    </w:p>
    <w:p>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同意提供按照贵方可能要求的与其谈判有关的一切数据或资料；</w:t>
      </w:r>
    </w:p>
    <w:p>
      <w:pPr>
        <w:pStyle w:val="21"/>
        <w:spacing w:line="360" w:lineRule="auto"/>
        <w:ind w:firstLine="480" w:firstLineChars="20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4. 与本谈判有关的一切正式往来信函请寄：</w:t>
      </w:r>
      <w:r>
        <w:rPr>
          <w:rFonts w:hint="eastAsia"/>
          <w:color w:val="000000" w:themeColor="text1"/>
          <w:sz w:val="24"/>
          <w:szCs w:val="24"/>
          <w:highlight w:val="none"/>
          <w:u w:val="single"/>
          <w14:textFill>
            <w14:solidFill>
              <w14:schemeClr w14:val="tx1"/>
            </w14:solidFill>
          </w14:textFill>
        </w:rPr>
        <w:t xml:space="preserve">                       </w:t>
      </w:r>
    </w:p>
    <w:p>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开户银行：</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帐号/行号：</w:t>
      </w:r>
      <w:r>
        <w:rPr>
          <w:rFonts w:hint="eastAsia"/>
          <w:color w:val="000000" w:themeColor="text1"/>
          <w:sz w:val="24"/>
          <w:szCs w:val="24"/>
          <w:highlight w:val="none"/>
          <w:u w:val="single"/>
          <w14:textFill>
            <w14:solidFill>
              <w14:schemeClr w14:val="tx1"/>
            </w14:solidFill>
          </w14:textFill>
        </w:rPr>
        <w:t xml:space="preserve">          </w:t>
      </w:r>
    </w:p>
    <w:p>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电话/传真：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电子函件：</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日</w:t>
      </w:r>
    </w:p>
    <w:p>
      <w:pPr>
        <w:pStyle w:val="21"/>
        <w:spacing w:line="360" w:lineRule="auto"/>
        <w:ind w:firstLine="840"/>
        <w:rPr>
          <w:color w:val="000000" w:themeColor="text1"/>
          <w:sz w:val="24"/>
          <w:szCs w:val="24"/>
          <w:highlight w:val="none"/>
          <w14:textFill>
            <w14:solidFill>
              <w14:schemeClr w14:val="tx1"/>
            </w14:solidFill>
          </w14:textFill>
        </w:rPr>
      </w:pPr>
    </w:p>
    <w:p>
      <w:pPr>
        <w:pStyle w:val="21"/>
        <w:spacing w:line="360" w:lineRule="auto"/>
        <w:ind w:firstLine="840"/>
        <w:rPr>
          <w:color w:val="000000" w:themeColor="text1"/>
          <w:sz w:val="24"/>
          <w:szCs w:val="24"/>
          <w:highlight w:val="none"/>
          <w14:textFill>
            <w14:solidFill>
              <w14:schemeClr w14:val="tx1"/>
            </w14:solidFill>
          </w14:textFill>
        </w:rPr>
      </w:pPr>
    </w:p>
    <w:p>
      <w:pPr>
        <w:pStyle w:val="21"/>
        <w:spacing w:line="360" w:lineRule="auto"/>
        <w:ind w:firstLine="840"/>
        <w:rPr>
          <w:color w:val="000000" w:themeColor="text1"/>
          <w:sz w:val="24"/>
          <w:szCs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pPr>
        <w:spacing w:line="360" w:lineRule="auto"/>
        <w:rPr>
          <w:rFonts w:ascii="宋体"/>
          <w:color w:val="000000" w:themeColor="text1"/>
          <w:sz w:val="24"/>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spacing w:line="300" w:lineRule="auto"/>
        <w:ind w:left="420" w:hanging="420"/>
        <w:rPr>
          <w:color w:val="000000" w:themeColor="text1"/>
          <w:highlight w:val="none"/>
          <w14:textFill>
            <w14:solidFill>
              <w14:schemeClr w14:val="tx1"/>
            </w14:solidFill>
          </w14:textFill>
        </w:rPr>
      </w:pPr>
    </w:p>
    <w:p>
      <w:pPr>
        <w:spacing w:line="300" w:lineRule="auto"/>
        <w:ind w:left="420" w:hanging="420"/>
        <w:rPr>
          <w:rFonts w:ascii="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pPr>
        <w:spacing w:line="300" w:lineRule="auto"/>
        <w:ind w:left="420" w:hanging="420"/>
        <w:rPr>
          <w:rFonts w:ascii="宋体"/>
          <w:b/>
          <w:color w:val="000000" w:themeColor="text1"/>
          <w:highlight w:val="none"/>
          <w14:textFill>
            <w14:solidFill>
              <w14:schemeClr w14:val="tx1"/>
            </w14:solidFill>
          </w14:textFill>
        </w:rPr>
      </w:pPr>
    </w:p>
    <w:p>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附件6</w:t>
      </w:r>
    </w:p>
    <w:p>
      <w:pPr>
        <w:adjustRightInd w:val="0"/>
        <w:snapToGrid w:val="0"/>
        <w:spacing w:line="300"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法定代表人（负责人）授权委托书</w:t>
      </w:r>
    </w:p>
    <w:p>
      <w:pPr>
        <w:adjustRightInd w:val="0"/>
        <w:snapToGrid w:val="0"/>
        <w:spacing w:line="520" w:lineRule="exact"/>
        <w:rPr>
          <w:rFonts w:ascii="宋体"/>
          <w:color w:val="000000" w:themeColor="text1"/>
          <w:szCs w:val="21"/>
          <w:highlight w:val="none"/>
          <w14:textFill>
            <w14:solidFill>
              <w14:schemeClr w14:val="tx1"/>
            </w14:solidFill>
          </w14:textFill>
        </w:rPr>
      </w:pPr>
    </w:p>
    <w:p>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lang w:eastAsia="zh-CN"/>
          <w14:textFill>
            <w14:solidFill>
              <w14:schemeClr w14:val="tx1"/>
            </w14:solidFill>
          </w14:textFill>
        </w:rPr>
        <w:t>广西璟华工程管理有限公司</w:t>
      </w:r>
      <w:r>
        <w:rPr>
          <w:rFonts w:hint="eastAsia" w:ascii="宋体"/>
          <w:color w:val="000000" w:themeColor="text1"/>
          <w:sz w:val="24"/>
          <w:highlight w:val="none"/>
          <w14:textFill>
            <w14:solidFill>
              <w14:schemeClr w14:val="tx1"/>
            </w14:solidFill>
          </w14:textFill>
        </w:rPr>
        <w:t>：</w:t>
      </w:r>
    </w:p>
    <w:p>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兹授权</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同志为我公司参加贵单位组织的</w:t>
      </w:r>
      <w:r>
        <w:rPr>
          <w:rFonts w:hint="eastAsia" w:ascii="宋体"/>
          <w:color w:val="000000" w:themeColor="text1"/>
          <w:sz w:val="24"/>
          <w:highlight w:val="none"/>
          <w:u w:val="single"/>
          <w14:textFill>
            <w14:solidFill>
              <w14:schemeClr w14:val="tx1"/>
            </w14:solidFill>
          </w14:textFill>
        </w:rPr>
        <w:t xml:space="preserve">                     项目</w:t>
      </w:r>
      <w:r>
        <w:rPr>
          <w:rFonts w:hint="eastAsia" w:ascii="宋体"/>
          <w:color w:val="000000" w:themeColor="text1"/>
          <w:sz w:val="24"/>
          <w:highlight w:val="none"/>
          <w14:textFill>
            <w14:solidFill>
              <w14:schemeClr w14:val="tx1"/>
            </w14:solidFill>
          </w14:textFill>
        </w:rPr>
        <w:t>（项目编号：</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）竞争性谈判采购活动的委托代理人，全权代表我公司处理在该项目活动中的一切事宜。代理期限从</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日起至</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日止。 </w:t>
      </w:r>
    </w:p>
    <w:p>
      <w:pPr>
        <w:spacing w:line="360" w:lineRule="auto"/>
        <w:rPr>
          <w:rFonts w:ascii="宋体"/>
          <w:color w:val="000000" w:themeColor="text1"/>
          <w:sz w:val="24"/>
          <w:highlight w:val="none"/>
          <w14:textFill>
            <w14:solidFill>
              <w14:schemeClr w14:val="tx1"/>
            </w14:solidFill>
          </w14:textFill>
        </w:rPr>
      </w:pPr>
    </w:p>
    <w:p>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谈判供应商（盖章）：</w:t>
      </w:r>
      <w:r>
        <w:rPr>
          <w:rFonts w:hint="eastAsia" w:ascii="宋体"/>
          <w:color w:val="000000" w:themeColor="text1"/>
          <w:sz w:val="24"/>
          <w:highlight w:val="none"/>
          <w:u w:val="single"/>
          <w14:textFill>
            <w14:solidFill>
              <w14:schemeClr w14:val="tx1"/>
            </w14:solidFill>
          </w14:textFill>
        </w:rPr>
        <w:t xml:space="preserve">               </w:t>
      </w:r>
    </w:p>
    <w:p>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法定代表人</w:t>
      </w:r>
      <w:r>
        <w:rPr>
          <w:rFonts w:hint="eastAsia"/>
          <w:color w:val="000000" w:themeColor="text1"/>
          <w:sz w:val="24"/>
          <w:highlight w:val="none"/>
          <w14:textFill>
            <w14:solidFill>
              <w14:schemeClr w14:val="tx1"/>
            </w14:solidFill>
          </w14:textFill>
        </w:rPr>
        <w:t>（负责人）</w:t>
      </w:r>
      <w:r>
        <w:rPr>
          <w:rFonts w:hint="eastAsia" w:ascii="宋体"/>
          <w:color w:val="000000" w:themeColor="text1"/>
          <w:sz w:val="24"/>
          <w:highlight w:val="none"/>
          <w14:textFill>
            <w14:solidFill>
              <w14:schemeClr w14:val="tx1"/>
            </w14:solidFill>
          </w14:textFill>
        </w:rPr>
        <w:t>（签名）：</w:t>
      </w:r>
      <w:r>
        <w:rPr>
          <w:rFonts w:hint="eastAsia" w:ascii="宋体"/>
          <w:color w:val="000000" w:themeColor="text1"/>
          <w:sz w:val="24"/>
          <w:highlight w:val="none"/>
          <w:u w:val="single"/>
          <w14:textFill>
            <w14:solidFill>
              <w14:schemeClr w14:val="tx1"/>
            </w14:solidFill>
          </w14:textFill>
        </w:rPr>
        <w:t xml:space="preserve">       </w:t>
      </w:r>
    </w:p>
    <w:p>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签发日期：</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w:t>
      </w:r>
    </w:p>
    <w:p>
      <w:pPr>
        <w:spacing w:line="360" w:lineRule="auto"/>
        <w:rPr>
          <w:rFonts w:ascii="宋体"/>
          <w:color w:val="000000" w:themeColor="text1"/>
          <w:sz w:val="24"/>
          <w:highlight w:val="none"/>
          <w14:textFill>
            <w14:solidFill>
              <w14:schemeClr w14:val="tx1"/>
            </w14:solidFill>
          </w14:textFill>
        </w:rPr>
      </w:pPr>
    </w:p>
    <w:p>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附：委托代理人工作单位</w:t>
      </w:r>
      <w:r>
        <w:rPr>
          <w:rFonts w:hint="eastAsia" w:ascii="宋体"/>
          <w:color w:val="000000" w:themeColor="text1"/>
          <w:sz w:val="24"/>
          <w:highlight w:val="none"/>
          <w:u w:val="single"/>
          <w14:textFill>
            <w14:solidFill>
              <w14:schemeClr w14:val="tx1"/>
            </w14:solidFill>
          </w14:textFill>
        </w:rPr>
        <w:t xml:space="preserve">               </w:t>
      </w:r>
    </w:p>
    <w:p>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职务：</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性别：</w:t>
      </w:r>
      <w:r>
        <w:rPr>
          <w:rFonts w:hint="eastAsia" w:ascii="宋体"/>
          <w:color w:val="000000" w:themeColor="text1"/>
          <w:sz w:val="24"/>
          <w:highlight w:val="none"/>
          <w:u w:val="single"/>
          <w14:textFill>
            <w14:solidFill>
              <w14:schemeClr w14:val="tx1"/>
            </w14:solidFill>
          </w14:textFill>
        </w:rPr>
        <w:t xml:space="preserve">    </w:t>
      </w:r>
    </w:p>
    <w:p>
      <w:pPr>
        <w:adjustRightInd w:val="0"/>
        <w:snapToGrid w:val="0"/>
        <w:spacing w:line="360" w:lineRule="auto"/>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身份证号码：</w:t>
      </w:r>
      <w:r>
        <w:rPr>
          <w:rFonts w:hint="eastAsia" w:ascii="宋体"/>
          <w:color w:val="000000" w:themeColor="text1"/>
          <w:sz w:val="24"/>
          <w:highlight w:val="none"/>
          <w:u w:val="single"/>
          <w14:textFill>
            <w14:solidFill>
              <w14:schemeClr w14:val="tx1"/>
            </w14:solidFill>
          </w14:textFill>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粘贴委托代理人的正面及反面身份证复印件</w:t>
            </w:r>
          </w:p>
        </w:tc>
      </w:tr>
    </w:tbl>
    <w:p>
      <w:pPr>
        <w:autoSpaceDE w:val="0"/>
        <w:autoSpaceDN w:val="0"/>
        <w:spacing w:line="360" w:lineRule="auto"/>
        <w:ind w:left="480" w:hanging="480"/>
        <w:rPr>
          <w:rFonts w:ascii="宋体"/>
          <w:color w:val="000000" w:themeColor="text1"/>
          <w:sz w:val="24"/>
          <w:highlight w:val="none"/>
          <w14:textFill>
            <w14:solidFill>
              <w14:schemeClr w14:val="tx1"/>
            </w14:solidFill>
          </w14:textFill>
        </w:rPr>
      </w:pPr>
    </w:p>
    <w:p>
      <w:pPr>
        <w:pStyle w:val="21"/>
        <w:spacing w:line="360" w:lineRule="auto"/>
        <w:rPr>
          <w:color w:val="000000" w:themeColor="text1"/>
          <w:sz w:val="24"/>
          <w:szCs w:val="24"/>
          <w:highlight w:val="none"/>
          <w14:textFill>
            <w14:solidFill>
              <w14:schemeClr w14:val="tx1"/>
            </w14:solidFill>
          </w14:textFill>
        </w:rPr>
      </w:pPr>
    </w:p>
    <w:p>
      <w:pPr>
        <w:pStyle w:val="21"/>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br w:type="page"/>
      </w:r>
    </w:p>
    <w:p>
      <w:pPr>
        <w:pStyle w:val="21"/>
        <w:spacing w:line="300" w:lineRule="auto"/>
        <w:rPr>
          <w:color w:val="000000" w:themeColor="text1"/>
          <w:highlight w:val="none"/>
          <w14:textFill>
            <w14:solidFill>
              <w14:schemeClr w14:val="tx1"/>
            </w14:solidFill>
          </w14:textFill>
        </w:rPr>
      </w:pPr>
    </w:p>
    <w:p>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附件7</w:t>
      </w:r>
    </w:p>
    <w:p>
      <w:pPr>
        <w:adjustRightInd w:val="0"/>
        <w:snapToGrid w:val="0"/>
        <w:spacing w:line="276"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法定代表人（负责人）身份证明书</w:t>
      </w:r>
    </w:p>
    <w:p>
      <w:pPr>
        <w:adjustRightInd w:val="0"/>
        <w:snapToGrid w:val="0"/>
        <w:spacing w:line="276" w:lineRule="auto"/>
        <w:ind w:firstLine="960" w:firstLineChars="400"/>
        <w:rPr>
          <w:rFonts w:ascii="宋体"/>
          <w:color w:val="000000" w:themeColor="text1"/>
          <w:sz w:val="24"/>
          <w:highlight w:val="none"/>
          <w:u w:val="single"/>
          <w14:textFill>
            <w14:solidFill>
              <w14:schemeClr w14:val="tx1"/>
            </w14:solidFill>
          </w14:textFill>
        </w:rPr>
      </w:pPr>
    </w:p>
    <w:p>
      <w:pPr>
        <w:adjustRightInd w:val="0"/>
        <w:snapToGrid w:val="0"/>
        <w:spacing w:line="720" w:lineRule="exact"/>
        <w:ind w:firstLine="960" w:firstLineChars="4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在我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任</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职务，是我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的法定代表人（负责人）。</w:t>
      </w:r>
    </w:p>
    <w:p>
      <w:pPr>
        <w:adjustRightInd w:val="0"/>
        <w:snapToGrid w:val="0"/>
        <w:spacing w:line="720" w:lineRule="exact"/>
        <w:ind w:firstLine="840" w:firstLineChars="3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特此证明。</w:t>
      </w:r>
    </w:p>
    <w:p>
      <w:pPr>
        <w:adjustRightInd w:val="0"/>
        <w:snapToGrid w:val="0"/>
        <w:spacing w:line="276" w:lineRule="auto"/>
        <w:rPr>
          <w:rFonts w:ascii="宋体"/>
          <w:color w:val="000000" w:themeColor="text1"/>
          <w:sz w:val="24"/>
          <w:highlight w:val="none"/>
          <w14:textFill>
            <w14:solidFill>
              <w14:schemeClr w14:val="tx1"/>
            </w14:solidFill>
          </w14:textFill>
        </w:rPr>
      </w:pPr>
    </w:p>
    <w:p>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pPr>
        <w:adjustRightInd w:val="0"/>
        <w:snapToGrid w:val="0"/>
        <w:spacing w:line="276" w:lineRule="auto"/>
        <w:rPr>
          <w:rFonts w:ascii="宋体"/>
          <w:color w:val="000000" w:themeColor="text1"/>
          <w:sz w:val="24"/>
          <w:highlight w:val="none"/>
          <w14:textFill>
            <w14:solidFill>
              <w14:schemeClr w14:val="tx1"/>
            </w14:solidFill>
          </w14:textFill>
        </w:rPr>
      </w:pPr>
    </w:p>
    <w:p>
      <w:pPr>
        <w:adjustRightInd w:val="0"/>
        <w:snapToGrid w:val="0"/>
        <w:spacing w:line="276" w:lineRule="auto"/>
        <w:ind w:firstLine="3360" w:firstLineChars="14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单位名称：</w:t>
      </w:r>
      <w:r>
        <w:rPr>
          <w:rFonts w:hint="eastAsia" w:ascii="宋体"/>
          <w:color w:val="000000" w:themeColor="text1"/>
          <w:sz w:val="24"/>
          <w:highlight w:val="none"/>
          <w:u w:val="single"/>
          <w14:textFill>
            <w14:solidFill>
              <w14:schemeClr w14:val="tx1"/>
            </w14:solidFill>
          </w14:textFill>
        </w:rPr>
        <w:t xml:space="preserve">                              </w:t>
      </w:r>
    </w:p>
    <w:p>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（单位公章）</w:t>
      </w:r>
    </w:p>
    <w:p>
      <w:pPr>
        <w:adjustRightInd w:val="0"/>
        <w:snapToGrid w:val="0"/>
        <w:spacing w:line="276" w:lineRule="auto"/>
        <w:rPr>
          <w:rFonts w:ascii="宋体"/>
          <w:color w:val="000000" w:themeColor="text1"/>
          <w:sz w:val="24"/>
          <w:highlight w:val="none"/>
          <w14:textFill>
            <w14:solidFill>
              <w14:schemeClr w14:val="tx1"/>
            </w14:solidFill>
          </w14:textFill>
        </w:rPr>
      </w:pPr>
    </w:p>
    <w:p>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     月    日</w:t>
      </w:r>
    </w:p>
    <w:p>
      <w:pPr>
        <w:adjustRightInd w:val="0"/>
        <w:snapToGrid w:val="0"/>
        <w:spacing w:line="276" w:lineRule="auto"/>
        <w:rPr>
          <w:rFonts w:ascii="宋体"/>
          <w:color w:val="000000" w:themeColor="text1"/>
          <w:sz w:val="24"/>
          <w:highlight w:val="none"/>
          <w14:textFill>
            <w14:solidFill>
              <w14:schemeClr w14:val="tx1"/>
            </w14:solidFill>
          </w14:textFill>
        </w:rPr>
      </w:pPr>
    </w:p>
    <w:p>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住    址：</w:t>
      </w:r>
    </w:p>
    <w:p>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联系电话：</w:t>
      </w:r>
    </w:p>
    <w:p>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pPr>
              <w:snapToGrid w:val="0"/>
              <w:spacing w:line="360" w:lineRule="exac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贴附“身份证复印件”（正反两面）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pPr>
              <w:snapToGrid w:val="0"/>
              <w:spacing w:line="360" w:lineRule="exact"/>
              <w:rPr>
                <w:rFonts w:ascii="宋体"/>
                <w:color w:val="000000" w:themeColor="text1"/>
                <w:sz w:val="24"/>
                <w:highlight w:val="none"/>
                <w14:textFill>
                  <w14:solidFill>
                    <w14:schemeClr w14:val="tx1"/>
                  </w14:solidFill>
                </w14:textFill>
              </w:rPr>
            </w:pPr>
          </w:p>
        </w:tc>
      </w:tr>
    </w:tbl>
    <w:p>
      <w:pPr>
        <w:pStyle w:val="21"/>
        <w:spacing w:line="300" w:lineRule="auto"/>
        <w:rPr>
          <w:color w:val="000000" w:themeColor="text1"/>
          <w:highlight w:val="none"/>
          <w14:textFill>
            <w14:solidFill>
              <w14:schemeClr w14:val="tx1"/>
            </w14:solidFill>
          </w14:textFill>
        </w:rPr>
      </w:pPr>
    </w:p>
    <w:p>
      <w:pPr>
        <w:pStyle w:val="21"/>
        <w:spacing w:line="300" w:lineRule="auto"/>
        <w:rPr>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pPr>
        <w:autoSpaceDE w:val="0"/>
        <w:autoSpaceDN w:val="0"/>
        <w:adjustRightInd w:val="0"/>
        <w:snapToGrid w:val="0"/>
        <w:spacing w:line="300" w:lineRule="auto"/>
        <w:rPr>
          <w:rFonts w:ascii="宋体"/>
          <w:b/>
          <w:color w:val="000000" w:themeColor="text1"/>
          <w:kern w:val="0"/>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附件8</w:t>
      </w:r>
    </w:p>
    <w:p>
      <w:pPr>
        <w:autoSpaceDE w:val="0"/>
        <w:autoSpaceDN w:val="0"/>
        <w:adjustRightInd w:val="0"/>
        <w:snapToGrid w:val="0"/>
        <w:spacing w:line="300" w:lineRule="auto"/>
        <w:ind w:firstLine="14753" w:firstLineChars="3340"/>
        <w:rPr>
          <w:rFonts w:ascii="宋体"/>
          <w:b/>
          <w:color w:val="000000" w:themeColor="text1"/>
          <w:kern w:val="0"/>
          <w:sz w:val="44"/>
          <w:szCs w:val="44"/>
          <w:highlight w:val="none"/>
          <w14:textFill>
            <w14:solidFill>
              <w14:schemeClr w14:val="tx1"/>
            </w14:solidFill>
          </w14:textFill>
        </w:rPr>
      </w:pPr>
    </w:p>
    <w:p>
      <w:pPr>
        <w:ind w:firstLine="640" w:firstLineChars="200"/>
        <w:jc w:val="center"/>
        <w:rPr>
          <w:rFonts w:ascii="黑体" w:eastAsia="黑体"/>
          <w:color w:val="000000" w:themeColor="text1"/>
          <w:kern w:val="0"/>
          <w:sz w:val="32"/>
          <w:szCs w:val="21"/>
          <w:highlight w:val="none"/>
          <w14:textFill>
            <w14:solidFill>
              <w14:schemeClr w14:val="tx1"/>
            </w14:solidFill>
          </w14:textFill>
        </w:rPr>
      </w:pPr>
      <w:r>
        <w:rPr>
          <w:rFonts w:hint="eastAsia" w:ascii="黑体" w:eastAsia="黑体"/>
          <w:color w:val="000000" w:themeColor="text1"/>
          <w:kern w:val="0"/>
          <w:sz w:val="32"/>
          <w:szCs w:val="21"/>
          <w:highlight w:val="none"/>
          <w14:textFill>
            <w14:solidFill>
              <w14:schemeClr w14:val="tx1"/>
            </w14:solidFill>
          </w14:textFill>
        </w:rPr>
        <w:t>承诺函（格式）</w:t>
      </w:r>
    </w:p>
    <w:p>
      <w:pPr>
        <w:widowControl/>
        <w:spacing w:line="360" w:lineRule="auto"/>
        <w:ind w:firstLine="480" w:firstLineChars="200"/>
        <w:jc w:val="left"/>
        <w:rPr>
          <w:rFonts w:ascii="仿宋_GB2312" w:eastAsia="仿宋_GB2312"/>
          <w:color w:val="000000" w:themeColor="text1"/>
          <w:kern w:val="0"/>
          <w:sz w:val="24"/>
          <w:highlight w:val="none"/>
          <w14:textFill>
            <w14:solidFill>
              <w14:schemeClr w14:val="tx1"/>
            </w14:solidFill>
          </w14:textFill>
        </w:rPr>
      </w:pPr>
    </w:p>
    <w:p>
      <w:pPr>
        <w:widowControl/>
        <w:spacing w:line="360" w:lineRule="auto"/>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（采购人）、（采购代理机构）：</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我方作为本次采购项目的谈判供应商，根据谈判文件要求，现郑重承诺如下：</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一、我方已认真阅读并接受本项目谈判文件第二章的全部实质性要求，如对谈判文件有异议，已依法进行维权救济，不存在对谈判文件有异议的同时又参加谈判以求侥幸成交或者为实现其他非法目的的行为。</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二、参加本次采购活动，不存在与单位负责人为同一人或者存在直接控股、管理关系的其他供应商参与同一合同项下的政府采购活动的行为。</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四、参加本次采购活动，不存在和其他供应商在同一合同项下的采购项目中，同时委托同一个自然人、同一家庭的人员、同一单位的人员作为代理人的行为。</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五、谈判文件中提供的能够给予我方带来优惠、好处的任何材料资料和技术、服务、商务、响应产品等响应承诺情况都是真实的、有效的、合法的。</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六、参加本次采购活动，我方完全同意谈判文件第二章关于“成交费用”、 “履约保证金”的实质性要求，并承诺严格按照谈判文件要求履行。</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我方对上述承诺的内容事项真实性负责。如经查实上述承诺的内容事项存在虚假，我方愿意接受以提供虚假材料谋取成交追究法律责任。</w:t>
      </w:r>
    </w:p>
    <w:p>
      <w:pPr>
        <w:adjustRightInd w:val="0"/>
        <w:snapToGrid w:val="0"/>
        <w:spacing w:line="360" w:lineRule="auto"/>
        <w:ind w:right="1470" w:rightChars="700"/>
        <w:rPr>
          <w:rFonts w:ascii="宋体"/>
          <w:color w:val="000000" w:themeColor="text1"/>
          <w:kern w:val="0"/>
          <w:sz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pStyle w:val="43"/>
        <w:ind w:firstLine="1197"/>
        <w:rPr>
          <w:rFonts w:hint="eastAsia" w:eastAsia="宋体"/>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附件9</w:t>
      </w:r>
    </w:p>
    <w:p>
      <w:pPr>
        <w:tabs>
          <w:tab w:val="left" w:pos="5387"/>
        </w:tabs>
        <w:spacing w:after="240" w:afterLines="100"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施工组织设计</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．施工组织设计除采用文字表述外可附下列图表，图表及格式要求附后。</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拟投入本工程的主要施工设备表</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拟配备本工程的试验和检测仪器设备表</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劳动力计划表</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计划开、竣工日期和施工进度网络图</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施工总平面图</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临时用地表</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8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年份</w:t>
            </w:r>
          </w:p>
        </w:tc>
        <w:tc>
          <w:tcPr>
            <w:tcW w:w="11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额定功率</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KW</w:t>
            </w:r>
            <w:r>
              <w:rPr>
                <w:rFonts w:hint="eastAsia" w:ascii="宋体" w:hAnsi="宋体" w:cs="宋体"/>
                <w:color w:val="000000" w:themeColor="text1"/>
                <w:sz w:val="24"/>
                <w:highlight w:val="none"/>
                <w14:textFill>
                  <w14:solidFill>
                    <w14:schemeClr w14:val="tx1"/>
                  </w14:solidFill>
                </w14:textFill>
              </w:rPr>
              <w:t>）</w:t>
            </w:r>
          </w:p>
        </w:tc>
        <w:tc>
          <w:tcPr>
            <w:tcW w:w="10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生产</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能力</w:t>
            </w:r>
          </w:p>
        </w:tc>
        <w:tc>
          <w:tcPr>
            <w:tcW w:w="11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用于施</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工部位</w:t>
            </w:r>
          </w:p>
        </w:tc>
        <w:tc>
          <w:tcPr>
            <w:tcW w:w="10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bl>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已使用</w:t>
            </w:r>
          </w:p>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台时数</w:t>
            </w: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bl>
    <w:p>
      <w:pPr>
        <w:spacing w:line="360" w:lineRule="auto"/>
        <w:rPr>
          <w:rFonts w:hint="eastAsia"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附表三：劳动力计划表</w:t>
      </w:r>
    </w:p>
    <w:p>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w:t>
      </w:r>
    </w:p>
    <w:p>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r>
    </w:tbl>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附表四：计划开、竣工日期和施工进度计划（网络图或横道图）</w:t>
      </w:r>
    </w:p>
    <w:p>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1. </w:t>
      </w:r>
      <w:r>
        <w:rPr>
          <w:rFonts w:hint="eastAsia" w:ascii="宋体" w:hAnsi="宋体" w:cs="宋体"/>
          <w:color w:val="000000" w:themeColor="text1"/>
          <w:sz w:val="24"/>
          <w:highlight w:val="none"/>
          <w14:textFill>
            <w14:solidFill>
              <w14:schemeClr w14:val="tx1"/>
            </w14:solidFill>
          </w14:textFill>
        </w:rPr>
        <w:t>谈判供应商应提交施工进度计划，说明按谈判文件要求的工期进行施工的各个关键日期。成交的谈判供应商还应按合同条件有关条款的要求提交详细的施工进度计划。</w:t>
      </w:r>
    </w:p>
    <w:p>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2. </w:t>
      </w:r>
      <w:r>
        <w:rPr>
          <w:rFonts w:hint="eastAsia" w:ascii="宋体" w:hAnsi="宋体" w:cs="宋体"/>
          <w:color w:val="000000" w:themeColor="text1"/>
          <w:sz w:val="24"/>
          <w:highlight w:val="none"/>
          <w14:textFill>
            <w14:solidFill>
              <w14:schemeClr w14:val="tx1"/>
            </w14:solidFill>
          </w14:textFill>
        </w:rPr>
        <w:t>施工进度计划可采用网络图（或横道图）表示，说明计划开工日期和各分项工程各阶段的完工日期和分包合同签订的日期。</w:t>
      </w:r>
    </w:p>
    <w:p>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3. </w:t>
      </w:r>
      <w:r>
        <w:rPr>
          <w:rFonts w:hint="eastAsia" w:ascii="宋体" w:hAnsi="宋体" w:cs="宋体"/>
          <w:color w:val="000000" w:themeColor="text1"/>
          <w:sz w:val="24"/>
          <w:highlight w:val="none"/>
          <w14:textFill>
            <w14:solidFill>
              <w14:schemeClr w14:val="tx1"/>
            </w14:solidFill>
          </w14:textFill>
        </w:rPr>
        <w:t>施工进度计划应与施工组织设计相适应。</w:t>
      </w: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附表五：施工总平面图</w:t>
      </w:r>
    </w:p>
    <w:p>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谈判供应商应递交一份施工总平面图，绘出现场临时设施布置图表并附文字说明，说明临时设施、加工车间、现场办公、设备及仓储、供电、供水、卫生、生活、道路、消防等设施的情况和布置。</w:t>
      </w: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2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位置</w:t>
            </w:r>
          </w:p>
        </w:tc>
        <w:tc>
          <w:tcPr>
            <w:tcW w:w="2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 w:val="24"/>
                <w:highlight w:val="none"/>
                <w14:textFill>
                  <w14:solidFill>
                    <w14:schemeClr w14:val="tx1"/>
                  </w14:solidFill>
                </w14:textFill>
              </w:rPr>
            </w:pPr>
          </w:p>
        </w:tc>
      </w:tr>
    </w:tbl>
    <w:p>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p>
    <w:p>
      <w:pPr>
        <w:rPr>
          <w:rFonts w:ascii="宋体" w:hAnsi="宋体" w:cs="宋体"/>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pPr>
        <w:spacing w:before="104" w:line="603" w:lineRule="exact"/>
        <w:rPr>
          <w:rFonts w:ascii="宋体" w:hAnsi="宋体" w:cs="宋体"/>
          <w:b/>
          <w:bCs/>
          <w:color w:val="000000" w:themeColor="text1"/>
          <w:spacing w:val="9"/>
          <w:position w:val="3"/>
          <w:sz w:val="24"/>
          <w:highlight w:val="none"/>
          <w14:textFill>
            <w14:solidFill>
              <w14:schemeClr w14:val="tx1"/>
            </w14:solidFill>
          </w14:textFill>
        </w:rPr>
      </w:pPr>
      <w:r>
        <w:rPr>
          <w:rFonts w:hint="eastAsia" w:ascii="宋体" w:hAnsi="宋体" w:cs="宋体"/>
          <w:b/>
          <w:bCs/>
          <w:color w:val="000000" w:themeColor="text1"/>
          <w:spacing w:val="9"/>
          <w:position w:val="3"/>
          <w:sz w:val="24"/>
          <w:highlight w:val="none"/>
          <w14:textFill>
            <w14:solidFill>
              <w14:schemeClr w14:val="tx1"/>
            </w14:solidFill>
          </w14:textFill>
        </w:rPr>
        <w:t>附件10</w:t>
      </w:r>
    </w:p>
    <w:p>
      <w:pPr>
        <w:spacing w:before="104" w:line="603" w:lineRule="exact"/>
        <w:jc w:val="center"/>
        <w:rPr>
          <w:rFonts w:ascii="宋体" w:hAnsi="宋体" w:cs="宋体"/>
          <w:color w:val="000000" w:themeColor="text1"/>
          <w:sz w:val="43"/>
          <w:szCs w:val="43"/>
          <w:highlight w:val="none"/>
          <w14:textFill>
            <w14:solidFill>
              <w14:schemeClr w14:val="tx1"/>
            </w14:solidFill>
          </w14:textFill>
        </w:rPr>
      </w:pPr>
      <w:r>
        <w:rPr>
          <w:rFonts w:hint="eastAsia" w:ascii="宋体" w:hAnsi="宋体" w:cs="宋体"/>
          <w:color w:val="000000" w:themeColor="text1"/>
          <w:spacing w:val="9"/>
          <w:position w:val="3"/>
          <w:sz w:val="43"/>
          <w:szCs w:val="43"/>
          <w:highlight w:val="none"/>
          <w14:textFill>
            <w14:solidFill>
              <w14:schemeClr w14:val="tx1"/>
            </w14:solidFill>
          </w14:textFill>
        </w:rPr>
        <w:t>项目管理机构配备情况表及主要人员简历表</w:t>
      </w:r>
    </w:p>
    <w:p>
      <w:pPr>
        <w:kinsoku w:val="0"/>
        <w:autoSpaceDE w:val="0"/>
        <w:autoSpaceDN w:val="0"/>
        <w:adjustRightInd w:val="0"/>
        <w:snapToGrid w:val="0"/>
        <w:spacing w:line="26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pPr>
        <w:spacing w:before="101" w:line="225" w:lineRule="auto"/>
        <w:ind w:left="2716"/>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（一）项目管理机构配备情况表</w:t>
      </w:r>
    </w:p>
    <w:p>
      <w:pPr>
        <w:spacing w:before="155" w:line="360" w:lineRule="auto"/>
        <w:ind w:left="51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5"/>
          <w:sz w:val="24"/>
          <w:highlight w:val="none"/>
          <w14:textFill>
            <w14:solidFill>
              <w14:schemeClr w14:val="tx1"/>
            </w14:solidFill>
          </w14:textFill>
        </w:rPr>
        <w:t>分标（如有</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pacing w:val="47"/>
          <w:sz w:val="24"/>
          <w:highlight w:val="none"/>
          <w14:textFill>
            <w14:solidFill>
              <w14:schemeClr w14:val="tx1"/>
            </w14:solidFill>
          </w14:textFill>
        </w:rPr>
        <w:t xml:space="preserve"> </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rPr>
          <w:rFonts w:ascii="宋体" w:hAnsi="宋体" w:cs="宋体"/>
          <w:color w:val="000000" w:themeColor="text1"/>
          <w:sz w:val="24"/>
          <w:highlight w:val="none"/>
          <w14:textFill>
            <w14:solidFill>
              <w14:schemeClr w14:val="tx1"/>
            </w14:solidFill>
          </w14:textFill>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pPr>
              <w:rPr>
                <w:rFonts w:ascii="宋体" w:hAnsi="宋体" w:cs="宋体"/>
                <w:color w:val="000000" w:themeColor="text1"/>
                <w:sz w:val="24"/>
                <w:highlight w:val="none"/>
                <w14:textFill>
                  <w14:solidFill>
                    <w14:schemeClr w14:val="tx1"/>
                  </w14:solidFill>
                </w14:textFill>
              </w:rPr>
            </w:pPr>
          </w:p>
          <w:p>
            <w:pPr>
              <w:kinsoku w:val="0"/>
              <w:autoSpaceDE w:val="0"/>
              <w:autoSpaceDN w:val="0"/>
              <w:adjustRightInd w:val="0"/>
              <w:snapToGrid w:val="0"/>
              <w:spacing w:before="68"/>
              <w:ind w:left="28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669" w:type="dxa"/>
            <w:vMerge w:val="restart"/>
            <w:tcBorders>
              <w:bottom w:val="nil"/>
            </w:tcBorders>
            <w:shd w:val="clear" w:color="auto" w:fill="auto"/>
            <w:vAlign w:val="center"/>
          </w:tcPr>
          <w:p>
            <w:pPr>
              <w:rPr>
                <w:rFonts w:ascii="宋体" w:hAnsi="宋体" w:cs="宋体"/>
                <w:color w:val="000000" w:themeColor="text1"/>
                <w:sz w:val="24"/>
                <w:highlight w:val="none"/>
                <w14:textFill>
                  <w14:solidFill>
                    <w14:schemeClr w14:val="tx1"/>
                  </w14:solidFill>
                </w14:textFill>
              </w:rPr>
            </w:pPr>
          </w:p>
          <w:p>
            <w:pPr>
              <w:kinsoku w:val="0"/>
              <w:autoSpaceDE w:val="0"/>
              <w:autoSpaceDN w:val="0"/>
              <w:adjustRightInd w:val="0"/>
              <w:snapToGrid w:val="0"/>
              <w:spacing w:before="68"/>
              <w:ind w:left="12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827" w:type="dxa"/>
            <w:vMerge w:val="restart"/>
            <w:tcBorders>
              <w:bottom w:val="nil"/>
            </w:tcBorders>
            <w:shd w:val="clear" w:color="auto" w:fill="auto"/>
            <w:vAlign w:val="center"/>
          </w:tcPr>
          <w:p>
            <w:pPr>
              <w:kinsoku w:val="0"/>
              <w:autoSpaceDE w:val="0"/>
              <w:autoSpaceDN w:val="0"/>
              <w:adjustRightInd w:val="0"/>
              <w:snapToGrid w:val="0"/>
              <w:spacing w:before="295"/>
              <w:ind w:left="21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7"/>
                <w:sz w:val="24"/>
                <w:highlight w:val="none"/>
                <w:lang w:eastAsia="en-US"/>
                <w14:textFill>
                  <w14:solidFill>
                    <w14:schemeClr w14:val="tx1"/>
                  </w14:solidFill>
                </w14:textFill>
              </w:rPr>
              <w:t>身份</w:t>
            </w:r>
          </w:p>
          <w:p>
            <w:pPr>
              <w:kinsoku w:val="0"/>
              <w:autoSpaceDE w:val="0"/>
              <w:autoSpaceDN w:val="0"/>
              <w:adjustRightInd w:val="0"/>
              <w:snapToGrid w:val="0"/>
              <w:ind w:left="20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815" w:type="dxa"/>
            <w:vMerge w:val="restart"/>
            <w:tcBorders>
              <w:bottom w:val="nil"/>
            </w:tcBorders>
            <w:shd w:val="clear" w:color="auto" w:fill="auto"/>
            <w:vAlign w:val="center"/>
          </w:tcPr>
          <w:p>
            <w:pPr>
              <w:rPr>
                <w:rFonts w:ascii="宋体" w:hAnsi="宋体" w:cs="宋体"/>
                <w:color w:val="000000" w:themeColor="text1"/>
                <w:sz w:val="24"/>
                <w:highlight w:val="none"/>
                <w14:textFill>
                  <w14:solidFill>
                    <w14:schemeClr w14:val="tx1"/>
                  </w14:solidFill>
                </w14:textFill>
              </w:rPr>
            </w:pPr>
          </w:p>
          <w:p>
            <w:pPr>
              <w:kinsoku w:val="0"/>
              <w:autoSpaceDE w:val="0"/>
              <w:autoSpaceDN w:val="0"/>
              <w:adjustRightInd w:val="0"/>
              <w:snapToGrid w:val="0"/>
              <w:spacing w:before="68"/>
              <w:ind w:left="2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4187" w:type="dxa"/>
            <w:gridSpan w:val="4"/>
            <w:shd w:val="clear" w:color="auto" w:fill="auto"/>
            <w:vAlign w:val="center"/>
          </w:tcPr>
          <w:p>
            <w:pPr>
              <w:kinsoku w:val="0"/>
              <w:autoSpaceDE w:val="0"/>
              <w:autoSpaceDN w:val="0"/>
              <w:adjustRightInd w:val="0"/>
              <w:snapToGrid w:val="0"/>
              <w:spacing w:before="135"/>
              <w:ind w:left="136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执业或职业资格</w:t>
            </w:r>
          </w:p>
        </w:tc>
        <w:tc>
          <w:tcPr>
            <w:tcW w:w="2447" w:type="dxa"/>
            <w:gridSpan w:val="2"/>
            <w:shd w:val="clear" w:color="auto" w:fill="auto"/>
            <w:vAlign w:val="center"/>
          </w:tcPr>
          <w:p>
            <w:pPr>
              <w:kinsoku w:val="0"/>
              <w:autoSpaceDE w:val="0"/>
              <w:autoSpaceDN w:val="0"/>
              <w:adjustRightInd w:val="0"/>
              <w:snapToGrid w:val="0"/>
              <w:spacing w:before="135"/>
              <w:ind w:left="115"/>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9"/>
                <w:kern w:val="0"/>
                <w:sz w:val="24"/>
                <w:highlight w:val="none"/>
                <w14:textFill>
                  <w14:solidFill>
                    <w14:schemeClr w14:val="tx1"/>
                  </w14:solidFill>
                </w14:textFill>
              </w:rPr>
              <w:t>承担完工、在建工程情况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669" w:type="dxa"/>
            <w:vMerge w:val="continue"/>
            <w:tcBorders>
              <w:top w:val="nil"/>
            </w:tcBorders>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vMerge w:val="continue"/>
            <w:tcBorders>
              <w:top w:val="nil"/>
            </w:tcBorders>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vMerge w:val="continue"/>
            <w:tcBorders>
              <w:top w:val="nil"/>
            </w:tcBorders>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kinsoku w:val="0"/>
              <w:autoSpaceDE w:val="0"/>
              <w:autoSpaceDN w:val="0"/>
              <w:adjustRightInd w:val="0"/>
              <w:snapToGrid w:val="0"/>
              <w:spacing w:before="207"/>
              <w:ind w:left="15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49" w:type="dxa"/>
            <w:shd w:val="clear" w:color="auto" w:fill="auto"/>
            <w:vAlign w:val="center"/>
          </w:tcPr>
          <w:p>
            <w:pPr>
              <w:kinsoku w:val="0"/>
              <w:autoSpaceDE w:val="0"/>
              <w:autoSpaceDN w:val="0"/>
              <w:adjustRightInd w:val="0"/>
              <w:snapToGrid w:val="0"/>
              <w:spacing w:before="207"/>
              <w:ind w:left="37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147" w:type="dxa"/>
            <w:shd w:val="clear" w:color="auto" w:fill="auto"/>
            <w:vAlign w:val="center"/>
          </w:tcPr>
          <w:p>
            <w:pPr>
              <w:kinsoku w:val="0"/>
              <w:autoSpaceDE w:val="0"/>
              <w:autoSpaceDN w:val="0"/>
              <w:adjustRightInd w:val="0"/>
              <w:snapToGrid w:val="0"/>
              <w:spacing w:before="207"/>
              <w:ind w:left="3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744" w:type="dxa"/>
            <w:shd w:val="clear" w:color="auto" w:fill="auto"/>
            <w:vAlign w:val="center"/>
          </w:tcPr>
          <w:p>
            <w:pPr>
              <w:kinsoku w:val="0"/>
              <w:autoSpaceDE w:val="0"/>
              <w:autoSpaceDN w:val="0"/>
              <w:adjustRightInd w:val="0"/>
              <w:snapToGrid w:val="0"/>
              <w:spacing w:before="207"/>
              <w:ind w:left="1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专业</w:t>
            </w:r>
          </w:p>
        </w:tc>
        <w:tc>
          <w:tcPr>
            <w:tcW w:w="1166" w:type="dxa"/>
            <w:shd w:val="clear" w:color="auto" w:fill="auto"/>
            <w:vAlign w:val="center"/>
          </w:tcPr>
          <w:p>
            <w:pPr>
              <w:kinsoku w:val="0"/>
              <w:autoSpaceDE w:val="0"/>
              <w:autoSpaceDN w:val="0"/>
              <w:adjustRightInd w:val="0"/>
              <w:snapToGrid w:val="0"/>
              <w:spacing w:before="176"/>
              <w:ind w:left="1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1"/>
                <w:sz w:val="24"/>
                <w:highlight w:val="none"/>
                <w:lang w:eastAsia="en-US"/>
                <w14:textFill>
                  <w14:solidFill>
                    <w14:schemeClr w14:val="tx1"/>
                  </w14:solidFill>
                </w14:textFill>
              </w:rPr>
              <w:t>完工/在建</w:t>
            </w:r>
          </w:p>
        </w:tc>
        <w:tc>
          <w:tcPr>
            <w:tcW w:w="1281" w:type="dxa"/>
            <w:shd w:val="clear" w:color="auto" w:fill="auto"/>
            <w:vAlign w:val="center"/>
          </w:tcPr>
          <w:p>
            <w:pPr>
              <w:kinsoku w:val="0"/>
              <w:autoSpaceDE w:val="0"/>
              <w:autoSpaceDN w:val="0"/>
              <w:adjustRightInd w:val="0"/>
              <w:snapToGrid w:val="0"/>
              <w:spacing w:before="51"/>
              <w:ind w:left="439" w:right="2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主要项目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pPr>
              <w:kinsoku w:val="0"/>
              <w:autoSpaceDE w:val="0"/>
              <w:autoSpaceDN w:val="0"/>
              <w:adjustRightInd w:val="0"/>
              <w:snapToGrid w:val="0"/>
              <w:spacing w:before="71"/>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7"/>
                <w:sz w:val="24"/>
                <w:highlight w:val="none"/>
                <w:lang w:eastAsia="en-US"/>
                <w14:textFill>
                  <w14:solidFill>
                    <w14:schemeClr w14:val="tx1"/>
                  </w14:solidFill>
                </w14:textFill>
              </w:rPr>
              <w:t>1.项目</w:t>
            </w:r>
          </w:p>
          <w:p>
            <w:pPr>
              <w:kinsoku w:val="0"/>
              <w:autoSpaceDE w:val="0"/>
              <w:autoSpaceDN w:val="0"/>
              <w:adjustRightInd w:val="0"/>
              <w:snapToGrid w:val="0"/>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w:t>
            </w:r>
          </w:p>
        </w:tc>
        <w:tc>
          <w:tcPr>
            <w:tcW w:w="66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pPr>
              <w:kinsoku w:val="0"/>
              <w:autoSpaceDE w:val="0"/>
              <w:autoSpaceDN w:val="0"/>
              <w:adjustRightInd w:val="0"/>
              <w:snapToGrid w:val="0"/>
              <w:spacing w:before="54"/>
              <w:ind w:left="118" w:right="179"/>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2.技术</w:t>
            </w:r>
            <w:r>
              <w:rPr>
                <w:rFonts w:hint="eastAsia" w:ascii="宋体" w:hAnsi="宋体" w:cs="宋体"/>
                <w:snapToGrid w:val="0"/>
                <w:color w:val="000000" w:themeColor="text1"/>
                <w:spacing w:val="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14:textFill>
                  <w14:solidFill>
                    <w14:schemeClr w14:val="tx1"/>
                  </w14:solidFill>
                </w14:textFill>
              </w:rPr>
              <w:t>负责人</w:t>
            </w:r>
            <w:r>
              <w:rPr>
                <w:rFonts w:hint="eastAsia" w:ascii="宋体" w:hAnsi="宋体" w:cs="宋体"/>
                <w:snapToGrid w:val="0"/>
                <w:color w:val="000000" w:themeColor="text1"/>
                <w:spacing w:val="-16"/>
                <w:kern w:val="0"/>
                <w:sz w:val="24"/>
                <w:highlight w:val="none"/>
                <w14:textFill>
                  <w14:solidFill>
                    <w14:schemeClr w14:val="tx1"/>
                  </w14:solidFill>
                </w14:textFill>
              </w:rPr>
              <w:t>（项目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66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pPr>
              <w:kinsoku w:val="0"/>
              <w:autoSpaceDE w:val="0"/>
              <w:autoSpaceDN w:val="0"/>
              <w:adjustRightInd w:val="0"/>
              <w:snapToGrid w:val="0"/>
              <w:spacing w:before="73"/>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施工</w:t>
            </w: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pPr>
              <w:kinsoku w:val="0"/>
              <w:autoSpaceDE w:val="0"/>
              <w:autoSpaceDN w:val="0"/>
              <w:adjustRightInd w:val="0"/>
              <w:snapToGrid w:val="0"/>
              <w:spacing w:before="70"/>
              <w:ind w:left="1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7"/>
                <w:sz w:val="24"/>
                <w:highlight w:val="none"/>
                <w:lang w:eastAsia="en-US"/>
                <w14:textFill>
                  <w14:solidFill>
                    <w14:schemeClr w14:val="tx1"/>
                  </w14:solidFill>
                </w14:textFill>
              </w:rPr>
              <w:t>4.安全</w:t>
            </w:r>
          </w:p>
          <w:p>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pPr>
              <w:kinsoku w:val="0"/>
              <w:autoSpaceDE w:val="0"/>
              <w:autoSpaceDN w:val="0"/>
              <w:adjustRightInd w:val="0"/>
              <w:snapToGrid w:val="0"/>
              <w:spacing w:before="71"/>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sz w:val="24"/>
                <w:highlight w:val="none"/>
                <w:lang w:eastAsia="en-US"/>
                <w14:textFill>
                  <w14:solidFill>
                    <w14:schemeClr w14:val="tx1"/>
                  </w14:solidFill>
                </w14:textFill>
              </w:rPr>
              <w:t>5.质量</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员</w:t>
            </w:r>
          </w:p>
        </w:tc>
        <w:tc>
          <w:tcPr>
            <w:tcW w:w="66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pPr>
              <w:kinsoku w:val="0"/>
              <w:autoSpaceDE w:val="0"/>
              <w:autoSpaceDN w:val="0"/>
              <w:adjustRightInd w:val="0"/>
              <w:snapToGrid w:val="0"/>
              <w:spacing w:before="73"/>
              <w:ind w:left="1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7"/>
                <w:sz w:val="24"/>
                <w:highlight w:val="none"/>
                <w:lang w:eastAsia="en-US"/>
                <w14:textFill>
                  <w14:solidFill>
                    <w14:schemeClr w14:val="tx1"/>
                  </w14:solidFill>
                </w14:textFill>
              </w:rPr>
              <w:t>6.材料</w:t>
            </w:r>
          </w:p>
          <w:p>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66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pPr>
              <w:kinsoku w:val="0"/>
              <w:autoSpaceDE w:val="0"/>
              <w:autoSpaceDN w:val="0"/>
              <w:adjustRightInd w:val="0"/>
              <w:snapToGrid w:val="0"/>
              <w:spacing w:before="74"/>
              <w:ind w:left="11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一旦我单位成交，将实行项目经理负责制，我方保证并配备上述项目管</w:t>
            </w:r>
            <w:r>
              <w:rPr>
                <w:rFonts w:hint="eastAsia" w:ascii="宋体" w:hAnsi="宋体" w:cs="宋体"/>
                <w:snapToGrid w:val="0"/>
                <w:color w:val="000000" w:themeColor="text1"/>
                <w:spacing w:val="-1"/>
                <w:kern w:val="0"/>
                <w:sz w:val="24"/>
                <w:highlight w:val="none"/>
                <w14:textFill>
                  <w14:solidFill>
                    <w14:schemeClr w14:val="tx1"/>
                  </w14:solidFill>
                </w14:textFill>
              </w:rPr>
              <w:t>理机构。上述填报内容真实，若不</w:t>
            </w:r>
            <w:r>
              <w:rPr>
                <w:rFonts w:hint="eastAsia" w:ascii="宋体" w:hAnsi="宋体" w:cs="宋体"/>
                <w:snapToGrid w:val="0"/>
                <w:color w:val="000000" w:themeColor="text1"/>
                <w:spacing w:val="-3"/>
                <w:kern w:val="0"/>
                <w:sz w:val="24"/>
                <w:highlight w:val="none"/>
                <w14:textFill>
                  <w14:solidFill>
                    <w14:schemeClr w14:val="tx1"/>
                  </w14:solidFill>
                </w14:textFill>
              </w:rPr>
              <w:t>真实，愿按有关规定接受处理。项目管理班子机构设置、职责分工等情况另附资料说明。</w:t>
            </w:r>
          </w:p>
        </w:tc>
      </w:tr>
    </w:tbl>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1.本表所列岗位的所有管理人员的情况均应如实填写。可按以上格式扩展为多页填写。</w:t>
      </w:r>
    </w:p>
    <w:p>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2.供应商应当在本表后附所有管理人员的身份证、职称证、执业或职业资格证书的复印件并加盖供应商公章。</w:t>
      </w:r>
    </w:p>
    <w:p>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spacing w:line="360" w:lineRule="auto"/>
        <w:rPr>
          <w:rFonts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 xml:space="preserve">   </w:t>
      </w: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before="159" w:line="624" w:lineRule="exact"/>
        <w:ind w:left="2591"/>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3"/>
          <w:position w:val="23"/>
          <w:sz w:val="31"/>
          <w:szCs w:val="31"/>
          <w:highlight w:val="none"/>
          <w14:textFill>
            <w14:solidFill>
              <w14:schemeClr w14:val="tx1"/>
            </w14:solidFill>
          </w14:textFill>
        </w:rPr>
        <w:t>（二） 拟投入的主要人员简历表</w:t>
      </w:r>
    </w:p>
    <w:p>
      <w:pPr>
        <w:spacing w:line="225" w:lineRule="auto"/>
        <w:ind w:left="4027"/>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项目经理简历表</w:t>
      </w:r>
    </w:p>
    <w:p>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pPr>
              <w:kinsoku w:val="0"/>
              <w:autoSpaceDE w:val="0"/>
              <w:autoSpaceDN w:val="0"/>
              <w:adjustRightInd w:val="0"/>
              <w:snapToGrid w:val="0"/>
              <w:spacing w:before="200"/>
              <w:ind w:left="39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066" w:type="dxa"/>
            <w:gridSpan w:val="4"/>
            <w:shd w:val="clear" w:color="auto" w:fill="auto"/>
          </w:tcPr>
          <w:p>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pPr>
              <w:kinsoku w:val="0"/>
              <w:autoSpaceDE w:val="0"/>
              <w:autoSpaceDN w:val="0"/>
              <w:adjustRightInd w:val="0"/>
              <w:snapToGrid w:val="0"/>
              <w:spacing w:before="200"/>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pPr>
              <w:kinsoku w:val="0"/>
              <w:autoSpaceDE w:val="0"/>
              <w:autoSpaceDN w:val="0"/>
              <w:adjustRightInd w:val="0"/>
              <w:snapToGrid w:val="0"/>
              <w:spacing w:before="200"/>
              <w:ind w:left="3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pPr>
              <w:kinsoku w:val="0"/>
              <w:autoSpaceDE w:val="0"/>
              <w:autoSpaceDN w:val="0"/>
              <w:adjustRightInd w:val="0"/>
              <w:snapToGrid w:val="0"/>
              <w:spacing w:before="207"/>
              <w:ind w:left="41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066" w:type="dxa"/>
            <w:gridSpan w:val="4"/>
            <w:shd w:val="clear" w:color="auto" w:fill="auto"/>
          </w:tcPr>
          <w:p>
            <w:pPr>
              <w:kinsoku w:val="0"/>
              <w:autoSpaceDE w:val="0"/>
              <w:autoSpaceDN w:val="0"/>
              <w:adjustRightInd w:val="0"/>
              <w:snapToGrid w:val="0"/>
              <w:spacing w:before="207"/>
              <w:ind w:left="7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项目经理</w:t>
            </w:r>
          </w:p>
        </w:tc>
        <w:tc>
          <w:tcPr>
            <w:tcW w:w="1894" w:type="dxa"/>
            <w:gridSpan w:val="3"/>
            <w:shd w:val="clear" w:color="auto" w:fill="auto"/>
          </w:tcPr>
          <w:p>
            <w:pPr>
              <w:kinsoku w:val="0"/>
              <w:autoSpaceDE w:val="0"/>
              <w:autoSpaceDN w:val="0"/>
              <w:adjustRightInd w:val="0"/>
              <w:snapToGrid w:val="0"/>
              <w:spacing w:before="208"/>
              <w:ind w:left="74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pPr>
              <w:kinsoku w:val="0"/>
              <w:autoSpaceDE w:val="0"/>
              <w:autoSpaceDN w:val="0"/>
              <w:adjustRightInd w:val="0"/>
              <w:snapToGrid w:val="0"/>
              <w:spacing w:before="207"/>
              <w:ind w:left="3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pPr>
              <w:kinsoku w:val="0"/>
              <w:autoSpaceDE w:val="0"/>
              <w:autoSpaceDN w:val="0"/>
              <w:adjustRightInd w:val="0"/>
              <w:snapToGrid w:val="0"/>
              <w:spacing w:before="51"/>
              <w:ind w:left="401" w:right="189" w:hanging="2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066" w:type="dxa"/>
            <w:gridSpan w:val="4"/>
            <w:shd w:val="clear" w:color="auto" w:fill="auto"/>
          </w:tcPr>
          <w:p>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pPr>
              <w:kinsoku w:val="0"/>
              <w:autoSpaceDE w:val="0"/>
              <w:autoSpaceDN w:val="0"/>
              <w:adjustRightInd w:val="0"/>
              <w:snapToGrid w:val="0"/>
              <w:spacing w:before="208"/>
              <w:ind w:left="3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pPr>
              <w:kinsoku w:val="0"/>
              <w:autoSpaceDE w:val="0"/>
              <w:autoSpaceDN w:val="0"/>
              <w:adjustRightInd w:val="0"/>
              <w:snapToGrid w:val="0"/>
              <w:spacing w:before="52"/>
              <w:ind w:left="210" w:right="16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经理年限</w:t>
            </w:r>
          </w:p>
        </w:tc>
        <w:tc>
          <w:tcPr>
            <w:tcW w:w="2066" w:type="dxa"/>
            <w:gridSpan w:val="4"/>
            <w:shd w:val="clear" w:color="auto" w:fill="auto"/>
          </w:tcPr>
          <w:p>
            <w:pPr>
              <w:rPr>
                <w:rFonts w:ascii="宋体" w:hAnsi="宋体" w:cs="宋体"/>
                <w:color w:val="000000" w:themeColor="text1"/>
                <w:sz w:val="24"/>
                <w:highlight w:val="none"/>
                <w14:textFill>
                  <w14:solidFill>
                    <w14:schemeClr w14:val="tx1"/>
                  </w14:solidFill>
                </w14:textFill>
              </w:rPr>
            </w:pPr>
          </w:p>
        </w:tc>
        <w:tc>
          <w:tcPr>
            <w:tcW w:w="1649" w:type="dxa"/>
            <w:gridSpan w:val="2"/>
            <w:shd w:val="clear" w:color="auto" w:fill="auto"/>
          </w:tcPr>
          <w:p>
            <w:pPr>
              <w:kinsoku w:val="0"/>
              <w:autoSpaceDE w:val="0"/>
              <w:autoSpaceDN w:val="0"/>
              <w:adjustRightInd w:val="0"/>
              <w:snapToGrid w:val="0"/>
              <w:spacing w:before="209"/>
              <w:ind w:left="31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71" w:type="dxa"/>
            <w:gridSpan w:val="8"/>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pPr>
              <w:kinsoku w:val="0"/>
              <w:autoSpaceDE w:val="0"/>
              <w:autoSpaceDN w:val="0"/>
              <w:adjustRightInd w:val="0"/>
              <w:snapToGrid w:val="0"/>
              <w:spacing w:before="196"/>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049" w:type="dxa"/>
            <w:gridSpan w:val="2"/>
            <w:shd w:val="clear" w:color="auto" w:fill="auto"/>
          </w:tcPr>
          <w:p>
            <w:pPr>
              <w:kinsoku w:val="0"/>
              <w:autoSpaceDE w:val="0"/>
              <w:autoSpaceDN w:val="0"/>
              <w:adjustRightInd w:val="0"/>
              <w:snapToGrid w:val="0"/>
              <w:spacing w:before="197"/>
              <w:ind w:left="2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5" w:type="dxa"/>
            <w:gridSpan w:val="3"/>
            <w:shd w:val="clear" w:color="auto" w:fill="auto"/>
          </w:tcPr>
          <w:p>
            <w:pPr>
              <w:kinsoku w:val="0"/>
              <w:autoSpaceDE w:val="0"/>
              <w:autoSpaceDN w:val="0"/>
              <w:adjustRightInd w:val="0"/>
              <w:snapToGrid w:val="0"/>
              <w:spacing w:before="197"/>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41" w:type="dxa"/>
            <w:shd w:val="clear" w:color="auto" w:fill="auto"/>
          </w:tcPr>
          <w:p>
            <w:pPr>
              <w:kinsoku w:val="0"/>
              <w:autoSpaceDE w:val="0"/>
              <w:autoSpaceDN w:val="0"/>
              <w:adjustRightInd w:val="0"/>
              <w:snapToGrid w:val="0"/>
              <w:spacing w:before="196"/>
              <w:ind w:left="3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pPr>
              <w:kinsoku w:val="0"/>
              <w:autoSpaceDE w:val="0"/>
              <w:autoSpaceDN w:val="0"/>
              <w:adjustRightInd w:val="0"/>
              <w:snapToGrid w:val="0"/>
              <w:spacing w:before="197"/>
              <w:ind w:left="29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pPr>
              <w:kinsoku w:val="0"/>
              <w:autoSpaceDE w:val="0"/>
              <w:autoSpaceDN w:val="0"/>
              <w:adjustRightInd w:val="0"/>
              <w:snapToGrid w:val="0"/>
              <w:spacing w:before="19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1" w:type="dxa"/>
            <w:gridSpan w:val="2"/>
            <w:shd w:val="clear" w:color="auto" w:fill="auto"/>
          </w:tcPr>
          <w:p>
            <w:pPr>
              <w:kinsoku w:val="0"/>
              <w:autoSpaceDE w:val="0"/>
              <w:autoSpaceDN w:val="0"/>
              <w:adjustRightInd w:val="0"/>
              <w:snapToGrid w:val="0"/>
              <w:spacing w:before="197"/>
              <w:ind w:left="19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04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4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pPr>
              <w:kinsoku w:val="0"/>
              <w:autoSpaceDE w:val="0"/>
              <w:autoSpaceDN w:val="0"/>
              <w:adjustRightInd w:val="0"/>
              <w:snapToGrid w:val="0"/>
              <w:spacing w:before="54"/>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pPr>
              <w:kinsoku w:val="0"/>
              <w:autoSpaceDE w:val="0"/>
              <w:autoSpaceDN w:val="0"/>
              <w:adjustRightInd w:val="0"/>
              <w:snapToGrid w:val="0"/>
              <w:spacing w:before="60"/>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pPr>
              <w:kinsoku w:val="0"/>
              <w:autoSpaceDE w:val="0"/>
              <w:autoSpaceDN w:val="0"/>
              <w:adjustRightInd w:val="0"/>
              <w:snapToGrid w:val="0"/>
              <w:spacing w:before="59"/>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04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pPr>
              <w:rPr>
                <w:rFonts w:ascii="宋体" w:hAnsi="宋体" w:cs="宋体"/>
                <w:color w:val="000000" w:themeColor="text1"/>
                <w:sz w:val="24"/>
                <w:highlight w:val="none"/>
                <w14:textFill>
                  <w14:solidFill>
                    <w14:schemeClr w14:val="tx1"/>
                  </w14:solidFill>
                </w14:textFill>
              </w:rPr>
            </w:pPr>
          </w:p>
          <w:p>
            <w:pPr>
              <w:kinsoku w:val="0"/>
              <w:autoSpaceDE w:val="0"/>
              <w:autoSpaceDN w:val="0"/>
              <w:adjustRightInd w:val="0"/>
              <w:snapToGrid w:val="0"/>
              <w:spacing w:before="69"/>
              <w:ind w:left="44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B</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类</w:t>
            </w:r>
          </w:p>
        </w:tc>
        <w:tc>
          <w:tcPr>
            <w:tcW w:w="144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pPr>
              <w:kinsoku w:val="0"/>
              <w:autoSpaceDE w:val="0"/>
              <w:autoSpaceDN w:val="0"/>
              <w:adjustRightInd w:val="0"/>
              <w:snapToGrid w:val="0"/>
              <w:spacing w:before="198"/>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4" w:type="dxa"/>
            <w:gridSpan w:val="3"/>
            <w:shd w:val="clear" w:color="auto" w:fill="auto"/>
          </w:tcPr>
          <w:p>
            <w:pPr>
              <w:kinsoku w:val="0"/>
              <w:autoSpaceDE w:val="0"/>
              <w:autoSpaceDN w:val="0"/>
              <w:adjustRightInd w:val="0"/>
              <w:snapToGrid w:val="0"/>
              <w:spacing w:before="198"/>
              <w:ind w:left="7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pPr>
              <w:kinsoku w:val="0"/>
              <w:autoSpaceDE w:val="0"/>
              <w:autoSpaceDN w:val="0"/>
              <w:adjustRightInd w:val="0"/>
              <w:snapToGrid w:val="0"/>
              <w:spacing w:before="198"/>
              <w:ind w:left="38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4" w:type="dxa"/>
            <w:gridSpan w:val="3"/>
            <w:shd w:val="clear" w:color="auto" w:fill="auto"/>
          </w:tcPr>
          <w:p>
            <w:pPr>
              <w:kinsoku w:val="0"/>
              <w:autoSpaceDE w:val="0"/>
              <w:autoSpaceDN w:val="0"/>
              <w:adjustRightInd w:val="0"/>
              <w:snapToGrid w:val="0"/>
              <w:spacing w:before="198"/>
              <w:ind w:left="5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3" w:type="dxa"/>
            <w:gridSpan w:val="2"/>
            <w:shd w:val="clear" w:color="auto" w:fill="auto"/>
          </w:tcPr>
          <w:p>
            <w:pPr>
              <w:kinsoku w:val="0"/>
              <w:autoSpaceDE w:val="0"/>
              <w:autoSpaceDN w:val="0"/>
              <w:adjustRightInd w:val="0"/>
              <w:snapToGrid w:val="0"/>
              <w:spacing w:before="198"/>
              <w:ind w:left="56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pPr>
              <w:kinsoku w:val="0"/>
              <w:autoSpaceDE w:val="0"/>
              <w:autoSpaceDN w:val="0"/>
              <w:adjustRightInd w:val="0"/>
              <w:snapToGrid w:val="0"/>
              <w:spacing w:before="201"/>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pPr>
              <w:kinsoku w:val="0"/>
              <w:autoSpaceDE w:val="0"/>
              <w:autoSpaceDN w:val="0"/>
              <w:adjustRightInd w:val="0"/>
              <w:snapToGrid w:val="0"/>
              <w:spacing w:before="167"/>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pPr>
              <w:kinsoku w:val="0"/>
              <w:autoSpaceDE w:val="0"/>
              <w:autoSpaceDN w:val="0"/>
              <w:adjustRightInd w:val="0"/>
              <w:snapToGrid w:val="0"/>
              <w:spacing w:before="170"/>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pPr>
              <w:kinsoku w:val="0"/>
              <w:autoSpaceDE w:val="0"/>
              <w:autoSpaceDN w:val="0"/>
              <w:adjustRightInd w:val="0"/>
              <w:snapToGrid w:val="0"/>
              <w:spacing w:before="17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bl>
    <w:p>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1.项目数可以根据需要增加。</w:t>
      </w:r>
    </w:p>
    <w:p>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2.本表后附项目经理的学历证、安全生产考核合格证（B 类）、本表所列证书复印件并加盖供应商公章。</w:t>
      </w:r>
    </w:p>
    <w:p>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pPr>
        <w:spacing w:before="315"/>
        <w:ind w:left="1939"/>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项目技术负责人（项目总工）</w:t>
      </w:r>
      <w:r>
        <w:rPr>
          <w:rFonts w:hint="eastAsia" w:ascii="宋体" w:hAnsi="宋体" w:cs="宋体"/>
          <w:color w:val="000000" w:themeColor="text1"/>
          <w:spacing w:val="-20"/>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简历表（如有）</w:t>
      </w:r>
    </w:p>
    <w:p>
      <w:pPr>
        <w:rPr>
          <w:rFonts w:ascii="宋体" w:hAnsi="宋体" w:cs="宋体"/>
          <w:color w:val="000000" w:themeColor="text1"/>
          <w:sz w:val="24"/>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pPr>
              <w:kinsoku w:val="0"/>
              <w:autoSpaceDE w:val="0"/>
              <w:autoSpaceDN w:val="0"/>
              <w:adjustRightInd w:val="0"/>
              <w:snapToGrid w:val="0"/>
              <w:spacing w:before="200"/>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338" w:type="dxa"/>
            <w:gridSpan w:val="5"/>
            <w:shd w:val="clear" w:color="auto" w:fill="auto"/>
          </w:tcPr>
          <w:p>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pPr>
              <w:kinsoku w:val="0"/>
              <w:autoSpaceDE w:val="0"/>
              <w:autoSpaceDN w:val="0"/>
              <w:adjustRightInd w:val="0"/>
              <w:snapToGrid w:val="0"/>
              <w:spacing w:before="200"/>
              <w:ind w:left="74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pPr>
              <w:kinsoku w:val="0"/>
              <w:autoSpaceDE w:val="0"/>
              <w:autoSpaceDN w:val="0"/>
              <w:adjustRightInd w:val="0"/>
              <w:snapToGrid w:val="0"/>
              <w:spacing w:before="200"/>
              <w:ind w:left="35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7"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pPr>
              <w:kinsoku w:val="0"/>
              <w:autoSpaceDE w:val="0"/>
              <w:autoSpaceDN w:val="0"/>
              <w:adjustRightInd w:val="0"/>
              <w:snapToGrid w:val="0"/>
              <w:spacing w:before="20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338" w:type="dxa"/>
            <w:gridSpan w:val="5"/>
            <w:shd w:val="clear" w:color="auto" w:fill="auto"/>
          </w:tcPr>
          <w:p>
            <w:pPr>
              <w:kinsoku w:val="0"/>
              <w:autoSpaceDE w:val="0"/>
              <w:autoSpaceDN w:val="0"/>
              <w:adjustRightInd w:val="0"/>
              <w:snapToGrid w:val="0"/>
              <w:spacing w:before="51"/>
              <w:ind w:left="860" w:right="115" w:hanging="73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项目技术负责人（项目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1892" w:type="dxa"/>
            <w:gridSpan w:val="3"/>
            <w:shd w:val="clear" w:color="auto" w:fill="auto"/>
          </w:tcPr>
          <w:p>
            <w:pPr>
              <w:kinsoku w:val="0"/>
              <w:autoSpaceDE w:val="0"/>
              <w:autoSpaceDN w:val="0"/>
              <w:adjustRightInd w:val="0"/>
              <w:snapToGrid w:val="0"/>
              <w:spacing w:before="207"/>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pPr>
              <w:kinsoku w:val="0"/>
              <w:autoSpaceDE w:val="0"/>
              <w:autoSpaceDN w:val="0"/>
              <w:adjustRightInd w:val="0"/>
              <w:snapToGrid w:val="0"/>
              <w:spacing w:before="207"/>
              <w:ind w:left="35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7"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pPr>
              <w:kinsoku w:val="0"/>
              <w:autoSpaceDE w:val="0"/>
              <w:autoSpaceDN w:val="0"/>
              <w:adjustRightInd w:val="0"/>
              <w:snapToGrid w:val="0"/>
              <w:spacing w:before="51"/>
              <w:ind w:left="391" w:right="155"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338" w:type="dxa"/>
            <w:gridSpan w:val="5"/>
            <w:shd w:val="clear" w:color="auto" w:fill="auto"/>
          </w:tcPr>
          <w:p>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pPr>
              <w:kinsoku w:val="0"/>
              <w:autoSpaceDE w:val="0"/>
              <w:autoSpaceDN w:val="0"/>
              <w:adjustRightInd w:val="0"/>
              <w:snapToGrid w:val="0"/>
              <w:spacing w:before="208"/>
              <w:ind w:left="32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7"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pPr>
              <w:kinsoku w:val="0"/>
              <w:autoSpaceDE w:val="0"/>
              <w:autoSpaceDN w:val="0"/>
              <w:adjustRightInd w:val="0"/>
              <w:snapToGrid w:val="0"/>
              <w:spacing w:before="55"/>
              <w:ind w:left="582" w:right="131" w:hanging="4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担任……年</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kern w:val="0"/>
                <w:sz w:val="24"/>
                <w:highlight w:val="none"/>
                <w:lang w:eastAsia="en-US"/>
                <w14:textFill>
                  <w14:solidFill>
                    <w14:schemeClr w14:val="tx1"/>
                  </w14:solidFill>
                </w14:textFill>
              </w:rPr>
              <w:t>限</w:t>
            </w:r>
          </w:p>
        </w:tc>
        <w:tc>
          <w:tcPr>
            <w:tcW w:w="2175" w:type="dxa"/>
            <w:gridSpan w:val="4"/>
            <w:shd w:val="clear" w:color="auto" w:fill="auto"/>
          </w:tcPr>
          <w:p>
            <w:pPr>
              <w:rPr>
                <w:rFonts w:ascii="宋体" w:hAnsi="宋体" w:cs="宋体"/>
                <w:color w:val="000000" w:themeColor="text1"/>
                <w:sz w:val="24"/>
                <w:highlight w:val="none"/>
                <w14:textFill>
                  <w14:solidFill>
                    <w14:schemeClr w14:val="tx1"/>
                  </w14:solidFill>
                </w14:textFill>
              </w:rPr>
            </w:pPr>
          </w:p>
        </w:tc>
        <w:tc>
          <w:tcPr>
            <w:tcW w:w="1650" w:type="dxa"/>
            <w:gridSpan w:val="2"/>
            <w:shd w:val="clear" w:color="auto" w:fill="auto"/>
          </w:tcPr>
          <w:p>
            <w:pPr>
              <w:kinsoku w:val="0"/>
              <w:autoSpaceDE w:val="0"/>
              <w:autoSpaceDN w:val="0"/>
              <w:adjustRightInd w:val="0"/>
              <w:snapToGrid w:val="0"/>
              <w:spacing w:before="211"/>
              <w:ind w:left="3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69" w:type="dxa"/>
            <w:gridSpan w:val="8"/>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pPr>
              <w:kinsoku w:val="0"/>
              <w:autoSpaceDE w:val="0"/>
              <w:autoSpaceDN w:val="0"/>
              <w:adjustRightInd w:val="0"/>
              <w:snapToGrid w:val="0"/>
              <w:spacing w:before="196"/>
              <w:ind w:left="25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87" w:type="dxa"/>
            <w:gridSpan w:val="2"/>
            <w:shd w:val="clear" w:color="auto" w:fill="auto"/>
          </w:tcPr>
          <w:p>
            <w:pPr>
              <w:kinsoku w:val="0"/>
              <w:autoSpaceDE w:val="0"/>
              <w:autoSpaceDN w:val="0"/>
              <w:adjustRightInd w:val="0"/>
              <w:snapToGrid w:val="0"/>
              <w:spacing w:before="196"/>
              <w:ind w:left="17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3" w:type="dxa"/>
            <w:gridSpan w:val="3"/>
            <w:shd w:val="clear" w:color="auto" w:fill="auto"/>
          </w:tcPr>
          <w:p>
            <w:pPr>
              <w:kinsoku w:val="0"/>
              <w:autoSpaceDE w:val="0"/>
              <w:autoSpaceDN w:val="0"/>
              <w:adjustRightInd w:val="0"/>
              <w:snapToGrid w:val="0"/>
              <w:spacing w:before="196"/>
              <w:ind w:left="4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5" w:type="dxa"/>
            <w:shd w:val="clear" w:color="auto" w:fill="auto"/>
          </w:tcPr>
          <w:p>
            <w:pPr>
              <w:kinsoku w:val="0"/>
              <w:autoSpaceDE w:val="0"/>
              <w:autoSpaceDN w:val="0"/>
              <w:adjustRightInd w:val="0"/>
              <w:snapToGrid w:val="0"/>
              <w:spacing w:before="196"/>
              <w:ind w:left="2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pPr>
              <w:kinsoku w:val="0"/>
              <w:autoSpaceDE w:val="0"/>
              <w:autoSpaceDN w:val="0"/>
              <w:adjustRightInd w:val="0"/>
              <w:snapToGrid w:val="0"/>
              <w:spacing w:before="196"/>
              <w:ind w:left="2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1" w:type="dxa"/>
            <w:gridSpan w:val="3"/>
            <w:shd w:val="clear" w:color="auto" w:fill="auto"/>
          </w:tcPr>
          <w:p>
            <w:pPr>
              <w:kinsoku w:val="0"/>
              <w:autoSpaceDE w:val="0"/>
              <w:autoSpaceDN w:val="0"/>
              <w:adjustRightInd w:val="0"/>
              <w:snapToGrid w:val="0"/>
              <w:spacing w:before="19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0" w:type="dxa"/>
            <w:gridSpan w:val="2"/>
            <w:shd w:val="clear" w:color="auto" w:fill="auto"/>
          </w:tcPr>
          <w:p>
            <w:pPr>
              <w:kinsoku w:val="0"/>
              <w:autoSpaceDE w:val="0"/>
              <w:autoSpaceDN w:val="0"/>
              <w:adjustRightInd w:val="0"/>
              <w:snapToGrid w:val="0"/>
              <w:spacing w:before="196"/>
              <w:ind w:left="19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547" w:type="dxa"/>
            <w:gridSpan w:val="2"/>
            <w:shd w:val="clear" w:color="auto" w:fill="auto"/>
          </w:tcPr>
          <w:p>
            <w:pPr>
              <w:kinsoku w:val="0"/>
              <w:autoSpaceDE w:val="0"/>
              <w:autoSpaceDN w:val="0"/>
              <w:adjustRightInd w:val="0"/>
              <w:snapToGrid w:val="0"/>
              <w:spacing w:before="198"/>
              <w:ind w:left="4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8" w:type="dxa"/>
            <w:gridSpan w:val="3"/>
            <w:shd w:val="clear" w:color="auto" w:fill="auto"/>
          </w:tcPr>
          <w:p>
            <w:pPr>
              <w:kinsoku w:val="0"/>
              <w:autoSpaceDE w:val="0"/>
              <w:autoSpaceDN w:val="0"/>
              <w:adjustRightInd w:val="0"/>
              <w:snapToGrid w:val="0"/>
              <w:spacing w:before="198"/>
              <w:ind w:left="7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pPr>
              <w:kinsoku w:val="0"/>
              <w:autoSpaceDE w:val="0"/>
              <w:autoSpaceDN w:val="0"/>
              <w:adjustRightInd w:val="0"/>
              <w:snapToGrid w:val="0"/>
              <w:spacing w:before="198"/>
              <w:ind w:left="3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3" w:type="dxa"/>
            <w:gridSpan w:val="3"/>
            <w:shd w:val="clear" w:color="auto" w:fill="auto"/>
          </w:tcPr>
          <w:p>
            <w:pPr>
              <w:kinsoku w:val="0"/>
              <w:autoSpaceDE w:val="0"/>
              <w:autoSpaceDN w:val="0"/>
              <w:adjustRightInd w:val="0"/>
              <w:snapToGrid w:val="0"/>
              <w:spacing w:before="198"/>
              <w:ind w:left="5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pPr>
              <w:kinsoku w:val="0"/>
              <w:autoSpaceDE w:val="0"/>
              <w:autoSpaceDN w:val="0"/>
              <w:adjustRightInd w:val="0"/>
              <w:snapToGrid w:val="0"/>
              <w:spacing w:before="198"/>
              <w:ind w:left="56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pPr>
              <w:kinsoku w:val="0"/>
              <w:autoSpaceDE w:val="0"/>
              <w:autoSpaceDN w:val="0"/>
              <w:adjustRightInd w:val="0"/>
              <w:snapToGrid w:val="0"/>
              <w:spacing w:before="199"/>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pPr>
              <w:kinsoku w:val="0"/>
              <w:autoSpaceDE w:val="0"/>
              <w:autoSpaceDN w:val="0"/>
              <w:adjustRightInd w:val="0"/>
              <w:snapToGrid w:val="0"/>
              <w:spacing w:before="169"/>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pPr>
              <w:kinsoku w:val="0"/>
              <w:autoSpaceDE w:val="0"/>
              <w:autoSpaceDN w:val="0"/>
              <w:adjustRightInd w:val="0"/>
              <w:snapToGrid w:val="0"/>
              <w:spacing w:before="171"/>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pPr>
              <w:kinsoku w:val="0"/>
              <w:autoSpaceDE w:val="0"/>
              <w:autoSpaceDN w:val="0"/>
              <w:adjustRightInd w:val="0"/>
              <w:snapToGrid w:val="0"/>
              <w:spacing w:before="172"/>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pPr>
              <w:kinsoku w:val="0"/>
              <w:autoSpaceDE w:val="0"/>
              <w:autoSpaceDN w:val="0"/>
              <w:adjustRightInd w:val="0"/>
              <w:snapToGrid w:val="0"/>
              <w:spacing w:before="176"/>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bl>
    <w:p>
      <w:pPr>
        <w:spacing w:before="127"/>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pPr>
        <w:spacing w:before="214"/>
        <w:ind w:left="81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1.项目数可以根据需要增加。</w:t>
      </w:r>
    </w:p>
    <w:p>
      <w:pPr>
        <w:spacing w:before="216"/>
        <w:ind w:left="8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2.本表后附项目技术负责人（项目总工）</w:t>
      </w:r>
      <w:r>
        <w:rPr>
          <w:rFonts w:hint="eastAsia" w:ascii="宋体" w:hAnsi="宋体" w:cs="宋体"/>
          <w:color w:val="000000" w:themeColor="text1"/>
          <w:spacing w:val="-36"/>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的学历证、本表所列证书复</w:t>
      </w:r>
      <w:r>
        <w:rPr>
          <w:rFonts w:hint="eastAsia" w:ascii="宋体" w:hAnsi="宋体" w:cs="宋体"/>
          <w:color w:val="000000" w:themeColor="text1"/>
          <w:spacing w:val="-4"/>
          <w:sz w:val="24"/>
          <w:highlight w:val="none"/>
          <w14:textFill>
            <w14:solidFill>
              <w14:schemeClr w14:val="tx1"/>
            </w14:solidFill>
          </w14:textFill>
        </w:rPr>
        <w:t>印件并加盖供应商公章。</w:t>
      </w:r>
    </w:p>
    <w:p>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pPr>
        <w:spacing w:before="159" w:line="226" w:lineRule="auto"/>
        <w:ind w:left="2739"/>
        <w:rPr>
          <w:rFonts w:ascii="宋体" w:hAnsi="宋体" w:cs="宋体"/>
          <w:color w:val="000000" w:themeColor="text1"/>
          <w:sz w:val="31"/>
          <w:szCs w:val="31"/>
          <w:highlight w:val="none"/>
          <w14:textFill>
            <w14:solidFill>
              <w14:schemeClr w14:val="tx1"/>
            </w14:solidFill>
          </w14:textFill>
        </w:rPr>
      </w:pPr>
      <w:bookmarkStart w:id="57" w:name="_Toc4741"/>
      <w:bookmarkStart w:id="58" w:name="_Toc12309"/>
      <w:bookmarkStart w:id="59" w:name="_Toc176429414"/>
      <w:r>
        <w:rPr>
          <w:rFonts w:hint="eastAsia" w:ascii="宋体" w:hAnsi="宋体" w:cs="宋体"/>
          <w:color w:val="000000" w:themeColor="text1"/>
          <w:spacing w:val="10"/>
          <w:sz w:val="31"/>
          <w:szCs w:val="31"/>
          <w:highlight w:val="none"/>
          <w14:textFill>
            <w14:solidFill>
              <w14:schemeClr w14:val="tx1"/>
            </w14:solidFill>
          </w14:textFill>
        </w:rPr>
        <w:t>专职安全生产管理人员简历表</w:t>
      </w:r>
      <w:bookmarkEnd w:id="57"/>
      <w:bookmarkEnd w:id="58"/>
      <w:bookmarkEnd w:id="59"/>
    </w:p>
    <w:p>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pPr>
              <w:kinsoku w:val="0"/>
              <w:autoSpaceDE w:val="0"/>
              <w:autoSpaceDN w:val="0"/>
              <w:adjustRightInd w:val="0"/>
              <w:snapToGrid w:val="0"/>
              <w:spacing w:before="200" w:line="221" w:lineRule="auto"/>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498" w:type="dxa"/>
            <w:gridSpan w:val="4"/>
            <w:shd w:val="clear" w:color="auto" w:fill="auto"/>
          </w:tcPr>
          <w:p>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pPr>
              <w:kinsoku w:val="0"/>
              <w:autoSpaceDE w:val="0"/>
              <w:autoSpaceDN w:val="0"/>
              <w:adjustRightInd w:val="0"/>
              <w:snapToGrid w:val="0"/>
              <w:spacing w:before="200" w:line="222" w:lineRule="auto"/>
              <w:ind w:left="7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8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pPr>
              <w:kinsoku w:val="0"/>
              <w:autoSpaceDE w:val="0"/>
              <w:autoSpaceDN w:val="0"/>
              <w:adjustRightInd w:val="0"/>
              <w:snapToGrid w:val="0"/>
              <w:spacing w:before="200" w:line="221" w:lineRule="auto"/>
              <w:ind w:left="33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2"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pPr>
              <w:kinsoku w:val="0"/>
              <w:autoSpaceDE w:val="0"/>
              <w:autoSpaceDN w:val="0"/>
              <w:adjustRightInd w:val="0"/>
              <w:snapToGrid w:val="0"/>
              <w:spacing w:before="20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498" w:type="dxa"/>
            <w:gridSpan w:val="4"/>
            <w:shd w:val="clear" w:color="auto" w:fill="auto"/>
          </w:tcPr>
          <w:p>
            <w:pPr>
              <w:kinsoku w:val="0"/>
              <w:autoSpaceDE w:val="0"/>
              <w:autoSpaceDN w:val="0"/>
              <w:adjustRightInd w:val="0"/>
              <w:snapToGrid w:val="0"/>
              <w:spacing w:before="207" w:line="221" w:lineRule="auto"/>
              <w:ind w:left="9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专职安全生产管理人员</w:t>
            </w:r>
          </w:p>
        </w:tc>
        <w:tc>
          <w:tcPr>
            <w:tcW w:w="1417" w:type="dxa"/>
            <w:shd w:val="clear" w:color="auto" w:fill="auto"/>
          </w:tcPr>
          <w:p>
            <w:pPr>
              <w:kinsoku w:val="0"/>
              <w:autoSpaceDE w:val="0"/>
              <w:autoSpaceDN w:val="0"/>
              <w:adjustRightInd w:val="0"/>
              <w:snapToGrid w:val="0"/>
              <w:spacing w:before="208" w:line="223" w:lineRule="auto"/>
              <w:ind w:left="7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8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pPr>
              <w:kinsoku w:val="0"/>
              <w:autoSpaceDE w:val="0"/>
              <w:autoSpaceDN w:val="0"/>
              <w:adjustRightInd w:val="0"/>
              <w:snapToGrid w:val="0"/>
              <w:spacing w:before="207" w:line="223" w:lineRule="auto"/>
              <w:ind w:left="3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2"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498" w:type="dxa"/>
            <w:gridSpan w:val="4"/>
            <w:shd w:val="clear" w:color="auto" w:fill="auto"/>
          </w:tcPr>
          <w:p>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pPr>
              <w:kinsoku w:val="0"/>
              <w:autoSpaceDE w:val="0"/>
              <w:autoSpaceDN w:val="0"/>
              <w:adjustRightInd w:val="0"/>
              <w:snapToGrid w:val="0"/>
              <w:spacing w:before="208" w:line="221" w:lineRule="auto"/>
              <w:ind w:left="3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878"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pPr>
              <w:kinsoku w:val="0"/>
              <w:autoSpaceDE w:val="0"/>
              <w:autoSpaceDN w:val="0"/>
              <w:adjustRightInd w:val="0"/>
              <w:snapToGrid w:val="0"/>
              <w:spacing w:before="208" w:line="221" w:lineRule="auto"/>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2"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年限</w:t>
            </w:r>
          </w:p>
        </w:tc>
        <w:tc>
          <w:tcPr>
            <w:tcW w:w="2498" w:type="dxa"/>
            <w:gridSpan w:val="4"/>
            <w:shd w:val="clear" w:color="auto" w:fill="auto"/>
          </w:tcPr>
          <w:p>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码</w:t>
            </w:r>
          </w:p>
        </w:tc>
        <w:tc>
          <w:tcPr>
            <w:tcW w:w="4508" w:type="dxa"/>
            <w:gridSpan w:val="7"/>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pPr>
              <w:kinsoku w:val="0"/>
              <w:autoSpaceDE w:val="0"/>
              <w:autoSpaceDN w:val="0"/>
              <w:adjustRightInd w:val="0"/>
              <w:snapToGrid w:val="0"/>
              <w:spacing w:before="196" w:line="221" w:lineRule="auto"/>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274" w:type="dxa"/>
            <w:gridSpan w:val="2"/>
            <w:shd w:val="clear" w:color="auto" w:fill="auto"/>
          </w:tcPr>
          <w:p>
            <w:pPr>
              <w:kinsoku w:val="0"/>
              <w:autoSpaceDE w:val="0"/>
              <w:autoSpaceDN w:val="0"/>
              <w:adjustRightInd w:val="0"/>
              <w:snapToGrid w:val="0"/>
              <w:spacing w:before="197" w:line="222" w:lineRule="auto"/>
              <w:ind w:left="26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4" w:type="dxa"/>
            <w:gridSpan w:val="2"/>
            <w:shd w:val="clear" w:color="auto" w:fill="auto"/>
          </w:tcPr>
          <w:p>
            <w:pPr>
              <w:kinsoku w:val="0"/>
              <w:autoSpaceDE w:val="0"/>
              <w:autoSpaceDN w:val="0"/>
              <w:adjustRightInd w:val="0"/>
              <w:snapToGrid w:val="0"/>
              <w:spacing w:before="197" w:line="222" w:lineRule="auto"/>
              <w:ind w:left="4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7" w:type="dxa"/>
            <w:shd w:val="clear" w:color="auto" w:fill="auto"/>
          </w:tcPr>
          <w:p>
            <w:pPr>
              <w:kinsoku w:val="0"/>
              <w:autoSpaceDE w:val="0"/>
              <w:autoSpaceDN w:val="0"/>
              <w:adjustRightInd w:val="0"/>
              <w:snapToGrid w:val="0"/>
              <w:spacing w:before="196" w:line="221" w:lineRule="auto"/>
              <w:ind w:left="3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9" w:type="dxa"/>
            <w:gridSpan w:val="2"/>
            <w:shd w:val="clear" w:color="auto" w:fill="auto"/>
          </w:tcPr>
          <w:p>
            <w:pPr>
              <w:kinsoku w:val="0"/>
              <w:autoSpaceDE w:val="0"/>
              <w:autoSpaceDN w:val="0"/>
              <w:adjustRightInd w:val="0"/>
              <w:snapToGrid w:val="0"/>
              <w:spacing w:before="197" w:line="223" w:lineRule="auto"/>
              <w:ind w:left="3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pPr>
              <w:kinsoku w:val="0"/>
              <w:autoSpaceDE w:val="0"/>
              <w:autoSpaceDN w:val="0"/>
              <w:adjustRightInd w:val="0"/>
              <w:snapToGrid w:val="0"/>
              <w:spacing w:before="197" w:line="222" w:lineRule="auto"/>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57" w:type="dxa"/>
            <w:gridSpan w:val="2"/>
            <w:shd w:val="clear" w:color="auto" w:fill="auto"/>
          </w:tcPr>
          <w:p>
            <w:pPr>
              <w:kinsoku w:val="0"/>
              <w:autoSpaceDE w:val="0"/>
              <w:autoSpaceDN w:val="0"/>
              <w:adjustRightInd w:val="0"/>
              <w:snapToGrid w:val="0"/>
              <w:spacing w:before="197" w:line="222" w:lineRule="auto"/>
              <w:ind w:left="22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pPr>
              <w:kinsoku w:val="0"/>
              <w:autoSpaceDE w:val="0"/>
              <w:autoSpaceDN w:val="0"/>
              <w:adjustRightInd w:val="0"/>
              <w:snapToGrid w:val="0"/>
              <w:spacing w:before="56" w:line="221" w:lineRule="auto"/>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pPr>
              <w:kinsoku w:val="0"/>
              <w:autoSpaceDE w:val="0"/>
              <w:autoSpaceDN w:val="0"/>
              <w:adjustRightInd w:val="0"/>
              <w:snapToGrid w:val="0"/>
              <w:spacing w:before="60" w:line="221" w:lineRule="auto"/>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pPr>
              <w:kinsoku w:val="0"/>
              <w:autoSpaceDE w:val="0"/>
              <w:autoSpaceDN w:val="0"/>
              <w:adjustRightInd w:val="0"/>
              <w:snapToGrid w:val="0"/>
              <w:spacing w:before="59" w:line="221" w:lineRule="auto"/>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274"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pPr>
              <w:spacing w:line="298" w:lineRule="auto"/>
              <w:rPr>
                <w:rFonts w:ascii="宋体" w:hAnsi="宋体" w:cs="宋体"/>
                <w:color w:val="000000" w:themeColor="text1"/>
                <w:sz w:val="24"/>
                <w:highlight w:val="none"/>
                <w14:textFill>
                  <w14:solidFill>
                    <w14:schemeClr w14:val="tx1"/>
                  </w14:solidFill>
                </w14:textFill>
              </w:rPr>
            </w:pPr>
          </w:p>
          <w:p>
            <w:pPr>
              <w:kinsoku w:val="0"/>
              <w:autoSpaceDE w:val="0"/>
              <w:autoSpaceDN w:val="0"/>
              <w:adjustRightInd w:val="0"/>
              <w:snapToGrid w:val="0"/>
              <w:spacing w:before="68" w:line="221"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C</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类</w:t>
            </w:r>
          </w:p>
        </w:tc>
        <w:tc>
          <w:tcPr>
            <w:tcW w:w="141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274"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pPr>
              <w:kinsoku w:val="0"/>
              <w:autoSpaceDE w:val="0"/>
              <w:autoSpaceDN w:val="0"/>
              <w:adjustRightInd w:val="0"/>
              <w:snapToGrid w:val="0"/>
              <w:spacing w:before="208" w:line="221"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pPr>
              <w:kinsoku w:val="0"/>
              <w:autoSpaceDE w:val="0"/>
              <w:autoSpaceDN w:val="0"/>
              <w:adjustRightInd w:val="0"/>
              <w:snapToGrid w:val="0"/>
              <w:spacing w:before="198" w:line="222" w:lineRule="auto"/>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37" w:type="dxa"/>
            <w:gridSpan w:val="2"/>
            <w:shd w:val="clear" w:color="auto" w:fill="auto"/>
          </w:tcPr>
          <w:p>
            <w:pPr>
              <w:kinsoku w:val="0"/>
              <w:autoSpaceDE w:val="0"/>
              <w:autoSpaceDN w:val="0"/>
              <w:adjustRightInd w:val="0"/>
              <w:snapToGrid w:val="0"/>
              <w:spacing w:before="198" w:line="222" w:lineRule="auto"/>
              <w:ind w:left="63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70" w:type="dxa"/>
            <w:shd w:val="clear" w:color="auto" w:fill="auto"/>
          </w:tcPr>
          <w:p>
            <w:pPr>
              <w:kinsoku w:val="0"/>
              <w:autoSpaceDE w:val="0"/>
              <w:autoSpaceDN w:val="0"/>
              <w:adjustRightInd w:val="0"/>
              <w:snapToGrid w:val="0"/>
              <w:spacing w:before="198" w:line="222"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6" w:type="dxa"/>
            <w:gridSpan w:val="3"/>
            <w:shd w:val="clear" w:color="auto" w:fill="auto"/>
          </w:tcPr>
          <w:p>
            <w:pPr>
              <w:kinsoku w:val="0"/>
              <w:autoSpaceDE w:val="0"/>
              <w:autoSpaceDN w:val="0"/>
              <w:adjustRightInd w:val="0"/>
              <w:snapToGrid w:val="0"/>
              <w:spacing w:before="198" w:line="222" w:lineRule="auto"/>
              <w:ind w:left="53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pPr>
              <w:kinsoku w:val="0"/>
              <w:autoSpaceDE w:val="0"/>
              <w:autoSpaceDN w:val="0"/>
              <w:adjustRightInd w:val="0"/>
              <w:snapToGrid w:val="0"/>
              <w:spacing w:before="198" w:line="333" w:lineRule="exact"/>
              <w:ind w:left="55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0" w:type="dxa"/>
            <w:tcBorders>
              <w:top w:val="single" w:color="FFFFFF" w:sz="2" w:space="0"/>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pPr>
              <w:kinsoku w:val="0"/>
              <w:autoSpaceDE w:val="0"/>
              <w:autoSpaceDN w:val="0"/>
              <w:adjustRightInd w:val="0"/>
              <w:snapToGrid w:val="0"/>
              <w:spacing w:before="201"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pPr>
              <w:kinsoku w:val="0"/>
              <w:autoSpaceDE w:val="0"/>
              <w:autoSpaceDN w:val="0"/>
              <w:adjustRightInd w:val="0"/>
              <w:snapToGrid w:val="0"/>
              <w:spacing w:before="167"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pPr>
              <w:kinsoku w:val="0"/>
              <w:autoSpaceDE w:val="0"/>
              <w:autoSpaceDN w:val="0"/>
              <w:adjustRightInd w:val="0"/>
              <w:snapToGrid w:val="0"/>
              <w:spacing w:before="171" w:line="221"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pPr>
              <w:kinsoku w:val="0"/>
              <w:autoSpaceDE w:val="0"/>
              <w:autoSpaceDN w:val="0"/>
              <w:adjustRightInd w:val="0"/>
              <w:snapToGrid w:val="0"/>
              <w:spacing w:before="170" w:line="222"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6" w:line="221"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5" w:line="221"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6" w:line="221"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pPr>
              <w:kinsoku w:val="0"/>
              <w:autoSpaceDE w:val="0"/>
              <w:autoSpaceDN w:val="0"/>
              <w:adjustRightInd w:val="0"/>
              <w:snapToGrid w:val="0"/>
              <w:spacing w:before="176"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pPr>
              <w:kinsoku w:val="0"/>
              <w:autoSpaceDE w:val="0"/>
              <w:autoSpaceDN w:val="0"/>
              <w:adjustRightInd w:val="0"/>
              <w:snapToGrid w:val="0"/>
              <w:spacing w:before="17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bl>
    <w:p>
      <w:pPr>
        <w:spacing w:before="127" w:line="223" w:lineRule="auto"/>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pPr>
        <w:spacing w:line="360" w:lineRule="auto"/>
        <w:ind w:firstLine="476"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1.供应商可以根据项目情况增减表格内容，项目数可以根据需要</w:t>
      </w:r>
      <w:r>
        <w:rPr>
          <w:rFonts w:hint="eastAsia" w:ascii="宋体" w:hAnsi="宋体" w:cs="宋体"/>
          <w:color w:val="000000" w:themeColor="text1"/>
          <w:spacing w:val="-2"/>
          <w:sz w:val="24"/>
          <w:highlight w:val="none"/>
          <w14:textFill>
            <w14:solidFill>
              <w14:schemeClr w14:val="tx1"/>
            </w14:solidFill>
          </w14:textFill>
        </w:rPr>
        <w:t>增加。</w:t>
      </w:r>
    </w:p>
    <w:p>
      <w:pPr>
        <w:spacing w:line="360" w:lineRule="auto"/>
        <w:ind w:firstLine="468" w:firstLineChars="200"/>
        <w:rPr>
          <w:rFonts w:ascii="宋体" w:hAnsi="宋体" w:cs="宋体"/>
          <w:color w:val="000000" w:themeColor="text1"/>
          <w:spacing w:val="-3"/>
          <w:position w:val="19"/>
          <w:sz w:val="24"/>
          <w:highlight w:val="none"/>
          <w14:textFill>
            <w14:solidFill>
              <w14:schemeClr w14:val="tx1"/>
            </w14:solidFill>
          </w14:textFill>
        </w:rPr>
      </w:pPr>
      <w:r>
        <w:rPr>
          <w:rFonts w:hint="eastAsia" w:ascii="宋体" w:hAnsi="宋体" w:cs="宋体"/>
          <w:color w:val="000000" w:themeColor="text1"/>
          <w:spacing w:val="-3"/>
          <w:position w:val="19"/>
          <w:sz w:val="24"/>
          <w:highlight w:val="none"/>
          <w14:textFill>
            <w14:solidFill>
              <w14:schemeClr w14:val="tx1"/>
            </w14:solidFill>
          </w14:textFill>
        </w:rPr>
        <w:t>2.本表后附专职安全生产管理人员的学历证、安全生产考核合格证（C</w:t>
      </w:r>
      <w:r>
        <w:rPr>
          <w:rFonts w:hint="eastAsia" w:ascii="宋体" w:hAnsi="宋体" w:cs="宋体"/>
          <w:color w:val="000000" w:themeColor="text1"/>
          <w:spacing w:val="-34"/>
          <w:position w:val="19"/>
          <w:sz w:val="24"/>
          <w:highlight w:val="none"/>
          <w14:textFill>
            <w14:solidFill>
              <w14:schemeClr w14:val="tx1"/>
            </w14:solidFill>
          </w14:textFill>
        </w:rPr>
        <w:t xml:space="preserve"> </w:t>
      </w:r>
      <w:r>
        <w:rPr>
          <w:rFonts w:hint="eastAsia" w:ascii="宋体" w:hAnsi="宋体" w:cs="宋体"/>
          <w:color w:val="000000" w:themeColor="text1"/>
          <w:spacing w:val="-3"/>
          <w:position w:val="19"/>
          <w:sz w:val="24"/>
          <w:highlight w:val="none"/>
          <w14:textFill>
            <w14:solidFill>
              <w14:schemeClr w14:val="tx1"/>
            </w14:solidFill>
          </w14:textFill>
        </w:rPr>
        <w:t>类）、本表所列证书复印件。</w:t>
      </w: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pPr>
        <w:adjustRightInd w:val="0"/>
        <w:snapToGrid w:val="0"/>
        <w:spacing w:line="300" w:lineRule="auto"/>
        <w:ind w:right="1470" w:rightChars="700"/>
        <w:rPr>
          <w:rFonts w:ascii="宋体" w:hAnsi="宋体" w:cs="宋体"/>
          <w:b/>
          <w:bCs/>
          <w:color w:val="000000" w:themeColor="text1"/>
          <w:spacing w:val="9"/>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bCs/>
          <w:color w:val="000000" w:themeColor="text1"/>
          <w:spacing w:val="9"/>
          <w:sz w:val="24"/>
          <w:highlight w:val="none"/>
          <w14:textFill>
            <w14:solidFill>
              <w14:schemeClr w14:val="tx1"/>
            </w14:solidFill>
          </w14:textFill>
        </w:rPr>
        <w:t>附件11</w:t>
      </w:r>
    </w:p>
    <w:p>
      <w:pPr>
        <w:spacing w:before="140" w:line="220" w:lineRule="auto"/>
        <w:ind w:left="2904"/>
        <w:rPr>
          <w:rFonts w:ascii="宋体" w:hAnsi="宋体" w:cs="宋体"/>
          <w:b/>
          <w:bCs/>
          <w:color w:val="000000" w:themeColor="text1"/>
          <w:sz w:val="43"/>
          <w:szCs w:val="43"/>
          <w:highlight w:val="none"/>
          <w14:textFill>
            <w14:solidFill>
              <w14:schemeClr w14:val="tx1"/>
            </w14:solidFill>
          </w14:textFill>
        </w:rPr>
      </w:pPr>
      <w:r>
        <w:rPr>
          <w:rFonts w:hint="eastAsia" w:ascii="宋体" w:hAnsi="宋体" w:cs="宋体"/>
          <w:b/>
          <w:bCs/>
          <w:color w:val="000000" w:themeColor="text1"/>
          <w:spacing w:val="9"/>
          <w:sz w:val="43"/>
          <w:szCs w:val="43"/>
          <w:highlight w:val="none"/>
          <w14:textFill>
            <w14:solidFill>
              <w14:schemeClr w14:val="tx1"/>
            </w14:solidFill>
          </w14:textFill>
        </w:rPr>
        <w:t>拟分包项目情况表</w:t>
      </w:r>
    </w:p>
    <w:p>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pPr>
        <w:kinsoku w:val="0"/>
        <w:autoSpaceDE w:val="0"/>
        <w:autoSpaceDN w:val="0"/>
        <w:adjustRightInd w:val="0"/>
        <w:snapToGrid w:val="0"/>
        <w:spacing w:line="249"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pPr>
        <w:spacing w:before="78" w:line="221" w:lineRule="auto"/>
        <w:ind w:left="23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7"/>
          <w:sz w:val="24"/>
          <w:highlight w:val="none"/>
          <w14:textFill>
            <w14:solidFill>
              <w14:schemeClr w14:val="tx1"/>
            </w14:solidFill>
          </w14:textFill>
        </w:rPr>
        <w:t>分标（如有）：</w:t>
      </w:r>
      <w:r>
        <w:rPr>
          <w:rFonts w:hint="eastAsia" w:ascii="宋体" w:hAnsi="宋体" w:cs="宋体"/>
          <w:color w:val="000000" w:themeColor="text1"/>
          <w:spacing w:val="55"/>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67" w:lineRule="exact"/>
        <w:rPr>
          <w:rFonts w:ascii="宋体" w:hAnsi="宋体" w:cs="宋体"/>
          <w:color w:val="000000" w:themeColor="text1"/>
          <w:sz w:val="24"/>
          <w:highlight w:val="none"/>
          <w14:textFill>
            <w14:solidFill>
              <w14:schemeClr w14:val="tx1"/>
            </w14:solidFill>
          </w14:textFill>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2" w:hRule="atLeast"/>
        </w:trPr>
        <w:tc>
          <w:tcPr>
            <w:tcW w:w="571" w:type="dxa"/>
            <w:vMerge w:val="restart"/>
            <w:tcBorders>
              <w:bottom w:val="nil"/>
            </w:tcBorders>
            <w:shd w:val="clear" w:color="auto" w:fill="auto"/>
            <w:textDirection w:val="tbRlV"/>
          </w:tcPr>
          <w:p>
            <w:pPr>
              <w:kinsoku w:val="0"/>
              <w:autoSpaceDE w:val="0"/>
              <w:autoSpaceDN w:val="0"/>
              <w:adjustRightInd w:val="0"/>
              <w:snapToGrid w:val="0"/>
              <w:spacing w:before="177" w:line="211" w:lineRule="auto"/>
              <w:ind w:left="2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序</w:t>
            </w:r>
            <w:r>
              <w:rPr>
                <w:rFonts w:hint="eastAsia" w:ascii="宋体" w:hAnsi="宋体" w:cs="宋体"/>
                <w:snapToGrid w:val="0"/>
                <w:color w:val="000000" w:themeColor="text1"/>
                <w:spacing w:val="-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号</w:t>
            </w:r>
          </w:p>
        </w:tc>
        <w:tc>
          <w:tcPr>
            <w:tcW w:w="1693" w:type="dxa"/>
            <w:vMerge w:val="restart"/>
            <w:tcBorders>
              <w:bottom w:val="nil"/>
            </w:tcBorders>
            <w:shd w:val="clear" w:color="auto" w:fill="auto"/>
          </w:tcPr>
          <w:p>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拟分包项目名</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1"/>
                <w:kern w:val="0"/>
                <w:sz w:val="24"/>
                <w:highlight w:val="none"/>
                <w14:textFill>
                  <w14:solidFill>
                    <w14:schemeClr w14:val="tx1"/>
                  </w14:solidFill>
                </w14:textFill>
              </w:rPr>
              <w:t>称、范围及理由</w:t>
            </w:r>
          </w:p>
        </w:tc>
        <w:tc>
          <w:tcPr>
            <w:tcW w:w="6376" w:type="dxa"/>
            <w:gridSpan w:val="6"/>
            <w:shd w:val="clear" w:color="auto" w:fill="auto"/>
          </w:tcPr>
          <w:p>
            <w:pPr>
              <w:kinsoku w:val="0"/>
              <w:autoSpaceDE w:val="0"/>
              <w:autoSpaceDN w:val="0"/>
              <w:adjustRightInd w:val="0"/>
              <w:snapToGrid w:val="0"/>
              <w:spacing w:before="125" w:line="221" w:lineRule="auto"/>
              <w:ind w:left="266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w:t>
            </w:r>
          </w:p>
        </w:tc>
        <w:tc>
          <w:tcPr>
            <w:tcW w:w="676" w:type="dxa"/>
            <w:vMerge w:val="restart"/>
            <w:tcBorders>
              <w:bottom w:val="nil"/>
            </w:tcBorders>
            <w:shd w:val="clear" w:color="auto" w:fill="auto"/>
          </w:tcPr>
          <w:p>
            <w:pPr>
              <w:spacing w:line="287" w:lineRule="auto"/>
              <w:rPr>
                <w:rFonts w:ascii="宋体" w:hAnsi="宋体" w:cs="宋体"/>
                <w:color w:val="000000" w:themeColor="text1"/>
                <w:sz w:val="24"/>
                <w:highlight w:val="none"/>
                <w14:textFill>
                  <w14:solidFill>
                    <w14:schemeClr w14:val="tx1"/>
                  </w14:solidFill>
                </w14:textFill>
              </w:rPr>
            </w:pPr>
          </w:p>
          <w:p>
            <w:pPr>
              <w:kinsoku w:val="0"/>
              <w:autoSpaceDE w:val="0"/>
              <w:autoSpaceDN w:val="0"/>
              <w:adjustRightInd w:val="0"/>
              <w:snapToGrid w:val="0"/>
              <w:spacing w:before="69" w:line="223" w:lineRule="auto"/>
              <w:ind w:left="13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1698" w:type="dxa"/>
            <w:gridSpan w:val="2"/>
            <w:shd w:val="clear" w:color="auto" w:fill="auto"/>
          </w:tcPr>
          <w:p>
            <w:pPr>
              <w:kinsoku w:val="0"/>
              <w:autoSpaceDE w:val="0"/>
              <w:autoSpaceDN w:val="0"/>
              <w:adjustRightInd w:val="0"/>
              <w:snapToGrid w:val="0"/>
              <w:spacing w:before="123" w:line="221" w:lineRule="auto"/>
              <w:ind w:left="12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拟选分包人名称</w:t>
            </w:r>
          </w:p>
        </w:tc>
        <w:tc>
          <w:tcPr>
            <w:tcW w:w="1123" w:type="dxa"/>
            <w:shd w:val="clear" w:color="auto" w:fill="auto"/>
          </w:tcPr>
          <w:p>
            <w:pPr>
              <w:kinsoku w:val="0"/>
              <w:autoSpaceDE w:val="0"/>
              <w:autoSpaceDN w:val="0"/>
              <w:adjustRightInd w:val="0"/>
              <w:snapToGrid w:val="0"/>
              <w:spacing w:before="124" w:line="222" w:lineRule="auto"/>
              <w:ind w:left="1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注册地点</w:t>
            </w:r>
          </w:p>
        </w:tc>
        <w:tc>
          <w:tcPr>
            <w:tcW w:w="1091" w:type="dxa"/>
            <w:shd w:val="clear" w:color="auto" w:fill="auto"/>
          </w:tcPr>
          <w:p>
            <w:pPr>
              <w:kinsoku w:val="0"/>
              <w:autoSpaceDE w:val="0"/>
              <w:autoSpaceDN w:val="0"/>
              <w:adjustRightInd w:val="0"/>
              <w:snapToGrid w:val="0"/>
              <w:spacing w:before="124" w:line="220" w:lineRule="auto"/>
              <w:ind w:left="13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企业资质</w:t>
            </w:r>
          </w:p>
        </w:tc>
        <w:tc>
          <w:tcPr>
            <w:tcW w:w="1195" w:type="dxa"/>
            <w:shd w:val="clear" w:color="auto" w:fill="auto"/>
          </w:tcPr>
          <w:p>
            <w:pPr>
              <w:kinsoku w:val="0"/>
              <w:autoSpaceDE w:val="0"/>
              <w:autoSpaceDN w:val="0"/>
              <w:adjustRightInd w:val="0"/>
              <w:snapToGrid w:val="0"/>
              <w:spacing w:before="124" w:line="218" w:lineRule="auto"/>
              <w:ind w:left="1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有关业绩</w:t>
            </w:r>
          </w:p>
        </w:tc>
        <w:tc>
          <w:tcPr>
            <w:tcW w:w="1269" w:type="dxa"/>
            <w:shd w:val="clear" w:color="auto" w:fill="auto"/>
          </w:tcPr>
          <w:p>
            <w:pPr>
              <w:kinsoku w:val="0"/>
              <w:autoSpaceDE w:val="0"/>
              <w:autoSpaceDN w:val="0"/>
              <w:adjustRightInd w:val="0"/>
              <w:snapToGrid w:val="0"/>
              <w:spacing w:before="124" w:line="220" w:lineRule="auto"/>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拟分包金额</w:t>
            </w:r>
          </w:p>
        </w:tc>
        <w:tc>
          <w:tcPr>
            <w:tcW w:w="676" w:type="dxa"/>
            <w:vMerge w:val="continue"/>
            <w:tcBorders>
              <w:top w:val="nil"/>
            </w:tcBorders>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pPr>
              <w:spacing w:before="161"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pPr>
              <w:spacing w:before="159"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pPr>
              <w:spacing w:before="162"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0" w:hRule="atLeast"/>
        </w:trPr>
        <w:tc>
          <w:tcPr>
            <w:tcW w:w="571" w:type="dxa"/>
            <w:vMerge w:val="restart"/>
            <w:tcBorders>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pPr>
              <w:spacing w:before="162"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8" w:hRule="atLeast"/>
        </w:trPr>
        <w:tc>
          <w:tcPr>
            <w:tcW w:w="571" w:type="dxa"/>
            <w:vMerge w:val="continue"/>
            <w:tcBorders>
              <w:top w:val="nil"/>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pPr>
              <w:spacing w:before="160"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pPr>
              <w:rPr>
                <w:rFonts w:ascii="宋体" w:hAnsi="宋体" w:cs="宋体"/>
                <w:color w:val="000000" w:themeColor="text1"/>
                <w:sz w:val="24"/>
                <w:highlight w:val="none"/>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2" w:hRule="atLeast"/>
        </w:trPr>
        <w:tc>
          <w:tcPr>
            <w:tcW w:w="571" w:type="dxa"/>
            <w:vMerge w:val="continue"/>
            <w:tcBorders>
              <w:top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pPr>
              <w:spacing w:before="163"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pPr>
              <w:rPr>
                <w:rFonts w:ascii="宋体" w:hAnsi="宋体" w:cs="宋体"/>
                <w:color w:val="000000" w:themeColor="text1"/>
                <w:sz w:val="24"/>
                <w:highlight w:val="none"/>
                <w14:textFill>
                  <w14:solidFill>
                    <w14:schemeClr w14:val="tx1"/>
                  </w14:solidFill>
                </w14:textFill>
              </w:rPr>
            </w:pPr>
          </w:p>
        </w:tc>
      </w:tr>
    </w:tbl>
    <w:p>
      <w:pPr>
        <w:spacing w:before="147" w:line="217" w:lineRule="auto"/>
        <w:ind w:left="71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备注： 1.若无分包计划，则供应商应在本表填写</w:t>
      </w:r>
      <w:r>
        <w:rPr>
          <w:rFonts w:hint="eastAsia" w:ascii="宋体" w:hAnsi="宋体" w:cs="宋体"/>
          <w:color w:val="000000" w:themeColor="text1"/>
          <w:spacing w:val="-7"/>
          <w:sz w:val="24"/>
          <w:highlight w:val="none"/>
          <w14:textFill>
            <w14:solidFill>
              <w14:schemeClr w14:val="tx1"/>
            </w14:solidFill>
          </w14:textFill>
        </w:rPr>
        <w:t>“无”。</w:t>
      </w:r>
    </w:p>
    <w:p>
      <w:pPr>
        <w:spacing w:before="158" w:line="220" w:lineRule="auto"/>
        <w:ind w:firstLine="1428" w:firstLineChars="600"/>
        <w:rPr>
          <w:rFonts w:ascii="宋体" w:hAnsi="宋体" w:cs="宋体"/>
          <w:color w:val="000000" w:themeColor="text1"/>
          <w:spacing w:val="-2"/>
          <w:sz w:val="24"/>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000000" w:themeColor="text1"/>
          <w:spacing w:val="-1"/>
          <w:sz w:val="24"/>
          <w:highlight w:val="none"/>
          <w14:textFill>
            <w14:solidFill>
              <w14:schemeClr w14:val="tx1"/>
            </w14:solidFill>
          </w14:textFill>
        </w:rPr>
        <w:t>2.本表所列分包仅限于承包人自行施工范围内的非主体</w:t>
      </w:r>
      <w:r>
        <w:rPr>
          <w:rFonts w:hint="eastAsia" w:ascii="宋体" w:hAnsi="宋体" w:cs="宋体"/>
          <w:color w:val="000000" w:themeColor="text1"/>
          <w:spacing w:val="-2"/>
          <w:sz w:val="24"/>
          <w:highlight w:val="none"/>
          <w14:textFill>
            <w14:solidFill>
              <w14:schemeClr w14:val="tx1"/>
            </w14:solidFill>
          </w14:textFill>
        </w:rPr>
        <w:t>、非关键工程。</w:t>
      </w:r>
    </w:p>
    <w:p>
      <w:pPr>
        <w:tabs>
          <w:tab w:val="left" w:pos="5387"/>
        </w:tabs>
        <w:spacing w:before="120" w:beforeLines="50" w:after="120" w:afterLines="50" w:line="7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附件12</w:t>
      </w:r>
    </w:p>
    <w:p>
      <w:pPr>
        <w:tabs>
          <w:tab w:val="left" w:pos="5387"/>
        </w:tabs>
        <w:spacing w:before="120" w:beforeLines="50" w:after="120" w:afterLines="50" w:line="7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建设工程项目管理承诺书</w:t>
      </w:r>
    </w:p>
    <w:p>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作为参与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（工程名称）项目的谈判供应商，根据国家、自治区相关文件规定，我方在此向采购人承诺：</w:t>
      </w:r>
    </w:p>
    <w:p>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pPr>
        <w:spacing w:line="360" w:lineRule="auto"/>
        <w:ind w:left="-2" w:leftChars="-1" w:firstLine="513" w:firstLineChars="214"/>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pPr>
        <w:pStyle w:val="7"/>
        <w:overflowPunct w:val="0"/>
        <w:spacing w:line="360" w:lineRule="auto"/>
        <w:ind w:firstLine="0"/>
        <w:contextualSpacing/>
        <w:jc w:val="left"/>
        <w:rPr>
          <w:rFonts w:ascii="方正小标宋简体" w:hAnsi="方正小标宋简体" w:eastAsia="方正小标宋简体" w:cs="方正小标宋简体"/>
          <w:color w:val="000000" w:themeColor="text1"/>
          <w:sz w:val="24"/>
          <w:szCs w:val="24"/>
          <w:highlight w:val="none"/>
          <w14:textFill>
            <w14:solidFill>
              <w14:schemeClr w14:val="tx1"/>
            </w14:solidFill>
          </w14:textFill>
        </w:rPr>
      </w:pP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pPr>
        <w:spacing w:line="56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广西壮族自治区建筑工程安全文明施工措施项目清单内容</w:t>
      </w:r>
    </w:p>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（桂建质〔2015〕16号文附件一）</w:t>
      </w:r>
    </w:p>
    <w:p>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广西壮族自治区</w:t>
      </w:r>
    </w:p>
    <w:p>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主要内容和要求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文明</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与</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环境</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安全警示</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标志牌</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在易发伤亡事故（或危险）处设置明显的、符合国家标准要求的安全警示标志牌。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1.现场采用封闭围挡，高度不小于1.8m。</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2.围挡材料可用彩色、定型钢板，砖、砼砌块等墙体。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现场出入的大门应设有本企业标志或企业标识。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1.道路畅通；</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2.排水沟、排水设施畅通；</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3.工地地面硬化处理（办公区，生活区，现场道路，材料堆放、混凝土搅拌、砂浆搅拌、钢筋加工等场地，外脚手架基础等）。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（1）材料、构件、料具等堆放时，悬挂有名称、品种、规格等标牌；</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（2）水泥和其他易飞扬细颗粒建筑材料应封闭存放或采取覆盖等措施；</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（3）易燃、易爆和有毒有害物品分类存放。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消防器材配置合理，符合消防要求。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1.施工现场应设置密闭式垃圾站，施工垃圾、生活垃圾应分类存放。</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2.施工垃圾必须采用相应容器或管道运输。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宣传栏、安全宣传标语等，洗车（防止污染市区道路）、粉尘、噪声控制，排污（污水、废气）措施等。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现场办公</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1.施工现场办公、生活区与作业区分开设置，保持安全距离。</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2.工地办公室、现场宿舍、食堂、厕所、饮水、沐浴、休息场所等符合卫生、消防安全要求；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1.按照TN-S系统要求配备五芯电缆、四芯电缆和三芯电缆。</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2.按要求架设临时用电线路的电杆、横担、瓷夹、瓷瓶等，或电缆埋地的地沟。</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3.对靠近施工现场的外电线路，设置木质、塑料等绝缘体的防护设施。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配电箱</w:t>
            </w:r>
          </w:p>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开关箱</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1.按三级配电要求，配备总配电箱、分配电箱、开关箱三类（铁质）标准电箱。开关箱应符合一机、一箱、一闸、一漏。三类电箱中的各类电器应是合格品。</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2.按两级保护的要求，选取符合容量要求和质量合格的总配电箱和开关箱中的漏电保护器。</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3.对大型、落地式分配电箱、开关箱设置防护棚和通透式围挡。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施工现场应设置不少于三处的接地保护装置。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总配电室建筑材料必须达到三级防火要求，室内做硬地坪、电缆沟、吊顶。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设两道防护栏杆和18cm高的踢脚板，用密目式安全立网全封闭。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通道口</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设防护棚，防护棚应为不小于5cm厚的木板或两道相距50cm的竹笆。两侧应沿栏杆架用密目式安全网封闭。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用硬质材料全封闭；短边超过1.5m长的洞口，除封闭外四周还应设有防护栏杆。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设置定型化、工具化的防护门。在电梯井内每隔2层（不大于10m）设置一道水平防护。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楼梯边</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设1.2m高的定型化、工具化、标准化的防护栏，18cm高的踢脚板。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设置防护隔离棚或其他设施。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有悬挂安全带的悬索或其他设施；有操作平台；有上下的梯子或其他形式的通道。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设1.2m高标准化的防护栏，用密目式安全立网封闭，悬挂标识。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安全帽、安全带、特种作业人员（电工、焊工、架子工等）防护服装、用品等。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设防护棚（同通道口防护并有防雨措施）。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（1）垂直运输设备检测、检验。</w:t>
            </w:r>
          </w:p>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（2）物料提升机、施工电梯等物料平台搭设、外侧用密目式安全立网全封闭，安全防护门、防护棚等。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超过一定规模的危险性较大分部分项工程专家论证审查。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救援器材准备及演练等。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其它特殊情况下的防护费用，如：城市主干道、人流密集、河边等处施工及文物、古建筑、古树保护等。</w:t>
            </w:r>
          </w:p>
        </w:tc>
      </w:tr>
    </w:tbl>
    <w:p>
      <w:pPr>
        <w:spacing w:line="50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注：本表所列建筑工程安全、文明施工，是依据现行法律法规及标准规范确定的。如法律法规和标准规范修订，本表所列项目应按照修订后的法律法规和标准规范进行调整。</w:t>
      </w:r>
    </w:p>
    <w:p>
      <w:pPr>
        <w:adjustRightInd w:val="0"/>
        <w:snapToGrid w:val="0"/>
        <w:spacing w:line="300" w:lineRule="auto"/>
        <w:rPr>
          <w:rFonts w:ascii="宋体"/>
          <w:b/>
          <w:color w:val="000000" w:themeColor="text1"/>
          <w:sz w:val="24"/>
          <w:highlight w:val="none"/>
          <w14:textFill>
            <w14:solidFill>
              <w14:schemeClr w14:val="tx1"/>
            </w14:solidFill>
          </w14:textFill>
        </w:rPr>
      </w:pPr>
    </w:p>
    <w:p>
      <w:pPr>
        <w:adjustRightInd w:val="0"/>
        <w:snapToGrid w:val="0"/>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附件13</w:t>
      </w:r>
    </w:p>
    <w:p>
      <w:pPr>
        <w:spacing w:before="120" w:beforeLines="50" w:line="76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中小企业声明函（工程）</w:t>
      </w:r>
    </w:p>
    <w:p>
      <w:pPr>
        <w:spacing w:before="2" w:line="500" w:lineRule="exact"/>
        <w:rPr>
          <w:rFonts w:ascii="宋体" w:hAnsi="宋体" w:cs="宋体"/>
          <w:b/>
          <w:bCs/>
          <w:color w:val="000000" w:themeColor="text1"/>
          <w:sz w:val="24"/>
          <w:highlight w:val="none"/>
          <w14:textFill>
            <w14:solidFill>
              <w14:schemeClr w14:val="tx1"/>
            </w14:solidFill>
          </w14:textFill>
        </w:rPr>
      </w:pPr>
    </w:p>
    <w:p>
      <w:pPr>
        <w:spacing w:line="360" w:lineRule="auto"/>
        <w:ind w:firstLine="42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p>
    <w:p>
      <w:pPr>
        <w:spacing w:line="360" w:lineRule="auto"/>
        <w:ind w:firstLine="420"/>
        <w:rPr>
          <w:bCs/>
          <w:color w:val="000000" w:themeColor="text1"/>
          <w:sz w:val="24"/>
          <w:highlight w:val="none"/>
          <w14:textFill>
            <w14:solidFill>
              <w14:schemeClr w14:val="tx1"/>
            </w14:solidFill>
          </w14:textFill>
        </w:rPr>
      </w:pPr>
    </w:p>
    <w:p>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本企业对上述声明内容的真实性负责。如有虚假，将依法承担相应责任。</w:t>
      </w:r>
    </w:p>
    <w:p>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p>
    <w:p>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供应商名称（公章）：                          </w:t>
      </w:r>
    </w:p>
    <w:p>
      <w:pPr>
        <w:spacing w:line="360" w:lineRule="auto"/>
        <w:ind w:firstLine="3600" w:firstLineChars="15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pPr>
        <w:spacing w:line="360" w:lineRule="auto"/>
        <w:jc w:val="left"/>
        <w:rPr>
          <w:bCs/>
          <w:color w:val="000000" w:themeColor="text1"/>
          <w:sz w:val="24"/>
          <w:highlight w:val="none"/>
          <w14:textFill>
            <w14:solidFill>
              <w14:schemeClr w14:val="tx1"/>
            </w14:solidFill>
          </w14:textFill>
        </w:rPr>
      </w:pPr>
    </w:p>
    <w:p>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注：（</w:t>
      </w:r>
      <w:r>
        <w:rPr>
          <w:bCs/>
          <w:color w:val="000000" w:themeColor="text1"/>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）如</w:t>
      </w:r>
      <w:r>
        <w:rPr>
          <w:rFonts w:hint="eastAsia" w:ascii="宋体" w:hAnsi="宋体" w:cs="宋体"/>
          <w:color w:val="000000" w:themeColor="text1"/>
          <w:sz w:val="24"/>
          <w:highlight w:val="none"/>
          <w14:textFill>
            <w14:solidFill>
              <w14:schemeClr w14:val="tx1"/>
            </w14:solidFill>
          </w14:textFill>
        </w:rPr>
        <w:t>谈判供应商</w:t>
      </w:r>
      <w:r>
        <w:rPr>
          <w:rFonts w:hint="eastAsia"/>
          <w:bCs/>
          <w:color w:val="000000" w:themeColor="text1"/>
          <w:sz w:val="24"/>
          <w:highlight w:val="none"/>
          <w14:textFill>
            <w14:solidFill>
              <w14:schemeClr w14:val="tx1"/>
            </w14:solidFill>
          </w14:textFill>
        </w:rPr>
        <w:t>为联合体或分包的，声明函中“项目名称”应填写联合体中中小企业承担的具体内容或者中小企业具体分包内容。</w:t>
      </w:r>
    </w:p>
    <w:p>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2</w:t>
      </w:r>
      <w:r>
        <w:rPr>
          <w:rFonts w:hint="eastAsia"/>
          <w:bCs/>
          <w:color w:val="000000" w:themeColor="text1"/>
          <w:sz w:val="24"/>
          <w:highlight w:val="none"/>
          <w14:textFill>
            <w14:solidFill>
              <w14:schemeClr w14:val="tx1"/>
            </w14:solidFill>
          </w14:textFill>
        </w:rPr>
        <w:t>）请根据真实情况出具《中小企业声明函》。</w:t>
      </w:r>
      <w:r>
        <w:rPr>
          <w:rFonts w:hint="eastAsia"/>
          <w:color w:val="000000" w:themeColor="text1"/>
          <w:sz w:val="24"/>
          <w:highlight w:val="none"/>
          <w14:textFill>
            <w14:solidFill>
              <w14:schemeClr w14:val="tx1"/>
            </w14:solidFill>
          </w14:textFill>
        </w:rPr>
        <w:t>成交候选人享受《政府采购促进中小企业发展管理办法》（财库〔2020〕46号）</w:t>
      </w:r>
      <w:r>
        <w:rPr>
          <w:rFonts w:hint="eastAsia" w:cs="宋体"/>
          <w:color w:val="000000" w:themeColor="text1"/>
          <w:sz w:val="24"/>
          <w:highlight w:val="none"/>
          <w14:textFill>
            <w14:solidFill>
              <w14:schemeClr w14:val="tx1"/>
            </w14:solidFill>
          </w14:textFill>
        </w:rPr>
        <w:t>、</w:t>
      </w:r>
      <w:r>
        <w:rPr>
          <w:rFonts w:hint="eastAsia" w:cs="宋体"/>
          <w:color w:val="000000" w:themeColor="text1"/>
          <w:sz w:val="24"/>
          <w:highlight w:val="none"/>
          <w:lang w:bidi="ar"/>
          <w14:textFill>
            <w14:solidFill>
              <w14:schemeClr w14:val="tx1"/>
            </w14:solidFill>
          </w14:textFill>
        </w:rPr>
        <w:t>财政部《关于进一步加大政府采购支持中小企业力度的通知》（财库〔2022〕19号）</w:t>
      </w:r>
      <w:r>
        <w:rPr>
          <w:rFonts w:hint="eastAsia"/>
          <w:color w:val="000000" w:themeColor="text1"/>
          <w:sz w:val="24"/>
          <w:highlight w:val="none"/>
          <w14:textFill>
            <w14:solidFill>
              <w14:schemeClr w14:val="tx1"/>
            </w14:solidFill>
          </w14:textFill>
        </w:rPr>
        <w:t>规定的中小企业扶持政策的，采购人、采购代理机构应当随成交结果公开成交供应商的《中小企业声明函》</w:t>
      </w:r>
      <w:r>
        <w:rPr>
          <w:rFonts w:hint="eastAsia"/>
          <w:bCs/>
          <w:color w:val="000000" w:themeColor="text1"/>
          <w:sz w:val="24"/>
          <w:highlight w:val="none"/>
          <w14:textFill>
            <w14:solidFill>
              <w14:schemeClr w14:val="tx1"/>
            </w14:solidFill>
          </w14:textFill>
        </w:rPr>
        <w:t>，接受社会监督。</w:t>
      </w:r>
    </w:p>
    <w:p>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3</w:t>
      </w:r>
      <w:r>
        <w:rPr>
          <w:rFonts w:hint="eastAsia"/>
          <w:bCs/>
          <w:color w:val="000000" w:themeColor="text1"/>
          <w:sz w:val="24"/>
          <w:highlight w:val="none"/>
          <w14:textFill>
            <w14:solidFill>
              <w14:schemeClr w14:val="tx1"/>
            </w14:solidFill>
          </w14:textFill>
        </w:rPr>
        <w:t>）从业人员、营业收入、资产总额填报上一年度数据，无上一年度数据的新成立企业可不填报。</w:t>
      </w:r>
    </w:p>
    <w:p>
      <w:pPr>
        <w:spacing w:line="360" w:lineRule="exact"/>
        <w:ind w:firstLine="6720" w:firstLineChars="3200"/>
        <w:rPr>
          <w:rFonts w:ascii="宋体" w:cs="Courier New"/>
          <w:color w:val="000000" w:themeColor="text1"/>
          <w:szCs w:val="21"/>
          <w:highlight w:val="none"/>
          <w14:textFill>
            <w14:solidFill>
              <w14:schemeClr w14:val="tx1"/>
            </w14:solidFill>
          </w14:textFill>
        </w:rPr>
      </w:pPr>
    </w:p>
    <w:p>
      <w:pPr>
        <w:spacing w:line="300" w:lineRule="auto"/>
        <w:ind w:left="420" w:hanging="420"/>
        <w:rPr>
          <w:rFonts w:ascii="宋体"/>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附件14</w:t>
      </w:r>
    </w:p>
    <w:p>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r>
        <w:rPr>
          <w:rFonts w:hint="eastAsia"/>
          <w:b/>
          <w:color w:val="000000" w:themeColor="text1"/>
          <w:kern w:val="2"/>
          <w:sz w:val="36"/>
          <w:szCs w:val="36"/>
          <w:highlight w:val="none"/>
          <w14:textFill>
            <w14:solidFill>
              <w14:schemeClr w14:val="tx1"/>
            </w14:solidFill>
          </w14:textFill>
        </w:rPr>
        <w:t>残疾人福利性单位声明函</w:t>
      </w:r>
    </w:p>
    <w:p>
      <w:pPr>
        <w:spacing w:line="588" w:lineRule="exact"/>
        <w:rPr>
          <w:rFonts w:ascii="宋体"/>
          <w:color w:val="000000" w:themeColor="text1"/>
          <w:szCs w:val="21"/>
          <w:highlight w:val="none"/>
          <w14:textFill>
            <w14:solidFill>
              <w14:schemeClr w14:val="tx1"/>
            </w14:solidFill>
          </w14:textFill>
        </w:rPr>
      </w:pPr>
    </w:p>
    <w:p>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本单位对上述声明的真实性负责。如有虚假，将依法承担相应责任。</w:t>
      </w:r>
    </w:p>
    <w:p>
      <w:pPr>
        <w:spacing w:line="588" w:lineRule="exact"/>
        <w:ind w:firstLine="480" w:firstLineChars="200"/>
        <w:rPr>
          <w:rFonts w:ascii="宋体"/>
          <w:color w:val="000000" w:themeColor="text1"/>
          <w:sz w:val="24"/>
          <w:highlight w:val="none"/>
          <w14:textFill>
            <w14:solidFill>
              <w14:schemeClr w14:val="tx1"/>
            </w14:solidFill>
          </w14:textFill>
        </w:rPr>
      </w:pPr>
    </w:p>
    <w:p>
      <w:pPr>
        <w:spacing w:line="588" w:lineRule="exact"/>
        <w:ind w:firstLine="480" w:firstLineChars="200"/>
        <w:rPr>
          <w:rFonts w:ascii="宋体"/>
          <w:color w:val="000000" w:themeColor="text1"/>
          <w:sz w:val="24"/>
          <w:highlight w:val="none"/>
          <w14:textFill>
            <w14:solidFill>
              <w14:schemeClr w14:val="tx1"/>
            </w14:solidFill>
          </w14:textFill>
        </w:rPr>
      </w:pPr>
    </w:p>
    <w:p>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供应商名称（公章）：                          </w:t>
      </w:r>
    </w:p>
    <w:p>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w:t>
      </w:r>
    </w:p>
    <w:p>
      <w:pPr>
        <w:tabs>
          <w:tab w:val="left" w:pos="4860"/>
        </w:tabs>
        <w:spacing w:line="588" w:lineRule="exact"/>
        <w:ind w:firstLine="482" w:firstLineChars="20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说明：符合条件的残疾人福利性单位在参加政府采购活动时，应当提供本通知规定的《残疾人福利性单位声明函》，并对声明的真实性负责。</w:t>
      </w:r>
    </w:p>
    <w:p>
      <w:pPr>
        <w:snapToGrid w:val="0"/>
        <w:spacing w:line="500" w:lineRule="exact"/>
        <w:ind w:firstLine="361" w:firstLineChars="15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成交供应商为残疾人福利性单位的，采购人或者其委托的采购代理机构应当随成交结果同时公告其《残疾人福利性单位声明函》，接受社会监督。</w:t>
      </w:r>
    </w:p>
    <w:p>
      <w:pPr>
        <w:snapToGrid w:val="0"/>
        <w:spacing w:line="500" w:lineRule="exact"/>
        <w:ind w:firstLine="361" w:firstLineChars="150"/>
        <w:rPr>
          <w:rFonts w:ascii="宋体" w:cs="Courier New"/>
          <w:color w:val="000000" w:themeColor="text1"/>
          <w:szCs w:val="21"/>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供应商提供的《残疾人福利性单位声明函》与事实不符的，依照《政府采购法》第七十七条第一款的规定追究法律责任。</w:t>
      </w:r>
    </w:p>
    <w:p>
      <w:pPr>
        <w:spacing w:line="360" w:lineRule="auto"/>
        <w:rPr>
          <w:rFonts w:ascii="宋体" w:hAnsi="宋体" w:cs="宋体"/>
          <w:b/>
          <w:color w:val="000000" w:themeColor="text1"/>
          <w:spacing w:val="6"/>
          <w:sz w:val="24"/>
          <w:highlight w:val="none"/>
          <w14:textFill>
            <w14:solidFill>
              <w14:schemeClr w14:val="tx1"/>
            </w14:solidFill>
          </w14:textFill>
        </w:rPr>
      </w:pPr>
    </w:p>
    <w:p>
      <w:pPr>
        <w:spacing w:line="360" w:lineRule="auto"/>
        <w:rPr>
          <w:rFonts w:ascii="宋体" w:hAnsi="宋体" w:cs="宋体"/>
          <w:b/>
          <w:color w:val="000000" w:themeColor="text1"/>
          <w:spacing w:val="6"/>
          <w:sz w:val="24"/>
          <w:highlight w:val="none"/>
          <w14:textFill>
            <w14:solidFill>
              <w14:schemeClr w14:val="tx1"/>
            </w14:solidFill>
          </w14:textFill>
        </w:rPr>
      </w:pPr>
    </w:p>
    <w:p>
      <w:pPr>
        <w:spacing w:line="360" w:lineRule="auto"/>
        <w:rPr>
          <w:rFonts w:ascii="宋体" w:hAnsi="宋体" w:cs="宋体"/>
          <w:b/>
          <w:color w:val="000000" w:themeColor="text1"/>
          <w:spacing w:val="6"/>
          <w:sz w:val="24"/>
          <w:highlight w:val="none"/>
          <w14:textFill>
            <w14:solidFill>
              <w14:schemeClr w14:val="tx1"/>
            </w14:solidFill>
          </w14:textFill>
        </w:rPr>
      </w:pPr>
    </w:p>
    <w:p>
      <w:pPr>
        <w:pStyle w:val="43"/>
      </w:pPr>
    </w:p>
    <w:p>
      <w:pPr>
        <w:spacing w:line="360" w:lineRule="auto"/>
        <w:rPr>
          <w:rFonts w:ascii="宋体" w:hAnsi="宋体" w:cs="宋体"/>
          <w:b/>
          <w:color w:val="000000" w:themeColor="text1"/>
          <w:spacing w:val="6"/>
          <w:sz w:val="24"/>
          <w:highlight w:val="none"/>
          <w14:textFill>
            <w14:solidFill>
              <w14:schemeClr w14:val="tx1"/>
            </w14:solidFill>
          </w14:textFill>
        </w:rPr>
      </w:pPr>
    </w:p>
    <w:p>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附件15</w:t>
      </w:r>
    </w:p>
    <w:p>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质疑函范本格式：</w:t>
      </w:r>
    </w:p>
    <w:p>
      <w:pPr>
        <w:spacing w:line="360" w:lineRule="auto"/>
        <w:jc w:val="center"/>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w:t>
      </w:r>
    </w:p>
    <w:p>
      <w:pPr>
        <w:snapToGrid w:val="0"/>
        <w:spacing w:before="240"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pPr>
        <w:spacing w:line="360" w:lineRule="auto"/>
        <w:jc w:val="center"/>
        <w:rPr>
          <w:rFonts w:ascii="宋体" w:hAnsi="宋体" w:cs="宋体"/>
          <w:b/>
          <w:bCs/>
          <w:color w:val="000000" w:themeColor="text1"/>
          <w:sz w:val="24"/>
          <w:highlight w:val="none"/>
          <w14:textFill>
            <w14:solidFill>
              <w14:schemeClr w14:val="tx1"/>
            </w14:solidFill>
          </w14:textFill>
        </w:rPr>
      </w:pPr>
    </w:p>
    <w:p>
      <w:pPr>
        <w:spacing w:line="360" w:lineRule="auto"/>
        <w:rPr>
          <w:rFonts w:ascii="宋体" w:hAnsi="宋体" w:cs="宋体"/>
          <w:b/>
          <w:color w:val="000000" w:themeColor="text1"/>
          <w:sz w:val="24"/>
          <w:highlight w:val="none"/>
          <w14:textFill>
            <w14:solidFill>
              <w14:schemeClr w14:val="tx1"/>
            </w14:solidFill>
          </w14:textFill>
        </w:rPr>
      </w:pPr>
    </w:p>
    <w:p>
      <w:pPr>
        <w:spacing w:line="360" w:lineRule="auto"/>
        <w:rPr>
          <w:rFonts w:ascii="宋体" w:hAnsi="宋体" w:cs="宋体"/>
          <w:b/>
          <w:color w:val="000000" w:themeColor="text1"/>
          <w:sz w:val="24"/>
          <w:highlight w:val="none"/>
          <w14:textFill>
            <w14:solidFill>
              <w14:schemeClr w14:val="tx1"/>
            </w14:solidFill>
          </w14:textFill>
        </w:rPr>
      </w:pPr>
    </w:p>
    <w:p>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b/>
          <w:color w:val="000000" w:themeColor="text1"/>
          <w:spacing w:val="6"/>
          <w:szCs w:val="21"/>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p>
    <w:p>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附件16</w:t>
      </w:r>
    </w:p>
    <w:p>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投诉书范本格式：</w:t>
      </w:r>
    </w:p>
    <w:p>
      <w:pPr>
        <w:snapToGrid w:val="0"/>
        <w:spacing w:line="440" w:lineRule="exact"/>
        <w:jc w:val="center"/>
        <w:rPr>
          <w:rFonts w:ascii="宋体" w:hAnsi="宋体" w:cs="宋体"/>
          <w:b/>
          <w:bCs/>
          <w:color w:val="000000" w:themeColor="text1"/>
          <w:kern w:val="0"/>
          <w:sz w:val="30"/>
          <w:szCs w:val="30"/>
          <w:highlight w:val="none"/>
          <w14:textFill>
            <w14:solidFill>
              <w14:schemeClr w14:val="tx1"/>
            </w14:solidFill>
          </w14:textFill>
        </w:rPr>
      </w:pPr>
      <w:r>
        <w:rPr>
          <w:rFonts w:ascii="宋体" w:hAnsi="宋体" w:cs="宋体"/>
          <w:b/>
          <w:bCs/>
          <w:color w:val="000000" w:themeColor="text1"/>
          <w:kern w:val="0"/>
          <w:sz w:val="30"/>
          <w:szCs w:val="30"/>
          <w:highlight w:val="none"/>
          <w14:textFill>
            <w14:solidFill>
              <w14:schemeClr w14:val="tx1"/>
            </w14:solidFill>
          </w14:textFill>
        </w:rPr>
        <w:t>政府采购供应商投诉书范本</w:t>
      </w:r>
    </w:p>
    <w:p>
      <w:pPr>
        <w:snapToGrid w:val="0"/>
        <w:spacing w:line="440" w:lineRule="exact"/>
        <w:jc w:val="center"/>
        <w:rPr>
          <w:rFonts w:ascii="宋体" w:hAnsi="宋体" w:cs="宋体"/>
          <w:b/>
          <w:bCs/>
          <w:color w:val="000000" w:themeColor="text1"/>
          <w:kern w:val="0"/>
          <w:szCs w:val="21"/>
          <w:highlight w:val="none"/>
          <w14:textFill>
            <w14:solidFill>
              <w14:schemeClr w14:val="tx1"/>
            </w14:solidFill>
          </w14:textFill>
        </w:rPr>
      </w:pP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一、投诉相关主体基本情况</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法定代表人/主要负责人：</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授权代表：联系电话：</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被投诉人1：</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被投诉人2</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相关供应商：</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二、投诉项目基本情况</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采购项目名称：</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采购项目编号：包号：</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采购人名称：</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代理机构名称：</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采购文件公告:是/否 公告期限：</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采购结果公告:是/否 公告期限：</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三、质疑基本情况</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投诉人于年月 日,向提出质疑，质疑事项为：</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采购人/代理机构于年月日,就质疑事项作出了答复/没有在法定期限内作出答复。</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四、投诉事项具体内容</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投诉事项1：</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事实依据：</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法律依据：</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投诉事项2</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五、与投诉事项相关的投诉请求</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请求：</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签字(签章)：公章：</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投诉书制作说明：</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1.投诉人提起投诉时，应当提交投诉书和必要的证明材料，并按照被投诉人和与投诉事项有关的供应商数量提供投诉书副本。</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3.投诉人若对项目的某一分包进行投诉，投诉书应列明具体分包号。</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4.投诉书应简要列明质疑事项，质疑函、质疑答复等作为附件材料提供。</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5.投诉书的投诉事项应具体、明确，并有必要的事实依据和法律依据。</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6.投诉书的投诉请求应与投诉事项相关。</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pPr>
        <w:snapToGrid w:val="0"/>
        <w:spacing w:line="440" w:lineRule="exact"/>
        <w:rPr>
          <w:rFonts w:ascii="黑体"/>
          <w:color w:val="000000" w:themeColor="text1"/>
          <w:sz w:val="24"/>
          <w:highlight w:val="none"/>
          <w14:textFill>
            <w14:solidFill>
              <w14:schemeClr w14:val="tx1"/>
            </w14:solidFill>
          </w14:textFill>
        </w:rPr>
      </w:pPr>
    </w:p>
    <w:p>
      <w:pPr>
        <w:pStyle w:val="90"/>
        <w:rPr>
          <w:color w:val="000000" w:themeColor="text1"/>
          <w:szCs w:val="24"/>
          <w:highlight w:val="none"/>
          <w14:textFill>
            <w14:solidFill>
              <w14:schemeClr w14:val="tx1"/>
            </w14:solidFill>
          </w14:textFill>
        </w:rPr>
      </w:pPr>
    </w:p>
    <w:p>
      <w:pPr>
        <w:pStyle w:val="90"/>
        <w:rPr>
          <w:color w:val="000000" w:themeColor="text1"/>
          <w:szCs w:val="24"/>
          <w:highlight w:val="none"/>
          <w14:textFill>
            <w14:solidFill>
              <w14:schemeClr w14:val="tx1"/>
            </w14:solidFill>
          </w14:textFill>
        </w:rPr>
      </w:pPr>
    </w:p>
    <w:p>
      <w:pPr>
        <w:pStyle w:val="90"/>
        <w:rPr>
          <w:color w:val="000000" w:themeColor="text1"/>
          <w:szCs w:val="24"/>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pPr>
        <w:adjustRightInd w:val="0"/>
        <w:snapToGrid w:val="0"/>
        <w:spacing w:line="360" w:lineRule="auto"/>
        <w:ind w:firstLine="482"/>
        <w:jc w:val="left"/>
        <w:rPr>
          <w:rFonts w:hint="eastAsia" w:ascii="宋体" w:hAnsi="宋体"/>
          <w:color w:val="000000" w:themeColor="text1"/>
          <w:kern w:val="0"/>
          <w:sz w:val="24"/>
          <w:szCs w:val="20"/>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7"/>
        <w:rPr>
          <w:rFonts w:hint="eastAsia"/>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pPr>
        <w:keepNext/>
        <w:keepLines/>
        <w:jc w:val="center"/>
        <w:outlineLvl w:val="0"/>
        <w:rPr>
          <w:rFonts w:ascii="宋体" w:hAnsi="宋体"/>
          <w:b/>
          <w:bCs/>
          <w:color w:val="000000" w:themeColor="text1"/>
          <w:kern w:val="44"/>
          <w:sz w:val="44"/>
          <w:szCs w:val="44"/>
          <w:highlight w:val="none"/>
          <w14:textFill>
            <w14:solidFill>
              <w14:schemeClr w14:val="tx1"/>
            </w14:solidFill>
          </w14:textFill>
        </w:rPr>
      </w:pPr>
      <w:bookmarkStart w:id="91" w:name="_GoBack"/>
      <w:bookmarkEnd w:id="91"/>
      <w:bookmarkStart w:id="60" w:name="_Toc26063"/>
      <w:bookmarkStart w:id="61" w:name="_Toc176861409"/>
      <w:r>
        <w:rPr>
          <w:rFonts w:hint="eastAsia" w:ascii="宋体" w:hAnsi="宋体"/>
          <w:b/>
          <w:bCs/>
          <w:color w:val="000000" w:themeColor="text1"/>
          <w:kern w:val="44"/>
          <w:sz w:val="44"/>
          <w:szCs w:val="44"/>
          <w:highlight w:val="none"/>
          <w14:textFill>
            <w14:solidFill>
              <w14:schemeClr w14:val="tx1"/>
            </w14:solidFill>
          </w14:textFill>
        </w:rPr>
        <w:t>第四章  采购项目需求</w:t>
      </w:r>
      <w:bookmarkEnd w:id="60"/>
      <w:bookmarkEnd w:id="61"/>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40" w:lineRule="exact"/>
        <w:jc w:val="center"/>
        <w:rPr>
          <w:color w:val="000000" w:themeColor="text1"/>
          <w:sz w:val="36"/>
          <w:szCs w:val="36"/>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rPr>
          <w:rFonts w:ascii="宋体" w:hAnsi="Courier New" w:cs="Courier New"/>
          <w:color w:val="000000" w:themeColor="text1"/>
          <w:szCs w:val="21"/>
          <w:highlight w:val="none"/>
          <w14:textFill>
            <w14:solidFill>
              <w14:schemeClr w14:val="tx1"/>
            </w14:solidFill>
          </w14:textFill>
        </w:rPr>
      </w:pPr>
    </w:p>
    <w:p>
      <w:pPr>
        <w:autoSpaceDE w:val="0"/>
        <w:autoSpaceDN w:val="0"/>
        <w:adjustRightInd w:val="0"/>
        <w:jc w:val="center"/>
        <w:rPr>
          <w:rFonts w:ascii="宋体" w:hAnsi="宋体" w:cs="宋体"/>
          <w:b/>
          <w:bCs/>
          <w:color w:val="000000" w:themeColor="text1"/>
          <w:kern w:val="0"/>
          <w:sz w:val="32"/>
          <w:szCs w:val="32"/>
          <w:highlight w:val="none"/>
          <w:lang w:val="zh-CN"/>
          <w14:textFill>
            <w14:solidFill>
              <w14:schemeClr w14:val="tx1"/>
            </w14:solidFill>
          </w14:textFill>
        </w:rPr>
      </w:pPr>
      <w:r>
        <w:rPr>
          <w:rFonts w:hint="eastAsia" w:ascii="宋体" w:hAnsi="宋体" w:cs="宋体"/>
          <w:b/>
          <w:bCs/>
          <w:color w:val="000000" w:themeColor="text1"/>
          <w:kern w:val="0"/>
          <w:sz w:val="32"/>
          <w:szCs w:val="32"/>
          <w:highlight w:val="none"/>
          <w:lang w:val="zh-CN"/>
          <w14:textFill>
            <w14:solidFill>
              <w14:schemeClr w14:val="tx1"/>
            </w14:solidFill>
          </w14:textFill>
        </w:rPr>
        <w:t>项目采购需求</w:t>
      </w:r>
    </w:p>
    <w:p>
      <w:pPr>
        <w:numPr>
          <w:ilvl w:val="0"/>
          <w:numId w:val="4"/>
        </w:numPr>
        <w:adjustRightInd w:val="0"/>
        <w:spacing w:line="360" w:lineRule="auto"/>
        <w:jc w:val="left"/>
        <w:rPr>
          <w:rFonts w:hint="default" w:ascii="宋体" w:hAnsi="宋体" w:cs="仿宋_GB2312"/>
          <w:b w:val="0"/>
          <w:bCs w:val="0"/>
          <w:color w:val="000000" w:themeColor="text1"/>
          <w:sz w:val="24"/>
          <w:lang w:val="en-US" w:eastAsia="zh-CN"/>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工程概况：</w:t>
      </w:r>
      <w:r>
        <w:rPr>
          <w:rFonts w:hint="eastAsia" w:ascii="宋体" w:hAnsi="宋体" w:cs="仿宋_GB2312"/>
          <w:b w:val="0"/>
          <w:bCs w:val="0"/>
          <w:color w:val="000000" w:themeColor="text1"/>
          <w:sz w:val="24"/>
          <w:lang w:eastAsia="zh-CN"/>
          <w14:textFill>
            <w14:solidFill>
              <w14:schemeClr w14:val="tx1"/>
            </w14:solidFill>
          </w14:textFill>
        </w:rPr>
        <w:t>合浦县党江中学教学楼维修项目</w:t>
      </w:r>
      <w:r>
        <w:rPr>
          <w:rFonts w:hint="eastAsia" w:ascii="宋体" w:hAnsi="宋体" w:cs="仿宋_GB2312"/>
          <w:b w:val="0"/>
          <w:bCs w:val="0"/>
          <w:color w:val="000000" w:themeColor="text1"/>
          <w:sz w:val="24"/>
          <w:lang w:val="en-US" w:eastAsia="zh-CN"/>
          <w14:textFill>
            <w14:solidFill>
              <w14:schemeClr w14:val="tx1"/>
            </w14:solidFill>
          </w14:textFill>
        </w:rPr>
        <w:t>。</w:t>
      </w:r>
    </w:p>
    <w:p>
      <w:pPr>
        <w:adjustRightInd w:val="0"/>
        <w:spacing w:line="360" w:lineRule="auto"/>
        <w:jc w:val="left"/>
        <w:rPr>
          <w:rFonts w:ascii="宋体" w:hAnsi="宋体" w:cs="仿宋_GB2312"/>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 xml:space="preserve">二、工程内容 </w:t>
      </w:r>
    </w:p>
    <w:p>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1.工程名称：</w:t>
      </w:r>
      <w:r>
        <w:rPr>
          <w:rFonts w:hint="eastAsia" w:ascii="宋体" w:hAnsi="宋体" w:cs="仿宋_GB2312"/>
          <w:color w:val="000000" w:themeColor="text1"/>
          <w:sz w:val="24"/>
          <w:lang w:eastAsia="zh-CN"/>
          <w14:textFill>
            <w14:solidFill>
              <w14:schemeClr w14:val="tx1"/>
            </w14:solidFill>
          </w14:textFill>
        </w:rPr>
        <w:t>合浦县党江中学教学楼维修项目</w:t>
      </w:r>
    </w:p>
    <w:p>
      <w:pPr>
        <w:adjustRightInd w:val="0"/>
        <w:spacing w:line="360" w:lineRule="auto"/>
        <w:ind w:left="210" w:leftChars="100" w:firstLine="240" w:firstLineChars="100"/>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.工程承包范围：</w:t>
      </w:r>
      <w:r>
        <w:rPr>
          <w:rFonts w:hint="eastAsia" w:ascii="宋体" w:hAnsi="宋体" w:cs="仿宋_GB2312"/>
          <w:color w:val="000000" w:themeColor="text1"/>
          <w:sz w:val="24"/>
          <w:highlight w:val="none"/>
          <w:lang w:eastAsia="zh-CN"/>
          <w14:textFill>
            <w14:solidFill>
              <w14:schemeClr w14:val="tx1"/>
            </w14:solidFill>
          </w14:textFill>
        </w:rPr>
        <w:t>施工图纸范围内的所有内容（详见施工图纸及工程量清单）</w:t>
      </w:r>
    </w:p>
    <w:p>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.工程质量标准：</w:t>
      </w:r>
      <w:r>
        <w:rPr>
          <w:rFonts w:hint="eastAsia" w:ascii="宋体" w:hAnsi="宋体" w:cs="仿宋_GB2312"/>
          <w:color w:val="000000" w:themeColor="text1"/>
          <w:sz w:val="24"/>
          <w:lang w:eastAsia="zh-CN"/>
          <w14:textFill>
            <w14:solidFill>
              <w14:schemeClr w14:val="tx1"/>
            </w14:solidFill>
          </w14:textFill>
        </w:rPr>
        <w:t>达到国家工程施工验收规范合格标准</w:t>
      </w:r>
    </w:p>
    <w:p>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.工程施工要求：</w:t>
      </w:r>
    </w:p>
    <w:p>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（1）</w:t>
      </w:r>
      <w:r>
        <w:rPr>
          <w:rFonts w:hint="eastAsia" w:ascii="宋体" w:hAnsi="宋体"/>
          <w:color w:val="000000" w:themeColor="text1"/>
          <w:sz w:val="24"/>
          <w:u w:val="none"/>
          <w14:textFill>
            <w14:solidFill>
              <w14:schemeClr w14:val="tx1"/>
            </w14:solidFill>
          </w14:textFill>
        </w:rPr>
        <w:t>项目安全生产的达标目标及相应事项的约定：要求达到《建筑施工安全检查标准》（JGJ59-2011）标准。</w:t>
      </w:r>
    </w:p>
    <w:p>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2</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pPr>
        <w:adjustRightInd w:val="0"/>
        <w:spacing w:line="360" w:lineRule="auto"/>
        <w:ind w:firstLine="420"/>
        <w:jc w:val="left"/>
        <w:rPr>
          <w:rFonts w:ascii="宋体" w:hAnsi="宋体" w:cs="仿宋_GB2312"/>
          <w:color w:val="000000" w:themeColor="text1"/>
          <w:sz w:val="24"/>
          <w:highlight w:val="yellow"/>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3</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文明施工</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达到《建设施工现场环境与卫生标准 》。         </w:t>
      </w:r>
      <w:r>
        <w:rPr>
          <w:rFonts w:hint="eastAsia" w:ascii="宋体" w:hAnsi="宋体"/>
          <w:color w:val="000000" w:themeColor="text1"/>
          <w:sz w:val="24"/>
          <w:u w:val="single"/>
          <w14:textFill>
            <w14:solidFill>
              <w14:schemeClr w14:val="tx1"/>
            </w14:solidFill>
          </w14:textFill>
        </w:rPr>
        <w:t xml:space="preserve">                   </w:t>
      </w:r>
    </w:p>
    <w:p>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三、商务要求</w:t>
      </w:r>
    </w:p>
    <w:p>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60日历天</w:t>
      </w:r>
      <w:r>
        <w:rPr>
          <w:rFonts w:hint="eastAsia" w:ascii="宋体" w:hAnsi="宋体"/>
          <w:color w:val="auto"/>
          <w:sz w:val="24"/>
          <w:highlight w:val="none"/>
          <w:u w:val="single"/>
        </w:rPr>
        <w:t xml:space="preserve">                                      </w:t>
      </w:r>
    </w:p>
    <w:p>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2.工程地点：</w:t>
      </w:r>
      <w:r>
        <w:rPr>
          <w:rFonts w:hint="eastAsia" w:ascii="宋体" w:hAnsi="宋体" w:cs="仿宋_GB2312"/>
          <w:color w:val="auto"/>
          <w:sz w:val="24"/>
          <w:highlight w:val="none"/>
          <w:lang w:eastAsia="zh-CN"/>
        </w:rPr>
        <w:t>合浦县党江中学校园内</w:t>
      </w:r>
      <w:r>
        <w:rPr>
          <w:rFonts w:hint="eastAsia" w:ascii="宋体" w:hAnsi="宋体"/>
          <w:color w:val="auto"/>
          <w:sz w:val="24"/>
          <w:highlight w:val="none"/>
          <w:u w:val="single"/>
        </w:rPr>
        <w:t xml:space="preserve">                                     </w:t>
      </w:r>
    </w:p>
    <w:p>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3.付款条件（进度和方式）</w:t>
      </w:r>
    </w:p>
    <w:p>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pPr>
        <w:numPr>
          <w:ilvl w:val="0"/>
          <w:numId w:val="0"/>
        </w:numPr>
        <w:adjustRightInd w:val="0"/>
        <w:spacing w:line="360" w:lineRule="auto"/>
        <w:ind w:firstLine="480" w:firstLineChars="200"/>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其他商务要求：</w:t>
      </w:r>
    </w:p>
    <w:p>
      <w:pPr>
        <w:numPr>
          <w:ilvl w:val="0"/>
          <w:numId w:val="0"/>
        </w:numPr>
        <w:adjustRightInd w:val="0"/>
        <w:spacing w:line="360" w:lineRule="auto"/>
        <w:ind w:firstLine="240" w:firstLineChars="100"/>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eastAsia="zh-CN"/>
          <w14:textFill>
            <w14:solidFill>
              <w14:schemeClr w14:val="tx1"/>
            </w14:solidFill>
          </w14:textFill>
        </w:rPr>
        <w:t>（</w:t>
      </w:r>
      <w:r>
        <w:rPr>
          <w:rFonts w:hint="eastAsia" w:ascii="宋体" w:hAnsi="宋体" w:cs="仿宋_GB2312"/>
          <w:color w:val="000000" w:themeColor="text1"/>
          <w:sz w:val="24"/>
          <w:lang w:val="en-US" w:eastAsia="zh-CN"/>
          <w14:textFill>
            <w14:solidFill>
              <w14:schemeClr w14:val="tx1"/>
            </w14:solidFill>
          </w14:textFill>
        </w:rPr>
        <w:t>1</w:t>
      </w:r>
      <w:r>
        <w:rPr>
          <w:rFonts w:hint="eastAsia" w:ascii="宋体" w:hAnsi="宋体" w:cs="仿宋_GB2312"/>
          <w:color w:val="000000" w:themeColor="text1"/>
          <w:sz w:val="24"/>
          <w:lang w:eastAsia="zh-CN"/>
          <w14:textFill>
            <w14:solidFill>
              <w14:schemeClr w14:val="tx1"/>
            </w14:solidFill>
          </w14:textFill>
        </w:rPr>
        <w:t>）合同签订期：自成交通知书发出之日起</w:t>
      </w:r>
      <w:r>
        <w:rPr>
          <w:rFonts w:hint="eastAsia" w:ascii="宋体" w:hAnsi="宋体" w:cs="仿宋_GB2312"/>
          <w:color w:val="000000" w:themeColor="text1"/>
          <w:sz w:val="24"/>
          <w:lang w:val="en-US" w:eastAsia="zh-CN"/>
          <w14:textFill>
            <w14:solidFill>
              <w14:schemeClr w14:val="tx1"/>
            </w14:solidFill>
          </w14:textFill>
        </w:rPr>
        <w:t>25日内。</w:t>
      </w:r>
    </w:p>
    <w:p>
      <w:pPr>
        <w:numPr>
          <w:ilvl w:val="0"/>
          <w:numId w:val="0"/>
        </w:numPr>
        <w:adjustRightInd w:val="0"/>
        <w:spacing w:line="360" w:lineRule="auto"/>
        <w:ind w:firstLine="240" w:firstLineChars="100"/>
        <w:jc w:val="left"/>
        <w:rPr>
          <w:rFonts w:hint="default"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（2）缺陷责任期：24个月。</w:t>
      </w:r>
    </w:p>
    <w:p>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五、其他要求</w:t>
      </w:r>
    </w:p>
    <w:p>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报价人的报价已包含以下部分，包括：</w:t>
      </w:r>
    </w:p>
    <w:p>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工程项目的价格；</w:t>
      </w:r>
    </w:p>
    <w:p>
      <w:pPr>
        <w:pStyle w:val="17"/>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ascii="宋体" w:hAnsi="宋体" w:cs="仿宋_GB2312"/>
          <w:color w:val="000000" w:themeColor="text1"/>
          <w:sz w:val="24"/>
          <w:lang w:val="en-US" w:eastAsia="zh-CN"/>
          <w14:textFill>
            <w14:solidFill>
              <w14:schemeClr w14:val="tx1"/>
            </w14:solidFill>
          </w14:textFill>
        </w:rPr>
        <w:t>2.必要的保险费用和各项税金。</w:t>
      </w:r>
    </w:p>
    <w:p>
      <w:pPr>
        <w:rPr>
          <w:rFonts w:ascii="宋体" w:hAnsi="Courier New" w:cs="Courier New"/>
          <w:color w:val="000000" w:themeColor="text1"/>
          <w:szCs w:val="21"/>
          <w:highlight w:val="none"/>
          <w14:textFill>
            <w14:solidFill>
              <w14:schemeClr w14:val="tx1"/>
            </w14:solidFill>
          </w14:textFill>
        </w:rPr>
      </w:pPr>
      <w:r>
        <w:rPr>
          <w:rFonts w:ascii="宋体" w:hAnsi="Courier New" w:cs="Courier New"/>
          <w:color w:val="000000" w:themeColor="text1"/>
          <w:szCs w:val="21"/>
          <w:highlight w:val="none"/>
          <w14:textFill>
            <w14:solidFill>
              <w14:schemeClr w14:val="tx1"/>
            </w14:solidFill>
          </w14:textFill>
        </w:rPr>
        <w:br w:type="page"/>
      </w:r>
    </w:p>
    <w:p>
      <w:pPr>
        <w:pStyle w:val="90"/>
        <w:rPr>
          <w:color w:val="000000" w:themeColor="text1"/>
          <w:highlight w:val="none"/>
          <w14:textFill>
            <w14:solidFill>
              <w14:schemeClr w14:val="tx1"/>
            </w14:solidFill>
          </w14:textFill>
        </w:rPr>
      </w:pPr>
      <w:bookmarkStart w:id="62" w:name="_Toc176429415"/>
      <w:bookmarkStart w:id="63" w:name="_Toc27757"/>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2"/>
        <w:spacing w:before="0" w:after="0" w:line="240" w:lineRule="auto"/>
        <w:jc w:val="center"/>
        <w:rPr>
          <w:rFonts w:ascii="宋体" w:hAnsi="宋体"/>
          <w:color w:val="000000" w:themeColor="text1"/>
          <w:highlight w:val="none"/>
          <w14:textFill>
            <w14:solidFill>
              <w14:schemeClr w14:val="tx1"/>
            </w14:solidFill>
          </w14:textFill>
        </w:rPr>
      </w:pPr>
      <w:bookmarkStart w:id="64" w:name="_Toc1297"/>
      <w:r>
        <w:rPr>
          <w:rFonts w:hint="eastAsia" w:ascii="宋体" w:hAnsi="宋体"/>
          <w:color w:val="000000" w:themeColor="text1"/>
          <w:highlight w:val="none"/>
          <w14:textFill>
            <w14:solidFill>
              <w14:schemeClr w14:val="tx1"/>
            </w14:solidFill>
          </w14:textFill>
        </w:rPr>
        <w:t>第五章  工程量清单及图纸</w:t>
      </w:r>
      <w:bookmarkEnd w:id="62"/>
      <w:bookmarkEnd w:id="63"/>
      <w:bookmarkEnd w:id="64"/>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4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工程量清单及图纸（另册）</w:t>
      </w:r>
    </w:p>
    <w:p>
      <w:pPr>
        <w:spacing w:line="440" w:lineRule="exact"/>
        <w:jc w:val="center"/>
        <w:rPr>
          <w:rFonts w:eastAsia="仿宋_GB2312"/>
          <w:color w:val="000000" w:themeColor="text1"/>
          <w:sz w:val="36"/>
          <w:szCs w:val="36"/>
          <w:highlight w:val="none"/>
          <w14:textFill>
            <w14:solidFill>
              <w14:schemeClr w14:val="tx1"/>
            </w14:solidFill>
          </w14:textFill>
        </w:rPr>
      </w:pPr>
    </w:p>
    <w:p>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pPr>
        <w:rPr>
          <w:color w:val="000000" w:themeColor="text1"/>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600" w:lineRule="exact"/>
        <w:rPr>
          <w:color w:val="000000" w:themeColor="text1"/>
          <w:szCs w:val="21"/>
          <w:highlight w:val="none"/>
          <w14:textFill>
            <w14:solidFill>
              <w14:schemeClr w14:val="tx1"/>
            </w14:solidFill>
          </w14:textFill>
        </w:rPr>
      </w:pPr>
    </w:p>
    <w:p>
      <w:pPr>
        <w:spacing w:line="300" w:lineRule="auto"/>
        <w:rPr>
          <w:rFonts w:ascii="方正宋黑简体" w:hAnsi="宋体" w:eastAsia="方正宋黑简体"/>
          <w:b/>
          <w:color w:val="000000" w:themeColor="text1"/>
          <w:szCs w:val="21"/>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autoSpaceDE w:val="0"/>
        <w:autoSpaceDN w:val="0"/>
        <w:adjustRightInd w:val="0"/>
        <w:snapToGrid w:val="0"/>
        <w:spacing w:line="300" w:lineRule="auto"/>
        <w:ind w:firstLine="3282" w:firstLineChars="743"/>
        <w:outlineLvl w:val="0"/>
        <w:rPr>
          <w:rFonts w:ascii="宋体" w:hAnsi="宋体"/>
          <w:b/>
          <w:color w:val="000000" w:themeColor="text1"/>
          <w:kern w:val="0"/>
          <w:sz w:val="44"/>
          <w:szCs w:val="44"/>
          <w:highlight w:val="none"/>
          <w14:textFill>
            <w14:solidFill>
              <w14:schemeClr w14:val="tx1"/>
            </w14:solidFill>
          </w14:textFill>
        </w:rPr>
      </w:pPr>
      <w:bookmarkStart w:id="65" w:name="_Toc176429416"/>
      <w:bookmarkStart w:id="66" w:name="_Toc3994507"/>
      <w:bookmarkStart w:id="67" w:name="_Toc13588"/>
      <w:bookmarkStart w:id="68" w:name="_Toc31815"/>
      <w:bookmarkStart w:id="69" w:name="_Toc7888"/>
      <w:r>
        <w:rPr>
          <w:rFonts w:hint="eastAsia" w:ascii="宋体" w:hAnsi="宋体"/>
          <w:b/>
          <w:color w:val="000000" w:themeColor="text1"/>
          <w:kern w:val="0"/>
          <w:sz w:val="44"/>
          <w:szCs w:val="44"/>
          <w:highlight w:val="none"/>
          <w14:textFill>
            <w14:solidFill>
              <w14:schemeClr w14:val="tx1"/>
            </w14:solidFill>
          </w14:textFill>
        </w:rPr>
        <w:t>第六章  合同格式</w:t>
      </w:r>
      <w:bookmarkEnd w:id="65"/>
      <w:bookmarkEnd w:id="66"/>
      <w:bookmarkEnd w:id="67"/>
      <w:bookmarkEnd w:id="68"/>
      <w:bookmarkEnd w:id="69"/>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pStyle w:val="17"/>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300" w:lineRule="auto"/>
        <w:rPr>
          <w:rFonts w:ascii="黑体" w:hAnsi="宋体" w:eastAsia="黑体"/>
          <w:b/>
          <w:color w:val="000000" w:themeColor="text1"/>
          <w:kern w:val="0"/>
          <w:sz w:val="32"/>
          <w:szCs w:val="32"/>
          <w:highlight w:val="none"/>
          <w14:textFill>
            <w14:solidFill>
              <w14:schemeClr w14:val="tx1"/>
            </w14:solidFill>
          </w14:textFill>
        </w:rPr>
      </w:pPr>
      <w:r>
        <w:rPr>
          <w:rFonts w:ascii="黑体" w:hAnsi="宋体" w:eastAsia="黑体"/>
          <w:b/>
          <w:color w:val="000000" w:themeColor="text1"/>
          <w:kern w:val="0"/>
          <w:sz w:val="32"/>
          <w:szCs w:val="32"/>
          <w:highlight w:val="none"/>
          <w14:textFill>
            <w14:solidFill>
              <w14:schemeClr w14:val="tx1"/>
            </w14:solidFill>
          </w14:textFill>
        </w:rPr>
        <w:br w:type="page"/>
      </w:r>
    </w:p>
    <w:p>
      <w:pPr>
        <w:pStyle w:val="21"/>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北海市政府采购合同</w:t>
      </w: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合同名称：</w:t>
      </w:r>
      <w:r>
        <w:rPr>
          <w:rFonts w:hint="eastAsia" w:hAnsi="宋体"/>
          <w:b/>
          <w:color w:val="000000" w:themeColor="text1"/>
          <w:sz w:val="32"/>
          <w:szCs w:val="32"/>
          <w:highlight w:val="none"/>
          <w:u w:val="single"/>
          <w14:textFill>
            <w14:solidFill>
              <w14:schemeClr w14:val="tx1"/>
            </w14:solidFill>
          </w14:textFill>
        </w:rPr>
        <w:t xml:space="preserve">                    </w:t>
      </w:r>
    </w:p>
    <w:p>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合同编号：</w:t>
      </w:r>
      <w:r>
        <w:rPr>
          <w:rFonts w:hint="eastAsia" w:hAnsi="宋体"/>
          <w:b/>
          <w:color w:val="000000" w:themeColor="text1"/>
          <w:sz w:val="32"/>
          <w:szCs w:val="32"/>
          <w:highlight w:val="none"/>
          <w:u w:val="singl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采购人（甲方）</w:t>
      </w:r>
      <w:r>
        <w:rPr>
          <w:rFonts w:hint="eastAsia" w:hAnsi="宋体"/>
          <w:b/>
          <w:color w:val="000000" w:themeColor="text1"/>
          <w:sz w:val="32"/>
          <w:szCs w:val="32"/>
          <w:highlight w:val="none"/>
          <w:u w:val="single"/>
          <w14:textFill>
            <w14:solidFill>
              <w14:schemeClr w14:val="tx1"/>
            </w14:solidFill>
          </w14:textFill>
        </w:rPr>
        <w:t xml:space="preserve">                    </w:t>
      </w:r>
    </w:p>
    <w:p>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p>
    <w:p>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供 应 商（乙方）</w:t>
      </w:r>
      <w:r>
        <w:rPr>
          <w:rFonts w:hint="eastAsia" w:hAnsi="宋体"/>
          <w:b/>
          <w:color w:val="000000" w:themeColor="text1"/>
          <w:sz w:val="32"/>
          <w:szCs w:val="32"/>
          <w:highlight w:val="none"/>
          <w:u w:val="singl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签订合同地点：</w:t>
      </w:r>
      <w:r>
        <w:rPr>
          <w:rFonts w:hint="eastAsia" w:hAnsi="宋体"/>
          <w:b/>
          <w:color w:val="000000" w:themeColor="text1"/>
          <w:sz w:val="32"/>
          <w:szCs w:val="32"/>
          <w:highlight w:val="none"/>
          <w:u w:val="single"/>
          <w14:textFill>
            <w14:solidFill>
              <w14:schemeClr w14:val="tx1"/>
            </w14:solidFill>
          </w14:textFill>
        </w:rPr>
        <w:t xml:space="preserve">                    </w:t>
      </w:r>
    </w:p>
    <w:p>
      <w:pPr>
        <w:pStyle w:val="21"/>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签订合同时间：</w:t>
      </w:r>
      <w:r>
        <w:rPr>
          <w:rFonts w:hint="eastAsia" w:hAnsi="宋体"/>
          <w:b/>
          <w:color w:val="000000" w:themeColor="text1"/>
          <w:sz w:val="32"/>
          <w:szCs w:val="32"/>
          <w:highlight w:val="none"/>
          <w:u w:val="singl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r>
        <w:rPr>
          <w:rFonts w:hint="eastAsia" w:ascii="黑体" w:hAnsi="宋体" w:eastAsia="黑体"/>
          <w:b/>
          <w:color w:val="000000" w:themeColor="text1"/>
          <w:kern w:val="0"/>
          <w:sz w:val="32"/>
          <w:szCs w:val="32"/>
          <w:highlight w:val="none"/>
          <w14:textFill>
            <w14:solidFill>
              <w14:schemeClr w14:val="tx1"/>
            </w14:solidFill>
          </w14:textFill>
        </w:rPr>
        <w:t>采购合同文本</w:t>
      </w:r>
    </w:p>
    <w:p>
      <w:pPr>
        <w:snapToGrid w:val="0"/>
        <w:spacing w:line="360" w:lineRule="auto"/>
        <w:jc w:val="center"/>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北海市政府采购合同</w:t>
      </w:r>
    </w:p>
    <w:p>
      <w:pPr>
        <w:snapToGrid w:val="0"/>
        <w:spacing w:line="360" w:lineRule="auto"/>
        <w:jc w:val="center"/>
        <w:rPr>
          <w:rFonts w:ascii="宋体" w:hAnsi="宋体"/>
          <w:b/>
          <w:bCs/>
          <w:color w:val="000000" w:themeColor="text1"/>
          <w:sz w:val="24"/>
          <w:highlight w:val="none"/>
          <w14:textFill>
            <w14:solidFill>
              <w14:schemeClr w14:val="tx1"/>
            </w14:solidFill>
          </w14:textFill>
        </w:rPr>
      </w:pPr>
    </w:p>
    <w:p>
      <w:pPr>
        <w:snapToGrid w:val="0"/>
        <w:spacing w:line="360" w:lineRule="auto"/>
        <w:ind w:right="480" w:firstLine="5760" w:firstLineChars="2400"/>
        <w:rPr>
          <w:rFonts w:ascii="宋体" w:hAnsi="宋体"/>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合同编号：</w:t>
      </w:r>
    </w:p>
    <w:p>
      <w:pPr>
        <w:snapToGrid w:val="0"/>
        <w:spacing w:line="360" w:lineRule="auto"/>
        <w:rPr>
          <w:rFonts w:ascii="宋体" w:hAnsi="宋体"/>
          <w:color w:val="000000" w:themeColor="text1"/>
          <w:sz w:val="24"/>
          <w:highlight w:val="none"/>
          <w14:textFill>
            <w14:solidFill>
              <w14:schemeClr w14:val="tx1"/>
            </w14:solidFill>
          </w14:textFill>
        </w:rPr>
      </w:pPr>
    </w:p>
    <w:p>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采购人（甲方）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采 购 计 划 号</w:t>
      </w:r>
      <w:r>
        <w:rPr>
          <w:rFonts w:hint="eastAsia" w:ascii="宋体" w:hAnsi="宋体"/>
          <w:color w:val="000000" w:themeColor="text1"/>
          <w:sz w:val="24"/>
          <w:highlight w:val="none"/>
          <w:u w:val="single"/>
          <w14:textFill>
            <w14:solidFill>
              <w14:schemeClr w14:val="tx1"/>
            </w14:solidFill>
          </w14:textFill>
        </w:rPr>
        <w:t xml:space="preserve">             </w:t>
      </w:r>
    </w:p>
    <w:p>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 应 商（乙方）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项目名称和</w:t>
      </w:r>
      <w:r>
        <w:rPr>
          <w:rFonts w:hint="eastAsia" w:ascii="宋体" w:hAnsi="宋体"/>
          <w:color w:val="000000" w:themeColor="text1"/>
          <w:spacing w:val="-20"/>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p>
    <w:p>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签  订  地  点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签 订 时 间</w:t>
      </w:r>
      <w:r>
        <w:rPr>
          <w:rFonts w:hint="eastAsia" w:ascii="宋体" w:hAnsi="宋体"/>
          <w:color w:val="000000" w:themeColor="text1"/>
          <w:sz w:val="24"/>
          <w:highlight w:val="none"/>
          <w:u w:val="single"/>
          <w14:textFill>
            <w14:solidFill>
              <w14:schemeClr w14:val="tx1"/>
            </w14:solidFill>
          </w14:textFill>
        </w:rPr>
        <w:t xml:space="preserve">             </w:t>
      </w:r>
    </w:p>
    <w:p>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p>
    <w:p>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政府采购法》、《中华人民共和国民法典》等法律、法规规定，按照谈判文件（以下简称“谈判文件”）规定条款和成交供应商竞争性谈判响应文件（以下简称“响应文件”）及其承诺，甲乙双方签订本合同。</w:t>
      </w:r>
    </w:p>
    <w:p>
      <w:pPr>
        <w:pStyle w:val="4"/>
        <w:spacing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bookmarkStart w:id="70" w:name="_Toc351203494"/>
      <w:r>
        <w:rPr>
          <w:rFonts w:hint="eastAsia" w:ascii="方正小标宋简体" w:eastAsia="方正小标宋简体"/>
          <w:b w:val="0"/>
          <w:color w:val="000000" w:themeColor="text1"/>
          <w:sz w:val="24"/>
          <w:szCs w:val="24"/>
          <w:highlight w:val="none"/>
          <w14:textFill>
            <w14:solidFill>
              <w14:schemeClr w14:val="tx1"/>
            </w14:solidFill>
          </w14:textFill>
        </w:rPr>
        <w:t>第一部分  通用合同条款</w:t>
      </w:r>
      <w:bookmarkEnd w:id="70"/>
      <w:bookmarkStart w:id="71" w:name="_Toc337558727"/>
    </w:p>
    <w:bookmarkEnd w:id="71"/>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《建设工程施工采购文件》的“合同通用条款”，采用国家工商行政管理局和建设部颁发的《建设工程施工合同》（</w:t>
      </w:r>
      <w:r>
        <w:rPr>
          <w:rFonts w:hint="eastAsia" w:ascii="宋体" w:hAnsi="宋体" w:eastAsia="宋体" w:cs="宋体"/>
          <w:sz w:val="24"/>
          <w:szCs w:val="24"/>
        </w:rPr>
        <w:t>GF—2017—0201</w:t>
      </w:r>
      <w:r>
        <w:rPr>
          <w:rFonts w:hint="eastAsia" w:ascii="宋体" w:hAnsi="宋体"/>
          <w:color w:val="000000" w:themeColor="text1"/>
          <w:sz w:val="24"/>
          <w:highlight w:val="none"/>
          <w14:textFill>
            <w14:solidFill>
              <w14:schemeClr w14:val="tx1"/>
            </w14:solidFill>
          </w14:textFill>
        </w:rPr>
        <w:t>）的“合同通用条款”。</w:t>
      </w:r>
    </w:p>
    <w:p>
      <w:pPr>
        <w:pStyle w:val="4"/>
        <w:spacing w:before="312" w:beforeLines="100"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第二部分  专用合同条款</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 </w:t>
      </w:r>
      <w:r>
        <w:rPr>
          <w:rFonts w:hint="eastAsia" w:ascii="宋体" w:hAnsi="宋体" w:eastAsia="宋体" w:cs="宋体"/>
          <w:sz w:val="24"/>
          <w:szCs w:val="24"/>
        </w:rPr>
        <w:t>一般约定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词语定义</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1.1.1合同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1.1.1.10其他合同文件包括：</w:t>
      </w:r>
      <w:r>
        <w:rPr>
          <w:rFonts w:hint="eastAsia" w:ascii="宋体" w:hAnsi="宋体" w:eastAsia="宋体" w:cs="宋体"/>
          <w:b w:val="0"/>
          <w:bCs w:val="0"/>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1.1.2 合同当事人及其他相关方</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 工程和设备</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1.1.3.7 作为施工现场组成部分的其他场所包括：</w:t>
      </w:r>
      <w:r>
        <w:rPr>
          <w:rFonts w:hint="eastAsia" w:ascii="宋体" w:hAnsi="宋体" w:cs="宋体"/>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none"/>
        </w:rPr>
      </w:pPr>
      <w:r>
        <w:rPr>
          <w:rFonts w:hint="eastAsia" w:ascii="宋体" w:hAnsi="宋体" w:eastAsia="宋体" w:cs="宋体"/>
          <w:sz w:val="24"/>
          <w:szCs w:val="24"/>
        </w:rPr>
        <w:t>1.1.3.9 永久占地包括：</w:t>
      </w:r>
      <w:r>
        <w:rPr>
          <w:rFonts w:hint="eastAsia" w:ascii="宋体" w:hAnsi="宋体" w:eastAsia="宋体" w:cs="宋体"/>
          <w:b w:val="0"/>
          <w:bCs w:val="0"/>
          <w:sz w:val="24"/>
          <w:szCs w:val="24"/>
          <w:u w:val="single"/>
        </w:rPr>
        <w:t>经相关政府部门或发包人允许的为实施本工程需永久占用的土地</w:t>
      </w:r>
      <w:r>
        <w:rPr>
          <w:rFonts w:hint="eastAsia" w:ascii="宋体" w:hAnsi="宋体" w:eastAsia="宋体" w:cs="宋体"/>
          <w:b w:val="0"/>
          <w:bCs w:val="0"/>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1.1.3.10 临时占地包括</w:t>
      </w:r>
      <w:r>
        <w:rPr>
          <w:rFonts w:hint="eastAsia" w:ascii="宋体" w:hAnsi="宋体" w:cs="宋体"/>
          <w:sz w:val="24"/>
          <w:szCs w:val="24"/>
          <w:lang w:eastAsia="zh-CN"/>
        </w:rPr>
        <w:t>：</w:t>
      </w:r>
      <w:r>
        <w:rPr>
          <w:rFonts w:hint="eastAsia" w:ascii="宋体" w:hAnsi="宋体" w:eastAsia="宋体" w:cs="宋体"/>
          <w:b w:val="0"/>
          <w:bCs w:val="0"/>
          <w:sz w:val="24"/>
          <w:szCs w:val="24"/>
          <w:u w:val="single"/>
        </w:rPr>
        <w:t>经相关政府部门或发包人允许的为实施本工程需临时占用的土地</w:t>
      </w:r>
      <w:r>
        <w:rPr>
          <w:rFonts w:hint="eastAsia" w:ascii="宋体" w:hAnsi="宋体" w:eastAsia="宋体" w:cs="宋体"/>
          <w:b w:val="0"/>
          <w:bCs w:val="0"/>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w:t>
      </w:r>
      <w:r>
        <w:rPr>
          <w:rFonts w:hint="eastAsia" w:ascii="宋体" w:hAnsi="宋体" w:cs="宋体"/>
          <w:sz w:val="24"/>
          <w:szCs w:val="24"/>
          <w:lang w:eastAsia="zh-CN"/>
        </w:rPr>
        <w:t>法律</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适用于合同的其他规范性文件：</w:t>
      </w:r>
      <w:r>
        <w:rPr>
          <w:rFonts w:hint="eastAsia" w:ascii="宋体" w:hAnsi="宋体" w:eastAsia="宋体" w:cs="宋体"/>
          <w:b w:val="0"/>
          <w:bCs w:val="0"/>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 </w:t>
      </w:r>
      <w:r>
        <w:rPr>
          <w:rFonts w:hint="eastAsia" w:ascii="宋体" w:hAnsi="宋体" w:cs="宋体"/>
          <w:sz w:val="24"/>
          <w:szCs w:val="24"/>
          <w:lang w:eastAsia="zh-CN"/>
        </w:rPr>
        <w:t>标准和规范</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1.4.1适用于工程的标准规范包括：</w:t>
      </w:r>
      <w:r>
        <w:rPr>
          <w:rFonts w:hint="eastAsia" w:ascii="宋体" w:hAnsi="宋体" w:eastAsia="宋体" w:cs="宋体"/>
          <w:b w:val="0"/>
          <w:bCs w:val="0"/>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1.4.2 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发包人提供国外标准、规范的份数：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1.4.3发包人对工程的技术标准和功能要求的特殊要求：</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rPr>
        <w:t>合同文件的优先顺序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合同文件组成及优先顺序为：</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（1）合同协议书；</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（2）中标通知书；</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（3）投标函及投标函附录；</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（4）专用合同条款；</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（5）通用合同条款；</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（6）技术标准和要求；</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（7）已标价工程量清单；</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（8）图纸；</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（9）其他合同文件：</w:t>
      </w:r>
    </w:p>
    <w:p>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图纸和承包人文件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 图纸的提供</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发包人向承包人提供图纸的期限：</w:t>
      </w:r>
      <w:r>
        <w:rPr>
          <w:rFonts w:hint="eastAsia" w:ascii="宋体" w:hAnsi="宋体" w:eastAsia="宋体" w:cs="宋体"/>
          <w:b w:val="0"/>
          <w:bCs w:val="0"/>
          <w:sz w:val="24"/>
          <w:szCs w:val="24"/>
          <w:u w:val="single"/>
        </w:rPr>
        <w:t>合同签订之日起 7 日内提供项目基础资料，书面及电子版形式</w:t>
      </w:r>
      <w:r>
        <w:rPr>
          <w:rFonts w:hint="eastAsia" w:ascii="宋体" w:hAnsi="宋体" w:eastAsia="宋体" w:cs="宋体"/>
          <w:b w:val="0"/>
          <w:bCs w:val="0"/>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发包人向承包人提供图纸的数量:</w:t>
      </w:r>
      <w:r>
        <w:rPr>
          <w:rFonts w:hint="eastAsia" w:ascii="宋体" w:hAnsi="宋体" w:cs="宋体"/>
          <w:b w:val="0"/>
          <w:bCs w:val="0"/>
          <w:sz w:val="24"/>
          <w:szCs w:val="24"/>
          <w:u w:val="single"/>
          <w:lang w:val="en-US" w:eastAsia="zh-CN"/>
        </w:rPr>
        <w:t>3</w:t>
      </w:r>
      <w:r>
        <w:rPr>
          <w:rFonts w:hint="eastAsia" w:ascii="宋体" w:hAnsi="宋体" w:eastAsia="宋体" w:cs="宋体"/>
          <w:b w:val="0"/>
          <w:bCs w:val="0"/>
          <w:sz w:val="24"/>
          <w:szCs w:val="24"/>
          <w:u w:val="single"/>
        </w:rPr>
        <w:t>份全套图纸，承包人需要更多份数时，自费复制</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由发包人代为复制，承包人承担所有费用</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未经发包人同意，不得将图纸转借给第三人</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b w:val="0"/>
          <w:bCs w:val="0"/>
          <w:sz w:val="24"/>
          <w:szCs w:val="24"/>
          <w:u w:val="none"/>
        </w:rPr>
        <w:t>发包人向承包人提供图纸的内容:</w:t>
      </w:r>
      <w:r>
        <w:rPr>
          <w:rFonts w:hint="eastAsia" w:ascii="宋体" w:hAnsi="宋体" w:eastAsia="宋体" w:cs="宋体"/>
          <w:b w:val="0"/>
          <w:bCs w:val="0"/>
          <w:sz w:val="24"/>
          <w:szCs w:val="24"/>
          <w:u w:val="single"/>
        </w:rPr>
        <w:t>经审图审查通过的施工图纸</w:t>
      </w:r>
      <w:r>
        <w:rPr>
          <w:rFonts w:hint="eastAsia" w:ascii="宋体" w:hAnsi="宋体" w:eastAsia="宋体" w:cs="宋体"/>
          <w:b w:val="0"/>
          <w:bCs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1.6.4 承包人文件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lang w:eastAsia="zh-CN"/>
        </w:rPr>
      </w:pPr>
      <w:r>
        <w:rPr>
          <w:rFonts w:hint="eastAsia" w:ascii="宋体" w:hAnsi="宋体" w:eastAsia="宋体" w:cs="宋体"/>
          <w:sz w:val="24"/>
          <w:szCs w:val="24"/>
        </w:rPr>
        <w:t>需要由承包人提供的文件，包括：</w:t>
      </w:r>
      <w:r>
        <w:rPr>
          <w:rFonts w:hint="eastAsia" w:ascii="宋体" w:hAnsi="宋体" w:eastAsia="宋体" w:cs="宋体"/>
          <w:b w:val="0"/>
          <w:bCs w:val="0"/>
          <w:sz w:val="24"/>
          <w:szCs w:val="24"/>
          <w:u w:val="single"/>
        </w:rPr>
        <w:t>按照国家及地方的标准、规范及行业管理规定要求执行以及发包人、工程师要求的文件</w:t>
      </w:r>
      <w:r>
        <w:rPr>
          <w:rFonts w:hint="eastAsia" w:ascii="宋体" w:hAnsi="宋体" w:cs="宋体"/>
          <w:b w:val="0"/>
          <w:bCs w:val="0"/>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承包人提供的文件的期限为:</w:t>
      </w:r>
      <w:r>
        <w:rPr>
          <w:rFonts w:hint="eastAsia" w:ascii="宋体" w:hAnsi="宋体" w:eastAsia="宋体" w:cs="宋体"/>
          <w:b w:val="0"/>
          <w:bCs w:val="0"/>
          <w:sz w:val="24"/>
          <w:szCs w:val="24"/>
          <w:u w:val="single"/>
        </w:rPr>
        <w:t>不少于该项工作施工前14天</w:t>
      </w:r>
      <w:r>
        <w:rPr>
          <w:rFonts w:hint="eastAsia" w:ascii="宋体" w:hAnsi="宋体" w:cs="宋体"/>
          <w:b w:val="0"/>
          <w:bCs w:val="0"/>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sz w:val="24"/>
          <w:szCs w:val="24"/>
          <w:u w:val="single"/>
          <w:lang w:eastAsia="zh-CN"/>
        </w:rPr>
      </w:pPr>
      <w:r>
        <w:rPr>
          <w:rFonts w:hint="eastAsia" w:ascii="宋体" w:hAnsi="宋体" w:eastAsia="宋体" w:cs="宋体"/>
          <w:b w:val="0"/>
          <w:bCs w:val="0"/>
          <w:sz w:val="24"/>
          <w:szCs w:val="24"/>
          <w:u w:val="none"/>
        </w:rPr>
        <w:t>承包人提供的文件的数量为:</w:t>
      </w:r>
      <w:r>
        <w:rPr>
          <w:rFonts w:hint="eastAsia" w:ascii="宋体" w:hAnsi="宋体" w:eastAsia="宋体" w:cs="宋体"/>
          <w:b w:val="0"/>
          <w:bCs w:val="0"/>
          <w:sz w:val="24"/>
          <w:szCs w:val="24"/>
          <w:u w:val="single"/>
        </w:rPr>
        <w:t>按发包人或监理人要求</w:t>
      </w:r>
      <w:r>
        <w:rPr>
          <w:rFonts w:hint="eastAsia" w:ascii="宋体" w:hAnsi="宋体" w:cs="宋体"/>
          <w:b w:val="0"/>
          <w:bCs w:val="0"/>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承包人提供的文件的形式为:</w:t>
      </w:r>
      <w:r>
        <w:rPr>
          <w:rFonts w:hint="eastAsia" w:ascii="宋体" w:hAnsi="宋体" w:eastAsia="宋体" w:cs="宋体"/>
          <w:b w:val="0"/>
          <w:bCs w:val="0"/>
          <w:sz w:val="24"/>
          <w:szCs w:val="24"/>
          <w:u w:val="single"/>
        </w:rPr>
        <w:t xml:space="preserve"> 书面及电子版形式</w:t>
      </w:r>
      <w:r>
        <w:rPr>
          <w:rFonts w:hint="eastAsia" w:ascii="宋体" w:hAnsi="宋体" w:cs="宋体"/>
          <w:b w:val="0"/>
          <w:bCs w:val="0"/>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none"/>
        </w:rPr>
        <w:t>发包人审批承包人文件的期限:</w:t>
      </w:r>
      <w:r>
        <w:rPr>
          <w:rFonts w:hint="eastAsia" w:ascii="宋体" w:hAnsi="宋体" w:eastAsia="宋体" w:cs="宋体"/>
          <w:b w:val="0"/>
          <w:bCs w:val="0"/>
          <w:sz w:val="24"/>
          <w:szCs w:val="24"/>
          <w:u w:val="single"/>
        </w:rPr>
        <w:t>收到承包人提供的文件后7天内</w:t>
      </w:r>
      <w:r>
        <w:rPr>
          <w:rFonts w:hint="eastAsia" w:ascii="宋体" w:hAnsi="宋体" w:eastAsia="宋体" w:cs="宋体"/>
          <w:b w:val="0"/>
          <w:bCs w:val="0"/>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1.6.5 现场图纸准备</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关于现场图纸准备的约定：</w:t>
      </w:r>
      <w:r>
        <w:rPr>
          <w:rFonts w:hint="eastAsia" w:ascii="宋体" w:hAnsi="宋体" w:eastAsia="宋体" w:cs="宋体"/>
          <w:b w:val="0"/>
          <w:bCs w:val="0"/>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联络</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1.7.1发包人和承包人应当在进场施工前</w:t>
      </w:r>
      <w:r>
        <w:rPr>
          <w:rFonts w:hint="eastAsia" w:ascii="宋体" w:hAnsi="宋体" w:eastAsia="宋体" w:cs="宋体"/>
          <w:sz w:val="24"/>
          <w:szCs w:val="24"/>
          <w:u w:val="single"/>
        </w:rPr>
        <w:t>14</w:t>
      </w:r>
      <w:r>
        <w:rPr>
          <w:rFonts w:hint="eastAsia" w:ascii="宋体" w:hAnsi="宋体" w:eastAsia="宋体" w:cs="宋体"/>
          <w:sz w:val="24"/>
          <w:szCs w:val="24"/>
        </w:rPr>
        <w:t xml:space="preserve">天内将与合同有关的通知、批准、证明、证书、指示、指令、要求、请求、同意、意见、确定和决定等书面函件送达对方当事人。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1.7.2 发包人接收文件的地点：</w:t>
      </w:r>
      <w:r>
        <w:rPr>
          <w:rFonts w:hint="eastAsia" w:ascii="宋体" w:hAnsi="宋体" w:eastAsia="宋体" w:cs="宋体"/>
          <w:b w:val="0"/>
          <w:bCs w:val="0"/>
          <w:sz w:val="24"/>
          <w:szCs w:val="24"/>
          <w:u w:val="single"/>
        </w:rPr>
        <w:t>发包人办公室</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发包人指定的接收人为：</w:t>
      </w:r>
      <w:r>
        <w:rPr>
          <w:rFonts w:hint="eastAsia" w:ascii="宋体" w:hAnsi="宋体" w:eastAsia="宋体" w:cs="宋体"/>
          <w:b w:val="0"/>
          <w:bCs w:val="0"/>
          <w:sz w:val="24"/>
          <w:szCs w:val="24"/>
          <w:u w:val="single"/>
        </w:rPr>
        <w:t>发包人</w:t>
      </w:r>
      <w:r>
        <w:rPr>
          <w:rFonts w:hint="eastAsia" w:ascii="宋体" w:hAnsi="宋体" w:eastAsia="宋体" w:cs="宋体"/>
          <w:b w:val="0"/>
          <w:bCs w:val="0"/>
          <w:sz w:val="24"/>
          <w:szCs w:val="24"/>
          <w:u w:val="single"/>
          <w:lang w:val="en-US" w:eastAsia="zh-CN"/>
        </w:rPr>
        <w:t>代表</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承包人接收文件的地点：</w:t>
      </w:r>
      <w:r>
        <w:rPr>
          <w:rFonts w:hint="eastAsia" w:ascii="宋体" w:hAnsi="宋体" w:eastAsia="宋体" w:cs="宋体"/>
          <w:b w:val="0"/>
          <w:bCs w:val="0"/>
          <w:sz w:val="24"/>
          <w:szCs w:val="24"/>
          <w:u w:val="single"/>
        </w:rPr>
        <w:t>施工现场项目部</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承包人指定的接收人为：</w:t>
      </w:r>
      <w:r>
        <w:rPr>
          <w:rFonts w:hint="eastAsia" w:ascii="宋体" w:hAnsi="宋体" w:eastAsia="宋体" w:cs="宋体"/>
          <w:b w:val="0"/>
          <w:bCs w:val="0"/>
          <w:sz w:val="24"/>
          <w:szCs w:val="24"/>
          <w:u w:val="single"/>
          <w:lang w:val="en-US" w:eastAsia="zh-CN"/>
        </w:rPr>
        <w:t>项目负责人</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监理人接收文件的地点：</w:t>
      </w:r>
      <w:r>
        <w:rPr>
          <w:rFonts w:hint="eastAsia" w:ascii="宋体" w:hAnsi="宋体" w:eastAsia="宋体" w:cs="宋体"/>
          <w:b w:val="0"/>
          <w:bCs w:val="0"/>
          <w:sz w:val="24"/>
          <w:szCs w:val="24"/>
          <w:u w:val="single"/>
        </w:rPr>
        <w:t>施工现场监理部</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监理人指定的接收人为：</w:t>
      </w:r>
      <w:r>
        <w:rPr>
          <w:rFonts w:hint="eastAsia" w:ascii="宋体" w:hAnsi="宋体" w:eastAsia="宋体" w:cs="宋体"/>
          <w:b w:val="0"/>
          <w:bCs w:val="0"/>
          <w:sz w:val="24"/>
          <w:szCs w:val="24"/>
          <w:u w:val="single"/>
        </w:rPr>
        <w:t>总监或总监代表</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1.10 </w:t>
      </w:r>
      <w:r>
        <w:rPr>
          <w:rFonts w:hint="eastAsia" w:ascii="宋体" w:hAnsi="宋体" w:eastAsia="宋体" w:cs="宋体"/>
          <w:sz w:val="24"/>
          <w:szCs w:val="24"/>
        </w:rPr>
        <w:t>交通运输</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1.10.1 出入现场的权利</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关于出入现场的权利的约定：</w:t>
      </w:r>
      <w:r>
        <w:rPr>
          <w:rFonts w:hint="eastAsia" w:ascii="宋体" w:hAnsi="宋体" w:eastAsia="宋体" w:cs="宋体"/>
          <w:b w:val="0"/>
          <w:bCs w:val="0"/>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1.10.3 场内交通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关于场外交通和场内交通的边界的约定</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single"/>
        </w:rPr>
        <w:t>以现场实际施工条件为准。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关于发包人向承包人免费提供满足工程施工需要的场内道路和交通设施的约定：</w:t>
      </w:r>
      <w:r>
        <w:rPr>
          <w:rFonts w:hint="eastAsia" w:ascii="宋体" w:hAnsi="宋体" w:eastAsia="宋体" w:cs="宋体"/>
          <w:b w:val="0"/>
          <w:bCs w:val="0"/>
          <w:sz w:val="24"/>
          <w:szCs w:val="24"/>
          <w:u w:val="single"/>
        </w:rPr>
        <w:t>场内交通由承包人自行解决，</w:t>
      </w:r>
      <w:r>
        <w:rPr>
          <w:rFonts w:hint="eastAsia" w:ascii="宋体" w:hAnsi="宋体" w:eastAsia="宋体" w:cs="宋体"/>
          <w:b w:val="0"/>
          <w:bCs w:val="0"/>
          <w:sz w:val="24"/>
          <w:szCs w:val="24"/>
          <w:u w:val="single"/>
          <w:lang w:val="en-US" w:eastAsia="zh-CN"/>
        </w:rPr>
        <w:t>承包人</w:t>
      </w:r>
      <w:r>
        <w:rPr>
          <w:rFonts w:hint="eastAsia" w:ascii="宋体" w:hAnsi="宋体" w:eastAsia="宋体" w:cs="宋体"/>
          <w:b w:val="0"/>
          <w:bCs w:val="0"/>
          <w:sz w:val="24"/>
          <w:szCs w:val="24"/>
          <w:u w:val="single"/>
        </w:rPr>
        <w:t>应遵守交通管理部门限制通行的有关规定以及城管部门的有关规定</w:t>
      </w:r>
      <w:r>
        <w:rPr>
          <w:rFonts w:hint="eastAsia" w:ascii="宋体" w:hAnsi="宋体" w:eastAsia="宋体" w:cs="宋体"/>
          <w:b w:val="0"/>
          <w:bCs w:val="0"/>
          <w:sz w:val="24"/>
          <w:szCs w:val="24"/>
          <w:u w:val="single"/>
          <w:lang w:val="en-US" w:eastAsia="zh-CN"/>
        </w:rPr>
        <w:t>并</w:t>
      </w:r>
      <w:r>
        <w:rPr>
          <w:rFonts w:hint="eastAsia" w:ascii="宋体" w:hAnsi="宋体" w:eastAsia="宋体" w:cs="宋体"/>
          <w:b w:val="0"/>
          <w:bCs w:val="0"/>
          <w:sz w:val="24"/>
          <w:szCs w:val="24"/>
          <w:u w:val="single"/>
        </w:rPr>
        <w:t>承担违反规定引起的罚款等责任</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1.10.4超大件和超重件的运输</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运输超大件或超重件所需的道路和桥梁临时加固改造费用和其他有关费用由</w:t>
      </w:r>
      <w:r>
        <w:rPr>
          <w:rFonts w:hint="eastAsia" w:ascii="宋体" w:hAnsi="宋体" w:eastAsia="宋体" w:cs="宋体"/>
          <w:b w:val="0"/>
          <w:bCs w:val="0"/>
          <w:sz w:val="24"/>
          <w:szCs w:val="24"/>
          <w:u w:val="single"/>
        </w:rPr>
        <w:t>承包人</w:t>
      </w:r>
      <w:r>
        <w:rPr>
          <w:rFonts w:hint="eastAsia" w:ascii="宋体" w:hAnsi="宋体" w:eastAsia="宋体" w:cs="宋体"/>
          <w:sz w:val="24"/>
          <w:szCs w:val="24"/>
        </w:rPr>
        <w:t>承担。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知识产权</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sz w:val="24"/>
          <w:szCs w:val="24"/>
          <w:u w:val="single"/>
        </w:rPr>
        <w:t>有关著作权均属于发包人，承包人应根据知识产权有关的规定进行保密。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lang w:eastAsia="zh-CN"/>
        </w:rPr>
      </w:pPr>
      <w:r>
        <w:rPr>
          <w:rFonts w:hint="eastAsia" w:ascii="宋体" w:hAnsi="宋体" w:eastAsia="宋体" w:cs="宋体"/>
          <w:sz w:val="24"/>
          <w:szCs w:val="24"/>
        </w:rPr>
        <w:t>关于发包人提供的上述文件的使用限制的要求：</w:t>
      </w:r>
      <w:r>
        <w:rPr>
          <w:rFonts w:hint="eastAsia" w:ascii="宋体" w:hAnsi="宋体" w:eastAsia="宋体" w:cs="宋体"/>
          <w:b w:val="0"/>
          <w:bCs w:val="0"/>
          <w:sz w:val="24"/>
          <w:szCs w:val="24"/>
          <w:u w:val="single"/>
        </w:rPr>
        <w:t>只能在本工程的施工工程当中使用，不得挪作他用或者泄密</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1.11.2 关于承包人为实施工程所编制文件的著作权的归属：</w:t>
      </w:r>
      <w:r>
        <w:rPr>
          <w:rFonts w:hint="eastAsia" w:ascii="宋体" w:hAnsi="宋体" w:eastAsia="宋体" w:cs="宋体"/>
          <w:b w:val="0"/>
          <w:bCs w:val="0"/>
          <w:sz w:val="24"/>
          <w:szCs w:val="24"/>
          <w:u w:val="single"/>
        </w:rPr>
        <w:t>除署名权以外的著作权属于发包人。</w:t>
      </w:r>
    </w:p>
    <w:p>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关于承包人提供的上述文件的使用限制的要求：</w:t>
      </w:r>
      <w:r>
        <w:rPr>
          <w:rFonts w:hint="eastAsia" w:ascii="宋体" w:hAnsi="宋体" w:eastAsia="宋体" w:cs="宋体"/>
          <w:b w:val="0"/>
          <w:bCs w:val="0"/>
          <w:sz w:val="24"/>
          <w:szCs w:val="24"/>
          <w:u w:val="single"/>
        </w:rPr>
        <w:t>按通用条款，无特殊约定</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1.11.4 承包人在施工过程中所采用的专利、专有技术、技术秘密的使用费的承担方式：</w:t>
      </w:r>
      <w:r>
        <w:rPr>
          <w:rFonts w:hint="eastAsia" w:ascii="宋体" w:hAnsi="宋体" w:eastAsia="宋体" w:cs="宋体"/>
          <w:b w:val="0"/>
          <w:bCs w:val="0"/>
          <w:sz w:val="24"/>
          <w:szCs w:val="24"/>
          <w:u w:val="single"/>
        </w:rPr>
        <w:t>承包人在施工中所采用的所有专利、专利技术、技术秘密的使用均已包含在签约合同中，承包人不得以此为理由增加费用。</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1.13</w:t>
      </w:r>
      <w:r>
        <w:rPr>
          <w:rFonts w:hint="eastAsia" w:ascii="宋体" w:hAnsi="宋体" w:eastAsia="宋体" w:cs="宋体"/>
          <w:sz w:val="24"/>
          <w:szCs w:val="24"/>
        </w:rPr>
        <w:t>工程量清单错误的修正</w:t>
      </w:r>
    </w:p>
    <w:p>
      <w:pPr>
        <w:spacing w:line="400" w:lineRule="exact"/>
        <w:ind w:firstLine="420"/>
        <w:rPr>
          <w:rFonts w:hint="eastAsia" w:hAnsi="宋体" w:cs="宋体"/>
          <w:color w:val="000000"/>
          <w:sz w:val="24"/>
          <w:szCs w:val="24"/>
          <w:highlight w:val="none"/>
        </w:rPr>
      </w:pPr>
      <w:r>
        <w:rPr>
          <w:rFonts w:hint="eastAsia" w:hAnsi="宋体" w:cs="宋体"/>
          <w:color w:val="000000"/>
          <w:sz w:val="24"/>
          <w:szCs w:val="24"/>
          <w:highlight w:val="none"/>
        </w:rPr>
        <w:t>出现工程量清单错误时，是否调整合同价格：</w:t>
      </w:r>
      <w:r>
        <w:rPr>
          <w:rFonts w:hint="eastAsia" w:hAnsi="宋体" w:cs="宋体"/>
          <w:color w:val="000000"/>
          <w:sz w:val="24"/>
          <w:szCs w:val="24"/>
          <w:highlight w:val="none"/>
          <w:u w:val="single"/>
          <w:lang w:val="en-US" w:eastAsia="zh-CN"/>
        </w:rPr>
        <w:t>调整，其综合单价的调整原则如下：同专用条款10.4.1</w:t>
      </w:r>
      <w:r>
        <w:rPr>
          <w:rFonts w:hint="eastAsia" w:hAnsi="宋体" w:cs="宋体"/>
          <w:color w:val="000000"/>
          <w:sz w:val="24"/>
          <w:szCs w:val="24"/>
          <w:highlight w:val="none"/>
        </w:rPr>
        <w:t>。</w:t>
      </w:r>
    </w:p>
    <w:p>
      <w:pPr>
        <w:spacing w:line="400" w:lineRule="exact"/>
        <w:ind w:firstLine="420"/>
        <w:rPr>
          <w:rFonts w:hint="eastAsia" w:ascii="宋体" w:hAnsi="宋体" w:eastAsia="宋体" w:cs="宋体"/>
          <w:b/>
          <w:bCs/>
          <w:sz w:val="24"/>
          <w:szCs w:val="24"/>
          <w:u w:val="none"/>
          <w:lang w:eastAsia="zh-CN"/>
        </w:rPr>
      </w:pPr>
      <w:r>
        <w:rPr>
          <w:rFonts w:hint="eastAsia" w:hAnsi="宋体" w:cs="宋体"/>
          <w:color w:val="000000"/>
          <w:sz w:val="24"/>
          <w:szCs w:val="24"/>
          <w:highlight w:val="none"/>
        </w:rPr>
        <w:t>允许调整合同价格的工程量偏差范围：</w:t>
      </w:r>
      <w:r>
        <w:rPr>
          <w:rFonts w:hint="eastAsia" w:hAnsi="宋体" w:cs="宋体"/>
          <w:color w:val="000000"/>
          <w:sz w:val="24"/>
          <w:szCs w:val="24"/>
          <w:highlight w:val="none"/>
          <w:u w:val="single"/>
        </w:rPr>
        <w:t>按实际工程量调整合同价格</w:t>
      </w:r>
      <w:r>
        <w:rPr>
          <w:rFonts w:hint="eastAsia" w:hAnsi="宋体" w:cs="宋体"/>
          <w:color w:val="000000"/>
          <w:sz w:val="24"/>
          <w:szCs w:val="24"/>
          <w:highlight w:val="none"/>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rPr>
      </w:pPr>
      <w:r>
        <w:rPr>
          <w:rFonts w:hint="eastAsia" w:ascii="宋体" w:hAnsi="宋体" w:eastAsia="宋体" w:cs="宋体"/>
          <w:b/>
          <w:sz w:val="24"/>
          <w:szCs w:val="24"/>
        </w:rPr>
        <w:t xml:space="preserve">2.2 </w:t>
      </w:r>
      <w:r>
        <w:rPr>
          <w:rFonts w:hint="eastAsia" w:ascii="宋体" w:hAnsi="宋体" w:eastAsia="宋体" w:cs="宋体"/>
          <w:sz w:val="24"/>
          <w:szCs w:val="24"/>
        </w:rPr>
        <w:t>发包人代表</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发包人对发包人代表的授权范围如下：</w:t>
      </w:r>
      <w:r>
        <w:rPr>
          <w:rFonts w:hint="eastAsia" w:ascii="宋体" w:hAnsi="宋体" w:eastAsia="宋体" w:cs="宋体"/>
          <w:b w:val="0"/>
          <w:bCs w:val="0"/>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2.4 </w:t>
      </w:r>
      <w:r>
        <w:rPr>
          <w:rFonts w:hint="eastAsia" w:ascii="宋体" w:hAnsi="宋体" w:eastAsia="宋体" w:cs="宋体"/>
          <w:sz w:val="24"/>
          <w:szCs w:val="24"/>
        </w:rPr>
        <w:t>施工现场、施工条件和基础资料的提供</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2.4.1 提供施工现场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关于发包人移交施工现场的期限要求：</w:t>
      </w:r>
      <w:r>
        <w:rPr>
          <w:rFonts w:hint="eastAsia" w:ascii="宋体" w:hAnsi="宋体" w:eastAsia="宋体" w:cs="宋体"/>
          <w:b w:val="0"/>
          <w:bCs w:val="0"/>
          <w:sz w:val="24"/>
          <w:szCs w:val="24"/>
          <w:u w:val="single"/>
        </w:rPr>
        <w:t>开工日期7天前，发包人负责向承包人提供红线范围内的临建场地。</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2.4.2 提供施工条件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关于发包人应负责提供施工所需要的条件，包括：</w:t>
      </w:r>
      <w:r>
        <w:rPr>
          <w:rFonts w:hint="eastAsia" w:ascii="宋体" w:hAnsi="宋体" w:eastAsia="宋体" w:cs="宋体"/>
          <w:b w:val="0"/>
          <w:bCs w:val="0"/>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（2）由发包人办理的施工所需证件、批件的名称和完成时间：承包人协助发包人办理施工许可证；按施工进度的需要办理好临时用地、用水、用电事项。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2.5</w:t>
      </w:r>
      <w:r>
        <w:rPr>
          <w:rFonts w:hint="eastAsia" w:ascii="宋体" w:hAnsi="宋体" w:eastAsia="宋体" w:cs="宋体"/>
          <w:sz w:val="24"/>
          <w:szCs w:val="24"/>
        </w:rPr>
        <w:t>资金来源证明及支付担保</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发包人提供资金来源证明的期限要求：</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发包人是否提供支付担保：</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发包人提供支付担保的形式：</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cs="宋体"/>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 </w:t>
      </w:r>
      <w:r>
        <w:rPr>
          <w:rFonts w:hint="eastAsia" w:ascii="宋体" w:hAnsi="宋体" w:eastAsia="宋体" w:cs="宋体"/>
          <w:sz w:val="24"/>
          <w:szCs w:val="24"/>
        </w:rPr>
        <w:t>承包人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3.1 </w:t>
      </w:r>
      <w:r>
        <w:rPr>
          <w:rFonts w:hint="eastAsia" w:ascii="宋体" w:hAnsi="宋体" w:eastAsia="宋体" w:cs="宋体"/>
          <w:sz w:val="24"/>
          <w:szCs w:val="24"/>
        </w:rPr>
        <w:t>承包人的一般义务</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（9）承包人提交的竣工资料的内容：</w:t>
      </w:r>
      <w:r>
        <w:rPr>
          <w:rFonts w:hint="eastAsia" w:ascii="宋体" w:hAnsi="宋体" w:eastAsia="宋体" w:cs="宋体"/>
          <w:b w:val="0"/>
          <w:bCs w:val="0"/>
          <w:sz w:val="24"/>
          <w:szCs w:val="24"/>
          <w:u w:val="single"/>
        </w:rPr>
        <w:t>竣工图、竣工资料及相关变更及签证资料等。</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承包人需要提交的竣工资料套数：</w:t>
      </w:r>
      <w:r>
        <w:rPr>
          <w:rFonts w:hint="eastAsia" w:ascii="宋体" w:hAnsi="宋体" w:eastAsia="宋体" w:cs="宋体"/>
          <w:b w:val="0"/>
          <w:bCs w:val="0"/>
          <w:sz w:val="24"/>
          <w:szCs w:val="24"/>
          <w:u w:val="single"/>
        </w:rPr>
        <w:t>一式</w:t>
      </w:r>
      <w:r>
        <w:rPr>
          <w:rFonts w:hint="eastAsia" w:ascii="宋体" w:hAnsi="宋体" w:eastAsia="宋体" w:cs="宋体"/>
          <w:b w:val="0"/>
          <w:bCs w:val="0"/>
          <w:sz w:val="24"/>
          <w:szCs w:val="24"/>
          <w:u w:val="single"/>
          <w:lang w:val="en-US" w:eastAsia="zh-CN"/>
        </w:rPr>
        <w:t>贰</w:t>
      </w:r>
      <w:r>
        <w:rPr>
          <w:rFonts w:hint="eastAsia" w:ascii="宋体" w:hAnsi="宋体" w:eastAsia="宋体" w:cs="宋体"/>
          <w:b w:val="0"/>
          <w:bCs w:val="0"/>
          <w:sz w:val="24"/>
          <w:szCs w:val="24"/>
          <w:u w:val="single"/>
        </w:rPr>
        <w:t>份。</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承包人提交的竣工资料的费用承担：</w:t>
      </w:r>
      <w:r>
        <w:rPr>
          <w:rFonts w:hint="eastAsia" w:ascii="宋体" w:hAnsi="宋体" w:cs="宋体"/>
          <w:b w:val="0"/>
          <w:bCs w:val="0"/>
          <w:sz w:val="24"/>
          <w:szCs w:val="24"/>
          <w:u w:val="single"/>
          <w:lang w:val="en-US" w:eastAsia="zh-CN"/>
        </w:rPr>
        <w:t>全部由</w:t>
      </w:r>
      <w:r>
        <w:rPr>
          <w:rFonts w:hint="eastAsia" w:ascii="宋体" w:hAnsi="宋体" w:eastAsia="宋体" w:cs="宋体"/>
          <w:b w:val="0"/>
          <w:bCs w:val="0"/>
          <w:sz w:val="24"/>
          <w:szCs w:val="24"/>
          <w:u w:val="single"/>
        </w:rPr>
        <w:t>承包人承担。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承包人提交的竣工资料移交时间：</w:t>
      </w:r>
      <w:r>
        <w:rPr>
          <w:rFonts w:hint="eastAsia" w:ascii="宋体" w:hAnsi="宋体" w:eastAsia="宋体" w:cs="宋体"/>
          <w:b w:val="0"/>
          <w:bCs w:val="0"/>
          <w:sz w:val="24"/>
          <w:szCs w:val="24"/>
          <w:u w:val="single"/>
        </w:rPr>
        <w:t>工程竣工验收合格之日起</w:t>
      </w:r>
      <w:r>
        <w:rPr>
          <w:rFonts w:hint="eastAsia" w:ascii="宋体" w:hAnsi="宋体" w:cs="宋体"/>
          <w:b w:val="0"/>
          <w:bCs w:val="0"/>
          <w:sz w:val="24"/>
          <w:szCs w:val="24"/>
          <w:u w:val="single"/>
          <w:lang w:val="en-US" w:eastAsia="zh-CN"/>
        </w:rPr>
        <w:t>15</w:t>
      </w:r>
      <w:r>
        <w:rPr>
          <w:rFonts w:hint="eastAsia" w:ascii="宋体" w:hAnsi="宋体" w:eastAsia="宋体" w:cs="宋体"/>
          <w:b w:val="0"/>
          <w:bCs w:val="0"/>
          <w:sz w:val="24"/>
          <w:szCs w:val="24"/>
          <w:u w:val="single"/>
        </w:rPr>
        <w:t>日内。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承包人提交的竣工资料形式要求：</w:t>
      </w:r>
      <w:r>
        <w:rPr>
          <w:rFonts w:hint="eastAsia" w:ascii="宋体" w:hAnsi="宋体" w:eastAsia="宋体" w:cs="宋体"/>
          <w:b w:val="0"/>
          <w:bCs w:val="0"/>
          <w:sz w:val="24"/>
          <w:szCs w:val="24"/>
          <w:u w:val="single"/>
        </w:rPr>
        <w:t>纸质资料和电子光盘。</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承包人应履行的其他义务：</w:t>
      </w:r>
      <w:r>
        <w:rPr>
          <w:rFonts w:hint="eastAsia" w:ascii="宋体" w:hAnsi="宋体" w:cs="宋体"/>
          <w:sz w:val="24"/>
          <w:szCs w:val="24"/>
          <w:u w:val="single"/>
          <w:lang w:val="en-US" w:eastAsia="zh-CN"/>
        </w:rPr>
        <w:t>承包</w:t>
      </w:r>
      <w:r>
        <w:rPr>
          <w:rFonts w:hint="eastAsia" w:ascii="宋体" w:hAnsi="宋体" w:eastAsia="宋体" w:cs="宋体"/>
          <w:b w:val="0"/>
          <w:bCs w:val="0"/>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3.2 </w:t>
      </w:r>
      <w:r>
        <w:rPr>
          <w:rFonts w:hint="eastAsia" w:ascii="宋体" w:hAnsi="宋体" w:eastAsia="宋体" w:cs="宋体"/>
          <w:sz w:val="24"/>
          <w:szCs w:val="24"/>
        </w:rPr>
        <w:t>项目经理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3.2.1 项目经理：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承包人对项目经理的授权范围如下：</w:t>
      </w:r>
      <w:r>
        <w:rPr>
          <w:rFonts w:hint="eastAsia" w:ascii="宋体" w:hAnsi="宋体" w:eastAsia="宋体" w:cs="宋体"/>
          <w:b w:val="0"/>
          <w:bCs w:val="0"/>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关于项目经理每月在施工现场的时间要求：</w:t>
      </w:r>
      <w:r>
        <w:rPr>
          <w:rFonts w:hint="eastAsia" w:ascii="宋体" w:hAnsi="宋体" w:eastAsia="宋体" w:cs="宋体"/>
          <w:b w:val="0"/>
          <w:bCs w:val="0"/>
          <w:sz w:val="24"/>
          <w:szCs w:val="24"/>
          <w:u w:val="single"/>
        </w:rPr>
        <w:t>开工之日起到竣工结束，项目经理每周至少5日，每天必须不少于8小时在现场组织施工</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承包人未提交劳动合同，以及没有为项目经理缴纳社会保险证明的违约责任：</w:t>
      </w:r>
      <w:r>
        <w:rPr>
          <w:rFonts w:hint="eastAsia" w:ascii="宋体" w:hAnsi="宋体" w:cs="宋体"/>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项目经理未经批准，擅自离开施工现场的违约责任：</w:t>
      </w:r>
      <w:r>
        <w:rPr>
          <w:rFonts w:hint="eastAsia" w:ascii="宋体" w:hAnsi="宋体" w:cs="宋体"/>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sz w:val="24"/>
          <w:szCs w:val="24"/>
          <w:u w:val="single"/>
          <w:lang w:val="en-US" w:eastAsia="zh-CN"/>
        </w:rPr>
        <w:t>1</w:t>
      </w:r>
      <w:r>
        <w:rPr>
          <w:rFonts w:hint="eastAsia" w:ascii="宋体" w:hAnsi="宋体" w:cs="宋体"/>
          <w:sz w:val="24"/>
          <w:szCs w:val="24"/>
          <w:u w:val="single"/>
        </w:rPr>
        <w:t>00元/天（人民币）。</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3.2.3 承包人擅自更换项目经理的违约责任：</w:t>
      </w:r>
      <w:r>
        <w:rPr>
          <w:rFonts w:hint="eastAsia" w:ascii="宋体" w:hAnsi="宋体" w:cs="宋体"/>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sz w:val="24"/>
          <w:szCs w:val="24"/>
          <w:u w:val="single"/>
          <w:lang w:val="en-US" w:eastAsia="zh-CN"/>
        </w:rPr>
        <w:t>5</w:t>
      </w:r>
      <w:r>
        <w:rPr>
          <w:rFonts w:hint="eastAsia" w:ascii="宋体" w:hAnsi="宋体" w:cs="宋体"/>
          <w:sz w:val="24"/>
          <w:szCs w:val="24"/>
          <w:u w:val="single"/>
        </w:rPr>
        <w:t>00元/人/次(人民币)。</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3.2.4 承包人无正当理由拒绝更换项目经理的违约责任：</w:t>
      </w:r>
      <w:r>
        <w:rPr>
          <w:rFonts w:hint="eastAsia" w:ascii="宋体" w:hAnsi="宋体" w:cs="宋体"/>
          <w:sz w:val="24"/>
          <w:szCs w:val="24"/>
          <w:u w:val="single"/>
        </w:rPr>
        <w:t>因承包人项目经理不称职，发包人（有正当理由）要求调换而未及时调换的，视为承包人违约，必须向发包人交纳处罚金</w:t>
      </w:r>
      <w:r>
        <w:rPr>
          <w:rFonts w:hint="eastAsia" w:ascii="宋体" w:hAnsi="宋体" w:cs="宋体"/>
          <w:sz w:val="24"/>
          <w:szCs w:val="24"/>
          <w:u w:val="single"/>
          <w:lang w:val="en-US" w:eastAsia="zh-CN"/>
        </w:rPr>
        <w:t>1</w:t>
      </w:r>
      <w:r>
        <w:rPr>
          <w:rFonts w:hint="eastAsia" w:ascii="宋体" w:hAnsi="宋体" w:cs="宋体"/>
          <w:sz w:val="24"/>
          <w:szCs w:val="24"/>
          <w:u w:val="single"/>
        </w:rPr>
        <w:t>000元/人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3.3 </w:t>
      </w:r>
      <w:r>
        <w:rPr>
          <w:rFonts w:hint="eastAsia" w:ascii="宋体" w:hAnsi="宋体" w:eastAsia="宋体" w:cs="宋体"/>
          <w:sz w:val="24"/>
          <w:szCs w:val="24"/>
        </w:rPr>
        <w:t>承包人人员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3.3.1 承包人提交项目管理机构及施工现场管理人员安排报告的期限：</w:t>
      </w:r>
      <w:r>
        <w:rPr>
          <w:rFonts w:hint="eastAsia" w:ascii="宋体" w:hAnsi="宋体" w:cs="宋体"/>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b w:val="0"/>
          <w:bCs w:val="0"/>
          <w:sz w:val="24"/>
          <w:szCs w:val="24"/>
          <w:u w:val="none"/>
        </w:rPr>
        <w:t>3.3.3 承包人无正当理由拒绝撤换主要施工管理人员的违约责任：</w:t>
      </w:r>
      <w:r>
        <w:rPr>
          <w:rFonts w:hint="eastAsia" w:ascii="宋体" w:hAnsi="宋体" w:cs="宋体"/>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sz w:val="24"/>
          <w:szCs w:val="24"/>
          <w:u w:val="single"/>
        </w:rPr>
        <w:t>•</w:t>
      </w:r>
      <w:r>
        <w:rPr>
          <w:rFonts w:hint="eastAsia" w:ascii="宋体" w:hAnsi="宋体" w:cs="宋体"/>
          <w:sz w:val="24"/>
          <w:szCs w:val="24"/>
          <w:u w:val="single"/>
        </w:rPr>
        <w:t>次(人民币)</w:t>
      </w:r>
      <w:r>
        <w:rPr>
          <w:rFonts w:hint="eastAsia" w:ascii="宋体" w:hAnsi="宋体" w:cs="宋体"/>
          <w:sz w:val="24"/>
          <w:szCs w:val="24"/>
          <w:u w:val="single"/>
          <w:lang w:eastAsia="zh-CN"/>
        </w:rPr>
        <w:t>；</w:t>
      </w:r>
      <w:r>
        <w:rPr>
          <w:rFonts w:hint="eastAsia" w:ascii="宋体" w:hAnsi="宋体" w:cs="宋体"/>
          <w:sz w:val="24"/>
          <w:szCs w:val="24"/>
          <w:u w:val="single"/>
        </w:rPr>
        <w:t>专业工程师200元/人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3.3.4 承包人主要施工管理人员离开施工现场的批准要求：</w:t>
      </w:r>
      <w:r>
        <w:rPr>
          <w:rFonts w:hint="eastAsia" w:ascii="宋体" w:hAnsi="宋体" w:cs="宋体"/>
          <w:sz w:val="24"/>
          <w:szCs w:val="24"/>
          <w:u w:val="single"/>
        </w:rPr>
        <w:t>由总监理工程师批准,发包人认可方可离开。</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3.3.5承包人擅自更换主要施工管理人员的违约责任：</w:t>
      </w:r>
      <w:r>
        <w:rPr>
          <w:rFonts w:hint="eastAsia" w:ascii="宋体" w:hAnsi="宋体"/>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sz w:val="24"/>
          <w:szCs w:val="24"/>
          <w:u w:val="single"/>
        </w:rPr>
        <w:t>•</w:t>
      </w:r>
      <w:r>
        <w:rPr>
          <w:rFonts w:hint="eastAsia" w:ascii="宋体" w:hAnsi="宋体"/>
          <w:sz w:val="24"/>
          <w:szCs w:val="24"/>
          <w:u w:val="single"/>
        </w:rPr>
        <w:t>次(人民币)违约金;擅自更换专职安全员处200元/人</w:t>
      </w:r>
      <w:r>
        <w:rPr>
          <w:rFonts w:hint="eastAsia" w:ascii="宋体" w:hAnsi="宋体" w:cs="宋体"/>
          <w:sz w:val="24"/>
          <w:szCs w:val="24"/>
          <w:u w:val="single"/>
        </w:rPr>
        <w:t>•</w:t>
      </w:r>
      <w:r>
        <w:rPr>
          <w:rFonts w:hint="eastAsia" w:ascii="宋体" w:hAnsi="宋体"/>
          <w:sz w:val="24"/>
          <w:szCs w:val="24"/>
          <w:u w:val="single"/>
        </w:rPr>
        <w:t>次(人民币)违约金;擅自更换其它在场管理人员处200元/人</w:t>
      </w:r>
      <w:r>
        <w:rPr>
          <w:rFonts w:hint="eastAsia" w:ascii="宋体" w:hAnsi="宋体" w:cs="宋体"/>
          <w:sz w:val="24"/>
          <w:szCs w:val="24"/>
          <w:u w:val="single"/>
        </w:rPr>
        <w:t>•</w:t>
      </w:r>
      <w:r>
        <w:rPr>
          <w:rFonts w:hint="eastAsia" w:ascii="宋体" w:hAnsi="宋体"/>
          <w:sz w:val="24"/>
          <w:szCs w:val="24"/>
          <w:u w:val="single"/>
        </w:rPr>
        <w:t>次(人民币)违约金。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承包人主要施工管理人员擅自离开施工现场的违约责任：</w:t>
      </w:r>
      <w:r>
        <w:rPr>
          <w:rFonts w:hint="eastAsia" w:ascii="宋体" w:hAnsi="宋体" w:cs="宋体"/>
          <w:sz w:val="24"/>
          <w:szCs w:val="24"/>
          <w:u w:val="single"/>
        </w:rPr>
        <w:t>未经发包人同意，承包人主要施工管理人员擅自离岗的，视为承包人违约，发包人有权处违约金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00元/人•次（人民币）；未经发包人同意，专职安全员擅自离岗的，视为承包人违约，发包人有权处违约金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00元/人•次（人民币）；其它在场管理人员擅自离岗的，视为承包人违约， 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 元/人•次（人民币）。</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3.5 </w:t>
      </w:r>
      <w:r>
        <w:rPr>
          <w:rFonts w:hint="eastAsia" w:ascii="宋体" w:hAnsi="宋体" w:eastAsia="宋体" w:cs="宋体"/>
          <w:sz w:val="24"/>
          <w:szCs w:val="24"/>
        </w:rPr>
        <w:t>分包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3.5.1 分包的一般约定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u w:val="none"/>
          <w:lang w:eastAsia="zh-CN"/>
        </w:rPr>
        <w:t>禁止分包的工程包括：</w:t>
      </w:r>
      <w:r>
        <w:rPr>
          <w:rFonts w:hint="eastAsia" w:ascii="宋体" w:hAnsi="宋体" w:eastAsia="宋体" w:cs="宋体"/>
          <w:sz w:val="24"/>
          <w:szCs w:val="24"/>
          <w:u w:val="single"/>
          <w:lang w:val="en-US" w:eastAsia="zh-CN"/>
        </w:rPr>
        <w:t xml:space="preserve"> 本工程不允许分包 </w:t>
      </w:r>
      <w:r>
        <w:rPr>
          <w:rFonts w:hint="eastAsia" w:ascii="宋体" w:hAnsi="宋体" w:eastAsia="宋体" w:cs="宋体"/>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主体结构、关键性工作的范围：</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3.5.2分包的确定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允许分包的专业工程包括：</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其他关于分包的约定：</w:t>
      </w:r>
      <w:r>
        <w:rPr>
          <w:rFonts w:hint="eastAsia" w:ascii="宋体" w:hAnsi="宋体" w:cs="宋体"/>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（2）在相关分包合同签订并报送有关建设行政主管部门备案后7天内，承包人应当将一份副本提交给监理人，承包人应保障分包工作不得再次分包。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（4）承包人有以下情况之一者，发包人有权解除合同，并视情况扣除其履约保证金：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①个人承包工程，包括本人单位及外单位人员承包，发包人不承认其个人拥有任何资质等级及营业许可资格。没收全部履约保证金。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②几个人联合承包工程，就地组织暗分包队伍，不具备完成本工程的技术、机械能力，被发包人判定为没有能力履行的承包人。没收全部履约保证金。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③就地转包全部的工程，以谋取高额转让费、管理费的承包人。没收全部履约保证金。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3.5.4 分包合同价款</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关于分包合同价款支付的约定：</w:t>
      </w:r>
      <w:r>
        <w:rPr>
          <w:rFonts w:hint="eastAsia" w:ascii="宋体" w:hAnsi="宋体" w:eastAsia="宋体" w:cs="宋体"/>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3.6 </w:t>
      </w:r>
      <w:r>
        <w:rPr>
          <w:rFonts w:hint="eastAsia" w:ascii="宋体" w:hAnsi="宋体" w:eastAsia="宋体" w:cs="宋体"/>
          <w:sz w:val="24"/>
          <w:szCs w:val="24"/>
        </w:rPr>
        <w:t>工程照管与成品、半成品保护</w:t>
      </w:r>
    </w:p>
    <w:p>
      <w:pPr>
        <w:spacing w:before="120" w:after="120" w:line="400" w:lineRule="exact"/>
        <w:ind w:firstLine="420"/>
        <w:rPr>
          <w:rFonts w:hint="eastAsia" w:ascii="宋体" w:hAnsi="宋体" w:eastAsia="宋体" w:cs="宋体"/>
          <w:sz w:val="24"/>
          <w:szCs w:val="24"/>
          <w:u w:val="single"/>
        </w:rPr>
      </w:pPr>
      <w:r>
        <w:rPr>
          <w:rFonts w:hint="eastAsia" w:ascii="宋体" w:hAnsi="宋体" w:eastAsia="宋体" w:cs="宋体"/>
          <w:sz w:val="24"/>
          <w:szCs w:val="24"/>
        </w:rPr>
        <w:t>承包人负责照管工程及工程相关的材料、工程设备的起始时间：</w:t>
      </w:r>
      <w:r>
        <w:rPr>
          <w:rFonts w:hint="eastAsia" w:ascii="宋体" w:hAnsi="宋体" w:eastAsia="宋体" w:cs="宋体"/>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3.7 </w:t>
      </w:r>
      <w:r>
        <w:rPr>
          <w:rFonts w:hint="eastAsia" w:ascii="宋体" w:hAnsi="宋体" w:eastAsia="宋体" w:cs="宋体"/>
          <w:sz w:val="24"/>
          <w:szCs w:val="24"/>
        </w:rPr>
        <w:t>履约担保</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承包人是否提供履约担保：</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否</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承包人提供履约担保的形式、金额及期限的：</w:t>
      </w:r>
      <w:r>
        <w:rPr>
          <w:rFonts w:hint="eastAsia" w:ascii="宋体" w:hAnsi="宋体" w:cs="宋体"/>
          <w:sz w:val="24"/>
          <w:szCs w:val="24"/>
          <w:u w:val="single"/>
          <w:lang w:val="en-US" w:eastAsia="zh-CN"/>
        </w:rPr>
        <w:t xml:space="preserve">       /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4.1</w:t>
      </w:r>
      <w:r>
        <w:rPr>
          <w:rFonts w:hint="eastAsia" w:ascii="宋体" w:hAnsi="宋体" w:eastAsia="宋体" w:cs="宋体"/>
          <w:sz w:val="24"/>
          <w:szCs w:val="24"/>
        </w:rPr>
        <w:t>监理人的一般规定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关于监理人的监理内容：</w:t>
      </w:r>
      <w:r>
        <w:rPr>
          <w:rFonts w:hint="eastAsia" w:ascii="宋体" w:hAnsi="宋体" w:cs="宋体"/>
          <w:sz w:val="24"/>
          <w:szCs w:val="24"/>
          <w:u w:val="single"/>
          <w:lang w:eastAsia="zh-CN"/>
        </w:rPr>
        <w:t>详</w:t>
      </w:r>
      <w:r>
        <w:rPr>
          <w:rFonts w:hint="eastAsia" w:ascii="宋体" w:hAnsi="宋体" w:eastAsia="宋体" w:cs="宋体"/>
          <w:sz w:val="24"/>
          <w:szCs w:val="24"/>
          <w:u w:val="single"/>
        </w:rPr>
        <w:t>见监理合同。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关于监理人的监理权限：</w:t>
      </w:r>
      <w:r>
        <w:rPr>
          <w:rFonts w:hint="eastAsia" w:ascii="宋体" w:hAnsi="宋体" w:eastAsia="宋体" w:cs="宋体"/>
          <w:sz w:val="24"/>
          <w:szCs w:val="24"/>
          <w:u w:val="single"/>
        </w:rPr>
        <w:t>按本工程的监理合同相关条款执行。开工前七日发包人应提供相应的监理合同原件一份给承包人，明确监理权限。</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关于监理人在施工现场的办公场所、生活场所的提供和费用承担的约定：</w:t>
      </w:r>
      <w:r>
        <w:rPr>
          <w:rFonts w:hint="eastAsia" w:ascii="宋体" w:hAnsi="宋体" w:eastAsia="宋体" w:cs="宋体"/>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4.4 </w:t>
      </w:r>
      <w:r>
        <w:rPr>
          <w:rFonts w:hint="eastAsia" w:ascii="宋体" w:hAnsi="宋体" w:eastAsia="宋体" w:cs="宋体"/>
          <w:sz w:val="24"/>
          <w:szCs w:val="24"/>
        </w:rPr>
        <w:t>商定或确定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在发包人和承包人不能通过协商达成一致意见时，发包人授权监理人对以下事项进行确定：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 </w:t>
      </w:r>
      <w:r>
        <w:rPr>
          <w:rFonts w:hint="eastAsia" w:ascii="宋体" w:hAnsi="宋体" w:eastAsia="宋体" w:cs="宋体"/>
          <w:sz w:val="24"/>
          <w:szCs w:val="24"/>
        </w:rPr>
        <w:t>工程质量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5.1 </w:t>
      </w:r>
      <w:r>
        <w:rPr>
          <w:rFonts w:hint="eastAsia" w:ascii="宋体" w:hAnsi="宋体" w:eastAsia="宋体" w:cs="宋体"/>
          <w:sz w:val="24"/>
          <w:szCs w:val="24"/>
        </w:rPr>
        <w:t>质量要求</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5.1.1 特殊质量标准和要求：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关于工程奖项的约定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5.3 </w:t>
      </w:r>
      <w:r>
        <w:rPr>
          <w:rFonts w:hint="eastAsia" w:ascii="宋体" w:hAnsi="宋体" w:eastAsia="宋体" w:cs="宋体"/>
          <w:sz w:val="24"/>
          <w:szCs w:val="24"/>
        </w:rPr>
        <w:t>隐蔽工程检查</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5.3.2承包人提前通知监理人隐蔽工程检查的期限的约定：</w:t>
      </w:r>
      <w:r>
        <w:rPr>
          <w:rFonts w:hint="eastAsia" w:ascii="宋体" w:hAnsi="宋体" w:eastAsia="宋体" w:cs="宋体"/>
          <w:b w:val="0"/>
          <w:bCs w:val="0"/>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监理人不能按时进行检查时，应提前</w:t>
      </w:r>
      <w:r>
        <w:rPr>
          <w:rFonts w:hint="eastAsia" w:ascii="宋体" w:hAnsi="宋体" w:eastAsia="宋体" w:cs="宋体"/>
          <w:b w:val="0"/>
          <w:bCs w:val="0"/>
          <w:sz w:val="24"/>
          <w:szCs w:val="24"/>
          <w:u w:val="single"/>
        </w:rPr>
        <w:t>24小时</w:t>
      </w:r>
      <w:r>
        <w:rPr>
          <w:rFonts w:hint="eastAsia" w:ascii="宋体" w:hAnsi="宋体" w:eastAsia="宋体" w:cs="宋体"/>
          <w:sz w:val="24"/>
          <w:szCs w:val="24"/>
        </w:rPr>
        <w:t>提交书面延期要求。</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b w:val="0"/>
          <w:bCs w:val="0"/>
          <w:sz w:val="24"/>
          <w:szCs w:val="24"/>
          <w:u w:val="single"/>
        </w:rPr>
        <w:t>48</w:t>
      </w:r>
      <w:r>
        <w:rPr>
          <w:rFonts w:hint="eastAsia" w:ascii="宋体" w:hAnsi="宋体" w:eastAsia="宋体" w:cs="宋体"/>
          <w:b w:val="0"/>
          <w:bCs w:val="0"/>
          <w:sz w:val="24"/>
          <w:szCs w:val="24"/>
          <w:u w:val="none"/>
        </w:rPr>
        <w:t>小时</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 </w:t>
      </w:r>
      <w:r>
        <w:rPr>
          <w:rFonts w:hint="eastAsia" w:ascii="宋体" w:hAnsi="宋体" w:eastAsia="宋体" w:cs="宋体"/>
          <w:sz w:val="24"/>
          <w:szCs w:val="24"/>
        </w:rPr>
        <w:t>安全文明施工与环境保护</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6.1</w:t>
      </w:r>
      <w:r>
        <w:rPr>
          <w:rFonts w:hint="eastAsia" w:ascii="宋体" w:hAnsi="宋体" w:eastAsia="宋体" w:cs="宋体"/>
          <w:sz w:val="24"/>
          <w:szCs w:val="24"/>
        </w:rPr>
        <w:t>安全文明施工</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6.1.1项目安全生产的达标目标及相应事项的约定：</w:t>
      </w:r>
      <w:r>
        <w:rPr>
          <w:rFonts w:hint="eastAsia" w:ascii="宋体" w:hAnsi="宋体" w:eastAsia="宋体" w:cs="宋体"/>
          <w:b w:val="0"/>
          <w:bCs w:val="0"/>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6.1.4关于治安保卫的特别约定：</w:t>
      </w:r>
      <w:r>
        <w:rPr>
          <w:rFonts w:hint="eastAsia" w:ascii="宋体" w:hAnsi="宋体" w:eastAsia="宋体" w:cs="宋体"/>
          <w:b w:val="0"/>
          <w:bCs w:val="0"/>
          <w:sz w:val="24"/>
          <w:szCs w:val="24"/>
          <w:u w:val="single"/>
        </w:rPr>
        <w:t>承包人应承担施工安全保卫工作及非夜间施工</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照明的责任，承包人应采取一切合理的预防措施，防止人员伤亡、财产损失事故，费用由承包人承担。承包人生活设施及施工场应自费配备消防设备，防止火灾发生。</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关于编制施工场地治安管理计划的约定：</w:t>
      </w:r>
      <w:r>
        <w:rPr>
          <w:rFonts w:hint="eastAsia" w:ascii="宋体" w:hAnsi="宋体" w:eastAsia="宋体" w:cs="宋体"/>
          <w:b w:val="0"/>
          <w:bCs w:val="0"/>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6.1.5 文明施工</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合同当事人对文明施工的要求：</w:t>
      </w:r>
      <w:r>
        <w:rPr>
          <w:rFonts w:hint="eastAsia" w:ascii="宋体" w:hAnsi="宋体" w:eastAsia="宋体" w:cs="宋体"/>
          <w:b w:val="0"/>
          <w:bCs w:val="0"/>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6.1.6 关于安全文明施工费支付比例和支付期限的约定：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（1）本合同价款已包含安全</w:t>
      </w:r>
      <w:r>
        <w:rPr>
          <w:rFonts w:hint="eastAsia" w:ascii="宋体" w:hAnsi="宋体" w:eastAsia="宋体" w:cs="宋体"/>
          <w:color w:val="auto"/>
          <w:sz w:val="24"/>
          <w:szCs w:val="24"/>
        </w:rPr>
        <w:t>文明施工费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（2）使用要求：专款专用。具体按</w:t>
      </w:r>
      <w:r>
        <w:rPr>
          <w:rFonts w:hint="eastAsia" w:ascii="宋体" w:hAnsi="宋体" w:eastAsia="宋体" w:cs="宋体"/>
          <w:b w:val="0"/>
          <w:bCs w:val="0"/>
          <w:sz w:val="24"/>
          <w:szCs w:val="24"/>
          <w:u w:val="single"/>
        </w:rPr>
        <w:t>《广西壮族自治区建设工程安全文明施工费使用管理细则》（桂建质〔2015〕16号）</w:t>
      </w:r>
      <w:r>
        <w:rPr>
          <w:rFonts w:hint="eastAsia" w:ascii="宋体" w:hAnsi="宋体" w:eastAsia="宋体" w:cs="宋体"/>
          <w:b w:val="0"/>
          <w:bCs w:val="0"/>
          <w:sz w:val="24"/>
          <w:szCs w:val="24"/>
        </w:rPr>
        <w:t>和</w:t>
      </w:r>
      <w:r>
        <w:rPr>
          <w:rFonts w:hint="eastAsia" w:ascii="宋体" w:hAnsi="宋体" w:eastAsia="宋体" w:cs="宋体"/>
          <w:b w:val="0"/>
          <w:bCs w:val="0"/>
          <w:sz w:val="24"/>
          <w:szCs w:val="24"/>
          <w:u w:val="single"/>
        </w:rPr>
        <w:t>北海市</w:t>
      </w:r>
      <w:r>
        <w:rPr>
          <w:rFonts w:hint="eastAsia" w:ascii="宋体" w:hAnsi="宋体" w:eastAsia="宋体" w:cs="宋体"/>
          <w:b w:val="0"/>
          <w:bCs w:val="0"/>
          <w:sz w:val="24"/>
          <w:szCs w:val="24"/>
        </w:rPr>
        <w:t>相关规定执行。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（4）建设单位按规定将安全生产费用转入施工单位设立的安全生产费用专户。</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（5）工程施工完成后安全生产费用尚有结余的，结余部分由建设单位收回。</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（6）施工单位将安全生产费用使用情况定期报告建设单位和监理单位，并提供相应的材料接受建设行政主管部门对此事项监管。</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（7）安全生产费用专户：</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公司安全生产费用专户。</w:t>
      </w:r>
      <w:r>
        <w:rPr>
          <w:rFonts w:hint="eastAsia" w:ascii="宋体" w:hAnsi="宋体" w:eastAsia="宋体" w:cs="宋体"/>
          <w:b w:val="0"/>
          <w:bCs w:val="0"/>
          <w:color w:val="000000"/>
          <w:sz w:val="24"/>
          <w:szCs w:val="24"/>
          <w:lang w:val="en-US" w:eastAsia="zh-CN"/>
        </w:rPr>
        <w:t>（开户名称：</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，开户银行：</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，账号：</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6.3 </w:t>
      </w:r>
      <w:r>
        <w:rPr>
          <w:rFonts w:hint="eastAsia" w:ascii="宋体" w:hAnsi="宋体" w:eastAsia="宋体" w:cs="宋体"/>
          <w:sz w:val="24"/>
          <w:szCs w:val="24"/>
        </w:rPr>
        <w:t>环境保护</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因施工需要，经发包人批准，由承包人办理有关施工场地交通、环卫和施工噪音管理等手续，费用由承包人负责。</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经过城市道路的施工车辆，必须按交警、城管、运输等部门相关规定执行。由于施工车辆造成的道路、环境等污染，其责任和费用均由承包人承担。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 </w:t>
      </w:r>
      <w:r>
        <w:rPr>
          <w:rFonts w:hint="eastAsia" w:ascii="宋体" w:hAnsi="宋体" w:eastAsia="宋体" w:cs="宋体"/>
          <w:sz w:val="24"/>
          <w:szCs w:val="24"/>
        </w:rPr>
        <w:t>工期和进度</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7.1 </w:t>
      </w:r>
      <w:r>
        <w:rPr>
          <w:rFonts w:hint="eastAsia" w:ascii="宋体" w:hAnsi="宋体" w:eastAsia="宋体" w:cs="宋体"/>
          <w:sz w:val="24"/>
          <w:szCs w:val="24"/>
        </w:rPr>
        <w:t>施工组织设计</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7.1.1 合同当事人约定的施工组织设计应包括的其他内容：</w:t>
      </w:r>
      <w:r>
        <w:rPr>
          <w:rFonts w:hint="eastAsia" w:ascii="宋体" w:hAnsi="宋体" w:eastAsia="宋体" w:cs="宋体"/>
          <w:b w:val="0"/>
          <w:bCs w:val="0"/>
          <w:sz w:val="24"/>
          <w:szCs w:val="24"/>
          <w:u w:val="single"/>
        </w:rPr>
        <w:t>按通用条款，无特殊约定</w:t>
      </w:r>
      <w:r>
        <w:rPr>
          <w:rFonts w:hint="eastAsia" w:ascii="宋体" w:hAnsi="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7.1.2施工组织设计的提交和修改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承包人提交详细施工组织设计的期限的约定：</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pPr>
        <w:spacing w:line="400" w:lineRule="exact"/>
        <w:ind w:firstLine="480" w:firstLineChars="200"/>
        <w:jc w:val="left"/>
        <w:rPr>
          <w:rFonts w:hint="eastAsia" w:ascii="宋体" w:hAnsi="宋体" w:eastAsia="宋体" w:cs="宋体"/>
          <w:b/>
          <w:bCs/>
          <w:sz w:val="24"/>
          <w:szCs w:val="24"/>
          <w:u w:val="single"/>
        </w:rPr>
      </w:pPr>
      <w:r>
        <w:rPr>
          <w:rFonts w:hint="eastAsia" w:ascii="宋体" w:hAnsi="宋体" w:eastAsia="宋体" w:cs="宋体"/>
          <w:sz w:val="24"/>
          <w:szCs w:val="24"/>
        </w:rPr>
        <w:t>发包人和监理人在收到详细的施工组织设计后确认或提出修改意见的期限：</w:t>
      </w:r>
      <w:r>
        <w:rPr>
          <w:rFonts w:hint="eastAsia" w:ascii="宋体" w:hAnsi="宋体" w:cs="宋体"/>
          <w:sz w:val="24"/>
          <w:szCs w:val="24"/>
          <w:u w:val="single"/>
        </w:rPr>
        <w:t>收到施工组织设计后7天内</w:t>
      </w:r>
      <w:r>
        <w:rPr>
          <w:rFonts w:hint="eastAsia" w:ascii="宋体" w:hAnsi="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7.2 </w:t>
      </w:r>
      <w:r>
        <w:rPr>
          <w:rFonts w:hint="eastAsia" w:ascii="宋体" w:hAnsi="宋体" w:eastAsia="宋体" w:cs="宋体"/>
          <w:sz w:val="24"/>
          <w:szCs w:val="24"/>
        </w:rPr>
        <w:t>施工进度计划</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7.2.2 施工进度计划的修订</w:t>
      </w:r>
    </w:p>
    <w:p>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发包人和监理人在收到修订的施工进度计划后确认或提出修改意见的期限：</w:t>
      </w:r>
      <w:r>
        <w:rPr>
          <w:rFonts w:hint="eastAsia" w:ascii="宋体" w:hAnsi="宋体" w:eastAsia="宋体" w:cs="宋体"/>
          <w:b w:val="0"/>
          <w:bCs w:val="0"/>
          <w:sz w:val="24"/>
          <w:szCs w:val="24"/>
          <w:u w:val="single"/>
        </w:rPr>
        <w:t>收到修订的施工进度计划后7天内。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7.3 </w:t>
      </w:r>
      <w:r>
        <w:rPr>
          <w:rFonts w:hint="eastAsia" w:ascii="宋体" w:hAnsi="宋体" w:eastAsia="宋体" w:cs="宋体"/>
          <w:sz w:val="24"/>
          <w:szCs w:val="24"/>
        </w:rPr>
        <w:t>开工</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7.3.1 开工准备</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关于承包人提交工程开工报审表的期限：</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关于发包人应完成的其他开工准备工作及期限：</w:t>
      </w:r>
      <w:r>
        <w:rPr>
          <w:rFonts w:hint="eastAsia" w:ascii="宋体" w:hAnsi="宋体" w:eastAsia="宋体" w:cs="宋体"/>
          <w:b w:val="0"/>
          <w:bCs w:val="0"/>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关于承包人应完成的其他开工准备工作及期限：</w:t>
      </w:r>
      <w:r>
        <w:rPr>
          <w:rFonts w:hint="eastAsia" w:ascii="宋体" w:hAnsi="宋体" w:eastAsia="宋体" w:cs="宋体"/>
          <w:b w:val="0"/>
          <w:bCs w:val="0"/>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7.3.2开工通知</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因发包人原因造成监理人未能在计划开工日期之日起</w:t>
      </w:r>
      <w:r>
        <w:rPr>
          <w:rFonts w:hint="eastAsia" w:ascii="宋体" w:hAnsi="宋体" w:cs="宋体"/>
          <w:sz w:val="24"/>
          <w:szCs w:val="24"/>
          <w:u w:val="single"/>
          <w:lang w:val="en-US" w:eastAsia="zh-CN"/>
        </w:rPr>
        <w:t xml:space="preserve"> 30 </w:t>
      </w:r>
      <w:r>
        <w:rPr>
          <w:rFonts w:hint="eastAsia" w:ascii="宋体" w:hAnsi="宋体" w:eastAsia="宋体" w:cs="宋体"/>
          <w:sz w:val="24"/>
          <w:szCs w:val="24"/>
        </w:rPr>
        <w:t>天内发出开工通知的，承包人有权提出价格调整要求，或者解除合同。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7.4 </w:t>
      </w:r>
      <w:r>
        <w:rPr>
          <w:rFonts w:hint="eastAsia" w:ascii="宋体" w:hAnsi="宋体" w:eastAsia="宋体" w:cs="宋体"/>
          <w:sz w:val="24"/>
          <w:szCs w:val="24"/>
        </w:rPr>
        <w:t>测量放线</w:t>
      </w:r>
    </w:p>
    <w:p>
      <w:pPr>
        <w:spacing w:line="400" w:lineRule="exact"/>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sz w:val="24"/>
          <w:szCs w:val="24"/>
        </w:rPr>
        <w:t>7.4.1发包人通过监理人向承包人提供测量基准点、基准线和水准点及其书面资料的期限：</w:t>
      </w:r>
      <w:r>
        <w:rPr>
          <w:rFonts w:hint="eastAsia" w:ascii="宋体" w:hAnsi="宋体" w:eastAsia="宋体" w:cs="宋体"/>
          <w:b w:val="0"/>
          <w:bCs w:val="0"/>
          <w:sz w:val="24"/>
          <w:szCs w:val="24"/>
          <w:u w:val="single"/>
        </w:rPr>
        <w:t>开工7天前以书面形式交验，并于交付施工现场时，在现场实际交验，同时做好交验记录。</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7.5 </w:t>
      </w:r>
      <w:r>
        <w:rPr>
          <w:rFonts w:hint="eastAsia" w:ascii="宋体" w:hAnsi="宋体" w:eastAsia="宋体" w:cs="宋体"/>
          <w:sz w:val="24"/>
          <w:szCs w:val="24"/>
        </w:rPr>
        <w:t>工期延误</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7.5.1 因发包人原因导致工期延误</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（7）因发包人原因导致工期延误的其他情形：</w:t>
      </w:r>
      <w:r>
        <w:rPr>
          <w:rFonts w:hint="eastAsia" w:ascii="宋体" w:hAnsi="宋体" w:eastAsia="宋体" w:cs="宋体"/>
          <w:b w:val="0"/>
          <w:bCs w:val="0"/>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7.5.2 因承包人原因导致工期延误</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双方约定经监理工程师确认，工期相应顺延的情况：</w:t>
      </w:r>
      <w:r>
        <w:rPr>
          <w:rFonts w:hint="eastAsia" w:ascii="宋体" w:hAnsi="宋体" w:eastAsia="宋体" w:cs="宋体"/>
          <w:sz w:val="24"/>
          <w:szCs w:val="24"/>
          <w:u w:val="single"/>
        </w:rPr>
        <w:t>因设计变更</w:t>
      </w:r>
      <w:r>
        <w:rPr>
          <w:rFonts w:hint="eastAsia" w:ascii="宋体" w:hAnsi="宋体" w:cs="宋体"/>
          <w:sz w:val="24"/>
          <w:szCs w:val="24"/>
          <w:u w:val="single"/>
          <w:lang w:eastAsia="zh-CN"/>
        </w:rPr>
        <w:t>、</w:t>
      </w:r>
      <w:r>
        <w:rPr>
          <w:rFonts w:hint="eastAsia" w:ascii="宋体" w:hAnsi="宋体" w:eastAsia="宋体" w:cs="宋体"/>
          <w:sz w:val="24"/>
          <w:szCs w:val="24"/>
          <w:u w:val="single"/>
        </w:rPr>
        <w:t>地质原因</w:t>
      </w:r>
      <w:r>
        <w:rPr>
          <w:rFonts w:hint="eastAsia" w:ascii="宋体" w:hAnsi="宋体" w:cs="宋体"/>
          <w:sz w:val="24"/>
          <w:szCs w:val="24"/>
          <w:u w:val="single"/>
          <w:lang w:eastAsia="zh-CN"/>
        </w:rPr>
        <w:t>、</w:t>
      </w:r>
      <w:r>
        <w:rPr>
          <w:rFonts w:hint="eastAsia" w:ascii="宋体" w:hAnsi="宋体" w:eastAsia="宋体" w:cs="宋体"/>
          <w:sz w:val="24"/>
          <w:szCs w:val="24"/>
          <w:u w:val="single"/>
        </w:rPr>
        <w:t>每日连续二小时中雨级以上天气</w:t>
      </w:r>
      <w:r>
        <w:rPr>
          <w:rFonts w:hint="eastAsia" w:ascii="宋体" w:hAnsi="宋体" w:cs="宋体"/>
          <w:sz w:val="24"/>
          <w:szCs w:val="24"/>
          <w:u w:val="single"/>
          <w:lang w:val="en-US" w:eastAsia="zh-CN"/>
        </w:rPr>
        <w:t>等因素</w:t>
      </w:r>
      <w:r>
        <w:rPr>
          <w:rFonts w:hint="eastAsia" w:ascii="宋体" w:hAnsi="宋体" w:cs="宋体"/>
          <w:sz w:val="24"/>
          <w:szCs w:val="24"/>
          <w:u w:val="single"/>
          <w:lang w:eastAsia="zh-CN"/>
        </w:rPr>
        <w:t>；因发包人原因或异常恶劣的气候条件或不可抗力因素影响工期的。</w:t>
      </w:r>
    </w:p>
    <w:p>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因承包人原因造成工期延误，逾期竣工违约金的计算方法为：</w:t>
      </w:r>
      <w:r>
        <w:rPr>
          <w:rFonts w:hint="eastAsia" w:ascii="宋体" w:hAnsi="宋体" w:eastAsia="宋体" w:cs="宋体"/>
          <w:b w:val="0"/>
          <w:bCs w:val="0"/>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w:t>
      </w:r>
      <w:r>
        <w:rPr>
          <w:rFonts w:hint="eastAsia" w:ascii="宋体" w:hAnsi="宋体" w:eastAsia="宋体" w:cs="宋体"/>
          <w:b w:val="0"/>
          <w:bCs w:val="0"/>
          <w:sz w:val="24"/>
          <w:szCs w:val="24"/>
          <w:u w:val="single"/>
        </w:rPr>
        <w:t>罚,罚款直接从结算款中扣除。误期时间从规定竣工日期起直到实际竣工日期的天数（扣除发包人批准顺延的工期）。</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rPr>
        <w:t>因承包人原因造成工期延误，逾期竣工违约金的上限：</w:t>
      </w:r>
      <w:r>
        <w:rPr>
          <w:rFonts w:hint="eastAsia" w:ascii="宋体" w:hAnsi="宋体" w:eastAsia="宋体" w:cs="宋体"/>
          <w:b w:val="0"/>
          <w:bCs w:val="0"/>
          <w:sz w:val="24"/>
          <w:szCs w:val="24"/>
          <w:u w:val="single"/>
        </w:rPr>
        <w:t>逾期竣工的单项工程结算造价的</w:t>
      </w:r>
      <w:r>
        <w:rPr>
          <w:rFonts w:hint="eastAsia" w:ascii="宋体" w:hAnsi="宋体" w:cs="宋体"/>
          <w:b w:val="0"/>
          <w:bCs w:val="0"/>
          <w:sz w:val="24"/>
          <w:szCs w:val="24"/>
          <w:u w:val="single"/>
          <w:lang w:val="en-US" w:eastAsia="zh-CN"/>
        </w:rPr>
        <w:t>1</w:t>
      </w:r>
      <w:r>
        <w:rPr>
          <w:rFonts w:hint="eastAsia" w:ascii="宋体" w:hAnsi="宋体" w:eastAsia="宋体" w:cs="宋体"/>
          <w:b w:val="0"/>
          <w:bCs w:val="0"/>
          <w:sz w:val="24"/>
          <w:szCs w:val="24"/>
          <w:u w:val="single"/>
        </w:rPr>
        <w:t>%</w:t>
      </w:r>
      <w:r>
        <w:rPr>
          <w:rFonts w:hint="eastAsia" w:ascii="宋体" w:hAnsi="宋体" w:cs="宋体"/>
          <w:b w:val="0"/>
          <w:bCs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7.6 </w:t>
      </w:r>
      <w:r>
        <w:rPr>
          <w:rFonts w:hint="eastAsia" w:ascii="宋体" w:hAnsi="宋体" w:eastAsia="宋体" w:cs="宋体"/>
          <w:sz w:val="24"/>
          <w:szCs w:val="24"/>
        </w:rPr>
        <w:t>不利物质条件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不利物质条件的其他情形和有关约定：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7.7</w:t>
      </w:r>
      <w:r>
        <w:rPr>
          <w:rFonts w:hint="eastAsia" w:ascii="宋体" w:hAnsi="宋体" w:eastAsia="宋体" w:cs="宋体"/>
          <w:sz w:val="24"/>
          <w:szCs w:val="24"/>
        </w:rPr>
        <w:t>异常恶劣的气候条件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发包人和承包人同意以下情形视为异常恶劣的气候条件：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7.9 </w:t>
      </w:r>
      <w:r>
        <w:rPr>
          <w:rFonts w:hint="eastAsia" w:ascii="宋体" w:hAnsi="宋体" w:eastAsia="宋体" w:cs="宋体"/>
          <w:sz w:val="24"/>
          <w:szCs w:val="24"/>
        </w:rPr>
        <w:t>提前竣工的奖励</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7.9.2提前竣工的奖励：</w:t>
      </w:r>
      <w:r>
        <w:rPr>
          <w:rFonts w:hint="eastAsia" w:ascii="宋体" w:hAnsi="宋体" w:eastAsia="宋体" w:cs="宋体"/>
          <w:b w:val="0"/>
          <w:bCs w:val="0"/>
          <w:sz w:val="24"/>
          <w:szCs w:val="24"/>
          <w:u w:val="single"/>
        </w:rPr>
        <w:t>按通用条款，无特殊约定</w:t>
      </w:r>
      <w:r>
        <w:rPr>
          <w:rFonts w:hint="eastAsia" w:ascii="宋体" w:hAnsi="宋体" w:eastAsia="宋体" w:cs="宋体"/>
          <w:sz w:val="24"/>
          <w:szCs w:val="24"/>
          <w:lang w:eastAsia="zh-CN"/>
        </w:rPr>
        <w:t>。</w:t>
      </w:r>
    </w:p>
    <w:p>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材料与设备</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8.2</w:t>
      </w:r>
      <w:r>
        <w:rPr>
          <w:rFonts w:hint="eastAsia" w:ascii="宋体" w:hAnsi="宋体" w:eastAsia="宋体" w:cs="宋体"/>
          <w:sz w:val="24"/>
          <w:szCs w:val="24"/>
        </w:rPr>
        <w:t>承包人采购材料与工程设备</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除已标价工程量清单《发包人提供主要材料和工程设备一览表》（表-21）中明确的材料、工程设备外，由承包人负责材料和工程设备的采购、运输和保管。</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禁止使用松木、松木包装材料设备、种子、苗木、花卉及繁殖材料。</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8.4</w:t>
      </w:r>
      <w:r>
        <w:rPr>
          <w:rFonts w:hint="eastAsia" w:ascii="宋体" w:hAnsi="宋体" w:eastAsia="宋体" w:cs="宋体"/>
          <w:sz w:val="24"/>
          <w:szCs w:val="24"/>
        </w:rPr>
        <w:t>材料与工程设备的保管与使用</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8.4.1发包人供应的材料设备的保管费用的承担：</w:t>
      </w:r>
      <w:r>
        <w:rPr>
          <w:rFonts w:hint="eastAsia" w:ascii="宋体" w:hAnsi="宋体" w:eastAsia="宋体" w:cs="宋体"/>
          <w:b w:val="0"/>
          <w:bCs w:val="0"/>
          <w:sz w:val="24"/>
          <w:szCs w:val="24"/>
          <w:u w:val="single"/>
        </w:rPr>
        <w:t>由发包人承担。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8.6 </w:t>
      </w:r>
      <w:r>
        <w:rPr>
          <w:rFonts w:hint="eastAsia" w:ascii="宋体" w:hAnsi="宋体" w:eastAsia="宋体" w:cs="宋体"/>
          <w:sz w:val="24"/>
          <w:szCs w:val="24"/>
        </w:rPr>
        <w:t>样品</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8.6.1 样品的报送与封存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需要承包人报送样品的材料或工程设备，样品的种类、名称、规格、数量要求：</w:t>
      </w:r>
      <w:r>
        <w:rPr>
          <w:rFonts w:hint="eastAsia" w:ascii="宋体" w:hAnsi="宋体" w:eastAsia="宋体" w:cs="宋体"/>
          <w:b w:val="0"/>
          <w:bCs w:val="0"/>
          <w:sz w:val="24"/>
          <w:szCs w:val="24"/>
          <w:u w:val="single"/>
        </w:rPr>
        <w:t>主要材料涉及品种、款式、颜色等方面内容的，承包人应提交准备合格的材料样品送发包人选定。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8.8 </w:t>
      </w:r>
      <w:r>
        <w:rPr>
          <w:rFonts w:hint="eastAsia" w:ascii="宋体" w:hAnsi="宋体" w:eastAsia="宋体" w:cs="宋体"/>
          <w:sz w:val="24"/>
          <w:szCs w:val="24"/>
        </w:rPr>
        <w:t>施工设备和临时设施</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8.8.1 承包人提供的施工设备和临时设施</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关于修建临时设施费用承担的约定：</w:t>
      </w:r>
      <w:r>
        <w:rPr>
          <w:rFonts w:hint="eastAsia" w:ascii="宋体" w:hAnsi="宋体" w:eastAsia="宋体" w:cs="宋体"/>
          <w:b w:val="0"/>
          <w:bCs w:val="0"/>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②承包人负责合同实施期间其合同段内临时交通道路（含场内外连接公共交通道路）和交通设施的修建、维修、养护和交通管理工作，并承担一切费用。</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8.8.2 发包人提供的施工设备和临时设施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发包人提供的施工设备和临时设施：</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lang w:val="en-US" w:eastAsia="zh-CN"/>
        </w:rPr>
        <w:t>发包人提供的施工设备和临时设施的运行、维护、拆除、清运费用的承担人：</w:t>
      </w:r>
      <w:r>
        <w:rPr>
          <w:rFonts w:hint="eastAsia" w:ascii="宋体" w:hAnsi="宋体" w:eastAsia="宋体" w:cs="宋体"/>
          <w:b w:val="0"/>
          <w:bCs w:val="0"/>
          <w:sz w:val="24"/>
          <w:szCs w:val="24"/>
          <w:u w:val="single"/>
        </w:rPr>
        <w:t>由</w:t>
      </w:r>
      <w:r>
        <w:rPr>
          <w:rFonts w:hint="eastAsia" w:ascii="宋体" w:hAnsi="宋体" w:eastAsia="宋体" w:cs="宋体"/>
          <w:b w:val="0"/>
          <w:bCs w:val="0"/>
          <w:sz w:val="24"/>
          <w:szCs w:val="24"/>
          <w:u w:val="single"/>
          <w:lang w:val="en-US" w:eastAsia="zh-CN"/>
        </w:rPr>
        <w:t>发</w:t>
      </w:r>
      <w:r>
        <w:rPr>
          <w:rFonts w:hint="eastAsia" w:ascii="宋体" w:hAnsi="宋体" w:eastAsia="宋体" w:cs="宋体"/>
          <w:b w:val="0"/>
          <w:bCs w:val="0"/>
          <w:sz w:val="24"/>
          <w:szCs w:val="24"/>
          <w:u w:val="single"/>
        </w:rPr>
        <w:t>包人承担</w:t>
      </w:r>
      <w:r>
        <w:rPr>
          <w:rFonts w:hint="eastAsia" w:ascii="宋体" w:hAnsi="宋体" w:eastAsia="宋体" w:cs="宋体"/>
          <w:b w:val="0"/>
          <w:bCs w:val="0"/>
          <w:sz w:val="24"/>
          <w:szCs w:val="24"/>
          <w:u w:val="singl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 </w:t>
      </w:r>
      <w:r>
        <w:rPr>
          <w:rFonts w:hint="eastAsia" w:ascii="宋体" w:hAnsi="宋体" w:eastAsia="宋体" w:cs="宋体"/>
          <w:sz w:val="24"/>
          <w:szCs w:val="24"/>
        </w:rPr>
        <w:t>试验与检验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9.1</w:t>
      </w:r>
      <w:r>
        <w:rPr>
          <w:rFonts w:hint="eastAsia" w:ascii="宋体" w:hAnsi="宋体" w:eastAsia="宋体" w:cs="宋体"/>
          <w:sz w:val="24"/>
          <w:szCs w:val="24"/>
        </w:rPr>
        <w:t>试验设备与试验人员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9.1.2 试验设备</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施工现场需要配置的试验场所：</w:t>
      </w:r>
      <w:r>
        <w:rPr>
          <w:rFonts w:hint="eastAsia" w:ascii="宋体" w:hAnsi="宋体" w:eastAsia="宋体" w:cs="宋体"/>
          <w:b w:val="0"/>
          <w:bCs w:val="0"/>
          <w:sz w:val="24"/>
          <w:szCs w:val="24"/>
          <w:u w:val="single"/>
        </w:rPr>
        <w:t>按相关规定执行。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施工现场需要配备的试验设备：</w:t>
      </w:r>
      <w:r>
        <w:rPr>
          <w:rFonts w:hint="eastAsia" w:ascii="宋体" w:hAnsi="宋体" w:eastAsia="宋体" w:cs="宋体"/>
          <w:b w:val="0"/>
          <w:bCs w:val="0"/>
          <w:sz w:val="24"/>
          <w:szCs w:val="24"/>
          <w:u w:val="single"/>
        </w:rPr>
        <w:t>按相关规定执行。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施工现场需要具备的其他试验条件：</w:t>
      </w:r>
      <w:r>
        <w:rPr>
          <w:rFonts w:hint="eastAsia" w:ascii="宋体" w:hAnsi="宋体" w:eastAsia="宋体" w:cs="宋体"/>
          <w:b w:val="0"/>
          <w:bCs w:val="0"/>
          <w:sz w:val="24"/>
          <w:szCs w:val="24"/>
          <w:u w:val="single"/>
        </w:rPr>
        <w:t>按相关规定执行。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9.4 </w:t>
      </w:r>
      <w:r>
        <w:rPr>
          <w:rFonts w:hint="eastAsia" w:ascii="宋体" w:hAnsi="宋体" w:eastAsia="宋体" w:cs="宋体"/>
          <w:sz w:val="24"/>
          <w:szCs w:val="24"/>
        </w:rPr>
        <w:t>现场工艺试验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现场工艺试验的有关约定：</w:t>
      </w:r>
      <w:r>
        <w:rPr>
          <w:rFonts w:hint="eastAsia" w:ascii="宋体" w:hAnsi="宋体" w:eastAsia="宋体" w:cs="宋体"/>
          <w:b w:val="0"/>
          <w:bCs w:val="0"/>
          <w:sz w:val="24"/>
          <w:szCs w:val="24"/>
          <w:u w:val="single"/>
        </w:rPr>
        <w:t>承包人根据现场实际需要另行配置。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bCs/>
          <w:sz w:val="24"/>
          <w:szCs w:val="24"/>
          <w:u w:val="none"/>
        </w:rPr>
        <w:t>9.5</w:t>
      </w:r>
      <w:r>
        <w:rPr>
          <w:rFonts w:hint="eastAsia" w:ascii="宋体" w:hAnsi="宋体" w:eastAsia="宋体" w:cs="宋体"/>
          <w:sz w:val="24"/>
          <w:szCs w:val="24"/>
          <w:u w:val="none"/>
        </w:rPr>
        <w:t xml:space="preserve"> 检验费用</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u w:val="none"/>
        </w:rPr>
      </w:pPr>
      <w:r>
        <w:rPr>
          <w:rFonts w:hint="eastAsia" w:ascii="宋体" w:hAnsi="宋体" w:eastAsia="宋体" w:cs="宋体"/>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 </w:t>
      </w:r>
      <w:r>
        <w:rPr>
          <w:rFonts w:hint="eastAsia" w:ascii="宋体" w:hAnsi="宋体" w:eastAsia="宋体" w:cs="宋体"/>
          <w:sz w:val="24"/>
          <w:szCs w:val="24"/>
        </w:rPr>
        <w:t>变更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10.1</w:t>
      </w:r>
      <w:r>
        <w:rPr>
          <w:rFonts w:hint="eastAsia" w:ascii="宋体" w:hAnsi="宋体" w:eastAsia="宋体" w:cs="宋体"/>
          <w:sz w:val="24"/>
          <w:szCs w:val="24"/>
        </w:rPr>
        <w:t>变更的范围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关于变更的范围的约定：</w:t>
      </w:r>
      <w:r>
        <w:rPr>
          <w:rFonts w:hint="eastAsia" w:ascii="宋体" w:hAnsi="宋体" w:eastAsia="宋体" w:cs="宋体"/>
          <w:b w:val="0"/>
          <w:bCs w:val="0"/>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sz w:val="24"/>
          <w:szCs w:val="24"/>
          <w:u w:val="single"/>
          <w:lang w:eastAsia="zh-CN"/>
        </w:rPr>
        <w:t>；</w:t>
      </w:r>
      <w:r>
        <w:rPr>
          <w:rFonts w:hint="eastAsia" w:ascii="宋体" w:hAnsi="宋体" w:eastAsia="宋体" w:cs="宋体"/>
          <w:b w:val="0"/>
          <w:bCs w:val="0"/>
          <w:sz w:val="24"/>
          <w:szCs w:val="24"/>
          <w:u w:val="single"/>
        </w:rPr>
        <w:t>（4）由于设计变更或现场签证产生的施工图纸、招标文件未含的项目；（5）工程量清单缺项（漏项）</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 xml:space="preserve">10.3 </w:t>
      </w:r>
      <w:r>
        <w:rPr>
          <w:rFonts w:hint="eastAsia" w:ascii="宋体" w:hAnsi="宋体" w:eastAsia="宋体" w:cs="宋体"/>
          <w:b w:val="0"/>
          <w:bCs w:val="0"/>
          <w:sz w:val="24"/>
          <w:szCs w:val="24"/>
          <w:u w:val="none"/>
        </w:rPr>
        <w:t>变更程序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10.3.1</w:t>
      </w:r>
      <w:r>
        <w:rPr>
          <w:rFonts w:hint="eastAsia" w:ascii="宋体" w:hAnsi="宋体" w:eastAsia="宋体" w:cs="宋体"/>
          <w:b w:val="0"/>
          <w:bCs w:val="0"/>
          <w:sz w:val="24"/>
          <w:szCs w:val="24"/>
          <w:u w:val="none"/>
        </w:rPr>
        <w:t xml:space="preserve"> 国有投资项目：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⑴设计变更和工程签证，按各市政府或相关部门的规定办理。属不可抗力（自然灾害、突发事件等）造成变更的，按特事特办原则予以办理。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⑵建设单位在实施项目过程中，若发生单价变动，由建设单位、监理单位、施工单位及其他相关单位共同商定并签字确认。</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10.4 </w:t>
      </w:r>
      <w:r>
        <w:rPr>
          <w:rFonts w:hint="eastAsia" w:ascii="宋体" w:hAnsi="宋体" w:eastAsia="宋体" w:cs="宋体"/>
          <w:sz w:val="24"/>
          <w:szCs w:val="24"/>
        </w:rPr>
        <w:t>变更估价</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10.4.1</w:t>
      </w:r>
      <w:r>
        <w:rPr>
          <w:rFonts w:hint="eastAsia" w:ascii="宋体" w:hAnsi="宋体" w:eastAsia="宋体" w:cs="宋体"/>
          <w:sz w:val="24"/>
          <w:szCs w:val="24"/>
        </w:rPr>
        <w:t xml:space="preserve"> 变更估价原则</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 xml:space="preserve">关于变更估价的约定: </w:t>
      </w:r>
      <w:r>
        <w:rPr>
          <w:rFonts w:hint="eastAsia" w:ascii="宋体" w:hAnsi="宋体" w:eastAsia="宋体" w:cs="宋体"/>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sz w:val="24"/>
          <w:szCs w:val="24"/>
          <w:u w:val="single"/>
          <w:lang w:val="en-US" w:eastAsia="zh-CN"/>
        </w:rPr>
        <w:t>5</w:t>
      </w:r>
      <w:r>
        <w:rPr>
          <w:rFonts w:hint="eastAsia" w:ascii="宋体" w:hAnsi="宋体" w:eastAsia="宋体" w:cs="宋体"/>
          <w:sz w:val="24"/>
          <w:szCs w:val="24"/>
          <w:u w:val="single"/>
        </w:rPr>
        <w:t>%，</w:t>
      </w:r>
      <w:r>
        <w:rPr>
          <w:rFonts w:hint="eastAsia" w:ascii="宋体" w:hAnsi="宋体" w:cs="宋体"/>
          <w:sz w:val="24"/>
          <w:szCs w:val="24"/>
          <w:u w:val="single"/>
          <w:lang w:eastAsia="zh-CN"/>
        </w:rPr>
        <w:t>☑</w:t>
      </w:r>
      <w:r>
        <w:rPr>
          <w:rFonts w:hint="eastAsia" w:ascii="宋体" w:hAnsi="宋体" w:eastAsia="宋体" w:cs="宋体"/>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工程变更导致实际完成的变更工程量与已标价清单或预算书中列明的该项目工程量有偏差时，其综合单价的确定按专用条款“1.13工程量清单错误的修正”执行。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10.5</w:t>
      </w:r>
      <w:r>
        <w:rPr>
          <w:rFonts w:hint="eastAsia" w:ascii="宋体" w:hAnsi="宋体" w:eastAsia="宋体" w:cs="宋体"/>
          <w:sz w:val="24"/>
          <w:szCs w:val="24"/>
        </w:rPr>
        <w:t>承包人的合理化建议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监理人审查承包人合理化建议的期限：</w:t>
      </w:r>
      <w:r>
        <w:rPr>
          <w:rFonts w:hint="eastAsia" w:ascii="宋体" w:hAnsi="宋体" w:eastAsia="宋体" w:cs="宋体"/>
          <w:sz w:val="24"/>
          <w:szCs w:val="24"/>
          <w:u w:val="single"/>
        </w:rPr>
        <w:t>收到承包人建议后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发包人审批承包人合理化建议的期限：</w:t>
      </w:r>
      <w:r>
        <w:rPr>
          <w:rFonts w:hint="eastAsia" w:ascii="宋体" w:hAnsi="宋体" w:eastAsia="宋体" w:cs="宋体"/>
          <w:sz w:val="24"/>
          <w:szCs w:val="24"/>
          <w:u w:val="single"/>
        </w:rPr>
        <w:t>收到监理人报送材料后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承包人提出的合理化建议降低了合同价格或者提高了工程经济效益的奖励的方法和金额为：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10.7 </w:t>
      </w:r>
      <w:r>
        <w:rPr>
          <w:rFonts w:hint="eastAsia" w:ascii="宋体" w:hAnsi="宋体" w:eastAsia="宋体" w:cs="宋体"/>
          <w:sz w:val="24"/>
          <w:szCs w:val="24"/>
        </w:rPr>
        <w:t>暂估价</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10.7.1 依法必须招标的暂估价项目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对于依法必须招标的暂估价项目的确认和批准采取第</w:t>
      </w:r>
      <w:r>
        <w:rPr>
          <w:rFonts w:hint="eastAsia" w:ascii="宋体" w:hAnsi="宋体" w:cs="宋体"/>
          <w:sz w:val="24"/>
          <w:szCs w:val="24"/>
          <w:u w:val="single"/>
          <w:lang w:val="en-US" w:eastAsia="zh-CN"/>
        </w:rPr>
        <w:t xml:space="preserve">  1  </w:t>
      </w:r>
      <w:r>
        <w:rPr>
          <w:rFonts w:hint="eastAsia" w:ascii="宋体" w:hAnsi="宋体" w:eastAsia="宋体" w:cs="宋体"/>
          <w:sz w:val="24"/>
          <w:szCs w:val="24"/>
        </w:rPr>
        <w:t>种方式确定。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10.7.2 不属于依法必须招标的暂估价项目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对于不属于依法必须招标的暂估价项目的确认和批准采取第</w:t>
      </w:r>
      <w:r>
        <w:rPr>
          <w:rFonts w:hint="eastAsia" w:ascii="宋体" w:hAnsi="宋体" w:cs="宋体"/>
          <w:sz w:val="24"/>
          <w:szCs w:val="24"/>
          <w:u w:val="single"/>
          <w:lang w:val="en-US" w:eastAsia="zh-CN"/>
        </w:rPr>
        <w:t xml:space="preserve">  3  </w:t>
      </w:r>
      <w:r>
        <w:rPr>
          <w:rFonts w:hint="eastAsia" w:ascii="宋体" w:hAnsi="宋体" w:eastAsia="宋体" w:cs="宋体"/>
          <w:sz w:val="24"/>
          <w:szCs w:val="24"/>
        </w:rPr>
        <w:t>种方式确定。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第3种方式：承包人直接实施的暂估价项目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承包人直接实施的暂估价项目的约定：</w:t>
      </w:r>
      <w:r>
        <w:rPr>
          <w:rFonts w:hint="eastAsia" w:ascii="宋体" w:hAnsi="宋体" w:eastAsia="宋体" w:cs="宋体"/>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（2）暂估价项目综合单价的确定：按专用条款10.4.1条，但材料和设备价格按双方共同市场询价计算。</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10.8 </w:t>
      </w:r>
      <w:r>
        <w:rPr>
          <w:rFonts w:hint="eastAsia" w:ascii="宋体" w:hAnsi="宋体" w:eastAsia="宋体" w:cs="宋体"/>
          <w:sz w:val="24"/>
          <w:szCs w:val="24"/>
        </w:rPr>
        <w:t>暂列金额</w:t>
      </w:r>
    </w:p>
    <w:p>
      <w:pPr>
        <w:autoSpaceDE w:val="0"/>
        <w:autoSpaceDN w:val="0"/>
        <w:adjustRightInd w:val="0"/>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合同当事人关于暂列金额使用的约定：</w:t>
      </w:r>
      <w:r>
        <w:rPr>
          <w:rFonts w:hint="eastAsia" w:ascii="宋体" w:hAnsi="宋体" w:eastAsia="宋体" w:cs="宋体"/>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价格调整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市场价格波动引起的调整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市场价格波动是否调整合同价格的约定：</w:t>
      </w:r>
      <w:r>
        <w:rPr>
          <w:rFonts w:hint="eastAsia" w:ascii="宋体" w:hAnsi="宋体" w:cs="宋体"/>
          <w:sz w:val="24"/>
          <w:szCs w:val="24"/>
          <w:u w:val="single"/>
          <w:lang w:val="en-US" w:eastAsia="zh-CN"/>
        </w:rPr>
        <w:t xml:space="preserve">  调整</w:t>
      </w:r>
      <w:r>
        <w:rPr>
          <w:rFonts w:hint="eastAsia" w:ascii="宋体" w:hAnsi="宋体" w:cs="宋体"/>
          <w:u w:val="single"/>
          <w:lang w:val="en-US" w:eastAsia="zh-CN"/>
        </w:rPr>
        <w:t xml:space="preserve">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第1种方式：采用价格指数进行价格调整。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关于各可调因子、定值和变值权重，以及基本价格指数及其来源的约定</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第2种方式：采用造价信息进行价格调整。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（2）关于基准价格的约定：</w:t>
      </w:r>
      <w:r>
        <w:rPr>
          <w:rFonts w:hint="eastAsia" w:ascii="宋体" w:hAnsi="宋体" w:eastAsia="宋体" w:cs="宋体"/>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%时，或材料单价跌幅以已标价工程量清单或预算书中载明材料单价为基础超过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%时，材料单价涨幅以已标价工程量清单或预算书中载明材料单价为基础超过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 xml:space="preserve">）价差计算方法：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第3种方式：其他价格调整方式：</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 </w:t>
      </w:r>
      <w:r>
        <w:rPr>
          <w:rFonts w:hint="eastAsia" w:ascii="宋体" w:hAnsi="宋体" w:eastAsia="宋体" w:cs="宋体"/>
          <w:sz w:val="24"/>
          <w:szCs w:val="24"/>
        </w:rPr>
        <w:t>合同价格、计量与支付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12.1 </w:t>
      </w:r>
      <w:r>
        <w:rPr>
          <w:rFonts w:hint="eastAsia" w:ascii="宋体" w:hAnsi="宋体" w:eastAsia="宋体" w:cs="宋体"/>
          <w:sz w:val="24"/>
          <w:szCs w:val="24"/>
        </w:rPr>
        <w:t>合同价格形式</w:t>
      </w:r>
    </w:p>
    <w:p>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rPr>
      </w:pPr>
      <w:r>
        <w:rPr>
          <w:rFonts w:hint="eastAsia" w:ascii="宋体" w:hAnsi="宋体" w:eastAsia="宋体" w:cs="宋体"/>
          <w:b w:val="0"/>
          <w:bCs w:val="0"/>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w:t>
      </w:r>
      <w:r>
        <w:rPr>
          <w:rFonts w:hint="eastAsia" w:ascii="宋体" w:hAnsi="宋体" w:eastAsia="宋体" w:cs="宋体"/>
          <w:b w:val="0"/>
          <w:bCs w:val="0"/>
          <w:sz w:val="24"/>
          <w:szCs w:val="24"/>
        </w:rPr>
        <w:t>价格形式，合同价格包含增值税，本工程计价时采用的增值税计税方法为：</w:t>
      </w:r>
      <w:r>
        <w:rPr>
          <w:rFonts w:hint="eastAsia" w:ascii="宋体" w:hAnsi="宋体" w:eastAsia="宋体" w:cs="宋体"/>
          <w:b w:val="0"/>
          <w:bCs w:val="0"/>
          <w:sz w:val="24"/>
          <w:szCs w:val="24"/>
        </w:rPr>
        <w:sym w:font="Wingdings" w:char="00FE"/>
      </w:r>
      <w:r>
        <w:rPr>
          <w:rFonts w:hint="eastAsia" w:ascii="宋体" w:hAnsi="宋体" w:eastAsia="宋体" w:cs="宋体"/>
          <w:b w:val="0"/>
          <w:bCs w:val="0"/>
          <w:sz w:val="24"/>
          <w:szCs w:val="24"/>
        </w:rPr>
        <w:t>一般计税法   □简易计税法。</w:t>
      </w:r>
    </w:p>
    <w:p>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单价合同。</w:t>
      </w:r>
    </w:p>
    <w:p>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rPr>
      </w:pPr>
      <w:r>
        <w:rPr>
          <w:rFonts w:hint="eastAsia" w:ascii="宋体" w:hAnsi="宋体" w:eastAsia="宋体" w:cs="宋体"/>
          <w:b w:val="0"/>
          <w:bCs w:val="0"/>
          <w:sz w:val="24"/>
          <w:szCs w:val="24"/>
        </w:rPr>
        <w:t>单价合同采用综合单价方式确定，工程量按实际结算。</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综合单价包含的风险范围：</w:t>
      </w:r>
      <w:r>
        <w:rPr>
          <w:rFonts w:hint="eastAsia" w:ascii="宋体" w:hAnsi="宋体" w:eastAsia="宋体" w:cs="宋体"/>
          <w:sz w:val="24"/>
          <w:szCs w:val="24"/>
          <w:u w:val="single"/>
        </w:rPr>
        <w:t>除工程变更、项目特征不符、工程量清单缺项、工程量偏差、政策性调整、本工程中的材料和设备价格变动风险以外的其他风险因素。</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风险范围以外合同价格的调整方法：</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①工程变更、项目特征不符、工程量清单缺项：按10.4.1变更估价原则的约定调整。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②工程量偏差：按1.13工程量清单错误修正的约定调整。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③政策性调整：按国家、自治区住房城乡建设厅或工程所在地市级住房城乡建设主管部门颁布的文件执行。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④市场波动引起的调整：按11.1的约定调整。</w:t>
      </w:r>
    </w:p>
    <w:p>
      <w:pPr>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⑤其它：</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2、总价合同。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总价包含的风险范围：</w:t>
      </w:r>
      <w:r>
        <w:rPr>
          <w:rFonts w:hint="eastAsia" w:ascii="宋体" w:hAnsi="宋体" w:eastAsia="宋体" w:cs="宋体"/>
          <w:sz w:val="24"/>
          <w:szCs w:val="24"/>
          <w:u w:val="single"/>
        </w:rPr>
        <w:t>包含除工程变更、政策性调整、市场价格波动。除工程变更外，结算时不再对招标施工图对应的工程量重新计量。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风险范围以外合同价格的调整方法：</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①工程变更：按10.4.1变更估价原则的约定调整。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②政策性调整：按国家、自治区住房城乡建设厅或工程所在地市级住房城乡建设主管部门颁布的文件执行。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③市场波动引起的调整：按11.1的约定调整。</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3、其他价格方式：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12.2 </w:t>
      </w:r>
      <w:r>
        <w:rPr>
          <w:rFonts w:hint="eastAsia" w:ascii="宋体" w:hAnsi="宋体" w:eastAsia="宋体" w:cs="宋体"/>
          <w:sz w:val="24"/>
          <w:szCs w:val="24"/>
        </w:rPr>
        <w:t>预付款</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12.2.1 预付款的支付</w:t>
      </w:r>
    </w:p>
    <w:p>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 xml:space="preserve">12.2.2 预付款担保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承包人提交预付款担保的期限：</w:t>
      </w:r>
      <w:r>
        <w:rPr>
          <w:rFonts w:hint="eastAsia" w:ascii="宋体" w:hAnsi="宋体" w:eastAsia="宋体" w:cs="宋体"/>
          <w:sz w:val="24"/>
          <w:szCs w:val="24"/>
          <w:u w:val="single"/>
          <w:lang w:val="en-US" w:eastAsia="zh-CN"/>
        </w:rPr>
        <w:t xml:space="preserve"> 不提交预付款担保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sz w:val="24"/>
          <w:szCs w:val="24"/>
          <w:u w:val="none"/>
          <w:lang w:val="en-US" w:eastAsia="zh-CN"/>
        </w:rPr>
        <w:t>预付款担保的形式为：可以是银行转账、电汇或网上支付、保函（银行保函、电子保函、保证保险保函、工程担保保函）等形式。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12.3 </w:t>
      </w:r>
      <w:r>
        <w:rPr>
          <w:rFonts w:hint="eastAsia" w:ascii="宋体" w:hAnsi="宋体" w:eastAsia="宋体" w:cs="宋体"/>
          <w:sz w:val="24"/>
          <w:szCs w:val="24"/>
        </w:rPr>
        <w:t>计量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12.3.1 计量原则</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工程量计算规则：</w:t>
      </w:r>
      <w:r>
        <w:rPr>
          <w:rFonts w:hint="eastAsia" w:ascii="宋体" w:hAnsi="宋体" w:eastAsia="宋体" w:cs="宋体"/>
          <w:b w:val="0"/>
          <w:bCs w:val="0"/>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12.3.2 计量周期</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关于计量周期的约定：</w:t>
      </w:r>
      <w:r>
        <w:rPr>
          <w:rFonts w:hint="eastAsia" w:ascii="宋体" w:hAnsi="宋体" w:eastAsia="宋体" w:cs="宋体"/>
          <w:b w:val="0"/>
          <w:bCs w:val="0"/>
          <w:sz w:val="24"/>
          <w:szCs w:val="24"/>
          <w:u w:val="single"/>
        </w:rPr>
        <w:t>每月25日前</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12.3.3 单价合同的计量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关于单价合同计量的约定：</w:t>
      </w:r>
      <w:r>
        <w:rPr>
          <w:rFonts w:hint="eastAsia" w:ascii="宋体" w:hAnsi="宋体" w:eastAsia="宋体" w:cs="宋体"/>
          <w:b w:val="0"/>
          <w:bCs w:val="0"/>
          <w:sz w:val="24"/>
          <w:szCs w:val="24"/>
          <w:u w:val="single"/>
        </w:rPr>
        <w:t>(1)工程量清单所列的工程量，不能作为承包人按合同履行其责任依据，实际施工中发生的工程量增加或减少并不影响承包人履行合同的责任，工程结算以完成的实际工程量为准。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12.3.4 总价合同的计量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关于总价合同计量的约定：</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12.3.6 其他价格形式合同的计量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其他价格形式的计量方式和程序：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12.4 </w:t>
      </w:r>
      <w:r>
        <w:rPr>
          <w:rFonts w:hint="eastAsia" w:ascii="宋体" w:hAnsi="宋体" w:eastAsia="宋体" w:cs="宋体"/>
          <w:sz w:val="24"/>
          <w:szCs w:val="24"/>
        </w:rPr>
        <w:t>工程进度款支付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12.4.1 付款周期</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sz w:val="24"/>
          <w:szCs w:val="24"/>
          <w:highlight w:val="none"/>
        </w:rPr>
        <w:t>关于付款周期的约定：</w:t>
      </w:r>
      <w:r>
        <w:rPr>
          <w:rFonts w:hint="eastAsia" w:ascii="宋体" w:hAnsi="宋体" w:eastAsia="宋体" w:cs="宋体"/>
          <w:sz w:val="24"/>
          <w:szCs w:val="24"/>
          <w:highlight w:val="none"/>
          <w:u w:val="single"/>
        </w:rPr>
        <w:t>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r>
        <w:rPr>
          <w:rFonts w:hint="eastAsia" w:ascii="宋体" w:hAnsi="宋体"/>
          <w:color w:val="auto"/>
          <w:sz w:val="24"/>
          <w:highlight w:val="none"/>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12.4.2 进度付款申请单的编制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关于进度付款申请单编制的约定：</w:t>
      </w:r>
      <w:r>
        <w:rPr>
          <w:rFonts w:hint="eastAsia" w:ascii="宋体" w:hAnsi="宋体" w:eastAsia="宋体" w:cs="宋体"/>
          <w:b w:val="0"/>
          <w:bCs w:val="0"/>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12.4.3 进度付款申请单的提交</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单价合同进度付款申请单提交的约定：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sz w:val="24"/>
          <w:szCs w:val="24"/>
          <w:u w:val="single"/>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总价合同进度付款申请单提交的约定：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（3）其他价格形式合同进度付款申请单提交的约定：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12.4.4 进度款审核和支付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（1）监理人审查并报送发包人的期限：</w:t>
      </w:r>
      <w:r>
        <w:rPr>
          <w:rFonts w:hint="eastAsia" w:ascii="宋体" w:hAnsi="宋体" w:eastAsia="宋体" w:cs="宋体"/>
          <w:b w:val="0"/>
          <w:bCs w:val="0"/>
          <w:sz w:val="24"/>
          <w:szCs w:val="24"/>
          <w:u w:val="single"/>
        </w:rPr>
        <w:t>收到</w:t>
      </w:r>
      <w:r>
        <w:rPr>
          <w:rFonts w:hint="eastAsia" w:ascii="宋体" w:hAnsi="宋体" w:cs="宋体"/>
          <w:b w:val="0"/>
          <w:bCs w:val="0"/>
          <w:sz w:val="24"/>
          <w:szCs w:val="24"/>
          <w:u w:val="single"/>
          <w:lang w:val="en-US" w:eastAsia="zh-CN"/>
        </w:rPr>
        <w:t>进度款申请资料</w:t>
      </w:r>
      <w:r>
        <w:rPr>
          <w:rFonts w:hint="eastAsia" w:ascii="宋体" w:hAnsi="宋体" w:eastAsia="宋体" w:cs="宋体"/>
          <w:b w:val="0"/>
          <w:bCs w:val="0"/>
          <w:sz w:val="24"/>
          <w:szCs w:val="24"/>
          <w:u w:val="single"/>
        </w:rPr>
        <w:t>3个工作日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发包人完成审批并签发进度款支付证书的期限</w:t>
      </w:r>
      <w:r>
        <w:rPr>
          <w:rFonts w:hint="eastAsia" w:ascii="宋体" w:hAnsi="宋体" w:eastAsia="宋体" w:cs="宋体"/>
          <w:b/>
          <w:bCs/>
          <w:sz w:val="24"/>
          <w:szCs w:val="24"/>
        </w:rPr>
        <w:t>：</w:t>
      </w:r>
      <w:r>
        <w:rPr>
          <w:rFonts w:hint="eastAsia" w:ascii="宋体" w:hAnsi="宋体" w:eastAsia="宋体" w:cs="宋体"/>
          <w:b w:val="0"/>
          <w:bCs w:val="0"/>
          <w:sz w:val="24"/>
          <w:szCs w:val="24"/>
          <w:u w:val="single"/>
        </w:rPr>
        <w:t>收到监理</w:t>
      </w:r>
      <w:r>
        <w:rPr>
          <w:rFonts w:hint="eastAsia" w:ascii="宋体" w:hAnsi="宋体" w:cs="宋体"/>
          <w:b w:val="0"/>
          <w:bCs w:val="0"/>
          <w:sz w:val="24"/>
          <w:szCs w:val="24"/>
          <w:u w:val="single"/>
          <w:lang w:val="en-US" w:eastAsia="zh-CN"/>
        </w:rPr>
        <w:t>报送的进度款申请资料</w:t>
      </w:r>
      <w:r>
        <w:rPr>
          <w:rFonts w:hint="eastAsia" w:ascii="宋体" w:hAnsi="宋体" w:eastAsia="宋体" w:cs="宋体"/>
          <w:b w:val="0"/>
          <w:bCs w:val="0"/>
          <w:sz w:val="24"/>
          <w:szCs w:val="24"/>
          <w:u w:val="single"/>
        </w:rPr>
        <w:t>7个工作日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（2）发包人支付进度款的期限：</w:t>
      </w:r>
      <w:r>
        <w:rPr>
          <w:rFonts w:hint="eastAsia" w:ascii="宋体" w:hAnsi="宋体" w:eastAsia="宋体" w:cs="宋体"/>
          <w:b w:val="0"/>
          <w:bCs w:val="0"/>
          <w:sz w:val="24"/>
          <w:szCs w:val="24"/>
          <w:u w:val="single"/>
        </w:rPr>
        <w:t>进度款支付证书签发后14天内完成支付。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发包人逾期支付进度款的违约金的计算方式：</w:t>
      </w:r>
      <w:r>
        <w:rPr>
          <w:rFonts w:hint="eastAsia" w:ascii="宋体" w:hAnsi="宋体" w:cs="宋体"/>
          <w:sz w:val="24"/>
          <w:szCs w:val="24"/>
          <w:u w:val="single"/>
          <w:lang w:eastAsia="zh-CN"/>
        </w:rPr>
        <w:t>发包人超过约定的支付时间不支付工程款（进度款），从违约之日起，发包人每天按延付金额的</w:t>
      </w:r>
      <w:r>
        <w:rPr>
          <w:rFonts w:hint="eastAsia" w:ascii="宋体" w:hAnsi="宋体" w:cs="宋体"/>
          <w:sz w:val="24"/>
          <w:szCs w:val="24"/>
          <w:u w:val="single"/>
          <w:lang w:val="en-US" w:eastAsia="zh-CN"/>
        </w:rPr>
        <w:t>千分之一</w:t>
      </w:r>
      <w:r>
        <w:rPr>
          <w:rFonts w:hint="eastAsia" w:ascii="宋体" w:hAnsi="宋体" w:cs="宋体"/>
          <w:sz w:val="24"/>
          <w:szCs w:val="24"/>
          <w:u w:val="single"/>
          <w:lang w:eastAsia="zh-CN"/>
        </w:rPr>
        <w:t>向承包人支付违约金,承包人损失按实际发生计算，工期按欠款天数相应顺延。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lang w:val="en-US" w:eastAsia="zh-CN"/>
        </w:rPr>
        <w:t>进度款支付方式：</w:t>
      </w:r>
      <w:r>
        <w:rPr>
          <w:rFonts w:hint="eastAsia" w:ascii="宋体" w:hAnsi="宋体" w:eastAsia="宋体" w:cs="宋体"/>
          <w:sz w:val="24"/>
          <w:szCs w:val="24"/>
          <w:u w:val="single"/>
          <w:lang w:val="en-US" w:eastAsia="zh-CN"/>
        </w:rPr>
        <w:t>银行转账</w:t>
      </w:r>
      <w:r>
        <w:rPr>
          <w:rFonts w:hint="eastAsia" w:ascii="宋体" w:hAnsi="宋体" w:eastAsia="宋体" w:cs="宋体"/>
          <w:sz w:val="24"/>
          <w:szCs w:val="24"/>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kern w:val="2"/>
          <w:sz w:val="24"/>
          <w:szCs w:val="24"/>
        </w:rPr>
        <w:t>（</w:t>
      </w:r>
      <w:r>
        <w:rPr>
          <w:rFonts w:hint="eastAsia" w:ascii="宋体" w:hAnsi="宋体" w:cs="宋体"/>
          <w:kern w:val="2"/>
          <w:sz w:val="24"/>
          <w:szCs w:val="24"/>
          <w:lang w:val="en-US" w:eastAsia="zh-CN"/>
        </w:rPr>
        <w:t>3</w:t>
      </w:r>
      <w:r>
        <w:rPr>
          <w:rFonts w:hint="eastAsia" w:ascii="宋体" w:hAnsi="宋体" w:eastAsia="宋体" w:cs="宋体"/>
          <w:kern w:val="2"/>
          <w:sz w:val="24"/>
          <w:szCs w:val="24"/>
        </w:rPr>
        <w:t>）</w:t>
      </w:r>
      <w:r>
        <w:rPr>
          <w:rFonts w:hint="eastAsia" w:ascii="宋体" w:hAnsi="宋体" w:eastAsia="宋体" w:cs="宋体"/>
          <w:sz w:val="24"/>
          <w:szCs w:val="24"/>
        </w:rPr>
        <w:t>农民工工资支付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3）发包人依据工程进度，审核承包人申报的工程进度款，按照与承包人约定的人工费支付比例</w:t>
      </w:r>
      <w:r>
        <w:rPr>
          <w:rFonts w:hint="eastAsia" w:ascii="宋体" w:hAnsi="宋体" w:cs="宋体"/>
          <w:sz w:val="24"/>
          <w:szCs w:val="24"/>
          <w:lang w:val="en-US" w:eastAsia="zh-CN"/>
        </w:rPr>
        <w:t>不得低于</w:t>
      </w:r>
      <w:r>
        <w:rPr>
          <w:rFonts w:hint="eastAsia" w:ascii="宋体" w:hAnsi="宋体" w:cs="宋体"/>
          <w:sz w:val="24"/>
          <w:szCs w:val="24"/>
          <w:u w:val="single"/>
          <w:lang w:val="en-US" w:eastAsia="zh-CN"/>
        </w:rPr>
        <w:t>20</w:t>
      </w:r>
      <w:r>
        <w:rPr>
          <w:rFonts w:hint="eastAsia" w:ascii="宋体" w:hAnsi="宋体" w:eastAsia="宋体" w:cs="宋体"/>
          <w:sz w:val="24"/>
          <w:szCs w:val="24"/>
        </w:rPr>
        <w:t>%，将人工费及时足额拨付至承包人的农民工工资专用账户，其余工程进度款项由发包人支付到承包人的单位基本户。</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5）凡未向付款单位提供农民工工资专用账户的，或者请款单位在申请工程进度款时未将人工费单列的，付款单位有权拒绝支付工程进度款。</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6）人工费使用要求：专款专用，除发放农民工工资外，不得用于其他用途。</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7）承包人将人工费支付情况定期报告发包人和监理单位，并提供相应的材料接受建设行政主管部门和劳动保障行政主管部门对此事项监管。</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8）人工费支付专用账户：××××公司农民工工资支付专用账户。账号：</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12.4.6 支付分解表的编制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总价合同支付分解表的编制与审批：</w:t>
      </w:r>
      <w:r>
        <w:rPr>
          <w:rFonts w:hint="eastAsia" w:ascii="宋体" w:hAnsi="宋体" w:eastAsia="宋体" w:cs="宋体"/>
          <w:sz w:val="24"/>
          <w:szCs w:val="24"/>
          <w:u w:val="single"/>
        </w:rPr>
        <w:t>总价合同支付分分解表在招标完成后由发包人和承包人共同编制，发包人审批，并作为本合同内容</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（2）单价合同的总价项目支付分解表的编制与审批：</w:t>
      </w:r>
      <w:r>
        <w:rPr>
          <w:rFonts w:hint="eastAsia" w:ascii="宋体" w:hAnsi="宋体" w:eastAsia="宋体" w:cs="宋体"/>
          <w:sz w:val="24"/>
          <w:szCs w:val="24"/>
          <w:u w:val="single"/>
        </w:rPr>
        <w:t>总价项目不采用支付分解表的方式计算，而按《建设工程工程量清单计价规范（GB50500-2013）广西壮族自治区实施细则》的规定执行。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13.</w:t>
      </w:r>
      <w:r>
        <w:rPr>
          <w:rFonts w:hint="eastAsia" w:ascii="宋体" w:hAnsi="宋体" w:eastAsia="宋体" w:cs="宋体"/>
          <w:sz w:val="24"/>
          <w:szCs w:val="24"/>
        </w:rPr>
        <w:t>验收和工程试车</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13.1 </w:t>
      </w:r>
      <w:r>
        <w:rPr>
          <w:rFonts w:hint="eastAsia" w:ascii="宋体" w:hAnsi="宋体" w:eastAsia="宋体" w:cs="宋体"/>
          <w:sz w:val="24"/>
          <w:szCs w:val="24"/>
        </w:rPr>
        <w:t>分部分项工程验收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13.1.2监理人不能按时进行验收时，应提前</w:t>
      </w:r>
      <w:r>
        <w:rPr>
          <w:rFonts w:hint="eastAsia" w:ascii="宋体" w:hAnsi="宋体" w:eastAsia="宋体" w:cs="宋体"/>
          <w:sz w:val="24"/>
          <w:szCs w:val="24"/>
          <w:u w:val="single"/>
        </w:rPr>
        <w:t>24</w:t>
      </w:r>
      <w:r>
        <w:rPr>
          <w:rFonts w:hint="eastAsia" w:ascii="宋体" w:hAnsi="宋体" w:eastAsia="宋体" w:cs="宋体"/>
          <w:sz w:val="24"/>
          <w:szCs w:val="24"/>
        </w:rPr>
        <w:t>小时提交书面延期要求。</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sz w:val="24"/>
          <w:szCs w:val="24"/>
          <w:u w:val="single"/>
        </w:rPr>
        <w:t>48</w:t>
      </w:r>
      <w:r>
        <w:rPr>
          <w:rFonts w:hint="eastAsia" w:ascii="宋体" w:hAnsi="宋体" w:eastAsia="宋体" w:cs="宋体"/>
          <w:sz w:val="24"/>
          <w:szCs w:val="24"/>
        </w:rPr>
        <w:t>小时。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13.2 </w:t>
      </w:r>
      <w:r>
        <w:rPr>
          <w:rFonts w:hint="eastAsia" w:ascii="宋体" w:hAnsi="宋体" w:eastAsia="宋体" w:cs="宋体"/>
          <w:sz w:val="24"/>
          <w:szCs w:val="24"/>
        </w:rPr>
        <w:t>竣工验收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13.2.1 竣工验收条件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）承包人负责整理和提交的竣工验收资料应当符合工程所在地建设行政主管部门和</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或</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城市建设档案管理机构有关施工资料的要求，具体内容包括：</w:t>
      </w:r>
      <w:r>
        <w:rPr>
          <w:rFonts w:hint="eastAsia" w:ascii="宋体" w:hAnsi="宋体" w:eastAsia="宋体" w:cs="宋体"/>
          <w:sz w:val="24"/>
          <w:szCs w:val="24"/>
          <w:u w:val="single"/>
          <w:lang w:val="en-US" w:eastAsia="zh-CN"/>
        </w:rPr>
        <w:t>按通用条款，无特殊约定。</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竣工验收资料的份数：</w:t>
      </w:r>
      <w:r>
        <w:rPr>
          <w:rFonts w:hint="eastAsia" w:ascii="宋体" w:hAnsi="宋体" w:eastAsia="宋体" w:cs="宋体"/>
          <w:sz w:val="24"/>
          <w:szCs w:val="24"/>
          <w:u w:val="single"/>
          <w:lang w:val="en-US" w:eastAsia="zh-CN"/>
        </w:rPr>
        <w:t>由双方协商决定。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承包人提供竣工图的约定：</w:t>
      </w:r>
      <w:r>
        <w:rPr>
          <w:rFonts w:hint="eastAsia" w:ascii="宋体" w:hAnsi="宋体" w:eastAsia="宋体" w:cs="宋体"/>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13.2.2竣工验收程序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关于竣工验收程序的约定：</w:t>
      </w:r>
      <w:r>
        <w:rPr>
          <w:rFonts w:hint="eastAsia" w:ascii="宋体" w:hAnsi="宋体" w:eastAsia="宋体" w:cs="宋体"/>
          <w:b w:val="0"/>
          <w:bCs w:val="0"/>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发包人不按照本项约定组织竣工验收、颁发工程接收证书的违约金的计算方法：</w:t>
      </w:r>
      <w:r>
        <w:rPr>
          <w:rFonts w:hint="eastAsia" w:ascii="宋体" w:hAnsi="宋体" w:eastAsia="宋体" w:cs="宋体"/>
          <w:b w:val="0"/>
          <w:bCs w:val="0"/>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13.2.5移交、接收全部与部分工程</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承包人向发包人移交工程的期限：</w:t>
      </w:r>
      <w:r>
        <w:rPr>
          <w:rFonts w:hint="eastAsia" w:ascii="宋体" w:hAnsi="宋体" w:eastAsia="宋体" w:cs="宋体"/>
          <w:sz w:val="24"/>
          <w:szCs w:val="24"/>
          <w:u w:val="single"/>
        </w:rPr>
        <w:t>合同当事人应当在颁发工程接收证书后7天内完成工程的移交。</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发包人未按本合同约定接收全部或部分工程的，违约金的计算方法为：</w:t>
      </w:r>
      <w:r>
        <w:rPr>
          <w:rFonts w:hint="eastAsia" w:ascii="宋体" w:hAnsi="宋体" w:cs="宋体"/>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承包人未按时移交工程的，违约金的计算方法为：</w:t>
      </w:r>
      <w:r>
        <w:rPr>
          <w:rFonts w:hint="eastAsia" w:ascii="宋体" w:hAnsi="宋体" w:eastAsia="宋体" w:cs="宋体"/>
          <w:b w:val="0"/>
          <w:bCs w:val="0"/>
          <w:sz w:val="24"/>
          <w:szCs w:val="24"/>
          <w:u w:val="single"/>
        </w:rPr>
        <w:t>每逾期一天，应以签约合同价为基数，按照中国人民银行发布的同期同类贷款基准利率支付违约金。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13.3 </w:t>
      </w:r>
      <w:r>
        <w:rPr>
          <w:rFonts w:hint="eastAsia" w:ascii="宋体" w:hAnsi="宋体" w:eastAsia="宋体" w:cs="宋体"/>
          <w:sz w:val="24"/>
          <w:szCs w:val="24"/>
        </w:rPr>
        <w:t>工程试车</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13.3.1 试车程序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工程试车内容：</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（1）单机无负荷试车费用由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（2）无负荷联动试车费用由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13.3.3 投料试车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关于投料试车相关事项的约定：</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13.6 </w:t>
      </w:r>
      <w:r>
        <w:rPr>
          <w:rFonts w:hint="eastAsia" w:ascii="宋体" w:hAnsi="宋体" w:eastAsia="宋体" w:cs="宋体"/>
          <w:sz w:val="24"/>
          <w:szCs w:val="24"/>
        </w:rPr>
        <w:t>竣工退场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13.6.1 竣工退场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承包人完成竣工退场的期限：</w:t>
      </w:r>
      <w:r>
        <w:rPr>
          <w:rFonts w:hint="eastAsia" w:ascii="宋体" w:hAnsi="宋体" w:eastAsia="宋体" w:cs="宋体"/>
          <w:sz w:val="24"/>
          <w:szCs w:val="24"/>
          <w:u w:val="single"/>
        </w:rPr>
        <w:t>颁发工程接收证书后7天内完成竣工退场</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 </w:t>
      </w:r>
      <w:r>
        <w:rPr>
          <w:rFonts w:hint="eastAsia" w:ascii="宋体" w:hAnsi="宋体" w:eastAsia="宋体" w:cs="宋体"/>
          <w:sz w:val="24"/>
          <w:szCs w:val="24"/>
        </w:rPr>
        <w:t>竣工结算</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14.1 </w:t>
      </w:r>
      <w:r>
        <w:rPr>
          <w:rFonts w:hint="eastAsia" w:ascii="宋体" w:hAnsi="宋体" w:eastAsia="宋体" w:cs="宋体"/>
          <w:sz w:val="24"/>
          <w:szCs w:val="24"/>
        </w:rPr>
        <w:t>竣工结算申请</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承包人提交竣工结算申请单的期限：</w:t>
      </w:r>
      <w:r>
        <w:rPr>
          <w:rFonts w:hint="eastAsia" w:ascii="宋体" w:hAnsi="宋体" w:eastAsia="宋体" w:cs="宋体"/>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w:t>
      </w:r>
      <w:r>
        <w:rPr>
          <w:rFonts w:hint="eastAsia" w:ascii="宋体" w:hAnsi="宋体" w:eastAsia="宋体" w:cs="宋体"/>
          <w:sz w:val="24"/>
          <w:szCs w:val="24"/>
          <w:u w:val="single"/>
        </w:rPr>
        <w:t>内承包人提交工程结算书给发包人。</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竣工结算申请单应包括的内容：</w:t>
      </w:r>
      <w:r>
        <w:rPr>
          <w:rFonts w:hint="eastAsia" w:ascii="宋体" w:hAnsi="宋体" w:eastAsia="宋体" w:cs="宋体"/>
          <w:sz w:val="24"/>
          <w:szCs w:val="24"/>
          <w:u w:val="single"/>
          <w:lang w:val="en-US" w:eastAsia="zh-CN"/>
        </w:rPr>
        <w:t>根据实际情况另行商定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14.2 </w:t>
      </w:r>
      <w:r>
        <w:rPr>
          <w:rFonts w:hint="eastAsia" w:ascii="宋体" w:hAnsi="宋体" w:eastAsia="宋体" w:cs="宋体"/>
          <w:sz w:val="24"/>
          <w:szCs w:val="24"/>
        </w:rPr>
        <w:t>竣工结算审核</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pPr>
              <w:spacing w:line="360" w:lineRule="auto"/>
              <w:rPr>
                <w:color w:val="000000"/>
                <w:highlight w:val="none"/>
              </w:rPr>
            </w:pPr>
          </w:p>
        </w:tc>
        <w:tc>
          <w:tcPr>
            <w:tcW w:w="2466" w:type="dxa"/>
            <w:noWrap w:val="0"/>
            <w:vAlign w:val="center"/>
          </w:tcPr>
          <w:p>
            <w:pPr>
              <w:spacing w:line="360" w:lineRule="auto"/>
              <w:ind w:firstLine="27" w:firstLineChars="13"/>
              <w:jc w:val="center"/>
              <w:rPr>
                <w:color w:val="000000"/>
                <w:highlight w:val="none"/>
              </w:rPr>
            </w:pPr>
            <w:r>
              <w:rPr>
                <w:rFonts w:hint="eastAsia" w:hAnsi="宋体" w:cs="宋体"/>
                <w:color w:val="000000"/>
                <w:highlight w:val="none"/>
              </w:rPr>
              <w:t>工程竣工结算报告金额</w:t>
            </w:r>
          </w:p>
        </w:tc>
        <w:tc>
          <w:tcPr>
            <w:tcW w:w="5967" w:type="dxa"/>
            <w:noWrap w:val="0"/>
            <w:vAlign w:val="center"/>
          </w:tcPr>
          <w:p>
            <w:pPr>
              <w:spacing w:line="360" w:lineRule="auto"/>
              <w:ind w:firstLine="441" w:firstLineChars="210"/>
              <w:jc w:val="center"/>
              <w:rPr>
                <w:color w:val="000000"/>
                <w:highlight w:val="none"/>
              </w:rPr>
            </w:pPr>
            <w:r>
              <w:rPr>
                <w:rFonts w:hint="eastAsia" w:hAnsi="宋体" w:cs="宋体"/>
                <w:color w:val="000000"/>
                <w:highlight w:val="none"/>
              </w:rPr>
              <w:t>发包人审查时间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pPr>
              <w:spacing w:line="360" w:lineRule="auto"/>
              <w:jc w:val="center"/>
              <w:rPr>
                <w:color w:val="000000"/>
                <w:highlight w:val="none"/>
              </w:rPr>
            </w:pPr>
            <w:r>
              <w:rPr>
                <w:color w:val="000000"/>
                <w:highlight w:val="none"/>
              </w:rPr>
              <w:t>1</w:t>
            </w:r>
          </w:p>
        </w:tc>
        <w:tc>
          <w:tcPr>
            <w:tcW w:w="2466" w:type="dxa"/>
            <w:noWrap w:val="0"/>
            <w:vAlign w:val="center"/>
          </w:tcPr>
          <w:p>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万元以下</w:t>
            </w:r>
          </w:p>
        </w:tc>
        <w:tc>
          <w:tcPr>
            <w:tcW w:w="5967" w:type="dxa"/>
            <w:noWrap w:val="0"/>
            <w:vAlign w:val="center"/>
          </w:tcPr>
          <w:p>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20</w:t>
            </w:r>
            <w:r>
              <w:rPr>
                <w:rFonts w:hint="eastAsia" w:hAnsi="宋体" w:cs="宋体"/>
                <w:color w:val="00000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pPr>
              <w:spacing w:line="360" w:lineRule="auto"/>
              <w:jc w:val="center"/>
              <w:rPr>
                <w:color w:val="000000"/>
                <w:highlight w:val="none"/>
              </w:rPr>
            </w:pPr>
            <w:r>
              <w:rPr>
                <w:color w:val="000000"/>
                <w:highlight w:val="none"/>
              </w:rPr>
              <w:t>2</w:t>
            </w:r>
          </w:p>
        </w:tc>
        <w:tc>
          <w:tcPr>
            <w:tcW w:w="2466" w:type="dxa"/>
            <w:noWrap w:val="0"/>
            <w:vAlign w:val="center"/>
          </w:tcPr>
          <w:p>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w:t>
            </w:r>
            <w:r>
              <w:rPr>
                <w:color w:val="000000"/>
                <w:highlight w:val="none"/>
              </w:rPr>
              <w:t>-2000</w:t>
            </w:r>
            <w:r>
              <w:rPr>
                <w:rFonts w:hint="eastAsia" w:hAnsi="宋体" w:cs="宋体"/>
                <w:color w:val="000000"/>
                <w:highlight w:val="none"/>
              </w:rPr>
              <w:t>万元</w:t>
            </w:r>
          </w:p>
        </w:tc>
        <w:tc>
          <w:tcPr>
            <w:tcW w:w="5967" w:type="dxa"/>
            <w:noWrap w:val="0"/>
            <w:vAlign w:val="center"/>
          </w:tcPr>
          <w:p>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30</w:t>
            </w:r>
            <w:r>
              <w:rPr>
                <w:rFonts w:hint="eastAsia" w:hAnsi="宋体" w:cs="宋体"/>
                <w:color w:val="00000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pPr>
              <w:spacing w:line="360" w:lineRule="auto"/>
              <w:jc w:val="center"/>
              <w:rPr>
                <w:color w:val="000000"/>
                <w:highlight w:val="none"/>
              </w:rPr>
            </w:pPr>
            <w:r>
              <w:rPr>
                <w:color w:val="000000"/>
                <w:highlight w:val="none"/>
              </w:rPr>
              <w:t>3</w:t>
            </w:r>
          </w:p>
        </w:tc>
        <w:tc>
          <w:tcPr>
            <w:tcW w:w="2466" w:type="dxa"/>
            <w:noWrap w:val="0"/>
            <w:vAlign w:val="center"/>
          </w:tcPr>
          <w:p>
            <w:pPr>
              <w:spacing w:line="360" w:lineRule="auto"/>
              <w:ind w:firstLine="27" w:firstLineChars="13"/>
              <w:jc w:val="center"/>
              <w:rPr>
                <w:color w:val="000000"/>
                <w:highlight w:val="none"/>
              </w:rPr>
            </w:pPr>
            <w:r>
              <w:rPr>
                <w:color w:val="000000"/>
                <w:highlight w:val="none"/>
              </w:rPr>
              <w:t>2000</w:t>
            </w:r>
            <w:r>
              <w:rPr>
                <w:rFonts w:hint="eastAsia" w:hAnsi="宋体" w:cs="宋体"/>
                <w:color w:val="000000"/>
                <w:highlight w:val="none"/>
              </w:rPr>
              <w:t>万元</w:t>
            </w:r>
            <w:r>
              <w:rPr>
                <w:color w:val="000000"/>
                <w:highlight w:val="none"/>
              </w:rPr>
              <w:t>-5000</w:t>
            </w:r>
            <w:r>
              <w:rPr>
                <w:rFonts w:hint="eastAsia" w:hAnsi="宋体" w:cs="宋体"/>
                <w:color w:val="000000"/>
                <w:highlight w:val="none"/>
              </w:rPr>
              <w:t>万元</w:t>
            </w:r>
          </w:p>
        </w:tc>
        <w:tc>
          <w:tcPr>
            <w:tcW w:w="5967" w:type="dxa"/>
            <w:noWrap w:val="0"/>
            <w:vAlign w:val="center"/>
          </w:tcPr>
          <w:p>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45</w:t>
            </w:r>
            <w:r>
              <w:rPr>
                <w:rFonts w:hint="eastAsia" w:hAnsi="宋体" w:cs="宋体"/>
                <w:color w:val="00000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pPr>
              <w:spacing w:line="360" w:lineRule="auto"/>
              <w:jc w:val="center"/>
              <w:rPr>
                <w:color w:val="000000"/>
                <w:highlight w:val="none"/>
              </w:rPr>
            </w:pPr>
            <w:r>
              <w:rPr>
                <w:color w:val="000000"/>
                <w:highlight w:val="none"/>
              </w:rPr>
              <w:t>4</w:t>
            </w:r>
          </w:p>
        </w:tc>
        <w:tc>
          <w:tcPr>
            <w:tcW w:w="2466" w:type="dxa"/>
            <w:noWrap w:val="0"/>
            <w:vAlign w:val="center"/>
          </w:tcPr>
          <w:p>
            <w:pPr>
              <w:spacing w:line="360" w:lineRule="auto"/>
              <w:ind w:firstLine="27" w:firstLineChars="13"/>
              <w:jc w:val="center"/>
              <w:rPr>
                <w:color w:val="000000"/>
                <w:highlight w:val="none"/>
              </w:rPr>
            </w:pPr>
            <w:r>
              <w:rPr>
                <w:color w:val="000000"/>
                <w:highlight w:val="none"/>
              </w:rPr>
              <w:t>5000</w:t>
            </w:r>
            <w:r>
              <w:rPr>
                <w:rFonts w:hint="eastAsia" w:hAnsi="宋体" w:cs="宋体"/>
                <w:color w:val="000000"/>
                <w:highlight w:val="none"/>
              </w:rPr>
              <w:t>万元以上</w:t>
            </w:r>
          </w:p>
        </w:tc>
        <w:tc>
          <w:tcPr>
            <w:tcW w:w="5967" w:type="dxa"/>
            <w:noWrap w:val="0"/>
            <w:vAlign w:val="center"/>
          </w:tcPr>
          <w:p>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60</w:t>
            </w:r>
            <w:r>
              <w:rPr>
                <w:rFonts w:hint="eastAsia" w:hAnsi="宋体" w:cs="宋体"/>
                <w:color w:val="00000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pPr>
              <w:spacing w:line="360" w:lineRule="auto"/>
              <w:jc w:val="center"/>
              <w:rPr>
                <w:color w:val="000000"/>
                <w:highlight w:val="none"/>
              </w:rPr>
            </w:pPr>
            <w:r>
              <w:rPr>
                <w:rFonts w:hint="eastAsia"/>
                <w:color w:val="000000"/>
                <w:highlight w:val="none"/>
              </w:rPr>
              <w:t>5</w:t>
            </w:r>
          </w:p>
        </w:tc>
        <w:tc>
          <w:tcPr>
            <w:tcW w:w="2466" w:type="dxa"/>
            <w:noWrap w:val="0"/>
            <w:vAlign w:val="center"/>
          </w:tcPr>
          <w:p>
            <w:pPr>
              <w:spacing w:line="360" w:lineRule="auto"/>
              <w:ind w:firstLine="27" w:firstLineChars="13"/>
              <w:jc w:val="center"/>
              <w:rPr>
                <w:color w:val="000000"/>
                <w:highlight w:val="none"/>
              </w:rPr>
            </w:pPr>
            <w:r>
              <w:rPr>
                <w:rFonts w:hint="eastAsia"/>
                <w:color w:val="000000"/>
                <w:highlight w:val="none"/>
              </w:rPr>
              <w:t>5000万以上每增加</w:t>
            </w:r>
            <w:r>
              <w:rPr>
                <w:color w:val="000000"/>
                <w:highlight w:val="none"/>
              </w:rPr>
              <w:t>0.5</w:t>
            </w:r>
            <w:r>
              <w:rPr>
                <w:rFonts w:hint="eastAsia"/>
                <w:color w:val="000000"/>
                <w:highlight w:val="none"/>
              </w:rPr>
              <w:t>亿(不足0.5亿不增加)</w:t>
            </w:r>
          </w:p>
        </w:tc>
        <w:tc>
          <w:tcPr>
            <w:tcW w:w="5967" w:type="dxa"/>
            <w:noWrap w:val="0"/>
            <w:vAlign w:val="center"/>
          </w:tcPr>
          <w:p>
            <w:pPr>
              <w:spacing w:line="360" w:lineRule="auto"/>
              <w:ind w:firstLine="441" w:firstLineChars="210"/>
              <w:jc w:val="center"/>
              <w:rPr>
                <w:rFonts w:hint="eastAsia" w:hAnsi="宋体" w:cs="宋体"/>
                <w:color w:val="000000"/>
                <w:highlight w:val="none"/>
              </w:rPr>
            </w:pPr>
            <w:r>
              <w:rPr>
                <w:rFonts w:hint="eastAsia" w:hAnsi="宋体" w:cs="宋体"/>
                <w:color w:val="000000"/>
                <w:highlight w:val="none"/>
              </w:rPr>
              <w:t>增加10天</w:t>
            </w:r>
          </w:p>
        </w:tc>
      </w:tr>
    </w:tbl>
    <w:p>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因承包人提供的结算资料不完整而需要补充或承包人不按时对账耽误时间时，审查时间应相应顺延。</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1、工程竣工验收报告经发包人认可后</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天内，发包人按审定后的竣工结算价款，通知经办银行向承包人支付结算价款。</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备注：对于国有投资项目结算审核约定，双方可结合各地政府或有关部门出台的管理规定进行局部调整</w:t>
      </w:r>
      <w:r>
        <w:rPr>
          <w:rFonts w:hint="eastAsia" w:ascii="宋体" w:hAnsi="宋体" w:cs="宋体"/>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14.4 </w:t>
      </w:r>
      <w:r>
        <w:rPr>
          <w:rFonts w:hint="eastAsia" w:ascii="宋体" w:hAnsi="宋体" w:eastAsia="宋体" w:cs="宋体"/>
          <w:sz w:val="24"/>
          <w:szCs w:val="24"/>
          <w:lang w:eastAsia="zh-CN"/>
        </w:rPr>
        <w:t>最终结清</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14.4.1 最终结清申请单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承包人提交最终结清申请单的份数：</w:t>
      </w:r>
      <w:r>
        <w:rPr>
          <w:rFonts w:hint="eastAsia" w:ascii="宋体" w:hAnsi="宋体" w:eastAsia="宋体" w:cs="宋体"/>
          <w:sz w:val="24"/>
          <w:szCs w:val="24"/>
          <w:u w:val="single"/>
        </w:rPr>
        <w:t>一式四份。</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承包人提交最终结算申请单的期限：</w:t>
      </w:r>
      <w:r>
        <w:rPr>
          <w:rFonts w:hint="eastAsia" w:ascii="宋体" w:hAnsi="宋体" w:eastAsia="宋体" w:cs="宋体"/>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14.4.2 最终结清证书和支付</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（1）发包人完成最终结清申请单的审批并颁发最终结清证书的期限：</w:t>
      </w:r>
      <w:r>
        <w:rPr>
          <w:rFonts w:hint="eastAsia" w:ascii="宋体" w:hAnsi="宋体" w:eastAsia="宋体" w:cs="宋体"/>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（2）发包人完成支付的期限：</w:t>
      </w:r>
      <w:r>
        <w:rPr>
          <w:rFonts w:hint="eastAsia" w:ascii="宋体" w:hAnsi="宋体" w:eastAsia="宋体" w:cs="宋体"/>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lang w:eastAsia="zh-CN"/>
        </w:rPr>
        <w:t>缺陷责任期与保修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15.2</w:t>
      </w:r>
      <w:r>
        <w:rPr>
          <w:rFonts w:hint="eastAsia" w:ascii="宋体" w:hAnsi="宋体" w:eastAsia="宋体" w:cs="宋体"/>
          <w:sz w:val="24"/>
          <w:szCs w:val="24"/>
          <w:lang w:eastAsia="zh-CN"/>
        </w:rPr>
        <w:t>缺陷责任期</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缺陷责任期的具体期限：</w:t>
      </w:r>
      <w:r>
        <w:rPr>
          <w:rFonts w:hint="eastAsia" w:ascii="宋体" w:hAnsi="宋体" w:cs="宋体"/>
          <w:sz w:val="24"/>
          <w:szCs w:val="24"/>
          <w:u w:val="single"/>
          <w:lang w:val="en-US" w:eastAsia="zh-CN"/>
        </w:rPr>
        <w:t>从工程竣工验收合格之日起24个月</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15.3 </w:t>
      </w:r>
      <w:r>
        <w:rPr>
          <w:rFonts w:hint="eastAsia" w:ascii="宋体" w:hAnsi="宋体" w:eastAsia="宋体" w:cs="宋体"/>
          <w:sz w:val="24"/>
          <w:szCs w:val="24"/>
          <w:lang w:eastAsia="zh-CN"/>
        </w:rPr>
        <w:t>质量保证金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关于是否扣留质量保证金的约定：</w:t>
      </w:r>
      <w:r>
        <w:rPr>
          <w:rFonts w:hint="eastAsia" w:ascii="宋体" w:hAnsi="宋体" w:cs="宋体"/>
          <w:sz w:val="24"/>
          <w:szCs w:val="24"/>
          <w:u w:val="single"/>
          <w:lang w:val="en-US" w:eastAsia="zh-CN"/>
        </w:rPr>
        <w:t xml:space="preserve">   是   </w:t>
      </w:r>
      <w:r>
        <w:rPr>
          <w:rFonts w:hint="eastAsia" w:ascii="宋体" w:hAnsi="宋体" w:eastAsia="宋体" w:cs="宋体"/>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在工程项目竣工前，承包人按专用合同条款第3.7条提供履约担保的，发包人不得同时预留工程质量保证金。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15.3.1 承包人提供质量保证金的方式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质量保证金采用以下第</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（2）</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种方式：</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（1）质量保证金保函，保证金额为：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（2）发包人按工程价款结算总额的3%预留工程质量保证金，待缺陷责任期满后返还，是否付息及利息计算方式为：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无息   </w:t>
      </w:r>
      <w:r>
        <w:rPr>
          <w:rFonts w:hint="eastAsia" w:ascii="宋体" w:hAnsi="宋体" w:eastAsia="宋体" w:cs="宋体"/>
          <w:sz w:val="24"/>
          <w:szCs w:val="24"/>
        </w:rPr>
        <w:t>；</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15.3.2 质量保证金的扣留</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质量保证金的扣留采取以下第</w:t>
      </w:r>
      <w:r>
        <w:rPr>
          <w:rFonts w:hint="eastAsia" w:ascii="宋体" w:hAnsi="宋体" w:eastAsia="宋体" w:cs="宋体"/>
          <w:sz w:val="24"/>
          <w:szCs w:val="24"/>
          <w:u w:val="single"/>
        </w:rPr>
        <w:t>（2）</w:t>
      </w:r>
      <w:r>
        <w:rPr>
          <w:rFonts w:hint="eastAsia" w:ascii="宋体" w:hAnsi="宋体" w:eastAsia="宋体" w:cs="宋体"/>
          <w:sz w:val="24"/>
          <w:szCs w:val="24"/>
        </w:rPr>
        <w:t>种方式：</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（1）在不缴纳履保证金情况下，按支付工程进度款时逐次扣留，质量保证金的计算基数不包括预付款的支付、扣回以及价格调整的金额；</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（2）工程竣工结算时一次性扣留质量保证金；</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（3）其他扣留方式:</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关于质量保证金的补充约定：</w:t>
      </w:r>
      <w:r>
        <w:rPr>
          <w:rFonts w:hint="eastAsia" w:ascii="宋体" w:hAnsi="宋体" w:eastAsia="宋体" w:cs="宋体"/>
          <w:sz w:val="24"/>
          <w:szCs w:val="24"/>
          <w:u w:val="single"/>
        </w:rPr>
        <w:t>本工程双方约定质保金为工程结算总造价的3%；待竣工验收合格（以取得工程竣工验收证书为准）之日起到保修期满，发包人于14日内返还工程结算价的3%质量保证金（无息）。</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15.4</w:t>
      </w:r>
      <w:r>
        <w:rPr>
          <w:rFonts w:hint="eastAsia" w:ascii="宋体" w:hAnsi="宋体" w:eastAsia="宋体" w:cs="宋体"/>
          <w:sz w:val="24"/>
          <w:szCs w:val="24"/>
        </w:rPr>
        <w:t>保修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15.4.1 保修责任</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工程保修期为：</w:t>
      </w:r>
      <w:r>
        <w:rPr>
          <w:rFonts w:hint="eastAsia" w:ascii="宋体" w:hAnsi="宋体" w:eastAsia="宋体" w:cs="宋体"/>
          <w:sz w:val="24"/>
          <w:szCs w:val="24"/>
          <w:u w:val="single"/>
        </w:rPr>
        <w:t>详见《工程质量保修书》。</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15.4.3 修复通知</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承包人收到保修通知并到达工程现场的合理时间：</w:t>
      </w:r>
      <w:r>
        <w:rPr>
          <w:rFonts w:hint="eastAsia" w:ascii="宋体" w:hAnsi="宋体" w:cs="宋体"/>
          <w:sz w:val="24"/>
          <w:szCs w:val="24"/>
          <w:u w:val="single"/>
          <w:lang w:val="en-US" w:eastAsia="zh-CN"/>
        </w:rPr>
        <w:t>24</w:t>
      </w:r>
      <w:r>
        <w:rPr>
          <w:rFonts w:hint="eastAsia" w:ascii="宋体" w:hAnsi="宋体" w:eastAsia="宋体" w:cs="宋体"/>
          <w:sz w:val="24"/>
          <w:szCs w:val="24"/>
          <w:u w:val="single"/>
        </w:rPr>
        <w:t>小时内</w:t>
      </w:r>
      <w:r>
        <w:rPr>
          <w:rFonts w:hint="eastAsia" w:ascii="宋体" w:hAnsi="宋体" w:eastAsia="宋体" w:cs="宋体"/>
          <w:b w:val="0"/>
          <w:bCs w:val="0"/>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违约</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16.1 </w:t>
      </w:r>
      <w:r>
        <w:rPr>
          <w:rFonts w:hint="eastAsia" w:ascii="宋体" w:hAnsi="宋体" w:eastAsia="宋体" w:cs="宋体"/>
          <w:sz w:val="24"/>
          <w:szCs w:val="24"/>
        </w:rPr>
        <w:t>发包人违约</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16.1.1发包人违约的情形</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16.1.2 发包人违约的责任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发包人违约责任的承担方式和计算方法：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（1）因发包人原因未能在计划开工日期前7天内下达开工通知的违约责任：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（2）因发包人原因未能按合同约定支付合同价款的违约责任：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（3）发包人违反第10.1款〔变更的范围〕第（2）项约定，自行实施被取消的工作或转由他人实施的违约责任：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（4）发包人提供的材料、工程设备的规格、数量或质量不符合合同约定，或因发包人原因导致交货日期延误或交货地点变更等情况的违约责任：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（5）因发包人违反合同约定造成暂停施工的违约责任：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发包人无正当理由没有在约定期限内发出复工指示，导致承包人无法复工的违约责任：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（7）其他：</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16.1.3 因发包人违约解除合同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承包人按16.1.1项〔发包人违约的情形〕约定暂停施工满天后发包人仍不纠正其违约行为并致使合同目的不能实现的，承包人有权解除合同。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sz w:val="24"/>
          <w:szCs w:val="24"/>
          <w:u w:val="none"/>
        </w:rPr>
        <w:t xml:space="preserve">16.2 </w:t>
      </w:r>
      <w:r>
        <w:rPr>
          <w:rFonts w:hint="eastAsia" w:ascii="宋体" w:hAnsi="宋体" w:eastAsia="宋体" w:cs="宋体"/>
          <w:sz w:val="24"/>
          <w:szCs w:val="24"/>
          <w:u w:val="none"/>
        </w:rPr>
        <w:t>承包人违约</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16.2.1 承包人违约的情形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承包人违约的其他情形：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16.2.2承包人违约的责任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承包人违约责任的承担方式和计算方法：</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16.2.3 因承包人违约解除合同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关于承包人违约解除合同的特别约定：</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发包人继续使用承包人在施工现场的材料、设备、临时工程、承包人文件和由承包人或以其名义编制的其他文件的费用承担方式：</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不可抗力</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17.1 </w:t>
      </w:r>
      <w:r>
        <w:rPr>
          <w:rFonts w:hint="eastAsia" w:ascii="宋体" w:hAnsi="宋体" w:eastAsia="宋体" w:cs="宋体"/>
          <w:sz w:val="24"/>
          <w:szCs w:val="24"/>
        </w:rPr>
        <w:t>不可抗力的确认</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除通用合同条款约定的不可抗力事件之外，视为不可抗力的其他情形：</w:t>
      </w:r>
      <w:r>
        <w:rPr>
          <w:rFonts w:hint="eastAsia" w:ascii="宋体" w:hAnsi="宋体" w:eastAsia="宋体" w:cs="宋体"/>
          <w:sz w:val="24"/>
          <w:szCs w:val="24"/>
          <w:u w:val="single"/>
        </w:rPr>
        <w:t>不可抗力包括</w:t>
      </w:r>
      <w:r>
        <w:rPr>
          <w:rFonts w:hint="eastAsia" w:ascii="宋体" w:hAnsi="宋体" w:cs="宋体"/>
          <w:sz w:val="24"/>
          <w:szCs w:val="24"/>
          <w:u w:val="single"/>
          <w:lang w:val="en-US" w:eastAsia="zh-CN"/>
        </w:rPr>
        <w:t>但不限于</w:t>
      </w:r>
      <w:r>
        <w:rPr>
          <w:rFonts w:hint="eastAsia" w:ascii="宋体" w:hAnsi="宋体" w:eastAsia="宋体" w:cs="宋体"/>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17.4 </w:t>
      </w:r>
      <w:r>
        <w:rPr>
          <w:rFonts w:hint="eastAsia" w:ascii="宋体" w:hAnsi="宋体" w:eastAsia="宋体" w:cs="宋体"/>
          <w:sz w:val="24"/>
          <w:szCs w:val="24"/>
          <w:lang w:eastAsia="zh-CN"/>
        </w:rPr>
        <w:t>因不可抗力解除合同</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合同解除后，发包人应在商定或确定发包人应支付款项后</w:t>
      </w:r>
      <w:r>
        <w:rPr>
          <w:rFonts w:hint="eastAsia" w:ascii="宋体" w:hAnsi="宋体" w:cs="宋体"/>
          <w:sz w:val="24"/>
          <w:szCs w:val="24"/>
          <w:u w:val="single"/>
          <w:lang w:val="en-US" w:eastAsia="zh-CN"/>
        </w:rPr>
        <w:t xml:space="preserve"> 28 </w:t>
      </w:r>
      <w:r>
        <w:rPr>
          <w:rFonts w:hint="eastAsia" w:ascii="宋体" w:hAnsi="宋体" w:eastAsia="宋体" w:cs="宋体"/>
          <w:sz w:val="24"/>
          <w:szCs w:val="24"/>
        </w:rPr>
        <w:t>天内完成款项的支付（按工程实际进度），发包人无需承担任何违约责任。</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 </w:t>
      </w:r>
      <w:r>
        <w:rPr>
          <w:rFonts w:hint="eastAsia" w:ascii="宋体" w:hAnsi="宋体" w:eastAsia="宋体" w:cs="宋体"/>
          <w:sz w:val="24"/>
          <w:szCs w:val="24"/>
        </w:rPr>
        <w:t>保</w:t>
      </w:r>
      <w:r>
        <w:rPr>
          <w:rFonts w:hint="eastAsia" w:ascii="宋体" w:hAnsi="宋体" w:eastAsia="宋体" w:cs="宋体"/>
          <w:sz w:val="24"/>
          <w:szCs w:val="24"/>
          <w:lang w:eastAsia="zh-CN"/>
        </w:rPr>
        <w:t>险</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b/>
          <w:sz w:val="24"/>
          <w:szCs w:val="24"/>
        </w:rPr>
        <w:t xml:space="preserve">18.1 </w:t>
      </w:r>
      <w:r>
        <w:rPr>
          <w:rFonts w:hint="eastAsia" w:ascii="宋体" w:hAnsi="宋体" w:eastAsia="宋体" w:cs="宋体"/>
          <w:sz w:val="24"/>
          <w:szCs w:val="24"/>
          <w:lang w:eastAsia="zh-CN"/>
        </w:rPr>
        <w:t>工程保修</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lang w:val="en-US" w:eastAsia="zh-CN"/>
        </w:rPr>
        <w:t>18.1.1</w:t>
      </w:r>
      <w:r>
        <w:rPr>
          <w:rFonts w:hint="eastAsia" w:ascii="宋体" w:hAnsi="宋体" w:eastAsia="宋体" w:cs="宋体"/>
          <w:sz w:val="24"/>
          <w:szCs w:val="24"/>
          <w:u w:val="none"/>
        </w:rPr>
        <w:t>关于工程保险的特别约定：</w:t>
      </w:r>
      <w:r>
        <w:rPr>
          <w:rFonts w:hint="eastAsia" w:ascii="宋体" w:hAnsi="宋体" w:eastAsia="宋体" w:cs="宋体"/>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18.3 </w:t>
      </w:r>
      <w:r>
        <w:rPr>
          <w:rFonts w:hint="eastAsia" w:ascii="宋体" w:hAnsi="宋体" w:eastAsia="宋体" w:cs="宋体"/>
          <w:sz w:val="24"/>
          <w:szCs w:val="24"/>
        </w:rPr>
        <w:t>其他保险</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关于其他保险的约定：</w:t>
      </w:r>
      <w:r>
        <w:rPr>
          <w:rFonts w:hint="eastAsia" w:ascii="宋体" w:hAnsi="宋体" w:eastAsia="宋体" w:cs="宋体"/>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承包人是否应为其施工设备等办理财产保险：</w:t>
      </w:r>
      <w:r>
        <w:rPr>
          <w:rFonts w:hint="eastAsia" w:ascii="宋体" w:hAnsi="宋体" w:eastAsia="宋体" w:cs="宋体"/>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18.7 </w:t>
      </w:r>
      <w:r>
        <w:rPr>
          <w:rFonts w:hint="eastAsia" w:ascii="宋体" w:hAnsi="宋体" w:eastAsia="宋体" w:cs="宋体"/>
          <w:sz w:val="24"/>
          <w:szCs w:val="24"/>
        </w:rPr>
        <w:t>通知义务</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000000"/>
          <w:sz w:val="24"/>
        </w:rPr>
      </w:pPr>
      <w:r>
        <w:rPr>
          <w:rFonts w:hint="eastAsia" w:ascii="宋体" w:hAnsi="宋体" w:eastAsia="宋体" w:cs="宋体"/>
          <w:sz w:val="24"/>
          <w:szCs w:val="24"/>
        </w:rPr>
        <w:t>关于变更保险合同时的通知义务的约定：</w:t>
      </w:r>
      <w:r>
        <w:rPr>
          <w:rFonts w:hint="eastAsia" w:ascii="宋体" w:hAnsi="宋体" w:eastAsia="宋体" w:cs="宋体"/>
          <w:sz w:val="24"/>
          <w:szCs w:val="24"/>
          <w:u w:val="single"/>
        </w:rPr>
        <w:t>按通用条款，无特殊约定。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20. </w:t>
      </w:r>
      <w:r>
        <w:rPr>
          <w:rFonts w:hint="eastAsia" w:ascii="宋体" w:hAnsi="宋体" w:eastAsia="宋体" w:cs="宋体"/>
          <w:sz w:val="24"/>
          <w:szCs w:val="24"/>
        </w:rPr>
        <w:t>争议解决</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20.4</w:t>
      </w:r>
      <w:r>
        <w:rPr>
          <w:rFonts w:hint="eastAsia" w:ascii="宋体" w:hAnsi="宋体" w:eastAsia="宋体" w:cs="宋体"/>
          <w:sz w:val="24"/>
          <w:szCs w:val="24"/>
        </w:rPr>
        <w:t>仲裁或诉讼</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因合同及合同有关事项发生的争议，按下列第</w:t>
      </w:r>
      <w:r>
        <w:rPr>
          <w:rFonts w:hint="eastAsia" w:ascii="宋体" w:hAnsi="宋体" w:eastAsia="宋体" w:cs="宋体"/>
          <w:sz w:val="24"/>
          <w:szCs w:val="24"/>
          <w:u w:val="single"/>
        </w:rPr>
        <w:t>（</w:t>
      </w:r>
      <w:r>
        <w:rPr>
          <w:rFonts w:hint="eastAsia" w:ascii="宋体" w:hAnsi="宋体" w:cs="宋体"/>
          <w:sz w:val="24"/>
          <w:szCs w:val="24"/>
          <w:u w:val="single"/>
          <w:lang w:val="en-US" w:eastAsia="zh-CN"/>
        </w:rPr>
        <w:t>2</w:t>
      </w:r>
      <w:r>
        <w:rPr>
          <w:rFonts w:hint="eastAsia" w:ascii="宋体" w:hAnsi="宋体" w:eastAsia="宋体" w:cs="宋体"/>
          <w:sz w:val="24"/>
          <w:szCs w:val="24"/>
          <w:u w:val="single"/>
        </w:rPr>
        <w:t>）</w:t>
      </w:r>
      <w:r>
        <w:rPr>
          <w:rFonts w:hint="eastAsia" w:ascii="宋体" w:hAnsi="宋体" w:eastAsia="宋体" w:cs="宋体"/>
          <w:sz w:val="24"/>
          <w:szCs w:val="24"/>
        </w:rPr>
        <w:t>种方式解决：</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（1）提请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仲裁委员会按照该会仲裁规则进行仲裁，仲裁裁决是终局的，对合同双方均有约束力。</w:t>
      </w:r>
    </w:p>
    <w:p>
      <w:pPr>
        <w:spacing w:line="360" w:lineRule="auto"/>
        <w:jc w:val="left"/>
        <w:rPr>
          <w:color w:val="000000" w:themeColor="text1"/>
          <w:sz w:val="24"/>
          <w:highlight w:val="none"/>
          <w14:textFill>
            <w14:solidFill>
              <w14:schemeClr w14:val="tx1"/>
            </w14:solidFill>
          </w14:textFill>
        </w:rPr>
      </w:pPr>
      <w:r>
        <w:rPr>
          <w:rFonts w:hint="eastAsia" w:ascii="宋体" w:hAnsi="宋体" w:eastAsia="宋体" w:cs="宋体"/>
          <w:sz w:val="24"/>
          <w:szCs w:val="24"/>
        </w:rPr>
        <w:t>（2）向</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项目所在地有管辖权的</w:t>
      </w:r>
      <w:r>
        <w:rPr>
          <w:rFonts w:hint="eastAsia" w:ascii="宋体" w:hAnsi="宋体" w:eastAsia="宋体" w:cs="宋体"/>
          <w:sz w:val="24"/>
          <w:szCs w:val="24"/>
          <w:u w:val="single"/>
        </w:rPr>
        <w:t xml:space="preserve">  </w:t>
      </w:r>
      <w:r>
        <w:rPr>
          <w:rFonts w:hint="eastAsia" w:ascii="宋体" w:hAnsi="宋体" w:eastAsia="宋体" w:cs="宋体"/>
          <w:sz w:val="24"/>
          <w:szCs w:val="24"/>
        </w:rPr>
        <w:t>人民法院起诉。</w:t>
      </w:r>
      <w:r>
        <w:rPr>
          <w:rFonts w:ascii="宋体" w:hAnsi="宋体"/>
          <w:szCs w:val="21"/>
        </w:rPr>
        <w:br w:type="page"/>
      </w:r>
    </w:p>
    <w:p>
      <w:pPr>
        <w:pStyle w:val="4"/>
        <w:spacing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第三部分  合同协议书</w:t>
      </w:r>
    </w:p>
    <w:p>
      <w:pPr>
        <w:spacing w:line="360" w:lineRule="auto"/>
        <w:jc w:val="center"/>
        <w:rPr>
          <w:rFonts w:ascii="宋体" w:hAnsi="宋体"/>
          <w:b/>
          <w:color w:val="000000" w:themeColor="text1"/>
          <w:sz w:val="24"/>
          <w:highlight w:val="none"/>
          <w14:textFill>
            <w14:solidFill>
              <w14:schemeClr w14:val="tx1"/>
            </w14:solidFill>
          </w14:textFill>
        </w:rPr>
      </w:pPr>
    </w:p>
    <w:p>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发包人（全称）：</w:t>
      </w:r>
      <w:r>
        <w:rPr>
          <w:rFonts w:hint="eastAsia" w:ascii="宋体" w:hAnsi="宋体" w:cs="宋体"/>
          <w:b/>
          <w:color w:val="000000" w:themeColor="text1"/>
          <w:sz w:val="24"/>
          <w:highlight w:val="none"/>
          <w:u w:val="single"/>
          <w14:textFill>
            <w14:solidFill>
              <w14:schemeClr w14:val="tx1"/>
            </w14:solidFill>
          </w14:textFill>
        </w:rPr>
        <w:t>             </w:t>
      </w:r>
    </w:p>
    <w:p>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承包人（全称）：</w:t>
      </w:r>
      <w:r>
        <w:rPr>
          <w:rFonts w:hint="eastAsia" w:ascii="宋体" w:hAnsi="宋体" w:cs="宋体"/>
          <w:b/>
          <w:color w:val="000000" w:themeColor="text1"/>
          <w:sz w:val="24"/>
          <w:highlight w:val="none"/>
          <w:u w:val="single"/>
          <w14:textFill>
            <w14:solidFill>
              <w14:schemeClr w14:val="tx1"/>
            </w14:solidFill>
          </w14:textFill>
        </w:rPr>
        <w:t>             </w:t>
      </w:r>
    </w:p>
    <w:p>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根据《中华人民共和国合同法》、《中华人民共和国建筑法》及有关法律规定，遵循平等、自愿、公平和诚实信用的原则，双方就</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工程施工及有关事项协商一致共同达成如下协议：</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一、工程概况</w:t>
      </w:r>
    </w:p>
    <w:p>
      <w:pPr>
        <w:snapToGrid w:val="0"/>
        <w:spacing w:line="360" w:lineRule="auto"/>
        <w:ind w:firstLine="470" w:firstLineChars="196"/>
        <w:rPr>
          <w:rFonts w:ascii="宋体" w:hAnsi="宋体"/>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1.工程名称</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2.工程地点：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3.工程立项批准文号：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4.资金来源：</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pPr>
        <w:snapToGrid w:val="0"/>
        <w:spacing w:line="360" w:lineRule="auto"/>
        <w:ind w:firstLine="470" w:firstLineChars="196"/>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5.工程承包范围：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二、合同工期</w:t>
      </w:r>
    </w:p>
    <w:p>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计划开工日期：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计划竣工日期：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工期总日历天数：</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天。工期总日历天数与根据前述计划开竣工日期计算的工期天数不一致的，以工期总日历天数为准。</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三、质量标准：</w:t>
      </w:r>
      <w:r>
        <w:rPr>
          <w:rFonts w:ascii="黑体" w:eastAsia="黑体"/>
          <w:b/>
          <w:color w:val="000000" w:themeColor="text1"/>
          <w:sz w:val="24"/>
          <w:highlight w:val="none"/>
          <w14:textFill>
            <w14:solidFill>
              <w14:schemeClr w14:val="tx1"/>
            </w14:solidFill>
          </w14:textFill>
        </w:rPr>
        <w:t xml:space="preserve">  </w:t>
      </w:r>
      <w:r>
        <w:rPr>
          <w:rFonts w:hint="eastAsia" w:ascii="黑体" w:eastAsia="黑体"/>
          <w:b/>
          <w:color w:val="000000" w:themeColor="text1"/>
          <w:sz w:val="24"/>
          <w:highlight w:val="none"/>
          <w14:textFill>
            <w14:solidFill>
              <w14:schemeClr w14:val="tx1"/>
            </w14:solidFill>
          </w14:textFill>
        </w:rPr>
        <w:t>工程质量符合</w:t>
      </w:r>
      <w:r>
        <w:rPr>
          <w:rFonts w:ascii="黑体" w:eastAsia="黑体"/>
          <w:b/>
          <w:color w:val="000000" w:themeColor="text1"/>
          <w:sz w:val="24"/>
          <w:highlight w:val="none"/>
          <w14:textFill>
            <w14:solidFill>
              <w14:schemeClr w14:val="tx1"/>
            </w14:solidFill>
          </w14:textFill>
        </w:rPr>
        <w:t></w:t>
      </w:r>
      <w:r>
        <w:rPr>
          <w:rFonts w:hint="eastAsia" w:ascii="黑体" w:eastAsia="黑体"/>
          <w:b/>
          <w:color w:val="000000" w:themeColor="text1"/>
          <w:sz w:val="24"/>
          <w:highlight w:val="none"/>
          <w14:textFill>
            <w14:solidFill>
              <w14:schemeClr w14:val="tx1"/>
            </w14:solidFill>
          </w14:textFill>
        </w:rPr>
        <w:t>标准。</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四、签约合同价与合同价格形式</w:t>
      </w:r>
      <w:r>
        <w:rPr>
          <w:rFonts w:ascii="黑体" w:eastAsia="黑体"/>
          <w:b/>
          <w:color w:val="000000" w:themeColor="text1"/>
          <w:sz w:val="24"/>
          <w:highlight w:val="none"/>
          <w14:textFill>
            <w14:solidFill>
              <w14:schemeClr w14:val="tx1"/>
            </w14:solidFill>
          </w14:textFill>
        </w:rPr>
        <w:tab/>
      </w:r>
    </w:p>
    <w:p>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1.签约合同价为：人民币（大写）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其中：（1）安全文明施工费：人民币（大写）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pPr>
        <w:snapToGrid w:val="0"/>
        <w:spacing w:line="360" w:lineRule="auto"/>
        <w:ind w:firstLine="1080" w:firstLineChars="4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（2）材料和工程设备暂估价金额：人民币（大写）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（3）专业工程暂估价金额：人民币（大写）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（4）暂列金额：人民币（大写）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2.合同价格形式：</w:t>
      </w:r>
      <w:r>
        <w:rPr>
          <w:rFonts w:hint="eastAsia" w:ascii="宋体" w:hAnsi="宋体" w:cs="宋体"/>
          <w:color w:val="000000" w:themeColor="text1"/>
          <w:sz w:val="24"/>
          <w:highlight w:val="none"/>
          <w:u w:val="single"/>
          <w14:textFill>
            <w14:solidFill>
              <w14:schemeClr w14:val="tx1"/>
            </w14:solidFill>
          </w14:textFill>
        </w:rPr>
        <w:t>           </w:t>
      </w:r>
      <w:r>
        <w:rPr>
          <w:rFonts w:hint="eastAsia" w:ascii="宋体" w:hAnsi="宋体"/>
          <w:color w:val="000000" w:themeColor="text1"/>
          <w:sz w:val="24"/>
          <w:highlight w:val="none"/>
          <w14:textFill>
            <w14:solidFill>
              <w14:schemeClr w14:val="tx1"/>
            </w14:solidFill>
          </w14:textFill>
        </w:rPr>
        <w:t>。</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五、合同文件构成</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本协议书与下列文件一起构成合同文件：</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（1）成交通知书（如果有）；</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（2）响应函及其附录（如果有）； </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（3）专用合同条款及其附件；</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（4）通用合同条款；</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（5）技术标准和要求；</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（6）图纸；</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（7）已标价工程量清单或预算书；</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（8）其他合同文件。</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在合同订立及履行过程中形成的与合同有关的文件均构成合同文件组成部分。</w:t>
      </w:r>
    </w:p>
    <w:p>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六、承诺</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1.发包人承诺按照法律规定履行项目审批手续、筹集工程建设资金并按照合同约定的期限和方式支付合同价款。</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pPr>
        <w:snapToGrid w:val="0"/>
        <w:spacing w:line="360" w:lineRule="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3.发包人和承包人通过政府采购形式签订合同的，双方理解并同意不再就同一工程另行签订与合同实质性内容相背离的协议。</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七、词语含义</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本协议书中词语含义与第二部分通用合同条款中赋予的含义相同。</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八、签订时间</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本合同于</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年</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月</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日签订。</w:t>
      </w:r>
    </w:p>
    <w:p>
      <w:pPr>
        <w:pStyle w:val="84"/>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九、签订地点</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本合同在</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签订。</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十、补充协议</w:t>
      </w:r>
    </w:p>
    <w:p>
      <w:pPr>
        <w:snapToGrid w:val="0"/>
        <w:spacing w:line="360" w:lineRule="auto"/>
        <w:ind w:firstLine="480" w:firstLineChars="200"/>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合同未尽事宜，合同当事人另行签订补充协议。补充协议是合同的组成部分。</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十一、合同生效</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本合同自</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生效。</w:t>
      </w:r>
    </w:p>
    <w:p>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十二、合同份数</w:t>
      </w:r>
    </w:p>
    <w:p>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本合同一式</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份，均具有同等法律效力，发包人执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份，承包人执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w:t>
      </w:r>
    </w:p>
    <w:p>
      <w:pPr>
        <w:snapToGrid w:val="0"/>
        <w:spacing w:line="360" w:lineRule="auto"/>
        <w:rPr>
          <w:rFonts w:ascii="宋体" w:hAnsi="宋体"/>
          <w:bCs/>
          <w:color w:val="000000" w:themeColor="text1"/>
          <w:sz w:val="24"/>
          <w:highlight w:val="none"/>
          <w14:textFill>
            <w14:solidFill>
              <w14:schemeClr w14:val="tx1"/>
            </w14:solidFill>
          </w14:textFill>
        </w:rPr>
      </w:pP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发包人（公章）： </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承包人（公章）：</w:t>
      </w:r>
      <w:r>
        <w:rPr>
          <w:rFonts w:hint="eastAsia" w:ascii="宋体" w:hAnsi="宋体" w:cs="宋体"/>
          <w:color w:val="000000" w:themeColor="text1"/>
          <w:sz w:val="24"/>
          <w:highlight w:val="none"/>
          <w14:textFill>
            <w14:solidFill>
              <w14:schemeClr w14:val="tx1"/>
            </w14:solidFill>
          </w14:textFill>
        </w:rPr>
        <w:t></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地  址： </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法定代表人（签字）：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法定代表人（签字）：</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委托代理人（签字）：</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  话： </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  真：</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  真：</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电子信箱：                       电子信箱：</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开户银行：</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  号：</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 xml:space="preserve">  账  号：</w:t>
      </w:r>
    </w:p>
    <w:p>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邮政编码：</w:t>
      </w:r>
    </w:p>
    <w:p>
      <w:pPr>
        <w:spacing w:line="360" w:lineRule="auto"/>
        <w:jc w:val="left"/>
        <w:rPr>
          <w:color w:val="000000" w:themeColor="text1"/>
          <w:sz w:val="24"/>
          <w:highlight w:val="none"/>
          <w14:textFill>
            <w14:solidFill>
              <w14:schemeClr w14:val="tx1"/>
            </w14:solidFill>
          </w14:textFill>
        </w:rPr>
      </w:pPr>
    </w:p>
    <w:p>
      <w:pPr>
        <w:spacing w:line="360" w:lineRule="auto"/>
        <w:jc w:val="left"/>
        <w:rPr>
          <w:rFonts w:ascii="宋体" w:hAnsi="宋体"/>
          <w:b/>
          <w:color w:val="000000" w:themeColor="text1"/>
          <w:sz w:val="24"/>
          <w:highlight w:val="none"/>
          <w14:textFill>
            <w14:solidFill>
              <w14:schemeClr w14:val="tx1"/>
            </w14:solidFill>
          </w14:textFill>
        </w:rPr>
      </w:pPr>
      <w:r>
        <w:rPr>
          <w:rFonts w:eastAsia="仿宋_GB2312"/>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协议书附件：</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附件1：承包人承揽工程项目一览表</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专用合同条款附件：</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附件2：发包人供应材料设备一览表</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附件3：工程质量保修书</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附件4：主要建设工程文件目录</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附件5：承包人用于本工程施工的机械设备表</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附件6：承包人主要施工管理人员表</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附件7：分包人主要施工管理人员表</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附件8：履约担保格式</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附件9：预付款担保格式</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附件10：支付担保格式</w:t>
      </w:r>
    </w:p>
    <w:p>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附件11：暂估价一览表</w:t>
      </w:r>
    </w:p>
    <w:p>
      <w:pPr>
        <w:spacing w:line="360" w:lineRule="auto"/>
        <w:jc w:val="left"/>
        <w:rPr>
          <w:rFonts w:ascii="宋体" w:hAnsi="宋体"/>
          <w:color w:val="000000" w:themeColor="text1"/>
          <w:szCs w:val="21"/>
          <w:highlight w:val="none"/>
          <w14:textFill>
            <w14:solidFill>
              <w14:schemeClr w14:val="tx1"/>
            </w14:solidFill>
          </w14:textFill>
        </w:rPr>
        <w:sectPr>
          <w:footerReference r:id="rId11" w:type="default"/>
          <w:pgSz w:w="11906" w:h="16838"/>
          <w:pgMar w:top="1474" w:right="1304" w:bottom="1134" w:left="1304" w:header="851" w:footer="992" w:gutter="0"/>
          <w:pgNumType w:fmt="decimal"/>
          <w:cols w:space="720" w:num="1"/>
          <w:docGrid w:type="lines" w:linePitch="312" w:charSpace="0"/>
        </w:sectPr>
      </w:pPr>
    </w:p>
    <w:p>
      <w:pPr>
        <w:spacing w:before="156" w:beforeLines="50" w:after="156" w:afterLines="50" w:line="44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w:t>
      </w:r>
    </w:p>
    <w:p>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层数</w:t>
            </w:r>
          </w:p>
        </w:tc>
        <w:tc>
          <w:tcPr>
            <w:tcW w:w="1560"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竣工日期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pPr>
        <w:jc w:val="left"/>
        <w:rPr>
          <w:rFonts w:ascii="宋体" w:hAnsi="宋体"/>
          <w:b/>
          <w:color w:val="000000" w:themeColor="text1"/>
          <w:szCs w:val="21"/>
          <w:highlight w:val="none"/>
          <w14:textFill>
            <w14:solidFill>
              <w14:schemeClr w14:val="tx1"/>
            </w14:solidFill>
          </w14:textFill>
        </w:rPr>
        <w:sectPr>
          <w:pgSz w:w="16838" w:h="11906" w:orient="landscape"/>
          <w:pgMar w:top="1418" w:right="1304" w:bottom="1134" w:left="1304" w:header="851" w:footer="992" w:gutter="0"/>
          <w:pgNumType w:fmt="decimal"/>
          <w:cols w:space="720" w:num="1"/>
          <w:docGrid w:type="linesAndChars" w:linePitch="312" w:charSpace="0"/>
        </w:sectPr>
      </w:pPr>
    </w:p>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附件2：</w:t>
      </w:r>
    </w:p>
    <w:p>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276"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材料、</w:t>
            </w:r>
          </w:p>
          <w:p>
            <w:pPr>
              <w:pStyle w:val="17"/>
              <w:keepNext/>
              <w:spacing w:line="440" w:lineRule="exact"/>
              <w:ind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851"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044"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992"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12" w:space="0"/>
              <w:right w:val="single" w:color="auto" w:sz="6" w:space="0"/>
            </w:tcBorders>
            <w:vAlign w:val="center"/>
          </w:tcPr>
          <w:p>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12" w:space="0"/>
            </w:tcBorders>
            <w:vAlign w:val="center"/>
          </w:tcPr>
          <w:p>
            <w:pPr>
              <w:jc w:val="center"/>
              <w:rPr>
                <w:rFonts w:ascii="宋体" w:hAnsi="宋体"/>
                <w:color w:val="000000" w:themeColor="text1"/>
                <w:szCs w:val="21"/>
                <w:highlight w:val="none"/>
                <w14:textFill>
                  <w14:solidFill>
                    <w14:schemeClr w14:val="tx1"/>
                  </w14:solidFill>
                </w14:textFill>
              </w:rPr>
            </w:pPr>
          </w:p>
        </w:tc>
      </w:tr>
    </w:tbl>
    <w:p>
      <w:pPr>
        <w:spacing w:line="440" w:lineRule="exact"/>
        <w:rPr>
          <w:rFonts w:ascii="宋体" w:hAnsi="宋体"/>
          <w:color w:val="000000" w:themeColor="text1"/>
          <w:szCs w:val="21"/>
          <w:highlight w:val="none"/>
          <w14:textFill>
            <w14:solidFill>
              <w14:schemeClr w14:val="tx1"/>
            </w14:solidFill>
          </w14:textFill>
        </w:rPr>
      </w:pPr>
    </w:p>
    <w:p>
      <w:pPr>
        <w:spacing w:line="440" w:lineRule="exact"/>
        <w:rPr>
          <w:rFonts w:ascii="宋体" w:hAnsi="宋体"/>
          <w:color w:val="000000" w:themeColor="text1"/>
          <w:szCs w:val="21"/>
          <w:highlight w:val="none"/>
          <w14:textFill>
            <w14:solidFill>
              <w14:schemeClr w14:val="tx1"/>
            </w14:solidFill>
          </w14:textFill>
        </w:rPr>
      </w:pPr>
    </w:p>
    <w:p>
      <w:pPr>
        <w:spacing w:line="440" w:lineRule="exact"/>
        <w:rPr>
          <w:rFonts w:ascii="宋体" w:hAnsi="宋体"/>
          <w:color w:val="000000" w:themeColor="text1"/>
          <w:szCs w:val="21"/>
          <w:highlight w:val="none"/>
          <w14:textFill>
            <w14:solidFill>
              <w14:schemeClr w14:val="tx1"/>
            </w14:solidFill>
          </w14:textFill>
        </w:rPr>
      </w:pPr>
    </w:p>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附件3：    </w:t>
      </w: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工程质量保修书</w:t>
      </w:r>
    </w:p>
    <w:p>
      <w:pPr>
        <w:spacing w:line="360" w:lineRule="exact"/>
        <w:ind w:firstLine="420" w:firstLineChars="200"/>
        <w:rPr>
          <w:rFonts w:ascii="宋体" w:hAnsi="宋体"/>
          <w:color w:val="000000" w:themeColor="text1"/>
          <w:szCs w:val="21"/>
          <w:highlight w:val="non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发包人和承包人根据《中华人民共和国建筑法》和《建设工程质量管理条例》，经协商一致就</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（工程全称）签订工程质量保修书。</w:t>
      </w:r>
    </w:p>
    <w:p>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一、工程质量保修范围和内容</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承包人在质量保修期内，按照有关法律规定和合同约定，承担工程质量保修责任。</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二、质量保修期</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根据《建设工程质量管理条例》及有关规定，工程的质量保修期如下：</w:t>
      </w:r>
    </w:p>
    <w:p>
      <w:pPr>
        <w:spacing w:line="36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1．地基基础工程和主体结构工程为设计文件规定的工程合理使用年限；</w:t>
      </w:r>
    </w:p>
    <w:p>
      <w:pPr>
        <w:spacing w:line="360" w:lineRule="exact"/>
        <w:ind w:left="42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2．屋面防水工程、有防水要求的卫生间、房间和外墙面的防渗的为</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年；</w:t>
      </w:r>
    </w:p>
    <w:p>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3．装修工程为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4．电气管线、给排水管道、设备安装工程为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5．供热与供冷系统为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个采暖期、供冷期；</w:t>
      </w:r>
    </w:p>
    <w:p>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6．住宅小区内的给排水设施、道路等配套工程为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 在没有明文规定下，参照建设工程质量保修条例，双方协商为设计文件规定的该工程的合理使用年限内保修；</w:t>
      </w:r>
    </w:p>
    <w:p>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8、其他约定：质量保修期自工程竣工验收合格之日起计算。</w:t>
      </w:r>
    </w:p>
    <w:p>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三、缺陷责任期</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工程缺陷责任期为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缺陷责任期终止后，发包人应退还剩余的质量保证金。</w:t>
      </w:r>
    </w:p>
    <w:p>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四、质量保修责任</w:t>
      </w:r>
    </w:p>
    <w:p>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2．发生紧急事故需抢修的，承包人在接到事故通知后，应当立即到达事故现场抢修。</w:t>
      </w:r>
    </w:p>
    <w:p>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4．质量保修完成后，由发包人组织验收。</w:t>
      </w:r>
    </w:p>
    <w:p>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五、保修费用</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保修费用由造成质量缺陷的责任方承担。</w:t>
      </w:r>
    </w:p>
    <w:p>
      <w:pPr>
        <w:spacing w:line="360" w:lineRule="exact"/>
        <w:ind w:firstLine="399"/>
        <w:jc w:val="left"/>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六、双方约定的其他工程质量保修事项：</w:t>
      </w:r>
      <w:r>
        <w:rPr>
          <w:rFonts w:hint="eastAsia" w:ascii="黑体" w:hAnsi="宋体" w:eastAsia="黑体"/>
          <w:color w:val="000000" w:themeColor="text1"/>
          <w:szCs w:val="21"/>
          <w:highlight w:val="none"/>
          <w:u w:val="single"/>
          <w14:textFill>
            <w14:solidFill>
              <w14:schemeClr w14:val="tx1"/>
            </w14:solidFill>
          </w14:textFill>
        </w:rPr>
        <w:t xml:space="preserve">                                       </w:t>
      </w:r>
      <w:r>
        <w:rPr>
          <w:rFonts w:hint="eastAsia" w:ascii="黑体" w:hAnsi="宋体" w:eastAsia="黑体"/>
          <w:color w:val="000000" w:themeColor="text1"/>
          <w:szCs w:val="21"/>
          <w:highlight w:val="none"/>
          <w14:textFill>
            <w14:solidFill>
              <w14:schemeClr w14:val="tx1"/>
            </w14:solidFill>
          </w14:textFill>
        </w:rPr>
        <w:t>。</w:t>
      </w:r>
    </w:p>
    <w:p>
      <w:pPr>
        <w:spacing w:line="360" w:lineRule="exact"/>
        <w:ind w:firstLine="399" w:firstLineChars="1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pPr>
        <w:spacing w:line="360" w:lineRule="exact"/>
        <w:ind w:firstLine="420"/>
        <w:rPr>
          <w:rFonts w:ascii="宋体" w:hAnsi="宋体"/>
          <w:color w:val="000000" w:themeColor="text1"/>
          <w:szCs w:val="21"/>
          <w:highlight w:val="non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发包人(公章)：</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承包人(公章)：</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地  址：</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邮政编码：</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附件4：</w:t>
      </w: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套数</w:t>
            </w:r>
          </w:p>
        </w:tc>
        <w:tc>
          <w:tcPr>
            <w:tcW w:w="1450"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费用（元）</w:t>
            </w:r>
          </w:p>
        </w:tc>
        <w:tc>
          <w:tcPr>
            <w:tcW w:w="1243"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w:t>
            </w:r>
          </w:p>
        </w:tc>
        <w:tc>
          <w:tcPr>
            <w:tcW w:w="1450" w:type="dxa"/>
            <w:tcBorders>
              <w:top w:val="single" w:color="auto" w:sz="12" w:space="0"/>
              <w:left w:val="single" w:color="auto" w:sz="6" w:space="0"/>
              <w:bottom w:val="double" w:color="auto" w:sz="6" w:space="0"/>
              <w:right w:val="single" w:color="auto" w:sz="6" w:space="0"/>
            </w:tcBorders>
            <w:vAlign w:val="center"/>
          </w:tcPr>
          <w:p>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责任人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doub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12"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bl>
    <w:p>
      <w:pPr>
        <w:spacing w:line="440" w:lineRule="exact"/>
        <w:rPr>
          <w:rFonts w:ascii="宋体" w:hAnsi="宋体"/>
          <w:color w:val="000000" w:themeColor="text1"/>
          <w:szCs w:val="21"/>
          <w:highlight w:val="none"/>
          <w14:textFill>
            <w14:solidFill>
              <w14:schemeClr w14:val="tx1"/>
            </w14:solidFill>
          </w14:textFill>
        </w:rPr>
      </w:pPr>
    </w:p>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w:t>
      </w:r>
      <w:bookmarkStart w:id="72" w:name="_Toc296346728"/>
      <w:bookmarkStart w:id="73" w:name="_Toc296347226"/>
      <w:bookmarkStart w:id="74" w:name="_Toc296944566"/>
      <w:bookmarkStart w:id="75" w:name="_Toc296891055"/>
      <w:bookmarkStart w:id="76" w:name="_Toc296503227"/>
      <w:bookmarkStart w:id="77" w:name="_Toc267261698"/>
      <w:bookmarkStart w:id="78" w:name="_Toc296891267"/>
      <w:r>
        <w:rPr>
          <w:rFonts w:hint="eastAsia" w:ascii="宋体" w:hAnsi="宋体"/>
          <w:b/>
          <w:color w:val="000000" w:themeColor="text1"/>
          <w:sz w:val="24"/>
          <w:highlight w:val="none"/>
          <w14:textFill>
            <w14:solidFill>
              <w14:schemeClr w14:val="tx1"/>
            </w14:solidFill>
          </w14:textFill>
        </w:rPr>
        <w:t>件5：</w:t>
      </w:r>
    </w:p>
    <w:bookmarkEnd w:id="72"/>
    <w:bookmarkEnd w:id="73"/>
    <w:bookmarkEnd w:id="74"/>
    <w:bookmarkEnd w:id="75"/>
    <w:bookmarkEnd w:id="76"/>
    <w:bookmarkEnd w:id="77"/>
    <w:bookmarkEnd w:id="78"/>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418" w:type="dxa"/>
            <w:tcBorders>
              <w:top w:val="single" w:color="auto" w:sz="12" w:space="0"/>
              <w:left w:val="single" w:color="auto" w:sz="6"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w:t>
            </w:r>
          </w:p>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型号</w:t>
            </w:r>
          </w:p>
        </w:tc>
        <w:tc>
          <w:tcPr>
            <w:tcW w:w="1058" w:type="dxa"/>
            <w:tcBorders>
              <w:top w:val="single" w:color="auto" w:sz="12" w:space="0"/>
              <w:left w:val="single" w:color="auto" w:sz="6"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880" w:type="dxa"/>
            <w:tcBorders>
              <w:top w:val="single" w:color="auto" w:sz="12" w:space="0"/>
              <w:left w:val="single" w:color="auto" w:sz="6"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产地</w:t>
            </w:r>
          </w:p>
        </w:tc>
        <w:tc>
          <w:tcPr>
            <w:tcW w:w="1020" w:type="dxa"/>
            <w:tcBorders>
              <w:top w:val="single" w:color="auto" w:sz="12" w:space="0"/>
              <w:left w:val="single" w:color="auto" w:sz="6"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制造</w:t>
            </w:r>
          </w:p>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年份</w:t>
            </w:r>
          </w:p>
        </w:tc>
        <w:tc>
          <w:tcPr>
            <w:tcW w:w="1480" w:type="dxa"/>
            <w:tcBorders>
              <w:top w:val="single" w:color="auto" w:sz="12" w:space="0"/>
              <w:left w:val="single" w:color="auto" w:sz="6"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w:t>
            </w:r>
          </w:p>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能力</w:t>
            </w:r>
          </w:p>
        </w:tc>
        <w:tc>
          <w:tcPr>
            <w:tcW w:w="921" w:type="dxa"/>
            <w:tcBorders>
              <w:top w:val="single" w:color="auto" w:sz="12" w:space="0"/>
              <w:left w:val="single" w:color="auto" w:sz="6" w:space="0"/>
              <w:bottom w:val="double" w:color="auto" w:sz="6" w:space="0"/>
              <w:right w:val="single" w:color="auto" w:sz="12" w:space="0"/>
            </w:tcBorders>
            <w:vAlign w:val="center"/>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doub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nil"/>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12" w:space="0"/>
              <w:right w:val="single" w:color="auto" w:sz="12" w:space="0"/>
            </w:tcBorders>
          </w:tcPr>
          <w:p>
            <w:pPr>
              <w:rPr>
                <w:rFonts w:ascii="宋体" w:hAnsi="宋体"/>
                <w:color w:val="000000" w:themeColor="text1"/>
                <w:szCs w:val="21"/>
                <w:highlight w:val="none"/>
                <w14:textFill>
                  <w14:solidFill>
                    <w14:schemeClr w14:val="tx1"/>
                  </w14:solidFill>
                </w14:textFill>
              </w:rPr>
            </w:pPr>
          </w:p>
        </w:tc>
      </w:tr>
    </w:tbl>
    <w:p>
      <w:pPr>
        <w:spacing w:line="440" w:lineRule="exact"/>
        <w:rPr>
          <w:rFonts w:ascii="宋体" w:hAnsi="宋体"/>
          <w:color w:val="000000" w:themeColor="text1"/>
          <w:szCs w:val="21"/>
          <w:highlight w:val="none"/>
          <w14:textFill>
            <w14:solidFill>
              <w14:schemeClr w14:val="tx1"/>
            </w14:solidFill>
          </w14:textFill>
        </w:rPr>
      </w:pPr>
    </w:p>
    <w:p>
      <w:pPr>
        <w:spacing w:line="440" w:lineRule="exact"/>
        <w:rPr>
          <w:rFonts w:ascii="宋体" w:hAnsi="宋体"/>
          <w:color w:val="000000" w:themeColor="text1"/>
          <w:szCs w:val="21"/>
          <w:highlight w:val="none"/>
          <w14:textFill>
            <w14:solidFill>
              <w14:schemeClr w14:val="tx1"/>
            </w14:solidFill>
          </w14:textFill>
        </w:rPr>
      </w:pPr>
    </w:p>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附件6：</w:t>
      </w: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418"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   名</w:t>
            </w:r>
          </w:p>
        </w:tc>
        <w:tc>
          <w:tcPr>
            <w:tcW w:w="1134"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务</w:t>
            </w:r>
          </w:p>
        </w:tc>
        <w:tc>
          <w:tcPr>
            <w:tcW w:w="1134"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称</w:t>
            </w:r>
          </w:p>
        </w:tc>
        <w:tc>
          <w:tcPr>
            <w:tcW w:w="4252" w:type="dxa"/>
            <w:tcBorders>
              <w:top w:val="single" w:color="auto" w:sz="12" w:space="0"/>
              <w:left w:val="single" w:color="auto" w:sz="6" w:space="0"/>
              <w:bottom w:val="double" w:color="auto" w:sz="6" w:space="0"/>
              <w:right w:val="single" w:color="auto" w:sz="12"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418" w:type="dxa"/>
            <w:tcBorders>
              <w:top w:val="nil"/>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nil"/>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nil"/>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nil"/>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12"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附件7：</w:t>
      </w: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333"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姓名</w:t>
            </w:r>
          </w:p>
        </w:tc>
        <w:tc>
          <w:tcPr>
            <w:tcW w:w="1067"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职务</w:t>
            </w:r>
          </w:p>
        </w:tc>
        <w:tc>
          <w:tcPr>
            <w:tcW w:w="1067" w:type="dxa"/>
            <w:tcBorders>
              <w:top w:val="single" w:color="auto" w:sz="12" w:space="0"/>
              <w:left w:val="single" w:color="auto" w:sz="6" w:space="0"/>
              <w:bottom w:val="doub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职称</w:t>
            </w:r>
          </w:p>
        </w:tc>
        <w:tc>
          <w:tcPr>
            <w:tcW w:w="3989" w:type="dxa"/>
            <w:tcBorders>
              <w:top w:val="single" w:color="auto" w:sz="12" w:space="0"/>
              <w:left w:val="single" w:color="auto" w:sz="6" w:space="0"/>
              <w:bottom w:val="double" w:color="auto" w:sz="6" w:space="0"/>
              <w:right w:val="single" w:color="auto" w:sz="12"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333" w:type="dxa"/>
            <w:tcBorders>
              <w:top w:val="nil"/>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nil"/>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nil"/>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nil"/>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12"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12" w:space="0"/>
              <w:right w:val="single" w:color="auto" w:sz="12" w:space="0"/>
            </w:tcBorders>
            <w:vAlign w:val="center"/>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附件8：</w:t>
      </w: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履约担保</w:t>
      </w:r>
    </w:p>
    <w:p>
      <w:pPr>
        <w:spacing w:line="440" w:lineRule="exact"/>
        <w:rPr>
          <w:rFonts w:ascii="宋体" w:hAnsi="宋体"/>
          <w:color w:val="000000" w:themeColor="text1"/>
          <w:szCs w:val="21"/>
          <w:highlight w:val="none"/>
          <w:u w:val="singl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（发包人名称）：</w:t>
      </w:r>
    </w:p>
    <w:p>
      <w:pPr>
        <w:spacing w:line="360" w:lineRule="exact"/>
        <w:rPr>
          <w:rFonts w:ascii="宋体" w:hAnsi="宋体"/>
          <w:color w:val="000000" w:themeColor="text1"/>
          <w:szCs w:val="21"/>
          <w:highlight w:val="none"/>
          <w14:textFill>
            <w14:solidFill>
              <w14:schemeClr w14:val="tx1"/>
            </w14:solidFill>
          </w14:textFill>
        </w:rPr>
      </w:pP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（发包人名称，以下简称“发包人”）与</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日就</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（工程名称）施工及有关事项协商一致共同签订《建设工程施工合同》。我方愿意无条件地、不可撤销地就承包人履行与你方签订的合同，向你方提供连带责任担保。 </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你方和承包人按合同约定变更合同时，我方承担本担保规定的义务不变。</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pPr>
        <w:spacing w:line="360" w:lineRule="exact"/>
        <w:rPr>
          <w:rFonts w:ascii="宋体" w:hAnsi="宋体"/>
          <w:color w:val="000000" w:themeColor="text1"/>
          <w:szCs w:val="21"/>
          <w:highlight w:val="non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 保 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jc w:val="left"/>
        <w:rPr>
          <w:rFonts w:ascii="宋体" w:hAnsi="宋体"/>
          <w:color w:val="000000" w:themeColor="text1"/>
          <w:szCs w:val="21"/>
          <w:highlight w:val="none"/>
          <w:u w:val="single"/>
          <w14:textFill>
            <w14:solidFill>
              <w14:schemeClr w14:val="tx1"/>
            </w14:solidFill>
          </w14:textFill>
        </w:rPr>
      </w:pPr>
    </w:p>
    <w:p>
      <w:pPr>
        <w:spacing w:line="360" w:lineRule="exact"/>
        <w:ind w:left="1329" w:hanging="1329" w:hangingChars="63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pPr>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w:t>
      </w:r>
      <w:bookmarkStart w:id="79" w:name="_Toc296346733"/>
      <w:bookmarkStart w:id="80" w:name="_Toc296944571"/>
      <w:bookmarkStart w:id="81" w:name="_Toc296347231"/>
      <w:bookmarkStart w:id="82" w:name="_Toc296891060"/>
      <w:bookmarkStart w:id="83" w:name="_Toc296891272"/>
      <w:bookmarkStart w:id="84" w:name="_Toc296503232"/>
      <w:bookmarkStart w:id="85" w:name="_Toc267261702"/>
      <w:r>
        <w:rPr>
          <w:rFonts w:hint="eastAsia" w:ascii="宋体" w:hAnsi="宋体"/>
          <w:b/>
          <w:color w:val="000000" w:themeColor="text1"/>
          <w:sz w:val="24"/>
          <w:highlight w:val="none"/>
          <w14:textFill>
            <w14:solidFill>
              <w14:schemeClr w14:val="tx1"/>
            </w14:solidFill>
          </w14:textFill>
        </w:rPr>
        <w:t>件9 ：</w:t>
      </w:r>
    </w:p>
    <w:bookmarkEnd w:id="79"/>
    <w:bookmarkEnd w:id="80"/>
    <w:bookmarkEnd w:id="81"/>
    <w:bookmarkEnd w:id="82"/>
    <w:bookmarkEnd w:id="83"/>
    <w:bookmarkEnd w:id="84"/>
    <w:bookmarkEnd w:id="85"/>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预付款担保</w:t>
      </w:r>
    </w:p>
    <w:p>
      <w:pPr>
        <w:spacing w:line="360" w:lineRule="auto"/>
        <w:rPr>
          <w:rFonts w:ascii="宋体" w:hAnsi="宋体"/>
          <w:color w:val="000000" w:themeColor="text1"/>
          <w:szCs w:val="21"/>
          <w:highlight w:val="none"/>
          <w:u w:val="singl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（发包人名称）：</w:t>
      </w:r>
    </w:p>
    <w:p>
      <w:pPr>
        <w:spacing w:line="360" w:lineRule="exact"/>
        <w:rPr>
          <w:rFonts w:ascii="宋体" w:hAnsi="宋体"/>
          <w:color w:val="000000" w:themeColor="text1"/>
          <w:szCs w:val="21"/>
          <w:highlight w:val="none"/>
          <w14:textFill>
            <w14:solidFill>
              <w14:schemeClr w14:val="tx1"/>
            </w14:solidFill>
          </w14:textFill>
        </w:rPr>
      </w:pP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（工程名称）《建设工程施工合同》，承包人按约定的金额向你方提交一份预付款担保，即有权得到你方支付相等金额的预付款。我方愿意就你方提供给承包人的预付款为承包人提供连带责任担保。</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你方和承包人按合同约定变更合同时，我方承担本保函规定的义务不变。</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pPr>
        <w:spacing w:line="360" w:lineRule="exact"/>
        <w:rPr>
          <w:rFonts w:ascii="宋体" w:hAnsi="宋体"/>
          <w:color w:val="000000" w:themeColor="text1"/>
          <w:szCs w:val="21"/>
          <w:highlight w:val="non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pPr>
        <w:spacing w:line="360" w:lineRule="exact"/>
        <w:rPr>
          <w:rFonts w:ascii="宋体" w:hAnsi="宋体"/>
          <w:color w:val="000000" w:themeColor="text1"/>
          <w:szCs w:val="21"/>
          <w:highlight w:val="none"/>
          <w:u w:val="single"/>
          <w14:textFill>
            <w14:solidFill>
              <w14:schemeClr w14:val="tx1"/>
            </w14:solidFill>
          </w14:textFill>
        </w:rPr>
      </w:pPr>
    </w:p>
    <w:p>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附件10:  </w:t>
      </w: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支付担保</w:t>
      </w:r>
    </w:p>
    <w:p>
      <w:pPr>
        <w:spacing w:line="360" w:lineRule="exact"/>
        <w:jc w:val="left"/>
        <w:rPr>
          <w:rFonts w:ascii="宋体" w:hAnsi="宋体"/>
          <w:color w:val="000000" w:themeColor="text1"/>
          <w:szCs w:val="21"/>
          <w:highlight w:val="none"/>
          <w:u w:val="single"/>
          <w14:textFill>
            <w14:solidFill>
              <w14:schemeClr w14:val="tx1"/>
            </w14:solidFill>
          </w14:textFill>
        </w:rPr>
      </w:pPr>
    </w:p>
    <w:p>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w:t>
      </w:r>
    </w:p>
    <w:p>
      <w:pPr>
        <w:spacing w:line="360" w:lineRule="exact"/>
        <w:jc w:val="left"/>
        <w:rPr>
          <w:rFonts w:ascii="宋体" w:hAnsi="宋体"/>
          <w:color w:val="000000" w:themeColor="text1"/>
          <w:szCs w:val="21"/>
          <w:highlight w:val="none"/>
          <w14:textFill>
            <w14:solidFill>
              <w14:schemeClr w14:val="tx1"/>
            </w14:solidFill>
          </w14:textFill>
        </w:rPr>
      </w:pP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鉴于你方作为承包人已经与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日签订了</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（工程名称）《建设工程施工合同》（以下称“主合同”），应发包人的申请，我方愿就发包人履行主合同约定的工程款支付义务以保证的方式向你方提供如下担保：</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一、保证的范围及保证金额</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我方的保证范围是主合同约定的工程款。</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我方保证的金额是主合同约定的工程款的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%，数额最高不超过人民币元（大写：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二、保证的方式及保证期间</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我方保证的方式为：连带责任保证。</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日内。</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三、承担保证责任的形式</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四、代偿的安排</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我方收到你方的书面索赔通知及相应的证明材料后７天内无条件支付。</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五、保证责任的解除</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个工作日内，将本保函原件返还我方。</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六、免责条款</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因你方违约致使发包人不能履行义务的，我方不承担保证责任。</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因不可抗力造成发包人不能履行义务的，我方不承担保证责任。</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七、争议解决</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种方式解决：</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仲裁委员会申请仲裁；</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人民法院起诉。</w:t>
      </w:r>
    </w:p>
    <w:p>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八、保函的生效</w:t>
      </w:r>
    </w:p>
    <w:p>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本保函自我方法定代表人（或其授权代理人）签字并加盖公章之日起生效。</w:t>
      </w:r>
    </w:p>
    <w:p>
      <w:pPr>
        <w:spacing w:line="360" w:lineRule="exact"/>
        <w:ind w:right="600"/>
        <w:jc w:val="left"/>
        <w:rPr>
          <w:rFonts w:ascii="宋体" w:hAnsi="宋体"/>
          <w:color w:val="000000" w:themeColor="text1"/>
          <w:szCs w:val="21"/>
          <w:highlight w:val="none"/>
          <w14:textFill>
            <w14:solidFill>
              <w14:schemeClr w14:val="tx1"/>
            </w14:solidFill>
          </w14:textFill>
        </w:rPr>
      </w:pPr>
    </w:p>
    <w:p>
      <w:pPr>
        <w:spacing w:line="360" w:lineRule="exact"/>
        <w:ind w:right="600"/>
        <w:jc w:val="left"/>
        <w:rPr>
          <w:rFonts w:ascii="宋体" w:hAnsi="宋体"/>
          <w:color w:val="000000" w:themeColor="text1"/>
          <w:szCs w:val="21"/>
          <w:highlight w:val="none"/>
          <w14:textFill>
            <w14:solidFill>
              <w14:schemeClr w14:val="tx1"/>
            </w14:solidFill>
          </w14:textFill>
        </w:rPr>
      </w:pPr>
    </w:p>
    <w:p>
      <w:pPr>
        <w:spacing w:line="360" w:lineRule="exact"/>
        <w:ind w:right="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pPr>
        <w:spacing w:line="360" w:lineRule="exact"/>
        <w:ind w:right="1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pPr>
        <w:spacing w:line="360" w:lineRule="exact"/>
        <w:ind w:right="150" w:firstLine="420" w:firstLineChars="200"/>
        <w:jc w:val="left"/>
        <w:rPr>
          <w:rFonts w:ascii="宋体" w:hAnsi="宋体"/>
          <w:color w:val="000000" w:themeColor="text1"/>
          <w:szCs w:val="21"/>
          <w:highlight w:val="none"/>
          <w:u w:val="single"/>
          <w14:textFill>
            <w14:solidFill>
              <w14:schemeClr w14:val="tx1"/>
            </w14:solidFill>
          </w14:textFill>
        </w:rPr>
      </w:pPr>
    </w:p>
    <w:p>
      <w:pPr>
        <w:spacing w:line="360" w:lineRule="exact"/>
        <w:ind w:right="150"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附件11：</w:t>
      </w: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7"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2"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5"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4"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20"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4" w:type="dxa"/>
            <w:tcBorders>
              <w:top w:val="single" w:color="auto" w:sz="12" w:space="0"/>
              <w:left w:val="single" w:color="auto" w:sz="6" w:space="0"/>
              <w:bottom w:val="double" w:color="auto" w:sz="6" w:space="0"/>
              <w:right w:val="single" w:color="auto" w:sz="12"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doub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doub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doub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doub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doub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doub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nil"/>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nil"/>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nil"/>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nil"/>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nil"/>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nil"/>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12"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12"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12"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12"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12" w:space="0"/>
              <w:right w:val="single" w:color="auto" w:sz="6"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12" w:space="0"/>
              <w:right w:val="single" w:color="auto" w:sz="12" w:space="0"/>
            </w:tcBorders>
          </w:tcPr>
          <w:p>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pPr>
        <w:spacing w:before="156" w:beforeLines="50" w:after="156" w:afterLines="50" w:line="440" w:lineRule="exact"/>
        <w:rPr>
          <w:rFonts w:ascii="宋体" w:hAnsi="宋体"/>
          <w:color w:val="000000" w:themeColor="text1"/>
          <w:szCs w:val="21"/>
          <w:highlight w:val="none"/>
          <w14:textFill>
            <w14:solidFill>
              <w14:schemeClr w14:val="tx1"/>
            </w14:solidFill>
          </w14:textFill>
        </w:rPr>
      </w:pPr>
    </w:p>
    <w:p>
      <w:pPr>
        <w:spacing w:before="156" w:beforeLines="50" w:after="156" w:afterLines="50" w:line="440" w:lineRule="exact"/>
        <w:jc w:val="center"/>
        <w:rPr>
          <w:rFonts w:ascii="宋体" w:hAnsi="宋体"/>
          <w:color w:val="000000" w:themeColor="text1"/>
          <w:szCs w:val="21"/>
          <w:highlight w:val="none"/>
          <w14:textFill>
            <w14:solidFill>
              <w14:schemeClr w14:val="tx1"/>
            </w14:solidFill>
          </w14:textFill>
        </w:rPr>
      </w:pP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pPr>
        <w:spacing w:line="440" w:lineRule="exact"/>
        <w:rPr>
          <w:rFonts w:ascii="宋体" w:hAnsi="宋体"/>
          <w:color w:val="000000" w:themeColor="text1"/>
          <w:szCs w:val="21"/>
          <w:highlight w:val="none"/>
          <w14:textFill>
            <w14:solidFill>
              <w14:schemeClr w14:val="tx1"/>
            </w14:solidFill>
          </w14:textFill>
        </w:rPr>
      </w:pPr>
    </w:p>
    <w:p>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方正小标宋简体" w:hAnsi="宋体" w:eastAsia="方正小标宋简体"/>
          <w:color w:val="000000" w:themeColor="text1"/>
          <w:sz w:val="32"/>
          <w:szCs w:val="32"/>
          <w:highlight w:val="none"/>
          <w14:textFill>
            <w14:solidFill>
              <w14:schemeClr w14:val="tx1"/>
            </w14:solidFill>
          </w14:textFill>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r>
        <w:rPr>
          <w:rFonts w:ascii="仿宋_GB2312" w:hAnsi="宋体" w:eastAsia="仿宋_GB2312"/>
          <w:b/>
          <w:color w:val="000000" w:themeColor="text1"/>
          <w:kern w:val="0"/>
          <w:sz w:val="44"/>
          <w:szCs w:val="44"/>
          <w:highlight w:val="none"/>
          <w14:textFill>
            <w14:solidFill>
              <w14:schemeClr w14:val="tx1"/>
            </w14:solidFill>
          </w14:textFill>
        </w:rPr>
        <w:br w:type="page"/>
      </w:r>
    </w:p>
    <w:p>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bookmarkStart w:id="86" w:name="_Toc22392"/>
      <w:bookmarkStart w:id="87" w:name="_Toc176429417"/>
      <w:bookmarkStart w:id="88" w:name="_Toc29416"/>
      <w:bookmarkStart w:id="89" w:name="_Toc3994508"/>
    </w:p>
    <w:p>
      <w:pPr>
        <w:pStyle w:val="90"/>
        <w:rPr>
          <w:color w:val="000000" w:themeColor="text1"/>
          <w:highlight w:val="none"/>
          <w14:textFill>
            <w14:solidFill>
              <w14:schemeClr w14:val="tx1"/>
            </w14:solidFill>
          </w14:textFill>
        </w:rPr>
      </w:pPr>
    </w:p>
    <w:p>
      <w:pPr>
        <w:pStyle w:val="90"/>
        <w:rPr>
          <w:rFonts w:hint="eastAsia"/>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pStyle w:val="90"/>
        <w:rPr>
          <w:color w:val="000000" w:themeColor="text1"/>
          <w:highlight w:val="none"/>
          <w14:textFill>
            <w14:solidFill>
              <w14:schemeClr w14:val="tx1"/>
            </w14:solidFill>
          </w14:textFill>
        </w:rPr>
      </w:pPr>
    </w:p>
    <w:p>
      <w:pPr>
        <w:autoSpaceDE w:val="0"/>
        <w:autoSpaceDN w:val="0"/>
        <w:adjustRightInd w:val="0"/>
        <w:snapToGrid w:val="0"/>
        <w:spacing w:line="300" w:lineRule="auto"/>
        <w:ind w:firstLine="3264" w:firstLineChars="739"/>
        <w:outlineLvl w:val="0"/>
        <w:rPr>
          <w:rFonts w:ascii="宋体" w:hAnsi="宋体"/>
          <w:b/>
          <w:color w:val="000000" w:themeColor="text1"/>
          <w:kern w:val="0"/>
          <w:sz w:val="44"/>
          <w:szCs w:val="44"/>
          <w:highlight w:val="none"/>
          <w14:textFill>
            <w14:solidFill>
              <w14:schemeClr w14:val="tx1"/>
            </w14:solidFill>
          </w14:textFill>
        </w:rPr>
      </w:pPr>
      <w:bookmarkStart w:id="90" w:name="_Toc17124"/>
      <w:r>
        <w:rPr>
          <w:rFonts w:hint="eastAsia" w:ascii="宋体" w:hAnsi="宋体"/>
          <w:b/>
          <w:color w:val="000000" w:themeColor="text1"/>
          <w:kern w:val="0"/>
          <w:sz w:val="44"/>
          <w:szCs w:val="44"/>
          <w:highlight w:val="none"/>
          <w14:textFill>
            <w14:solidFill>
              <w14:schemeClr w14:val="tx1"/>
            </w14:solidFill>
          </w14:textFill>
        </w:rPr>
        <w:t>第七章  评定标准</w:t>
      </w:r>
      <w:bookmarkEnd w:id="86"/>
      <w:bookmarkEnd w:id="87"/>
      <w:bookmarkEnd w:id="88"/>
      <w:bookmarkEnd w:id="89"/>
      <w:bookmarkEnd w:id="90"/>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pPr>
        <w:pStyle w:val="21"/>
        <w:spacing w:line="440" w:lineRule="exact"/>
        <w:rPr>
          <w:rFonts w:hAnsi="宋体"/>
          <w:b/>
          <w:color w:val="000000" w:themeColor="text1"/>
          <w:kern w:val="0"/>
          <w:highlight w:val="none"/>
          <w14:textFill>
            <w14:solidFill>
              <w14:schemeClr w14:val="tx1"/>
            </w14:solidFill>
          </w14:textFill>
        </w:rPr>
      </w:pPr>
    </w:p>
    <w:p>
      <w:pPr>
        <w:pStyle w:val="21"/>
        <w:spacing w:line="440" w:lineRule="exact"/>
        <w:rPr>
          <w:rFonts w:hAnsi="宋体"/>
          <w:b/>
          <w:color w:val="000000" w:themeColor="text1"/>
          <w:kern w:val="0"/>
          <w:highlight w:val="none"/>
          <w14:textFill>
            <w14:solidFill>
              <w14:schemeClr w14:val="tx1"/>
            </w14:solidFill>
          </w14:textFill>
        </w:rPr>
      </w:pPr>
    </w:p>
    <w:p>
      <w:pPr>
        <w:pStyle w:val="21"/>
        <w:spacing w:line="440" w:lineRule="exact"/>
        <w:rPr>
          <w:rFonts w:hAnsi="宋体"/>
          <w:b/>
          <w:color w:val="000000" w:themeColor="text1"/>
          <w:kern w:val="0"/>
          <w:highlight w:val="none"/>
          <w14:textFill>
            <w14:solidFill>
              <w14:schemeClr w14:val="tx1"/>
            </w14:solidFill>
          </w14:textFill>
        </w:rPr>
      </w:pPr>
    </w:p>
    <w:p>
      <w:pPr>
        <w:pStyle w:val="21"/>
        <w:spacing w:line="440" w:lineRule="exact"/>
        <w:rPr>
          <w:rFonts w:hAnsi="宋体"/>
          <w:b/>
          <w:color w:val="000000" w:themeColor="text1"/>
          <w:kern w:val="0"/>
          <w:highlight w:val="none"/>
          <w14:textFill>
            <w14:solidFill>
              <w14:schemeClr w14:val="tx1"/>
            </w14:solidFill>
          </w14:textFill>
        </w:rPr>
      </w:pPr>
    </w:p>
    <w:p>
      <w:pPr>
        <w:pStyle w:val="21"/>
        <w:spacing w:line="440" w:lineRule="exact"/>
        <w:ind w:firstLine="4000" w:firstLineChars="1245"/>
        <w:rPr>
          <w:rFonts w:hAnsi="宋体"/>
          <w:color w:val="000000" w:themeColor="text1"/>
          <w:highlight w:val="none"/>
          <w14:textFill>
            <w14:solidFill>
              <w14:schemeClr w14:val="tx1"/>
            </w14:solidFill>
          </w14:textFill>
        </w:rPr>
      </w:pPr>
      <w:r>
        <w:rPr>
          <w:rFonts w:hint="eastAsia" w:hAnsi="宋体"/>
          <w:b/>
          <w:color w:val="000000" w:themeColor="text1"/>
          <w:kern w:val="0"/>
          <w:sz w:val="32"/>
          <w:szCs w:val="32"/>
          <w:highlight w:val="none"/>
          <w14:textFill>
            <w14:solidFill>
              <w14:schemeClr w14:val="tx1"/>
            </w14:solidFill>
          </w14:textFill>
        </w:rPr>
        <w:t>评定标准</w:t>
      </w:r>
    </w:p>
    <w:p>
      <w:pPr>
        <w:spacing w:line="360" w:lineRule="auto"/>
        <w:ind w:firstLine="472" w:firstLineChars="196"/>
        <w:rPr>
          <w:rFonts w:ascii="宋体" w:hAnsi="宋体" w:cs="Courier New"/>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一、评审原则</w:t>
      </w:r>
    </w:p>
    <w:p>
      <w:pPr>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谈判小组</w:t>
      </w:r>
      <w:r>
        <w:rPr>
          <w:rFonts w:hint="eastAsia"/>
          <w:color w:val="000000" w:themeColor="text1"/>
          <w:sz w:val="24"/>
          <w:highlight w:val="none"/>
          <w14:textFill>
            <w14:solidFill>
              <w14:schemeClr w14:val="tx1"/>
            </w14:solidFill>
          </w14:textFill>
        </w:rPr>
        <w:t>成员</w:t>
      </w:r>
      <w:r>
        <w:rPr>
          <w:rFonts w:hint="eastAsia"/>
          <w:bCs/>
          <w:color w:val="000000" w:themeColor="text1"/>
          <w:sz w:val="24"/>
          <w:highlight w:val="none"/>
          <w14:textFill>
            <w14:solidFill>
              <w14:schemeClr w14:val="tx1"/>
            </w14:solidFill>
          </w14:textFill>
        </w:rPr>
        <w:t>组成：本竞争性谈判采购项目的</w:t>
      </w:r>
      <w:r>
        <w:rPr>
          <w:rFonts w:hint="eastAsia"/>
          <w:color w:val="000000" w:themeColor="text1"/>
          <w:sz w:val="24"/>
          <w:highlight w:val="none"/>
          <w14:textFill>
            <w14:solidFill>
              <w14:schemeClr w14:val="tx1"/>
            </w14:solidFill>
          </w14:textFill>
        </w:rPr>
        <w:t>谈判小组由采购人代表和评审专家共三人以上的单数组成</w:t>
      </w:r>
      <w:r>
        <w:rPr>
          <w:rFonts w:hint="eastAsia"/>
          <w:bCs/>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达到公开招标数额标准以上的项目，竞争性谈判小组成员由五人以上单数组成）</w:t>
      </w:r>
      <w:r>
        <w:rPr>
          <w:rFonts w:hint="eastAsia"/>
          <w:color w:val="000000" w:themeColor="text1"/>
          <w:sz w:val="24"/>
          <w:highlight w:val="none"/>
          <w14:textFill>
            <w14:solidFill>
              <w14:schemeClr w14:val="tx1"/>
            </w14:solidFill>
          </w14:textFill>
        </w:rPr>
        <w:t>，其中评审专家的人数不得少于谈判小组成员</w:t>
      </w:r>
      <w:r>
        <w:rPr>
          <w:rFonts w:hint="eastAsia" w:ascii="宋体" w:hAnsi="宋体" w:cs="宋体"/>
          <w:color w:val="000000" w:themeColor="text1"/>
          <w:kern w:val="0"/>
          <w:sz w:val="24"/>
          <w:highlight w:val="none"/>
          <w14:textFill>
            <w14:solidFill>
              <w14:schemeClr w14:val="tx1"/>
            </w14:solidFill>
          </w14:textFill>
        </w:rPr>
        <w:t>总数的三分之二。</w:t>
      </w:r>
    </w:p>
    <w:p>
      <w:pPr>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2.评审依据：以竞争性谈判文</w:t>
      </w:r>
      <w:r>
        <w:rPr>
          <w:rFonts w:hint="eastAsia"/>
          <w:bCs/>
          <w:color w:val="000000" w:themeColor="text1"/>
          <w:sz w:val="24"/>
          <w:highlight w:val="none"/>
          <w14:textFill>
            <w14:solidFill>
              <w14:schemeClr w14:val="tx1"/>
            </w14:solidFill>
          </w14:textFill>
        </w:rPr>
        <w:t>件和竞争性谈判响应文件为依据</w:t>
      </w:r>
      <w:r>
        <w:rPr>
          <w:rFonts w:hint="eastAsia" w:ascii="宋体" w:hAnsi="Courier New" w:cs="Courier New"/>
          <w:bCs/>
          <w:color w:val="000000" w:themeColor="text1"/>
          <w:sz w:val="24"/>
          <w:highlight w:val="none"/>
          <w14:textFill>
            <w14:solidFill>
              <w14:schemeClr w14:val="tx1"/>
            </w14:solidFill>
          </w14:textFill>
        </w:rPr>
        <w:t>。</w:t>
      </w:r>
    </w:p>
    <w:p>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二、评标方法</w:t>
      </w:r>
    </w:p>
    <w:p>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谈判小组将以竞争性谈判文件为依据，对资格性和符合性检查合格的竞争性谈判响应文件进行评审，在质量和服务均能满足竞争性谈判文件实质性响应要求的供应商中，按下列程序确定成交供应商：</w:t>
      </w:r>
    </w:p>
    <w:p>
      <w:pPr>
        <w:spacing w:line="360" w:lineRule="auto"/>
        <w:ind w:firstLine="480"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000000" w:themeColor="text1"/>
          <w:kern w:val="0"/>
          <w:sz w:val="24"/>
          <w:highlight w:val="none"/>
          <w14:textFill>
            <w14:solidFill>
              <w14:schemeClr w14:val="tx1"/>
            </w14:solidFill>
          </w14:textFill>
        </w:rPr>
        <w:t>中小企业参加政府采购活动，应当出具《中小企业声明函》，否则不得享受相关中小企业扶持政策。</w:t>
      </w:r>
    </w:p>
    <w:p>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spacing w:line="360" w:lineRule="auto"/>
        <w:ind w:firstLine="480" w:firstLineChars="200"/>
        <w:rPr>
          <w:rFonts w:hint="eastAsia"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4.谈判小组将以谈判文件、谈判响应文件为评审依据，在谈判响应文件满足谈判文件全部实质性要求且评标价最低的供应商为成交候选人。</w:t>
      </w:r>
    </w:p>
    <w:p>
      <w:pPr>
        <w:pStyle w:val="43"/>
        <w:ind w:left="0" w:leftChars="0" w:firstLine="522" w:firstLineChars="200"/>
        <w:rPr>
          <w:rFonts w:hint="eastAsia" w:eastAsia="宋体"/>
          <w:lang w:eastAsia="zh-CN"/>
        </w:rPr>
      </w:pPr>
      <w:r>
        <w:rPr>
          <w:rFonts w:hint="eastAsia" w:ascii="宋体" w:hAnsi="Courier New" w:eastAsia="宋体" w:cs="Courier New"/>
          <w:b/>
          <w:bCs w:val="0"/>
          <w:color w:val="000000" w:themeColor="text1"/>
          <w:kern w:val="0"/>
          <w:sz w:val="24"/>
          <w:highlight w:val="none"/>
          <w:lang w:eastAsia="zh-CN"/>
          <w14:textFill>
            <w14:solidFill>
              <w14:schemeClr w14:val="tx1"/>
            </w14:solidFill>
          </w14:textFill>
        </w:rPr>
        <w:t>注：专门面向中小企业项目不再执行此优惠政策。</w:t>
      </w:r>
    </w:p>
    <w:p>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pPr>
        <w:spacing w:line="360" w:lineRule="auto"/>
        <w:ind w:firstLine="470" w:firstLineChars="196"/>
        <w:rPr>
          <w:rFonts w:hint="eastAsia" w:ascii="宋体" w:hAnsi="宋体" w:cs="Courier New"/>
          <w:b/>
          <w:color w:val="000000" w:themeColor="text1"/>
          <w:sz w:val="24"/>
          <w:highlight w:val="none"/>
          <w14:textFill>
            <w14:solidFill>
              <w14:schemeClr w14:val="tx1"/>
            </w14:solidFill>
          </w14:textFill>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三、成交候选人推荐原则</w:t>
      </w:r>
    </w:p>
    <w:p>
      <w:pPr>
        <w:spacing w:line="360" w:lineRule="auto"/>
        <w:ind w:firstLine="528" w:firstLineChars="2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竞争性谈判响应文件</w:t>
      </w:r>
      <w:r>
        <w:rPr>
          <w:rFonts w:hint="eastAsia" w:ascii="宋体" w:hAnsi="Courier New" w:cs="Courier New"/>
          <w:color w:val="000000" w:themeColor="text1"/>
          <w:sz w:val="24"/>
          <w:highlight w:val="none"/>
          <w14:textFill>
            <w14:solidFill>
              <w14:schemeClr w14:val="tx1"/>
            </w14:solidFill>
          </w14:textFill>
        </w:rPr>
        <w:t>在</w:t>
      </w:r>
      <w:r>
        <w:rPr>
          <w:rFonts w:hint="eastAsia" w:ascii="宋体" w:hAnsi="宋体" w:cs="宋体"/>
          <w:color w:val="000000" w:themeColor="text1"/>
          <w:kern w:val="0"/>
          <w:sz w:val="24"/>
          <w:highlight w:val="none"/>
          <w14:textFill>
            <w14:solidFill>
              <w14:schemeClr w14:val="tx1"/>
            </w14:solidFill>
          </w14:textFill>
        </w:rPr>
        <w:t>质量和服务均</w:t>
      </w:r>
      <w:r>
        <w:rPr>
          <w:rFonts w:hint="eastAsia"/>
          <w:color w:val="000000" w:themeColor="text1"/>
          <w:sz w:val="24"/>
          <w:highlight w:val="none"/>
          <w14:textFill>
            <w14:solidFill>
              <w14:schemeClr w14:val="tx1"/>
            </w14:solidFill>
          </w14:textFill>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pPr>
        <w:spacing w:line="360" w:lineRule="auto"/>
        <w:ind w:firstLine="528" w:firstLineChars="220"/>
        <w:rPr>
          <w:rFonts w:ascii="宋体" w:hAnsi="宋体" w:cs="宋体"/>
          <w:color w:val="000000" w:themeColor="text1"/>
          <w:kern w:val="0"/>
          <w:sz w:val="24"/>
          <w:highlight w:val="none"/>
          <w14:textFill>
            <w14:solidFill>
              <w14:schemeClr w14:val="tx1"/>
            </w14:solidFill>
          </w14:textFill>
        </w:rPr>
      </w:pPr>
    </w:p>
    <w:p>
      <w:pPr>
        <w:pStyle w:val="78"/>
        <w:widowControl/>
        <w:spacing w:line="440" w:lineRule="exact"/>
        <w:ind w:firstLine="422"/>
        <w:rPr>
          <w:rFonts w:ascii="宋体" w:hAnsi="宋体" w:cs="Courier New"/>
          <w:b/>
          <w:color w:val="000000" w:themeColor="text1"/>
          <w:sz w:val="21"/>
          <w:szCs w:val="21"/>
          <w:highlight w:val="none"/>
          <w14:textFill>
            <w14:solidFill>
              <w14:schemeClr w14:val="tx1"/>
            </w14:solidFill>
          </w14:textFill>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简体">
    <w:panose1 w:val="02000000000000000000"/>
    <w:charset w:val="86"/>
    <w:family w:val="script"/>
    <w:pitch w:val="default"/>
    <w:sig w:usb0="A00002BF" w:usb1="184F6CFA" w:usb2="00000012" w:usb3="00000000" w:csb0="00040001"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ascii="仿宋_GB2312" w:eastAsia="仿宋_GB2312"/>
      </w:rPr>
    </w:pPr>
  </w:p>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v:textbox>
            </v:shape>
          </w:pict>
        </mc:Fallback>
      </mc:AlternateContent>
    </w:r>
  </w:p>
  <w:p>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p>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w:t>
                    </w:r>
                    <w:r>
                      <w:fldChar w:fldCharType="end"/>
                    </w:r>
                  </w:p>
                </w:txbxContent>
              </v:textbox>
            </v:shape>
          </w:pict>
        </mc:Fallback>
      </mc:AlternateContent>
    </w:r>
  </w:p>
  <w:p>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3</w:t>
                    </w:r>
                    <w:r>
                      <w:fldChar w:fldCharType="end"/>
                    </w:r>
                  </w:p>
                </w:txbxContent>
              </v:textbox>
            </v:shape>
          </w:pict>
        </mc:Fallback>
      </mc:AlternateContent>
    </w:r>
  </w:p>
  <w:p>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63</w:t>
                    </w:r>
                    <w:r>
                      <w:fldChar w:fldCharType="end"/>
                    </w:r>
                  </w:p>
                </w:txbxContent>
              </v:textbox>
            </v:shape>
          </w:pict>
        </mc:Fallback>
      </mc:AlternateContent>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4YWI3ZDc5NDk3Njc2OWUyN2JlNjBkYWVmNmI5MTYifQ=="/>
  </w:docVars>
  <w:rsids>
    <w:rsidRoot w:val="00000000"/>
    <w:rsid w:val="01030136"/>
    <w:rsid w:val="022E6257"/>
    <w:rsid w:val="032B4821"/>
    <w:rsid w:val="039C58F5"/>
    <w:rsid w:val="054B025F"/>
    <w:rsid w:val="06992AA9"/>
    <w:rsid w:val="0913264A"/>
    <w:rsid w:val="09A7695A"/>
    <w:rsid w:val="09BD30C9"/>
    <w:rsid w:val="09BD629E"/>
    <w:rsid w:val="0AD53D4E"/>
    <w:rsid w:val="0DBA3094"/>
    <w:rsid w:val="0F8B4CE8"/>
    <w:rsid w:val="10AC760C"/>
    <w:rsid w:val="11E63260"/>
    <w:rsid w:val="121F3C82"/>
    <w:rsid w:val="12D22C2E"/>
    <w:rsid w:val="134A309E"/>
    <w:rsid w:val="13AD34D1"/>
    <w:rsid w:val="17C24BCE"/>
    <w:rsid w:val="18927E63"/>
    <w:rsid w:val="192F2B88"/>
    <w:rsid w:val="19687EF5"/>
    <w:rsid w:val="19AD3BC9"/>
    <w:rsid w:val="1A6B18D0"/>
    <w:rsid w:val="1C6A2129"/>
    <w:rsid w:val="1E544E3F"/>
    <w:rsid w:val="1F7F7C9A"/>
    <w:rsid w:val="1FA15E62"/>
    <w:rsid w:val="22BE5349"/>
    <w:rsid w:val="242724E7"/>
    <w:rsid w:val="252517DF"/>
    <w:rsid w:val="26461511"/>
    <w:rsid w:val="26B00DE2"/>
    <w:rsid w:val="27441EF5"/>
    <w:rsid w:val="27AC5CEC"/>
    <w:rsid w:val="2A047F1E"/>
    <w:rsid w:val="2ACF7D27"/>
    <w:rsid w:val="2CB74F17"/>
    <w:rsid w:val="2F6D3341"/>
    <w:rsid w:val="30E153B5"/>
    <w:rsid w:val="36CF10AF"/>
    <w:rsid w:val="36E37045"/>
    <w:rsid w:val="377426EE"/>
    <w:rsid w:val="3825542A"/>
    <w:rsid w:val="38AE18C8"/>
    <w:rsid w:val="38BA78FC"/>
    <w:rsid w:val="39C944DB"/>
    <w:rsid w:val="3A970136"/>
    <w:rsid w:val="3E42660A"/>
    <w:rsid w:val="3ECF60F0"/>
    <w:rsid w:val="3F3D153C"/>
    <w:rsid w:val="3FE525D1"/>
    <w:rsid w:val="413A5BB6"/>
    <w:rsid w:val="41502D53"/>
    <w:rsid w:val="42946732"/>
    <w:rsid w:val="43706963"/>
    <w:rsid w:val="43B049C4"/>
    <w:rsid w:val="47195282"/>
    <w:rsid w:val="4756309C"/>
    <w:rsid w:val="47D3198A"/>
    <w:rsid w:val="49A32FDD"/>
    <w:rsid w:val="4DF347AB"/>
    <w:rsid w:val="4EB36E4C"/>
    <w:rsid w:val="4EF16E2E"/>
    <w:rsid w:val="51EB4B97"/>
    <w:rsid w:val="53D72B24"/>
    <w:rsid w:val="53ED25A4"/>
    <w:rsid w:val="560C1580"/>
    <w:rsid w:val="56694D77"/>
    <w:rsid w:val="56B13594"/>
    <w:rsid w:val="56D4713A"/>
    <w:rsid w:val="571068AD"/>
    <w:rsid w:val="579730CB"/>
    <w:rsid w:val="582C70EF"/>
    <w:rsid w:val="586C6306"/>
    <w:rsid w:val="5B06155D"/>
    <w:rsid w:val="5B1A34AF"/>
    <w:rsid w:val="5C90437B"/>
    <w:rsid w:val="5D867E6A"/>
    <w:rsid w:val="5E6450D6"/>
    <w:rsid w:val="603248E7"/>
    <w:rsid w:val="605D4865"/>
    <w:rsid w:val="609A21B5"/>
    <w:rsid w:val="659F41BF"/>
    <w:rsid w:val="65ED6B48"/>
    <w:rsid w:val="6727621A"/>
    <w:rsid w:val="679A2E90"/>
    <w:rsid w:val="6807709B"/>
    <w:rsid w:val="68A83F40"/>
    <w:rsid w:val="68D556EE"/>
    <w:rsid w:val="694572F8"/>
    <w:rsid w:val="69FE75B9"/>
    <w:rsid w:val="6A047FD5"/>
    <w:rsid w:val="6A611A43"/>
    <w:rsid w:val="6AFB6DCD"/>
    <w:rsid w:val="6B4A74E9"/>
    <w:rsid w:val="6C857EE6"/>
    <w:rsid w:val="6E8E4DD0"/>
    <w:rsid w:val="6F860597"/>
    <w:rsid w:val="711F6385"/>
    <w:rsid w:val="71C96148"/>
    <w:rsid w:val="72B07498"/>
    <w:rsid w:val="736E3061"/>
    <w:rsid w:val="73BB6B7A"/>
    <w:rsid w:val="74192F37"/>
    <w:rsid w:val="74B01C78"/>
    <w:rsid w:val="751F6782"/>
    <w:rsid w:val="77334767"/>
    <w:rsid w:val="77B63CFE"/>
    <w:rsid w:val="77D51CC6"/>
    <w:rsid w:val="7A5C376B"/>
    <w:rsid w:val="7D312463"/>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57918</Words>
  <Characters>60571</Characters>
  <Lines>483</Lines>
  <Paragraphs>136</Paragraphs>
  <TotalTime>4</TotalTime>
  <ScaleCrop>false</ScaleCrop>
  <LinksUpToDate>false</LinksUpToDate>
  <CharactersWithSpaces>67294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Administrator</cp:lastModifiedBy>
  <cp:lastPrinted>2025-12-26T08:03:00Z</cp:lastPrinted>
  <dcterms:modified xsi:type="dcterms:W3CDTF">2026-07-06T11:35:52Z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2052-11.1.0.11744</vt:lpwstr>
  </property>
  <property fmtid="{D5CDD505-2E9C-101B-9397-08002B2CF9AE}" pid="4" name="KSOTemplateDocerSaveRecord">
    <vt:lpwstr>eyJoZGlkIjoiYTc3NzJiNzFiOWY2ZTZhYjIyZTI0ODJlMmUyMGZjNGEiLCJ1c2VySWQiOiI0MjkyMDA5NjQifQ==</vt:lpwstr>
  </property>
</Properties>
</file>