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bookmarkStart w:id="0" w:name="OLE_LINK1"/>
      <w:bookmarkStart w:id="1" w:name="OLE_LINK7"/>
      <w:bookmarkStart w:id="2" w:name="OLE_LINK2"/>
      <w:r>
        <w:rPr>
          <w:rFonts w:hint="eastAsia" w:cs="仿宋_GB2312" w:asciiTheme="minorEastAsia" w:hAnsiTheme="minorEastAsia" w:eastAsiaTheme="minorEastAsia"/>
          <w:b/>
          <w:sz w:val="44"/>
          <w:szCs w:val="44"/>
        </w:rPr>
        <w:t>环境卫生和后勤保障服务外包</w:t>
      </w:r>
      <w:bookmarkEnd w:id="0"/>
      <w:bookmarkEnd w:id="1"/>
      <w:bookmarkEnd w:id="2"/>
    </w:p>
    <w:p>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竞争性谈判</w:t>
      </w:r>
      <w:r>
        <w:rPr>
          <w:rFonts w:hint="eastAsia" w:cs="仿宋_GB2312" w:asciiTheme="minorEastAsia" w:hAnsiTheme="minorEastAsia" w:eastAsiaTheme="minorEastAsia"/>
          <w:b/>
          <w:sz w:val="72"/>
          <w:szCs w:val="72"/>
        </w:rPr>
        <w:t>文件</w:t>
      </w: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pPr>
        <w:snapToGrid w:val="0"/>
        <w:spacing w:line="360" w:lineRule="auto"/>
        <w:jc w:val="center"/>
        <w:rPr>
          <w:rFonts w:cs="仿宋_GB2312" w:asciiTheme="minorEastAsia" w:hAnsiTheme="minorEastAsia" w:eastAsiaTheme="minorEastAsia"/>
          <w:sz w:val="30"/>
          <w:szCs w:val="30"/>
        </w:rPr>
      </w:pPr>
    </w:p>
    <w:p>
      <w:pPr>
        <w:snapToGrid w:val="0"/>
        <w:spacing w:line="360" w:lineRule="auto"/>
        <w:jc w:val="center"/>
        <w:rPr>
          <w:rFonts w:hint="eastAsia" w:ascii="宋体" w:hAnsi="宋体" w:cs="宋体"/>
          <w:sz w:val="32"/>
          <w:szCs w:val="32"/>
          <w:lang w:eastAsia="zh-CN"/>
        </w:rPr>
      </w:pPr>
      <w:r>
        <w:rPr>
          <w:rFonts w:hint="eastAsia" w:cs="仿宋_GB2312" w:asciiTheme="minorEastAsia" w:hAnsiTheme="minorEastAsia" w:eastAsiaTheme="minorEastAsia"/>
          <w:sz w:val="30"/>
          <w:szCs w:val="30"/>
        </w:rPr>
        <w:t>项目编号:</w:t>
      </w:r>
      <w:bookmarkStart w:id="3" w:name="OLE_LINK6"/>
      <w:r>
        <w:rPr>
          <w:rFonts w:hint="eastAsia" w:ascii="宋体" w:hAnsi="宋体" w:cs="宋体"/>
          <w:sz w:val="32"/>
          <w:szCs w:val="32"/>
          <w:lang w:eastAsia="zh-CN"/>
        </w:rPr>
        <w:t>BHZC2026-J3-210048-CGZX</w:t>
      </w:r>
    </w:p>
    <w:bookmarkEnd w:id="3"/>
    <w:p>
      <w:pPr>
        <w:adjustRightInd/>
        <w:spacing w:line="360" w:lineRule="auto"/>
        <w:rPr>
          <w:rFonts w:cs="仿宋_GB2312" w:asciiTheme="minorEastAsia" w:hAnsiTheme="minorEastAsia" w:eastAsiaTheme="minorEastAsia"/>
          <w:sz w:val="28"/>
          <w:szCs w:val="20"/>
        </w:rPr>
      </w:pPr>
    </w:p>
    <w:p>
      <w:pPr>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sz w:val="24"/>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pPr>
        <w:snapToGrid w:val="0"/>
        <w:spacing w:line="360" w:lineRule="auto"/>
        <w:jc w:val="center"/>
        <w:rPr>
          <w:rFonts w:cs="仿宋_GB2312" w:asciiTheme="minorEastAsia" w:hAnsiTheme="minorEastAsia" w:eastAsiaTheme="minorEastAsia"/>
          <w:sz w:val="32"/>
          <w:szCs w:val="32"/>
        </w:rPr>
      </w:pPr>
    </w:p>
    <w:p>
      <w:pPr>
        <w:snapToGrid w:val="0"/>
        <w:spacing w:line="360" w:lineRule="auto"/>
        <w:jc w:val="center"/>
        <w:rPr>
          <w:rFonts w:cs="仿宋_GB2312" w:asciiTheme="minorEastAsia" w:hAnsiTheme="minorEastAsia" w:eastAsiaTheme="minorEastAsia"/>
          <w:sz w:val="32"/>
          <w:szCs w:val="32"/>
        </w:rPr>
      </w:pPr>
      <w:r>
        <w:rPr>
          <w:rFonts w:hint="eastAsia" w:ascii="宋体" w:hAnsi="宋体" w:cs="宋体"/>
          <w:sz w:val="32"/>
          <w:szCs w:val="32"/>
        </w:rPr>
        <w:t>合浦县妇幼保健院（合浦县妇幼保健院计划生育服务中心）</w:t>
      </w:r>
    </w:p>
    <w:p>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北海市政府采购中心</w:t>
      </w:r>
    </w:p>
    <w:p>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二六年五月</w:t>
      </w:r>
      <w:r>
        <w:rPr>
          <w:rFonts w:hint="eastAsia" w:cs="仿宋_GB2312" w:asciiTheme="minorEastAsia" w:hAnsiTheme="minorEastAsia" w:eastAsiaTheme="minorEastAsia"/>
          <w:bCs/>
          <w:sz w:val="32"/>
          <w:szCs w:val="32"/>
          <w:lang w:eastAsia="zh-CN"/>
        </w:rPr>
        <w:t>二</w:t>
      </w:r>
      <w:r>
        <w:rPr>
          <w:rFonts w:hint="eastAsia" w:cs="仿宋_GB2312" w:asciiTheme="minorEastAsia" w:hAnsiTheme="minorEastAsia" w:eastAsiaTheme="minorEastAsia"/>
          <w:bCs/>
          <w:sz w:val="32"/>
          <w:szCs w:val="32"/>
        </w:rPr>
        <w:t>十</w:t>
      </w:r>
      <w:r>
        <w:rPr>
          <w:rFonts w:hint="eastAsia" w:cs="仿宋_GB2312" w:asciiTheme="minorEastAsia" w:hAnsiTheme="minorEastAsia" w:eastAsiaTheme="minorEastAsia"/>
          <w:bCs/>
          <w:sz w:val="32"/>
          <w:szCs w:val="32"/>
          <w:lang w:eastAsia="zh-CN"/>
        </w:rPr>
        <w:t>七</w:t>
      </w:r>
      <w:r>
        <w:rPr>
          <w:rFonts w:hint="eastAsia" w:cs="仿宋_GB2312" w:asciiTheme="minorEastAsia" w:hAnsiTheme="minorEastAsia" w:eastAsiaTheme="minorEastAsia"/>
          <w:bCs/>
          <w:sz w:val="32"/>
          <w:szCs w:val="32"/>
        </w:rPr>
        <w:t>日</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4" w:name="_Hlt67893495"/>
      <w:bookmarkEnd w:id="4"/>
    </w:p>
    <w:p>
      <w:pPr>
        <w:tabs>
          <w:tab w:val="left" w:pos="2268"/>
        </w:tabs>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pPr>
        <w:spacing w:line="360" w:lineRule="auto"/>
        <w:rPr>
          <w:rFonts w:cs="仿宋_GB2312" w:asciiTheme="minorEastAsia" w:hAnsiTheme="minorEastAsia" w:eastAsiaTheme="minorEastAsia"/>
          <w:sz w:val="32"/>
          <w:szCs w:val="32"/>
        </w:rPr>
      </w:pPr>
    </w:p>
    <w:p>
      <w:pPr>
        <w:pStyle w:val="40"/>
        <w:tabs>
          <w:tab w:val="right" w:leader="dot" w:pos="9060"/>
        </w:tabs>
        <w:spacing w:line="360" w:lineRule="auto"/>
        <w:rPr>
          <w:rFonts w:asciiTheme="minorEastAsia" w:hAnsiTheme="minorEastAsia" w:eastAsiaTheme="minorEastAsia" w:cstheme="minorBidi"/>
          <w:sz w:val="32"/>
          <w:szCs w:val="32"/>
        </w:rPr>
      </w:pPr>
      <w:bookmarkStart w:id="5" w:name="_Hlt91233176"/>
      <w:bookmarkEnd w:id="5"/>
      <w:bookmarkStart w:id="6"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TOC \o "1-1" \h \z \u </w:instrText>
      </w:r>
      <w:r>
        <w:rPr>
          <w:rFonts w:cs="仿宋_GB2312" w:asciiTheme="minorEastAsia" w:hAnsiTheme="minorEastAsia" w:eastAsiaTheme="minorEastAsia"/>
          <w:sz w:val="32"/>
          <w:szCs w:val="32"/>
        </w:rPr>
        <w:fldChar w:fldCharType="separate"/>
      </w:r>
      <w:r>
        <w:fldChar w:fldCharType="begin"/>
      </w:r>
      <w:r>
        <w:instrText xml:space="preserve"> HYPERLINK \l "_Toc181265281" </w:instrText>
      </w:r>
      <w: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"_Toc181265282" </w:instrText>
      </w:r>
      <w: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竞争性谈判流程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"_Toc181265283" </w:instrText>
      </w:r>
      <w: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"_Toc181265284" </w:instrText>
      </w:r>
      <w: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"_Toc181265285" </w:instrText>
      </w:r>
      <w: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评定标准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44</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"_Toc181265286" </w:instrText>
      </w:r>
      <w: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"_Toc181265287" </w:instrText>
      </w:r>
      <w: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"_Toc181265288" </w:instrText>
      </w:r>
      <w: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_Toc181265288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83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djustRightInd/>
        <w:spacing w:line="360" w:lineRule="auto"/>
        <w:jc w:val="center"/>
        <w:outlineLvl w:val="0"/>
        <w:rPr>
          <w:rFonts w:cs="仿宋_GB2312" w:asciiTheme="minorEastAsia" w:hAnsiTheme="minorEastAsia" w:eastAsiaTheme="minorEastAsia"/>
          <w:b/>
          <w:sz w:val="36"/>
          <w:szCs w:val="20"/>
        </w:rPr>
      </w:pPr>
      <w:bookmarkStart w:id="7" w:name="第一部分"/>
      <w:r>
        <w:rPr>
          <w:rFonts w:hint="eastAsia" w:cs="仿宋_GB2312" w:asciiTheme="minorEastAsia" w:hAnsiTheme="minorEastAsia" w:eastAsiaTheme="minorEastAsia"/>
          <w:b/>
          <w:sz w:val="36"/>
          <w:szCs w:val="36"/>
        </w:rPr>
        <w:br w:type="page"/>
      </w:r>
      <w:bookmarkEnd w:id="6"/>
      <w:bookmarkEnd w:id="7"/>
      <w:bookmarkStart w:id="8" w:name="_Hlt74729822"/>
      <w:bookmarkEnd w:id="8"/>
      <w:bookmarkStart w:id="9" w:name="_Hlt74728647"/>
      <w:bookmarkEnd w:id="9"/>
      <w:bookmarkStart w:id="10" w:name="_Hlt74649545"/>
      <w:bookmarkEnd w:id="10"/>
      <w:bookmarkStart w:id="11" w:name="_Hlt74707423"/>
      <w:bookmarkEnd w:id="11"/>
      <w:bookmarkStart w:id="12" w:name="_Toc181265281"/>
      <w:bookmarkStart w:id="13" w:name="第二部分"/>
      <w:bookmarkStart w:id="14" w:name="_Toc91899870"/>
      <w:bookmarkStart w:id="15" w:name="_Toc91899871"/>
      <w:r>
        <w:rPr>
          <w:rFonts w:hint="eastAsia" w:cs="仿宋_GB2312" w:asciiTheme="minorEastAsia" w:hAnsiTheme="minorEastAsia" w:eastAsiaTheme="minorEastAsia"/>
          <w:b/>
          <w:sz w:val="36"/>
          <w:szCs w:val="20"/>
        </w:rPr>
        <w:t>第一部分  邀请供应商</w:t>
      </w:r>
      <w:bookmarkEnd w:id="12"/>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竞争性谈判公告</w:t>
      </w:r>
    </w:p>
    <w:p>
      <w:pPr>
        <w:spacing w:line="360" w:lineRule="auto"/>
        <w:rPr>
          <w:rFonts w:asciiTheme="minorEastAsia" w:hAnsiTheme="minorEastAsia" w:eastAsiaTheme="minorEastAsia"/>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bookmarkStart w:id="16" w:name="OLE_LINK4"/>
      <w:bookmarkStart w:id="17" w:name="OLE_LINK3"/>
      <w:r>
        <w:rPr>
          <w:rFonts w:hint="eastAsia" w:asciiTheme="minorEastAsia" w:hAnsiTheme="minorEastAsia" w:eastAsiaTheme="minorEastAsia"/>
          <w:sz w:val="24"/>
          <w:u w:val="single"/>
        </w:rPr>
        <w:t>环境卫生和后勤保障服务外包</w:t>
      </w:r>
      <w:bookmarkEnd w:id="16"/>
      <w:bookmarkEnd w:id="17"/>
      <w:r>
        <w:rPr>
          <w:rFonts w:hint="eastAsia" w:asciiTheme="minorEastAsia" w:hAnsiTheme="minorEastAsia" w:eastAsiaTheme="minorEastAsia"/>
          <w:sz w:val="24"/>
        </w:rPr>
        <w:t>采购项目的潜在供应商应在</w:t>
      </w:r>
      <w:r>
        <w:rPr>
          <w:rFonts w:hint="eastAsia" w:ascii="宋体" w:hAnsi="宋体" w:cs="宋体"/>
          <w:sz w:val="24"/>
        </w:rPr>
        <w:t>广西政府采购云平台（https://www.gcy.zfcg.gxzf.gov.cn/）</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2026</w:t>
      </w:r>
      <w:r>
        <w:rPr>
          <w:rFonts w:hint="eastAsia" w:asciiTheme="minorEastAsia" w:hAnsiTheme="minorEastAsia" w:eastAsiaTheme="minorEastAsia"/>
          <w:bCs/>
          <w:sz w:val="24"/>
          <w:u w:val="single"/>
        </w:rPr>
        <w:t>年</w:t>
      </w:r>
      <w:r>
        <w:rPr>
          <w:rFonts w:hint="eastAsia" w:asciiTheme="minorEastAsia" w:hAnsiTheme="minorEastAsia" w:eastAsiaTheme="minorEastAsia"/>
          <w:bCs/>
          <w:sz w:val="24"/>
          <w:u w:val="single"/>
          <w:lang w:val="en-US" w:eastAsia="zh-CN"/>
        </w:rPr>
        <w:t xml:space="preserve"> 6 </w:t>
      </w:r>
      <w:r>
        <w:rPr>
          <w:rFonts w:hint="eastAsia" w:asciiTheme="minorEastAsia" w:hAnsiTheme="minorEastAsia" w:eastAsiaTheme="minorEastAsia"/>
          <w:bCs/>
          <w:sz w:val="24"/>
          <w:u w:val="single"/>
        </w:rPr>
        <w:t>月</w:t>
      </w:r>
      <w:r>
        <w:rPr>
          <w:rFonts w:hint="eastAsia" w:asciiTheme="minorEastAsia" w:hAnsiTheme="minorEastAsia" w:eastAsiaTheme="minorEastAsia"/>
          <w:bCs/>
          <w:sz w:val="24"/>
          <w:u w:val="single"/>
          <w:lang w:val="en-US" w:eastAsia="zh-CN"/>
        </w:rPr>
        <w:t xml:space="preserve"> 12 </w:t>
      </w:r>
      <w:r>
        <w:rPr>
          <w:rFonts w:hint="eastAsia" w:asciiTheme="minorEastAsia" w:hAnsiTheme="minorEastAsia" w:eastAsiaTheme="minorEastAsia"/>
          <w:bCs/>
          <w:sz w:val="24"/>
          <w:u w:val="single"/>
        </w:rPr>
        <w:t>日9点 00分00秒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pStyle w:val="631"/>
        <w:ind w:firstLine="0"/>
        <w:rPr>
          <w:b/>
        </w:rPr>
      </w:pPr>
      <w:bookmarkStart w:id="18" w:name="_Toc28359089"/>
      <w:bookmarkStart w:id="19" w:name="_Toc35393629"/>
      <w:bookmarkStart w:id="20" w:name="_Toc35393798"/>
      <w:bookmarkStart w:id="21" w:name="_Toc28359012"/>
      <w:r>
        <w:rPr>
          <w:rFonts w:hint="eastAsia"/>
          <w:b/>
        </w:rPr>
        <w:t>一、项目基本情况</w:t>
      </w:r>
      <w:bookmarkEnd w:id="18"/>
      <w:bookmarkEnd w:id="19"/>
      <w:bookmarkEnd w:id="20"/>
      <w:bookmarkEnd w:id="21"/>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项目编号：</w:t>
      </w:r>
      <w:r>
        <w:rPr>
          <w:rFonts w:hint="eastAsia" w:asciiTheme="minorEastAsia" w:hAnsiTheme="minorEastAsia" w:eastAsiaTheme="minorEastAsia"/>
          <w:sz w:val="24"/>
          <w:lang w:eastAsia="zh-CN"/>
        </w:rPr>
        <w:t>BHZC2026-J3-210048-CGZX</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eastAsia="zh-CN"/>
        </w:rPr>
        <w:t>环境卫生和后勤保障服务外包</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采购方式：竞争性谈判</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预算金额（元）：</w:t>
      </w:r>
      <w:r>
        <w:rPr>
          <w:rFonts w:hint="eastAsia" w:asciiTheme="minorEastAsia" w:hAnsiTheme="minorEastAsia" w:eastAsiaTheme="minorEastAsia"/>
          <w:sz w:val="24"/>
          <w:lang w:eastAsia="zh-CN"/>
        </w:rPr>
        <w:t>978,667.20</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最高限价（元）：</w:t>
      </w:r>
      <w:r>
        <w:rPr>
          <w:rFonts w:hint="eastAsia" w:asciiTheme="minorEastAsia" w:hAnsiTheme="minorEastAsia" w:eastAsiaTheme="minorEastAsia"/>
          <w:sz w:val="24"/>
          <w:lang w:eastAsia="zh-CN"/>
        </w:rPr>
        <w:t>978,667.20</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w:t>
      </w:r>
      <w:r>
        <w:rPr>
          <w:rFonts w:hint="eastAsia" w:hAnsi="宋体" w:cs="宋体"/>
          <w:bCs/>
          <w:sz w:val="24"/>
        </w:rPr>
        <w:t>（项目名称）主要内容：环境卫生和后勤保障服务外包1项</w:t>
      </w:r>
      <w:r>
        <w:rPr>
          <w:rFonts w:hint="eastAsia" w:hAnsi="宋体" w:cs="宋体"/>
          <w:bCs/>
          <w:sz w:val="24"/>
          <w:lang w:eastAsia="zh-CN"/>
        </w:rPr>
        <w:t>，</w:t>
      </w:r>
      <w:r>
        <w:rPr>
          <w:rFonts w:hint="eastAsia" w:cs="仿宋_GB2312" w:asciiTheme="minorEastAsia" w:hAnsiTheme="minorEastAsia" w:eastAsiaTheme="minorEastAsia"/>
          <w:sz w:val="24"/>
        </w:rPr>
        <w:t>详见谈判文件。</w:t>
      </w:r>
    </w:p>
    <w:p>
      <w:pPr>
        <w:spacing w:line="360" w:lineRule="auto"/>
        <w:ind w:firstLine="480" w:firstLineChars="200"/>
        <w:rPr>
          <w:rFonts w:hint="eastAsia" w:asciiTheme="minorEastAsia" w:hAnsiTheme="minorEastAsia" w:eastAsiaTheme="minorEastAsia"/>
          <w:sz w:val="24"/>
          <w:u w:val="single"/>
          <w:lang w:val="en-US" w:eastAsia="zh-CN"/>
        </w:rPr>
      </w:pPr>
      <w:r>
        <w:rPr>
          <w:rFonts w:hint="eastAsia" w:asciiTheme="minorEastAsia" w:hAnsiTheme="minorEastAsia" w:eastAsiaTheme="minorEastAsia"/>
          <w:sz w:val="24"/>
        </w:rPr>
        <w:t>合同履行期限：</w:t>
      </w:r>
      <w:r>
        <w:rPr>
          <w:rFonts w:hint="eastAsia" w:asciiTheme="minorEastAsia" w:hAnsiTheme="minorEastAsia" w:eastAsiaTheme="minorEastAsia"/>
          <w:sz w:val="24"/>
          <w:lang w:val="en-US" w:eastAsia="zh-CN"/>
        </w:rPr>
        <w:t>1年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本项目是否接受联合体投标：</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Wingdings" w:hAnsi="Wingdings" w:eastAsia="MS Mincho" w:cs="MS Mincho"/>
              <w:kern w:val="2"/>
              <w:sz w:val="24"/>
              <w:szCs w:val="24"/>
              <w:lang w:val="en-US" w:eastAsia="zh-CN" w:bidi="ar-SA"/>
            </w:rPr>
            <w:t>þ</w:t>
          </w:r>
        </w:sdtContent>
      </w:sdt>
      <w:r>
        <w:rPr>
          <w:rFonts w:hint="eastAsia" w:asciiTheme="minorEastAsia" w:hAnsiTheme="minorEastAsia" w:eastAsiaTheme="minorEastAsia"/>
          <w:sz w:val="24"/>
        </w:rPr>
        <w:t>否。</w:t>
      </w:r>
    </w:p>
    <w:p>
      <w:pPr>
        <w:pStyle w:val="631"/>
        <w:ind w:firstLine="0"/>
        <w:rPr>
          <w:b/>
        </w:rPr>
      </w:pPr>
      <w:bookmarkStart w:id="22" w:name="_Toc35393799"/>
      <w:bookmarkStart w:id="23" w:name="_Toc28359090"/>
      <w:bookmarkStart w:id="24" w:name="_Toc35393630"/>
      <w:bookmarkStart w:id="25" w:name="_Toc28359013"/>
      <w:r>
        <w:rPr>
          <w:rFonts w:hint="eastAsia"/>
          <w:b/>
        </w:rPr>
        <w:t>二、申请人的资格要求：</w:t>
      </w:r>
      <w:bookmarkEnd w:id="22"/>
      <w:bookmarkEnd w:id="23"/>
      <w:bookmarkEnd w:id="24"/>
      <w:bookmarkEnd w:id="25"/>
    </w:p>
    <w:p>
      <w:pPr>
        <w:spacing w:line="360" w:lineRule="auto"/>
        <w:ind w:firstLine="480"/>
        <w:rPr>
          <w:rFonts w:cs="宋体" w:asciiTheme="minorEastAsia" w:hAnsiTheme="minorEastAsia" w:eastAsiaTheme="minorEastAsia"/>
          <w:snapToGrid w:val="0"/>
          <w:kern w:val="28"/>
          <w:sz w:val="24"/>
          <w:szCs w:val="20"/>
        </w:rPr>
      </w:pPr>
      <w:r>
        <w:rPr>
          <w:rFonts w:hint="eastAsia" w:cs="宋体" w:asciiTheme="minorEastAsia" w:hAnsiTheme="minorEastAsia" w:eastAsiaTheme="minorEastAsia"/>
          <w:snapToGrid w:val="0"/>
          <w:kern w:val="28"/>
          <w:sz w:val="24"/>
          <w:szCs w:val="20"/>
        </w:rPr>
        <w:t>1.满足《中华人民共和国政府采购法》第二十二条规定；</w:t>
      </w:r>
      <w:r>
        <w:rPr>
          <w:rFonts w:cs="宋体" w:asciiTheme="minorEastAsia" w:hAnsiTheme="minorEastAsia" w:eastAsiaTheme="minorEastAsia"/>
          <w:snapToGrid w:val="0"/>
          <w:kern w:val="28"/>
          <w:sz w:val="24"/>
          <w:szCs w:val="20"/>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szCs w:val="20"/>
        </w:rPr>
        <w:t xml:space="preserve">    </w:t>
      </w:r>
      <w:r>
        <w:rPr>
          <w:rFonts w:cs="宋体" w:asciiTheme="minorEastAsia" w:hAnsiTheme="minorEastAsia" w:eastAsiaTheme="minorEastAsia"/>
          <w:snapToGrid w:val="0"/>
          <w:kern w:val="28"/>
          <w:sz w:val="24"/>
          <w:szCs w:val="20"/>
        </w:rPr>
        <w:t>2</w:t>
      </w:r>
      <w:r>
        <w:rPr>
          <w:rFonts w:hint="eastAsia" w:cs="宋体" w:asciiTheme="minorEastAsia" w:hAnsiTheme="minorEastAsia" w:eastAsiaTheme="minorEastAsia"/>
          <w:snapToGrid w:val="0"/>
          <w:kern w:val="28"/>
          <w:sz w:val="24"/>
          <w:szCs w:val="20"/>
        </w:rPr>
        <w:t>.落实政府采购政策需满足的资格要求：</w:t>
      </w:r>
      <w:r>
        <w:rPr>
          <w:rFonts w:hint="eastAsia" w:cs="宋体" w:asciiTheme="minorEastAsia" w:hAnsiTheme="minorEastAsia" w:eastAsiaTheme="minorEastAsia"/>
          <w:sz w:val="24"/>
        </w:rPr>
        <w:t>服务全部由符合政策要求的</w:t>
      </w:r>
      <w:r>
        <w:rPr>
          <w:rFonts w:hint="eastAsia" w:cs="宋体" w:asciiTheme="minorEastAsia" w:hAnsiTheme="minorEastAsia" w:eastAsiaTheme="minorEastAsia"/>
          <w:sz w:val="24"/>
          <w:lang w:eastAsia="zh-CN"/>
        </w:rPr>
        <w:t>小微</w:t>
      </w:r>
      <w:r>
        <w:rPr>
          <w:rFonts w:hint="eastAsia" w:cs="宋体" w:asciiTheme="minorEastAsia" w:hAnsiTheme="minorEastAsia" w:eastAsiaTheme="minorEastAsia"/>
          <w:sz w:val="24"/>
        </w:rPr>
        <w:t>企业承接，提供</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中小企业声明函</w:t>
      </w:r>
      <w:r>
        <w:rPr>
          <w:rFonts w:hint="eastAsia" w:cs="宋体" w:asciiTheme="minorEastAsia" w:hAnsiTheme="minorEastAsia" w:eastAsiaTheme="minorEastAsia"/>
          <w:sz w:val="24"/>
          <w:lang w:eastAsia="zh-CN"/>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3.本项目的特定资格要求：</w:t>
      </w:r>
      <w:r>
        <w:rPr>
          <w:rFonts w:hint="eastAsia" w:cs="宋体" w:asciiTheme="minorEastAsia" w:hAnsiTheme="minorEastAsia" w:eastAsiaTheme="minorEastAsia"/>
          <w:sz w:val="24"/>
          <w:lang w:eastAsia="zh-CN"/>
        </w:rPr>
        <w:t>无</w:t>
      </w:r>
      <w:r>
        <w:rPr>
          <w:rFonts w:hint="eastAsia" w:cs="宋体" w:asciiTheme="minorEastAsia" w:hAnsiTheme="minorEastAsia" w:eastAsiaTheme="minorEastAsia"/>
          <w:sz w:val="24"/>
        </w:rPr>
        <w:t>。</w:t>
      </w:r>
    </w:p>
    <w:p>
      <w:pPr>
        <w:pStyle w:val="631"/>
        <w:ind w:firstLine="0"/>
        <w:rPr>
          <w:b/>
        </w:rPr>
      </w:pPr>
      <w:bookmarkStart w:id="26" w:name="_Toc35393800"/>
      <w:bookmarkStart w:id="27" w:name="_Toc35393631"/>
      <w:bookmarkStart w:id="28" w:name="_Toc28359014"/>
      <w:bookmarkStart w:id="29" w:name="_Toc28359091"/>
      <w:r>
        <w:rPr>
          <w:rFonts w:hint="eastAsia"/>
          <w:b/>
        </w:rPr>
        <w:t>三、获取采购文件</w:t>
      </w:r>
      <w:bookmarkEnd w:id="26"/>
      <w:bookmarkEnd w:id="27"/>
      <w:bookmarkEnd w:id="28"/>
      <w:bookmarkEnd w:id="29"/>
    </w:p>
    <w:p>
      <w:pPr>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b/>
          <w:sz w:val="24"/>
        </w:rPr>
        <w:t>时间：</w:t>
      </w:r>
      <w:r>
        <w:rPr>
          <w:rFonts w:hint="eastAsia"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 xml:space="preserve"> 月</w:t>
      </w:r>
      <w:r>
        <w:rPr>
          <w:rFonts w:hint="eastAsia" w:cs="宋体" w:asciiTheme="minorEastAsia" w:hAnsiTheme="minorEastAsia" w:eastAsiaTheme="minorEastAsia"/>
          <w:sz w:val="24"/>
          <w:lang w:val="en-US" w:eastAsia="zh-CN"/>
        </w:rPr>
        <w:t>27</w:t>
      </w:r>
      <w:r>
        <w:rPr>
          <w:rFonts w:hint="eastAsia" w:cs="宋体" w:asciiTheme="minorEastAsia" w:hAnsiTheme="minorEastAsia" w:eastAsiaTheme="minorEastAsia"/>
          <w:sz w:val="24"/>
        </w:rPr>
        <w:t xml:space="preserve"> 日至202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月</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 xml:space="preserve"> 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pPr>
        <w:spacing w:line="360" w:lineRule="auto"/>
        <w:ind w:firstLine="540"/>
        <w:rPr>
          <w:rFonts w:hint="eastAsia" w:ascii="宋体" w:hAnsi="宋体" w:cs="宋体"/>
          <w:sz w:val="24"/>
        </w:rPr>
      </w:pPr>
      <w:r>
        <w:rPr>
          <w:rFonts w:hint="eastAsia" w:cs="宋体" w:asciiTheme="minorEastAsia" w:hAnsiTheme="minorEastAsia" w:eastAsiaTheme="minorEastAsia"/>
          <w:b/>
          <w:sz w:val="24"/>
        </w:rPr>
        <w:t>地点（网址）：</w:t>
      </w:r>
      <w:r>
        <w:rPr>
          <w:rFonts w:hint="eastAsia" w:ascii="宋体" w:hAnsi="宋体" w:cs="宋体"/>
          <w:sz w:val="24"/>
        </w:rPr>
        <w:t>广西政府采购云平台线上获取</w:t>
      </w:r>
    </w:p>
    <w:p>
      <w:pPr>
        <w:spacing w:line="360" w:lineRule="auto"/>
        <w:ind w:firstLine="540"/>
        <w:rPr>
          <w:rFonts w:hint="eastAsia" w:cs="宋体" w:asciiTheme="minorEastAsia" w:hAnsiTheme="minorEastAsia" w:eastAsiaTheme="minorEastAsia"/>
          <w:sz w:val="24"/>
        </w:rPr>
      </w:pPr>
      <w:r>
        <w:rPr>
          <w:rFonts w:hint="eastAsia" w:cs="宋体" w:asciiTheme="minorEastAsia" w:hAnsiTheme="minorEastAsia" w:eastAsiaTheme="minorEastAsia"/>
          <w:b/>
          <w:sz w:val="24"/>
        </w:rPr>
        <w:t>方式：</w:t>
      </w:r>
      <w:r>
        <w:rPr>
          <w:rFonts w:hint="eastAsia" w:cs="宋体" w:asciiTheme="minorEastAsia" w:hAnsiTheme="minorEastAsia" w:eastAsiaTheme="minorEastAsia"/>
          <w:sz w:val="24"/>
        </w:rPr>
        <w:t>供应商登录广西政府采购云平台https://www.gcy.zfcg.gxzf.gov.cn/在线申请获取采购文件（进入“项目采购”应用，在获取采购文件菜单中选择项目，申请获取采购文件）</w:t>
      </w:r>
    </w:p>
    <w:p>
      <w:pPr>
        <w:spacing w:line="360" w:lineRule="auto"/>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pPr>
        <w:pStyle w:val="631"/>
        <w:ind w:firstLine="0"/>
        <w:rPr>
          <w:b/>
        </w:rPr>
      </w:pPr>
      <w:bookmarkStart w:id="30" w:name="_Toc35393801"/>
      <w:bookmarkStart w:id="31" w:name="_Toc35393632"/>
      <w:bookmarkStart w:id="32" w:name="_Toc28359092"/>
      <w:bookmarkStart w:id="33" w:name="_Toc28359015"/>
      <w:r>
        <w:rPr>
          <w:rFonts w:hint="eastAsia"/>
          <w:b/>
        </w:rPr>
        <w:t>四、响应文件提交</w:t>
      </w:r>
      <w:bookmarkEnd w:id="30"/>
      <w:bookmarkEnd w:id="31"/>
      <w:bookmarkEnd w:id="32"/>
      <w:bookmarkEnd w:id="33"/>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 xml:space="preserve">年 </w:t>
      </w:r>
      <w:r>
        <w:rPr>
          <w:rFonts w:hint="eastAsia" w:asciiTheme="minorEastAsia" w:hAnsiTheme="minorEastAsia" w:eastAsiaTheme="minorEastAsia"/>
          <w:bCs/>
          <w:sz w:val="24"/>
          <w:u w:val="single"/>
          <w:lang w:val="en-US" w:eastAsia="zh-CN"/>
        </w:rPr>
        <w:t>6</w:t>
      </w:r>
      <w:r>
        <w:rPr>
          <w:rFonts w:hint="eastAsia" w:asciiTheme="minorEastAsia" w:hAnsiTheme="minorEastAsia" w:eastAsiaTheme="minorEastAsia"/>
          <w:bCs/>
          <w:sz w:val="24"/>
          <w:u w:val="single"/>
        </w:rPr>
        <w:t xml:space="preserve"> 月 </w:t>
      </w:r>
      <w:r>
        <w:rPr>
          <w:rFonts w:hint="eastAsia" w:asciiTheme="minorEastAsia" w:hAnsiTheme="minorEastAsia" w:eastAsiaTheme="minorEastAsia"/>
          <w:bCs/>
          <w:sz w:val="24"/>
          <w:u w:val="single"/>
          <w:lang w:val="en-US" w:eastAsia="zh-CN"/>
        </w:rPr>
        <w:t>12</w:t>
      </w:r>
      <w:r>
        <w:rPr>
          <w:rFonts w:hint="eastAsia" w:asciiTheme="minorEastAsia" w:hAnsiTheme="minorEastAsia" w:eastAsiaTheme="minorEastAsia"/>
          <w:bCs/>
          <w:sz w:val="24"/>
          <w:u w:val="single"/>
        </w:rPr>
        <w:t xml:space="preserve"> 日 </w:t>
      </w:r>
      <w:r>
        <w:rPr>
          <w:rFonts w:hint="eastAsia" w:asciiTheme="minorEastAsia" w:hAnsiTheme="minorEastAsia" w:eastAsiaTheme="minorEastAsia"/>
          <w:bCs/>
          <w:sz w:val="24"/>
          <w:u w:val="single"/>
          <w:lang w:val="en-US" w:eastAsia="zh-CN"/>
        </w:rPr>
        <w:t>9</w:t>
      </w:r>
      <w:r>
        <w:rPr>
          <w:rFonts w:hint="eastAsia" w:asciiTheme="minorEastAsia" w:hAnsiTheme="minorEastAsia" w:eastAsiaTheme="minorEastAsia"/>
          <w:bCs/>
          <w:sz w:val="24"/>
          <w:u w:val="single"/>
        </w:rPr>
        <w:t xml:space="preserve"> 点 </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 xml:space="preserve"> 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仿宋_GB2312" w:asciiTheme="minorEastAsia" w:hAnsiTheme="minorEastAsia" w:eastAsiaTheme="minorEastAsia"/>
          <w:b/>
          <w:sz w:val="24"/>
        </w:rPr>
        <w:t>。</w:t>
      </w:r>
    </w:p>
    <w:p>
      <w:pPr>
        <w:pStyle w:val="631"/>
        <w:ind w:firstLine="0"/>
        <w:rPr>
          <w:b/>
        </w:rPr>
      </w:pPr>
      <w:bookmarkStart w:id="34" w:name="_Toc35393802"/>
      <w:bookmarkStart w:id="35" w:name="_Toc28359093"/>
      <w:bookmarkStart w:id="36" w:name="_Toc35393633"/>
      <w:bookmarkStart w:id="37" w:name="_Toc28359016"/>
      <w:r>
        <w:rPr>
          <w:rFonts w:hint="eastAsia"/>
          <w:b/>
        </w:rPr>
        <w:t>五、响应文件开启</w:t>
      </w:r>
      <w:bookmarkEnd w:id="34"/>
      <w:bookmarkEnd w:id="35"/>
      <w:bookmarkEnd w:id="36"/>
      <w:bookmarkEnd w:id="37"/>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 xml:space="preserve">年 </w:t>
      </w:r>
      <w:r>
        <w:rPr>
          <w:rFonts w:hint="eastAsia" w:asciiTheme="minorEastAsia" w:hAnsiTheme="minorEastAsia" w:eastAsiaTheme="minorEastAsia"/>
          <w:bCs/>
          <w:sz w:val="24"/>
          <w:u w:val="single"/>
          <w:lang w:val="en-US" w:eastAsia="zh-CN"/>
        </w:rPr>
        <w:t>6</w:t>
      </w:r>
      <w:r>
        <w:rPr>
          <w:rFonts w:hint="eastAsia" w:asciiTheme="minorEastAsia" w:hAnsiTheme="minorEastAsia" w:eastAsiaTheme="minorEastAsia"/>
          <w:bCs/>
          <w:sz w:val="24"/>
          <w:u w:val="single"/>
        </w:rPr>
        <w:t xml:space="preserve"> 月</w:t>
      </w:r>
      <w:r>
        <w:rPr>
          <w:rFonts w:hint="eastAsia" w:asciiTheme="minorEastAsia" w:hAnsiTheme="minorEastAsia" w:eastAsiaTheme="minorEastAsia"/>
          <w:bCs/>
          <w:sz w:val="24"/>
          <w:u w:val="single"/>
          <w:lang w:val="en-US" w:eastAsia="zh-CN"/>
        </w:rPr>
        <w:t>12</w:t>
      </w:r>
      <w:r>
        <w:rPr>
          <w:rFonts w:hint="eastAsia" w:asciiTheme="minorEastAsia" w:hAnsiTheme="minorEastAsia" w:eastAsiaTheme="minorEastAsia"/>
          <w:bCs/>
          <w:sz w:val="24"/>
          <w:u w:val="single"/>
        </w:rPr>
        <w:t xml:space="preserve">  日 </w:t>
      </w:r>
      <w:r>
        <w:rPr>
          <w:rFonts w:hint="eastAsia" w:asciiTheme="minorEastAsia" w:hAnsiTheme="minorEastAsia" w:eastAsiaTheme="minorEastAsia"/>
          <w:bCs/>
          <w:sz w:val="24"/>
          <w:u w:val="single"/>
          <w:lang w:val="en-US" w:eastAsia="zh-CN"/>
        </w:rPr>
        <w:t>9</w:t>
      </w:r>
      <w:r>
        <w:rPr>
          <w:rFonts w:hint="eastAsia" w:asciiTheme="minorEastAsia" w:hAnsiTheme="minorEastAsia" w:eastAsiaTheme="minorEastAsia"/>
          <w:bCs/>
          <w:sz w:val="24"/>
          <w:u w:val="single"/>
        </w:rPr>
        <w:t xml:space="preserve"> 点 </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 xml:space="preserve"> 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pPr>
        <w:pStyle w:val="631"/>
        <w:ind w:firstLine="0"/>
        <w:rPr>
          <w:b/>
        </w:rPr>
      </w:pPr>
      <w:bookmarkStart w:id="38" w:name="_Toc35393634"/>
      <w:bookmarkStart w:id="39" w:name="_Toc28359094"/>
      <w:bookmarkStart w:id="40" w:name="_Toc35393803"/>
      <w:bookmarkStart w:id="41" w:name="_Toc28359017"/>
      <w:r>
        <w:rPr>
          <w:rFonts w:hint="eastAsia"/>
          <w:b/>
        </w:rPr>
        <w:t>六、公告期限</w:t>
      </w:r>
      <w:bookmarkEnd w:id="38"/>
      <w:bookmarkEnd w:id="39"/>
      <w:bookmarkEnd w:id="40"/>
      <w:bookmarkEnd w:id="41"/>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pPr>
        <w:pStyle w:val="631"/>
        <w:ind w:firstLine="0"/>
        <w:rPr>
          <w:b/>
        </w:rPr>
      </w:pPr>
      <w:bookmarkStart w:id="42" w:name="_Toc35393804"/>
      <w:bookmarkStart w:id="43" w:name="_Toc35393635"/>
      <w:r>
        <w:rPr>
          <w:rFonts w:hint="eastAsia"/>
          <w:b/>
        </w:rPr>
        <w:t>七、其他补充事宜</w:t>
      </w:r>
      <w:bookmarkEnd w:id="42"/>
      <w:bookmarkEnd w:id="43"/>
    </w:p>
    <w:p>
      <w:pPr>
        <w:spacing w:line="360" w:lineRule="auto"/>
        <w:ind w:firstLine="480" w:firstLineChars="200"/>
        <w:rPr>
          <w:rFonts w:ascii="宋体" w:hAnsi="宋体" w:cs="宋体"/>
          <w:sz w:val="24"/>
        </w:rPr>
      </w:pPr>
      <w:r>
        <w:rPr>
          <w:rFonts w:hint="eastAsia" w:ascii="宋体" w:hAnsi="宋体" w:cs="宋体"/>
          <w:sz w:val="24"/>
        </w:rPr>
        <w:t>1.谈判保证金：</w:t>
      </w:r>
      <w:r>
        <w:rPr>
          <w:rFonts w:hint="eastAsia" w:ascii="宋体" w:hAnsi="宋体" w:cs="宋体"/>
          <w:sz w:val="24"/>
          <w:lang w:eastAsia="zh-CN"/>
        </w:rPr>
        <w:t>本项目不</w:t>
      </w:r>
      <w:r>
        <w:rPr>
          <w:rFonts w:hint="eastAsia" w:ascii="宋体" w:hAnsi="宋体" w:cs="宋体"/>
          <w:sz w:val="24"/>
        </w:rPr>
        <w:t>收取谈判保证金。</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2.本项目需要落实的政府采购政策：（1）支持中小企业发展：</w:t>
      </w:r>
      <w:r>
        <w:rPr>
          <w:rFonts w:hint="eastAsia" w:ascii="宋体" w:hAnsi="宋体" w:cs="宋体"/>
          <w:sz w:val="24"/>
          <w:lang w:eastAsia="zh-CN"/>
        </w:rPr>
        <w:t>专门面向小微企业采购。</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）支持监狱企业、残疾人福利性单位发展：监狱企业、残疾人福利性单位视同小型和微型企业。（</w:t>
      </w:r>
      <w:r>
        <w:rPr>
          <w:rFonts w:hint="eastAsia" w:ascii="宋体" w:hAnsi="宋体" w:cs="宋体"/>
          <w:sz w:val="24"/>
          <w:lang w:val="en-US" w:eastAsia="zh-CN"/>
        </w:rPr>
        <w:t>3</w:t>
      </w:r>
      <w:r>
        <w:rPr>
          <w:rFonts w:hint="eastAsia" w:ascii="宋体" w:hAnsi="宋体" w:cs="宋体"/>
          <w:sz w:val="24"/>
        </w:rPr>
        <w:t>）平等对待内外资企业和符合条件的破产重整企业。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left="239" w:leftChars="114" w:firstLine="240" w:firstLineChars="100"/>
        <w:rPr>
          <w:rFonts w:hint="eastAsia" w:ascii="宋体" w:hAnsi="宋体" w:cs="宋体"/>
          <w:sz w:val="24"/>
          <w:lang w:eastAsia="zh-CN"/>
        </w:rPr>
      </w:pPr>
      <w:r>
        <w:rPr>
          <w:rFonts w:hint="eastAsia" w:ascii="宋体" w:hAnsi="宋体" w:cs="宋体"/>
          <w:sz w:val="24"/>
        </w:rPr>
        <w:t>4.网上公告媒体查询：中国政府采购网、广西政府采购网、北海市政府采购监管网</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sz w:val="24"/>
        </w:rPr>
      </w:pPr>
      <w:r>
        <w:rPr>
          <w:rFonts w:hint="eastAsia" w:ascii="宋体" w:hAnsi="宋体" w:cs="宋体"/>
          <w:sz w:val="24"/>
        </w:rPr>
        <w:t>7.本项目采用远程异地评标。</w:t>
      </w:r>
    </w:p>
    <w:p>
      <w:pPr>
        <w:pStyle w:val="631"/>
        <w:ind w:firstLine="0"/>
        <w:rPr>
          <w:b/>
        </w:rPr>
      </w:pPr>
      <w:bookmarkStart w:id="44" w:name="_Toc28359095"/>
      <w:bookmarkStart w:id="45" w:name="_Toc35393805"/>
      <w:bookmarkStart w:id="46" w:name="_Toc35393636"/>
      <w:bookmarkStart w:id="47" w:name="_Toc28359018"/>
      <w:r>
        <w:rPr>
          <w:rFonts w:hint="eastAsia"/>
          <w:b/>
        </w:rPr>
        <w:t>八、凡对本次采购提出询问，请按以下方式联系</w:t>
      </w:r>
      <w:bookmarkEnd w:id="44"/>
      <w:bookmarkEnd w:id="45"/>
      <w:bookmarkEnd w:id="46"/>
      <w:bookmarkEnd w:id="47"/>
    </w:p>
    <w:p>
      <w:pPr>
        <w:pStyle w:val="631"/>
        <w:ind w:firstLine="0"/>
        <w:rPr>
          <w:b/>
        </w:rPr>
      </w:pPr>
      <w:bookmarkStart w:id="48" w:name="_Toc28359096"/>
      <w:bookmarkStart w:id="49" w:name="_Toc28359019"/>
      <w:bookmarkStart w:id="50" w:name="_Toc35393637"/>
      <w:bookmarkStart w:id="51" w:name="_Toc35393806"/>
      <w:r>
        <w:rPr>
          <w:rFonts w:hint="eastAsia"/>
          <w:b/>
        </w:rPr>
        <w:t>1.采购人信息</w:t>
      </w:r>
      <w:bookmarkEnd w:id="48"/>
      <w:bookmarkEnd w:id="49"/>
      <w:bookmarkEnd w:id="50"/>
      <w:bookmarkEnd w:id="51"/>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名</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称： </w:t>
      </w:r>
      <w:r>
        <w:rPr>
          <w:rFonts w:hint="eastAsia" w:ascii="宋体" w:hAnsi="宋体" w:cs="宋体" w:eastAsiaTheme="minorEastAsia"/>
          <w:sz w:val="24"/>
          <w:lang w:eastAsia="zh-CN"/>
        </w:rPr>
        <w:t>合浦县妇幼保健院（合浦县妇幼保健院计划生育服务中心）</w:t>
      </w:r>
    </w:p>
    <w:p>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 xml:space="preserve">    地    址：</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合浦县廉州镇公园路396号</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项目联系人：黄安祺</w:t>
      </w:r>
      <w:r>
        <w:rPr>
          <w:rFonts w:hint="eastAsia" w:asciiTheme="minorEastAsia" w:hAnsiTheme="minorEastAsia" w:eastAsiaTheme="minorEastAsia"/>
          <w:sz w:val="24"/>
        </w:rPr>
        <w:tab/>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项目联系方式：0779-7284360</w:t>
      </w:r>
    </w:p>
    <w:p>
      <w:pPr>
        <w:pStyle w:val="631"/>
        <w:ind w:firstLine="0"/>
        <w:rPr>
          <w:b/>
        </w:rPr>
      </w:pPr>
      <w:bookmarkStart w:id="52" w:name="_Toc28359020"/>
      <w:bookmarkStart w:id="53" w:name="_Toc35393638"/>
      <w:bookmarkStart w:id="54" w:name="_Toc35393807"/>
      <w:bookmarkStart w:id="55" w:name="_Toc28359097"/>
      <w:r>
        <w:rPr>
          <w:rFonts w:hint="eastAsia"/>
          <w:b/>
        </w:rPr>
        <w:t>2.采购代理机构信息</w:t>
      </w:r>
      <w:bookmarkEnd w:id="52"/>
      <w:bookmarkEnd w:id="53"/>
      <w:bookmarkEnd w:id="54"/>
      <w:bookmarkEnd w:id="55"/>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名    称：</w:t>
      </w:r>
      <w:r>
        <w:rPr>
          <w:rFonts w:hint="eastAsia" w:asciiTheme="minorEastAsia" w:hAnsiTheme="minorEastAsia" w:eastAsiaTheme="minorEastAsia"/>
          <w:sz w:val="24"/>
          <w:lang w:eastAsia="zh-CN"/>
        </w:rPr>
        <w:t>北海市政府采购中心</w:t>
      </w:r>
      <w:r>
        <w:rPr>
          <w:rFonts w:hint="eastAsia" w:asciiTheme="minorEastAsia" w:hAnsiTheme="minorEastAsia" w:eastAsiaTheme="minorEastAsia"/>
          <w:sz w:val="24"/>
        </w:rPr>
        <w:t xml:space="preserve">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地    址：</w:t>
      </w:r>
      <w:r>
        <w:rPr>
          <w:rFonts w:hint="eastAsia" w:asciiTheme="minorEastAsia" w:hAnsiTheme="minorEastAsia" w:eastAsiaTheme="minorEastAsia"/>
          <w:sz w:val="24"/>
          <w:lang w:eastAsia="zh-CN"/>
        </w:rPr>
        <w:t>北海市海城区陈文村北路</w:t>
      </w:r>
      <w:r>
        <w:rPr>
          <w:rFonts w:hint="eastAsia" w:asciiTheme="minorEastAsia" w:hAnsiTheme="minorEastAsia" w:eastAsiaTheme="minorEastAsia"/>
          <w:sz w:val="24"/>
          <w:lang w:val="en-US" w:eastAsia="zh-CN"/>
        </w:rPr>
        <w:t>7号市直机关第三办公区</w:t>
      </w:r>
      <w:r>
        <w:rPr>
          <w:rFonts w:asciiTheme="minorEastAsia" w:hAnsiTheme="minorEastAsia" w:eastAsiaTheme="minorEastAsia"/>
          <w:sz w:val="24"/>
        </w:rPr>
        <w:t xml:space="preserve"> </w:t>
      </w:r>
    </w:p>
    <w:p>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 xml:space="preserve">    项目联系人（询问）：</w:t>
      </w:r>
      <w:r>
        <w:rPr>
          <w:rFonts w:hint="eastAsia" w:asciiTheme="minorEastAsia" w:hAnsiTheme="minorEastAsia" w:eastAsiaTheme="minorEastAsia"/>
          <w:sz w:val="24"/>
          <w:lang w:eastAsia="zh-CN"/>
        </w:rPr>
        <w:t>莫工</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项目联系方式（询问）：</w:t>
      </w:r>
      <w:r>
        <w:rPr>
          <w:rFonts w:hint="eastAsia" w:asciiTheme="minorEastAsia" w:hAnsiTheme="minorEastAsia" w:eastAsiaTheme="minorEastAsia"/>
          <w:sz w:val="24"/>
          <w:lang w:val="en-US" w:eastAsia="zh-CN"/>
        </w:rPr>
        <w:t>0779-3056122</w:t>
      </w:r>
      <w:r>
        <w:rPr>
          <w:rFonts w:hint="eastAsia" w:asciiTheme="minorEastAsia" w:hAnsiTheme="minorEastAsia" w:eastAsiaTheme="minorEastAsia"/>
          <w:sz w:val="24"/>
        </w:rPr>
        <w:t xml:space="preserve"> </w:t>
      </w:r>
    </w:p>
    <w:p>
      <w:pPr>
        <w:pStyle w:val="631"/>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pPr>
        <w:spacing w:line="360" w:lineRule="auto"/>
        <w:rPr>
          <w:rFonts w:cs="仿宋_GB2312" w:asciiTheme="minorEastAsia" w:hAnsiTheme="minorEastAsia" w:eastAsiaTheme="minorEastAsia"/>
          <w:sz w:val="24"/>
        </w:rPr>
      </w:pPr>
    </w:p>
    <w:p>
      <w:pPr>
        <w:pStyle w:val="31"/>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2"/>
          <w:szCs w:val="20"/>
        </w:rPr>
      </w:pPr>
      <w:bookmarkStart w:id="56" w:name="_Toc181265282"/>
      <w:r>
        <w:rPr>
          <w:rFonts w:hint="eastAsia" w:cs="仿宋_GB2312" w:asciiTheme="minorEastAsia" w:hAnsiTheme="minorEastAsia" w:eastAsiaTheme="minorEastAsia"/>
          <w:b/>
          <w:sz w:val="36"/>
          <w:szCs w:val="20"/>
        </w:rPr>
        <w:t>第二部分  竞争性谈判流程</w:t>
      </w:r>
      <w:bookmarkEnd w:id="56"/>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pPr>
        <w:pStyle w:val="392"/>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由采购人、采购代理机构在省级以上人民政府财政部门指定的政府采购信息发布媒体上发布谈判公告，邀请符合相应资格条件的供应商参与竞争性谈判采购活动。</w:t>
      </w:r>
    </w:p>
    <w:p>
      <w:pPr>
        <w:pStyle w:val="392"/>
        <w:spacing w:before="0"/>
        <w:ind w:firstLine="482"/>
        <w:rPr>
          <w:rFonts w:asciiTheme="minorEastAsia" w:hAnsiTheme="minorEastAsia" w:eastAsiaTheme="minorEastAsia"/>
          <w:szCs w:val="24"/>
        </w:rPr>
      </w:pP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由采购人、采购代理机构从省级以上财政部门建立的供应商库中随机抽取不少于3家符合相应资格条件的供应商参与竞争性谈判采购活动。</w:t>
      </w:r>
    </w:p>
    <w:p>
      <w:pPr>
        <w:pStyle w:val="392"/>
        <w:spacing w:before="0"/>
        <w:ind w:firstLine="482"/>
        <w:rPr>
          <w:rFonts w:asciiTheme="minorEastAsia" w:hAnsiTheme="minorEastAsia" w:eastAsiaTheme="minorEastAsia"/>
          <w:szCs w:val="24"/>
        </w:rPr>
      </w:pP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1.2供应商获取谈判文件。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1.4发布更正（延期）公告，澄清或修改谈判文件（如果有）。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1.5供应商按谈判文件要求编制响应文件。</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3.谈判与评审</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3.1谈判小组签到。</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3.2采购代理机构宣布有关纪律以及谈判、评审工作程序。</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3.3谈判小组审查确认谈判文件。谈判文件内容违反国家有关强制性规定的，谈判小组应当停止评审并向采购代理机构说明情况。</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3.4谈判小组对供应商的资格进行审查。</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3.5谈判小组审查响应文件。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3.6对于未实质性响应谈判文件的响应文件由谈判小组认定响应无效，并告知该供应商。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3.11谈判小组按照下列方式确定提交最后报价的供应商，有特殊规定的从其规定：</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3.13谈判小组应当从质量和服务均能满足采购文件实质性响应要求的供应商中，按照最后报价由低到高的顺序提出3名以上成交候选人，并编写评审报告。</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4. 成交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pPr>
        <w:pStyle w:val="392"/>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6.竞争性谈判流程图</w:t>
      </w:r>
    </w:p>
    <w:p>
      <w:pPr>
        <w:pStyle w:val="392"/>
        <w:spacing w:before="0"/>
        <w:ind w:firstLine="0" w:firstLineChars="0"/>
        <w:rPr>
          <w:rFonts w:asciiTheme="minorEastAsia" w:hAnsiTheme="minorEastAsia" w:eastAsiaTheme="minorEastAsia"/>
          <w:b/>
        </w:rPr>
      </w:pPr>
    </w:p>
    <w:p>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最后报价评定</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最后报价评定</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6"/>
          <w:szCs w:val="20"/>
        </w:rPr>
      </w:pPr>
      <w:bookmarkStart w:id="57" w:name="_Toc181265283"/>
      <w:r>
        <w:rPr>
          <w:rFonts w:hint="eastAsia" w:cs="仿宋_GB2312" w:asciiTheme="minorEastAsia" w:hAnsiTheme="minorEastAsia" w:eastAsiaTheme="minorEastAsia"/>
          <w:b/>
          <w:sz w:val="36"/>
          <w:szCs w:val="20"/>
        </w:rPr>
        <w:t>第三部分</w:t>
      </w:r>
      <w:bookmarkEnd w:id="13"/>
      <w:r>
        <w:rPr>
          <w:rFonts w:hint="eastAsia" w:cs="仿宋_GB2312" w:asciiTheme="minorEastAsia" w:hAnsiTheme="minorEastAsia" w:eastAsiaTheme="minorEastAsia"/>
          <w:b/>
          <w:sz w:val="36"/>
          <w:szCs w:val="20"/>
        </w:rPr>
        <w:t xml:space="preserve">  供应商须知</w:t>
      </w:r>
      <w:bookmarkEnd w:id="14"/>
      <w:bookmarkEnd w:id="57"/>
    </w:p>
    <w:p>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lang w:eastAsia="zh-CN"/>
              </w:rPr>
              <w:t>保洁服务</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lang w:eastAsia="zh-CN"/>
              </w:rPr>
              <w:t>物业管理</w:t>
            </w:r>
            <w:r>
              <w:rPr>
                <w:rFonts w:hint="eastAsia" w:cs="宋体" w:asciiTheme="minorEastAsia" w:hAnsiTheme="minorEastAsia" w:eastAsiaTheme="minorEastAsia"/>
                <w:kern w:val="0"/>
                <w:sz w:val="24"/>
              </w:rPr>
              <w:t>行业；</w:t>
            </w:r>
          </w:p>
          <w:p>
            <w:pPr>
              <w:pStyle w:val="4"/>
              <w:numPr>
                <w:ilvl w:val="0"/>
                <w:numId w:val="0"/>
              </w:numPr>
              <w:ind w:left="432"/>
              <w:jc w:val="both"/>
              <w:rPr>
                <w:rFonts w:cs="宋体" w:asciiTheme="minorEastAsia" w:hAnsiTheme="minorEastAsia" w:eastAsiaTheme="minorEastAsia"/>
                <w:b w:val="0"/>
                <w:bCs w:val="0"/>
                <w:kern w:val="0"/>
                <w:sz w:val="24"/>
                <w:szCs w:val="24"/>
                <w:lang w:val="en-US"/>
              </w:rPr>
            </w:pPr>
            <w:r>
              <w:rPr>
                <w:rFonts w:hint="eastAsia" w:cs="宋体" w:asciiTheme="minorEastAsia" w:hAnsiTheme="minorEastAsia" w:eastAsiaTheme="minorEastAsia"/>
                <w:b w:val="0"/>
                <w:bCs w:val="0"/>
                <w:kern w:val="0"/>
                <w:sz w:val="24"/>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（1）资格证明文件：见谈判文件第三部分 六。</w:t>
            </w:r>
          </w:p>
          <w:p>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供应商未提供有效的资格证明文件的，视为供应商不具备谈判文件中规定的资格要求，响应无效。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520"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（2）资信证明文件：根据谈判文件采购需求等有关要求提供。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。谈判文件中价格全部采用人民币报价。谈判文件未列明，而供应商认为必需的费用也需列入报价。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pPr>
              <w:snapToGrid w:val="0"/>
              <w:spacing w:line="360" w:lineRule="auto"/>
              <w:ind w:firstLine="482" w:firstLineChars="200"/>
              <w:jc w:val="left"/>
              <w:rPr>
                <w:rFonts w:ascii="宋体" w:hAnsi="宋体" w:cs="宋体"/>
                <w:b/>
                <w:color w:val="FF0000"/>
                <w:kern w:val="0"/>
                <w:sz w:val="24"/>
                <w:lang w:val="zh-CN"/>
              </w:rPr>
            </w:pPr>
            <w:r>
              <w:rPr>
                <w:rFonts w:hint="eastAsia" w:cs="宋体" w:asciiTheme="minorEastAsia" w:hAnsiTheme="minorEastAsia" w:eastAsiaTheme="minorEastAsia"/>
                <w:b/>
                <w:kern w:val="0"/>
                <w:sz w:val="24"/>
                <w:lang w:val="zh-CN"/>
              </w:rPr>
              <w:t>最后报价超过谈判文件中规定的预算金额或者最高限价的;</w:t>
            </w:r>
            <w:r>
              <w:rPr>
                <w:rFonts w:hint="eastAsia" w:ascii="宋体" w:hAnsi="宋体" w:cs="宋体"/>
                <w:b/>
                <w:color w:val="FF0000"/>
                <w:kern w:val="0"/>
                <w:sz w:val="24"/>
                <w:lang w:val="zh-CN"/>
              </w:rPr>
              <w:t xml:space="preserve"> </w:t>
            </w:r>
          </w:p>
          <w:p>
            <w:pPr>
              <w:snapToGrid w:val="0"/>
              <w:spacing w:line="360" w:lineRule="auto"/>
              <w:ind w:firstLine="482" w:firstLineChars="200"/>
              <w:jc w:val="left"/>
              <w:rPr>
                <w:rFonts w:ascii="宋体" w:hAnsi="宋体" w:cs="宋体"/>
                <w:color w:val="FF0000"/>
                <w:kern w:val="0"/>
                <w:sz w:val="24"/>
                <w:lang w:val="zh-CN"/>
              </w:rPr>
            </w:pPr>
            <w:r>
              <w:rPr>
                <w:rFonts w:hint="eastAsia" w:ascii="宋体" w:hAnsi="宋体" w:cs="宋体"/>
                <w:b/>
                <w:color w:val="FF0000"/>
                <w:kern w:val="0"/>
                <w:sz w:val="24"/>
                <w:lang w:val="zh-CN"/>
              </w:rPr>
              <w:t>最后报价属于谈判文件规定的政府采购异常低价情形之一，且供应商不能提供书面说明、证明材料，或者提供的书面说明、证明材料不能证明其报价合理性的;</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520"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1"/>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w:t>
            </w:r>
            <w:r>
              <w:rPr>
                <w:rFonts w:hint="eastAsia" w:hAnsi="宋体" w:cs="宋体"/>
                <w:kern w:val="28"/>
                <w:sz w:val="24"/>
              </w:rPr>
              <w:t>响应</w:t>
            </w:r>
            <w:r>
              <w:rPr>
                <w:rFonts w:hint="eastAsia" w:ascii="宋体" w:hAnsi="宋体" w:cs="宋体"/>
                <w:snapToGrid w:val="0"/>
                <w:kern w:val="28"/>
                <w:sz w:val="24"/>
              </w:rPr>
              <w:t>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联合体响应的，联合体各方均需按谈判文件第五部分评审标准要求提供资信证明文件，否则视为不符合相关要求。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本谈判文件解释权属采购人及代理机构。</w:t>
            </w:r>
          </w:p>
        </w:tc>
      </w:tr>
    </w:tbl>
    <w:p>
      <w:pPr>
        <w:snapToGrid w:val="0"/>
        <w:jc w:val="center"/>
        <w:rPr>
          <w:rFonts w:cs="仿宋_GB2312" w:asciiTheme="minorEastAsia" w:hAnsiTheme="minorEastAsia" w:eastAsiaTheme="minorEastAsia"/>
          <w:b/>
          <w:sz w:val="32"/>
          <w:szCs w:val="20"/>
        </w:rPr>
      </w:pPr>
    </w:p>
    <w:p>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本谈判文件适用于该项目的邀请、响应、开启响应文件、信用信息查询、资格性审查、评审、成交、合同、验收等行为（法律、法规另有规定的，从其规定）。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“采购人”系指谈判邀请公告中载明的本项目的采购人。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“采购代理机构”系指谈判邀请公告中载明的本项目的采购代理机构。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“供应商”系指响应谈判、参加本次竞争的法人、其他组织或自然人。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 “</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pPr>
        <w:spacing w:line="360" w:lineRule="auto"/>
        <w:ind w:firstLine="480" w:firstLineChars="200"/>
      </w:pPr>
      <w:r>
        <w:rPr>
          <w:rFonts w:hint="eastAsia" w:asciiTheme="minorEastAsia" w:hAnsiTheme="minorEastAsia" w:eastAsiaTheme="minor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 “▲” 系指实质性要求条款， “※”系指谈判过程中可能实质性变动的内容，</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诺的响应有效期少于谈判文件中载明的谈判有效期的，响应无效。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拒绝延长谈判有效期的供应商不得再参与该项目后续采购活动。</w:t>
      </w:r>
    </w:p>
    <w:p>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pPr>
        <w:pStyle w:val="31"/>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pPr>
        <w:spacing w:line="360" w:lineRule="auto"/>
        <w:jc w:val="center"/>
        <w:rPr>
          <w:rFonts w:cs="仿宋_GB2312" w:asciiTheme="minorEastAsia" w:hAnsiTheme="minorEastAsia" w:eastAsiaTheme="minorEastAsia"/>
          <w:b/>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2.实施本国产品标准及相关政策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color w:val="FF0000"/>
          <w:sz w:val="24"/>
        </w:rPr>
      </w:pPr>
      <w:r>
        <w:rPr>
          <w:rFonts w:hint="eastAsia" w:ascii="宋体" w:hAnsi="宋体" w:cs="宋体"/>
          <w:color w:val="FF0000"/>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color w:val="FF0000"/>
          <w:sz w:val="24"/>
        </w:rPr>
      </w:pPr>
      <w:r>
        <w:rPr>
          <w:rFonts w:hint="eastAsia" w:ascii="宋体" w:hAnsi="宋体" w:cs="宋体"/>
          <w:color w:val="FF0000"/>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color w:val="FF0000"/>
          <w:sz w:val="24"/>
        </w:rPr>
      </w:pPr>
      <w:r>
        <w:rPr>
          <w:rFonts w:hint="eastAsia" w:ascii="宋体" w:hAnsi="宋体" w:cs="宋体"/>
          <w:color w:val="FF0000"/>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rPr>
          <w:rFonts w:ascii="宋体" w:hAnsi="宋体" w:cs="宋体"/>
          <w:color w:val="FF0000"/>
          <w:sz w:val="24"/>
        </w:rPr>
      </w:pPr>
      <w:r>
        <w:rPr>
          <w:rFonts w:hint="eastAsia" w:ascii="宋体" w:hAnsi="宋体" w:cs="宋体"/>
          <w:color w:val="FF0000"/>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pPr>
        <w:spacing w:line="360" w:lineRule="auto"/>
        <w:ind w:firstLine="480" w:firstLineChars="200"/>
        <w:rPr>
          <w:rFonts w:ascii="宋体" w:hAnsi="宋体" w:cs="宋体"/>
          <w:color w:val="FF0000"/>
          <w:sz w:val="24"/>
        </w:rPr>
      </w:pPr>
      <w:r>
        <w:rPr>
          <w:rFonts w:hint="eastAsia" w:ascii="宋体" w:hAnsi="宋体" w:cs="宋体"/>
          <w:color w:val="FF0000"/>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2.6成交供应商提供的《声明函》或有关证明文件应当随成交结果同时公告。其他未尽事宜按照《国务院办公厅关于在政府采购中实施本国产品标准及相关政策的通知》（国办发〔2025〕34号）执行。</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3.支持绿色发展</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 xml:space="preserve">.4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1"/>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4.支持中小企业发展。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Cs/>
          <w:sz w:val="24"/>
        </w:rPr>
        <w:t>4</w:t>
      </w:r>
      <w:r>
        <w:rPr>
          <w:rFonts w:cs="宋体" w:asciiTheme="minorEastAsia" w:hAnsiTheme="minorEastAsia" w:eastAsiaTheme="minorEastAsia"/>
          <w:bCs/>
          <w:sz w:val="24"/>
        </w:rPr>
        <w:t>.2</w:t>
      </w:r>
      <w:r>
        <w:rPr>
          <w:rFonts w:hint="eastAsia" w:cs="宋体" w:asciiTheme="minorEastAsia" w:hAnsiTheme="minorEastAsia" w:eastAsiaTheme="minor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5.</w:t>
      </w:r>
      <w:r>
        <w:rPr>
          <w:rFonts w:hint="eastAsia" w:cs="宋体" w:asciiTheme="minorEastAsia" w:hAnsiTheme="minorEastAsia" w:eastAsiaTheme="minorEastAsia"/>
          <w:b/>
          <w:bCs/>
          <w:sz w:val="24"/>
        </w:rPr>
        <w:t>支持创新发展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采购人优先采购被认定为首台套产品和“制造精品”的自主创新产品。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spacing w:line="360" w:lineRule="auto"/>
        <w:rPr>
          <w:rFonts w:ascii="宋体" w:hAnsi="宋体" w:cs="宋体"/>
          <w:b/>
          <w:sz w:val="24"/>
        </w:rPr>
      </w:pPr>
      <w:r>
        <w:rPr>
          <w:rFonts w:hint="eastAsia" w:cs="宋体" w:asciiTheme="minorEastAsia" w:hAnsiTheme="minorEastAsia" w:eastAsiaTheme="minorEastAsia"/>
          <w:b/>
          <w:sz w:val="24"/>
        </w:rPr>
        <w:t>6.</w:t>
      </w:r>
      <w:r>
        <w:rPr>
          <w:rFonts w:hint="eastAsia" w:ascii="宋体" w:hAnsi="宋体" w:cs="宋体"/>
          <w:b/>
          <w:sz w:val="24"/>
        </w:rPr>
        <w:t>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rPr>
      </w:pPr>
      <w:r>
        <w:rPr>
          <w:rFonts w:hint="eastAsia" w:cs="宋体" w:asciiTheme="minorEastAsia" w:hAnsiTheme="minorEastAsia" w:eastAsiaTheme="minorEastAsia"/>
          <w:b/>
        </w:rPr>
        <w:t>7.</w:t>
      </w:r>
      <w:r>
        <w:rPr>
          <w:rFonts w:hint="eastAsia"/>
          <w:b/>
        </w:rPr>
        <w:t>平等对待符合条件的破产重整企业</w:t>
      </w:r>
    </w:p>
    <w:p>
      <w:pPr>
        <w:pStyle w:val="631"/>
      </w:pPr>
      <w:r>
        <w:rPr>
          <w:rFonts w:hint="eastAsia" w:cs="宋体"/>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pPr>
        <w:pStyle w:val="31"/>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58" w:name="OLE_LINK18"/>
      <w:bookmarkStart w:id="59" w:name="OLE_LINK19"/>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pPr>
      <w:r>
        <w:rPr>
          <w:rFonts w:hint="eastAsia" w:asciiTheme="minorEastAsia" w:hAnsiTheme="minorEastAsia" w:eastAsiaTheme="minorEastAsia"/>
          <w:color w:val="000000" w:themeColor="text1"/>
          <w:sz w:val="24"/>
          <w:lang w:val="zh-CN"/>
          <w14:textFill>
            <w14:solidFill>
              <w14:schemeClr w14:val="tx1"/>
            </w14:solidFill>
          </w14:textFill>
        </w:rPr>
        <w:t>投诉联系部门：</w:t>
      </w:r>
      <w:bookmarkEnd w:id="58"/>
      <w:bookmarkEnd w:id="59"/>
      <w:r>
        <w:rPr>
          <w:rFonts w:hint="eastAsia" w:asciiTheme="minorEastAsia" w:hAnsiTheme="minorEastAsia" w:eastAsiaTheme="minorEastAsia"/>
          <w:sz w:val="24"/>
          <w:highlight w:val="none"/>
          <w:lang w:val="zh-CN"/>
        </w:rPr>
        <w:t>合浦县财政局，联系电话：</w:t>
      </w:r>
      <w:r>
        <w:rPr>
          <w:rFonts w:hint="eastAsia"/>
          <w:bCs/>
        </w:rPr>
        <w:t xml:space="preserve"> </w:t>
      </w:r>
      <w:r>
        <w:rPr>
          <w:rFonts w:hint="eastAsia" w:asciiTheme="minorEastAsia" w:hAnsiTheme="minorEastAsia" w:eastAsiaTheme="minorEastAsia"/>
          <w:sz w:val="24"/>
          <w:highlight w:val="none"/>
          <w:lang w:val="zh-CN"/>
        </w:rPr>
        <w:t>0779-7213187，</w:t>
      </w:r>
      <w:r>
        <w:rPr>
          <w:rFonts w:hint="eastAsia" w:asciiTheme="minorEastAsia" w:hAnsiTheme="minorEastAsia" w:eastAsiaTheme="minorEastAsia"/>
          <w:sz w:val="24"/>
          <w:lang w:val="zh-CN"/>
        </w:rPr>
        <w:t>地址：</w:t>
      </w:r>
      <w:r>
        <w:rPr>
          <w:rFonts w:hint="eastAsia" w:asciiTheme="minorEastAsia" w:hAnsiTheme="minorEastAsia" w:eastAsiaTheme="minorEastAsia"/>
          <w:sz w:val="24"/>
          <w:lang w:val="zh-CN"/>
        </w:rPr>
        <w:fldChar w:fldCharType="begin"/>
      </w:r>
      <w:r>
        <w:rPr>
          <w:rFonts w:hint="eastAsia" w:asciiTheme="minorEastAsia" w:hAnsiTheme="minorEastAsia" w:eastAsiaTheme="minorEastAsia"/>
          <w:sz w:val="24"/>
          <w:lang w:val="zh-CN"/>
        </w:rPr>
        <w:instrText xml:space="preserve"> HYPERLINK "https://map.360.cn/?pid=c571914620452f32&amp;src=onebox" \t "https://www.so.com/_blank" </w:instrText>
      </w:r>
      <w:r>
        <w:rPr>
          <w:rFonts w:hint="eastAsia" w:asciiTheme="minorEastAsia" w:hAnsiTheme="minorEastAsia" w:eastAsiaTheme="minorEastAsia"/>
          <w:sz w:val="24"/>
          <w:lang w:val="zh-CN"/>
        </w:rPr>
        <w:fldChar w:fldCharType="separate"/>
      </w:r>
      <w:r>
        <w:rPr>
          <w:rFonts w:hint="default" w:asciiTheme="minorEastAsia" w:hAnsiTheme="minorEastAsia" w:eastAsiaTheme="minorEastAsia"/>
          <w:sz w:val="24"/>
          <w:lang w:val="zh-CN"/>
        </w:rPr>
        <w:t>合浦县廉州镇明园南路50号</w:t>
      </w:r>
      <w:r>
        <w:rPr>
          <w:rFonts w:hint="default" w:asciiTheme="minorEastAsia" w:hAnsiTheme="minorEastAsia" w:eastAsiaTheme="minorEastAsia"/>
          <w:sz w:val="24"/>
          <w:lang w:val="zh-CN"/>
        </w:rPr>
        <w:fldChar w:fldCharType="end"/>
      </w:r>
      <w:r>
        <w:rPr>
          <w:rFonts w:hint="eastAsia" w:asciiTheme="minorEastAsia" w:hAnsiTheme="minorEastAsia" w:eastAsiaTheme="minorEastAsia"/>
          <w:sz w:val="24"/>
          <w:lang w:val="zh-CN"/>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 供应商询问</w:t>
      </w:r>
    </w:p>
    <w:p>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 供应商质疑</w:t>
      </w:r>
    </w:p>
    <w:p>
      <w:pPr>
        <w:pStyle w:val="31"/>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pPr>
        <w:pStyle w:val="31"/>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pPr>
        <w:pStyle w:val="31"/>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3.2.1根据采购人与采购代理机构签订的采购委托协议，质疑答复责任主体如下：</w:t>
      </w:r>
    </w:p>
    <w:p>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sz w:val="24"/>
              </w:rPr>
            </w:pP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sz w:val="24"/>
              </w:rPr>
            </w:pP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pPr>
        <w:pStyle w:val="31"/>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3.3.2供应商提交的质疑函需一式三份。供应商为自然人的，应当由本人签字；供应商为法人或者其他组织的，应当由法定代表人、主要负责人，或者其授权代表签字或者盖章，并加盖公章。</w:t>
      </w:r>
    </w:p>
    <w:p>
      <w:pPr>
        <w:pStyle w:val="31"/>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pPr>
        <w:pStyle w:val="31"/>
        <w:spacing w:line="360" w:lineRule="auto"/>
        <w:ind w:firstLine="482" w:firstLineChars="200"/>
        <w:rPr>
          <w:rFonts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五、谈判文件构成、修改、解释</w:t>
      </w:r>
    </w:p>
    <w:p>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1．谈判文件的构成</w:t>
      </w:r>
    </w:p>
    <w:p>
      <w:pPr>
        <w:pStyle w:val="31"/>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谈判文件包括下列文件及附件</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竞争性谈判流程</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评定标准</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pPr>
        <w:pStyle w:val="31"/>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澄清或者修改的内容为谈判文件的组成部分</w:t>
      </w:r>
      <w:r>
        <w:rPr>
          <w:rFonts w:hint="eastAsia" w:cs="仿宋_GB2312" w:asciiTheme="minorEastAsia" w:hAnsiTheme="minorEastAsia" w:eastAsiaTheme="minorEastAsia"/>
          <w:sz w:val="24"/>
        </w:rPr>
        <w:t>。</w:t>
      </w:r>
    </w:p>
    <w:p>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谈判文件的</w:t>
      </w:r>
      <w:r>
        <w:rPr>
          <w:rFonts w:hint="eastAsia" w:cs="仿宋_GB2312" w:asciiTheme="minorEastAsia" w:hAnsiTheme="minorEastAsia" w:eastAsiaTheme="minorEastAsia"/>
          <w:b/>
          <w:sz w:val="24"/>
          <w:szCs w:val="24"/>
        </w:rPr>
        <w:t>澄清、修改</w:t>
      </w:r>
    </w:p>
    <w:p>
      <w:pPr>
        <w:pStyle w:val="392"/>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2.1已获取谈判文件的潜在供应商，若有问题需要澄清，应于提交首次响应文件截止时间前，以书面形式向采购代理机构提出。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响应文件截止时间和响应文件开启时间。该澄清或者修改的内容为谈判文件的组成部分。</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通知所有获取谈判文件的供应商；不足3个工作日的，采购人、采购代理机构应当顺延提交首次响应文件截止时间。</w:t>
      </w:r>
    </w:p>
    <w:p>
      <w:pPr>
        <w:pStyle w:val="392"/>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响应文件未按谈判文件的澄清、修改的内容编制，又不符合实质性要求的，响应无效。</w:t>
      </w:r>
    </w:p>
    <w:p>
      <w:pPr>
        <w:pStyle w:val="23"/>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响应文件应当包括以下主要内容（标注“</w:t>
      </w:r>
      <w:r>
        <w:rPr>
          <w:rFonts w:hint="eastAsia" w:asciiTheme="minorEastAsia" w:hAnsiTheme="minorEastAsia" w:eastAsiaTheme="minorEastAsia"/>
          <w:b/>
        </w:rPr>
        <w:t>▲</w:t>
      </w:r>
      <w:r>
        <w:rPr>
          <w:rFonts w:hint="eastAsia" w:asciiTheme="minorEastAsia" w:hAnsiTheme="minorEastAsia" w:eastAsiaTheme="minorEastAsia"/>
          <w:sz w:val="24"/>
        </w:rPr>
        <w:t>”为实质性要求，供应商必须提供，否则谈判无效，</w:t>
      </w:r>
      <w:r>
        <w:rPr>
          <w:rFonts w:hint="eastAsia" w:hAnsi="宋体" w:cs="宋体"/>
          <w:b/>
          <w:color w:val="FF0000"/>
          <w:sz w:val="24"/>
          <w:szCs w:val="24"/>
        </w:rPr>
        <w:t>具体标注由采购人根据项目需要确定。</w:t>
      </w:r>
      <w:r>
        <w:rPr>
          <w:rFonts w:hint="eastAsia" w:asciiTheme="minorEastAsia" w:hAnsiTheme="minorEastAsia" w:eastAsiaTheme="minorEastAsia"/>
          <w:sz w:val="24"/>
        </w:rPr>
        <w:t>相关格式见谈判文件第七部分）：</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▲（1）响应函</w:t>
      </w:r>
      <w:r>
        <w:rPr>
          <w:rFonts w:hint="eastAsia" w:cs="仿宋_GB2312" w:asciiTheme="minorEastAsia" w:hAnsiTheme="minorEastAsia" w:eastAsiaTheme="minorEastAsia"/>
          <w:kern w:val="0"/>
          <w:sz w:val="24"/>
          <w:szCs w:val="24"/>
          <w:lang w:val="zh-CN"/>
        </w:rPr>
        <w:t>；</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▲（2）资格文件</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pPr>
        <w:pStyle w:val="31"/>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（如果有)；</w:t>
      </w:r>
    </w:p>
    <w:p>
      <w:pPr>
        <w:pStyle w:val="31"/>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pPr>
        <w:pStyle w:val="31"/>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关于对谈判文件中有关条款的拒绝声明 (如果有)</w:t>
      </w:r>
      <w:r>
        <w:rPr>
          <w:rFonts w:hint="eastAsia" w:asciiTheme="minorEastAsia" w:hAnsiTheme="minorEastAsia" w:eastAsiaTheme="minorEastAsia"/>
          <w:sz w:val="24"/>
          <w:lang w:val="zh-CN"/>
        </w:rPr>
        <w:t xml:space="preserve"> ；</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技术解决方案。可以是针对本项目的完整技术解决方案和实施方案；详细阐述项目方案的实现思路及关键技术；符合本项目对当前和未来发展的要求；以及对功能设计和实施计划的建议；</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w:t>
      </w:r>
      <w:r>
        <w:rPr>
          <w:rFonts w:hint="eastAsia" w:asciiTheme="minorEastAsia" w:hAnsiTheme="minorEastAsia" w:eastAsiaTheme="minorEastAsia"/>
          <w:kern w:val="0"/>
          <w:sz w:val="24"/>
          <w:lang w:val="zh-CN"/>
        </w:rPr>
        <w:t>（10）组织实施方案。可以是本项目详细工作实施组织方案，包括(但不限于)以下内容：组织机构、工作时间进度表、工作程序和步骤、管理和协调方法、关键步骤的思路和要点；</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11）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1"/>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szCs w:val="24"/>
          <w:lang w:val="zh-CN"/>
        </w:rPr>
        <w:t>；</w:t>
      </w:r>
    </w:p>
    <w:p>
      <w:pPr>
        <w:pStyle w:val="31"/>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r>
        <w:rPr>
          <w:rFonts w:hint="eastAsia" w:cs="仿宋_GB2312" w:asciiTheme="minorEastAsia" w:hAnsiTheme="minorEastAsia" w:eastAsiaTheme="minorEastAsia"/>
          <w:kern w:val="0"/>
          <w:sz w:val="24"/>
          <w:szCs w:val="24"/>
          <w:lang w:val="zh-CN"/>
        </w:rPr>
        <w:t>；</w:t>
      </w:r>
    </w:p>
    <w:p>
      <w:pPr>
        <w:pStyle w:val="31"/>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9）</w:t>
      </w:r>
      <w:r>
        <w:rPr>
          <w:rFonts w:hint="eastAsia" w:cs="仿宋_GB2312" w:asciiTheme="minorEastAsia" w:hAnsiTheme="minorEastAsia" w:eastAsiaTheme="minorEastAsia"/>
          <w:kern w:val="0"/>
          <w:sz w:val="24"/>
          <w:lang w:val="zh-CN"/>
        </w:rPr>
        <w:t>商务、服务（技术）响应、偏离情况说明表</w:t>
      </w:r>
      <w:r>
        <w:rPr>
          <w:rFonts w:hint="eastAsia" w:cs="仿宋_GB2312" w:asciiTheme="minorEastAsia" w:hAnsiTheme="minorEastAsia" w:eastAsiaTheme="minorEastAsia"/>
          <w:kern w:val="0"/>
          <w:sz w:val="24"/>
          <w:szCs w:val="24"/>
          <w:lang w:val="zh-CN"/>
        </w:rPr>
        <w:t>；</w:t>
      </w:r>
    </w:p>
    <w:p>
      <w:pPr>
        <w:pStyle w:val="31"/>
        <w:spacing w:line="360" w:lineRule="auto"/>
        <w:ind w:firstLine="480" w:firstLineChars="200"/>
        <w:rPr>
          <w:rFonts w:cs="仿宋_GB2312" w:asciiTheme="minorEastAsia" w:hAnsiTheme="minorEastAsia" w:eastAsiaTheme="minorEastAsia"/>
          <w:kern w:val="0"/>
          <w:sz w:val="24"/>
          <w:szCs w:val="24"/>
          <w:lang w:val="zh-CN"/>
        </w:rPr>
      </w:pPr>
      <w:r>
        <w:rPr>
          <w:rFonts w:hint="eastAsia" w:cs="仿宋_GB2312" w:asciiTheme="minorEastAsia" w:hAnsiTheme="minorEastAsia" w:eastAsiaTheme="minorEastAsia"/>
          <w:kern w:val="0"/>
          <w:sz w:val="24"/>
          <w:szCs w:val="24"/>
          <w:lang w:val="zh-CN"/>
        </w:rPr>
        <w:t>▲（20）初始报价表。各轮报价的审查要求均按照最后报价的要求执行。</w:t>
      </w:r>
    </w:p>
    <w:p>
      <w:pPr>
        <w:pStyle w:val="31"/>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3.1各供应商在编制响应文件时请按照谈判文件第七部分规定的格式进行，混乱的编排导致响应文件被误读或谈判小组查找不到有效文件是供应商的风险。</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pStyle w:val="392"/>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3.4响应文件按照谈判文件第七部分格式要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供应商的响应文件未按照谈判文件要求签署、盖章的，其响应无效</w:t>
      </w:r>
      <w:r>
        <w:rPr>
          <w:rFonts w:hint="eastAsia" w:cs="仿宋_GB2312" w:asciiTheme="minorEastAsia" w:hAnsiTheme="minorEastAsia" w:eastAsiaTheme="minorEastAsia"/>
          <w:szCs w:val="24"/>
        </w:rPr>
        <w:t>。</w:t>
      </w:r>
    </w:p>
    <w:p>
      <w:pPr>
        <w:pStyle w:val="392"/>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3.6谈判文件对响应文件签署、盖章的要求适用于电子签名、CA签章以及谈判文件明确允许的其他方式。</w:t>
      </w:r>
    </w:p>
    <w:p>
      <w:pPr>
        <w:pStyle w:val="31"/>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pPr>
        <w:pStyle w:val="392"/>
        <w:spacing w:before="0"/>
        <w:ind w:firstLine="0" w:firstLineChars="0"/>
        <w:rPr>
          <w:rFonts w:cs="仿宋_GB2312" w:asciiTheme="minorEastAsia" w:hAnsiTheme="minorEastAsia" w:eastAsiaTheme="minorEastAsia"/>
          <w:b/>
          <w:szCs w:val="24"/>
        </w:rPr>
      </w:pP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pPr>
        <w:pStyle w:val="392"/>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在提交“最后报价”后，供应商不能退出谈判。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pPr>
        <w:pStyle w:val="31"/>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pPr>
        <w:pStyle w:val="31"/>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pPr>
        <w:pStyle w:val="31"/>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直接提交备份响应文件的，供应商应于响应截止时间前在谈判公告中载明的开启响应文件的地点将备份响应文件提交给采购代理机构，采购代理机构将拒绝接受逾期送达的备份响应文件。</w:t>
      </w:r>
    </w:p>
    <w:p>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谈判文件第三部分供应商须知前附表规定的备份响应文件送达地点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pPr>
        <w:pStyle w:val="31"/>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pPr>
        <w:spacing w:line="360" w:lineRule="auto"/>
        <w:rPr>
          <w:rFonts w:ascii="宋体" w:hAnsi="宋体" w:cs="宋体"/>
          <w:b/>
          <w:snapToGrid w:val="0"/>
        </w:rPr>
      </w:pPr>
      <w:r>
        <w:rPr>
          <w:rFonts w:hint="eastAsia" w:cs="仿宋_GB2312" w:asciiTheme="minorEastAsia" w:hAnsiTheme="minorEastAsia" w:eastAsiaTheme="minorEastAsia"/>
          <w:b/>
          <w:sz w:val="24"/>
        </w:rPr>
        <w:t>3.</w:t>
      </w:r>
      <w:r>
        <w:rPr>
          <w:rFonts w:hint="eastAsia" w:ascii="宋体" w:hAnsi="宋体" w:cs="宋体"/>
          <w:b/>
          <w:snapToGrid w:val="0"/>
          <w:kern w:val="28"/>
          <w:sz w:val="24"/>
        </w:rPr>
        <w:t>谈判保证金</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sz w:val="24"/>
        </w:rPr>
        <w:t>谈判</w:t>
      </w:r>
      <w:r>
        <w:rPr>
          <w:rFonts w:hint="eastAsia" w:ascii="宋体" w:hAnsi="宋体" w:cs="宋体"/>
          <w:snapToGrid w:val="0"/>
          <w:kern w:val="28"/>
          <w:sz w:val="24"/>
          <w:szCs w:val="20"/>
        </w:rPr>
        <w:t>保证金应当以支票、汇票、本票或者金融机构、担保机构出具的保函等非现金形式提交。</w:t>
      </w:r>
    </w:p>
    <w:p>
      <w:pPr>
        <w:snapToGrid w:val="0"/>
        <w:spacing w:line="360" w:lineRule="auto"/>
        <w:ind w:firstLine="480" w:firstLineChars="200"/>
        <w:jc w:val="left"/>
        <w:rPr>
          <w:rFonts w:ascii="宋体" w:hAnsi="宋体" w:cs="宋体"/>
          <w:sz w:val="24"/>
        </w:rPr>
      </w:pPr>
      <w:r>
        <w:rPr>
          <w:rFonts w:hint="eastAsia" w:ascii="宋体" w:hAnsi="宋体" w:cs="宋体"/>
          <w:sz w:val="24"/>
        </w:rPr>
        <w:t>谈判保证金收取银行账户</w:t>
      </w:r>
    </w:p>
    <w:p>
      <w:pPr>
        <w:snapToGrid w:val="0"/>
        <w:spacing w:line="360" w:lineRule="auto"/>
        <w:ind w:firstLine="480" w:firstLineChars="200"/>
        <w:jc w:val="left"/>
        <w:rPr>
          <w:rFonts w:ascii="宋体" w:hAnsi="宋体" w:cs="宋体"/>
          <w:sz w:val="24"/>
        </w:rPr>
      </w:pPr>
      <w:r>
        <w:rPr>
          <w:rFonts w:hint="eastAsia" w:ascii="宋体" w:hAnsi="宋体" w:cs="宋体"/>
          <w:sz w:val="24"/>
        </w:rPr>
        <w:t xml:space="preserve">开户名称： </w:t>
      </w:r>
    </w:p>
    <w:p>
      <w:pPr>
        <w:snapToGrid w:val="0"/>
        <w:spacing w:line="360" w:lineRule="auto"/>
        <w:ind w:firstLine="480" w:firstLineChars="200"/>
        <w:jc w:val="left"/>
        <w:rPr>
          <w:rFonts w:ascii="宋体" w:hAnsi="宋体" w:cs="宋体"/>
          <w:sz w:val="24"/>
        </w:rPr>
      </w:pPr>
      <w:r>
        <w:rPr>
          <w:rFonts w:hint="eastAsia" w:ascii="宋体" w:hAnsi="宋体" w:cs="宋体"/>
          <w:sz w:val="24"/>
        </w:rPr>
        <w:t xml:space="preserve">开户银行： </w:t>
      </w:r>
    </w:p>
    <w:p>
      <w:pPr>
        <w:snapToGrid w:val="0"/>
        <w:spacing w:line="360" w:lineRule="auto"/>
        <w:ind w:firstLine="480" w:firstLineChars="200"/>
        <w:jc w:val="left"/>
        <w:rPr>
          <w:rFonts w:ascii="宋体" w:hAnsi="宋体" w:cs="宋体"/>
          <w:sz w:val="24"/>
        </w:rPr>
      </w:pPr>
      <w:r>
        <w:rPr>
          <w:rFonts w:hint="eastAsia" w:ascii="宋体" w:hAnsi="宋体" w:cs="宋体"/>
          <w:sz w:val="24"/>
        </w:rPr>
        <w:t>银行账号：</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3.2</w:t>
      </w:r>
      <w:r>
        <w:rPr>
          <w:rFonts w:hint="eastAsia" w:ascii="宋体" w:hAnsi="宋体" w:cs="宋体"/>
          <w:sz w:val="24"/>
        </w:rPr>
        <w:t>谈判供应商</w:t>
      </w:r>
      <w:r>
        <w:rPr>
          <w:rFonts w:hint="eastAsia" w:ascii="宋体" w:hAnsi="宋体" w:cs="宋体"/>
          <w:snapToGrid w:val="0"/>
          <w:kern w:val="28"/>
          <w:sz w:val="24"/>
          <w:szCs w:val="20"/>
        </w:rPr>
        <w:t>在响应文件提交截止时间前撤回已提交的响应文件的，采购人或者采购代理机构应当自收到</w:t>
      </w:r>
      <w:r>
        <w:rPr>
          <w:rFonts w:hint="eastAsia" w:ascii="宋体" w:hAnsi="宋体" w:cs="宋体"/>
          <w:sz w:val="24"/>
        </w:rPr>
        <w:t>谈判供应商</w:t>
      </w:r>
      <w:r>
        <w:rPr>
          <w:rFonts w:hint="eastAsia" w:ascii="宋体" w:hAnsi="宋体" w:cs="宋体"/>
          <w:snapToGrid w:val="0"/>
          <w:kern w:val="28"/>
          <w:sz w:val="24"/>
          <w:szCs w:val="20"/>
        </w:rPr>
        <w:t>书面撤回通知之日起５个工作日内，退还已收取的</w:t>
      </w:r>
      <w:r>
        <w:rPr>
          <w:rFonts w:hint="eastAsia" w:ascii="宋体" w:hAnsi="宋体" w:cs="宋体"/>
          <w:sz w:val="24"/>
        </w:rPr>
        <w:t>谈判</w:t>
      </w:r>
      <w:r>
        <w:rPr>
          <w:rFonts w:hint="eastAsia" w:ascii="宋体" w:hAnsi="宋体" w:cs="宋体"/>
          <w:snapToGrid w:val="0"/>
          <w:kern w:val="28"/>
          <w:sz w:val="24"/>
          <w:szCs w:val="20"/>
        </w:rPr>
        <w:t>保证金，但因</w:t>
      </w:r>
      <w:r>
        <w:rPr>
          <w:rFonts w:hint="eastAsia" w:ascii="宋体" w:hAnsi="宋体" w:cs="宋体"/>
          <w:sz w:val="24"/>
        </w:rPr>
        <w:t>谈判供应商</w:t>
      </w:r>
      <w:r>
        <w:rPr>
          <w:rFonts w:hint="eastAsia" w:ascii="宋体" w:hAnsi="宋体" w:cs="宋体"/>
          <w:snapToGrid w:val="0"/>
          <w:kern w:val="28"/>
          <w:sz w:val="24"/>
          <w:szCs w:val="20"/>
        </w:rPr>
        <w:t>自身原因导致无法及时退还的除外。</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pPr>
        <w:pStyle w:val="31"/>
        <w:spacing w:line="360" w:lineRule="auto"/>
        <w:ind w:firstLine="360" w:firstLineChars="15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pPr>
        <w:pStyle w:val="31"/>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1"/>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1"/>
        <w:spacing w:line="360" w:lineRule="auto"/>
        <w:rPr>
          <w:rFonts w:cs="仿宋_GB2312" w:asciiTheme="minorEastAsia" w:hAnsiTheme="minorEastAsia" w:eastAsiaTheme="minorEastAsia"/>
          <w:b/>
          <w:sz w:val="24"/>
          <w:szCs w:val="24"/>
        </w:rPr>
      </w:pPr>
    </w:p>
    <w:p>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pPr>
        <w:pStyle w:val="31"/>
        <w:snapToGrid w:val="0"/>
        <w:spacing w:line="360" w:lineRule="auto"/>
        <w:ind w:firstLine="422" w:firstLineChars="200"/>
        <w:rPr>
          <w:rFonts w:cs="仿宋_GB2312" w:asciiTheme="minorEastAsia" w:hAnsiTheme="minorEastAsia" w:eastAsiaTheme="minorEastAsia"/>
          <w:sz w:val="24"/>
          <w:szCs w:val="24"/>
        </w:rPr>
      </w:pPr>
      <w:r>
        <w:rPr>
          <w:rFonts w:hint="eastAsia" w:asciiTheme="minorEastAsia" w:hAnsiTheme="minorEastAsia" w:eastAsiaTheme="minorEastAsia"/>
          <w:b/>
        </w:rPr>
        <w:t>▲</w:t>
      </w:r>
      <w:r>
        <w:rPr>
          <w:rFonts w:hint="eastAsia" w:cs="仿宋_GB2312" w:asciiTheme="minorEastAsia" w:hAnsiTheme="minorEastAsia" w:eastAsiaTheme="minorEastAsia"/>
          <w:sz w:val="24"/>
          <w:szCs w:val="24"/>
        </w:rPr>
        <w:t>1.1最后报价一览表；</w:t>
      </w:r>
    </w:p>
    <w:p>
      <w:pPr>
        <w:snapToGrid w:val="0"/>
        <w:spacing w:line="360" w:lineRule="auto"/>
        <w:ind w:firstLine="480" w:firstLineChars="200"/>
        <w:rPr>
          <w:rFonts w:ascii="宋体" w:hAnsi="宋体" w:cs="宋体"/>
          <w:sz w:val="24"/>
        </w:rPr>
      </w:pPr>
      <w:r>
        <w:rPr>
          <w:rFonts w:hint="eastAsia" w:ascii="宋体" w:hAnsi="宋体" w:cs="宋体"/>
          <w:sz w:val="24"/>
        </w:rPr>
        <w:t>1.2中小企业声明函</w:t>
      </w:r>
      <w:r>
        <w:rPr>
          <w:rFonts w:hint="eastAsia" w:ascii="宋体" w:hAnsi="宋体" w:cs="宋体"/>
          <w:snapToGrid w:val="0"/>
          <w:kern w:val="28"/>
          <w:sz w:val="24"/>
          <w:szCs w:val="20"/>
        </w:rPr>
        <w:t>（如果有)</w:t>
      </w:r>
      <w:r>
        <w:rPr>
          <w:rFonts w:hint="eastAsia" w:ascii="宋体" w:hAnsi="宋体" w:cs="宋体"/>
          <w:sz w:val="24"/>
        </w:rPr>
        <w:t xml:space="preserve"> ；</w:t>
      </w:r>
    </w:p>
    <w:p>
      <w:pPr>
        <w:snapToGrid w:val="0"/>
        <w:spacing w:line="360" w:lineRule="auto"/>
        <w:ind w:firstLine="480" w:firstLineChars="200"/>
        <w:rPr>
          <w:rFonts w:ascii="宋体" w:hAnsi="宋体" w:cs="宋体"/>
          <w:color w:val="FF0000"/>
          <w:sz w:val="24"/>
        </w:rPr>
      </w:pPr>
      <w:r>
        <w:rPr>
          <w:rFonts w:hint="eastAsia" w:ascii="宋体" w:hAnsi="宋体" w:cs="宋体"/>
          <w:color w:val="FF0000"/>
          <w:sz w:val="24"/>
        </w:rPr>
        <w:t>1.3关于符合本国产品标准的声明函</w:t>
      </w:r>
      <w:r>
        <w:rPr>
          <w:rFonts w:hint="eastAsia" w:ascii="宋体" w:hAnsi="宋体" w:cs="宋体"/>
          <w:snapToGrid w:val="0"/>
          <w:color w:val="FF0000"/>
          <w:kern w:val="28"/>
          <w:sz w:val="24"/>
          <w:szCs w:val="20"/>
        </w:rPr>
        <w:t>（如果有)</w:t>
      </w:r>
      <w:r>
        <w:rPr>
          <w:rFonts w:hint="eastAsia" w:ascii="宋体" w:hAnsi="宋体" w:cs="宋体"/>
          <w:sz w:val="24"/>
        </w:rPr>
        <w:t xml:space="preserve"> ；</w:t>
      </w:r>
    </w:p>
    <w:p>
      <w:pPr>
        <w:snapToGrid w:val="0"/>
        <w:spacing w:line="360" w:lineRule="auto"/>
        <w:ind w:firstLine="480" w:firstLineChars="200"/>
        <w:rPr>
          <w:color w:val="FF0000"/>
        </w:rPr>
      </w:pPr>
      <w:r>
        <w:rPr>
          <w:rFonts w:hint="eastAsia" w:ascii="宋体" w:hAnsi="宋体" w:cs="宋体"/>
          <w:color w:val="FF0000"/>
          <w:sz w:val="24"/>
        </w:rPr>
        <w:t>1.4关于符合本国产品标准的产品成本之和占所提供的全部产品成本之和的比例达到80%以上的声明函</w:t>
      </w:r>
      <w:r>
        <w:rPr>
          <w:rFonts w:hint="eastAsia" w:ascii="宋体" w:hAnsi="宋体" w:cs="宋体"/>
          <w:snapToGrid w:val="0"/>
          <w:color w:val="FF0000"/>
          <w:kern w:val="28"/>
          <w:sz w:val="24"/>
          <w:szCs w:val="20"/>
        </w:rPr>
        <w:t>（如果有)</w:t>
      </w:r>
      <w:r>
        <w:rPr>
          <w:rFonts w:hint="eastAsia" w:ascii="宋体" w:hAnsi="宋体" w:cs="宋体"/>
          <w:color w:val="FF0000"/>
          <w:sz w:val="24"/>
        </w:rPr>
        <w:t>。</w:t>
      </w:r>
    </w:p>
    <w:p>
      <w:pPr>
        <w:pStyle w:val="31"/>
        <w:snapToGrid w:val="0"/>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pPr>
        <w:pStyle w:val="392"/>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1. 评审要求：</w:t>
      </w:r>
      <w:r>
        <w:rPr>
          <w:rFonts w:hint="eastAsia" w:cs="仿宋_GB2312" w:asciiTheme="minorEastAsia" w:hAnsiTheme="minorEastAsia" w:eastAsiaTheme="minorEastAsia"/>
        </w:rPr>
        <w:t>详见谈判文件第五部分“评定标准”。</w:t>
      </w:r>
    </w:p>
    <w:p>
      <w:pPr>
        <w:adjustRightInd/>
        <w:spacing w:line="360" w:lineRule="auto"/>
        <w:jc w:val="center"/>
        <w:rPr>
          <w:rFonts w:cs="仿宋_GB2312"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pPr>
        <w:pStyle w:val="31"/>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60" w:name="_Hlk101184471"/>
      <w:r>
        <w:rPr>
          <w:rFonts w:hint="eastAsia" w:cs="宋体" w:asciiTheme="minorEastAsia" w:hAnsiTheme="minorEastAsia" w:eastAsiaTheme="minorEastAsia"/>
          <w:sz w:val="24"/>
        </w:rPr>
        <w:t>评审专家抽取规则、</w:t>
      </w:r>
      <w:bookmarkEnd w:id="60"/>
      <w:r>
        <w:rPr>
          <w:rFonts w:hint="eastAsia" w:cs="宋体" w:asciiTheme="minorEastAsia" w:hAnsiTheme="minorEastAsia" w:eastAsiaTheme="minorEastAsia"/>
          <w:sz w:val="24"/>
        </w:rPr>
        <w:t>未成交情况说明、成交公告期限以及评审专家名单、成交供应商和未成交供应商的</w:t>
      </w:r>
      <w:r>
        <w:rPr>
          <w:rFonts w:hint="eastAsia" w:ascii="宋体" w:hAnsi="宋体" w:cs="宋体"/>
          <w:sz w:val="24"/>
        </w:rPr>
        <w:t>评审报价</w:t>
      </w:r>
      <w:r>
        <w:rPr>
          <w:rFonts w:hint="eastAsia" w:cs="宋体" w:asciiTheme="minorEastAsia" w:hAnsiTheme="minorEastAsia" w:eastAsiaTheme="minorEastAsia"/>
          <w:sz w:val="24"/>
        </w:rPr>
        <w:t>及排名。</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pPr>
        <w:pStyle w:val="392"/>
        <w:snapToGrid w:val="0"/>
        <w:spacing w:before="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谈判文件、响应文件等内容通过政府采购电子交易平台在线签订，自动备案。</w:t>
      </w:r>
    </w:p>
    <w:p>
      <w:pPr>
        <w:pStyle w:val="392"/>
        <w:snapToGrid w:val="0"/>
        <w:spacing w:before="0"/>
        <w:ind w:firstLine="480"/>
        <w:rPr>
          <w:rFonts w:ascii="宋体" w:hAnsi="宋体" w:cs="宋体"/>
        </w:rPr>
      </w:pPr>
      <w:r>
        <w:rPr>
          <w:rFonts w:hint="eastAsia" w:ascii="宋体" w:hAnsi="宋体" w:cs="宋体"/>
        </w:rPr>
        <w:t>2.7政采贷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kern w:val="0"/>
          <w:sz w:val="24"/>
          <w:szCs w:val="20"/>
        </w:rPr>
        <w:t>https://jinrong.gcy.zfcg.gxzf.gov.cn/finance/loan/gx</w:t>
      </w:r>
      <w:r>
        <w:rPr>
          <w:rFonts w:ascii="宋体" w:hAnsi="宋体"/>
          <w:kern w:val="0"/>
          <w:sz w:val="24"/>
          <w:szCs w:val="20"/>
        </w:rPr>
        <w:fldChar w:fldCharType="end"/>
      </w:r>
      <w:r>
        <w:rPr>
          <w:rFonts w:hint="eastAsia" w:ascii="宋体" w:hAnsi="宋体"/>
          <w:kern w:val="0"/>
          <w:sz w:val="24"/>
          <w:szCs w:val="20"/>
        </w:rPr>
        <w:t>）</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pPr>
              <w:snapToGrid w:val="0"/>
              <w:spacing w:line="360" w:lineRule="auto"/>
              <w:jc w:val="left"/>
              <w:rPr>
                <w:rFonts w:ascii="宋体" w:hAnsi="宋体"/>
                <w:kern w:val="0"/>
                <w:sz w:val="24"/>
                <w:szCs w:val="20"/>
              </w:rPr>
            </w:pPr>
          </w:p>
        </w:tc>
        <w:tc>
          <w:tcPr>
            <w:tcW w:w="993" w:type="dxa"/>
            <w:vAlign w:val="center"/>
          </w:tcPr>
          <w:p>
            <w:pPr>
              <w:snapToGrid w:val="0"/>
              <w:spacing w:line="360" w:lineRule="auto"/>
              <w:jc w:val="center"/>
              <w:rPr>
                <w:rFonts w:ascii="宋体" w:hAnsi="宋体"/>
                <w:kern w:val="0"/>
                <w:sz w:val="24"/>
                <w:szCs w:val="20"/>
              </w:rPr>
            </w:pPr>
          </w:p>
        </w:tc>
        <w:tc>
          <w:tcPr>
            <w:tcW w:w="850" w:type="dxa"/>
            <w:vAlign w:val="center"/>
          </w:tcPr>
          <w:p>
            <w:pPr>
              <w:snapToGrid w:val="0"/>
              <w:spacing w:line="360" w:lineRule="auto"/>
              <w:jc w:val="center"/>
              <w:rPr>
                <w:rFonts w:ascii="宋体" w:hAnsi="宋体"/>
                <w:kern w:val="0"/>
                <w:sz w:val="24"/>
                <w:szCs w:val="20"/>
              </w:rPr>
            </w:pP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pPr>
        <w:pStyle w:val="631"/>
      </w:pPr>
      <w:r>
        <w:rPr>
          <w:rFonts w:hint="eastAsia"/>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pPr>
        <w:pStyle w:val="631"/>
      </w:pPr>
      <w:r>
        <w:rPr>
          <w:rFonts w:hint="eastAsia"/>
          <w:lang w:eastAsia="zh-CN"/>
        </w:rPr>
        <w:t>本项目不收取</w:t>
      </w:r>
      <w:r>
        <w:rPr>
          <w:rFonts w:hint="eastAsia"/>
        </w:rPr>
        <w:t>。</w:t>
      </w:r>
    </w:p>
    <w:p>
      <w:pPr>
        <w:numPr>
          <w:ilvl w:val="0"/>
          <w:numId w:val="7"/>
        </w:numPr>
        <w:tabs>
          <w:tab w:val="left" w:pos="0"/>
          <w:tab w:val="clear" w:pos="312"/>
        </w:tabs>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预付款</w:t>
      </w:r>
    </w:p>
    <w:p>
      <w:pPr>
        <w:pStyle w:val="4"/>
        <w:numPr>
          <w:ilvl w:val="0"/>
          <w:numId w:val="0"/>
        </w:numPr>
        <w:ind w:leftChars="0"/>
        <w:rPr>
          <w:rFonts w:hint="default" w:ascii="宋体" w:hAnsi="宋体" w:eastAsia="宋体" w:cs="Times New Roman"/>
          <w:b w:val="0"/>
          <w:bCs w:val="0"/>
          <w:kern w:val="0"/>
          <w:sz w:val="24"/>
          <w:szCs w:val="20"/>
          <w:lang w:val="en-US" w:eastAsia="zh-CN" w:bidi="ar-SA"/>
        </w:rPr>
      </w:pPr>
      <w:r>
        <w:rPr>
          <w:rFonts w:hint="eastAsia"/>
          <w:lang w:val="en-US" w:eastAsia="zh-CN"/>
        </w:rPr>
        <w:t xml:space="preserve">   </w:t>
      </w:r>
      <w:r>
        <w:rPr>
          <w:rFonts w:hint="eastAsia" w:ascii="宋体" w:hAnsi="宋体" w:eastAsia="宋体" w:cs="Times New Roman"/>
          <w:b w:val="0"/>
          <w:bCs w:val="0"/>
          <w:kern w:val="0"/>
          <w:sz w:val="24"/>
          <w:szCs w:val="20"/>
          <w:lang w:val="en-US" w:eastAsia="zh-CN" w:bidi="ar-SA"/>
        </w:rPr>
        <w:t>详见P43</w:t>
      </w:r>
    </w:p>
    <w:p>
      <w:pPr>
        <w:tabs>
          <w:tab w:val="left" w:pos="0"/>
        </w:tabs>
        <w:spacing w:line="360" w:lineRule="auto"/>
        <w:ind w:firstLine="480" w:firstLineChars="200"/>
        <w:rPr>
          <w:rFonts w:cs="宋体" w:asciiTheme="minorEastAsia" w:hAnsiTheme="minorEastAsia" w:eastAsiaTheme="minorEastAsia"/>
          <w:snapToGrid w:val="0"/>
          <w:kern w:val="28"/>
          <w:sz w:val="24"/>
        </w:rPr>
      </w:pP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pPr>
        <w:pStyle w:val="24"/>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5"/>
      <w:bookmarkStart w:id="61" w:name="_Hlt75236290"/>
      <w:bookmarkEnd w:id="61"/>
      <w:bookmarkStart w:id="62" w:name="_Hlt74707468"/>
      <w:bookmarkEnd w:id="62"/>
      <w:bookmarkStart w:id="63" w:name="_Hlt74729768"/>
      <w:bookmarkEnd w:id="63"/>
      <w:bookmarkStart w:id="64" w:name="_Hlt68057669"/>
      <w:bookmarkEnd w:id="64"/>
      <w:bookmarkStart w:id="65" w:name="_Hlt68072990"/>
      <w:bookmarkEnd w:id="65"/>
      <w:bookmarkStart w:id="66" w:name="_Hlt75236011"/>
      <w:bookmarkEnd w:id="66"/>
      <w:bookmarkStart w:id="67" w:name="_Hlt74730295"/>
      <w:bookmarkEnd w:id="67"/>
      <w:bookmarkStart w:id="68" w:name="_Hlt74714665"/>
      <w:bookmarkEnd w:id="68"/>
      <w:bookmarkStart w:id="69" w:name="_Hlt75236101"/>
      <w:bookmarkEnd w:id="69"/>
      <w:bookmarkStart w:id="70" w:name="第三部分"/>
      <w:bookmarkStart w:id="71" w:name="_Toc164416483"/>
    </w:p>
    <w:p>
      <w:pPr>
        <w:snapToGrid w:val="0"/>
        <w:spacing w:line="360" w:lineRule="auto"/>
        <w:ind w:firstLine="723" w:firstLineChars="200"/>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adjustRightInd/>
        <w:spacing w:line="360" w:lineRule="auto"/>
        <w:jc w:val="center"/>
        <w:outlineLvl w:val="0"/>
        <w:rPr>
          <w:rFonts w:cs="仿宋_GB2312" w:asciiTheme="minorEastAsia" w:hAnsiTheme="minorEastAsia" w:eastAsiaTheme="minorEastAsia"/>
          <w:b/>
          <w:sz w:val="36"/>
          <w:szCs w:val="36"/>
        </w:rPr>
      </w:pPr>
      <w:bookmarkStart w:id="72" w:name="_Toc181265284"/>
      <w:r>
        <w:rPr>
          <w:rFonts w:hint="eastAsia" w:cs="仿宋_GB2312" w:asciiTheme="minorEastAsia" w:hAnsiTheme="minorEastAsia" w:eastAsiaTheme="minorEastAsia"/>
          <w:b/>
          <w:sz w:val="36"/>
          <w:szCs w:val="36"/>
        </w:rPr>
        <w:t>第四部分  采购需求</w:t>
      </w:r>
      <w:bookmarkEnd w:id="72"/>
    </w:p>
    <w:p>
      <w:pPr>
        <w:adjustRightInd/>
        <w:spacing w:line="360" w:lineRule="auto"/>
        <w:jc w:val="left"/>
        <w:rPr>
          <w:rFonts w:cs="仿宋_GB2312" w:asciiTheme="minorEastAsia" w:hAnsiTheme="minorEastAsia" w:eastAsiaTheme="minorEastAsia"/>
          <w:b/>
          <w:sz w:val="36"/>
          <w:szCs w:val="36"/>
          <w:u w:val="single"/>
        </w:rPr>
      </w:pPr>
      <w:r>
        <w:rPr>
          <w:rFonts w:hint="eastAsia" w:asciiTheme="minorEastAsia" w:hAnsiTheme="minorEastAsia" w:eastAsiaTheme="minorEastAsia"/>
          <w:sz w:val="24"/>
          <w:u w:val="single"/>
        </w:rPr>
        <w:t>注：“</w:t>
      </w:r>
      <w:bookmarkStart w:id="73" w:name="OLE_LINK14"/>
      <w:bookmarkStart w:id="74" w:name="OLE_LINK12"/>
      <w:bookmarkStart w:id="75" w:name="OLE_LINK11"/>
      <w:bookmarkStart w:id="76" w:name="OLE_LINK13"/>
      <w:r>
        <w:rPr>
          <w:rFonts w:hint="eastAsia" w:asciiTheme="minorEastAsia" w:hAnsiTheme="minorEastAsia" w:eastAsiaTheme="minorEastAsia"/>
          <w:sz w:val="24"/>
          <w:u w:val="single"/>
        </w:rPr>
        <w:t>▲</w:t>
      </w:r>
      <w:bookmarkEnd w:id="73"/>
      <w:bookmarkEnd w:id="74"/>
      <w:bookmarkEnd w:id="75"/>
      <w:bookmarkEnd w:id="76"/>
      <w:r>
        <w:rPr>
          <w:rFonts w:hint="eastAsia" w:asciiTheme="minorEastAsia" w:hAnsiTheme="minorEastAsia" w:eastAsiaTheme="minorEastAsia"/>
          <w:sz w:val="24"/>
          <w:u w:val="single"/>
        </w:rPr>
        <w:t>” 系指实质性要求条款， “</w:t>
      </w:r>
      <w:r>
        <w:rPr>
          <w:rFonts w:hint="eastAsia" w:asciiTheme="minorEastAsia" w:hAnsiTheme="minorEastAsia" w:eastAsiaTheme="minorEastAsia"/>
          <w:b/>
          <w:sz w:val="24"/>
          <w:u w:val="single"/>
        </w:rPr>
        <w:t>※</w:t>
      </w:r>
      <w:r>
        <w:rPr>
          <w:rFonts w:hint="eastAsia" w:asciiTheme="minorEastAsia" w:hAnsiTheme="minorEastAsia" w:eastAsiaTheme="minorEastAsia"/>
          <w:sz w:val="24"/>
          <w:u w:val="single"/>
        </w:rPr>
        <w:t>”系指谈判过程中可能实质性变动的内容。</w:t>
      </w:r>
    </w:p>
    <w:p>
      <w:pPr>
        <w:pBdr>
          <w:bottom w:val="single" w:color="auto" w:sz="6" w:space="1"/>
        </w:pBdr>
        <w:tabs>
          <w:tab w:val="center" w:pos="4153"/>
          <w:tab w:val="right" w:pos="8306"/>
        </w:tabs>
        <w:adjustRightInd/>
        <w:snapToGrid w:val="0"/>
        <w:jc w:val="center"/>
        <w:rPr>
          <w:sz w:val="18"/>
          <w:szCs w:val="18"/>
        </w:rPr>
      </w:pPr>
    </w:p>
    <w:tbl>
      <w:tblPr>
        <w:tblStyle w:val="60"/>
        <w:tblW w:w="10356"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1"/>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1035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服务名称</w:t>
            </w:r>
          </w:p>
        </w:tc>
        <w:tc>
          <w:tcPr>
            <w:tcW w:w="92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left"/>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92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spacing w:line="440" w:lineRule="exact"/>
              <w:jc w:val="left"/>
              <w:rPr>
                <w:rFonts w:hint="eastAsia" w:asciiTheme="minorEastAsia" w:hAnsiTheme="minorEastAsia" w:eastAsiaTheme="minorEastAsia" w:cstheme="minorEastAsia"/>
                <w:b/>
                <w:bCs/>
                <w:sz w:val="24"/>
                <w:szCs w:val="24"/>
                <w:shd w:val="clear" w:color="FFFFFF" w:fill="D9D9D9"/>
              </w:rPr>
            </w:pPr>
            <w:r>
              <w:rPr>
                <w:rFonts w:hint="eastAsia" w:asciiTheme="minorEastAsia" w:hAnsiTheme="minorEastAsia" w:eastAsiaTheme="minorEastAsia" w:cstheme="minorEastAsia"/>
                <w:b/>
                <w:bCs/>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服务要求</w:t>
            </w:r>
          </w:p>
        </w:tc>
        <w:tc>
          <w:tcPr>
            <w:tcW w:w="92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一、物业管理服务范围基本情况：</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合浦县妇幼保健院占地面积：44.82亩     建筑面积：26169.84m²</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合浦县残疾人康复中心占地面积：24 亩      建筑面积：12000m²</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项目服务期限：1年</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项目包括以下内容：</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人员工资、社保、医保、员工服装费、管理经费、其他福利及年终奖金、税费、基本保洁工具（如：扫把、大竹扫把、垃圾铲、圆拖把/大中小排拖、洗洁精、草酸、毛刷、 小方巾、钢丝球、厕所刷、棉胶手套、小铲刀、地刷、窗刷、斗车、垃圾转运车、电动清洁工具、通厕工具、电动和手动绿化工具、绿化用肥料、绿植用杀虫剂、浇水管线、蚊子和蟑螂等害虫消杀药物等。）</w:t>
            </w:r>
          </w:p>
          <w:p>
            <w:pPr>
              <w:adjustRightInd/>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二、后勤服务</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（一）合浦县妇幼保健院后勤服务内容：</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1、医疗区公共区域外围的服务；</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2、医疗区门诊、住院部、治疗区等医疗服务区域的服务；</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3、残疾人康复中心治疗区、办公区、公共区域等区域的环境卫生和后勤服务。</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（二）日常后勤服务管理思路和目标为配合医院后勤社会化改革进程和提升后勤服务质量，根据医院的实际情况，按以下版块式分类提供不同的服务标准和开展服务内容：</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服务思路及服务目标：</w:t>
            </w:r>
          </w:p>
          <w:p>
            <w:pPr>
              <w:adjustRightInd/>
              <w:ind w:firstLine="480" w:firstLineChars="200"/>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确保医院室内外环境，是后勤保障工作的重要部分、对于医、教、研等各项工作具有十分重要的意义。用科学的技术和方法提高工作质量，是医院管理者很值得研究的重要课题。随着社会的发展，文明程度不断提高，人们对环境质量的要求越来越高，因此维护好公共场所的环境，就象一个人每天要洗脸，保持衣着整洁一样重要，现代医院管理中，运用科学的技术和方法，规范管理，制定质量标准，提高环境的工作质量，是我们医院管理主导原则。</w:t>
            </w:r>
          </w:p>
          <w:p>
            <w:pPr>
              <w:adjustRightInd/>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三、服务要求</w:t>
            </w:r>
          </w:p>
          <w:p>
            <w:pPr>
              <w:adjustRightInd/>
              <w:rPr>
                <w:rFonts w:hint="eastAsia" w:asciiTheme="minorEastAsia" w:hAnsiTheme="minorEastAsia" w:eastAsiaTheme="minorEastAsia" w:cstheme="minorEastAsia"/>
                <w:b w:val="0"/>
                <w:bCs w:val="0"/>
                <w:sz w:val="24"/>
                <w:szCs w:val="24"/>
                <w:lang w:bidi="ar"/>
              </w:rPr>
            </w:pPr>
            <w:r>
              <w:rPr>
                <w:rFonts w:hint="eastAsia" w:asciiTheme="minorEastAsia" w:hAnsiTheme="minorEastAsia" w:eastAsiaTheme="minorEastAsia" w:cstheme="minorEastAsia"/>
                <w:b w:val="0"/>
                <w:bCs w:val="0"/>
                <w:sz w:val="24"/>
                <w:szCs w:val="24"/>
                <w:lang w:bidi="ar"/>
              </w:rPr>
              <w:t xml:space="preserve">    按国家有关规定或按院方院感要求严格执行做好服务，提高各个方面的服务质量，为医院创造极好的就医和工作环境。</w:t>
            </w:r>
          </w:p>
          <w:tbl>
            <w:tblPr>
              <w:tblStyle w:val="60"/>
              <w:tblW w:w="9210" w:type="dxa"/>
              <w:tblInd w:w="0" w:type="dxa"/>
              <w:tblLayout w:type="fixed"/>
              <w:tblCellMar>
                <w:top w:w="0" w:type="dxa"/>
                <w:left w:w="108" w:type="dxa"/>
                <w:bottom w:w="0" w:type="dxa"/>
                <w:right w:w="108" w:type="dxa"/>
              </w:tblCellMar>
            </w:tblPr>
            <w:tblGrid>
              <w:gridCol w:w="1192"/>
              <w:gridCol w:w="1447"/>
              <w:gridCol w:w="6571"/>
            </w:tblGrid>
            <w:tr>
              <w:tblPrEx>
                <w:tblCellMar>
                  <w:top w:w="0" w:type="dxa"/>
                  <w:left w:w="108" w:type="dxa"/>
                  <w:bottom w:w="0" w:type="dxa"/>
                  <w:right w:w="108" w:type="dxa"/>
                </w:tblCellMar>
              </w:tblPrEx>
              <w:trPr>
                <w:trHeight w:val="360" w:hRule="atLeast"/>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区域</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楼层</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职      责</w:t>
                  </w:r>
                </w:p>
              </w:tc>
            </w:tr>
            <w:tr>
              <w:tblPrEx>
                <w:tblCellMar>
                  <w:top w:w="0" w:type="dxa"/>
                  <w:left w:w="108" w:type="dxa"/>
                  <w:bottom w:w="0" w:type="dxa"/>
                  <w:right w:w="108" w:type="dxa"/>
                </w:tblCellMar>
              </w:tblPrEx>
              <w:trPr>
                <w:trHeight w:val="360" w:hRule="atLeast"/>
              </w:trPr>
              <w:tc>
                <w:tcPr>
                  <w:tcW w:w="11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门诊楼</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门诊一楼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儿科门急诊、药房、口腔科、收费挂号处、大厅、电梯内部等工作。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门诊二楼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检验科、B超影像科等工作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门诊三楼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孕产保健科、孕妇学校等工作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门诊四楼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中医科、乳腺科、乳腺超声科、皮肤科等工作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门诊五楼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妇科门诊、门诊手术室、产后康复中心，妇女保健部、计划生育服务部等工作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门诊六楼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儿童保健部、儿童早期发展等工作</w:t>
                  </w:r>
                </w:p>
              </w:tc>
            </w:tr>
            <w:tr>
              <w:tblPrEx>
                <w:tblCellMar>
                  <w:top w:w="0" w:type="dxa"/>
                  <w:left w:w="108" w:type="dxa"/>
                  <w:bottom w:w="0" w:type="dxa"/>
                  <w:right w:w="108" w:type="dxa"/>
                </w:tblCellMar>
              </w:tblPrEx>
              <w:trPr>
                <w:trHeight w:val="360" w:hRule="atLeast"/>
              </w:trPr>
              <w:tc>
                <w:tcPr>
                  <w:tcW w:w="11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住院部</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消毒供应中心、放射科、公共大厅、电梯内部等工作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儿科病区1的工作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新生儿病房、儿科病区2的工作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产房专职工作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color w:val="000000"/>
                      <w:sz w:val="24"/>
                      <w:szCs w:val="24"/>
                    </w:rPr>
                  </w:pP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产科病区1的工作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产优房的工作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产科病区2的工作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手术室专职工作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color w:val="000000"/>
                      <w:sz w:val="24"/>
                      <w:szCs w:val="24"/>
                    </w:rPr>
                  </w:pP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ICU病房专职工作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妇科和乳腺科病区的工作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9楼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中医科、康复病区、药剂科的工作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10楼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行政办公区的工作</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大小会议室、病案室、北面办公值班室、餐厅、公共区域的工作</w:t>
                  </w:r>
                </w:p>
              </w:tc>
            </w:tr>
            <w:tr>
              <w:tblPrEx>
                <w:tblCellMar>
                  <w:top w:w="0" w:type="dxa"/>
                  <w:left w:w="108" w:type="dxa"/>
                  <w:bottom w:w="0" w:type="dxa"/>
                  <w:right w:w="108" w:type="dxa"/>
                </w:tblCellMar>
              </w:tblPrEx>
              <w:trPr>
                <w:trHeight w:val="360" w:hRule="atLeast"/>
              </w:trPr>
              <w:tc>
                <w:tcPr>
                  <w:tcW w:w="9210" w:type="dxa"/>
                  <w:gridSpan w:val="3"/>
                  <w:tcBorders>
                    <w:top w:val="single" w:color="000000" w:sz="4" w:space="0"/>
                    <w:left w:val="single" w:color="000000" w:sz="4" w:space="0"/>
                    <w:bottom w:val="nil"/>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合浦县残疾人康复中心楼层情况</w:t>
                  </w:r>
                </w:p>
              </w:tc>
            </w:tr>
            <w:tr>
              <w:tblPrEx>
                <w:tblCellMar>
                  <w:top w:w="0" w:type="dxa"/>
                  <w:left w:w="108" w:type="dxa"/>
                  <w:bottom w:w="0" w:type="dxa"/>
                  <w:right w:w="108" w:type="dxa"/>
                </w:tblCellMar>
              </w:tblPrEx>
              <w:trPr>
                <w:trHeight w:val="360" w:hRule="atLeast"/>
              </w:trPr>
              <w:tc>
                <w:tcPr>
                  <w:tcW w:w="1192"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办公、业务楼</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高危儿筛查、生长发育评估区、护士站、辅具综合展厅、综合会议室</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病房区、运动康复训练区、残疾人体育健身活动中心</w:t>
                  </w:r>
                </w:p>
              </w:tc>
            </w:tr>
            <w:tr>
              <w:tblPrEx>
                <w:tblCellMar>
                  <w:top w:w="0" w:type="dxa"/>
                  <w:left w:w="108" w:type="dxa"/>
                  <w:bottom w:w="0" w:type="dxa"/>
                  <w:right w:w="108" w:type="dxa"/>
                </w:tblCellMar>
              </w:tblPrEx>
              <w:trPr>
                <w:trHeight w:val="48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辅助性就业基地+扶志家园</w:t>
                  </w:r>
                </w:p>
              </w:tc>
            </w:tr>
            <w:tr>
              <w:tblPrEx>
                <w:tblCellMar>
                  <w:top w:w="0" w:type="dxa"/>
                  <w:left w:w="108" w:type="dxa"/>
                  <w:bottom w:w="0" w:type="dxa"/>
                  <w:right w:w="108" w:type="dxa"/>
                </w:tblCellMar>
              </w:tblPrEx>
              <w:trPr>
                <w:trHeight w:val="66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多种功能训练区（认知早教思维训练、言语训练、音乐治疗、中医针灸推拿治疗、器械训练理疗）家长培训</w:t>
                  </w:r>
                </w:p>
              </w:tc>
            </w:tr>
            <w:tr>
              <w:tblPrEx>
                <w:tblCellMar>
                  <w:top w:w="0" w:type="dxa"/>
                  <w:left w:w="108" w:type="dxa"/>
                  <w:bottom w:w="0" w:type="dxa"/>
                  <w:right w:w="108" w:type="dxa"/>
                </w:tblCellMar>
              </w:tblPrEx>
              <w:trPr>
                <w:trHeight w:val="60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住院医护办公区、国家补助残联项目管理区、沙盘游戏心理辅导、情景式训练区</w:t>
                  </w:r>
                </w:p>
              </w:tc>
            </w:tr>
            <w:tr>
              <w:tblPrEx>
                <w:tblCellMar>
                  <w:top w:w="0" w:type="dxa"/>
                  <w:left w:w="108" w:type="dxa"/>
                  <w:bottom w:w="0" w:type="dxa"/>
                  <w:right w:w="108" w:type="dxa"/>
                </w:tblCellMar>
              </w:tblPrEx>
              <w:trPr>
                <w:trHeight w:val="64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视觉中心区（视力检查、干眼病和弱视等矫治、验光配镜、镜具展厅）、听力检查、耳形矫治区</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精神科、成人康复训练区、步态分析室</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辅助器具维修点</w:t>
                  </w:r>
                </w:p>
              </w:tc>
            </w:tr>
            <w:tr>
              <w:tblPrEx>
                <w:tblCellMar>
                  <w:top w:w="0" w:type="dxa"/>
                  <w:left w:w="108" w:type="dxa"/>
                  <w:bottom w:w="0" w:type="dxa"/>
                  <w:right w:w="108" w:type="dxa"/>
                </w:tblCellMar>
              </w:tblPrEx>
              <w:trPr>
                <w:trHeight w:val="36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adjustRightInd/>
                    <w:jc w:val="center"/>
                    <w:rPr>
                      <w:rFonts w:hint="eastAsia" w:asciiTheme="minorEastAsia" w:hAnsiTheme="minorEastAsia" w:eastAsiaTheme="minorEastAsia" w:cstheme="minorEastAsia"/>
                      <w:b/>
                      <w:bCs/>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9楼</w:t>
                  </w: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行政办公区域</w:t>
                  </w:r>
                </w:p>
              </w:tc>
            </w:tr>
            <w:tr>
              <w:tblPrEx>
                <w:tblCellMar>
                  <w:top w:w="0" w:type="dxa"/>
                  <w:left w:w="108" w:type="dxa"/>
                  <w:bottom w:w="0" w:type="dxa"/>
                  <w:right w:w="108" w:type="dxa"/>
                </w:tblCellMar>
              </w:tblPrEx>
              <w:trPr>
                <w:trHeight w:val="360" w:hRule="atLeast"/>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外围环境</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adjustRightInd/>
                    <w:rPr>
                      <w:rFonts w:hint="eastAsia" w:asciiTheme="minorEastAsia" w:hAnsiTheme="minorEastAsia" w:eastAsiaTheme="minorEastAsia" w:cstheme="minorEastAsia"/>
                      <w:color w:val="000000"/>
                      <w:sz w:val="24"/>
                      <w:szCs w:val="24"/>
                    </w:rPr>
                  </w:pP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负责全院环境、停车场的环境卫生保洁工作，定时对医院全域进行蚊子和蟑螂、蚂蚁等害虫的消杀工作并做好记录存档。</w:t>
                  </w:r>
                </w:p>
              </w:tc>
            </w:tr>
            <w:tr>
              <w:tblPrEx>
                <w:tblCellMar>
                  <w:top w:w="0" w:type="dxa"/>
                  <w:left w:w="108" w:type="dxa"/>
                  <w:bottom w:w="0" w:type="dxa"/>
                  <w:right w:w="108" w:type="dxa"/>
                </w:tblCellMar>
              </w:tblPrEx>
              <w:trPr>
                <w:trHeight w:val="360" w:hRule="atLeast"/>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医疗废物暂存间和污水处理站</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adjustRightInd/>
                    <w:rPr>
                      <w:rFonts w:hint="eastAsia" w:asciiTheme="minorEastAsia" w:hAnsiTheme="minorEastAsia" w:eastAsiaTheme="minorEastAsia" w:cstheme="minorEastAsia"/>
                      <w:color w:val="000000"/>
                      <w:sz w:val="24"/>
                      <w:szCs w:val="24"/>
                    </w:rPr>
                  </w:pPr>
                </w:p>
              </w:tc>
              <w:tc>
                <w:tcPr>
                  <w:tcW w:w="6571" w:type="dxa"/>
                  <w:tcBorders>
                    <w:top w:val="single" w:color="000000" w:sz="4" w:space="0"/>
                    <w:left w:val="single" w:color="000000" w:sz="4" w:space="0"/>
                    <w:bottom w:val="single" w:color="000000" w:sz="4" w:space="0"/>
                    <w:right w:val="single" w:color="000000" w:sz="4" w:space="0"/>
                  </w:tcBorders>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负责管理医疗废物暂存间，医疗废物各种转运登记、污水处理站各种药剂加注、登记、按规定定期提取污水标本送检、污水处理数据收集平台上报和管理等工作</w:t>
                  </w:r>
                </w:p>
              </w:tc>
            </w:tr>
            <w:tr>
              <w:tblPrEx>
                <w:tblCellMar>
                  <w:top w:w="0" w:type="dxa"/>
                  <w:left w:w="108" w:type="dxa"/>
                  <w:bottom w:w="0" w:type="dxa"/>
                  <w:right w:w="108" w:type="dxa"/>
                </w:tblCellMar>
              </w:tblPrEx>
              <w:trPr>
                <w:trHeight w:val="360" w:hRule="atLeast"/>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医院布草管理</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adjustRightInd/>
                    <w:rPr>
                      <w:rFonts w:hint="eastAsia" w:asciiTheme="minorEastAsia" w:hAnsiTheme="minorEastAsia" w:eastAsiaTheme="minorEastAsia" w:cstheme="minorEastAsia"/>
                      <w:color w:val="000000"/>
                      <w:sz w:val="24"/>
                      <w:szCs w:val="24"/>
                    </w:rPr>
                  </w:pPr>
                </w:p>
              </w:tc>
              <w:tc>
                <w:tcPr>
                  <w:tcW w:w="6571" w:type="dxa"/>
                  <w:tcBorders>
                    <w:top w:val="single" w:color="000000" w:sz="4" w:space="0"/>
                    <w:left w:val="single" w:color="000000" w:sz="4" w:space="0"/>
                    <w:bottom w:val="single" w:color="000000" w:sz="4" w:space="0"/>
                    <w:right w:val="single" w:color="000000" w:sz="4" w:space="0"/>
                  </w:tcBorders>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负责全院所有布草的登记收送、消毒、分类、缝补（如科室需改变布草使用要求做修改，由其科室提供</w:t>
                  </w:r>
                  <w:r>
                    <w:rPr>
                      <w:rFonts w:hint="eastAsia" w:asciiTheme="minorEastAsia" w:hAnsiTheme="minorEastAsia" w:eastAsiaTheme="minorEastAsia" w:cstheme="minorEastAsia"/>
                      <w:sz w:val="24"/>
                      <w:szCs w:val="24"/>
                    </w:rPr>
                    <w:t>缝补方案和草图，承包方负责完成修改及缝补）</w:t>
                  </w:r>
                  <w:r>
                    <w:rPr>
                      <w:rFonts w:hint="eastAsia" w:asciiTheme="minorEastAsia" w:hAnsiTheme="minorEastAsia" w:eastAsiaTheme="minorEastAsia" w:cstheme="minorEastAsia"/>
                      <w:color w:val="000000"/>
                      <w:kern w:val="0"/>
                      <w:sz w:val="24"/>
                      <w:szCs w:val="24"/>
                      <w:lang w:bidi="ar"/>
                    </w:rPr>
                    <w:t>等工作</w:t>
                  </w:r>
                </w:p>
              </w:tc>
            </w:tr>
            <w:tr>
              <w:tblPrEx>
                <w:tblCellMar>
                  <w:top w:w="0" w:type="dxa"/>
                  <w:left w:w="108" w:type="dxa"/>
                  <w:bottom w:w="0" w:type="dxa"/>
                  <w:right w:w="108" w:type="dxa"/>
                </w:tblCellMar>
              </w:tblPrEx>
              <w:trPr>
                <w:trHeight w:val="360" w:hRule="atLeast"/>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绿化员</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adjustRightInd/>
                    <w:rPr>
                      <w:rFonts w:hint="eastAsia" w:asciiTheme="minorEastAsia" w:hAnsiTheme="minorEastAsia" w:eastAsiaTheme="minorEastAsia" w:cstheme="minorEastAsia"/>
                      <w:color w:val="000000"/>
                      <w:sz w:val="24"/>
                      <w:szCs w:val="24"/>
                    </w:rPr>
                  </w:pPr>
                </w:p>
              </w:tc>
              <w:tc>
                <w:tcPr>
                  <w:tcW w:w="6571" w:type="dxa"/>
                  <w:tcBorders>
                    <w:top w:val="single" w:color="000000" w:sz="4" w:space="0"/>
                    <w:left w:val="single" w:color="000000" w:sz="4" w:space="0"/>
                    <w:bottom w:val="single" w:color="000000" w:sz="4" w:space="0"/>
                    <w:right w:val="single" w:color="000000" w:sz="4" w:space="0"/>
                  </w:tcBorders>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负责全院和残疾康复中心所有绿化维护保养（浇水、防涝防旱、施肥、整形修剪、病虫害防治、除草松土、补植更新、稳固、土壤改良、绿地清洁卫生等工作</w:t>
                  </w:r>
                </w:p>
              </w:tc>
            </w:tr>
            <w:tr>
              <w:tblPrEx>
                <w:tblCellMar>
                  <w:top w:w="0" w:type="dxa"/>
                  <w:left w:w="108" w:type="dxa"/>
                  <w:bottom w:w="0" w:type="dxa"/>
                  <w:right w:w="108" w:type="dxa"/>
                </w:tblCellMar>
              </w:tblPrEx>
              <w:trPr>
                <w:trHeight w:val="360" w:hRule="atLeast"/>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机动人员</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adjustRightInd/>
                    <w:rPr>
                      <w:rFonts w:hint="eastAsia" w:asciiTheme="minorEastAsia" w:hAnsiTheme="minorEastAsia" w:eastAsiaTheme="minorEastAsia" w:cstheme="minorEastAsia"/>
                      <w:color w:val="000000"/>
                      <w:sz w:val="24"/>
                      <w:szCs w:val="24"/>
                    </w:rPr>
                  </w:pP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负责保洁应急事件及各科室顶班的工作</w:t>
                  </w:r>
                </w:p>
              </w:tc>
            </w:tr>
            <w:tr>
              <w:tblPrEx>
                <w:tblCellMar>
                  <w:top w:w="0" w:type="dxa"/>
                  <w:left w:w="108" w:type="dxa"/>
                  <w:bottom w:w="0" w:type="dxa"/>
                  <w:right w:w="108" w:type="dxa"/>
                </w:tblCellMar>
              </w:tblPrEx>
              <w:trPr>
                <w:trHeight w:val="360" w:hRule="atLeast"/>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项目管理</w:t>
                  </w:r>
                </w:p>
              </w:tc>
              <w:tc>
                <w:tcPr>
                  <w:tcW w:w="1447" w:type="dxa"/>
                  <w:tcBorders>
                    <w:top w:val="single" w:color="000000" w:sz="4" w:space="0"/>
                    <w:left w:val="single" w:color="000000" w:sz="4" w:space="0"/>
                    <w:bottom w:val="single" w:color="000000" w:sz="4" w:space="0"/>
                    <w:right w:val="single" w:color="000000" w:sz="4" w:space="0"/>
                  </w:tcBorders>
                  <w:noWrap/>
                  <w:vAlign w:val="center"/>
                </w:tcPr>
                <w:p>
                  <w:pPr>
                    <w:adjustRightInd/>
                    <w:rPr>
                      <w:rFonts w:hint="eastAsia" w:asciiTheme="minorEastAsia" w:hAnsiTheme="minorEastAsia" w:eastAsiaTheme="minorEastAsia" w:cstheme="minorEastAsia"/>
                      <w:color w:val="000000"/>
                      <w:sz w:val="24"/>
                      <w:szCs w:val="24"/>
                    </w:rPr>
                  </w:pPr>
                </w:p>
              </w:tc>
              <w:tc>
                <w:tcPr>
                  <w:tcW w:w="6571" w:type="dxa"/>
                  <w:tcBorders>
                    <w:top w:val="single" w:color="000000" w:sz="4" w:space="0"/>
                    <w:left w:val="single" w:color="000000" w:sz="4" w:space="0"/>
                    <w:bottom w:val="single" w:color="000000" w:sz="4" w:space="0"/>
                    <w:right w:val="single" w:color="000000" w:sz="4" w:space="0"/>
                  </w:tcBorders>
                  <w:noWrap/>
                  <w:vAlign w:val="center"/>
                </w:tcPr>
                <w:p>
                  <w:pPr>
                    <w:widowControl/>
                    <w:adjustRightInd/>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负责整体医院保洁人员及保洁质量的管理</w:t>
                  </w:r>
                </w:p>
              </w:tc>
            </w:tr>
          </w:tbl>
          <w:p>
            <w:pPr>
              <w:adjustRightInd/>
              <w:rPr>
                <w:rFonts w:hint="eastAsia" w:asciiTheme="minorEastAsia" w:hAnsiTheme="minorEastAsia" w:eastAsiaTheme="minorEastAsia" w:cstheme="minorEastAsia"/>
                <w:sz w:val="24"/>
                <w:szCs w:val="24"/>
                <w:lang w:bidi="ar"/>
              </w:rPr>
            </w:pP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四、人员配置：</w:t>
            </w:r>
          </w:p>
          <w:p>
            <w:pPr>
              <w:adjustRightInd/>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1、项目经理1人：具备大专及以上学历，年龄55周岁以下，身体健康，五官端正，具有较强的组织协调、沟通交流、分析解决问题能力，且同时具备</w:t>
            </w:r>
            <w:r>
              <w:rPr>
                <w:rFonts w:hint="eastAsia" w:asciiTheme="minorEastAsia" w:hAnsiTheme="minorEastAsia" w:eastAsiaTheme="minorEastAsia" w:cstheme="minorEastAsia"/>
                <w:sz w:val="24"/>
                <w:szCs w:val="24"/>
              </w:rPr>
              <w:t>物业管理职业技能等级证书、保洁员职业技能等级证书、健康证，需提供本单位截标前半年内任意</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个月社保缴纳证明。</w:t>
            </w:r>
            <w:bookmarkStart w:id="77" w:name="OLE_LINK8"/>
            <w:r>
              <w:rPr>
                <w:rFonts w:hint="eastAsia" w:asciiTheme="minorEastAsia" w:hAnsiTheme="minorEastAsia" w:eastAsiaTheme="minorEastAsia" w:cstheme="minorEastAsia"/>
                <w:sz w:val="24"/>
                <w:szCs w:val="24"/>
              </w:rPr>
              <w:t>（除健康证需入场时出示外，其余证书均需于谈判</w:t>
            </w:r>
            <w:r>
              <w:rPr>
                <w:rFonts w:hint="eastAsia" w:asciiTheme="minorEastAsia" w:hAnsiTheme="minorEastAsia" w:eastAsiaTheme="minorEastAsia" w:cstheme="minorEastAsia"/>
                <w:sz w:val="24"/>
                <w:szCs w:val="24"/>
                <w:lang w:eastAsia="zh-CN"/>
              </w:rPr>
              <w:t>时</w:t>
            </w:r>
            <w:r>
              <w:rPr>
                <w:rFonts w:hint="eastAsia" w:asciiTheme="minorEastAsia" w:hAnsiTheme="minorEastAsia" w:eastAsiaTheme="minorEastAsia" w:cstheme="minorEastAsia"/>
                <w:sz w:val="24"/>
                <w:szCs w:val="24"/>
              </w:rPr>
              <w:t>提交。）</w:t>
            </w:r>
          </w:p>
          <w:bookmarkEnd w:id="77"/>
          <w:p>
            <w:pPr>
              <w:adjustRightInd/>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2、保洁人员23人：初中以上文化程度，年龄女性55周岁以下，男性60周岁以下，身体健康，工作认真负责，吃苦耐劳，接受过相关工作培训，熟悉相关工作设备、用品的操作规程。要求有1名人员</w:t>
            </w:r>
            <w:r>
              <w:rPr>
                <w:rFonts w:hint="eastAsia" w:asciiTheme="minorEastAsia" w:hAnsiTheme="minorEastAsia" w:eastAsiaTheme="minorEastAsia" w:cstheme="minorEastAsia"/>
                <w:sz w:val="24"/>
                <w:szCs w:val="24"/>
              </w:rPr>
              <w:t>具备固废处理工证、1名人员具备污水处理工证，该2名人员需持证2年以上国网可查，且需提供本单位截标前半年内任意</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个月社保缴纳证明。</w:t>
            </w:r>
          </w:p>
          <w:p>
            <w:pPr>
              <w:adjustRightInd/>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3、绿化工1人：初中以上文化程度，年龄女性55周岁以下，男性60周岁以下，身体健康，工作认真负责，吃苦耐劳，接受过相关工作培训，熟悉相关工作设备、用品的操作规程。需同时具备</w:t>
            </w:r>
            <w:r>
              <w:rPr>
                <w:rFonts w:hint="eastAsia" w:asciiTheme="minorEastAsia" w:hAnsiTheme="minorEastAsia" w:eastAsiaTheme="minorEastAsia" w:cstheme="minorEastAsia"/>
                <w:sz w:val="24"/>
                <w:szCs w:val="24"/>
              </w:rPr>
              <w:t>绿化工职业技能等级证及应急管理局发高空作业相关证书，且需提供本单位截标前半年内任意</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个月社保缴纳证明。</w:t>
            </w:r>
          </w:p>
          <w:p>
            <w:pPr>
              <w:adjustRightInd/>
              <w:ind w:firstLine="480" w:firstLineChars="200"/>
              <w:rPr>
                <w:rFonts w:hint="eastAsia" w:eastAsia="仿宋_GB2312"/>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上述证书</w:t>
            </w:r>
            <w:r>
              <w:rPr>
                <w:rFonts w:hint="eastAsia" w:asciiTheme="minorEastAsia" w:hAnsiTheme="minorEastAsia" w:eastAsiaTheme="minorEastAsia" w:cstheme="minorEastAsia"/>
                <w:sz w:val="24"/>
                <w:szCs w:val="24"/>
              </w:rPr>
              <w:t>除健康证需入场时出示外，其余证书均需于谈判</w:t>
            </w:r>
            <w:r>
              <w:rPr>
                <w:rFonts w:hint="eastAsia" w:asciiTheme="minorEastAsia" w:hAnsiTheme="minorEastAsia" w:eastAsiaTheme="minorEastAsia" w:cstheme="minorEastAsia"/>
                <w:sz w:val="24"/>
                <w:szCs w:val="24"/>
                <w:lang w:eastAsia="zh-CN"/>
              </w:rPr>
              <w:t>时</w:t>
            </w:r>
            <w:r>
              <w:rPr>
                <w:rFonts w:hint="eastAsia" w:asciiTheme="minorEastAsia" w:hAnsiTheme="minorEastAsia" w:eastAsiaTheme="minorEastAsia" w:cstheme="minorEastAsia"/>
                <w:sz w:val="24"/>
                <w:szCs w:val="24"/>
              </w:rPr>
              <w:t>提交。）</w:t>
            </w:r>
          </w:p>
          <w:p>
            <w:pPr>
              <w:adjustRightInd/>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五、</w:t>
            </w:r>
            <w:r>
              <w:rPr>
                <w:rFonts w:hint="eastAsia" w:asciiTheme="minorEastAsia" w:hAnsiTheme="minorEastAsia" w:eastAsiaTheme="minorEastAsia" w:cstheme="minorEastAsia"/>
                <w:b/>
                <w:bCs/>
                <w:sz w:val="24"/>
                <w:szCs w:val="24"/>
                <w:lang w:bidi="ar"/>
              </w:rPr>
              <w:t>上岗人员要求</w:t>
            </w:r>
            <w:r>
              <w:rPr>
                <w:rFonts w:hint="eastAsia" w:asciiTheme="minorEastAsia" w:hAnsiTheme="minorEastAsia" w:eastAsiaTheme="minorEastAsia" w:cstheme="minorEastAsia"/>
                <w:sz w:val="24"/>
                <w:szCs w:val="24"/>
                <w:lang w:bidi="ar"/>
              </w:rPr>
              <w:t>：</w:t>
            </w:r>
          </w:p>
          <w:p>
            <w:pPr>
              <w:numPr>
                <w:ilvl w:val="0"/>
                <w:numId w:val="8"/>
              </w:num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着装要求：统一工作服与工牌，头发梳理整齐，不能披头散发。</w:t>
            </w:r>
          </w:p>
          <w:p>
            <w:pPr>
              <w:numPr>
                <w:ilvl w:val="0"/>
                <w:numId w:val="8"/>
              </w:num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工作服务态度要求：积极主动、服从管理、热情耐心、细致周到、文明礼貌，禁止与病人及病人家属争吵。</w:t>
            </w:r>
          </w:p>
          <w:p>
            <w:pPr>
              <w:numPr>
                <w:ilvl w:val="0"/>
                <w:numId w:val="8"/>
              </w:num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规范作业要求：熟练掌握个人防护知识，各种消毒用品的使用与配比，掌握医疗垃圾的收集转运管理知识和污水处理相关知识。</w:t>
            </w:r>
          </w:p>
          <w:p>
            <w:pPr>
              <w:adjustRightInd/>
              <w:rPr>
                <w:rFonts w:hint="eastAsia" w:asciiTheme="minorEastAsia" w:hAnsiTheme="minorEastAsia" w:eastAsiaTheme="minorEastAsia" w:cstheme="minorEastAsia"/>
                <w:sz w:val="24"/>
                <w:szCs w:val="24"/>
                <w:lang w:bidi="ar"/>
              </w:rPr>
            </w:pP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六、1、商务标准及要求</w:t>
            </w:r>
          </w:p>
          <w:tbl>
            <w:tblPr>
              <w:tblStyle w:val="636"/>
              <w:tblpPr w:leftFromText="180" w:rightFromText="180" w:vertAnchor="text" w:horzAnchor="page" w:tblpX="-3" w:tblpY="614"/>
              <w:tblOverlap w:val="never"/>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273"/>
              <w:gridCol w:w="1009"/>
              <w:gridCol w:w="1295"/>
              <w:gridCol w:w="4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清洁分类</w:t>
                  </w:r>
                </w:p>
              </w:tc>
              <w:tc>
                <w:tcPr>
                  <w:tcW w:w="68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工作区域</w:t>
                  </w:r>
                </w:p>
              </w:tc>
              <w:tc>
                <w:tcPr>
                  <w:tcW w:w="547"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次数</w:t>
                  </w:r>
                </w:p>
              </w:tc>
              <w:tc>
                <w:tcPr>
                  <w:tcW w:w="701"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作业标准</w:t>
                  </w:r>
                </w:p>
              </w:tc>
              <w:tc>
                <w:tcPr>
                  <w:tcW w:w="2434"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作业要求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25"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大厅</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天花板及照明设备表面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每月清洁一次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大理石地面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随时保洁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地面光亮、无尘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玻璃门窗</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无手印无污渍、光亮</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广告、指示牌及开关</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毛巾擦拭、使用全能消毒清洁剂清除污渍消毒，符合GB-15982医院消毒卫生标准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玻璃柜台</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无手印无污渍、光亮</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25"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门诊</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地板</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随时保洁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地面光亮、无尘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每天一次湿拖，使用中性消毒液清洁消毒，使用后拖把、尘推用含有效氯500mg/l消毒液浸泡30分钟，用洗衣粉清洗晾干后才能投入下次使用，符合GB-15982医院消毒卫生标准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洗手池及镜面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墙壁及隔断玻窗</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两天一次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护士台及其他桌椅、设备天花板及照明设备表面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每天清洁一次每月清洁一次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无污渍无灰尘、表面光亮，无污渍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通道清洁</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抛光专地面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随时保洁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地面光亮、无尘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水磨石地板及踢脚线</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随时保洁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地面光亮、无尘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墙面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通道扶栏、扶手</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无手印无污渍、光亮</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毛巾擦拭、使用全能消毒清洁剂（快活水）清除污渍消毒，符合GB-15982医院消毒卫生标准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广告、指示牌及开关</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毛巾擦拭、使用全能消毒清洁剂清除污渍消毒，符合GB-15982医院消毒卫生标准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天花板及照明设备表面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每月清洁一次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玻璃门</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无手印无污渍、光亮</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625"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电梯厅清洁</w:t>
                  </w:r>
                </w:p>
              </w:tc>
              <w:tc>
                <w:tcPr>
                  <w:tcW w:w="68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随时保洁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地面光亮、无尘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电梯门及指示板表面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每天清洁一次，随时保洁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毛巾擦拭，每击上不锈钢保护剂一次，符合GB-15982医院消毒卫生标准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轿厢内部</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毛巾擦拭，每击上不锈钢保护剂一次，符合GB-15982医院消毒卫生标准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天花板及照明设备表面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每月清洁一次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25"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护士站及医生办公室</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随时保洁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地面光亮、无尘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洗手池及镜面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墙壁及隔断玻璃窗</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两天清洁一次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护士台及其他桌椅、物品表面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无污渍、无灰尘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25"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行政办公室</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房门及门套</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两天清洁一次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玻璃窗及窗台</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地板</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无尘无杂物</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墙壁</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天花板及照明设备表面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每月清洁一次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办公桌椅</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25"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病房清洁</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房门及门套</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两天清洁一次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玻璃窗及窗台</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地板</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无尘无杂物</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墙壁</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天花板及照明设备表面空调出风口、风扇</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每月清洁一次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病床</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无污渍无灰尘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床头柜</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无污渍无灰尘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设备带</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无污渍无灰尘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电视机架</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无污渍无灰尘</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垃圾袋清洁及更换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每达到2/3时更换</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卫生间洗衣手台</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卫生间镜面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卫生间地板及地漏、墙面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无杂物</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每天用含有效氯500mg/l消毒液喷洒，符合GB-15982医院消毒卫生标准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卫生间便池</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无污渍、无臭味</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清洁卫生后使池使用含有效氯500mg/l消毒液消毒，符合GB-15982医院消毒卫生标准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卫生间蹲位和马桶</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每天不定时检查</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无堵塞</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如发现卫生间管道堵塞积水和积污，要立即进行人工或机械疏通工作，保持蹲位和马桶的正常使用。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终末封房消毒</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按需清洁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符合感控要求</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按要求全面清洁消毒，符合GB-15982医院消毒卫生标准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手术室</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房门及门套</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两天清洁一次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玻璃窗及窗台</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毛巾擦拭，使用玻璃清洁剂、配合工具、清除污渍消毒，符合GB-50333医院洁净手术部建筑技术规范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地板</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无尘无杂物</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墙壁</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天花板及照明设备表面空调出风口、风扇</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每月清洁一次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办公桌椅柜子</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医疗设备表面</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每台手术后清洁一次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表面光亮，无污渍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楼梯级</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无杂物</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每天一次湿拖，每小时一次推尘，使用后拖把、尘推用含有效氯500mg/l浸泡30分钟，用洗衣衣粉清洗晾干后才能投入下次使用，符合GB-50333医院洁净手术部建筑技术规范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楼梯扶手</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每天擦拭一次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玻璃</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墙壁</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不锈钢栏</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每周清洁二次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无手印无污渍</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毛巾擦拭，使用后毛巾用含有效氯500mg/l浸泡30分钟，用洗衣衣粉清洗晾干后才能投入下次使用，符合GB-50333医院洁净手术部建筑技术规范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restart"/>
                  <w:tcBorders>
                    <w:top w:val="single" w:color="auto" w:sz="4" w:space="0"/>
                    <w:left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公共卫生间</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一般性保洁</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每天清洁两次按需清洁</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无臭味，无黄垢</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地面清洁、抹净洗手台、尿斗（槽）冲水、便盆清洁、检查空气清新剂，符合GB-15982医院消毒卫生标准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left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全面清洁</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每天一次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无臭味，无黄垢</w:t>
                  </w: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包括一般性清洁内容及地面、墙面、隔板等并用含有效氯500mg/l消毒液喷洒全面消毒，符合GB-15982医院消毒卫生标准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特殊处理</w:t>
                  </w:r>
                </w:p>
              </w:tc>
              <w:tc>
                <w:tcPr>
                  <w:tcW w:w="1011" w:type="dxa"/>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每天不定时检查</w:t>
                  </w:r>
                </w:p>
              </w:tc>
              <w:tc>
                <w:tcPr>
                  <w:tcW w:w="1295" w:type="dxa"/>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无堵塞</w:t>
                  </w:r>
                </w:p>
              </w:tc>
              <w:tc>
                <w:tcPr>
                  <w:tcW w:w="4493" w:type="dxa"/>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如发现卫生间管道堵塞积水和积污，要立即进行人工或机械疏通工作，保持蹲位和马桶的正常使用。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625" w:type="pc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其他</w:t>
                  </w:r>
                </w:p>
              </w:tc>
              <w:tc>
                <w:tcPr>
                  <w:tcW w:w="689"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特殊部门（检验科、口腔科、感染性疾病科、处置换药室）</w:t>
                  </w:r>
                </w:p>
              </w:tc>
              <w:tc>
                <w:tcPr>
                  <w:tcW w:w="547"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每天消毒二次</w:t>
                  </w:r>
                </w:p>
              </w:tc>
              <w:tc>
                <w:tcPr>
                  <w:tcW w:w="701"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p>
              </w:tc>
              <w:tc>
                <w:tcPr>
                  <w:tcW w:w="2434" w:type="pct"/>
                  <w:tcBorders>
                    <w:top w:val="single" w:color="auto" w:sz="4" w:space="0"/>
                    <w:left w:val="single" w:color="auto" w:sz="4" w:space="0"/>
                    <w:bottom w:val="single" w:color="auto" w:sz="4" w:space="0"/>
                    <w:right w:val="single" w:color="auto" w:sz="4" w:space="0"/>
                  </w:tcBorders>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清扫后全面用含有效氯500mg/l消毒液喷洒全面消毒，符合GB-15982医院消毒卫生标准</w:t>
                  </w:r>
                </w:p>
              </w:tc>
            </w:tr>
          </w:tbl>
          <w:p>
            <w:pPr>
              <w:adjustRightInd/>
              <w:rPr>
                <w:rFonts w:hint="eastAsia" w:asciiTheme="minorEastAsia" w:hAnsiTheme="minorEastAsia" w:eastAsiaTheme="minorEastAsia" w:cstheme="minorEastAsia"/>
                <w:sz w:val="24"/>
                <w:szCs w:val="24"/>
                <w:lang w:bidi="ar"/>
              </w:rPr>
            </w:pPr>
          </w:p>
          <w:p>
            <w:pPr>
              <w:adjustRightInd/>
              <w:rPr>
                <w:rFonts w:hint="eastAsia" w:asciiTheme="minorEastAsia" w:hAnsiTheme="minorEastAsia" w:eastAsiaTheme="minorEastAsia" w:cstheme="minorEastAsia"/>
                <w:b/>
                <w:bCs/>
                <w:sz w:val="24"/>
                <w:szCs w:val="24"/>
                <w:lang w:bidi="ar"/>
              </w:rPr>
            </w:pPr>
            <w:r>
              <w:rPr>
                <w:rFonts w:hint="eastAsia" w:asciiTheme="minorEastAsia" w:hAnsiTheme="minorEastAsia" w:eastAsiaTheme="minorEastAsia" w:cstheme="minorEastAsia"/>
                <w:b/>
                <w:bCs/>
                <w:sz w:val="24"/>
                <w:szCs w:val="24"/>
                <w:lang w:bidi="ar"/>
              </w:rPr>
              <w:t>2、特殊区域卫生标准要求</w:t>
            </w:r>
          </w:p>
          <w:p>
            <w:pPr>
              <w:adjustRightInd/>
              <w:rPr>
                <w:rFonts w:hint="eastAsia" w:asciiTheme="minorEastAsia" w:hAnsiTheme="minorEastAsia" w:eastAsiaTheme="minorEastAsia" w:cstheme="minorEastAsia"/>
                <w:sz w:val="24"/>
                <w:szCs w:val="24"/>
                <w:lang w:bidi="ar"/>
              </w:rPr>
            </w:pPr>
          </w:p>
          <w:tbl>
            <w:tblPr>
              <w:tblStyle w:val="6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13"/>
              <w:gridCol w:w="973"/>
              <w:gridCol w:w="1152"/>
              <w:gridCol w:w="1614"/>
              <w:gridCol w:w="272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科室</w:t>
                  </w:r>
                </w:p>
              </w:tc>
              <w:tc>
                <w:tcPr>
                  <w:tcW w:w="1382" w:type="pct"/>
                  <w:gridSpan w:val="3"/>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监 测 项 目</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color w:val="000000"/>
                      <w:kern w:val="0"/>
                      <w:sz w:val="24"/>
                      <w:szCs w:val="24"/>
                      <w:lang w:bidi="ar"/>
                    </w:rPr>
                    <w:t>执行标准</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color w:val="000000"/>
                      <w:kern w:val="0"/>
                      <w:sz w:val="24"/>
                      <w:szCs w:val="24"/>
                      <w:lang w:bidi="ar"/>
                    </w:rPr>
                    <w:t>菌落总数</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0"/>
                      <w:sz w:val="24"/>
                      <w:szCs w:val="24"/>
                      <w:lang w:bidi="ar"/>
                    </w:rPr>
                    <w:t>监测时间</w:t>
                  </w:r>
                  <w:r>
                    <w:rPr>
                      <w:rFonts w:hint="eastAsia" w:asciiTheme="minorEastAsia" w:hAnsiTheme="minorEastAsia" w:eastAsiaTheme="minorEastAsia" w:cstheme="minorEastAsia"/>
                      <w:b/>
                      <w:sz w:val="24"/>
                      <w:szCs w:val="24"/>
                      <w:lang w:bidi="ar"/>
                    </w:rPr>
                    <w:t>、</w:t>
                  </w:r>
                  <w:r>
                    <w:rPr>
                      <w:rFonts w:hint="eastAsia" w:asciiTheme="minorEastAsia" w:hAnsiTheme="minorEastAsia" w:eastAsiaTheme="minorEastAsia" w:cstheme="minorEastAsia"/>
                      <w:b/>
                      <w:bCs/>
                      <w:kern w:val="0"/>
                      <w:sz w:val="24"/>
                      <w:szCs w:val="24"/>
                      <w:lang w:bidi="ar"/>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91"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kern w:val="0"/>
                      <w:sz w:val="24"/>
                      <w:szCs w:val="24"/>
                    </w:rPr>
                  </w:pP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手术室</w:t>
                  </w:r>
                </w:p>
              </w:tc>
              <w:tc>
                <w:tcPr>
                  <w:tcW w:w="225"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环境</w:t>
                  </w: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卫生学</w:t>
                  </w: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监测</w:t>
                  </w:r>
                </w:p>
              </w:tc>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空气</w:t>
                  </w:r>
                  <w:r>
                    <w:rPr>
                      <w:rFonts w:hint="eastAsia" w:asciiTheme="minorEastAsia" w:hAnsiTheme="minorEastAsia" w:eastAsiaTheme="minorEastAsia" w:cstheme="minorEastAsia"/>
                      <w:color w:val="000000"/>
                      <w:kern w:val="0"/>
                      <w:sz w:val="24"/>
                      <w:szCs w:val="24"/>
                      <w:lang w:bidi="ar"/>
                    </w:rPr>
                    <w:t>（cfu/皿）</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洁净手术部：符合GB50333要求</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非洁净系统区域：</w:t>
                  </w:r>
                  <w:r>
                    <w:rPr>
                      <w:rFonts w:hint="eastAsia" w:asciiTheme="minorEastAsia" w:hAnsiTheme="minorEastAsia" w:eastAsiaTheme="minorEastAsia" w:cstheme="minorEastAsia"/>
                      <w:color w:val="000000"/>
                      <w:kern w:val="0"/>
                      <w:sz w:val="24"/>
                      <w:szCs w:val="24"/>
                      <w:lang w:bidi="ar"/>
                    </w:rPr>
                    <w:t>≤4.0cfu/(30min 直径9cm平皿)</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在医护人员指导下随时消毒，每季度检测一次。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物表</w:t>
                  </w:r>
                  <w:r>
                    <w:rPr>
                      <w:rFonts w:hint="eastAsia" w:asciiTheme="minorEastAsia" w:hAnsiTheme="minorEastAsia" w:eastAsiaTheme="minorEastAsia" w:cstheme="minorEastAsia"/>
                      <w:color w:val="000000"/>
                      <w:kern w:val="0"/>
                      <w:sz w:val="24"/>
                      <w:szCs w:val="24"/>
                      <w:lang w:bidi="ar"/>
                    </w:rPr>
                    <w:t>（cfu/cm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color w:val="000000"/>
                      <w:kern w:val="0"/>
                      <w:sz w:val="24"/>
                      <w:szCs w:val="24"/>
                      <w:lang w:bidi="ar"/>
                    </w:rPr>
                    <w:t>）</w:t>
                  </w:r>
                </w:p>
              </w:tc>
              <w:tc>
                <w:tcPr>
                  <w:tcW w:w="878" w:type="pct"/>
                  <w:tcBorders>
                    <w:top w:val="single" w:color="auto" w:sz="4" w:space="0"/>
                    <w:left w:val="single" w:color="auto" w:sz="4" w:space="0"/>
                    <w:bottom w:val="single" w:color="auto" w:sz="4" w:space="0"/>
                    <w:right w:val="single" w:color="auto" w:sz="4" w:space="0"/>
                  </w:tcBorders>
                  <w:vAlign w:val="center"/>
                </w:tcPr>
                <w:p>
                  <w:pPr>
                    <w:widowControl/>
                    <w:adjustRightInd/>
                    <w:spacing w:before="80" w:after="80" w:line="2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≤5.0 cfu/cm</w:t>
                  </w:r>
                  <w:r>
                    <w:rPr>
                      <w:rFonts w:hint="eastAsia" w:asciiTheme="minorEastAsia" w:hAnsiTheme="minorEastAsia" w:eastAsiaTheme="minorEastAsia" w:cstheme="minorEastAsia"/>
                      <w:color w:val="000000"/>
                      <w:kern w:val="0"/>
                      <w:sz w:val="24"/>
                      <w:szCs w:val="24"/>
                      <w:vertAlign w:val="superscript"/>
                      <w:lang w:bidi="ar"/>
                    </w:rPr>
                    <w:t>2</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消毒物品</w:t>
                  </w:r>
                  <w:r>
                    <w:rPr>
                      <w:rFonts w:hint="eastAsia" w:asciiTheme="minorEastAsia" w:hAnsiTheme="minorEastAsia" w:eastAsiaTheme="minorEastAsia" w:cstheme="minorEastAsia"/>
                      <w:color w:val="000000"/>
                      <w:kern w:val="0"/>
                      <w:sz w:val="24"/>
                      <w:szCs w:val="24"/>
                      <w:lang w:bidi="ar"/>
                    </w:rPr>
                    <w:t>（cfu/cm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color w:val="000000"/>
                      <w:kern w:val="0"/>
                      <w:sz w:val="24"/>
                      <w:szCs w:val="24"/>
                      <w:lang w:bidi="ar"/>
                    </w:rPr>
                    <w:t>）</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手术床、无影灯、心电监护仪等≤5 cfu/cm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sz w:val="24"/>
                      <w:szCs w:val="24"/>
                      <w:lang w:bidi="ar"/>
                    </w:rPr>
                    <w:t xml:space="preserve"> ，中危器材</w:t>
                  </w:r>
                  <w:r>
                    <w:rPr>
                      <w:rFonts w:hint="eastAsia" w:asciiTheme="minorEastAsia" w:hAnsiTheme="minorEastAsia" w:eastAsiaTheme="minorEastAsia" w:cstheme="minorEastAsia"/>
                      <w:color w:val="000000"/>
                      <w:kern w:val="0"/>
                      <w:sz w:val="24"/>
                      <w:szCs w:val="24"/>
                      <w:lang w:bidi="ar"/>
                    </w:rPr>
                    <w:t>≤20 cfu/件（或cfu/100cm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color w:val="000000"/>
                      <w:kern w:val="0"/>
                      <w:sz w:val="24"/>
                      <w:szCs w:val="24"/>
                      <w:lang w:bidi="ar"/>
                    </w:rPr>
                    <w:t>或cfu/g):低</w:t>
                  </w:r>
                  <w:r>
                    <w:rPr>
                      <w:rFonts w:hint="eastAsia" w:asciiTheme="minorEastAsia" w:hAnsiTheme="minorEastAsia" w:eastAsiaTheme="minorEastAsia" w:cstheme="minorEastAsia"/>
                      <w:sz w:val="24"/>
                      <w:szCs w:val="24"/>
                      <w:lang w:bidi="ar"/>
                    </w:rPr>
                    <w:t>危器材</w:t>
                  </w:r>
                  <w:r>
                    <w:rPr>
                      <w:rFonts w:hint="eastAsia" w:asciiTheme="minorEastAsia" w:hAnsiTheme="minorEastAsia" w:eastAsiaTheme="minorEastAsia" w:cstheme="minorEastAsia"/>
                      <w:color w:val="000000"/>
                      <w:kern w:val="0"/>
                      <w:sz w:val="24"/>
                      <w:szCs w:val="24"/>
                      <w:lang w:bidi="ar"/>
                    </w:rPr>
                    <w:t>≤200 cfu/件（或cfu/100cm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color w:val="000000"/>
                      <w:kern w:val="0"/>
                      <w:sz w:val="24"/>
                      <w:szCs w:val="24"/>
                      <w:lang w:bidi="ar"/>
                    </w:rPr>
                    <w:t>或cfu/g)均不得检出致病菌。</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bidi="ar"/>
                    </w:rPr>
                    <w:t>新生儿病区</w:t>
                  </w:r>
                </w:p>
              </w:tc>
              <w:tc>
                <w:tcPr>
                  <w:tcW w:w="225"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环境</w:t>
                  </w:r>
                </w:p>
                <w:p>
                  <w:pPr>
                    <w:adjustRightInd/>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bidi="ar"/>
                    </w:rPr>
                    <w:t>卫生学监测</w:t>
                  </w:r>
                </w:p>
              </w:tc>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空气</w:t>
                  </w:r>
                  <w:r>
                    <w:rPr>
                      <w:rFonts w:hint="eastAsia" w:asciiTheme="minorEastAsia" w:hAnsiTheme="minorEastAsia" w:eastAsiaTheme="minorEastAsia" w:cstheme="minorEastAsia"/>
                      <w:color w:val="000000"/>
                      <w:kern w:val="0"/>
                      <w:sz w:val="24"/>
                      <w:szCs w:val="24"/>
                      <w:lang w:bidi="ar"/>
                    </w:rPr>
                    <w:t>（cfu/皿）</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WS/T368-2012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≤4.0（15min直径9cm平皿）</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在医护人员指导下随时消毒，每季度一次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物表</w:t>
                  </w:r>
                  <w:r>
                    <w:rPr>
                      <w:rFonts w:hint="eastAsia" w:asciiTheme="minorEastAsia" w:hAnsiTheme="minorEastAsia" w:eastAsiaTheme="minorEastAsia" w:cstheme="minorEastAsia"/>
                      <w:color w:val="000000"/>
                      <w:kern w:val="0"/>
                      <w:sz w:val="24"/>
                      <w:szCs w:val="24"/>
                      <w:lang w:bidi="ar"/>
                    </w:rPr>
                    <w:t>（cfu/cm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color w:val="000000"/>
                      <w:kern w:val="0"/>
                      <w:sz w:val="24"/>
                      <w:szCs w:val="24"/>
                      <w:lang w:bidi="ar"/>
                    </w:rPr>
                    <w:t>）</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≤5.0 cfu/cm</w:t>
                  </w:r>
                  <w:r>
                    <w:rPr>
                      <w:rFonts w:hint="eastAsia" w:asciiTheme="minorEastAsia" w:hAnsiTheme="minorEastAsia" w:eastAsiaTheme="minorEastAsia" w:cstheme="minorEastAsia"/>
                      <w:color w:val="000000"/>
                      <w:kern w:val="0"/>
                      <w:sz w:val="24"/>
                      <w:szCs w:val="24"/>
                      <w:vertAlign w:val="superscript"/>
                      <w:lang w:bidi="ar"/>
                    </w:rPr>
                    <w:t>2</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bidi="ar"/>
                    </w:rPr>
                    <w:t>消毒灭菌效果监测</w:t>
                  </w:r>
                </w:p>
              </w:tc>
              <w:tc>
                <w:tcPr>
                  <w:tcW w:w="530"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消毒剂</w:t>
                  </w:r>
                </w:p>
              </w:tc>
              <w:tc>
                <w:tcPr>
                  <w:tcW w:w="626"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化学监测（浓度）</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500-1000mg/L含氯消毒液</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每日使用前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530"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26"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生物监测（染菌量）</w:t>
                  </w:r>
                </w:p>
              </w:tc>
              <w:tc>
                <w:tcPr>
                  <w:tcW w:w="878"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使用中皮肤黏膜消毒剂 ≤10 cfu/ml</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在医护人员指导下随时消毒，每季度一次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530"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87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其它使用中消毒液     ≤100 cfu/ml</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91"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kern w:val="0"/>
                      <w:sz w:val="24"/>
                      <w:szCs w:val="24"/>
                    </w:rPr>
                  </w:pP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产房</w:t>
                  </w:r>
                </w:p>
              </w:tc>
              <w:tc>
                <w:tcPr>
                  <w:tcW w:w="225"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环境</w:t>
                  </w: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卫生学</w:t>
                  </w: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监测</w:t>
                  </w:r>
                </w:p>
              </w:tc>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空气</w:t>
                  </w:r>
                  <w:r>
                    <w:rPr>
                      <w:rFonts w:hint="eastAsia" w:asciiTheme="minorEastAsia" w:hAnsiTheme="minorEastAsia" w:eastAsiaTheme="minorEastAsia" w:cstheme="minorEastAsia"/>
                      <w:color w:val="000000"/>
                      <w:kern w:val="0"/>
                      <w:sz w:val="24"/>
                      <w:szCs w:val="24"/>
                      <w:lang w:bidi="ar"/>
                    </w:rPr>
                    <w:t>（cfu/皿）</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符合GB50333要求</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≤4.0cfu/(30min 直径9cm平皿)</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在医护人员指导下随时消毒，每季度一次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物表</w:t>
                  </w:r>
                  <w:r>
                    <w:rPr>
                      <w:rFonts w:hint="eastAsia" w:asciiTheme="minorEastAsia" w:hAnsiTheme="minorEastAsia" w:eastAsiaTheme="minorEastAsia" w:cstheme="minorEastAsia"/>
                      <w:color w:val="000000"/>
                      <w:kern w:val="0"/>
                      <w:sz w:val="24"/>
                      <w:szCs w:val="24"/>
                      <w:lang w:bidi="ar"/>
                    </w:rPr>
                    <w:t>（cfu/cm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color w:val="000000"/>
                      <w:kern w:val="0"/>
                      <w:sz w:val="24"/>
                      <w:szCs w:val="24"/>
                      <w:lang w:bidi="ar"/>
                    </w:rPr>
                    <w:t>）</w:t>
                  </w:r>
                </w:p>
              </w:tc>
              <w:tc>
                <w:tcPr>
                  <w:tcW w:w="878" w:type="pct"/>
                  <w:tcBorders>
                    <w:top w:val="single" w:color="auto" w:sz="4" w:space="0"/>
                    <w:left w:val="single" w:color="auto" w:sz="4" w:space="0"/>
                    <w:bottom w:val="single" w:color="auto" w:sz="4" w:space="0"/>
                    <w:right w:val="single" w:color="auto" w:sz="4" w:space="0"/>
                  </w:tcBorders>
                  <w:vAlign w:val="center"/>
                </w:tcPr>
                <w:p>
                  <w:pPr>
                    <w:widowControl/>
                    <w:adjustRightInd/>
                    <w:spacing w:before="80" w:after="80" w:line="2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≤5.0 cfu/cm</w:t>
                  </w:r>
                  <w:r>
                    <w:rPr>
                      <w:rFonts w:hint="eastAsia" w:asciiTheme="minorEastAsia" w:hAnsiTheme="minorEastAsia" w:eastAsiaTheme="minorEastAsia" w:cstheme="minorEastAsia"/>
                      <w:color w:val="000000"/>
                      <w:kern w:val="0"/>
                      <w:sz w:val="24"/>
                      <w:szCs w:val="24"/>
                      <w:vertAlign w:val="superscript"/>
                      <w:lang w:bidi="ar"/>
                    </w:rPr>
                    <w:t>2</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消毒灭菌效果监测</w:t>
                  </w:r>
                </w:p>
              </w:tc>
              <w:tc>
                <w:tcPr>
                  <w:tcW w:w="530"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消毒剂（</w:t>
                  </w:r>
                  <w:r>
                    <w:rPr>
                      <w:rFonts w:hint="eastAsia" w:asciiTheme="minorEastAsia" w:hAnsiTheme="minorEastAsia" w:eastAsiaTheme="minorEastAsia" w:cstheme="minorEastAsia"/>
                      <w:color w:val="000000"/>
                      <w:kern w:val="0"/>
                      <w:sz w:val="24"/>
                      <w:szCs w:val="24"/>
                      <w:lang w:bidi="ar"/>
                    </w:rPr>
                    <w:t>cfu/ml</w:t>
                  </w:r>
                  <w:r>
                    <w:rPr>
                      <w:rFonts w:hint="eastAsia" w:asciiTheme="minorEastAsia" w:hAnsiTheme="minorEastAsia" w:eastAsiaTheme="minorEastAsia" w:cstheme="minorEastAsia"/>
                      <w:sz w:val="24"/>
                      <w:szCs w:val="24"/>
                      <w:lang w:bidi="ar"/>
                    </w:rPr>
                    <w:t>）</w:t>
                  </w:r>
                </w:p>
              </w:tc>
              <w:tc>
                <w:tcPr>
                  <w:tcW w:w="626" w:type="pct"/>
                  <w:tcBorders>
                    <w:top w:val="single" w:color="auto" w:sz="4" w:space="0"/>
                    <w:left w:val="single" w:color="auto" w:sz="4" w:space="0"/>
                    <w:bottom w:val="nil"/>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化学监测（浓度）</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500mg/L含氯消毒液</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每日使用前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530"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26" w:type="pct"/>
                  <w:vMerge w:val="restart"/>
                  <w:tcBorders>
                    <w:top w:val="single" w:color="auto" w:sz="4" w:space="0"/>
                    <w:left w:val="single" w:color="auto" w:sz="4" w:space="0"/>
                    <w:bottom w:val="nil"/>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生物监测（染菌量）</w:t>
                  </w:r>
                </w:p>
              </w:tc>
              <w:tc>
                <w:tcPr>
                  <w:tcW w:w="878"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使用中皮肤黏膜消毒剂 ≤10 cfu/ml</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在医护人员指导下随时消毒，每季度一次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530"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26" w:type="pct"/>
                  <w:vMerge w:val="continue"/>
                  <w:tcBorders>
                    <w:top w:val="single" w:color="auto" w:sz="4" w:space="0"/>
                    <w:left w:val="single" w:color="auto" w:sz="4" w:space="0"/>
                    <w:bottom w:val="nil"/>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87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其它使用中消毒液     ≤100 cfu/ml</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消毒物品表面</w:t>
                  </w:r>
                  <w:r>
                    <w:rPr>
                      <w:rFonts w:hint="eastAsia" w:asciiTheme="minorEastAsia" w:hAnsiTheme="minorEastAsia" w:eastAsiaTheme="minorEastAsia" w:cstheme="minorEastAsia"/>
                      <w:color w:val="000000"/>
                      <w:kern w:val="0"/>
                      <w:sz w:val="24"/>
                      <w:szCs w:val="24"/>
                      <w:lang w:bidi="ar"/>
                    </w:rPr>
                    <w:t>（cfu/cm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color w:val="000000"/>
                      <w:kern w:val="0"/>
                      <w:sz w:val="24"/>
                      <w:szCs w:val="24"/>
                      <w:lang w:bidi="ar"/>
                    </w:rPr>
                    <w:t>）</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门把手、治疗车等       ≤5 cfu/cm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sz w:val="24"/>
                      <w:szCs w:val="24"/>
                      <w:lang w:bidi="ar"/>
                    </w:rPr>
                    <w:t xml:space="preserve"> </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1"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口腔科、供应室、母婴同室、</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儿科病房、人流手术室、</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治疗室、</w:t>
                  </w:r>
                </w:p>
                <w:p>
                  <w:pPr>
                    <w:adjustRightInd/>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bidi="ar"/>
                    </w:rPr>
                    <w:t>妇检室、 实验室等</w:t>
                  </w:r>
                </w:p>
              </w:tc>
              <w:tc>
                <w:tcPr>
                  <w:tcW w:w="225"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环境</w:t>
                  </w: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卫生学</w:t>
                  </w: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监测</w:t>
                  </w:r>
                </w:p>
              </w:tc>
              <w:tc>
                <w:tcPr>
                  <w:tcW w:w="1156" w:type="pct"/>
                  <w:gridSpan w:val="2"/>
                  <w:tcBorders>
                    <w:top w:val="single" w:color="auto" w:sz="4" w:space="0"/>
                    <w:left w:val="single" w:color="auto" w:sz="4" w:space="0"/>
                    <w:bottom w:val="single" w:color="auto" w:sz="4" w:space="0"/>
                    <w:right w:val="single" w:color="auto" w:sz="4" w:space="0"/>
                  </w:tcBorders>
                  <w:vAlign w:val="center"/>
                </w:tcPr>
                <w:p>
                  <w:pPr>
                    <w:widowControl/>
                    <w:adjustRightInd/>
                    <w:spacing w:before="80" w:after="80" w:line="2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lang w:bidi="ar"/>
                    </w:rPr>
                    <w:t>空气</w:t>
                  </w:r>
                  <w:r>
                    <w:rPr>
                      <w:rFonts w:hint="eastAsia" w:asciiTheme="minorEastAsia" w:hAnsiTheme="minorEastAsia" w:eastAsiaTheme="minorEastAsia" w:cstheme="minorEastAsia"/>
                      <w:color w:val="000000"/>
                      <w:kern w:val="0"/>
                      <w:sz w:val="24"/>
                      <w:szCs w:val="24"/>
                      <w:lang w:bidi="ar"/>
                    </w:rPr>
                    <w:t>（cfu/皿）</w:t>
                  </w:r>
                </w:p>
              </w:tc>
              <w:tc>
                <w:tcPr>
                  <w:tcW w:w="878" w:type="pct"/>
                  <w:tcBorders>
                    <w:top w:val="single" w:color="auto" w:sz="4" w:space="0"/>
                    <w:left w:val="single" w:color="auto" w:sz="4" w:space="0"/>
                    <w:bottom w:val="single" w:color="auto" w:sz="4" w:space="0"/>
                    <w:right w:val="single" w:color="auto" w:sz="4" w:space="0"/>
                  </w:tcBorders>
                  <w:vAlign w:val="center"/>
                </w:tcPr>
                <w:p>
                  <w:pPr>
                    <w:widowControl/>
                    <w:adjustRightInd/>
                    <w:spacing w:before="80" w:after="80" w:line="200" w:lineRule="exact"/>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color w:val="000000"/>
                      <w:kern w:val="0"/>
                      <w:sz w:val="24"/>
                      <w:szCs w:val="24"/>
                      <w:lang w:bidi="ar"/>
                    </w:rPr>
                    <w:t>WS/T368-2012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spacing w:before="80" w:after="80" w:line="2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bidi="ar"/>
                    </w:rPr>
                    <w:t>≤4.0cfu/(5min 直径9cm平皿)</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在医护人员指导下随时消毒，每季度一次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156" w:type="pct"/>
                  <w:gridSpan w:val="2"/>
                  <w:tcBorders>
                    <w:top w:val="single" w:color="auto" w:sz="4" w:space="0"/>
                    <w:left w:val="single" w:color="auto" w:sz="4" w:space="0"/>
                    <w:bottom w:val="single" w:color="auto" w:sz="4" w:space="0"/>
                    <w:right w:val="single" w:color="auto" w:sz="4" w:space="0"/>
                  </w:tcBorders>
                  <w:vAlign w:val="center"/>
                </w:tcPr>
                <w:p>
                  <w:pPr>
                    <w:widowControl/>
                    <w:adjustRightInd/>
                    <w:spacing w:before="80" w:after="80" w:line="2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lang w:bidi="ar"/>
                    </w:rPr>
                    <w:t>物表</w:t>
                  </w:r>
                  <w:r>
                    <w:rPr>
                      <w:rFonts w:hint="eastAsia" w:asciiTheme="minorEastAsia" w:hAnsiTheme="minorEastAsia" w:eastAsiaTheme="minorEastAsia" w:cstheme="minorEastAsia"/>
                      <w:color w:val="000000"/>
                      <w:kern w:val="0"/>
                      <w:sz w:val="24"/>
                      <w:szCs w:val="24"/>
                      <w:lang w:bidi="ar"/>
                    </w:rPr>
                    <w:t>（cfu/cm</w:t>
                  </w:r>
                  <w:r>
                    <w:rPr>
                      <w:rFonts w:hint="eastAsia" w:asciiTheme="minorEastAsia" w:hAnsiTheme="minorEastAsia" w:eastAsiaTheme="minorEastAsia" w:cstheme="minorEastAsia"/>
                      <w:color w:val="000000"/>
                      <w:kern w:val="0"/>
                      <w:sz w:val="24"/>
                      <w:szCs w:val="24"/>
                      <w:vertAlign w:val="superscript"/>
                      <w:lang w:bidi="ar"/>
                    </w:rPr>
                    <w:t>2</w:t>
                  </w:r>
                  <w:r>
                    <w:rPr>
                      <w:rFonts w:hint="eastAsia" w:asciiTheme="minorEastAsia" w:hAnsiTheme="minorEastAsia" w:eastAsiaTheme="minorEastAsia" w:cstheme="minorEastAsia"/>
                      <w:color w:val="000000"/>
                      <w:kern w:val="0"/>
                      <w:sz w:val="24"/>
                      <w:szCs w:val="24"/>
                      <w:lang w:bidi="ar"/>
                    </w:rPr>
                    <w:t>）</w:t>
                  </w:r>
                </w:p>
              </w:tc>
              <w:tc>
                <w:tcPr>
                  <w:tcW w:w="878" w:type="pct"/>
                  <w:tcBorders>
                    <w:top w:val="single" w:color="auto" w:sz="4" w:space="0"/>
                    <w:left w:val="single" w:color="auto" w:sz="4" w:space="0"/>
                    <w:bottom w:val="single" w:color="auto" w:sz="4" w:space="0"/>
                    <w:right w:val="single" w:color="auto" w:sz="4" w:space="0"/>
                  </w:tcBorders>
                  <w:vAlign w:val="center"/>
                </w:tcPr>
                <w:p>
                  <w:pPr>
                    <w:widowControl/>
                    <w:adjustRightInd/>
                    <w:spacing w:before="80" w:after="80" w:line="200" w:lineRule="exact"/>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spacing w:before="80" w:after="80" w:line="2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bidi="ar"/>
                    </w:rPr>
                    <w:t>≤5.0 cfu/cm</w:t>
                  </w:r>
                  <w:r>
                    <w:rPr>
                      <w:rFonts w:hint="eastAsia" w:asciiTheme="minorEastAsia" w:hAnsiTheme="minorEastAsia" w:eastAsiaTheme="minorEastAsia" w:cstheme="minorEastAsia"/>
                      <w:color w:val="000000"/>
                      <w:kern w:val="0"/>
                      <w:sz w:val="24"/>
                      <w:szCs w:val="24"/>
                      <w:vertAlign w:val="superscript"/>
                      <w:lang w:bidi="ar"/>
                    </w:rPr>
                    <w:t>2</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消毒灭菌效果监测</w:t>
                  </w:r>
                </w:p>
              </w:tc>
              <w:tc>
                <w:tcPr>
                  <w:tcW w:w="530"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消毒剂</w:t>
                  </w:r>
                </w:p>
              </w:tc>
              <w:tc>
                <w:tcPr>
                  <w:tcW w:w="626"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化学监测（浓度）</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500mg/l含氯消毒液</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每日使用前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530"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26"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生物监测（染菌量）</w:t>
                  </w:r>
                </w:p>
              </w:tc>
              <w:tc>
                <w:tcPr>
                  <w:tcW w:w="878"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GB15982-2012</w:t>
                  </w: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使用中皮肤黏膜消毒剂≤10 cfu/ml</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在医护人员指导下随时消毒，每季度一次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25"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530"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87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1484" w:type="pct"/>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其它使用中消毒液≤100 cfu/ml</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r>
          </w:tbl>
          <w:p>
            <w:pPr>
              <w:adjustRightInd/>
              <w:rPr>
                <w:rFonts w:hint="eastAsia" w:asciiTheme="minorEastAsia" w:hAnsiTheme="minorEastAsia" w:eastAsiaTheme="minorEastAsia" w:cstheme="minorEastAsia"/>
                <w:sz w:val="24"/>
                <w:szCs w:val="24"/>
                <w:lang w:bidi="ar"/>
              </w:rPr>
            </w:pP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七、服务质量考核方式与标准</w:t>
            </w: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1、服务质量考核方式：院方不定时进行考核</w:t>
            </w:r>
          </w:p>
          <w:p>
            <w:p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2、服务质量考核标准如下表：</w:t>
            </w:r>
          </w:p>
          <w:tbl>
            <w:tblPr>
              <w:tblStyle w:val="6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3822"/>
              <w:gridCol w:w="604"/>
              <w:gridCol w:w="358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类别</w:t>
                  </w:r>
                </w:p>
              </w:tc>
              <w:tc>
                <w:tcPr>
                  <w:tcW w:w="2080"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考核项目</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分值</w:t>
                  </w:r>
                </w:p>
              </w:tc>
              <w:tc>
                <w:tcPr>
                  <w:tcW w:w="1951"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质量标准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作</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纪</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律20</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分</w:t>
                  </w: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遵守劳动纪律，不迟到、早退，不得私自外出，上班时间不干私活，有事给主管领导请假</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上班迟到、早退，未经允许私自外出，上班时间找不到人，干私活，发现一次扣2分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工作时间着装清洁，按规定要求着工作服，戴口罩、手套，不得穿背心、拖鞋</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着装不整洁或未着工作服、戴口罩、手套，一次扣1分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工作认真、服务热情， 不得与患者、家属及工作人员争吵</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工作不认真，不服从管理，态度蛮横，与医务人员、患者发生争吵，一次扣2分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不得损坏、私拿公物及他人财物，私自倒卖医疗废物</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私拿医院或个人财物、私自倒卖医疗废物，一次扣3分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病</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房</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25</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分</w:t>
                  </w: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按消毒标准湿拖病房地面</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无污迹、杂物等；一处不清洁扣1分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按消毒标准湿擦墙面、墙角线、开关</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无尘、无污渍；一处不清洁扣1分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按消毒标准湿擦病床、床头柜、设备带及呼叫器</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床、床头柜等无尘，“一柜一巾”进行消毒处理；一处不清洁扣0.5分，不按消毒要求处理每次扣2分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病人出院后对病床及床头柜进行终末彻底清洁</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未进行终末彻底清洁不得分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窗户、窗框、窗台、沙窗</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窗户光亮、窗框无污迹；一处不清洁扣1分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外门、卫生间门、卫生间墙面、地面清洁</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无污迹、污渍、无尘；一处不清洁扣1分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卫生间洗手盆、镜子、便池做到清洁、无异味、无积存便垢</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无污渍；无异味，一处不清洁扣1分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卫生间、病房纸篓必须套垃圾袋</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垃圾桶清洁，垃圾袋中垃圾不超过四分之三；无袋倾倒发现一次扣0.5分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病</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区</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生</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间</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洗</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漱</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间</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30分</w:t>
                  </w: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清除卫生间地面污渍、污垢、脚印等，做到清洁、无异味、地面不打滑</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无污迹、无异味；一处不清洁不达标扣1分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洗手间内水池四周及水龙头清洁无水迹，水也台面无积灰、无污渍，镜面无水迹，墩布池无积水</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无污迹、无异味；一处不清洁不达标扣1分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卫生间无异味，大小便池内清理及时，池内无污渍，定期用洁厕剂清洗便池，保持其干净明亮，无积存便垢</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无污迹、无异味；一处不清洁不达标扣1分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洗漱间地面无污水、污垢、痰迹、烟头；洗刷池无明显沉淀，无虫子，无杂物，池边底无明显结垢现象，四壁瓷砖无污迹、无积灰</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无污迹、无异味；一处不清洁不达标扣1分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卫生间厕门、隔断面无积灰，无污渍，无印迹</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无积灰，无污渍，无乱张贴物，一处不清洁不达标扣1分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垃圾桶和纸篓内垃圾每天及时巡查，垃圾袋中垃圾不超过四分之三，及时清理</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垃圾桶身清洁，无污迹、痰迹；垃圾倾倒不及时，发现一次扣2分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清洁工具按要求分类、分区，标识清楚，摆放整齐</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未按要求分类，标识不清楚，摆放不整洁扣1分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经常操持卫生间通风，每周消毒、彻底清洁一次，定期（一般为一个月）清扫天花板一次</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无异味，无积尘，无蜘蛛网，定期保洁；一处不清洁不达标扣2分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restart"/>
                  <w:tcBorders>
                    <w:top w:val="single" w:color="auto" w:sz="4" w:space="0"/>
                    <w:left w:val="single" w:color="auto" w:sz="4" w:space="0"/>
                    <w:bottom w:val="single" w:color="auto" w:sz="4" w:space="0"/>
                    <w:right w:val="single" w:color="auto" w:sz="4" w:space="0"/>
                  </w:tcBorders>
                  <w:vAlign w:val="center"/>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公</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共</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区</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域</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25</w:t>
                  </w:r>
                </w:p>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分</w:t>
                  </w: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楼梯、大厅、走廊、电梯门、病区外门</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无污迹、口香糖胶迹、烟头等杂物；不整洁扣1分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走廊墙面、墙角线、扶手、栏杆、宣传板、标识牌</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无污迹、积尘、无乱张贴物；不整洁扣1分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走廊顶、电梯顶棚</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无积尘、蜘蛛网；不整洁扣1分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窗户、窗框、纱窗、窗台</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窗户光亮、窗框、纱窗无污迹；不整洁扣1分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垃圾桶、开关、消防窗</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无污迹、积尘；不整洁扣1分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 w:type="pct"/>
                  <w:vMerge w:val="continue"/>
                  <w:tcBorders>
                    <w:top w:val="single" w:color="auto" w:sz="4" w:space="0"/>
                    <w:left w:val="single" w:color="auto" w:sz="4" w:space="0"/>
                    <w:bottom w:val="single" w:color="auto" w:sz="4" w:space="0"/>
                    <w:right w:val="single" w:color="auto" w:sz="4" w:space="0"/>
                  </w:tcBorders>
                  <w:vAlign w:val="center"/>
                </w:tcPr>
                <w:p>
                  <w:pPr>
                    <w:adjustRightInd/>
                    <w:rPr>
                      <w:rFonts w:hint="eastAsia" w:asciiTheme="minorEastAsia" w:hAnsiTheme="minorEastAsia" w:eastAsiaTheme="minorEastAsia" w:cstheme="minorEastAsia"/>
                      <w:sz w:val="24"/>
                      <w:szCs w:val="24"/>
                    </w:rPr>
                  </w:pPr>
                </w:p>
              </w:tc>
              <w:tc>
                <w:tcPr>
                  <w:tcW w:w="2080"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卫生间、楼梯、大厅水电及时关闭</w:t>
                  </w:r>
                </w:p>
              </w:tc>
              <w:tc>
                <w:tcPr>
                  <w:tcW w:w="329"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5分</w:t>
                  </w:r>
                </w:p>
              </w:tc>
              <w:tc>
                <w:tcPr>
                  <w:tcW w:w="1951" w:type="pct"/>
                  <w:tcBorders>
                    <w:top w:val="single" w:color="auto" w:sz="4" w:space="0"/>
                    <w:left w:val="single" w:color="auto" w:sz="4" w:space="0"/>
                    <w:bottom w:val="single" w:color="auto" w:sz="4" w:space="0"/>
                    <w:right w:val="single" w:color="auto" w:sz="4" w:space="0"/>
                  </w:tcBorders>
                </w:tcPr>
                <w:p>
                  <w:pPr>
                    <w:adjustRightInd/>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无长明灯、长流水；发现长明灯、长流水每次扣1分</w:t>
                  </w:r>
                </w:p>
              </w:tc>
              <w:tc>
                <w:tcPr>
                  <w:tcW w:w="328" w:type="pct"/>
                  <w:tcBorders>
                    <w:top w:val="single" w:color="auto" w:sz="4" w:space="0"/>
                    <w:left w:val="single" w:color="auto" w:sz="4" w:space="0"/>
                    <w:bottom w:val="single" w:color="auto" w:sz="4" w:space="0"/>
                    <w:right w:val="single" w:color="auto" w:sz="4" w:space="0"/>
                  </w:tcBorders>
                </w:tcPr>
                <w:p>
                  <w:pPr>
                    <w:adjustRightInd/>
                    <w:jc w:val="center"/>
                    <w:rPr>
                      <w:rFonts w:hint="eastAsia" w:asciiTheme="minorEastAsia" w:hAnsiTheme="minorEastAsia" w:eastAsiaTheme="minorEastAsia" w:cstheme="minorEastAsia"/>
                      <w:sz w:val="24"/>
                      <w:szCs w:val="24"/>
                    </w:rPr>
                  </w:pPr>
                </w:p>
              </w:tc>
            </w:tr>
          </w:tbl>
          <w:p>
            <w:pPr>
              <w:numPr>
                <w:ilvl w:val="0"/>
                <w:numId w:val="9"/>
              </w:num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本考核标准为100分，100分为满分，90-99分为优秀，80-89分为合格，80分以下为不合格。</w:t>
            </w:r>
          </w:p>
          <w:p>
            <w:pPr>
              <w:numPr>
                <w:ilvl w:val="0"/>
                <w:numId w:val="9"/>
              </w:numPr>
              <w:adjustRightInd/>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如出现不足80分时，第一次进行警告整改处理，第二次院方有权从服务保证金中进行扣款，第三次院方有权对服务合约进行终止。</w:t>
            </w:r>
          </w:p>
          <w:p>
            <w:pPr>
              <w:adjustRightInd/>
              <w:spacing w:line="400" w:lineRule="exact"/>
              <w:rPr>
                <w:rFonts w:hint="eastAsia" w:asciiTheme="minorEastAsia" w:hAnsiTheme="minorEastAsia" w:eastAsiaTheme="minorEastAsia" w:cstheme="minorEastAsia"/>
                <w:sz w:val="24"/>
                <w:szCs w:val="24"/>
              </w:rPr>
            </w:pPr>
          </w:p>
          <w:p>
            <w:pPr>
              <w:adjustRightInd/>
              <w:spacing w:line="40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1035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13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付款时间和方式</w:t>
            </w:r>
          </w:p>
        </w:tc>
        <w:tc>
          <w:tcPr>
            <w:tcW w:w="92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40" w:lineRule="exact"/>
              <w:jc w:val="left"/>
              <w:rPr>
                <w:rFonts w:hint="eastAsia" w:asciiTheme="minorEastAsia" w:hAnsiTheme="minorEastAsia" w:eastAsiaTheme="minorEastAsia" w:cstheme="minorEastAsia"/>
                <w:sz w:val="24"/>
                <w:szCs w:val="24"/>
              </w:rPr>
            </w:pPr>
            <w:r>
              <w:rPr>
                <w:rFonts w:hint="eastAsia" w:ascii="宋体" w:hAnsi="宋体" w:cs="宋体"/>
                <w:color w:val="000000"/>
                <w:kern w:val="0"/>
                <w:sz w:val="24"/>
                <w:szCs w:val="21"/>
              </w:rPr>
              <w:t>签订合同后</w:t>
            </w:r>
            <w:r>
              <w:rPr>
                <w:rFonts w:hint="eastAsia" w:ascii="宋体" w:hAnsi="宋体" w:cs="宋体"/>
                <w:color w:val="000000"/>
                <w:kern w:val="0"/>
                <w:sz w:val="24"/>
                <w:szCs w:val="21"/>
                <w:lang w:val="en-US" w:eastAsia="zh-CN"/>
              </w:rPr>
              <w:t>按月结算付款，待采购人</w:t>
            </w:r>
            <w:r>
              <w:rPr>
                <w:rFonts w:hint="eastAsia" w:ascii="宋体" w:hAnsi="宋体" w:cs="宋体"/>
                <w:color w:val="000000"/>
                <w:kern w:val="0"/>
                <w:sz w:val="24"/>
                <w:szCs w:val="21"/>
              </w:rPr>
              <w:t>评分合格</w:t>
            </w:r>
            <w:r>
              <w:rPr>
                <w:rFonts w:hint="eastAsia" w:ascii="宋体" w:hAnsi="宋体" w:cs="宋体"/>
                <w:color w:val="000000"/>
                <w:kern w:val="0"/>
                <w:sz w:val="24"/>
                <w:szCs w:val="21"/>
                <w:lang w:eastAsia="zh-CN"/>
              </w:rPr>
              <w:t>、</w:t>
            </w:r>
            <w:r>
              <w:rPr>
                <w:rFonts w:hint="eastAsia" w:ascii="宋体" w:hAnsi="宋体" w:cs="宋体"/>
                <w:color w:val="000000"/>
                <w:kern w:val="0"/>
                <w:sz w:val="24"/>
                <w:szCs w:val="21"/>
              </w:rPr>
              <w:t>检验达标，</w:t>
            </w:r>
            <w:r>
              <w:rPr>
                <w:rFonts w:hint="eastAsia" w:ascii="宋体" w:hAnsi="宋体" w:cs="宋体"/>
                <w:color w:val="000000"/>
                <w:kern w:val="0"/>
                <w:sz w:val="24"/>
                <w:szCs w:val="21"/>
                <w:lang w:val="en-US" w:eastAsia="zh-CN"/>
              </w:rPr>
              <w:t>且供应商</w:t>
            </w:r>
            <w:r>
              <w:rPr>
                <w:rFonts w:hint="eastAsia" w:ascii="宋体" w:hAnsi="宋体" w:cs="宋体"/>
                <w:color w:val="000000"/>
                <w:kern w:val="0"/>
                <w:sz w:val="24"/>
                <w:szCs w:val="21"/>
              </w:rPr>
              <w:t>附上为职工</w:t>
            </w:r>
            <w:r>
              <w:rPr>
                <w:rFonts w:hint="eastAsia" w:ascii="宋体" w:hAnsi="宋体" w:cs="宋体"/>
                <w:color w:val="000000"/>
                <w:kern w:val="0"/>
                <w:sz w:val="24"/>
                <w:szCs w:val="21"/>
                <w:lang w:val="en-US" w:eastAsia="zh-CN"/>
              </w:rPr>
              <w:t>缴纳</w:t>
            </w:r>
            <w:r>
              <w:rPr>
                <w:rFonts w:hint="eastAsia" w:ascii="宋体" w:hAnsi="宋体" w:cs="宋体"/>
                <w:color w:val="000000"/>
                <w:kern w:val="0"/>
                <w:sz w:val="24"/>
                <w:szCs w:val="21"/>
              </w:rPr>
              <w:t>五险</w:t>
            </w:r>
            <w:r>
              <w:rPr>
                <w:rFonts w:hint="eastAsia" w:ascii="宋体" w:hAnsi="宋体" w:cs="宋体"/>
                <w:color w:val="000000"/>
                <w:kern w:val="0"/>
                <w:sz w:val="24"/>
                <w:szCs w:val="21"/>
                <w:lang w:val="en-US" w:eastAsia="zh-CN"/>
              </w:rPr>
              <w:t>的</w:t>
            </w:r>
            <w:r>
              <w:rPr>
                <w:rFonts w:hint="eastAsia" w:ascii="宋体" w:hAnsi="宋体" w:cs="宋体"/>
                <w:color w:val="000000"/>
                <w:kern w:val="0"/>
                <w:sz w:val="24"/>
                <w:szCs w:val="21"/>
              </w:rPr>
              <w:t>凭证材料</w:t>
            </w:r>
            <w:r>
              <w:rPr>
                <w:rFonts w:hint="eastAsia" w:ascii="宋体" w:hAnsi="宋体" w:cs="宋体"/>
                <w:color w:val="000000"/>
                <w:kern w:val="0"/>
                <w:sz w:val="24"/>
                <w:szCs w:val="21"/>
                <w:lang w:val="en-US" w:eastAsia="zh-CN"/>
              </w:rPr>
              <w:t>后</w:t>
            </w:r>
            <w:r>
              <w:rPr>
                <w:rFonts w:hint="eastAsia" w:ascii="宋体" w:hAnsi="宋体" w:cs="宋体"/>
                <w:color w:val="000000"/>
                <w:kern w:val="0"/>
                <w:sz w:val="24"/>
                <w:szCs w:val="21"/>
              </w:rPr>
              <w:t>，采购方在</w:t>
            </w:r>
            <w:r>
              <w:rPr>
                <w:rFonts w:hint="eastAsia" w:ascii="宋体" w:hAnsi="宋体" w:cs="宋体"/>
                <w:color w:val="000000"/>
                <w:kern w:val="0"/>
                <w:sz w:val="24"/>
                <w:szCs w:val="21"/>
                <w:lang w:val="en-US" w:eastAsia="zh-CN"/>
              </w:rPr>
              <w:t>收到发票起</w:t>
            </w:r>
            <w:r>
              <w:rPr>
                <w:rFonts w:hint="eastAsia" w:ascii="宋体" w:hAnsi="宋体" w:cs="宋体"/>
                <w:color w:val="000000"/>
                <w:kern w:val="0"/>
                <w:sz w:val="24"/>
                <w:szCs w:val="21"/>
              </w:rPr>
              <w:t>15个工作日内支付</w:t>
            </w:r>
            <w:r>
              <w:rPr>
                <w:rFonts w:hint="eastAsia" w:ascii="宋体" w:hAnsi="宋体" w:cs="宋体"/>
                <w:color w:val="000000"/>
                <w:kern w:val="0"/>
                <w:sz w:val="24"/>
                <w:szCs w:val="21"/>
                <w:lang w:val="en-US" w:eastAsia="zh-CN"/>
              </w:rPr>
              <w:t>款项</w:t>
            </w:r>
            <w:r>
              <w:rPr>
                <w:rFonts w:hint="eastAsia" w:ascii="宋体" w:hAnsi="宋体" w:cs="宋体"/>
                <w:color w:val="000000"/>
                <w:kern w:val="0"/>
                <w:sz w:val="24"/>
                <w:szCs w:val="21"/>
              </w:rPr>
              <w:t>，直至合同约定期限</w:t>
            </w:r>
            <w:r>
              <w:rPr>
                <w:rFonts w:hint="eastAsia" w:ascii="宋体" w:hAnsi="宋体" w:cs="宋体"/>
                <w:color w:val="000000"/>
                <w:kern w:val="0"/>
                <w:sz w:val="24"/>
                <w:szCs w:val="21"/>
                <w:lang w:val="en-US" w:eastAsia="zh-CN"/>
              </w:rPr>
              <w:t>届满为止</w:t>
            </w:r>
            <w:r>
              <w:rPr>
                <w:rFonts w:hint="eastAsia" w:asciiTheme="minorEastAsia" w:hAnsiTheme="minorEastAsia" w:eastAsiaTheme="minorEastAsia" w:cstheme="minorEastAsia"/>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3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服务时间及地点</w:t>
            </w:r>
          </w:p>
        </w:tc>
        <w:tc>
          <w:tcPr>
            <w:tcW w:w="92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1．服务时间：签订合同后3个日历日。</w:t>
            </w:r>
          </w:p>
          <w:p>
            <w:pPr>
              <w:widowControl/>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2．服务地点：合浦县妇幼保健院（新院）和合浦县残疾人康复中心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其他要求</w:t>
            </w:r>
          </w:p>
        </w:tc>
        <w:tc>
          <w:tcPr>
            <w:tcW w:w="92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pPr>
              <w:widowControl/>
              <w:snapToGrid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预算价包含职工五险，成交供应商必须严格执行劳动法有关规定规定为员工购买保险，如有违反的采购方有权停止本项目款项支付。成交供应商在成交后签订合同前需再次与采购方商定人员配置方案，以采购方最终确认的人员配置方案为准签订合同</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本项目清洁范围:合浦县妇幼保健院新院区和合浦县残疾人康复中心环境卫生服务。</w:t>
            </w:r>
          </w:p>
        </w:tc>
      </w:tr>
    </w:tbl>
    <w:p>
      <w:pPr>
        <w:widowControl/>
        <w:adjustRightInd/>
        <w:jc w:val="left"/>
        <w:rPr>
          <w:rFonts w:cs="仿宋_GB2312" w:asciiTheme="minorEastAsia" w:hAnsiTheme="minorEastAsia" w:eastAsiaTheme="minorEastAsia"/>
          <w:b/>
          <w:sz w:val="36"/>
          <w:szCs w:val="36"/>
        </w:rPr>
      </w:pPr>
      <w:r>
        <w:rPr>
          <w:rFonts w:hint="eastAsia" w:asciiTheme="minorEastAsia" w:hAnsiTheme="minorEastAsia" w:eastAsiaTheme="minorEastAsia" w:cstheme="minorEastAsia"/>
          <w:b/>
          <w:sz w:val="24"/>
          <w:szCs w:val="24"/>
        </w:rPr>
        <w:br w:type="page"/>
      </w:r>
    </w:p>
    <w:p>
      <w:pPr>
        <w:widowControl/>
        <w:adjustRightInd/>
        <w:jc w:val="left"/>
        <w:rPr>
          <w:rFonts w:cs="仿宋_GB2312" w:asciiTheme="minorEastAsia" w:hAnsiTheme="minorEastAsia" w:eastAsiaTheme="minorEastAsia"/>
          <w:b/>
          <w:sz w:val="36"/>
          <w:szCs w:val="36"/>
        </w:rPr>
      </w:pPr>
    </w:p>
    <w:p>
      <w:pPr>
        <w:adjustRightInd/>
        <w:spacing w:line="360" w:lineRule="auto"/>
        <w:jc w:val="center"/>
        <w:outlineLvl w:val="0"/>
        <w:rPr>
          <w:rFonts w:cs="仿宋_GB2312" w:asciiTheme="minorEastAsia" w:hAnsiTheme="minorEastAsia" w:eastAsiaTheme="minorEastAsia"/>
          <w:b/>
          <w:sz w:val="36"/>
          <w:szCs w:val="36"/>
        </w:rPr>
      </w:pPr>
      <w:bookmarkStart w:id="78" w:name="_Toc181265285"/>
      <w:r>
        <w:rPr>
          <w:rFonts w:hint="eastAsia" w:cs="仿宋_GB2312" w:asciiTheme="minorEastAsia" w:hAnsiTheme="minorEastAsia" w:eastAsiaTheme="minorEastAsia"/>
          <w:b/>
          <w:sz w:val="36"/>
          <w:szCs w:val="36"/>
        </w:rPr>
        <w:t xml:space="preserve">第五部分  </w:t>
      </w:r>
      <w:bookmarkEnd w:id="70"/>
      <w:bookmarkEnd w:id="71"/>
      <w:bookmarkStart w:id="79" w:name="第四部分"/>
      <w:r>
        <w:rPr>
          <w:rFonts w:hint="eastAsia" w:cs="仿宋_GB2312" w:asciiTheme="minorEastAsia" w:hAnsiTheme="minorEastAsia" w:eastAsiaTheme="minorEastAsia"/>
          <w:b/>
          <w:sz w:val="36"/>
          <w:szCs w:val="36"/>
        </w:rPr>
        <w:t>评定标准</w:t>
      </w:r>
      <w:bookmarkEnd w:id="78"/>
    </w:p>
    <w:p>
      <w:pPr>
        <w:adjustRightInd/>
        <w:spacing w:line="360" w:lineRule="auto"/>
        <w:ind w:firstLine="482" w:firstLineChars="200"/>
        <w:rPr>
          <w:rFonts w:cs="Arial" w:asciiTheme="minorEastAsia" w:hAnsiTheme="minorEastAsia" w:eastAsiaTheme="minorEastAsia"/>
          <w:b/>
          <w:kern w:val="0"/>
          <w:sz w:val="24"/>
        </w:rPr>
      </w:pPr>
    </w:p>
    <w:p>
      <w:pPr>
        <w:pStyle w:val="392"/>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pPr>
        <w:adjustRightInd/>
        <w:spacing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1.1谈判小组应当从质量和服务均能满足采购文件实质性响应要求的供应商中，按照最后报价由低到高的顺序提出3名以上成交候选人，并编写评审报告。</w:t>
      </w:r>
    </w:p>
    <w:p>
      <w:pPr>
        <w:spacing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1.2对于专门面向中小企业采购的项目或者采购包，不再执行价格评审优惠的扶持政策。</w:t>
      </w:r>
      <w:r>
        <w:rPr>
          <w:rFonts w:hint="eastAsia" w:cs="Arial" w:asciiTheme="minorEastAsia" w:hAnsiTheme="minorEastAsia" w:eastAsiaTheme="minorEastAsia"/>
          <w:color w:val="FF0000"/>
          <w:kern w:val="0"/>
          <w:sz w:val="24"/>
        </w:rPr>
        <w:t>监狱企业、残疾人福利性单位视同小型和微型企业。</w:t>
      </w:r>
    </w:p>
    <w:p>
      <w:pPr>
        <w:pStyle w:val="631"/>
      </w:pPr>
    </w:p>
    <w:p>
      <w:pPr>
        <w:pStyle w:val="631"/>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二、谈判小组的组成</w:t>
      </w:r>
    </w:p>
    <w:p>
      <w:pPr>
        <w:pStyle w:val="392"/>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1.谈判小组的组成。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达到公开招标数额标准的服务采购项目，竞争性谈判小组应当由5人以上单数组成。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2.谈判小组的组成人员的回避。</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在政府采购活动中，谈判小组的组成人员与供应商有下列利害关系之一的，应当回避：</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sz w:val="32"/>
        </w:rPr>
      </w:pPr>
    </w:p>
    <w:p>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三、谈判小组的职责</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1.谈判小组负责具体评审事务，并独立履行下列职责：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1.2审查、评价响应文件是否符合谈判文件的商务、技术等实质性要求；</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1.4谈判小组集中与单一供应商分别进行谈判；</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1.5谈判小组根据谈判文件和谈判情况实质性变动采购需求中的技术、服务要求以及合同草案条款，并确定提交最后报价的供应商；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1.6根据谈判文件确定的评定标准对提交最后报价的供应商的响应文件和最后报价进行评定；</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1.9法律、法规、规章、谈判文件等规定的其它事项。</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2.谈判小组及其成员不得有下列行为：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2.4在评审过程中擅离职守，影响评审程序正常进行的；</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2.5记录、复制或者带走任何评审资料；</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2.6其他不遵守评审纪律的行为。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谈判小组成员有2.1-2.4行为之一的，其评审意见无效，并不得获取评审劳务报酬和报销异地评审差旅费。</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pPr>
        <w:pStyle w:val="392"/>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详见谈判文件“第二部分 竞争性谈判流程”。</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谈判小组对响应文件的最后报价进行审核，对发现计算、书写等错误的，按以下原则进行修正：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pPr>
        <w:pStyle w:val="392"/>
        <w:spacing w:before="0"/>
        <w:ind w:firstLine="0" w:firstLineChars="0"/>
        <w:rPr>
          <w:rFonts w:asciiTheme="minorEastAsia" w:hAnsiTheme="minorEastAsia" w:eastAsiaTheme="minorEastAsia"/>
          <w:b/>
          <w:color w:val="FF0000"/>
        </w:rPr>
      </w:pPr>
      <w:r>
        <w:rPr>
          <w:rFonts w:hint="eastAsia" w:asciiTheme="minorEastAsia" w:hAnsiTheme="minorEastAsia" w:eastAsiaTheme="minorEastAsia"/>
          <w:b/>
          <w:color w:val="FF0000"/>
        </w:rPr>
        <w:t>3.政府采购异常低价审查：</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3.1按照《关于推动解决政府采购异常低价问题的通知》（财库〔2026〕2号）有关规定，本项目评审中出现下列情形之一的，谈判小组应当启动异常低价响应审查程序：</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（1）最后报价低于全部通过符合性审查供应商最后报价平均值50%的，即最后报价&lt;全部通过符合性审查供应商最后报价平均值×50%；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（2）最后报价低于通过符合性审查的次低报价供应商最后报价50%的，即最后报价&lt;通过符合性审查的次低报价供应商最后报价×50%；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（3）最后报价低于采购项目最高限价45%的，即最后报价&lt;采购项目最高限价×45%；</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（4）谈判小组基于专业判断，认为供应商报价过低，有可能影响产品质量或者不能诚信履约的其他情形。</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45%</w:t>
      </w:r>
      <w:r>
        <w:rPr>
          <w:rFonts w:hint="eastAsia" w:ascii="宋体" w:hAnsi="宋体" w:cs="宋体"/>
          <w:color w:val="FF0000"/>
          <w:kern w:val="0"/>
          <w:szCs w:val="24"/>
        </w:rPr>
        <w:t>。</w:t>
      </w:r>
      <w:r>
        <w:rPr>
          <w:rFonts w:hint="eastAsia" w:ascii="宋体" w:hAnsi="宋体" w:cs="宋体"/>
          <w:color w:val="FF0000"/>
          <w:kern w:val="0"/>
        </w:rPr>
        <w:t>采购项目未设定最高限价的，审查时取项目预算金额作为最高限价。</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谈判处理。</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异常低价响应审查的启动原因、审查意见和审查结果应当在评审报告中记录，并随供应商提供的相关书面说明及证明材料，以及谈判小组有关互联网浏览、查询历史一并归档。</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4.</w:t>
      </w:r>
      <w:r>
        <w:rPr>
          <w:rFonts w:hint="eastAsia" w:asciiTheme="minorEastAsia" w:hAnsiTheme="minorEastAsia" w:eastAsiaTheme="minorEastAsia"/>
          <w:b/>
          <w:spacing w:val="20"/>
        </w:rPr>
        <w:t>响应无效</w:t>
      </w:r>
    </w:p>
    <w:p>
      <w:pPr>
        <w:pStyle w:val="24"/>
        <w:spacing w:line="360" w:lineRule="auto"/>
        <w:ind w:firstLine="600" w:firstLineChars="250"/>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4.1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4.3供应商不具备谈判文件中规定的资格要求的（供应商未提供有效的资格证明文件的，视为供应商不具备谈判文件中规定的资格要求）；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4.4如以联合体形式参加政府采购活动的，联合协议不符合谈判文件规定的联合协议要求的；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4.5响应文件未按谈判文件的澄清、修改的内容编制，又不符合实质性要求的；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4.6响应文件组成漏项，内容不全或内容字迹模糊辨认不清的；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4.7响应文件中法人授权书所载内容与本项目内容有异的；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4.8响应文件未按照谈判文件要求签署、盖章的；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4.10响应文件含有采购人不能接受的附加条件的；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4.11响应文件中承诺的响应有效期少于谈判文件中载明的响应有效期的；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4.12供应商所投内容不符合谈判文件中实质性要求的；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4.13所提交的《最后报价一览表》中出现不是唯一的、有选择性的报价的;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4.14最后报价高于本项目采购预算或者最高限价的;</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rPr>
        <w:t>4.15最后报价属于谈判文件规定的政府采购异常低价情形之一，且供应商不能提供书面说明、证明材料，或者提供的书面说明、证明材料不能证明其报价合理性的;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4.16《最后报价一览表》填写不完整或字迹不能辨认或有漏项的；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4.17供应商对根据修正原则修正后的最后报价不确认的；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4.18供应商提供虚假材料响应的（包括但不限于以下情节）；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4.18.1使用伪造、变造的许可证件；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4.18.2提供虚假的财务状况或者业绩；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4.18.3提供虚假的项目负责人或者主要技术人员简历、劳动关系证明；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4.18.4提供虚假的信用状况；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4.18.5其他弄虚作假的行为。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4.19供应商有恶意串通、妨碍其他供应商的竞争行为、损害采购人或者其他供应商的合法权益情形的。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4.19.2供应商按照采购人或者采购代理机构的授意撤换、修改投标文件或者响应文件；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4.19.3供应商之间协商报价、技术方案等投标文件或者响应文件的实质性内容；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4.19.5供应商之间事先约定由某一特定供应商中标、成交；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4.19.6供应商之间商定部分供应商放弃参加政府采购活动或者放弃中标、成交；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4.19.8不同供应商的响应文件由同一单位或者个人编制；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4.19.9不同供应商委托同一单位或者个人办理响应事宜；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4.19.10不同供应商的响应文件载明的项目管理成员或者联系人员为同一人；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4.19.11不同供应商的响应文件异常一致或者最后报价呈规律性差异。</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4.20供应商仅提交备份响应文件，没有在电子交易平台传输提交响应文件的，响应无效；</w:t>
      </w:r>
    </w:p>
    <w:p>
      <w:pPr>
        <w:pStyle w:val="631"/>
        <w:rPr>
          <w:rFonts w:cs="宋体"/>
          <w:color w:val="FF0000"/>
        </w:rPr>
      </w:pPr>
      <w:r>
        <w:rPr>
          <w:rFonts w:hint="eastAsia"/>
          <w:color w:val="FF0000"/>
        </w:rPr>
        <w:t>4.21</w:t>
      </w:r>
      <w:r>
        <w:rPr>
          <w:rFonts w:hint="eastAsia" w:cs="宋体"/>
          <w:color w:val="FF0000"/>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4.22法律、法规、规章（适用本市的）及省级以上规范性文件（适用本市的）规定的其他无效情形。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 重新开展采购活动</w:t>
      </w:r>
    </w:p>
    <w:p>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出现下列情形之一的，采购代理机构应当终止竞争性谈判采购活动，通过电子交易平台发布项目终止公告并说明原因，重新开展采购活动：</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（1）因情况变化，不再符合规定的竞争性谈判采购方式适用情形的；</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（3）在采购过程中符合竞争要求的供应商或者报价未超过采购预算的供应商不足3家的，但《政府采购非招标采购方式管理办法》第二十七条第二款规定的情形除外。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6. 终止采购活动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7</w:t>
      </w:r>
      <w:r>
        <w:rPr>
          <w:rFonts w:asciiTheme="minorEastAsia" w:hAnsiTheme="minorEastAsia" w:eastAsiaTheme="minorEastAsia"/>
          <w:b/>
          <w:sz w:val="24"/>
        </w:rPr>
        <w:t xml:space="preserve">. </w:t>
      </w:r>
      <w:r>
        <w:rPr>
          <w:rFonts w:hint="eastAsia" w:cs="仿宋_GB2312" w:asciiTheme="minorEastAsia" w:hAnsiTheme="minorEastAsia" w:eastAsiaTheme="minorEastAsia"/>
          <w:b/>
          <w:sz w:val="24"/>
        </w:rPr>
        <w:t>采购代理机构有权对谈判小组各成员的评审情况和评审意见进行合理性和合规性审查</w:t>
      </w:r>
      <w:r>
        <w:rPr>
          <w:rFonts w:hint="eastAsia" w:cs="仿宋_GB2312" w:asciiTheme="minorEastAsia" w:hAnsiTheme="minorEastAsia" w:eastAsiaTheme="minorEastAsia"/>
          <w:sz w:val="24"/>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pPr>
        <w:spacing w:line="360" w:lineRule="auto"/>
        <w:rPr>
          <w:rFonts w:cs="仿宋_GB2312" w:asciiTheme="minorEastAsia" w:hAnsiTheme="minorEastAsia" w:eastAsiaTheme="minorEastAsia"/>
          <w:sz w:val="24"/>
        </w:rPr>
      </w:pPr>
    </w:p>
    <w:p>
      <w:pPr>
        <w:pStyle w:val="392"/>
        <w:spacing w:before="0"/>
        <w:ind w:firstLine="0" w:firstLineChars="0"/>
        <w:rPr>
          <w:rFonts w:cs="仿宋_GB2312" w:asciiTheme="minorEastAsia" w:hAnsiTheme="minorEastAsia" w:eastAsiaTheme="minorEastAsia"/>
          <w:b/>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r>
        <w:rPr>
          <w:rFonts w:cs="仿宋_GB2312" w:asciiTheme="minorEastAsia" w:hAnsiTheme="minorEastAsia" w:eastAsiaTheme="minorEastAsia"/>
          <w:b/>
          <w:sz w:val="36"/>
          <w:szCs w:val="36"/>
        </w:rPr>
        <w:br w:type="page"/>
      </w:r>
    </w:p>
    <w:p>
      <w:pPr>
        <w:spacing w:line="360" w:lineRule="auto"/>
        <w:jc w:val="center"/>
        <w:outlineLvl w:val="0"/>
        <w:rPr>
          <w:rFonts w:cs="仿宋_GB2312" w:asciiTheme="minorEastAsia" w:hAnsiTheme="minorEastAsia" w:eastAsiaTheme="minorEastAsia"/>
          <w:b/>
          <w:sz w:val="36"/>
          <w:szCs w:val="36"/>
        </w:rPr>
      </w:pPr>
      <w:bookmarkStart w:id="80" w:name="_Toc181265286"/>
      <w:r>
        <w:rPr>
          <w:rFonts w:hint="eastAsia" w:cs="仿宋_GB2312" w:asciiTheme="minorEastAsia" w:hAnsiTheme="minorEastAsia" w:eastAsiaTheme="minorEastAsia"/>
          <w:b/>
          <w:sz w:val="36"/>
          <w:szCs w:val="36"/>
        </w:rPr>
        <w:t>第六部分</w:t>
      </w:r>
      <w:bookmarkEnd w:id="79"/>
      <w:r>
        <w:rPr>
          <w:rFonts w:hint="eastAsia" w:cs="仿宋_GB2312" w:asciiTheme="minorEastAsia" w:hAnsiTheme="minorEastAsia" w:eastAsiaTheme="minorEastAsia"/>
          <w:b/>
          <w:sz w:val="36"/>
          <w:szCs w:val="36"/>
        </w:rPr>
        <w:t xml:space="preserve">  拟签订的合同文本</w:t>
      </w:r>
      <w:bookmarkEnd w:id="80"/>
    </w:p>
    <w:p>
      <w:pPr>
        <w:spacing w:line="480" w:lineRule="auto"/>
        <w:jc w:val="center"/>
        <w:rPr>
          <w:rFonts w:ascii="宋体" w:hAnsi="宋体" w:cs="宋体"/>
          <w:b/>
          <w:sz w:val="24"/>
        </w:rPr>
      </w:pPr>
      <w:bookmarkStart w:id="81" w:name="第五部分"/>
      <w:bookmarkStart w:id="82" w:name="_Toc86217003"/>
    </w:p>
    <w:p>
      <w:pPr>
        <w:spacing w:line="480" w:lineRule="auto"/>
        <w:jc w:val="center"/>
        <w:rPr>
          <w:rFonts w:ascii="宋体" w:hAnsi="宋体" w:cs="宋体"/>
          <w:b/>
          <w:sz w:val="24"/>
        </w:rPr>
      </w:pPr>
    </w:p>
    <w:p>
      <w:pPr>
        <w:pStyle w:val="631"/>
      </w:pPr>
    </w:p>
    <w:p>
      <w:pPr>
        <w:pStyle w:val="631"/>
      </w:pPr>
    </w:p>
    <w:p>
      <w:pPr>
        <w:pStyle w:val="631"/>
      </w:pPr>
    </w:p>
    <w:p>
      <w:pPr>
        <w:pStyle w:val="631"/>
      </w:pPr>
    </w:p>
    <w:p>
      <w:pPr>
        <w:spacing w:line="480" w:lineRule="auto"/>
        <w:jc w:val="center"/>
        <w:rPr>
          <w:rFonts w:ascii="宋体" w:hAnsi="宋体" w:cs="宋体"/>
          <w:b/>
          <w:sz w:val="36"/>
          <w:szCs w:val="36"/>
        </w:rPr>
      </w:pPr>
      <w:r>
        <w:rPr>
          <w:rFonts w:hint="eastAsia" w:ascii="宋体" w:hAnsi="宋体" w:cs="宋体"/>
          <w:b/>
          <w:sz w:val="36"/>
          <w:szCs w:val="36"/>
        </w:rPr>
        <w:t>北海市政府采购合同</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281"/>
        <w:ind w:firstLine="2843" w:firstLineChars="1180"/>
        <w:rPr>
          <w:rFonts w:ascii="宋体" w:hAnsi="宋体" w:cs="宋体"/>
          <w:b/>
          <w:szCs w:val="24"/>
        </w:rPr>
      </w:pPr>
    </w:p>
    <w:p>
      <w:pPr>
        <w:pStyle w:val="24"/>
        <w:spacing w:after="120"/>
      </w:pPr>
    </w:p>
    <w:p>
      <w:pPr>
        <w:pStyle w:val="24"/>
        <w:spacing w:after="120"/>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spacing w:line="360" w:lineRule="auto"/>
        <w:jc w:val="center"/>
        <w:outlineLvl w:val="1"/>
        <w:rPr>
          <w:rFonts w:ascii="宋体" w:hAnsi="宋体" w:cs="宋体"/>
          <w:b/>
          <w:sz w:val="24"/>
        </w:rPr>
      </w:pPr>
      <w:bookmarkStart w:id="83" w:name="_Toc22209"/>
      <w:r>
        <w:rPr>
          <w:rFonts w:hint="eastAsia" w:ascii="宋体" w:hAnsi="宋体"/>
          <w:b/>
          <w:sz w:val="24"/>
        </w:rPr>
        <w:t>第一节 政府采购合同协议书</w:t>
      </w:r>
      <w:bookmarkEnd w:id="83"/>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sz w:val="24"/>
          <w:highlight w:val="none"/>
          <w:u w:val="single"/>
          <w:lang w:val="en-US" w:eastAsia="zh-CN"/>
        </w:rPr>
      </w:pPr>
      <w:bookmarkStart w:id="84" w:name="_Toc13918"/>
      <w:bookmarkStart w:id="85" w:name="_Toc5635"/>
      <w:bookmarkStart w:id="86" w:name="_Toc1386"/>
      <w:bookmarkStart w:id="87" w:name="_Toc21124"/>
      <w:bookmarkStart w:id="88" w:name="_Toc4929"/>
      <w:r>
        <w:rPr>
          <w:rFonts w:hint="eastAsia" w:ascii="宋体" w:hAnsi="宋体"/>
          <w:sz w:val="24"/>
          <w:highlight w:val="none"/>
          <w:u w:val="none"/>
          <w:lang w:val="en-US" w:eastAsia="zh-CN"/>
        </w:rPr>
        <w:t>甲方：</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，统一社会信用代码：</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sz w:val="24"/>
          <w:highlight w:val="none"/>
          <w:u w:val="single"/>
          <w:lang w:val="en-US" w:eastAsia="zh-CN"/>
        </w:rPr>
      </w:pPr>
      <w:r>
        <w:rPr>
          <w:rFonts w:hint="eastAsia" w:ascii="宋体" w:hAnsi="宋体" w:eastAsia="宋体" w:cs="Times New Roman"/>
          <w:kern w:val="2"/>
          <w:sz w:val="24"/>
          <w:szCs w:val="24"/>
          <w:highlight w:val="none"/>
          <w:u w:val="none"/>
          <w:lang w:val="en-US" w:eastAsia="zh-CN" w:bidi="ar-SA"/>
        </w:rPr>
        <w:t>法定代表人：</w:t>
      </w:r>
      <w:r>
        <w:rPr>
          <w:rFonts w:hint="eastAsia" w:ascii="宋体" w:hAnsi="宋体"/>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sz w:val="24"/>
          <w:highlight w:val="none"/>
          <w:u w:val="single"/>
          <w:lang w:val="en-US" w:eastAsia="zh-CN"/>
        </w:rPr>
      </w:pPr>
      <w:r>
        <w:rPr>
          <w:rFonts w:hint="eastAsia" w:ascii="宋体" w:hAnsi="宋体"/>
          <w:sz w:val="24"/>
          <w:highlight w:val="none"/>
          <w:u w:val="none"/>
          <w:lang w:val="en-US" w:eastAsia="zh-CN"/>
        </w:rPr>
        <w:t>乙方：</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，统一社会信用代码：</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宋体" w:hAnsi="宋体"/>
          <w:sz w:val="24"/>
          <w:highlight w:val="none"/>
          <w:u w:val="none"/>
          <w:lang w:val="en-US" w:eastAsia="zh-CN"/>
        </w:rPr>
      </w:pPr>
      <w:r>
        <w:rPr>
          <w:rFonts w:hint="eastAsia" w:ascii="宋体" w:hAnsi="宋体" w:eastAsia="宋体" w:cs="Times New Roman"/>
          <w:kern w:val="2"/>
          <w:sz w:val="24"/>
          <w:szCs w:val="24"/>
          <w:highlight w:val="none"/>
          <w:u w:val="none"/>
          <w:lang w:val="en-US" w:eastAsia="zh-CN" w:bidi="ar-SA"/>
        </w:rPr>
        <w:t>法定代表人：</w:t>
      </w:r>
      <w:r>
        <w:rPr>
          <w:rFonts w:hint="eastAsia" w:ascii="宋体" w:hAnsi="宋体"/>
          <w:sz w:val="24"/>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宋体" w:hAnsi="宋体"/>
          <w:sz w:val="24"/>
          <w:highlight w:val="none"/>
          <w:u w:val="single"/>
          <w:lang w:val="en-US" w:eastAsia="zh-CN"/>
        </w:rPr>
      </w:pPr>
    </w:p>
    <w:p>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cs="宋体"/>
          <w:sz w:val="24"/>
          <w:highlight w:val="none"/>
          <w:u w:val="single"/>
        </w:rPr>
        <w:t>（采购人）</w:t>
      </w:r>
      <w:r>
        <w:rPr>
          <w:rFonts w:ascii="宋体" w:hAnsi="宋体"/>
          <w:sz w:val="24"/>
          <w:highlight w:val="none"/>
          <w:u w:val="single"/>
        </w:rPr>
        <w:t xml:space="preserve">   </w:t>
      </w:r>
      <w:r>
        <w:rPr>
          <w:rFonts w:hint="eastAsia" w:ascii="宋体" w:hAnsi="宋体"/>
          <w:sz w:val="24"/>
          <w:highlight w:val="none"/>
        </w:rPr>
        <w:t>以</w:t>
      </w:r>
      <w:r>
        <w:rPr>
          <w:rFonts w:ascii="宋体" w:hAnsi="宋体"/>
          <w:sz w:val="24"/>
          <w:highlight w:val="none"/>
          <w:u w:val="single"/>
        </w:rPr>
        <w:t xml:space="preserve">   （政府采购方式）  </w:t>
      </w:r>
      <w:r>
        <w:rPr>
          <w:rFonts w:hint="eastAsia" w:ascii="宋体" w:hAnsi="宋体"/>
          <w:sz w:val="24"/>
          <w:highlight w:val="none"/>
        </w:rPr>
        <w:t>对</w:t>
      </w:r>
      <w:r>
        <w:rPr>
          <w:rFonts w:ascii="宋体" w:hAnsi="宋体"/>
          <w:sz w:val="24"/>
          <w:highlight w:val="none"/>
          <w:u w:val="single"/>
        </w:rPr>
        <w:t xml:space="preserve">  </w:t>
      </w:r>
      <w:r>
        <w:rPr>
          <w:rFonts w:hint="eastAsia" w:ascii="宋体" w:hAnsi="宋体" w:cs="宋体"/>
          <w:sz w:val="24"/>
          <w:highlight w:val="none"/>
          <w:u w:val="single"/>
        </w:rPr>
        <w:t xml:space="preserve">（项目名称）  </w:t>
      </w:r>
      <w:r>
        <w:rPr>
          <w:rFonts w:ascii="宋体" w:hAnsi="宋体"/>
          <w:sz w:val="24"/>
          <w:highlight w:val="none"/>
          <w:u w:val="single"/>
        </w:rPr>
        <w:t xml:space="preserve">  </w:t>
      </w:r>
      <w:r>
        <w:rPr>
          <w:rFonts w:hint="eastAsia" w:ascii="宋体" w:hAnsi="宋体"/>
          <w:sz w:val="24"/>
          <w:highlight w:val="none"/>
        </w:rPr>
        <w:t>项目进行了采购。经</w:t>
      </w:r>
      <w:r>
        <w:rPr>
          <w:rFonts w:hint="eastAsia" w:ascii="宋体" w:hAnsi="宋体"/>
          <w:sz w:val="24"/>
          <w:highlight w:val="none"/>
          <w:lang w:val="en-US" w:eastAsia="zh-CN"/>
        </w:rPr>
        <w:t>过招标投标</w:t>
      </w:r>
      <w:r>
        <w:rPr>
          <w:rFonts w:ascii="宋体" w:hAnsi="宋体"/>
          <w:sz w:val="24"/>
          <w:highlight w:val="none"/>
          <w:u w:val="single"/>
        </w:rPr>
        <w:t xml:space="preserve">   （相关评定主体名称）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rPr>
        <w:t>成交</w:t>
      </w:r>
      <w:r>
        <w:rPr>
          <w:rFonts w:ascii="宋体" w:hAnsi="宋体"/>
          <w:sz w:val="24"/>
          <w:highlight w:val="none"/>
          <w:u w:val="single"/>
        </w:rPr>
        <w:t xml:space="preserve">供应商名称） </w:t>
      </w:r>
      <w:r>
        <w:rPr>
          <w:rFonts w:hint="eastAsia" w:ascii="宋体" w:hAnsi="宋体"/>
          <w:sz w:val="24"/>
          <w:highlight w:val="none"/>
        </w:rPr>
        <w:t>为该项目</w:t>
      </w:r>
      <w:r>
        <w:rPr>
          <w:rFonts w:hint="eastAsia" w:ascii="宋体" w:hAnsi="宋体" w:cs="宋体"/>
          <w:sz w:val="24"/>
          <w:highlight w:val="none"/>
        </w:rPr>
        <w:t>成交供应商</w:t>
      </w:r>
      <w:r>
        <w:rPr>
          <w:rFonts w:hint="eastAsia" w:ascii="宋体" w:hAnsi="宋体"/>
          <w:sz w:val="24"/>
          <w:highlight w:val="none"/>
        </w:rPr>
        <w:t>。按照采购文件确定的事项</w:t>
      </w:r>
      <w:r>
        <w:rPr>
          <w:rFonts w:hint="eastAsia" w:ascii="宋体" w:hAnsi="宋体"/>
          <w:sz w:val="24"/>
          <w:highlight w:val="none"/>
          <w:lang w:val="en-US" w:eastAsia="zh-CN"/>
        </w:rPr>
        <w:t>以及</w:t>
      </w:r>
      <w:r>
        <w:rPr>
          <w:rFonts w:hint="eastAsia" w:ascii="宋体" w:hAnsi="宋体"/>
          <w:sz w:val="24"/>
          <w:highlight w:val="none"/>
          <w:lang w:val="zh-CN"/>
        </w:rPr>
        <w:t>《中华人民共和国民法典》、《中华人民共和国政府采购法》等相关法律法规之规定，经</w:t>
      </w:r>
      <w:r>
        <w:rPr>
          <w:rFonts w:ascii="宋体" w:hAnsi="宋体"/>
          <w:sz w:val="24"/>
          <w:highlight w:val="none"/>
          <w:u w:val="single"/>
        </w:rPr>
        <w:t xml:space="preserve">   （采购人）   </w:t>
      </w:r>
      <w:r>
        <w:rPr>
          <w:rFonts w:ascii="宋体" w:hAnsi="宋体"/>
          <w:sz w:val="24"/>
          <w:highlight w:val="none"/>
          <w:lang w:val="zh-CN"/>
        </w:rPr>
        <w:t>(以下简称：甲方)和</w:t>
      </w:r>
      <w:r>
        <w:rPr>
          <w:rFonts w:ascii="宋体" w:hAnsi="宋体"/>
          <w:sz w:val="24"/>
          <w:highlight w:val="none"/>
          <w:u w:val="single"/>
        </w:rPr>
        <w:t xml:space="preserve">   （</w:t>
      </w:r>
      <w:r>
        <w:rPr>
          <w:rFonts w:hint="eastAsia" w:ascii="宋体" w:hAnsi="宋体"/>
          <w:sz w:val="24"/>
          <w:highlight w:val="none"/>
          <w:u w:val="single"/>
        </w:rPr>
        <w:t>成交</w:t>
      </w:r>
      <w:r>
        <w:rPr>
          <w:rFonts w:ascii="宋体" w:hAnsi="宋体"/>
          <w:sz w:val="24"/>
          <w:highlight w:val="none"/>
          <w:u w:val="single"/>
        </w:rPr>
        <w:t xml:space="preserve">标供应商名称）   </w:t>
      </w:r>
      <w:r>
        <w:rPr>
          <w:rFonts w:ascii="宋体" w:hAnsi="宋体"/>
          <w:sz w:val="24"/>
          <w:highlight w:val="none"/>
          <w:lang w:val="zh-CN"/>
        </w:rPr>
        <w:t>(以下简称：乙方)协商一致，</w:t>
      </w:r>
      <w:r>
        <w:rPr>
          <w:rFonts w:hint="eastAsia" w:ascii="宋体" w:hAnsi="宋体"/>
          <w:sz w:val="24"/>
          <w:highlight w:val="none"/>
          <w:lang w:val="en-US" w:eastAsia="zh-CN"/>
        </w:rPr>
        <w:t>自愿达成如下协议：</w:t>
      </w:r>
    </w:p>
    <w:p>
      <w:pPr>
        <w:spacing w:line="360" w:lineRule="auto"/>
        <w:ind w:firstLine="482" w:firstLineChars="200"/>
        <w:rPr>
          <w:rFonts w:ascii="宋体" w:hAnsi="宋体"/>
          <w:sz w:val="24"/>
          <w:highlight w:val="none"/>
        </w:rPr>
      </w:pPr>
      <w:bookmarkStart w:id="89" w:name="_Toc28855"/>
      <w:bookmarkStart w:id="90" w:name="_Toc15367"/>
      <w:bookmarkStart w:id="91" w:name="_Toc20421"/>
      <w:bookmarkStart w:id="92" w:name="_Toc19273"/>
      <w:bookmarkStart w:id="93" w:name="_Toc22967"/>
      <w:r>
        <w:rPr>
          <w:rFonts w:ascii="宋体" w:hAnsi="宋体"/>
          <w:b/>
          <w:sz w:val="24"/>
          <w:highlight w:val="none"/>
        </w:rPr>
        <w:t xml:space="preserve">1.1 </w:t>
      </w:r>
      <w:r>
        <w:rPr>
          <w:rFonts w:hint="eastAsia" w:ascii="宋体" w:hAnsi="宋体"/>
          <w:b/>
          <w:sz w:val="24"/>
          <w:highlight w:val="none"/>
        </w:rPr>
        <w:t>合同组成部分</w:t>
      </w:r>
      <w:bookmarkEnd w:id="89"/>
      <w:bookmarkEnd w:id="90"/>
      <w:bookmarkEnd w:id="91"/>
      <w:bookmarkEnd w:id="92"/>
      <w:bookmarkEnd w:id="93"/>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highlight w:val="none"/>
        </w:rPr>
      </w:pPr>
      <w:r>
        <w:rPr>
          <w:rFonts w:ascii="宋体" w:hAnsi="宋体"/>
          <w:sz w:val="24"/>
          <w:highlight w:val="none"/>
        </w:rPr>
        <w:t xml:space="preserve">1.1.1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ascii="宋体" w:hAnsi="宋体"/>
          <w:sz w:val="24"/>
          <w:highlight w:val="none"/>
        </w:rPr>
        <w:t xml:space="preserve">1.1.2 </w:t>
      </w:r>
      <w:r>
        <w:rPr>
          <w:rFonts w:hint="eastAsia" w:ascii="宋体" w:hAnsi="宋体"/>
          <w:sz w:val="24"/>
          <w:highlight w:val="none"/>
        </w:rPr>
        <w:t>中标或者成交通知书；</w:t>
      </w:r>
    </w:p>
    <w:p>
      <w:pPr>
        <w:spacing w:line="360" w:lineRule="auto"/>
        <w:ind w:firstLine="480" w:firstLineChars="200"/>
        <w:rPr>
          <w:rFonts w:ascii="宋体" w:hAnsi="宋体"/>
          <w:sz w:val="24"/>
          <w:highlight w:val="none"/>
        </w:rPr>
      </w:pPr>
      <w:r>
        <w:rPr>
          <w:rFonts w:ascii="宋体" w:hAnsi="宋体"/>
          <w:sz w:val="24"/>
          <w:highlight w:val="none"/>
        </w:rPr>
        <w:t xml:space="preserve">1.1.3 </w:t>
      </w:r>
      <w:r>
        <w:rPr>
          <w:rFonts w:hint="eastAsia" w:ascii="宋体" w:hAnsi="宋体"/>
          <w:sz w:val="24"/>
          <w:highlight w:val="none"/>
        </w:rPr>
        <w:t>投标或者响应文件（含澄清或者说明文件）；</w:t>
      </w:r>
    </w:p>
    <w:p>
      <w:pPr>
        <w:spacing w:line="360" w:lineRule="auto"/>
        <w:ind w:firstLine="480" w:firstLineChars="200"/>
        <w:rPr>
          <w:rFonts w:ascii="宋体" w:hAnsi="宋体"/>
          <w:sz w:val="24"/>
          <w:highlight w:val="none"/>
        </w:rPr>
      </w:pPr>
      <w:r>
        <w:rPr>
          <w:rFonts w:ascii="宋体" w:hAnsi="宋体"/>
          <w:sz w:val="24"/>
          <w:highlight w:val="none"/>
        </w:rPr>
        <w:t xml:space="preserve">1.1.4 </w:t>
      </w:r>
      <w:r>
        <w:rPr>
          <w:rFonts w:hint="eastAsia" w:ascii="宋体" w:hAnsi="宋体"/>
          <w:sz w:val="24"/>
          <w:highlight w:val="none"/>
        </w:rPr>
        <w:t>采购文件（含澄清或者修改文件）；</w:t>
      </w:r>
    </w:p>
    <w:p>
      <w:pPr>
        <w:spacing w:line="360" w:lineRule="auto"/>
        <w:ind w:firstLine="480" w:firstLineChars="200"/>
        <w:rPr>
          <w:rFonts w:ascii="宋体" w:hAnsi="宋体"/>
          <w:sz w:val="24"/>
          <w:highlight w:val="none"/>
        </w:rPr>
      </w:pPr>
      <w:r>
        <w:rPr>
          <w:rFonts w:ascii="宋体" w:hAnsi="宋体"/>
          <w:sz w:val="24"/>
          <w:highlight w:val="none"/>
        </w:rPr>
        <w:t xml:space="preserve">1.1.5 </w:t>
      </w:r>
      <w:r>
        <w:rPr>
          <w:rFonts w:hint="eastAsia" w:ascii="宋体" w:hAnsi="宋体"/>
          <w:sz w:val="24"/>
          <w:highlight w:val="none"/>
        </w:rPr>
        <w:t>其他相关采购文件。</w:t>
      </w:r>
    </w:p>
    <w:p>
      <w:pPr>
        <w:spacing w:line="360" w:lineRule="auto"/>
        <w:ind w:firstLine="482" w:firstLineChars="200"/>
        <w:rPr>
          <w:rFonts w:ascii="宋体" w:hAnsi="宋体"/>
          <w:b/>
          <w:sz w:val="24"/>
          <w:highlight w:val="none"/>
        </w:rPr>
      </w:pPr>
      <w:bookmarkStart w:id="94" w:name="_Toc2918"/>
      <w:bookmarkStart w:id="95" w:name="_Toc6311"/>
      <w:bookmarkStart w:id="96" w:name="_Toc22185"/>
      <w:bookmarkStart w:id="97" w:name="_Toc6773"/>
      <w:bookmarkStart w:id="98" w:name="_Toc18585"/>
      <w:r>
        <w:rPr>
          <w:rFonts w:ascii="宋体" w:hAnsi="宋体"/>
          <w:b/>
          <w:sz w:val="24"/>
          <w:highlight w:val="none"/>
        </w:rPr>
        <w:t xml:space="preserve">1.2 </w:t>
      </w:r>
      <w:r>
        <w:rPr>
          <w:rFonts w:hint="eastAsia" w:ascii="宋体" w:hAnsi="宋体"/>
          <w:b/>
          <w:sz w:val="24"/>
          <w:highlight w:val="none"/>
        </w:rPr>
        <w:t>标的</w:t>
      </w:r>
      <w:bookmarkEnd w:id="94"/>
      <w:bookmarkEnd w:id="95"/>
      <w:bookmarkEnd w:id="96"/>
      <w:bookmarkEnd w:id="97"/>
      <w:bookmarkEnd w:id="98"/>
    </w:p>
    <w:p>
      <w:pPr>
        <w:spacing w:line="360" w:lineRule="auto"/>
        <w:ind w:firstLine="480" w:firstLineChars="200"/>
        <w:rPr>
          <w:rFonts w:ascii="宋体" w:hAnsi="宋体"/>
          <w:sz w:val="24"/>
          <w:highlight w:val="none"/>
          <w:u w:val="single"/>
        </w:rPr>
      </w:pPr>
      <w:r>
        <w:rPr>
          <w:rFonts w:ascii="宋体" w:hAnsi="宋体"/>
          <w:sz w:val="24"/>
          <w:highlight w:val="none"/>
        </w:rPr>
        <w:t xml:space="preserve">1.2.1 </w:t>
      </w:r>
      <w:r>
        <w:rPr>
          <w:rFonts w:hint="eastAsia" w:ascii="宋体" w:hAnsi="宋体"/>
          <w:sz w:val="24"/>
          <w:highlight w:val="none"/>
        </w:rPr>
        <w:t>服务内容</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u w:val="single"/>
        </w:rPr>
      </w:pPr>
      <w:r>
        <w:rPr>
          <w:rFonts w:ascii="宋体" w:hAnsi="宋体"/>
          <w:sz w:val="24"/>
          <w:highlight w:val="none"/>
        </w:rPr>
        <w:t xml:space="preserve">1.2.2 </w:t>
      </w:r>
      <w:r>
        <w:rPr>
          <w:rFonts w:hint="eastAsia" w:ascii="宋体" w:hAnsi="宋体"/>
          <w:sz w:val="24"/>
          <w:highlight w:val="none"/>
        </w:rPr>
        <w:t>服务标准</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u w:val="single"/>
        </w:rPr>
      </w:pPr>
      <w:r>
        <w:rPr>
          <w:rFonts w:ascii="宋体" w:hAnsi="宋体"/>
          <w:sz w:val="24"/>
          <w:highlight w:val="none"/>
        </w:rPr>
        <w:t xml:space="preserve">1.2.3 </w:t>
      </w:r>
      <w:r>
        <w:rPr>
          <w:rFonts w:hint="eastAsia" w:ascii="宋体" w:hAnsi="宋体"/>
          <w:sz w:val="24"/>
          <w:highlight w:val="none"/>
        </w:rPr>
        <w:t>技术保障：</w:t>
      </w:r>
      <w:r>
        <w:rPr>
          <w:rFonts w:ascii="宋体" w:hAnsi="宋体"/>
          <w:sz w:val="24"/>
          <w:highlight w:val="none"/>
          <w:u w:val="single"/>
        </w:rPr>
        <w:t xml:space="preserve">　　　　　　　　　                      　      </w:t>
      </w:r>
      <w:r>
        <w:rPr>
          <w:rFonts w:hint="eastAsia" w:ascii="宋体" w:hAnsi="宋体"/>
          <w:sz w:val="24"/>
          <w:highlight w:val="none"/>
          <w:u w:val="single"/>
        </w:rPr>
        <w:t>；</w:t>
      </w:r>
    </w:p>
    <w:p>
      <w:pPr>
        <w:spacing w:line="360" w:lineRule="auto"/>
        <w:ind w:firstLine="480" w:firstLineChars="200"/>
        <w:jc w:val="left"/>
        <w:rPr>
          <w:rFonts w:ascii="宋体" w:hAnsi="宋体"/>
          <w:sz w:val="24"/>
          <w:highlight w:val="none"/>
        </w:rPr>
      </w:pPr>
      <w:r>
        <w:rPr>
          <w:rFonts w:hint="eastAsia" w:ascii="宋体" w:hAnsi="宋体"/>
          <w:sz w:val="24"/>
          <w:highlight w:val="none"/>
        </w:rPr>
        <w:t>1.2.4 服务人员组成：</w:t>
      </w:r>
      <w:r>
        <w:rPr>
          <w:rFonts w:ascii="宋体" w:hAnsi="宋体"/>
          <w:sz w:val="24"/>
          <w:highlight w:val="none"/>
          <w:u w:val="single"/>
        </w:rPr>
        <w:t xml:space="preserve">　　             　      </w:t>
      </w:r>
      <w:r>
        <w:rPr>
          <w:rFonts w:hint="eastAsia" w:ascii="宋体" w:hAnsi="宋体"/>
          <w:sz w:val="24"/>
          <w:highlight w:val="none"/>
        </w:rPr>
        <w:t>；</w:t>
      </w:r>
    </w:p>
    <w:p>
      <w:pPr>
        <w:pStyle w:val="629"/>
        <w:spacing w:before="0" w:beforeAutospacing="0" w:after="0" w:afterAutospacing="0" w:line="360" w:lineRule="auto"/>
        <w:ind w:firstLine="480"/>
        <w:rPr>
          <w:highlight w:val="none"/>
        </w:rPr>
      </w:pPr>
      <w:r>
        <w:rPr>
          <w:rFonts w:hint="eastAsia"/>
          <w:highlight w:val="none"/>
        </w:rPr>
        <w:t>1.2.5合同</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否）涉及货物。若涉及货物的，则：</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1.2.5.1 货物名称、品牌、规格型号、花色：</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1.2.5.2 货物数量：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1.2.5.3 货物质量：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2" w:firstLineChars="200"/>
        <w:rPr>
          <w:rFonts w:ascii="宋体" w:hAnsi="宋体"/>
          <w:b/>
          <w:sz w:val="24"/>
          <w:highlight w:val="none"/>
        </w:rPr>
      </w:pPr>
      <w:r>
        <w:rPr>
          <w:rFonts w:ascii="宋体" w:hAnsi="宋体"/>
          <w:b/>
          <w:sz w:val="24"/>
          <w:highlight w:val="none"/>
        </w:rPr>
        <w:t>1.3 价款</w:t>
      </w:r>
      <w:bookmarkEnd w:id="84"/>
      <w:bookmarkEnd w:id="85"/>
      <w:bookmarkEnd w:id="86"/>
      <w:bookmarkEnd w:id="87"/>
      <w:bookmarkEnd w:id="88"/>
    </w:p>
    <w:p>
      <w:pPr>
        <w:spacing w:line="360" w:lineRule="auto"/>
        <w:ind w:firstLine="480" w:firstLineChars="200"/>
        <w:rPr>
          <w:rFonts w:ascii="宋体" w:hAnsi="宋体"/>
          <w:sz w:val="24"/>
          <w:highlight w:val="none"/>
        </w:rPr>
      </w:pPr>
      <w:r>
        <w:rPr>
          <w:rFonts w:hint="eastAsia" w:ascii="宋体" w:hAnsi="宋体" w:cs="宋体"/>
          <w:sz w:val="24"/>
          <w:highlight w:val="none"/>
        </w:rPr>
        <w:t>本项目采用以下第</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ascii="宋体" w:hAnsi="宋体"/>
          <w:sz w:val="24"/>
          <w:highlight w:val="none"/>
        </w:rPr>
      </w:pPr>
      <w:r>
        <w:rPr>
          <w:rFonts w:hint="eastAsia" w:ascii="宋体" w:hAnsi="宋体"/>
          <w:sz w:val="24"/>
          <w:highlight w:val="none"/>
        </w:rPr>
        <w:t>1.3.1总价合同，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rPr>
        <w:t>元人民币）</w:t>
      </w:r>
      <w:r>
        <w:rPr>
          <w:rFonts w:ascii="宋体" w:hAnsi="宋体"/>
          <w:sz w:val="24"/>
          <w:highlight w:val="none"/>
        </w:rPr>
        <w:t>。</w:t>
      </w:r>
    </w:p>
    <w:p>
      <w:pPr>
        <w:spacing w:line="360" w:lineRule="auto"/>
        <w:ind w:firstLine="480" w:firstLineChars="200"/>
        <w:rPr>
          <w:rFonts w:ascii="宋体" w:hAnsi="宋体"/>
          <w:sz w:val="24"/>
          <w:highlight w:val="none"/>
          <w:u w:val="single"/>
        </w:rPr>
      </w:pPr>
      <w:r>
        <w:rPr>
          <w:rFonts w:ascii="宋体" w:hAnsi="宋体"/>
          <w:sz w:val="24"/>
          <w:highlight w:val="none"/>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jc w:val="center"/>
              <w:rPr>
                <w:rFonts w:hAnsi="宋体"/>
                <w:sz w:val="24"/>
                <w:szCs w:val="24"/>
                <w:highlight w:val="none"/>
              </w:rPr>
            </w:pPr>
            <w:r>
              <w:rPr>
                <w:rFonts w:hAnsi="宋体"/>
                <w:sz w:val="24"/>
                <w:szCs w:val="24"/>
                <w:highlight w:val="none"/>
              </w:rPr>
              <w:t>序号</w:t>
            </w:r>
          </w:p>
        </w:tc>
        <w:tc>
          <w:tcPr>
            <w:tcW w:w="3402" w:type="dxa"/>
            <w:vAlign w:val="center"/>
          </w:tcPr>
          <w:p>
            <w:pPr>
              <w:pStyle w:val="621"/>
              <w:spacing w:line="360" w:lineRule="auto"/>
              <w:ind w:firstLine="200"/>
              <w:jc w:val="center"/>
              <w:rPr>
                <w:rFonts w:hAnsi="宋体"/>
                <w:sz w:val="24"/>
                <w:szCs w:val="24"/>
                <w:highlight w:val="none"/>
              </w:rPr>
            </w:pPr>
            <w:r>
              <w:rPr>
                <w:rFonts w:hint="eastAsia" w:hAnsi="宋体"/>
                <w:sz w:val="24"/>
                <w:szCs w:val="24"/>
                <w:highlight w:val="none"/>
              </w:rPr>
              <w:t>分项名称</w:t>
            </w:r>
          </w:p>
        </w:tc>
        <w:tc>
          <w:tcPr>
            <w:tcW w:w="2552" w:type="dxa"/>
            <w:vAlign w:val="center"/>
          </w:tcPr>
          <w:p>
            <w:pPr>
              <w:pStyle w:val="621"/>
              <w:spacing w:line="360" w:lineRule="auto"/>
              <w:jc w:val="center"/>
              <w:rPr>
                <w:rFonts w:hAnsi="宋体"/>
                <w:sz w:val="24"/>
                <w:szCs w:val="24"/>
                <w:highlight w:val="none"/>
              </w:rPr>
            </w:pPr>
            <w:r>
              <w:rPr>
                <w:rFonts w:hAnsi="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highlight w:val="none"/>
              </w:rPr>
            </w:pPr>
          </w:p>
        </w:tc>
        <w:tc>
          <w:tcPr>
            <w:tcW w:w="3402" w:type="dxa"/>
            <w:vAlign w:val="center"/>
          </w:tcPr>
          <w:p>
            <w:pPr>
              <w:pStyle w:val="621"/>
              <w:spacing w:line="360" w:lineRule="auto"/>
              <w:ind w:firstLine="200"/>
              <w:jc w:val="center"/>
              <w:rPr>
                <w:rFonts w:hAnsi="宋体"/>
                <w:sz w:val="24"/>
                <w:szCs w:val="24"/>
                <w:highlight w:val="none"/>
              </w:rPr>
            </w:pPr>
          </w:p>
        </w:tc>
        <w:tc>
          <w:tcPr>
            <w:tcW w:w="2552" w:type="dxa"/>
            <w:vAlign w:val="center"/>
          </w:tcPr>
          <w:p>
            <w:pPr>
              <w:pStyle w:val="621"/>
              <w:spacing w:line="360" w:lineRule="auto"/>
              <w:ind w:firstLine="200"/>
              <w:jc w:val="center"/>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highlight w:val="none"/>
              </w:rPr>
            </w:pPr>
          </w:p>
        </w:tc>
        <w:tc>
          <w:tcPr>
            <w:tcW w:w="3402" w:type="dxa"/>
            <w:vAlign w:val="center"/>
          </w:tcPr>
          <w:p>
            <w:pPr>
              <w:pStyle w:val="621"/>
              <w:spacing w:line="360" w:lineRule="auto"/>
              <w:ind w:firstLine="200"/>
              <w:jc w:val="center"/>
              <w:rPr>
                <w:rFonts w:hAnsi="宋体"/>
                <w:sz w:val="24"/>
                <w:szCs w:val="24"/>
                <w:highlight w:val="none"/>
              </w:rPr>
            </w:pPr>
          </w:p>
        </w:tc>
        <w:tc>
          <w:tcPr>
            <w:tcW w:w="2552" w:type="dxa"/>
            <w:vAlign w:val="center"/>
          </w:tcPr>
          <w:p>
            <w:pPr>
              <w:pStyle w:val="621"/>
              <w:spacing w:line="360" w:lineRule="auto"/>
              <w:ind w:firstLine="200"/>
              <w:jc w:val="center"/>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highlight w:val="none"/>
              </w:rPr>
            </w:pPr>
          </w:p>
        </w:tc>
        <w:tc>
          <w:tcPr>
            <w:tcW w:w="3402" w:type="dxa"/>
            <w:vAlign w:val="center"/>
          </w:tcPr>
          <w:p>
            <w:pPr>
              <w:pStyle w:val="621"/>
              <w:spacing w:line="360" w:lineRule="auto"/>
              <w:ind w:firstLine="200"/>
              <w:jc w:val="center"/>
              <w:rPr>
                <w:rFonts w:hAnsi="宋体"/>
                <w:sz w:val="24"/>
                <w:szCs w:val="24"/>
                <w:highlight w:val="none"/>
              </w:rPr>
            </w:pPr>
          </w:p>
        </w:tc>
        <w:tc>
          <w:tcPr>
            <w:tcW w:w="2552" w:type="dxa"/>
            <w:vAlign w:val="center"/>
          </w:tcPr>
          <w:p>
            <w:pPr>
              <w:pStyle w:val="621"/>
              <w:spacing w:line="360" w:lineRule="auto"/>
              <w:ind w:firstLine="200"/>
              <w:jc w:val="center"/>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highlight w:val="none"/>
              </w:rPr>
            </w:pPr>
          </w:p>
        </w:tc>
        <w:tc>
          <w:tcPr>
            <w:tcW w:w="3402" w:type="dxa"/>
            <w:vAlign w:val="center"/>
          </w:tcPr>
          <w:p>
            <w:pPr>
              <w:pStyle w:val="621"/>
              <w:spacing w:line="360" w:lineRule="auto"/>
              <w:ind w:firstLine="200"/>
              <w:jc w:val="center"/>
              <w:rPr>
                <w:rFonts w:hAnsi="宋体"/>
                <w:sz w:val="24"/>
                <w:szCs w:val="24"/>
                <w:highlight w:val="none"/>
              </w:rPr>
            </w:pPr>
          </w:p>
        </w:tc>
        <w:tc>
          <w:tcPr>
            <w:tcW w:w="2552" w:type="dxa"/>
            <w:vAlign w:val="center"/>
          </w:tcPr>
          <w:p>
            <w:pPr>
              <w:pStyle w:val="621"/>
              <w:spacing w:line="360" w:lineRule="auto"/>
              <w:ind w:firstLine="200"/>
              <w:jc w:val="center"/>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1"/>
              <w:spacing w:line="360" w:lineRule="auto"/>
              <w:ind w:firstLine="200"/>
              <w:jc w:val="center"/>
              <w:rPr>
                <w:rFonts w:hAnsi="宋体"/>
                <w:sz w:val="24"/>
                <w:szCs w:val="24"/>
                <w:highlight w:val="none"/>
              </w:rPr>
            </w:pPr>
            <w:r>
              <w:rPr>
                <w:rFonts w:hint="eastAsia" w:hAnsi="宋体"/>
                <w:sz w:val="24"/>
                <w:szCs w:val="24"/>
                <w:highlight w:val="none"/>
              </w:rPr>
              <w:t>总价</w:t>
            </w:r>
          </w:p>
        </w:tc>
        <w:tc>
          <w:tcPr>
            <w:tcW w:w="2552" w:type="dxa"/>
            <w:vAlign w:val="center"/>
          </w:tcPr>
          <w:p>
            <w:pPr>
              <w:pStyle w:val="621"/>
              <w:spacing w:line="360" w:lineRule="auto"/>
              <w:ind w:firstLine="200"/>
              <w:jc w:val="center"/>
              <w:rPr>
                <w:rFonts w:hAnsi="宋体"/>
                <w:sz w:val="24"/>
                <w:szCs w:val="24"/>
                <w:highlight w:val="none"/>
              </w:rPr>
            </w:pPr>
          </w:p>
        </w:tc>
      </w:tr>
    </w:tbl>
    <w:p>
      <w:pPr>
        <w:spacing w:line="360" w:lineRule="auto"/>
        <w:ind w:firstLine="480" w:firstLineChars="200"/>
        <w:rPr>
          <w:rFonts w:ascii="宋体" w:hAnsi="宋体"/>
          <w:sz w:val="24"/>
          <w:highlight w:val="none"/>
        </w:rPr>
      </w:pPr>
      <w:bookmarkStart w:id="99" w:name="_Toc30158"/>
      <w:bookmarkStart w:id="100" w:name="_Toc30506"/>
      <w:bookmarkStart w:id="101" w:name="_Toc14993"/>
      <w:bookmarkStart w:id="102" w:name="_Toc26916"/>
      <w:bookmarkStart w:id="103" w:name="_Toc3654"/>
      <w:r>
        <w:rPr>
          <w:rFonts w:hint="eastAsia" w:ascii="宋体" w:hAnsi="宋体"/>
          <w:bCs/>
          <w:sz w:val="24"/>
          <w:highlight w:val="none"/>
        </w:rPr>
        <w:t>1.3.2单价合同，本合同单价（含税）标准为：</w:t>
      </w:r>
      <w:r>
        <w:rPr>
          <w:rFonts w:hint="eastAsia" w:ascii="宋体" w:hAnsi="宋体"/>
          <w:bCs/>
          <w:sz w:val="24"/>
          <w:highlight w:val="none"/>
          <w:u w:val="single"/>
        </w:rPr>
        <w:t xml:space="preserve">                   </w:t>
      </w:r>
      <w:r>
        <w:rPr>
          <w:rFonts w:ascii="宋体" w:hAnsi="宋体"/>
          <w:sz w:val="24"/>
          <w:highlight w:val="none"/>
        </w:rPr>
        <w:t>。</w:t>
      </w:r>
      <w:r>
        <w:rPr>
          <w:rFonts w:hint="eastAsia" w:ascii="宋体" w:hAnsi="宋体"/>
          <w:sz w:val="24"/>
          <w:highlight w:val="none"/>
        </w:rPr>
        <w:t>服务工作量的计量方式为：</w:t>
      </w:r>
      <w:r>
        <w:rPr>
          <w:rFonts w:hint="eastAsia" w:ascii="宋体" w:hAnsi="宋体"/>
          <w:bCs/>
          <w:sz w:val="24"/>
          <w:highlight w:val="none"/>
          <w:u w:val="single"/>
        </w:rPr>
        <w:t xml:space="preserve">       </w:t>
      </w:r>
      <w:r>
        <w:rPr>
          <w:rFonts w:hint="eastAsia" w:ascii="宋体" w:hAnsi="宋体" w:cs="宋体"/>
          <w:b/>
          <w:sz w:val="24"/>
          <w:highlight w:val="none"/>
          <w:u w:val="single"/>
        </w:rPr>
        <w:t>合同专用条款</w:t>
      </w:r>
      <w:r>
        <w:rPr>
          <w:rFonts w:hint="eastAsia" w:ascii="宋体" w:hAnsi="宋体"/>
          <w:bCs/>
          <w:sz w:val="24"/>
          <w:highlight w:val="none"/>
          <w:u w:val="single"/>
        </w:rPr>
        <w:t xml:space="preserve">     </w:t>
      </w:r>
      <w:r>
        <w:rPr>
          <w:rFonts w:ascii="宋体" w:hAnsi="宋体"/>
          <w:sz w:val="24"/>
          <w:highlight w:val="none"/>
        </w:rPr>
        <w:t>。</w:t>
      </w:r>
      <w:r>
        <w:rPr>
          <w:rFonts w:hint="eastAsia" w:ascii="宋体" w:hAnsi="宋体"/>
          <w:sz w:val="24"/>
          <w:highlight w:val="none"/>
        </w:rPr>
        <w:t>单价合同，在合同履行期间内，根据实际完成的工作量据实结算，但结算总价上限不得超过预算金额或者双方确定的金额￥</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rPr>
        <w:t>元人民币）。</w:t>
      </w:r>
    </w:p>
    <w:p>
      <w:pPr>
        <w:pStyle w:val="631"/>
        <w:rPr>
          <w:highlight w:val="none"/>
        </w:rPr>
      </w:pPr>
      <w:r>
        <w:rPr>
          <w:rFonts w:hint="eastAsia"/>
          <w:highlight w:val="none"/>
        </w:rPr>
        <w:t>1.3.3其他计价方式：                   。</w:t>
      </w:r>
    </w:p>
    <w:bookmarkEnd w:id="99"/>
    <w:bookmarkEnd w:id="100"/>
    <w:bookmarkEnd w:id="101"/>
    <w:bookmarkEnd w:id="102"/>
    <w:bookmarkEnd w:id="103"/>
    <w:p>
      <w:pPr>
        <w:pStyle w:val="629"/>
        <w:spacing w:before="0" w:beforeAutospacing="0" w:after="0" w:afterAutospacing="0" w:line="360" w:lineRule="auto"/>
        <w:ind w:firstLine="480"/>
        <w:rPr>
          <w:b/>
          <w:highlight w:val="none"/>
        </w:rPr>
      </w:pPr>
      <w:bookmarkStart w:id="104" w:name="_Toc1814"/>
      <w:bookmarkStart w:id="105" w:name="_Toc22618"/>
      <w:bookmarkStart w:id="106" w:name="_Toc10340"/>
      <w:bookmarkStart w:id="107" w:name="_Toc4760"/>
      <w:bookmarkStart w:id="108" w:name="_Toc31421"/>
      <w:bookmarkStart w:id="109" w:name="_Toc8772"/>
      <w:bookmarkStart w:id="110" w:name="_Toc11108"/>
      <w:bookmarkStart w:id="111" w:name="_Toc3625"/>
      <w:r>
        <w:rPr>
          <w:rFonts w:hint="eastAsia"/>
          <w:b/>
          <w:highlight w:val="none"/>
        </w:rPr>
        <w:t>1.4履约保证金</w:t>
      </w:r>
    </w:p>
    <w:p>
      <w:pPr>
        <w:pStyle w:val="629"/>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否）需要支付履约保证金。若需要支付履约保证金的，则：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1.4.1履约保证金的比例为合同金额的</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1.4.2履约保证金支付方式详见</w:t>
      </w:r>
      <w:r>
        <w:rPr>
          <w:rFonts w:hint="eastAsia" w:ascii="宋体" w:hAnsi="宋体" w:cs="宋体"/>
          <w:kern w:val="0"/>
          <w:sz w:val="24"/>
          <w:highlight w:val="none"/>
          <w:u w:val="single"/>
        </w:rPr>
        <w:t xml:space="preserve">    </w:t>
      </w:r>
      <w:r>
        <w:rPr>
          <w:rFonts w:hint="eastAsia" w:ascii="宋体" w:hAnsi="宋体" w:cs="宋体"/>
          <w:b/>
          <w:sz w:val="24"/>
          <w:highlight w:val="none"/>
          <w:u w:val="single"/>
        </w:rPr>
        <w:t>合同专用条款</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631"/>
        <w:rPr>
          <w:highlight w:val="none"/>
        </w:rPr>
      </w:pPr>
      <w:r>
        <w:rPr>
          <w:rFonts w:hint="eastAsia"/>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1.4.4甲方在项目验收结束后及时退还履约保证金。甲方在项目通过验收之日起</w:t>
      </w:r>
      <w:r>
        <w:rPr>
          <w:rFonts w:hint="eastAsia" w:ascii="宋体" w:hAnsi="宋体" w:cs="宋体"/>
          <w:kern w:val="0"/>
          <w:sz w:val="24"/>
          <w:highlight w:val="none"/>
          <w:u w:val="single"/>
        </w:rPr>
        <w:t xml:space="preserve">       </w:t>
      </w:r>
      <w:r>
        <w:rPr>
          <w:rFonts w:hint="eastAsia" w:ascii="宋体" w:hAnsi="宋体" w:cs="宋体"/>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kern w:val="0"/>
          <w:sz w:val="24"/>
          <w:highlight w:val="none"/>
          <w:u w:val="single"/>
        </w:rPr>
        <w:t xml:space="preserve">  0.0</w:t>
      </w:r>
      <w:r>
        <w:rPr>
          <w:rFonts w:hint="eastAsia" w:ascii="宋体" w:hAnsi="宋体" w:cs="宋体"/>
          <w:kern w:val="0"/>
          <w:sz w:val="24"/>
          <w:highlight w:val="none"/>
          <w:u w:val="single"/>
          <w:lang w:val="en-US" w:eastAsia="zh-CN"/>
        </w:rPr>
        <w:t>1</w:t>
      </w:r>
      <w:r>
        <w:rPr>
          <w:rFonts w:hint="eastAsia" w:ascii="宋体" w:hAnsi="宋体" w:cs="宋体"/>
          <w:kern w:val="0"/>
          <w:sz w:val="24"/>
          <w:highlight w:val="none"/>
          <w:u w:val="single"/>
        </w:rPr>
        <w:t xml:space="preserve">  </w:t>
      </w:r>
      <w:r>
        <w:rPr>
          <w:rFonts w:hint="eastAsia" w:ascii="宋体" w:hAnsi="宋体" w:cs="宋体"/>
          <w:kern w:val="0"/>
          <w:sz w:val="24"/>
          <w:highlight w:val="none"/>
        </w:rPr>
        <w:t>%计算，</w:t>
      </w:r>
      <w:r>
        <w:rPr>
          <w:rFonts w:hint="eastAsia" w:ascii="宋体" w:hAnsi="宋体" w:cs="宋体"/>
          <w:kern w:val="0"/>
          <w:sz w:val="24"/>
          <w:highlight w:val="none"/>
          <w:lang w:val="en-US" w:eastAsia="zh-CN"/>
        </w:rPr>
        <w:t>违约金的</w:t>
      </w:r>
      <w:r>
        <w:rPr>
          <w:rFonts w:hint="eastAsia" w:ascii="宋体" w:hAnsi="宋体" w:cs="宋体"/>
          <w:kern w:val="0"/>
          <w:sz w:val="24"/>
          <w:highlight w:val="none"/>
        </w:rPr>
        <w:t>最高限额为本合同履约保证金的</w:t>
      </w:r>
      <w:r>
        <w:rPr>
          <w:rFonts w:hint="eastAsia" w:ascii="宋体" w:hAnsi="宋体" w:cs="宋体"/>
          <w:kern w:val="0"/>
          <w:sz w:val="24"/>
          <w:highlight w:val="none"/>
          <w:u w:val="single"/>
        </w:rPr>
        <w:t xml:space="preserve">  20  </w:t>
      </w:r>
      <w:r>
        <w:rPr>
          <w:rFonts w:hint="eastAsia" w:ascii="宋体" w:hAnsi="宋体" w:cs="宋体"/>
          <w:kern w:val="0"/>
          <w:sz w:val="24"/>
          <w:highlight w:val="none"/>
        </w:rPr>
        <w:t xml:space="preserve"> %。</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1.5</w:t>
      </w:r>
      <w:bookmarkEnd w:id="104"/>
      <w:bookmarkEnd w:id="105"/>
      <w:bookmarkEnd w:id="106"/>
      <w:r>
        <w:rPr>
          <w:rFonts w:hint="eastAsia" w:ascii="宋体" w:hAnsi="宋体" w:cs="宋体"/>
          <w:b/>
          <w:sz w:val="24"/>
          <w:highlight w:val="none"/>
        </w:rPr>
        <w:t>预付款</w:t>
      </w:r>
    </w:p>
    <w:p>
      <w:pPr>
        <w:pStyle w:val="629"/>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1.5.1预付款比例、支付方式、时间详见</w:t>
      </w:r>
      <w:r>
        <w:rPr>
          <w:rFonts w:hint="eastAsia" w:ascii="宋体" w:hAnsi="宋体" w:cs="宋体"/>
          <w:kern w:val="0"/>
          <w:sz w:val="24"/>
          <w:highlight w:val="none"/>
          <w:u w:val="single"/>
        </w:rPr>
        <w:t xml:space="preserve">    </w:t>
      </w:r>
      <w:r>
        <w:rPr>
          <w:rFonts w:hint="eastAsia" w:ascii="宋体" w:hAnsi="宋体" w:cs="宋体"/>
          <w:b/>
          <w:sz w:val="24"/>
          <w:highlight w:val="none"/>
          <w:u w:val="single"/>
        </w:rPr>
        <w:t>合同专用条款</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629"/>
        <w:spacing w:before="0" w:beforeAutospacing="0" w:after="0" w:afterAutospacing="0" w:line="360" w:lineRule="auto"/>
        <w:ind w:firstLine="480"/>
        <w:rPr>
          <w:highlight w:val="none"/>
        </w:rPr>
      </w:pPr>
      <w:r>
        <w:rPr>
          <w:rFonts w:hint="eastAsia"/>
          <w:highlight w:val="none"/>
        </w:rPr>
        <w:t>1.5.2预付款的扣回方式详见</w:t>
      </w:r>
      <w:r>
        <w:rPr>
          <w:rFonts w:hint="eastAsia"/>
          <w:highlight w:val="none"/>
          <w:u w:val="single"/>
        </w:rPr>
        <w:t xml:space="preserve">    </w:t>
      </w:r>
      <w:r>
        <w:rPr>
          <w:rFonts w:hint="eastAsia"/>
          <w:b/>
          <w:highlight w:val="none"/>
          <w:u w:val="single"/>
        </w:rPr>
        <w:t>合同专用条款</w:t>
      </w:r>
      <w:r>
        <w:rPr>
          <w:rFonts w:hint="eastAsia"/>
          <w:highlight w:val="none"/>
          <w:u w:val="single"/>
        </w:rPr>
        <w:t xml:space="preserve">           </w:t>
      </w:r>
      <w:r>
        <w:rPr>
          <w:rFonts w:hint="eastAsia"/>
          <w:highlight w:val="none"/>
        </w:rPr>
        <w:t>；</w:t>
      </w:r>
    </w:p>
    <w:p>
      <w:pPr>
        <w:pStyle w:val="629"/>
        <w:spacing w:before="0" w:beforeAutospacing="0" w:after="0" w:afterAutospacing="0" w:line="360" w:lineRule="auto"/>
        <w:ind w:firstLine="480"/>
        <w:rPr>
          <w:highlight w:val="none"/>
          <w:u w:val="single"/>
        </w:rPr>
      </w:pPr>
      <w:r>
        <w:rPr>
          <w:rFonts w:hint="eastAsia"/>
          <w:highlight w:val="none"/>
        </w:rPr>
        <w:t>1.5.3预付款的担保措施详见</w:t>
      </w:r>
      <w:r>
        <w:rPr>
          <w:rFonts w:hint="eastAsia"/>
          <w:highlight w:val="none"/>
          <w:u w:val="single"/>
        </w:rPr>
        <w:t xml:space="preserve">    </w:t>
      </w:r>
      <w:r>
        <w:rPr>
          <w:rFonts w:hint="eastAsia"/>
          <w:b/>
          <w:highlight w:val="none"/>
          <w:u w:val="single"/>
        </w:rPr>
        <w:t>合同专用条款</w:t>
      </w:r>
      <w:r>
        <w:rPr>
          <w:rFonts w:hint="eastAsia"/>
          <w:highlight w:val="none"/>
          <w:u w:val="single"/>
        </w:rPr>
        <w:t xml:space="preserve">          </w:t>
      </w:r>
      <w:r>
        <w:rPr>
          <w:rFonts w:hint="eastAsia"/>
          <w:highlight w:val="none"/>
        </w:rPr>
        <w:t>。</w:t>
      </w:r>
    </w:p>
    <w:p>
      <w:pPr>
        <w:pStyle w:val="629"/>
        <w:spacing w:before="0" w:beforeAutospacing="0" w:after="0" w:afterAutospacing="0" w:line="360" w:lineRule="auto"/>
        <w:ind w:firstLine="480"/>
        <w:rPr>
          <w:b/>
          <w:bCs/>
          <w:highlight w:val="none"/>
        </w:rPr>
      </w:pPr>
      <w:r>
        <w:rPr>
          <w:rFonts w:hint="eastAsia"/>
          <w:b/>
          <w:bCs/>
          <w:highlight w:val="none"/>
        </w:rPr>
        <w:t>1.6资金支付</w:t>
      </w:r>
    </w:p>
    <w:p>
      <w:pPr>
        <w:pStyle w:val="629"/>
        <w:spacing w:before="0" w:beforeAutospacing="0" w:after="0" w:afterAutospacing="0" w:line="360" w:lineRule="auto"/>
        <w:ind w:firstLine="480"/>
        <w:rPr>
          <w:highlight w:val="none"/>
        </w:rPr>
      </w:pPr>
      <w:r>
        <w:rPr>
          <w:rFonts w:hint="eastAsia"/>
          <w:highlight w:val="none"/>
        </w:rPr>
        <w:t>1.6.1甲方应严格履行合同，及时组织验收，验收合格后及时将合同款支付完毕。对于满足合同约定支付条件的，甲方自收到</w:t>
      </w:r>
      <w:r>
        <w:rPr>
          <w:rFonts w:hint="eastAsia"/>
          <w:highlight w:val="none"/>
          <w:lang w:val="en-US" w:eastAsia="zh-CN"/>
        </w:rPr>
        <w:t>乙方出具的</w:t>
      </w:r>
      <w:r>
        <w:rPr>
          <w:rFonts w:hint="eastAsia"/>
          <w:highlight w:val="none"/>
        </w:rPr>
        <w:t>发票后5个工作日内将</w:t>
      </w:r>
      <w:r>
        <w:rPr>
          <w:rFonts w:hint="eastAsia"/>
          <w:highlight w:val="none"/>
          <w:lang w:val="en-US" w:eastAsia="zh-CN"/>
        </w:rPr>
        <w:t>应付</w:t>
      </w:r>
      <w:r>
        <w:rPr>
          <w:rFonts w:hint="eastAsia"/>
          <w:highlight w:val="none"/>
        </w:rPr>
        <w:t>资金支付到合同约定的乙方账户，甲方</w:t>
      </w:r>
      <w:r>
        <w:rPr>
          <w:rFonts w:hint="eastAsia"/>
          <w:highlight w:val="none"/>
          <w:lang w:val="en-US" w:eastAsia="zh-CN"/>
        </w:rPr>
        <w:t>也</w:t>
      </w:r>
      <w:r>
        <w:rPr>
          <w:rFonts w:hint="eastAsia"/>
          <w:highlight w:val="none"/>
        </w:rPr>
        <w:t>可以即时支付。甲方不得以机构变动、人员更替、政策调整、单位放假等为由延迟付款。</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1.6.2资金支付的方式、时间和条件详见</w:t>
      </w:r>
      <w:r>
        <w:rPr>
          <w:rFonts w:hint="eastAsia" w:ascii="宋体" w:hAnsi="宋体" w:cs="宋体"/>
          <w:b/>
          <w:sz w:val="24"/>
          <w:highlight w:val="none"/>
          <w:u w:val="single"/>
        </w:rPr>
        <w:t>合同专用条款</w:t>
      </w:r>
      <w:r>
        <w:rPr>
          <w:rFonts w:hint="eastAsia" w:ascii="宋体" w:hAnsi="宋体" w:cs="宋体"/>
          <w:sz w:val="24"/>
          <w:highlight w:val="none"/>
        </w:rPr>
        <w:t>。</w:t>
      </w:r>
    </w:p>
    <w:p>
      <w:pPr>
        <w:spacing w:line="360" w:lineRule="auto"/>
        <w:ind w:firstLine="482" w:firstLineChars="200"/>
        <w:rPr>
          <w:rFonts w:ascii="宋体" w:hAnsi="宋体"/>
          <w:b/>
          <w:sz w:val="24"/>
          <w:highlight w:val="none"/>
        </w:rPr>
      </w:pPr>
      <w:r>
        <w:rPr>
          <w:rFonts w:ascii="宋体" w:hAnsi="宋体"/>
          <w:b/>
          <w:sz w:val="24"/>
          <w:highlight w:val="none"/>
        </w:rPr>
        <w:t>1.</w:t>
      </w:r>
      <w:r>
        <w:rPr>
          <w:rFonts w:hint="eastAsia" w:ascii="宋体" w:hAnsi="宋体"/>
          <w:b/>
          <w:sz w:val="24"/>
          <w:highlight w:val="none"/>
        </w:rPr>
        <w:t>7</w:t>
      </w:r>
      <w:r>
        <w:rPr>
          <w:rFonts w:ascii="宋体" w:hAnsi="宋体"/>
          <w:b/>
          <w:sz w:val="24"/>
          <w:highlight w:val="none"/>
        </w:rPr>
        <w:t xml:space="preserve"> 履行期限</w:t>
      </w:r>
      <w:r>
        <w:rPr>
          <w:rFonts w:hint="eastAsia" w:ascii="宋体" w:hAnsi="宋体"/>
          <w:b/>
          <w:sz w:val="24"/>
          <w:highlight w:val="none"/>
        </w:rPr>
        <w:t>、地点和方式</w:t>
      </w:r>
      <w:bookmarkEnd w:id="107"/>
      <w:bookmarkEnd w:id="108"/>
      <w:bookmarkEnd w:id="109"/>
      <w:bookmarkEnd w:id="110"/>
      <w:bookmarkEnd w:id="111"/>
    </w:p>
    <w:p>
      <w:pPr>
        <w:spacing w:line="360" w:lineRule="auto"/>
        <w:ind w:firstLine="480" w:firstLineChars="200"/>
        <w:rPr>
          <w:rFonts w:ascii="宋体" w:hAnsi="宋体"/>
          <w:sz w:val="24"/>
          <w:highlight w:val="none"/>
          <w:u w:val="singl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 xml:space="preserve">.1 </w:t>
      </w:r>
      <w:r>
        <w:rPr>
          <w:rFonts w:hint="eastAsia" w:ascii="宋体" w:hAnsi="宋体"/>
          <w:sz w:val="24"/>
          <w:highlight w:val="none"/>
        </w:rPr>
        <w:t>服务交付（实施）的时间（期限）</w:t>
      </w:r>
      <w:r>
        <w:rPr>
          <w:rFonts w:ascii="宋体" w:hAnsi="宋体"/>
          <w:sz w:val="24"/>
          <w:highlight w:val="none"/>
        </w:rPr>
        <w:t>：</w:t>
      </w:r>
      <w:r>
        <w:rPr>
          <w:rFonts w:hint="eastAsia" w:ascii="宋体" w:hAnsi="宋体"/>
          <w:b/>
          <w:sz w:val="24"/>
          <w:highlight w:val="none"/>
          <w:u w:val="single"/>
        </w:rPr>
        <w:t>合同专用条款</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 xml:space="preserve">.2 </w:t>
      </w:r>
      <w:r>
        <w:rPr>
          <w:rFonts w:hint="eastAsia" w:ascii="宋体" w:hAnsi="宋体"/>
          <w:sz w:val="24"/>
          <w:highlight w:val="none"/>
        </w:rPr>
        <w:t>服</w:t>
      </w:r>
      <w:r>
        <w:rPr>
          <w:rFonts w:hint="eastAsia" w:ascii="宋体" w:hAnsi="宋体" w:cs="宋体"/>
          <w:sz w:val="24"/>
          <w:highlight w:val="none"/>
        </w:rPr>
        <w:t>务交付（实施）的地点（地域范围）：</w:t>
      </w:r>
      <w:r>
        <w:rPr>
          <w:rFonts w:hint="eastAsia" w:ascii="宋体" w:hAnsi="宋体"/>
          <w:b/>
          <w:sz w:val="24"/>
          <w:highlight w:val="none"/>
          <w:u w:val="single"/>
        </w:rPr>
        <w:t>合同专用条款</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 xml:space="preserve">.3 </w:t>
      </w:r>
      <w:r>
        <w:rPr>
          <w:rFonts w:hint="eastAsia" w:ascii="宋体" w:hAnsi="宋体"/>
          <w:sz w:val="24"/>
          <w:highlight w:val="none"/>
        </w:rPr>
        <w:t>服务交付（实施）的方式：</w:t>
      </w:r>
      <w:r>
        <w:rPr>
          <w:rFonts w:hint="eastAsia" w:ascii="宋体" w:hAnsi="宋体"/>
          <w:b/>
          <w:sz w:val="24"/>
          <w:highlight w:val="none"/>
          <w:u w:val="single"/>
        </w:rPr>
        <w:t>合同专用条款</w:t>
      </w:r>
      <w:r>
        <w:rPr>
          <w:rFonts w:hint="eastAsia" w:ascii="宋体" w:hAnsi="宋体"/>
          <w:sz w:val="24"/>
          <w:highlight w:val="none"/>
        </w:rPr>
        <w:t>。</w:t>
      </w:r>
    </w:p>
    <w:p>
      <w:pPr>
        <w:spacing w:line="360" w:lineRule="auto"/>
        <w:ind w:firstLine="480" w:firstLineChars="200"/>
        <w:rPr>
          <w:rFonts w:ascii="宋体" w:hAnsi="宋体"/>
          <w:bCs/>
          <w:sz w:val="24"/>
          <w:highlight w:val="none"/>
        </w:rPr>
      </w:pPr>
      <w:bookmarkStart w:id="112" w:name="_Toc2375"/>
      <w:bookmarkStart w:id="113" w:name="_Toc8586"/>
      <w:bookmarkStart w:id="114" w:name="_Toc5698"/>
      <w:bookmarkStart w:id="115" w:name="_Toc3079"/>
      <w:bookmarkStart w:id="116" w:name="_Toc24662"/>
      <w:r>
        <w:rPr>
          <w:rFonts w:hint="eastAsia" w:ascii="宋体" w:hAnsi="宋体"/>
          <w:bCs/>
          <w:sz w:val="24"/>
          <w:highlight w:val="none"/>
        </w:rPr>
        <w:t>1.7.4若服务</w:t>
      </w:r>
      <w:r>
        <w:rPr>
          <w:rFonts w:hint="eastAsia"/>
          <w:bCs/>
          <w:sz w:val="24"/>
          <w:highlight w:val="none"/>
        </w:rPr>
        <w:t>涉及货物的，则货物的：</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1.7.4.1 交付期限：详见</w:t>
      </w:r>
      <w:r>
        <w:rPr>
          <w:rFonts w:hint="eastAsia" w:ascii="宋体" w:hAnsi="宋体" w:cs="宋体"/>
          <w:b/>
          <w:sz w:val="24"/>
          <w:highlight w:val="none"/>
          <w:u w:val="single"/>
        </w:rPr>
        <w:t>合同专用条款</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1.7.4.2 交付地点：</w:t>
      </w:r>
      <w:r>
        <w:rPr>
          <w:rFonts w:hint="eastAsia" w:ascii="宋体" w:hAnsi="宋体" w:cs="宋体"/>
          <w:b/>
          <w:sz w:val="24"/>
          <w:highlight w:val="none"/>
          <w:u w:val="single"/>
        </w:rPr>
        <w:t>合同专用条款</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1.7.4.3 交付方式：</w:t>
      </w:r>
      <w:r>
        <w:rPr>
          <w:rFonts w:hint="eastAsia" w:ascii="宋体" w:hAnsi="宋体" w:cs="宋体"/>
          <w:b/>
          <w:sz w:val="24"/>
          <w:highlight w:val="none"/>
          <w:u w:val="single"/>
        </w:rPr>
        <w:t>合同专用条款</w:t>
      </w:r>
      <w:r>
        <w:rPr>
          <w:rFonts w:hint="eastAsia" w:ascii="宋体" w:hAnsi="宋体" w:cs="宋体"/>
          <w:sz w:val="24"/>
          <w:highlight w:val="none"/>
        </w:rPr>
        <w:t>。</w:t>
      </w:r>
    </w:p>
    <w:p>
      <w:pPr>
        <w:spacing w:line="360" w:lineRule="auto"/>
        <w:ind w:firstLine="482" w:firstLineChars="200"/>
        <w:rPr>
          <w:rFonts w:ascii="宋体" w:hAnsi="宋体"/>
          <w:sz w:val="24"/>
          <w:highlight w:val="none"/>
          <w:u w:val="single"/>
        </w:rPr>
      </w:pPr>
      <w:r>
        <w:rPr>
          <w:rFonts w:ascii="宋体" w:hAnsi="宋体"/>
          <w:b/>
          <w:sz w:val="24"/>
          <w:highlight w:val="none"/>
        </w:rPr>
        <w:t>1.</w:t>
      </w:r>
      <w:r>
        <w:rPr>
          <w:rFonts w:hint="eastAsia" w:ascii="宋体" w:hAnsi="宋体"/>
          <w:b/>
          <w:sz w:val="24"/>
          <w:highlight w:val="none"/>
        </w:rPr>
        <w:t>8违约责任</w:t>
      </w:r>
      <w:bookmarkEnd w:id="112"/>
      <w:bookmarkEnd w:id="113"/>
      <w:bookmarkEnd w:id="114"/>
      <w:bookmarkEnd w:id="115"/>
      <w:bookmarkEnd w:id="116"/>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8</w:t>
      </w:r>
      <w:r>
        <w:rPr>
          <w:rFonts w:ascii="宋体" w:hAnsi="宋体"/>
          <w:sz w:val="24"/>
          <w:highlight w:val="none"/>
        </w:rPr>
        <w:t>.1 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w:t>
      </w:r>
      <w:r>
        <w:rPr>
          <w:rFonts w:hint="eastAsia" w:ascii="宋体" w:hAnsi="宋体"/>
          <w:sz w:val="24"/>
          <w:highlight w:val="none"/>
          <w:lang w:val="en-US" w:eastAsia="zh-CN"/>
        </w:rPr>
        <w:t>为</w:t>
      </w:r>
      <w:r>
        <w:rPr>
          <w:rFonts w:ascii="宋体" w:hAnsi="宋体"/>
          <w:sz w:val="24"/>
          <w:highlight w:val="none"/>
        </w:rPr>
        <w:t>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lang w:val="en-US" w:eastAsia="zh-CN"/>
        </w:rPr>
        <w:t>按</w:t>
      </w:r>
      <w:r>
        <w:rPr>
          <w:rFonts w:ascii="宋体" w:hAnsi="宋体"/>
          <w:sz w:val="24"/>
          <w:highlight w:val="none"/>
        </w:rPr>
        <w:t>应提供而未</w:t>
      </w:r>
      <w:r>
        <w:rPr>
          <w:rFonts w:hint="eastAsia" w:ascii="宋体" w:hAnsi="宋体"/>
          <w:sz w:val="24"/>
          <w:highlight w:val="none"/>
        </w:rPr>
        <w:t>提供</w:t>
      </w:r>
      <w:r>
        <w:rPr>
          <w:rFonts w:ascii="宋体" w:hAnsi="宋体"/>
          <w:sz w:val="24"/>
          <w:highlight w:val="none"/>
        </w:rPr>
        <w:t>服务价格的</w:t>
      </w:r>
      <w:r>
        <w:rPr>
          <w:rFonts w:hint="eastAsia" w:ascii="宋体" w:hAnsi="宋体"/>
          <w:sz w:val="24"/>
          <w:highlight w:val="none"/>
          <w:u w:val="single"/>
        </w:rPr>
        <w:t>0.0</w:t>
      </w:r>
      <w:r>
        <w:rPr>
          <w:rFonts w:hint="eastAsia" w:ascii="宋体" w:hAnsi="宋体"/>
          <w:sz w:val="24"/>
          <w:highlight w:val="none"/>
          <w:u w:val="single"/>
          <w:lang w:val="en-US" w:eastAsia="zh-CN"/>
        </w:rPr>
        <w:t>1</w:t>
      </w:r>
      <w:r>
        <w:rPr>
          <w:rFonts w:ascii="宋体" w:hAnsi="宋体"/>
          <w:sz w:val="24"/>
          <w:highlight w:val="none"/>
          <w:u w:val="single"/>
        </w:rPr>
        <w:t xml:space="preserve"> </w:t>
      </w:r>
      <w:r>
        <w:rPr>
          <w:rFonts w:ascii="宋体" w:hAnsi="宋体"/>
          <w:sz w:val="24"/>
          <w:highlight w:val="none"/>
        </w:rPr>
        <w:t>%计算</w:t>
      </w:r>
      <w:r>
        <w:rPr>
          <w:rFonts w:hint="eastAsia" w:ascii="宋体" w:hAnsi="宋体"/>
          <w:sz w:val="24"/>
          <w:highlight w:val="none"/>
        </w:rPr>
        <w:t>，</w:t>
      </w:r>
      <w:r>
        <w:rPr>
          <w:rFonts w:hint="eastAsia" w:ascii="宋体" w:hAnsi="宋体"/>
          <w:sz w:val="24"/>
          <w:highlight w:val="none"/>
          <w:lang w:val="en-US" w:eastAsia="zh-CN"/>
        </w:rPr>
        <w:t>违约金的</w:t>
      </w:r>
      <w:r>
        <w:rPr>
          <w:rFonts w:ascii="宋体" w:hAnsi="宋体"/>
          <w:sz w:val="24"/>
          <w:highlight w:val="none"/>
        </w:rPr>
        <w:t>最高限额为</w:t>
      </w:r>
      <w:r>
        <w:rPr>
          <w:rFonts w:hint="eastAsia" w:ascii="宋体" w:hAnsi="宋体"/>
          <w:sz w:val="24"/>
          <w:highlight w:val="none"/>
          <w:lang w:val="en-US" w:eastAsia="zh-CN"/>
        </w:rPr>
        <w:t>应提供而未提供服务价格</w:t>
      </w:r>
      <w:r>
        <w:rPr>
          <w:rFonts w:ascii="宋体" w:hAnsi="宋体"/>
          <w:sz w:val="24"/>
          <w:highlight w:val="none"/>
        </w:rPr>
        <w:t>的</w:t>
      </w:r>
      <w:r>
        <w:rPr>
          <w:rFonts w:ascii="宋体" w:hAnsi="宋体"/>
          <w:sz w:val="24"/>
          <w:highlight w:val="none"/>
          <w:u w:val="single"/>
        </w:rPr>
        <w:t xml:space="preserve">  20   </w:t>
      </w:r>
      <w:r>
        <w:rPr>
          <w:rFonts w:ascii="宋体" w:hAnsi="宋体"/>
          <w:sz w:val="24"/>
          <w:highlight w:val="none"/>
        </w:rPr>
        <w:t>%</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w:t>
      </w:r>
      <w:r>
        <w:rPr>
          <w:rFonts w:ascii="宋体" w:hAnsi="宋体"/>
          <w:sz w:val="24"/>
          <w:highlight w:val="none"/>
        </w:rPr>
        <w:t>的违约金计算数额达到前述最高限额之日</w:t>
      </w:r>
      <w:r>
        <w:rPr>
          <w:rFonts w:hint="eastAsia" w:ascii="宋体" w:hAnsi="宋体"/>
          <w:sz w:val="24"/>
          <w:highlight w:val="none"/>
          <w:lang w:val="en-US" w:eastAsia="zh-CN"/>
        </w:rPr>
        <w:t>时</w:t>
      </w:r>
      <w:r>
        <w:rPr>
          <w:rFonts w:hint="eastAsia" w:ascii="宋体" w:hAnsi="宋体"/>
          <w:sz w:val="24"/>
          <w:highlight w:val="none"/>
        </w:rPr>
        <w:t>，</w:t>
      </w:r>
      <w:r>
        <w:rPr>
          <w:rFonts w:ascii="宋体" w:hAnsi="宋体"/>
          <w:sz w:val="24"/>
          <w:highlight w:val="none"/>
        </w:rPr>
        <w:t>甲方有权在要求乙方支付违约金的同时</w:t>
      </w:r>
      <w:r>
        <w:rPr>
          <w:rFonts w:hint="eastAsia" w:ascii="宋体" w:hAnsi="宋体"/>
          <w:sz w:val="24"/>
          <w:highlight w:val="none"/>
        </w:rPr>
        <w:t>，</w:t>
      </w:r>
      <w:r>
        <w:rPr>
          <w:rFonts w:hint="eastAsia" w:ascii="宋体" w:hAnsi="宋体"/>
          <w:sz w:val="24"/>
          <w:highlight w:val="none"/>
          <w:lang w:val="en-US" w:eastAsia="zh-CN"/>
        </w:rPr>
        <w:t>有权</w:t>
      </w:r>
      <w:r>
        <w:rPr>
          <w:rFonts w:ascii="宋体" w:hAnsi="宋体"/>
          <w:sz w:val="24"/>
          <w:highlight w:val="none"/>
        </w:rPr>
        <w:t>解除本合同</w:t>
      </w:r>
      <w:r>
        <w:rPr>
          <w:rFonts w:hint="eastAsia" w:ascii="宋体" w:hAnsi="宋体"/>
          <w:sz w:val="24"/>
          <w:highlight w:val="none"/>
        </w:rPr>
        <w:t>；</w:t>
      </w:r>
    </w:p>
    <w:p>
      <w:pPr>
        <w:pStyle w:val="631"/>
        <w:rPr>
          <w:b/>
          <w:bCs/>
          <w:highlight w:val="none"/>
        </w:rPr>
      </w:pPr>
      <w:r>
        <w:rPr>
          <w:rFonts w:hint="eastAsia"/>
          <w:highlight w:val="none"/>
        </w:rPr>
        <w:t>1.8.2服务中涉及的货物，除不可抗力外，如果乙方没有按照本合同约定的期限、地点和方式交付货物，那么甲方可要求乙方支付违约金，违约金</w:t>
      </w:r>
      <w:r>
        <w:rPr>
          <w:rFonts w:hint="eastAsia"/>
          <w:highlight w:val="none"/>
          <w:lang w:val="en-US" w:eastAsia="zh-CN"/>
        </w:rPr>
        <w:t>为</w:t>
      </w:r>
      <w:r>
        <w:rPr>
          <w:rFonts w:hint="eastAsia"/>
          <w:highlight w:val="none"/>
        </w:rPr>
        <w:t>每迟延交付货物一日</w:t>
      </w:r>
      <w:r>
        <w:rPr>
          <w:rFonts w:hint="eastAsia"/>
          <w:highlight w:val="none"/>
          <w:lang w:val="en-US" w:eastAsia="zh-CN"/>
        </w:rPr>
        <w:t>按</w:t>
      </w:r>
      <w:r>
        <w:rPr>
          <w:rFonts w:hint="eastAsia"/>
          <w:highlight w:val="none"/>
        </w:rPr>
        <w:t>应交付而未交付货物价格的</w:t>
      </w:r>
      <w:r>
        <w:rPr>
          <w:rFonts w:hint="eastAsia"/>
          <w:highlight w:val="none"/>
          <w:u w:val="single"/>
        </w:rPr>
        <w:t xml:space="preserve">  0.0</w:t>
      </w:r>
      <w:r>
        <w:rPr>
          <w:rFonts w:hint="eastAsia"/>
          <w:highlight w:val="none"/>
          <w:u w:val="single"/>
          <w:lang w:val="en-US" w:eastAsia="zh-CN"/>
        </w:rPr>
        <w:t>1</w:t>
      </w:r>
      <w:r>
        <w:rPr>
          <w:rFonts w:hint="eastAsia"/>
          <w:highlight w:val="none"/>
          <w:u w:val="single"/>
        </w:rPr>
        <w:t xml:space="preserve">   </w:t>
      </w:r>
      <w:r>
        <w:rPr>
          <w:rFonts w:hint="eastAsia"/>
          <w:highlight w:val="none"/>
        </w:rPr>
        <w:t>%计算，</w:t>
      </w:r>
      <w:r>
        <w:rPr>
          <w:rFonts w:hint="eastAsia" w:ascii="宋体" w:hAnsi="宋体"/>
          <w:sz w:val="24"/>
          <w:highlight w:val="none"/>
          <w:lang w:val="en-US" w:eastAsia="zh-CN"/>
        </w:rPr>
        <w:t>违约金的</w:t>
      </w:r>
      <w:r>
        <w:rPr>
          <w:rFonts w:hint="eastAsia"/>
          <w:highlight w:val="none"/>
        </w:rPr>
        <w:t>最高限额为本合同总价的</w:t>
      </w:r>
      <w:r>
        <w:rPr>
          <w:rFonts w:hint="eastAsia"/>
          <w:highlight w:val="none"/>
          <w:u w:val="single"/>
        </w:rPr>
        <w:t xml:space="preserve">  20  </w:t>
      </w:r>
      <w:r>
        <w:rPr>
          <w:rFonts w:hint="eastAsia"/>
          <w:highlight w:val="none"/>
        </w:rPr>
        <w:t>%；迟延交付货物的违约金计算数额达到前述最高限额之日</w:t>
      </w:r>
      <w:r>
        <w:rPr>
          <w:rFonts w:hint="eastAsia"/>
          <w:highlight w:val="none"/>
          <w:lang w:val="en-US" w:eastAsia="zh-CN"/>
        </w:rPr>
        <w:t>时</w:t>
      </w:r>
      <w:r>
        <w:rPr>
          <w:rFonts w:hint="eastAsia"/>
          <w:highlight w:val="none"/>
        </w:rPr>
        <w:t>，甲方有权在要求乙方支付违约金的同时，</w:t>
      </w:r>
      <w:r>
        <w:rPr>
          <w:rFonts w:hint="eastAsia" w:ascii="宋体" w:hAnsi="宋体"/>
          <w:sz w:val="24"/>
          <w:highlight w:val="none"/>
          <w:lang w:val="en-US" w:eastAsia="zh-CN"/>
        </w:rPr>
        <w:t>有权</w:t>
      </w:r>
      <w:r>
        <w:rPr>
          <w:rFonts w:hint="eastAsia"/>
          <w:highlight w:val="none"/>
        </w:rPr>
        <w:t>解除本合同；</w:t>
      </w:r>
    </w:p>
    <w:p>
      <w:pPr>
        <w:spacing w:line="360" w:lineRule="auto"/>
        <w:ind w:firstLine="480" w:firstLineChars="200"/>
        <w:rPr>
          <w:rFonts w:ascii="宋体" w:hAnsi="宋体"/>
          <w:sz w:val="24"/>
          <w:highlight w:val="none"/>
        </w:rPr>
      </w:pPr>
      <w:bookmarkStart w:id="117" w:name="_Toc26807"/>
      <w:bookmarkStart w:id="118" w:name="_Toc9497"/>
      <w:bookmarkStart w:id="119" w:name="_Toc30329"/>
      <w:bookmarkStart w:id="120" w:name="_Toc18683"/>
      <w:bookmarkStart w:id="121" w:name="_Toc32454"/>
      <w:r>
        <w:rPr>
          <w:rFonts w:ascii="宋体" w:hAnsi="宋体"/>
          <w:sz w:val="24"/>
          <w:highlight w:val="none"/>
        </w:rPr>
        <w:t>1.</w:t>
      </w:r>
      <w:r>
        <w:rPr>
          <w:rFonts w:hint="eastAsia" w:ascii="宋体" w:hAnsi="宋体"/>
          <w:sz w:val="24"/>
          <w:highlight w:val="none"/>
        </w:rPr>
        <w:t>8</w:t>
      </w:r>
      <w:r>
        <w:rPr>
          <w:rFonts w:ascii="宋体" w:hAnsi="宋体"/>
          <w:sz w:val="24"/>
          <w:highlight w:val="none"/>
        </w:rPr>
        <w:t>.</w:t>
      </w:r>
      <w:r>
        <w:rPr>
          <w:rFonts w:hint="eastAsia" w:ascii="宋体" w:hAnsi="宋体"/>
          <w:sz w:val="24"/>
          <w:highlight w:val="none"/>
        </w:rPr>
        <w:t>3</w:t>
      </w:r>
      <w:r>
        <w:rPr>
          <w:rFonts w:hint="eastAsia" w:ascii="宋体" w:hAnsi="宋体" w:cs="宋体"/>
          <w:sz w:val="24"/>
          <w:highlight w:val="none"/>
        </w:rPr>
        <w:t>除不可抗力外，如果甲方没有按照本合同约定的付款方式付款，那么乙方可要求甲方支付违约金，违约金每迟延付款一日</w:t>
      </w:r>
      <w:r>
        <w:rPr>
          <w:rFonts w:hint="eastAsia" w:ascii="宋体" w:hAnsi="宋体" w:cs="宋体"/>
          <w:sz w:val="24"/>
          <w:highlight w:val="none"/>
          <w:lang w:val="en-US" w:eastAsia="zh-CN"/>
        </w:rPr>
        <w:t>按</w:t>
      </w:r>
      <w:r>
        <w:rPr>
          <w:rFonts w:hint="eastAsia" w:ascii="宋体" w:hAnsi="宋体" w:cs="宋体"/>
          <w:sz w:val="24"/>
          <w:highlight w:val="none"/>
        </w:rPr>
        <w:t>应付而未付款的</w:t>
      </w:r>
      <w:r>
        <w:rPr>
          <w:rFonts w:hint="eastAsia" w:ascii="宋体" w:hAnsi="宋体" w:cs="宋体"/>
          <w:sz w:val="24"/>
          <w:highlight w:val="none"/>
          <w:u w:val="single"/>
        </w:rPr>
        <w:t xml:space="preserve">   0.0</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%计算，</w:t>
      </w:r>
      <w:r>
        <w:rPr>
          <w:rFonts w:hint="eastAsia" w:ascii="宋体" w:hAnsi="宋体" w:cs="宋体"/>
          <w:sz w:val="24"/>
          <w:highlight w:val="none"/>
          <w:lang w:val="en-US" w:eastAsia="zh-CN"/>
        </w:rPr>
        <w:t>违约金的</w:t>
      </w:r>
      <w:r>
        <w:rPr>
          <w:rFonts w:hint="eastAsia" w:ascii="宋体" w:hAnsi="宋体" w:cs="宋体"/>
          <w:sz w:val="24"/>
          <w:highlight w:val="none"/>
        </w:rPr>
        <w:t>最高限额为</w:t>
      </w:r>
      <w:r>
        <w:rPr>
          <w:rFonts w:hint="eastAsia" w:ascii="宋体" w:hAnsi="宋体" w:cs="宋体"/>
          <w:sz w:val="24"/>
          <w:highlight w:val="none"/>
          <w:lang w:val="en-US" w:eastAsia="zh-CN"/>
        </w:rPr>
        <w:t>应付而未付款总额</w:t>
      </w:r>
      <w:r>
        <w:rPr>
          <w:rFonts w:hint="eastAsia" w:ascii="宋体" w:hAnsi="宋体" w:cs="宋体"/>
          <w:sz w:val="24"/>
          <w:highlight w:val="none"/>
        </w:rPr>
        <w:t>的</w:t>
      </w:r>
      <w:r>
        <w:rPr>
          <w:rFonts w:hint="eastAsia" w:ascii="宋体" w:hAnsi="宋体" w:cs="宋体"/>
          <w:sz w:val="24"/>
          <w:highlight w:val="none"/>
          <w:u w:val="single"/>
        </w:rPr>
        <w:t xml:space="preserve">   20   </w:t>
      </w:r>
      <w:r>
        <w:rPr>
          <w:rFonts w:hint="eastAsia" w:ascii="宋体" w:hAnsi="宋体" w:cs="宋体"/>
          <w:sz w:val="24"/>
          <w:highlight w:val="none"/>
        </w:rPr>
        <w:t>%；迟延付款的违约金计算数额达到前述最高限额之日起，乙方有权在要求甲方支付违约金的同时，</w:t>
      </w:r>
      <w:r>
        <w:rPr>
          <w:rFonts w:hint="eastAsia" w:ascii="宋体" w:hAnsi="宋体" w:cs="宋体"/>
          <w:sz w:val="24"/>
          <w:highlight w:val="none"/>
          <w:lang w:val="en-US" w:eastAsia="zh-CN"/>
        </w:rPr>
        <w:t>有权</w:t>
      </w:r>
      <w:r>
        <w:rPr>
          <w:rFonts w:hint="eastAsia" w:ascii="宋体" w:hAnsi="宋体" w:cs="宋体"/>
          <w:sz w:val="24"/>
          <w:highlight w:val="none"/>
        </w:rPr>
        <w:t>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1.8.4 除不可抗力外，任何一方未能履行本合同约定义务，经</w:t>
      </w:r>
      <w:r>
        <w:rPr>
          <w:rFonts w:hint="eastAsia" w:ascii="宋体" w:hAnsi="宋体" w:cs="宋体"/>
          <w:sz w:val="24"/>
          <w:highlight w:val="none"/>
          <w:lang w:val="en-US" w:eastAsia="zh-CN"/>
        </w:rPr>
        <w:t>守约方</w:t>
      </w:r>
      <w:r>
        <w:rPr>
          <w:rFonts w:hint="eastAsia" w:ascii="宋体" w:hAnsi="宋体" w:cs="宋体"/>
          <w:sz w:val="24"/>
          <w:highlight w:val="none"/>
        </w:rPr>
        <w:t>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w:t>
      </w:r>
      <w:r>
        <w:rPr>
          <w:rFonts w:hint="eastAsia" w:ascii="宋体" w:hAnsi="宋体" w:cs="宋体"/>
          <w:sz w:val="24"/>
          <w:highlight w:val="none"/>
          <w:lang w:val="en-US" w:eastAsia="zh-CN"/>
        </w:rPr>
        <w:t>有权</w:t>
      </w:r>
      <w:r>
        <w:rPr>
          <w:rFonts w:hint="eastAsia" w:ascii="宋体" w:hAnsi="宋体" w:cs="宋体"/>
          <w:sz w:val="24"/>
          <w:highlight w:val="none"/>
        </w:rPr>
        <w:t>解除本合同</w:t>
      </w:r>
      <w:r>
        <w:rPr>
          <w:rFonts w:hint="eastAsia" w:ascii="宋体" w:hAnsi="宋体" w:cs="宋体"/>
          <w:sz w:val="24"/>
          <w:highlight w:val="none"/>
          <w:lang w:val="en-US" w:eastAsia="zh-CN"/>
        </w:rPr>
        <w:t>和主张赔偿损失</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1.8.5 除前述约定外，任何一方未能履行本合同约定的义务，对方当事人均有权要求</w:t>
      </w:r>
      <w:r>
        <w:rPr>
          <w:rFonts w:hint="eastAsia" w:ascii="宋体" w:hAnsi="宋体" w:cs="宋体"/>
          <w:sz w:val="24"/>
          <w:highlight w:val="none"/>
          <w:lang w:val="en-US" w:eastAsia="zh-CN"/>
        </w:rPr>
        <w:t>违约方</w:t>
      </w:r>
      <w:r>
        <w:rPr>
          <w:rFonts w:hint="eastAsia" w:ascii="宋体" w:hAnsi="宋体" w:cs="宋体"/>
          <w:sz w:val="24"/>
          <w:highlight w:val="none"/>
        </w:rPr>
        <w:t>继续履行、采取补救措施</w:t>
      </w:r>
      <w:r>
        <w:rPr>
          <w:rFonts w:hint="eastAsia" w:ascii="宋体" w:hAnsi="宋体" w:cs="宋体"/>
          <w:sz w:val="24"/>
          <w:highlight w:val="none"/>
          <w:lang w:val="en-US" w:eastAsia="zh-CN"/>
        </w:rPr>
        <w:t>和</w:t>
      </w:r>
      <w:r>
        <w:rPr>
          <w:rFonts w:hint="eastAsia" w:ascii="宋体" w:hAnsi="宋体" w:cs="宋体"/>
          <w:sz w:val="24"/>
          <w:highlight w:val="none"/>
        </w:rPr>
        <w:t>赔偿损失</w:t>
      </w:r>
      <w:r>
        <w:rPr>
          <w:rFonts w:hint="eastAsia" w:ascii="宋体" w:hAnsi="宋体" w:cs="宋体"/>
          <w:sz w:val="24"/>
          <w:highlight w:val="none"/>
          <w:lang w:eastAsia="zh-CN"/>
        </w:rPr>
        <w:t>(损失包括但不限于</w:t>
      </w:r>
      <w:r>
        <w:rPr>
          <w:rFonts w:hint="eastAsia" w:ascii="宋体" w:hAnsi="宋体" w:cs="宋体"/>
          <w:sz w:val="24"/>
          <w:highlight w:val="none"/>
          <w:lang w:val="en-US" w:eastAsia="zh-CN"/>
        </w:rPr>
        <w:t>违约</w:t>
      </w:r>
      <w:r>
        <w:rPr>
          <w:rFonts w:hint="eastAsia" w:ascii="宋体" w:hAnsi="宋体" w:cs="宋体"/>
          <w:sz w:val="24"/>
          <w:highlight w:val="none"/>
          <w:lang w:eastAsia="zh-CN"/>
        </w:rPr>
        <w:t>金、为实现债权而产生的案件受理费、司法鉴定费、聘</w:t>
      </w:r>
      <w:r>
        <w:rPr>
          <w:rFonts w:hint="eastAsia" w:ascii="宋体" w:hAnsi="宋体" w:cs="宋体"/>
          <w:sz w:val="24"/>
          <w:highlight w:val="none"/>
          <w:lang w:val="en-US" w:eastAsia="zh-CN"/>
        </w:rPr>
        <w:t>请</w:t>
      </w:r>
      <w:r>
        <w:rPr>
          <w:rFonts w:hint="eastAsia" w:ascii="宋体" w:hAnsi="宋体" w:cs="宋体"/>
          <w:sz w:val="24"/>
          <w:highlight w:val="none"/>
          <w:lang w:eastAsia="zh-CN"/>
        </w:rPr>
        <w:t>律师的代理费等)</w:t>
      </w:r>
      <w:r>
        <w:rPr>
          <w:rFonts w:hint="eastAsia" w:ascii="宋体" w:hAnsi="宋体" w:cs="宋体"/>
          <w:sz w:val="24"/>
          <w:highlight w:val="none"/>
        </w:rPr>
        <w:t>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highlight w:val="none"/>
        </w:rPr>
      </w:pPr>
      <w:r>
        <w:rPr>
          <w:rFonts w:hint="eastAsia" w:ascii="宋体" w:hAnsi="宋体" w:cs="宋体"/>
          <w:sz w:val="24"/>
          <w:highlight w:val="none"/>
        </w:rPr>
        <w:t>1.8.7违约责任</w:t>
      </w:r>
      <w:r>
        <w:rPr>
          <w:rFonts w:hint="eastAsia" w:ascii="宋体" w:hAnsi="宋体" w:cs="宋体"/>
          <w:b/>
          <w:sz w:val="24"/>
          <w:highlight w:val="none"/>
          <w:u w:val="single"/>
        </w:rPr>
        <w:t>合同专用条款</w:t>
      </w:r>
      <w:r>
        <w:rPr>
          <w:rFonts w:hint="eastAsia" w:ascii="宋体" w:hAnsi="宋体" w:cs="宋体"/>
          <w:sz w:val="24"/>
          <w:highlight w:val="none"/>
        </w:rPr>
        <w:t>另有约定的，从其约定。</w:t>
      </w:r>
    </w:p>
    <w:bookmarkEnd w:id="117"/>
    <w:bookmarkEnd w:id="118"/>
    <w:bookmarkEnd w:id="119"/>
    <w:bookmarkEnd w:id="120"/>
    <w:bookmarkEnd w:id="121"/>
    <w:p>
      <w:pPr>
        <w:spacing w:line="360" w:lineRule="auto"/>
        <w:ind w:firstLine="482" w:firstLineChars="200"/>
        <w:rPr>
          <w:rFonts w:ascii="宋体" w:hAnsi="宋体" w:cs="宋体"/>
          <w:b/>
          <w:sz w:val="24"/>
          <w:highlight w:val="none"/>
        </w:rPr>
      </w:pPr>
      <w:r>
        <w:rPr>
          <w:rFonts w:hint="eastAsia" w:ascii="宋体" w:hAnsi="宋体" w:cs="宋体"/>
          <w:b/>
          <w:sz w:val="24"/>
          <w:highlight w:val="none"/>
        </w:rPr>
        <w:t>1.9合同争议的解决</w:t>
      </w:r>
    </w:p>
    <w:p>
      <w:pPr>
        <w:spacing w:line="360" w:lineRule="auto"/>
        <w:ind w:left="-61" w:leftChars="-29" w:right="-420" w:rightChars="-200" w:firstLine="240" w:firstLineChars="100"/>
        <w:rPr>
          <w:rFonts w:hint="default" w:ascii="宋体" w:hAnsi="宋体" w:eastAsia="宋体" w:cs="宋体"/>
          <w:sz w:val="24"/>
          <w:highlight w:val="none"/>
          <w:lang w:val="en-US" w:eastAsia="zh-CN"/>
        </w:rPr>
      </w:pPr>
      <w:r>
        <w:rPr>
          <w:rFonts w:hint="eastAsia" w:ascii="宋体" w:hAnsi="宋体" w:cs="宋体"/>
          <w:sz w:val="24"/>
          <w:highlight w:val="none"/>
        </w:rPr>
        <w:t xml:space="preserve">  本合同履行过程中发生的任何争议，双方当事人均可通过和解或者调解解决；不愿和解、调解或者和解、调解不成的，</w:t>
      </w:r>
      <w:r>
        <w:rPr>
          <w:rFonts w:hint="eastAsia" w:ascii="宋体" w:hAnsi="宋体" w:cs="宋体"/>
          <w:sz w:val="24"/>
          <w:highlight w:val="none"/>
          <w:lang w:val="en-US" w:eastAsia="zh-CN"/>
        </w:rPr>
        <w:t>任何一方均可向北海仲裁委员会申请仲裁，并遵守该仲裁委的仲裁规则。</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2.0 合同生效</w:t>
      </w:r>
    </w:p>
    <w:p>
      <w:pPr>
        <w:spacing w:line="360" w:lineRule="auto"/>
        <w:ind w:firstLine="480" w:firstLineChars="200"/>
        <w:rPr>
          <w:rFonts w:ascii="宋体" w:hAnsi="宋体" w:cs="宋体"/>
          <w:b/>
          <w:sz w:val="24"/>
          <w:highlight w:val="none"/>
        </w:rPr>
      </w:pPr>
      <w:r>
        <w:rPr>
          <w:rFonts w:hint="eastAsia" w:ascii="宋体" w:hAnsi="宋体" w:cs="宋体"/>
          <w:sz w:val="24"/>
          <w:highlight w:val="none"/>
        </w:rPr>
        <w:t>本合同自双方当事人盖章签字时生效。</w:t>
      </w:r>
    </w:p>
    <w:p>
      <w:pPr>
        <w:autoSpaceDE w:val="0"/>
        <w:autoSpaceDN w:val="0"/>
        <w:spacing w:line="360" w:lineRule="auto"/>
        <w:rPr>
          <w:rFonts w:ascii="宋体" w:hAnsi="宋体"/>
          <w:sz w:val="24"/>
          <w:highlight w:val="none"/>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甲方（采购人</w:t>
            </w:r>
            <w:r>
              <w:rPr>
                <w:rFonts w:hint="eastAsia" w:ascii="宋体" w:hAnsi="宋体"/>
                <w:sz w:val="24"/>
                <w:highlight w:val="none"/>
              </w:rPr>
              <w:t>、受采购人委托签订合同的单位或</w:t>
            </w:r>
            <w:r>
              <w:rPr>
                <w:rFonts w:hint="eastAsia" w:ascii="Calibri" w:hAnsi="Calibri"/>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法定代表人</w:t>
            </w:r>
          </w:p>
          <w:p>
            <w:pPr>
              <w:snapToGrid w:val="0"/>
              <w:spacing w:line="360" w:lineRule="auto"/>
              <w:ind w:firstLine="115" w:firstLineChars="48"/>
              <w:jc w:val="center"/>
              <w:rPr>
                <w:rFonts w:ascii="Calibri" w:hAnsi="Calibri"/>
                <w:sz w:val="24"/>
                <w:highlight w:val="none"/>
              </w:rPr>
            </w:pPr>
            <w:r>
              <w:rPr>
                <w:rFonts w:hint="eastAsia" w:ascii="Calibri" w:hAnsi="Calibri"/>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法定代表人</w:t>
            </w:r>
          </w:p>
          <w:p>
            <w:pPr>
              <w:snapToGrid w:val="0"/>
              <w:spacing w:line="360" w:lineRule="auto"/>
              <w:jc w:val="center"/>
              <w:rPr>
                <w:rFonts w:ascii="Calibri" w:hAnsi="Calibri"/>
                <w:sz w:val="24"/>
                <w:highlight w:val="none"/>
              </w:rPr>
            </w:pPr>
            <w:r>
              <w:rPr>
                <w:rFonts w:hint="eastAsia" w:ascii="Calibri" w:hAnsi="Calibri"/>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住</w:t>
            </w:r>
            <w:r>
              <w:rPr>
                <w:rFonts w:ascii="Calibri" w:hAnsi="Calibri"/>
                <w:sz w:val="24"/>
                <w:highlight w:val="none"/>
              </w:rPr>
              <w:t xml:space="preserve">  </w:t>
            </w:r>
            <w:r>
              <w:rPr>
                <w:rFonts w:hint="eastAsia" w:ascii="Calibri" w:hAnsi="Calibri"/>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住</w:t>
            </w:r>
            <w:r>
              <w:rPr>
                <w:rFonts w:ascii="Calibri" w:hAnsi="Calibri"/>
                <w:sz w:val="24"/>
                <w:highlight w:val="none"/>
              </w:rPr>
              <w:t xml:space="preserve">  </w:t>
            </w:r>
            <w:r>
              <w:rPr>
                <w:rFonts w:hint="eastAsia" w:ascii="Calibri" w:hAnsi="Calibri"/>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联</w:t>
            </w:r>
            <w:r>
              <w:rPr>
                <w:rFonts w:ascii="Calibri" w:hAnsi="Calibri"/>
                <w:sz w:val="24"/>
                <w:highlight w:val="none"/>
              </w:rPr>
              <w:t xml:space="preserve"> </w:t>
            </w:r>
            <w:r>
              <w:rPr>
                <w:rFonts w:hint="eastAsia" w:ascii="Calibri" w:hAnsi="Calibri"/>
                <w:sz w:val="24"/>
                <w:highlight w:val="none"/>
              </w:rPr>
              <w:t>系</w:t>
            </w:r>
            <w:r>
              <w:rPr>
                <w:rFonts w:ascii="Calibri" w:hAnsi="Calibri"/>
                <w:sz w:val="24"/>
                <w:highlight w:val="none"/>
              </w:rPr>
              <w:t xml:space="preserve"> </w:t>
            </w:r>
            <w:r>
              <w:rPr>
                <w:rFonts w:hint="eastAsia" w:ascii="Calibri" w:hAnsi="Calibri"/>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联</w:t>
            </w:r>
            <w:r>
              <w:rPr>
                <w:rFonts w:ascii="Calibri" w:hAnsi="Calibri"/>
                <w:sz w:val="24"/>
                <w:highlight w:val="none"/>
              </w:rPr>
              <w:t xml:space="preserve"> </w:t>
            </w:r>
            <w:r>
              <w:rPr>
                <w:rFonts w:hint="eastAsia" w:ascii="Calibri" w:hAnsi="Calibri"/>
                <w:sz w:val="24"/>
                <w:highlight w:val="none"/>
              </w:rPr>
              <w:t>系</w:t>
            </w:r>
            <w:r>
              <w:rPr>
                <w:rFonts w:ascii="Calibri" w:hAnsi="Calibri"/>
                <w:sz w:val="24"/>
                <w:highlight w:val="none"/>
              </w:rPr>
              <w:t xml:space="preserve"> </w:t>
            </w:r>
            <w:r>
              <w:rPr>
                <w:rFonts w:hint="eastAsia" w:ascii="Calibri" w:hAnsi="Calibri"/>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highlight w:val="none"/>
              </w:rPr>
            </w:pPr>
            <w:r>
              <w:rPr>
                <w:rFonts w:hint="eastAsia" w:ascii="Calibri" w:hAnsi="Calibri"/>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highlight w:val="none"/>
              </w:rPr>
            </w:pPr>
            <w:r>
              <w:rPr>
                <w:rFonts w:hint="eastAsia" w:ascii="宋体" w:hAnsi="宋体"/>
                <w:sz w:val="24"/>
                <w:highlight w:val="none"/>
              </w:rPr>
              <w:t>注：涉及联合体或其他合同主体的信息应按上表格式加列。</w:t>
            </w:r>
          </w:p>
        </w:tc>
      </w:tr>
    </w:tbl>
    <w:p>
      <w:pPr>
        <w:widowControl/>
        <w:spacing w:line="360" w:lineRule="auto"/>
        <w:jc w:val="left"/>
        <w:rPr>
          <w:rFonts w:ascii="宋体" w:hAnsi="宋体"/>
          <w:b/>
          <w:sz w:val="24"/>
          <w:highlight w:val="none"/>
        </w:rPr>
      </w:pPr>
    </w:p>
    <w:p>
      <w:pPr>
        <w:pStyle w:val="281"/>
        <w:spacing w:after="0"/>
        <w:ind w:firstLine="482"/>
        <w:jc w:val="center"/>
        <w:outlineLvl w:val="1"/>
        <w:rPr>
          <w:rFonts w:ascii="宋体" w:hAnsi="宋体"/>
          <w:b/>
          <w:szCs w:val="24"/>
          <w:highlight w:val="none"/>
        </w:rPr>
      </w:pPr>
      <w:r>
        <w:rPr>
          <w:rFonts w:hint="eastAsia" w:ascii="宋体" w:hAnsi="宋体"/>
          <w:b/>
          <w:szCs w:val="24"/>
          <w:highlight w:val="none"/>
        </w:rPr>
        <w:t>第二节</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rPr>
          <w:rFonts w:ascii="宋体" w:hAnsi="宋体"/>
          <w:b/>
          <w:sz w:val="24"/>
          <w:highlight w:val="none"/>
        </w:rPr>
      </w:pPr>
      <w:bookmarkStart w:id="122" w:name="_Toc14021"/>
      <w:bookmarkStart w:id="123" w:name="_Toc5228"/>
      <w:bookmarkStart w:id="124" w:name="_Toc25079"/>
      <w:bookmarkStart w:id="125" w:name="_Toc19680"/>
      <w:bookmarkStart w:id="126" w:name="_Toc31297"/>
      <w:r>
        <w:rPr>
          <w:rFonts w:ascii="宋体" w:hAnsi="宋体"/>
          <w:b/>
          <w:sz w:val="24"/>
          <w:highlight w:val="none"/>
        </w:rPr>
        <w:t>2.1 定义</w:t>
      </w:r>
      <w:bookmarkEnd w:id="122"/>
      <w:bookmarkEnd w:id="123"/>
      <w:bookmarkEnd w:id="124"/>
      <w:bookmarkEnd w:id="125"/>
      <w:bookmarkEnd w:id="126"/>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ascii="宋体" w:hAnsi="宋体"/>
          <w:sz w:val="24"/>
          <w:highlight w:val="none"/>
        </w:rPr>
        <w:t>2.1.1 “合同”系指采购人和</w:t>
      </w:r>
      <w:r>
        <w:rPr>
          <w:rFonts w:hint="eastAsia" w:ascii="宋体" w:hAnsi="宋体" w:cs="宋体"/>
          <w:sz w:val="24"/>
          <w:highlight w:val="none"/>
        </w:rPr>
        <w:t>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ascii="宋体" w:hAnsi="宋体"/>
          <w:sz w:val="24"/>
          <w:highlight w:val="none"/>
        </w:rPr>
        <w:t>2.1.2 “合同价”系指根据合同约定，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ascii="宋体" w:hAnsi="宋体"/>
          <w:sz w:val="24"/>
          <w:highlight w:val="none"/>
        </w:rPr>
        <w:t>2.1.3 “</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ascii="宋体" w:hAnsi="宋体"/>
          <w:sz w:val="24"/>
          <w:highlight w:val="none"/>
        </w:rPr>
        <w:t>的</w:t>
      </w:r>
      <w:r>
        <w:rPr>
          <w:rFonts w:hint="eastAsia" w:ascii="宋体" w:hAnsi="宋体"/>
          <w:sz w:val="24"/>
          <w:highlight w:val="none"/>
        </w:rPr>
        <w:t>除货物和工程以外的其他政府采购对象，包括采购人自身需要的服务和向社会公众提供的公共服务。</w:t>
      </w:r>
    </w:p>
    <w:p>
      <w:pPr>
        <w:spacing w:line="360" w:lineRule="auto"/>
        <w:ind w:firstLine="480" w:firstLineChars="200"/>
        <w:rPr>
          <w:rFonts w:ascii="宋体" w:hAnsi="宋体"/>
          <w:sz w:val="24"/>
          <w:highlight w:val="none"/>
        </w:rPr>
      </w:pPr>
      <w:r>
        <w:rPr>
          <w:rFonts w:ascii="宋体" w:hAnsi="宋体"/>
          <w:sz w:val="24"/>
          <w:highlight w:val="none"/>
        </w:rPr>
        <w:t>2.1.4 “</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ascii="宋体" w:hAnsi="宋体"/>
          <w:sz w:val="24"/>
          <w:highlight w:val="none"/>
        </w:rPr>
        <w:t>2.1.5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ascii="宋体" w:hAnsi="宋体"/>
          <w:sz w:val="24"/>
          <w:highlight w:val="none"/>
        </w:rPr>
        <w:t>2.1.6 “现场”系指合同约定提供服务的地点。</w:t>
      </w:r>
    </w:p>
    <w:p>
      <w:pPr>
        <w:spacing w:line="360" w:lineRule="auto"/>
        <w:ind w:firstLine="482" w:firstLineChars="200"/>
        <w:rPr>
          <w:rFonts w:ascii="宋体" w:hAnsi="宋体"/>
          <w:b/>
          <w:sz w:val="24"/>
          <w:highlight w:val="none"/>
        </w:rPr>
      </w:pPr>
      <w:bookmarkStart w:id="127" w:name="_Toc31402"/>
      <w:bookmarkStart w:id="128" w:name="_Toc3769"/>
      <w:bookmarkStart w:id="129" w:name="_Toc23289"/>
      <w:bookmarkStart w:id="130" w:name="_Toc19539"/>
      <w:bookmarkStart w:id="131" w:name="_Toc16752"/>
      <w:r>
        <w:rPr>
          <w:rFonts w:ascii="宋体" w:hAnsi="宋体"/>
          <w:b/>
          <w:sz w:val="24"/>
          <w:highlight w:val="none"/>
        </w:rPr>
        <w:t>2.2 技术规范</w:t>
      </w:r>
      <w:bookmarkEnd w:id="127"/>
      <w:bookmarkEnd w:id="128"/>
      <w:bookmarkEnd w:id="129"/>
      <w:bookmarkEnd w:id="130"/>
      <w:bookmarkEnd w:id="131"/>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rPr>
          <w:rFonts w:ascii="宋体" w:hAnsi="宋体"/>
          <w:b/>
          <w:sz w:val="24"/>
          <w:highlight w:val="none"/>
        </w:rPr>
      </w:pPr>
      <w:bookmarkStart w:id="132" w:name="_Toc27945"/>
      <w:bookmarkStart w:id="133" w:name="_Toc13673"/>
      <w:bookmarkStart w:id="134" w:name="_Toc12412"/>
      <w:bookmarkStart w:id="135" w:name="_Toc9161"/>
      <w:bookmarkStart w:id="136" w:name="_Toc4133"/>
      <w:r>
        <w:rPr>
          <w:rFonts w:ascii="宋体" w:hAnsi="宋体"/>
          <w:b/>
          <w:sz w:val="24"/>
          <w:highlight w:val="none"/>
        </w:rPr>
        <w:t>2.3 知识产权</w:t>
      </w:r>
      <w:bookmarkEnd w:id="132"/>
      <w:bookmarkEnd w:id="133"/>
      <w:bookmarkEnd w:id="134"/>
      <w:bookmarkEnd w:id="135"/>
      <w:bookmarkEnd w:id="136"/>
    </w:p>
    <w:p>
      <w:pPr>
        <w:spacing w:line="360" w:lineRule="auto"/>
        <w:ind w:firstLine="480" w:firstLineChars="200"/>
        <w:rPr>
          <w:rFonts w:ascii="宋体" w:hAnsi="宋体"/>
          <w:sz w:val="24"/>
          <w:highlight w:val="none"/>
        </w:rPr>
      </w:pPr>
      <w:r>
        <w:rPr>
          <w:rFonts w:ascii="宋体" w:hAnsi="宋体"/>
          <w:sz w:val="24"/>
          <w:highlight w:val="none"/>
        </w:rPr>
        <w:t xml:space="preserve">2.3.1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ascii="宋体" w:hAnsi="宋体"/>
          <w:sz w:val="24"/>
          <w:highlight w:val="none"/>
        </w:rPr>
        <w:t xml:space="preserve">2.3.2 </w:t>
      </w:r>
      <w:r>
        <w:rPr>
          <w:rFonts w:hint="eastAsia" w:ascii="宋体" w:hAnsi="宋体"/>
          <w:sz w:val="24"/>
          <w:highlight w:val="none"/>
        </w:rPr>
        <w:t>合同涉及技术成果的归属和收益的分成办法的，</w:t>
      </w:r>
      <w:r>
        <w:rPr>
          <w:rFonts w:ascii="宋体" w:hAnsi="宋体"/>
          <w:sz w:val="24"/>
          <w:highlight w:val="none"/>
        </w:rPr>
        <w:t>详见</w:t>
      </w:r>
      <w:r>
        <w:rPr>
          <w:rFonts w:ascii="宋体" w:hAnsi="宋体"/>
          <w:b/>
          <w:sz w:val="24"/>
          <w:highlight w:val="none"/>
          <w:u w:val="single"/>
        </w:rPr>
        <w:t>合同专用条款</w:t>
      </w:r>
      <w:r>
        <w:rPr>
          <w:rFonts w:ascii="宋体" w:hAnsi="宋体"/>
          <w:sz w:val="24"/>
          <w:highlight w:val="none"/>
        </w:rPr>
        <w:t>。</w:t>
      </w:r>
    </w:p>
    <w:p>
      <w:pPr>
        <w:spacing w:line="360" w:lineRule="auto"/>
        <w:ind w:firstLine="482" w:firstLineChars="200"/>
        <w:rPr>
          <w:rFonts w:ascii="宋体" w:hAnsi="宋体"/>
          <w:b/>
          <w:sz w:val="24"/>
          <w:highlight w:val="none"/>
        </w:rPr>
      </w:pPr>
      <w:r>
        <w:rPr>
          <w:rFonts w:ascii="宋体" w:hAnsi="宋体"/>
          <w:b/>
          <w:sz w:val="24"/>
          <w:highlight w:val="none"/>
        </w:rPr>
        <w:t xml:space="preserve">2.4 </w:t>
      </w:r>
      <w:r>
        <w:rPr>
          <w:rFonts w:hint="eastAsia" w:ascii="宋体" w:hAnsi="宋体"/>
          <w:b/>
          <w:sz w:val="24"/>
          <w:highlight w:val="none"/>
        </w:rPr>
        <w:t>履约检查和问题反馈</w:t>
      </w:r>
    </w:p>
    <w:p>
      <w:pPr>
        <w:spacing w:line="360" w:lineRule="auto"/>
        <w:ind w:firstLine="480" w:firstLineChars="200"/>
        <w:rPr>
          <w:rFonts w:ascii="宋体" w:hAnsi="宋体"/>
          <w:sz w:val="24"/>
          <w:highlight w:val="none"/>
        </w:rPr>
      </w:pPr>
      <w:r>
        <w:rPr>
          <w:rFonts w:ascii="宋体" w:hAnsi="宋体"/>
          <w:sz w:val="24"/>
          <w:highlight w:val="none"/>
        </w:rPr>
        <w:t>2.4.1甲方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ascii="宋体" w:hAnsi="宋体"/>
          <w:sz w:val="24"/>
          <w:highlight w:val="none"/>
        </w:rPr>
        <w:t xml:space="preserve">2.4.2 </w:t>
      </w:r>
      <w:r>
        <w:rPr>
          <w:rFonts w:hint="eastAsia" w:ascii="宋体" w:hAnsi="宋体"/>
          <w:sz w:val="24"/>
          <w:highlight w:val="none"/>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sz w:val="24"/>
          <w:highlight w:val="none"/>
        </w:rPr>
      </w:pPr>
      <w:bookmarkStart w:id="137" w:name="_Toc32670"/>
      <w:bookmarkStart w:id="138" w:name="_Toc26555"/>
      <w:bookmarkStart w:id="139" w:name="_Toc31233"/>
      <w:bookmarkStart w:id="140" w:name="_Toc22011"/>
      <w:bookmarkStart w:id="141" w:name="_Toc15447"/>
      <w:r>
        <w:rPr>
          <w:rFonts w:ascii="宋体" w:hAnsi="宋体"/>
          <w:b/>
          <w:sz w:val="24"/>
          <w:highlight w:val="none"/>
        </w:rPr>
        <w:t>2.5 结算方式和付款条件</w:t>
      </w:r>
      <w:bookmarkEnd w:id="137"/>
      <w:bookmarkEnd w:id="138"/>
      <w:bookmarkEnd w:id="139"/>
      <w:bookmarkEnd w:id="140"/>
      <w:bookmarkEnd w:id="141"/>
    </w:p>
    <w:p>
      <w:pPr>
        <w:spacing w:line="360" w:lineRule="auto"/>
        <w:ind w:firstLine="480" w:firstLineChars="200"/>
        <w:rPr>
          <w:rFonts w:ascii="宋体" w:hAnsi="宋体"/>
          <w:sz w:val="24"/>
          <w:highlight w:val="none"/>
        </w:rPr>
      </w:pPr>
      <w:r>
        <w:rPr>
          <w:rFonts w:ascii="宋体" w:hAnsi="宋体"/>
          <w:sz w:val="24"/>
          <w:highlight w:val="none"/>
        </w:rPr>
        <w:t>详见</w:t>
      </w:r>
      <w:r>
        <w:rPr>
          <w:rFonts w:ascii="宋体" w:hAnsi="宋体"/>
          <w:b/>
          <w:sz w:val="24"/>
          <w:highlight w:val="none"/>
          <w:u w:val="single"/>
        </w:rPr>
        <w:t>合同专用条款</w:t>
      </w:r>
      <w:r>
        <w:rPr>
          <w:rFonts w:ascii="宋体" w:hAnsi="宋体"/>
          <w:sz w:val="24"/>
          <w:highlight w:val="none"/>
        </w:rPr>
        <w:t>。</w:t>
      </w:r>
    </w:p>
    <w:p>
      <w:pPr>
        <w:spacing w:line="360" w:lineRule="auto"/>
        <w:ind w:firstLine="482" w:firstLineChars="200"/>
        <w:rPr>
          <w:rFonts w:ascii="宋体" w:hAnsi="宋体"/>
          <w:b/>
          <w:sz w:val="24"/>
          <w:highlight w:val="none"/>
        </w:rPr>
      </w:pPr>
      <w:bookmarkStart w:id="142" w:name="_Toc13154"/>
      <w:bookmarkStart w:id="143" w:name="_Toc30507"/>
      <w:bookmarkStart w:id="144" w:name="_Toc13467"/>
      <w:bookmarkStart w:id="145" w:name="_Toc18990"/>
      <w:bookmarkStart w:id="146" w:name="_Toc16163"/>
      <w:r>
        <w:rPr>
          <w:rFonts w:ascii="宋体" w:hAnsi="宋体"/>
          <w:b/>
          <w:sz w:val="24"/>
          <w:highlight w:val="none"/>
        </w:rPr>
        <w:t>2.6 技术资料和保密义务</w:t>
      </w:r>
      <w:bookmarkEnd w:id="142"/>
      <w:bookmarkEnd w:id="143"/>
      <w:bookmarkEnd w:id="144"/>
      <w:bookmarkEnd w:id="145"/>
      <w:bookmarkEnd w:id="146"/>
    </w:p>
    <w:p>
      <w:pPr>
        <w:spacing w:line="360" w:lineRule="auto"/>
        <w:ind w:firstLine="480" w:firstLineChars="200"/>
        <w:rPr>
          <w:rFonts w:ascii="宋体" w:hAnsi="宋体"/>
          <w:sz w:val="24"/>
          <w:highlight w:val="none"/>
        </w:rPr>
      </w:pPr>
      <w:r>
        <w:rPr>
          <w:rFonts w:ascii="宋体" w:hAnsi="宋体"/>
          <w:sz w:val="24"/>
          <w:highlight w:val="none"/>
        </w:rPr>
        <w:t>2.6.1 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ascii="宋体" w:hAnsi="宋体"/>
          <w:sz w:val="24"/>
          <w:highlight w:val="none"/>
        </w:rPr>
        <w:t xml:space="preserve">2.6.2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ascii="宋体" w:hAnsi="宋体"/>
          <w:sz w:val="24"/>
          <w:highlight w:val="none"/>
        </w:rPr>
        <w:t xml:space="preserve">2.6.3 </w:t>
      </w:r>
      <w:r>
        <w:rPr>
          <w:rFonts w:hint="eastAsia" w:ascii="宋体" w:hAnsi="宋体"/>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highlight w:val="none"/>
        </w:rPr>
      </w:pPr>
      <w:bookmarkStart w:id="147" w:name="_Toc19069"/>
      <w:r>
        <w:rPr>
          <w:rFonts w:ascii="宋体" w:hAnsi="宋体"/>
          <w:b/>
          <w:sz w:val="24"/>
          <w:highlight w:val="none"/>
        </w:rPr>
        <w:t xml:space="preserve">2.7 </w:t>
      </w:r>
      <w:r>
        <w:rPr>
          <w:rFonts w:hint="eastAsia" w:ascii="宋体" w:hAnsi="宋体"/>
          <w:b/>
          <w:sz w:val="24"/>
          <w:highlight w:val="none"/>
        </w:rPr>
        <w:t>质量保证</w:t>
      </w:r>
      <w:bookmarkEnd w:id="147"/>
    </w:p>
    <w:p>
      <w:pPr>
        <w:spacing w:line="360" w:lineRule="auto"/>
        <w:ind w:firstLine="480" w:firstLineChars="200"/>
        <w:rPr>
          <w:rFonts w:ascii="宋体" w:hAnsi="宋体"/>
          <w:sz w:val="24"/>
          <w:highlight w:val="none"/>
        </w:rPr>
      </w:pPr>
      <w:r>
        <w:rPr>
          <w:rFonts w:ascii="宋体" w:hAnsi="宋体"/>
          <w:sz w:val="24"/>
          <w:highlight w:val="none"/>
        </w:rPr>
        <w:t xml:space="preserve">2.7.1 </w:t>
      </w:r>
      <w:r>
        <w:rPr>
          <w:rFonts w:hint="eastAsia" w:ascii="宋体" w:hAnsi="宋体"/>
          <w:sz w:val="24"/>
          <w:highlight w:val="none"/>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highlight w:val="none"/>
        </w:rPr>
      </w:pPr>
      <w:r>
        <w:rPr>
          <w:rFonts w:ascii="宋体" w:hAnsi="宋体"/>
          <w:sz w:val="24"/>
          <w:highlight w:val="none"/>
        </w:rPr>
        <w:t xml:space="preserve">2.7.2 </w:t>
      </w:r>
      <w:r>
        <w:rPr>
          <w:rFonts w:hint="eastAsia" w:ascii="宋体" w:hAnsi="宋体"/>
          <w:sz w:val="24"/>
          <w:highlight w:val="none"/>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highlight w:val="none"/>
        </w:rPr>
      </w:pPr>
      <w:bookmarkStart w:id="148" w:name="_Toc22267"/>
      <w:r>
        <w:rPr>
          <w:rFonts w:ascii="宋体" w:hAnsi="宋体"/>
          <w:b/>
          <w:sz w:val="24"/>
          <w:highlight w:val="none"/>
        </w:rPr>
        <w:t xml:space="preserve">2.8 </w:t>
      </w:r>
      <w:r>
        <w:rPr>
          <w:rFonts w:hint="eastAsia" w:ascii="宋体" w:hAnsi="宋体"/>
          <w:b/>
          <w:sz w:val="24"/>
          <w:highlight w:val="none"/>
        </w:rPr>
        <w:t>延迟履行</w:t>
      </w:r>
      <w:bookmarkEnd w:id="148"/>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rPr>
          <w:rFonts w:ascii="宋体" w:hAnsi="宋体"/>
          <w:b/>
          <w:sz w:val="24"/>
          <w:highlight w:val="none"/>
        </w:rPr>
      </w:pPr>
      <w:bookmarkStart w:id="149" w:name="_Toc10611"/>
      <w:r>
        <w:rPr>
          <w:rFonts w:ascii="宋体" w:hAnsi="宋体"/>
          <w:b/>
          <w:sz w:val="24"/>
          <w:highlight w:val="none"/>
        </w:rPr>
        <w:t xml:space="preserve">2.9 </w:t>
      </w:r>
      <w:r>
        <w:rPr>
          <w:rFonts w:hint="eastAsia" w:ascii="宋体" w:hAnsi="宋体"/>
          <w:b/>
          <w:sz w:val="24"/>
          <w:highlight w:val="none"/>
        </w:rPr>
        <w:t>合同变更</w:t>
      </w:r>
      <w:bookmarkEnd w:id="149"/>
    </w:p>
    <w:p>
      <w:pPr>
        <w:spacing w:line="360" w:lineRule="auto"/>
        <w:ind w:firstLine="480" w:firstLineChars="200"/>
        <w:rPr>
          <w:rFonts w:ascii="宋体" w:hAnsi="宋体"/>
          <w:sz w:val="24"/>
        </w:rPr>
      </w:pPr>
      <w:r>
        <w:rPr>
          <w:rFonts w:hint="eastAsia" w:ascii="宋体" w:hAnsi="宋体"/>
          <w:sz w:val="24"/>
          <w:highlight w:val="none"/>
        </w:rPr>
        <w:t>合同继续履行将损害国家利益和社会公共利益的，双方当事人应当以书面形式变更合同。有过</w:t>
      </w:r>
      <w:r>
        <w:rPr>
          <w:rFonts w:hint="eastAsia" w:ascii="宋体" w:hAnsi="宋体"/>
          <w:sz w:val="24"/>
        </w:rPr>
        <w:t>错的一方应当承担赔偿责任，双方当事人都有过错的，各自承担相应的责任。</w:t>
      </w:r>
    </w:p>
    <w:p>
      <w:pPr>
        <w:spacing w:line="360" w:lineRule="auto"/>
        <w:ind w:firstLine="482" w:firstLineChars="200"/>
        <w:rPr>
          <w:rFonts w:ascii="宋体" w:hAnsi="宋体"/>
          <w:b/>
          <w:sz w:val="24"/>
        </w:rPr>
      </w:pPr>
      <w:bookmarkStart w:id="150" w:name="_Toc10663"/>
      <w:bookmarkStart w:id="151" w:name="_Toc42"/>
      <w:bookmarkStart w:id="152" w:name="_Toc26689"/>
      <w:bookmarkStart w:id="153" w:name="_Toc21830"/>
      <w:bookmarkStart w:id="154" w:name="_Toc23368"/>
      <w:r>
        <w:rPr>
          <w:rFonts w:ascii="宋体" w:hAnsi="宋体"/>
          <w:b/>
          <w:sz w:val="24"/>
        </w:rPr>
        <w:t>2.10 合同转让和分包</w:t>
      </w:r>
      <w:bookmarkEnd w:id="150"/>
      <w:bookmarkEnd w:id="151"/>
      <w:bookmarkEnd w:id="152"/>
      <w:bookmarkEnd w:id="153"/>
      <w:bookmarkEnd w:id="154"/>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rPr>
          <w:rFonts w:ascii="宋体" w:hAnsi="宋体"/>
          <w:b/>
          <w:sz w:val="24"/>
        </w:rPr>
      </w:pPr>
      <w:bookmarkStart w:id="155" w:name="_Toc14371"/>
      <w:bookmarkStart w:id="156" w:name="_Toc25571"/>
      <w:bookmarkStart w:id="157" w:name="_Toc26633"/>
      <w:bookmarkStart w:id="158" w:name="_Toc4720"/>
      <w:bookmarkStart w:id="159" w:name="_Toc32494"/>
      <w:r>
        <w:rPr>
          <w:rFonts w:ascii="宋体" w:hAnsi="宋体"/>
          <w:b/>
          <w:sz w:val="24"/>
        </w:rPr>
        <w:t>2.11 不可抗力</w:t>
      </w:r>
      <w:bookmarkEnd w:id="155"/>
      <w:bookmarkEnd w:id="156"/>
      <w:bookmarkEnd w:id="157"/>
      <w:bookmarkEnd w:id="158"/>
      <w:bookmarkEnd w:id="159"/>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b/>
          <w:sz w:val="24"/>
        </w:rPr>
      </w:pPr>
      <w:bookmarkStart w:id="160" w:name="_Toc3638"/>
      <w:bookmarkStart w:id="161" w:name="_Toc14115"/>
      <w:bookmarkStart w:id="162" w:name="_Toc24465"/>
      <w:bookmarkStart w:id="163" w:name="_Toc25783"/>
      <w:bookmarkStart w:id="164" w:name="_Toc23854"/>
      <w:r>
        <w:rPr>
          <w:rFonts w:ascii="宋体" w:hAnsi="宋体"/>
          <w:b/>
          <w:sz w:val="24"/>
        </w:rPr>
        <w:t>2.12 税费</w:t>
      </w:r>
      <w:bookmarkEnd w:id="160"/>
      <w:bookmarkEnd w:id="161"/>
      <w:bookmarkEnd w:id="162"/>
      <w:bookmarkEnd w:id="163"/>
      <w:bookmarkEnd w:id="164"/>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rPr>
          <w:rFonts w:ascii="宋体" w:hAnsi="宋体"/>
          <w:b/>
          <w:sz w:val="24"/>
        </w:rPr>
      </w:pPr>
      <w:bookmarkStart w:id="165" w:name="_Toc14814"/>
      <w:bookmarkStart w:id="166" w:name="_Toc30105"/>
      <w:bookmarkStart w:id="167" w:name="_Toc26883"/>
      <w:bookmarkStart w:id="168" w:name="_Toc7315"/>
      <w:bookmarkStart w:id="169" w:name="_Toc25525"/>
      <w:r>
        <w:rPr>
          <w:rFonts w:ascii="宋体" w:hAnsi="宋体"/>
          <w:b/>
          <w:sz w:val="24"/>
        </w:rPr>
        <w:t>2.13 乙方破产</w:t>
      </w:r>
      <w:bookmarkEnd w:id="165"/>
      <w:bookmarkEnd w:id="166"/>
      <w:bookmarkEnd w:id="167"/>
      <w:bookmarkEnd w:id="168"/>
      <w:bookmarkEnd w:id="169"/>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rPr>
          <w:rFonts w:ascii="宋体" w:hAnsi="宋体"/>
          <w:b/>
          <w:sz w:val="24"/>
        </w:rPr>
      </w:pPr>
      <w:bookmarkStart w:id="170" w:name="_Toc2016"/>
      <w:bookmarkStart w:id="171" w:name="_Toc1123"/>
      <w:bookmarkStart w:id="172" w:name="_Toc23323"/>
      <w:r>
        <w:rPr>
          <w:rFonts w:ascii="宋体" w:hAnsi="宋体"/>
          <w:b/>
          <w:sz w:val="24"/>
        </w:rPr>
        <w:t>2.14 合同中止、终止</w:t>
      </w:r>
      <w:bookmarkEnd w:id="170"/>
      <w:bookmarkEnd w:id="171"/>
      <w:bookmarkEnd w:id="172"/>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rPr>
      </w:pPr>
      <w:bookmarkStart w:id="173" w:name="_Toc14525"/>
      <w:bookmarkStart w:id="174" w:name="_Toc1969"/>
      <w:bookmarkStart w:id="175" w:name="_Toc17363"/>
      <w:r>
        <w:rPr>
          <w:rFonts w:ascii="宋体" w:hAnsi="宋体"/>
          <w:b/>
          <w:sz w:val="24"/>
        </w:rPr>
        <w:t>2.15 检验和验收</w:t>
      </w:r>
      <w:bookmarkEnd w:id="173"/>
      <w:bookmarkEnd w:id="174"/>
      <w:bookmarkEnd w:id="175"/>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2" w:firstLineChars="200"/>
        <w:rPr>
          <w:rFonts w:ascii="宋体" w:hAnsi="宋体"/>
          <w:b/>
          <w:sz w:val="24"/>
        </w:rPr>
      </w:pPr>
      <w:bookmarkStart w:id="176" w:name="_Toc25198"/>
      <w:bookmarkStart w:id="177" w:name="_Toc31892"/>
      <w:bookmarkStart w:id="178" w:name="_Toc9808"/>
      <w:bookmarkStart w:id="179" w:name="_Toc12666"/>
      <w:bookmarkStart w:id="180" w:name="_Toc2308"/>
      <w:r>
        <w:rPr>
          <w:rFonts w:ascii="宋体" w:hAnsi="宋体"/>
          <w:b/>
          <w:sz w:val="24"/>
        </w:rPr>
        <w:t>2.16 通知和送达</w:t>
      </w:r>
      <w:bookmarkEnd w:id="176"/>
      <w:bookmarkEnd w:id="177"/>
      <w:bookmarkEnd w:id="178"/>
      <w:bookmarkEnd w:id="179"/>
      <w:bookmarkEnd w:id="180"/>
    </w:p>
    <w:p>
      <w:pPr>
        <w:spacing w:line="360" w:lineRule="auto"/>
        <w:ind w:firstLine="480" w:firstLineChars="200"/>
        <w:rPr>
          <w:rFonts w:ascii="宋体" w:hAnsi="宋体"/>
          <w:sz w:val="24"/>
        </w:rPr>
      </w:pPr>
      <w:bookmarkStart w:id="181" w:name="_Toc27674"/>
      <w:bookmarkStart w:id="182"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81"/>
      <w:bookmarkEnd w:id="182"/>
    </w:p>
    <w:p>
      <w:pPr>
        <w:spacing w:line="360" w:lineRule="auto"/>
        <w:ind w:firstLine="482" w:firstLineChars="200"/>
        <w:rPr>
          <w:rFonts w:ascii="宋体" w:hAnsi="宋体"/>
          <w:b/>
          <w:sz w:val="24"/>
        </w:rPr>
      </w:pPr>
      <w:bookmarkStart w:id="183" w:name="_Toc12254"/>
      <w:bookmarkStart w:id="184" w:name="_Toc5063"/>
      <w:bookmarkStart w:id="185" w:name="_Toc28906"/>
      <w:bookmarkStart w:id="186" w:name="_Toc20808"/>
      <w:bookmarkStart w:id="187" w:name="_Toc27644"/>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83"/>
      <w:bookmarkEnd w:id="184"/>
      <w:bookmarkEnd w:id="185"/>
      <w:bookmarkEnd w:id="186"/>
      <w:bookmarkEnd w:id="187"/>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2" w:firstLineChars="200"/>
        <w:rPr>
          <w:rFonts w:ascii="宋体" w:hAnsi="宋体" w:cs="宋体"/>
          <w:b/>
          <w:sz w:val="24"/>
        </w:rPr>
      </w:pPr>
      <w:r>
        <w:rPr>
          <w:rFonts w:hint="eastAsia" w:ascii="宋体" w:hAnsi="宋体" w:cs="宋体"/>
          <w:b/>
          <w:sz w:val="24"/>
        </w:rPr>
        <w:t>2.18 计量单位</w:t>
      </w:r>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bookmarkStart w:id="198" w:name="_GoBack"/>
      <w:bookmarkEnd w:id="198"/>
      <w:r>
        <w:rPr>
          <w:rFonts w:hint="eastAsia" w:ascii="宋体" w:hAnsi="宋体" w:cs="宋体"/>
          <w:kern w:val="0"/>
        </w:rPr>
        <w:br w:type="page"/>
      </w:r>
      <w:r>
        <w:rPr>
          <w:rFonts w:hint="eastAsia" w:ascii="宋体" w:hAnsi="宋体" w:cs="宋体"/>
          <w:b/>
          <w:sz w:val="24"/>
        </w:rPr>
        <w:t>第三节  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4464" w:type="pct"/>
          </w:tcPr>
          <w:p>
            <w:pPr>
              <w:spacing w:line="360" w:lineRule="auto"/>
              <w:rPr>
                <w:rFonts w:ascii="宋体" w:hAnsi="宋体" w:cs="宋体"/>
                <w:sz w:val="24"/>
              </w:rPr>
            </w:pPr>
          </w:p>
        </w:tc>
      </w:tr>
    </w:tbl>
    <w:p>
      <w:pPr>
        <w:spacing w:line="360" w:lineRule="auto"/>
        <w:ind w:left="-420" w:leftChars="-200" w:right="-420" w:rightChars="-200" w:firstLine="480" w:firstLineChars="200"/>
        <w:rPr>
          <w:rFonts w:ascii="宋体" w:hAnsi="宋体" w:cs="宋体"/>
          <w:sz w:val="24"/>
        </w:rPr>
      </w:pPr>
    </w:p>
    <w:p>
      <w:pPr>
        <w:pStyle w:val="631"/>
      </w:pPr>
    </w:p>
    <w:p>
      <w:pPr>
        <w:spacing w:line="360" w:lineRule="auto"/>
        <w:jc w:val="both"/>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spacing w:line="360" w:lineRule="auto"/>
        <w:ind w:firstLine="562" w:firstLineChars="200"/>
        <w:jc w:val="center"/>
        <w:rPr>
          <w:rFonts w:asciiTheme="minorEastAsia" w:hAnsiTheme="minorEastAsia" w:eastAsiaTheme="minorEastAsia"/>
          <w:b/>
          <w:sz w:val="28"/>
          <w:szCs w:val="28"/>
        </w:rPr>
      </w:pPr>
    </w:p>
    <w:p>
      <w:pPr>
        <w:snapToGrid w:val="0"/>
        <w:spacing w:line="360" w:lineRule="auto"/>
        <w:jc w:val="center"/>
        <w:outlineLvl w:val="0"/>
        <w:rPr>
          <w:rFonts w:cs="仿宋_GB2312" w:asciiTheme="minorEastAsia" w:hAnsiTheme="minorEastAsia" w:eastAsiaTheme="minorEastAsia"/>
          <w:b/>
          <w:sz w:val="36"/>
          <w:szCs w:val="20"/>
        </w:rPr>
      </w:pPr>
      <w:bookmarkStart w:id="188" w:name="_Toc181265287"/>
      <w:r>
        <w:rPr>
          <w:rFonts w:hint="eastAsia" w:cs="仿宋_GB2312" w:asciiTheme="minorEastAsia" w:hAnsiTheme="minorEastAsia" w:eastAsiaTheme="minorEastAsia"/>
          <w:b/>
          <w:sz w:val="36"/>
          <w:szCs w:val="20"/>
        </w:rPr>
        <w:t>第七部分</w:t>
      </w:r>
      <w:bookmarkEnd w:id="81"/>
      <w:r>
        <w:rPr>
          <w:rFonts w:hint="eastAsia" w:cs="仿宋_GB2312" w:asciiTheme="minorEastAsia" w:hAnsiTheme="minorEastAsia" w:eastAsiaTheme="minorEastAsia"/>
          <w:b/>
          <w:sz w:val="36"/>
          <w:szCs w:val="20"/>
        </w:rPr>
        <w:t xml:space="preserve">  </w:t>
      </w:r>
      <w:bookmarkEnd w:id="82"/>
      <w:r>
        <w:rPr>
          <w:rFonts w:hint="eastAsia" w:cs="仿宋_GB2312" w:asciiTheme="minorEastAsia" w:hAnsiTheme="minorEastAsia" w:eastAsiaTheme="minorEastAsia"/>
          <w:b/>
          <w:sz w:val="36"/>
          <w:szCs w:val="20"/>
        </w:rPr>
        <w:t>应提交的有关格式范例</w:t>
      </w:r>
      <w:bookmarkEnd w:id="188"/>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pPr>
        <w:spacing w:line="360" w:lineRule="auto"/>
        <w:ind w:firstLine="480" w:firstLineChars="200"/>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关于对谈判文件中有关条款的拒绝声明……………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pPr>
        <w:pStyle w:val="631"/>
        <w:ind w:firstLine="480" w:firstLineChars="200"/>
        <w:rPr>
          <w:rFonts w:cs="仿宋_GB2312" w:asciiTheme="minorEastAsia" w:hAnsiTheme="minorEastAsia" w:eastAsiaTheme="minorEastAsia"/>
        </w:rPr>
      </w:pPr>
      <w:r>
        <w:rPr>
          <w:rFonts w:hint="eastAsia" w:cs="仿宋_GB2312" w:asciiTheme="minorEastAsia" w:hAnsiTheme="minorEastAsia" w:eastAsiaTheme="minorEastAsia"/>
        </w:rPr>
        <w:t>（18）</w:t>
      </w:r>
      <w:r>
        <w:rPr>
          <w:rFonts w:hint="eastAsia" w:cs="仿宋_GB2312" w:asciiTheme="minorEastAsia" w:hAnsiTheme="minorEastAsia" w:eastAsiaTheme="minorEastAsia"/>
          <w:lang w:val="zh-CN"/>
        </w:rPr>
        <w:t>承诺函………………………………………………………………………</w:t>
      </w:r>
      <w:r>
        <w:rPr>
          <w:rFonts w:hint="eastAsia" w:cs="仿宋_GB2312" w:asciiTheme="minorEastAsia" w:hAnsiTheme="minorEastAsia" w:eastAsiaTheme="minorEastAsia"/>
        </w:rPr>
        <w:t>（页码）</w:t>
      </w:r>
    </w:p>
    <w:p>
      <w:pPr>
        <w:pStyle w:val="631"/>
        <w:ind w:firstLine="480" w:firstLineChars="200"/>
        <w:rPr>
          <w:rFonts w:cs="仿宋_GB2312" w:asciiTheme="minorEastAsia" w:hAnsiTheme="minorEastAsia" w:eastAsiaTheme="minorEastAsia"/>
        </w:rPr>
      </w:pPr>
      <w:r>
        <w:rPr>
          <w:rFonts w:hint="eastAsia" w:cs="仿宋_GB2312" w:asciiTheme="minorEastAsia" w:hAnsiTheme="minorEastAsia" w:eastAsiaTheme="minorEastAsia"/>
        </w:rPr>
        <w:t>（19）</w:t>
      </w:r>
      <w:r>
        <w:rPr>
          <w:rFonts w:hint="eastAsia" w:cs="仿宋_GB2312" w:asciiTheme="minorEastAsia" w:hAnsiTheme="minorEastAsia" w:eastAsiaTheme="minorEastAsia"/>
          <w:lang w:val="zh-CN"/>
        </w:rPr>
        <w:t>商务、服务（技术）响应、偏离情况说明表…………………………</w:t>
      </w:r>
      <w:r>
        <w:rPr>
          <w:rFonts w:hint="eastAsia" w:cs="仿宋_GB2312" w:asciiTheme="minorEastAsia" w:hAnsiTheme="minorEastAsia" w:eastAsiaTheme="minorEastAsia"/>
        </w:rPr>
        <w:t>（页码）</w:t>
      </w:r>
    </w:p>
    <w:p>
      <w:pPr>
        <w:pStyle w:val="631"/>
        <w:ind w:firstLine="480" w:firstLineChars="200"/>
      </w:pPr>
      <w:r>
        <w:rPr>
          <w:rFonts w:hint="eastAsia" w:cs="仿宋_GB2312" w:asciiTheme="minorEastAsia" w:hAnsiTheme="minorEastAsia" w:eastAsiaTheme="minorEastAsia"/>
        </w:rPr>
        <w:t>（20）</w:t>
      </w:r>
      <w:r>
        <w:rPr>
          <w:rFonts w:hint="eastAsia" w:cs="仿宋_GB2312" w:asciiTheme="minorEastAsia" w:hAnsiTheme="minorEastAsia" w:eastAsiaTheme="minorEastAsia"/>
          <w:lang w:val="zh-CN"/>
        </w:rPr>
        <w:t>初始报价表…………………………………………………………………</w:t>
      </w:r>
      <w:r>
        <w:rPr>
          <w:rFonts w:hint="eastAsia" w:cs="仿宋_GB2312" w:asciiTheme="minorEastAsia" w:hAnsiTheme="minorEastAsia" w:eastAsiaTheme="minorEastAsia"/>
        </w:rPr>
        <w:t>（页码）</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pPr>
        <w:pStyle w:val="104"/>
        <w:numPr>
          <w:ilvl w:val="0"/>
          <w:numId w:val="10"/>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pPr>
        <w:numPr>
          <w:ilvl w:val="0"/>
          <w:numId w:val="10"/>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谈判文件中</w:t>
      </w:r>
      <w:r>
        <w:rPr>
          <w:rFonts w:hint="eastAsia" w:cs="仿宋_GB2312" w:asciiTheme="minorEastAsia" w:hAnsiTheme="minorEastAsia" w:eastAsiaTheme="minorEastAsia"/>
          <w:sz w:val="24"/>
        </w:rPr>
        <w:t>规定的全部响应文件。</w:t>
      </w:r>
    </w:p>
    <w:p>
      <w:pPr>
        <w:numPr>
          <w:ilvl w:val="0"/>
          <w:numId w:val="10"/>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我方承诺除响应文件列出的偏离外，我方响应谈判文件的全部要求。</w:t>
      </w:r>
    </w:p>
    <w:p>
      <w:pPr>
        <w:numPr>
          <w:ilvl w:val="0"/>
          <w:numId w:val="10"/>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保证遵守谈判文件中的其他有关规定。</w:t>
      </w:r>
    </w:p>
    <w:p>
      <w:pPr>
        <w:numPr>
          <w:ilvl w:val="0"/>
          <w:numId w:val="10"/>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pPr>
        <w:numPr>
          <w:ilvl w:val="0"/>
          <w:numId w:val="10"/>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我方已详细阅读全部谈判文件，包括谈判文件“更正（延期）公告”（如果有）、参考资料及有关附件，确认无误。</w:t>
      </w:r>
    </w:p>
    <w:p>
      <w:pPr>
        <w:numPr>
          <w:ilvl w:val="0"/>
          <w:numId w:val="10"/>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7.3按照谈判文件要求提交履约保证金；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pPr>
        <w:numPr>
          <w:ilvl w:val="0"/>
          <w:numId w:val="10"/>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pPr>
        <w:autoSpaceDE w:val="0"/>
        <w:autoSpaceDN w:val="0"/>
        <w:spacing w:line="360" w:lineRule="auto"/>
        <w:ind w:firstLine="3960" w:firstLineChars="1650"/>
        <w:rPr>
          <w:rFonts w:cs="仿宋_GB2312" w:asciiTheme="minorEastAsia" w:hAnsiTheme="minorEastAsia" w:eastAsiaTheme="minorEastAsia"/>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谈判供应商名称（公章）：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autoSpaceDE w:val="0"/>
        <w:autoSpaceDN w:val="0"/>
        <w:spacing w:line="360" w:lineRule="auto"/>
        <w:rPr>
          <w:rFonts w:cs="仿宋_GB2312" w:asciiTheme="minorEastAsia" w:hAnsiTheme="minorEastAsia" w:eastAsiaTheme="minorEastAsia"/>
          <w:kern w:val="0"/>
          <w:sz w:val="24"/>
        </w:rPr>
      </w:pPr>
    </w:p>
    <w:p>
      <w:pPr>
        <w:pStyle w:val="114"/>
        <w:keepNext w:val="0"/>
        <w:pageBreakBefore w:val="0"/>
        <w:tabs>
          <w:tab w:val="clear" w:pos="720"/>
        </w:tabs>
        <w:jc w:val="both"/>
        <w:outlineLvl w:val="9"/>
        <w:rPr>
          <w:rFonts w:cs="仿宋_GB2312" w:asciiTheme="minorEastAsia" w:hAnsiTheme="minorEastAsia" w:eastAsiaTheme="minorEastAsia"/>
          <w:sz w:val="24"/>
          <w:szCs w:val="24"/>
        </w:rPr>
      </w:pPr>
    </w:p>
    <w:p>
      <w:pPr>
        <w:spacing w:line="360" w:lineRule="auto"/>
        <w:rPr>
          <w:rFonts w:cs="仿宋_GB2312" w:asciiTheme="minorEastAsia" w:hAnsiTheme="minorEastAsia" w:eastAsiaTheme="minorEastAsia"/>
          <w:sz w:val="18"/>
          <w:szCs w:val="18"/>
        </w:rPr>
      </w:pPr>
    </w:p>
    <w:p>
      <w:pPr>
        <w:spacing w:line="360" w:lineRule="auto"/>
        <w:rPr>
          <w:rFonts w:cs="仿宋_GB2312" w:asciiTheme="minorEastAsia" w:hAnsiTheme="minorEastAsia" w:eastAsiaTheme="minorEastAsia"/>
          <w:sz w:val="18"/>
          <w:szCs w:val="18"/>
        </w:rPr>
      </w:pPr>
    </w:p>
    <w:p>
      <w:pPr>
        <w:widowControl/>
        <w:adjustRightInd/>
        <w:jc w:val="left"/>
        <w:rPr>
          <w:rFonts w:cs="仿宋_GB2312" w:asciiTheme="minorEastAsia" w:hAnsiTheme="minorEastAsia" w:eastAsiaTheme="minorEastAsia"/>
          <w:b/>
          <w:kern w:val="0"/>
          <w:sz w:val="32"/>
          <w:szCs w:val="32"/>
        </w:rPr>
      </w:pPr>
      <w:r>
        <w:rPr>
          <w:rFonts w:cs="仿宋_GB2312" w:asciiTheme="minorEastAsia" w:hAnsiTheme="minorEastAsia" w:eastAsiaTheme="minorEastAsia"/>
          <w:b/>
          <w:kern w:val="0"/>
          <w:sz w:val="32"/>
          <w:szCs w:val="32"/>
        </w:rPr>
        <w:br w:type="page"/>
      </w:r>
    </w:p>
    <w:p>
      <w:pPr>
        <w:widowControl/>
        <w:tabs>
          <w:tab w:val="left" w:pos="1200"/>
        </w:tabs>
        <w:adjustRightInd/>
        <w:ind w:left="840"/>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sz w:val="24"/>
        </w:rPr>
      </w:pPr>
    </w:p>
    <w:p>
      <w:pPr>
        <w:snapToGrid w:val="0"/>
        <w:spacing w:line="360" w:lineRule="auto"/>
        <w:ind w:right="480"/>
        <w:rPr>
          <w:rFonts w:ascii="宋体" w:hAnsi="宋体" w:cs="宋体"/>
          <w:sz w:val="24"/>
        </w:rPr>
      </w:pPr>
      <w:r>
        <w:rPr>
          <w:rFonts w:hint="eastAsia" w:ascii="宋体" w:hAnsi="宋体" w:cs="宋体"/>
          <w:sz w:val="24"/>
        </w:rPr>
        <w:t>（采购人）、（采购代理机构）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谈判供应商名称（公章）：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授权代表根据谈判文件规定及采购内容而对采购人、采购代理机构所作的任何合法承诺，包括书面澄清及相应等均对联合体各方产生约束力。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89"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89"/>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90"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90"/>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91"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要求以联合体形式参加的项目或采购包，供应商按谈判文件第一部分竞争性谈判邀请公告申请人的资格要求中规定的联合协议中中小企业、小微企业合同金额应当达到的比例要求填写。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91"/>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snapToGrid w:val="0"/>
        <w:spacing w:line="360" w:lineRule="auto"/>
        <w:ind w:right="480"/>
        <w:jc w:val="center"/>
        <w:rPr>
          <w:rFonts w:cs="仿宋_GB2312" w:asciiTheme="minorEastAsia" w:hAnsiTheme="minorEastAsia" w:eastAsiaTheme="minorEastAsia"/>
          <w:b/>
          <w:sz w:val="32"/>
          <w:szCs w:val="32"/>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snapToGrid w:val="0"/>
        <w:spacing w:line="360" w:lineRule="auto"/>
        <w:ind w:right="48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谈判文件第一部分竞争性谈判邀请公告中</w:t>
      </w:r>
      <w:r>
        <w:rPr>
          <w:rFonts w:hint="eastAsia" w:cs="宋体" w:asciiTheme="minorEastAsia" w:hAnsiTheme="minorEastAsia" w:eastAsiaTheme="minorEastAsia"/>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pPr>
        <w:widowControl/>
        <w:spacing w:line="360" w:lineRule="auto"/>
        <w:ind w:firstLine="480"/>
        <w:jc w:val="left"/>
        <w:rPr>
          <w:rFonts w:cs="宋体"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（由供应商根据“谈判文件第一部分”中“合格的供应商应具备的特定资格要求”编制；如果本项目没有设置特定资格条件，则不需要提供）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sz w:val="24"/>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jc w:val="center"/>
        <w:rPr>
          <w:rFonts w:ascii="宋体" w:hAnsi="宋体" w:cs="宋体"/>
          <w:b/>
          <w:kern w:val="0"/>
          <w:sz w:val="32"/>
          <w:szCs w:val="32"/>
          <w:lang w:val="zh-CN"/>
        </w:rPr>
      </w:pPr>
      <w:r>
        <w:rPr>
          <w:rFonts w:hint="eastAsia" w:cs="仿宋_GB2312" w:asciiTheme="minorEastAsia" w:hAnsiTheme="minorEastAsia" w:eastAsiaTheme="minorEastAsia"/>
          <w:b/>
          <w:kern w:val="0"/>
          <w:sz w:val="32"/>
          <w:szCs w:val="32"/>
          <w:lang w:val="zh-CN"/>
        </w:rPr>
        <w:t>三、</w:t>
      </w:r>
      <w:r>
        <w:rPr>
          <w:rFonts w:hint="eastAsia" w:ascii="宋体" w:hAnsi="宋体" w:cs="宋体"/>
          <w:b/>
          <w:kern w:val="0"/>
          <w:sz w:val="32"/>
          <w:szCs w:val="32"/>
          <w:lang w:val="zh-CN"/>
        </w:rPr>
        <w:t>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授权委托书（适用于非联合体谈判）</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政府采购谈判的一切事项，其法律后果由我方承担。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谈判供应商名称（公章）：</w:t>
      </w:r>
    </w:p>
    <w:p>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sz w:val="24"/>
        </w:rPr>
      </w:pPr>
    </w:p>
    <w:p>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授权委托书（适用于联合体谈判）</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政府采购谈判的一切事项，其法律后果由我方承担。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Fonts w:ascii="宋体" w:hAnsi="宋体"/>
          <w:sz w:val="24"/>
        </w:rPr>
      </w:pPr>
      <w:r>
        <w:rPr>
          <w:rFonts w:hint="eastAsia" w:ascii="宋体" w:hAnsi="宋体"/>
          <w:sz w:val="24"/>
        </w:rPr>
        <w:t>法定代表人（负责人） (签名)：</w:t>
      </w:r>
    </w:p>
    <w:p>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pPr>
        <w:snapToGrid w:val="0"/>
        <w:spacing w:line="360" w:lineRule="auto"/>
        <w:ind w:firstLine="5040" w:firstLineChars="2100"/>
        <w:rPr>
          <w:rFonts w:ascii="宋体" w:hAnsi="宋体" w:cs="宋体"/>
          <w:kern w:val="0"/>
          <w:sz w:val="24"/>
          <w:lang w:val="zh-CN"/>
        </w:rPr>
      </w:pP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委托代理人和联合体牵头单位法定代表人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的身份证明（适用于法定代表人、单位负责人或者自然人本人代表谈判供应商参加谈判）</w:t>
      </w:r>
    </w:p>
    <w:p>
      <w:pPr>
        <w:adjustRightInd/>
        <w:spacing w:line="360" w:lineRule="auto"/>
        <w:rPr>
          <w:rFonts w:ascii="宋体" w:hAnsi="宋体" w:cs="宋体"/>
          <w:bCs/>
          <w:sz w:val="24"/>
          <w:szCs w:val="21"/>
        </w:rPr>
      </w:pPr>
    </w:p>
    <w:p>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pPr>
        <w:snapToGrid w:val="0"/>
        <w:spacing w:line="276" w:lineRule="auto"/>
        <w:ind w:firstLine="960" w:firstLineChars="400"/>
        <w:rPr>
          <w:rFonts w:ascii="宋体" w:hAnsi="宋体"/>
          <w:sz w:val="24"/>
          <w:u w:val="single"/>
        </w:rPr>
      </w:pPr>
    </w:p>
    <w:p>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pPr>
        <w:snapToGrid w:val="0"/>
        <w:spacing w:line="720" w:lineRule="exact"/>
        <w:ind w:firstLine="840" w:firstLineChars="350"/>
        <w:rPr>
          <w:rFonts w:ascii="宋体" w:hAnsi="宋体"/>
          <w:sz w:val="24"/>
        </w:rPr>
      </w:pPr>
      <w:r>
        <w:rPr>
          <w:rFonts w:hint="eastAsia" w:ascii="宋体" w:hAnsi="宋体"/>
          <w:sz w:val="24"/>
        </w:rPr>
        <w:t>特此证明。</w:t>
      </w:r>
    </w:p>
    <w:p>
      <w:pPr>
        <w:snapToGrid w:val="0"/>
        <w:spacing w:line="276" w:lineRule="auto"/>
        <w:rPr>
          <w:rFonts w:ascii="宋体" w:hAnsi="宋体"/>
          <w:sz w:val="24"/>
        </w:rPr>
      </w:pPr>
    </w:p>
    <w:p>
      <w:pPr>
        <w:snapToGrid w:val="0"/>
        <w:spacing w:line="276" w:lineRule="auto"/>
        <w:rPr>
          <w:rFonts w:ascii="宋体" w:hAnsi="宋体"/>
          <w:sz w:val="24"/>
        </w:rPr>
      </w:pPr>
      <w:r>
        <w:rPr>
          <w:rFonts w:hint="eastAsia" w:ascii="宋体" w:hAnsi="宋体"/>
          <w:sz w:val="24"/>
        </w:rPr>
        <w:t xml:space="preserve">                        </w:t>
      </w:r>
    </w:p>
    <w:p>
      <w:pPr>
        <w:snapToGrid w:val="0"/>
        <w:spacing w:line="276" w:lineRule="auto"/>
        <w:rPr>
          <w:rFonts w:ascii="宋体" w:hAnsi="宋体"/>
          <w:sz w:val="24"/>
        </w:rPr>
      </w:pPr>
    </w:p>
    <w:p>
      <w:pPr>
        <w:snapToGrid w:val="0"/>
        <w:spacing w:line="360" w:lineRule="auto"/>
        <w:ind w:firstLine="576"/>
        <w:jc w:val="center"/>
        <w:rPr>
          <w:rFonts w:ascii="宋体" w:hAnsi="宋体" w:cs="宋体"/>
          <w:kern w:val="0"/>
          <w:sz w:val="24"/>
          <w:lang w:val="zh-CN"/>
        </w:rPr>
      </w:pPr>
      <w:r>
        <w:rPr>
          <w:rFonts w:hint="eastAsia" w:ascii="宋体" w:hAnsi="宋体" w:cs="宋体"/>
          <w:sz w:val="24"/>
        </w:rPr>
        <w:t>谈判供应商名称</w:t>
      </w:r>
      <w:r>
        <w:rPr>
          <w:rFonts w:hint="eastAsia" w:ascii="宋体" w:hAnsi="宋体" w:cs="宋体"/>
          <w:kern w:val="0"/>
          <w:sz w:val="24"/>
          <w:lang w:val="zh-CN"/>
        </w:rPr>
        <w:t xml:space="preserve">(公章)：                              </w:t>
      </w:r>
    </w:p>
    <w:p>
      <w:pPr>
        <w:adjustRightInd/>
        <w:spacing w:line="360" w:lineRule="auto"/>
        <w:rPr>
          <w:rFonts w:ascii="宋体" w:hAnsi="宋体" w:cs="宋体"/>
          <w:bCs/>
          <w:sz w:val="24"/>
          <w:szCs w:val="21"/>
        </w:rPr>
      </w:pPr>
      <w:r>
        <w:rPr>
          <w:rFonts w:hint="eastAsia" w:ascii="宋体" w:hAnsi="宋体" w:cs="宋体"/>
          <w:kern w:val="0"/>
          <w:sz w:val="24"/>
          <w:szCs w:val="21"/>
          <w:lang w:val="zh-CN"/>
        </w:rPr>
        <w:t xml:space="preserve">                               日期：  年  月  日</w:t>
      </w:r>
    </w:p>
    <w:p>
      <w:pPr>
        <w:adjustRightInd/>
        <w:spacing w:line="360" w:lineRule="auto"/>
        <w:rPr>
          <w:rFonts w:ascii="宋体" w:hAnsi="宋体" w:cs="宋体"/>
          <w:bCs/>
          <w:sz w:val="24"/>
          <w:szCs w:val="21"/>
        </w:rPr>
      </w:pPr>
    </w:p>
    <w:p>
      <w:pPr>
        <w:adjustRightInd/>
        <w:spacing w:line="360" w:lineRule="auto"/>
        <w:rPr>
          <w:rFonts w:ascii="宋体" w:hAnsi="宋体" w:cs="宋体"/>
          <w:bCs/>
          <w:sz w:val="24"/>
          <w:szCs w:val="21"/>
        </w:rPr>
      </w:pPr>
      <w:r>
        <w:rPr>
          <w:rFonts w:hint="eastAsia" w:ascii="宋体" w:hAnsi="宋体"/>
          <w:sz w:val="24"/>
          <w:szCs w:val="21"/>
        </w:rPr>
        <w:t>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widowControl/>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rPr>
        <w:t>（项目名称）【项目编号：（采购编号）】</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pPr>
        <w:pStyle w:val="631"/>
      </w:pPr>
      <w:r>
        <w:rPr>
          <w:rFonts w:hint="eastAsia"/>
        </w:rPr>
        <w:t>……</w:t>
      </w:r>
    </w:p>
    <w:p>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要求合同分包形式参加的项目或采购包，供应商按谈判文件第一部分竞争性谈判邀请公告申请人的资格要求中规定的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pPr>
        <w:snapToGrid w:val="0"/>
        <w:spacing w:line="360" w:lineRule="auto"/>
        <w:ind w:left="6358" w:leftChars="342" w:hanging="5640" w:hangingChars="235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pPr>
        <w:snapToGrid w:val="0"/>
        <w:spacing w:line="360" w:lineRule="auto"/>
        <w:ind w:left="5743" w:leftChars="2392" w:hanging="720" w:hanging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谈判供应商名称(公章)：</w:t>
      </w:r>
    </w:p>
    <w:p>
      <w:pPr>
        <w:wordWrap w:val="0"/>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（由供应商根据采购需求及谈判文件要求编制）</w:t>
      </w:r>
    </w:p>
    <w:p>
      <w:pPr>
        <w:spacing w:line="360" w:lineRule="auto"/>
        <w:jc w:val="center"/>
        <w:rPr>
          <w:rFonts w:cs="仿宋_GB2312" w:asciiTheme="minorEastAsia" w:hAnsiTheme="minorEastAsia" w:eastAsiaTheme="minorEastAsia"/>
          <w:b/>
          <w:sz w:val="30"/>
          <w:szCs w:val="30"/>
        </w:rPr>
      </w:pPr>
    </w:p>
    <w:p>
      <w:pPr>
        <w:snapToGrid w:val="0"/>
        <w:spacing w:line="360" w:lineRule="auto"/>
        <w:ind w:firstLine="5160" w:firstLineChars="215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lang w:val="zh-CN"/>
        </w:rPr>
        <w:t>：</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pacing w:line="360" w:lineRule="auto"/>
        <w:jc w:val="center"/>
        <w:rPr>
          <w:rFonts w:cs="仿宋_GB2312" w:asciiTheme="minorEastAsia" w:hAnsiTheme="minorEastAsia" w:eastAsiaTheme="minorEastAsia"/>
          <w:b/>
          <w:kern w:val="0"/>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对谈判文件中有关条款的拒绝声明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法定代表人（负责人）或委托代理人(签名)：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rPr>
          <w:rFonts w:cs="仿宋_GB2312" w:asciiTheme="minorEastAsia" w:hAnsiTheme="minorEastAsia" w:eastAsiaTheme="minorEastAsia"/>
          <w:b/>
          <w:bCs/>
          <w:kern w:val="0"/>
          <w:sz w:val="24"/>
        </w:rPr>
      </w:pPr>
    </w:p>
    <w:p>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（由供应商根据采购需求及谈判文件要求编制）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 xml:space="preserve"> </w:t>
      </w:r>
    </w:p>
    <w:p>
      <w:pPr>
        <w:spacing w:line="360" w:lineRule="auto"/>
        <w:ind w:firstLine="1000" w:firstLineChars="300"/>
        <w:jc w:val="left"/>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pPr>
        <w:autoSpaceDE w:val="0"/>
        <w:autoSpaceDN w:val="0"/>
        <w:spacing w:line="360" w:lineRule="auto"/>
        <w:rPr>
          <w:rFonts w:cs="仿宋_GB2312" w:asciiTheme="minorEastAsia" w:hAnsiTheme="minorEastAsia" w:eastAsiaTheme="minorEastAsia"/>
          <w:b/>
          <w:kern w:val="0"/>
          <w:sz w:val="28"/>
          <w:szCs w:val="28"/>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（由供应商根据采购需求及谈判文件要求编制）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根据采购需求及谈判文件要求编制）</w:t>
      </w: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（由供应商根据采购需求及谈判文件要求编制）</w:t>
      </w:r>
    </w:p>
    <w:p>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bl>
    <w:p>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jc w:val="center"/>
        <w:rPr>
          <w:rFonts w:ascii="宋体" w:hAnsi="宋体" w:cs="宋体"/>
          <w:b/>
          <w:kern w:val="0"/>
          <w:sz w:val="32"/>
          <w:szCs w:val="21"/>
        </w:rPr>
      </w:pPr>
      <w:r>
        <w:rPr>
          <w:rFonts w:hint="eastAsia" w:ascii="宋体" w:hAnsi="宋体" w:cs="宋体"/>
          <w:b/>
          <w:bCs/>
          <w:sz w:val="32"/>
          <w:szCs w:val="32"/>
        </w:rPr>
        <w:t>十八</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我方作为本次采购项目的谈判供应商，根据谈判文件要求，现郑重承诺如下：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二、参加本次谈判采购活动，不存在与单位负责人为同一人或者存在直接控股、管理关系的其他供应商参与同一合同项下的政府采购活动的行为。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四、参加本次谈判采购活动，不存在和其他供应商在同一合同项下的采购项目中，同时委托同一个自然人、同一家庭的人员、同一单位的人员作为代理人的行为。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八、参加本次谈判采购活动，我方完全同意谈判文件第三部分关于“谈判费用”、“合同分包”、“合同转包”、“履约保证金”的实质性要求，并承诺严格按照谈判文件要求履行。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kern w:val="0"/>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bCs/>
          <w:sz w:val="32"/>
          <w:szCs w:val="32"/>
        </w:rPr>
      </w:pPr>
      <w:r>
        <w:rPr>
          <w:rFonts w:ascii="宋体" w:hAnsi="宋体" w:cs="宋体"/>
          <w:b/>
          <w:bCs/>
          <w:sz w:val="32"/>
          <w:szCs w:val="32"/>
        </w:rPr>
        <w:br w:type="page"/>
      </w: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pPr>
        <w:snapToGrid w:val="0"/>
        <w:spacing w:line="400" w:lineRule="exact"/>
        <w:ind w:firstLine="420" w:firstLineChars="200"/>
        <w:rPr>
          <w:rFonts w:asciiTheme="minorEastAsia" w:hAnsiTheme="minorEastAsia" w:eastAsiaTheme="minorEastAsia"/>
          <w:szCs w:val="21"/>
        </w:rPr>
      </w:pPr>
    </w:p>
    <w:p>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pPr>
        <w:pStyle w:val="98"/>
        <w:snapToGrid w:val="0"/>
        <w:spacing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bl>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说明：1.应写明谈判文件对商务与服务技术要求的响应和偏离情况</w:t>
      </w:r>
      <w:r>
        <w:rPr>
          <w:rFonts w:hint="eastAsia" w:asciiTheme="minorEastAsia" w:hAnsiTheme="minorEastAsia" w:eastAsiaTheme="minorEastAsia"/>
          <w:bCs/>
          <w:sz w:val="24"/>
        </w:rPr>
        <w:t>；</w:t>
      </w:r>
    </w:p>
    <w:p>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2.应对照谈判文件“第四部分  采购需求”，逐条说明所提供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pPr>
        <w:snapToGrid w:val="0"/>
        <w:spacing w:line="400" w:lineRule="exact"/>
        <w:rPr>
          <w:rFonts w:cs="Courier New"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jc w:val="center"/>
        <w:rPr>
          <w:rFonts w:ascii="宋体" w:hAnsi="宋体" w:cs="宋体"/>
          <w:b/>
          <w:bCs/>
          <w:sz w:val="32"/>
          <w:szCs w:val="32"/>
        </w:rPr>
      </w:pPr>
      <w:r>
        <w:rPr>
          <w:rFonts w:hint="eastAsia" w:ascii="宋体" w:hAnsi="宋体" w:cs="宋体"/>
          <w:b/>
          <w:bCs/>
          <w:sz w:val="32"/>
          <w:szCs w:val="32"/>
        </w:rPr>
        <w:t>二十</w:t>
      </w:r>
      <w:r>
        <w:rPr>
          <w:rFonts w:hint="eastAsia" w:ascii="宋体" w:hAnsi="宋体" w:cs="宋体"/>
          <w:b/>
          <w:kern w:val="0"/>
          <w:sz w:val="32"/>
          <w:szCs w:val="32"/>
        </w:rPr>
        <w:t>、</w:t>
      </w:r>
      <w:r>
        <w:rPr>
          <w:rFonts w:hint="eastAsia" w:ascii="宋体" w:hAnsi="宋体" w:cs="宋体"/>
          <w:b/>
          <w:bCs/>
          <w:sz w:val="32"/>
          <w:szCs w:val="32"/>
        </w:rPr>
        <w:t>初始报价表</w:t>
      </w:r>
    </w:p>
    <w:p>
      <w:pPr>
        <w:pStyle w:val="631"/>
        <w:jc w:val="center"/>
        <w:rPr>
          <w:rFonts w:asciiTheme="minorEastAsia" w:hAnsiTheme="minorEastAsia" w:eastAsiaTheme="minorEastAsia"/>
          <w:kern w:val="2"/>
          <w:szCs w:val="24"/>
        </w:rPr>
      </w:pPr>
      <w:r>
        <w:rPr>
          <w:rFonts w:hint="eastAsia" w:asciiTheme="minorEastAsia" w:hAnsiTheme="minorEastAsia" w:eastAsiaTheme="minorEastAsia"/>
          <w:kern w:val="2"/>
          <w:szCs w:val="24"/>
        </w:rPr>
        <w:t>（初始报价表格式参照第八部分  最后报价格式）</w:t>
      </w: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21" w:type="first"/>
          <w:footerReference r:id="rId24" w:type="first"/>
          <w:headerReference r:id="rId20" w:type="default"/>
          <w:footerReference r:id="rId22" w:type="default"/>
          <w:footerReference r:id="rId23"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sz w:val="36"/>
          <w:szCs w:val="36"/>
        </w:rPr>
      </w:pPr>
      <w:bookmarkStart w:id="192" w:name="_Toc181265288"/>
      <w:r>
        <w:rPr>
          <w:rFonts w:hint="eastAsia" w:cs="仿宋_GB2312" w:asciiTheme="minorEastAsia" w:hAnsiTheme="minorEastAsia" w:eastAsiaTheme="minorEastAsia"/>
          <w:b/>
          <w:sz w:val="36"/>
          <w:szCs w:val="36"/>
        </w:rPr>
        <w:t>第八部分  最后报价格式</w:t>
      </w:r>
      <w:bookmarkEnd w:id="192"/>
    </w:p>
    <w:p>
      <w:pPr>
        <w:pStyle w:val="631"/>
        <w:jc w:val="center"/>
        <w:rPr>
          <w:b/>
          <w:sz w:val="32"/>
          <w:szCs w:val="32"/>
        </w:rPr>
      </w:pPr>
      <w:r>
        <w:rPr>
          <w:rFonts w:hint="eastAsia"/>
          <w:b/>
          <w:sz w:val="32"/>
          <w:szCs w:val="32"/>
        </w:rPr>
        <w:t>（一）报价一览表（服务类）</w:t>
      </w:r>
    </w:p>
    <w:p>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按你方谈判文件要求，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pPr>
              <w:spacing w:line="360" w:lineRule="auto"/>
              <w:jc w:val="center"/>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谈判报价（小写）</w:t>
            </w:r>
          </w:p>
        </w:tc>
        <w:tc>
          <w:tcPr>
            <w:tcW w:w="8647" w:type="dxa"/>
            <w:gridSpan w:val="4"/>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谈判报价（大写）</w:t>
            </w:r>
          </w:p>
        </w:tc>
        <w:tc>
          <w:tcPr>
            <w:tcW w:w="8647" w:type="dxa"/>
            <w:gridSpan w:val="4"/>
          </w:tcPr>
          <w:p>
            <w:pPr>
              <w:spacing w:line="360" w:lineRule="auto"/>
              <w:jc w:val="center"/>
              <w:rPr>
                <w:rFonts w:cs="宋体" w:asciiTheme="minorEastAsia" w:hAnsiTheme="minorEastAsia" w:eastAsiaTheme="minorEastAsia"/>
                <w:sz w:val="24"/>
              </w:rPr>
            </w:pPr>
          </w:p>
        </w:tc>
      </w:tr>
    </w:tbl>
    <w:p>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符合谈判文件中列明的可享受中小企业扶持政策的供应商，请填写中小企业声明函。注：供应商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ascii="宋体" w:hAnsi="宋体" w:cs="宋体"/>
          <w:color w:val="FF0000"/>
          <w:kern w:val="0"/>
          <w:sz w:val="24"/>
          <w:lang w:val="zh-CN"/>
        </w:rPr>
        <w:t>符合谈判文件中列明的可享受</w:t>
      </w:r>
      <w:r>
        <w:rPr>
          <w:rFonts w:hint="eastAsia" w:ascii="宋体" w:hAnsi="宋体" w:cs="宋体"/>
          <w:color w:val="FF0000"/>
          <w:sz w:val="24"/>
        </w:rPr>
        <w:t>本国产品标准及相关政策</w:t>
      </w:r>
      <w:r>
        <w:rPr>
          <w:rFonts w:hint="eastAsia" w:ascii="宋体" w:hAnsi="宋体" w:cs="宋体"/>
          <w:color w:val="FF0000"/>
          <w:kern w:val="0"/>
          <w:sz w:val="24"/>
          <w:lang w:val="zh-CN"/>
        </w:rPr>
        <w:t>的供应商，请填写</w:t>
      </w:r>
      <w:r>
        <w:rPr>
          <w:rFonts w:hint="eastAsia" w:ascii="宋体" w:hAnsi="宋体" w:cs="宋体"/>
          <w:color w:val="FF0000"/>
          <w:sz w:val="24"/>
        </w:rPr>
        <w:t>《关于符合本国产品标准的声明函》或出具财政部会同有关部门规定的有关证明文件。当采购项目或者采购包中含有多种产品，</w:t>
      </w:r>
      <w:r>
        <w:rPr>
          <w:rFonts w:hint="eastAsia" w:ascii="宋体" w:hAnsi="宋体" w:cs="宋体"/>
          <w:color w:val="FF0000"/>
          <w:kern w:val="0"/>
          <w:sz w:val="24"/>
          <w:lang w:val="zh-CN"/>
        </w:rPr>
        <w:t>供应商还</w:t>
      </w:r>
      <w:r>
        <w:rPr>
          <w:rFonts w:hint="eastAsia" w:ascii="宋体" w:hAnsi="宋体" w:cs="宋体"/>
          <w:color w:val="FF0000"/>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FF0000"/>
          <w:kern w:val="0"/>
          <w:sz w:val="24"/>
          <w:lang w:val="zh-CN"/>
        </w:rPr>
        <w:t>注：供应商提供的</w:t>
      </w:r>
      <w:r>
        <w:rPr>
          <w:rFonts w:hint="eastAsia" w:ascii="宋体" w:hAnsi="宋体" w:cs="宋体"/>
          <w:color w:val="FF0000"/>
          <w:sz w:val="24"/>
        </w:rPr>
        <w:t>《声明函》</w:t>
      </w:r>
      <w:r>
        <w:rPr>
          <w:rFonts w:hint="eastAsia" w:ascii="宋体" w:hAnsi="宋体" w:cs="宋体"/>
          <w:color w:val="FF0000"/>
          <w:kern w:val="0"/>
          <w:sz w:val="24"/>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6、</w:t>
      </w:r>
      <w:r>
        <w:rPr>
          <w:rFonts w:hint="eastAsia" w:ascii="宋体" w:hAnsi="宋体" w:cs="宋体"/>
          <w:color w:val="FF0000"/>
          <w:kern w:val="0"/>
          <w:sz w:val="24"/>
        </w:rPr>
        <w:t>最后报价属于谈判文件规定的政府采购异常低价情形之一，</w:t>
      </w:r>
      <w:r>
        <w:rPr>
          <w:rFonts w:hint="eastAsia" w:ascii="宋体" w:hAnsi="宋体" w:cs="宋体"/>
          <w:color w:val="FF0000"/>
          <w:kern w:val="0"/>
          <w:sz w:val="24"/>
          <w:lang w:val="zh-CN"/>
        </w:rPr>
        <w:t>供应商</w:t>
      </w:r>
      <w:r>
        <w:rPr>
          <w:rFonts w:hint="eastAsia" w:ascii="宋体" w:hAnsi="宋体" w:cs="宋体"/>
          <w:color w:val="FF0000"/>
          <w:kern w:val="0"/>
          <w:sz w:val="24"/>
        </w:rPr>
        <w:t>应当按照谈判小组的要求提供书面说明、证明材料。</w:t>
      </w:r>
      <w:r>
        <w:rPr>
          <w:rFonts w:hint="eastAsia" w:ascii="宋体" w:hAnsi="宋体" w:cs="宋体"/>
          <w:color w:val="FF0000"/>
          <w:kern w:val="0"/>
          <w:sz w:val="24"/>
          <w:lang w:val="zh-CN"/>
        </w:rPr>
        <w:t>供应商</w:t>
      </w:r>
      <w:r>
        <w:rPr>
          <w:rFonts w:hint="eastAsia" w:ascii="宋体" w:hAnsi="宋体" w:cs="宋体"/>
          <w:color w:val="FF0000"/>
          <w:kern w:val="0"/>
          <w:sz w:val="24"/>
        </w:rPr>
        <w:t>不能提供书面说明、证明材料，或者提供的书面说明、证明材料不能证明其报价合理性的，谈判无效</w:t>
      </w:r>
      <w:r>
        <w:rPr>
          <w:rFonts w:hint="eastAsia" w:ascii="宋体" w:hAnsi="宋体" w:cs="宋体"/>
          <w:color w:val="FF0000"/>
          <w:kern w:val="0"/>
          <w:sz w:val="24"/>
          <w:lang w:val="zh-CN"/>
        </w:rPr>
        <w:t>。</w:t>
      </w:r>
    </w:p>
    <w:p>
      <w:pPr>
        <w:spacing w:line="360" w:lineRule="auto"/>
        <w:ind w:right="-874" w:rightChars="-416" w:firstLine="480" w:firstLineChars="200"/>
        <w:rPr>
          <w:rFonts w:cs="仿宋_GB2312" w:asciiTheme="minorEastAsia" w:hAnsiTheme="minorEastAsia" w:eastAsiaTheme="minorEastAsia"/>
          <w:sz w:val="24"/>
        </w:rPr>
      </w:pPr>
      <w:r>
        <w:rPr>
          <w:rFonts w:hint="eastAsia" w:ascii="宋体" w:hAnsi="宋体" w:cs="宋体"/>
          <w:kern w:val="0"/>
          <w:sz w:val="24"/>
          <w:szCs w:val="22"/>
          <w:lang w:val="zh-CN"/>
        </w:rPr>
        <w:t>7、</w:t>
      </w:r>
      <w:r>
        <w:rPr>
          <w:rFonts w:hint="eastAsia" w:cs="仿宋_GB2312" w:asciiTheme="minorEastAsia" w:hAnsiTheme="minorEastAsia" w:eastAsiaTheme="minorEastAsia"/>
          <w:kern w:val="0"/>
          <w:sz w:val="24"/>
          <w:lang w:val="zh-CN"/>
        </w:rPr>
        <w:t>如有多轮报价，则每轮报价</w:t>
      </w:r>
      <w:r>
        <w:rPr>
          <w:rFonts w:hint="eastAsia" w:cs="宋体" w:asciiTheme="minorEastAsia" w:hAnsiTheme="minorEastAsia" w:eastAsiaTheme="minorEastAsia"/>
          <w:kern w:val="0"/>
          <w:sz w:val="24"/>
          <w:lang w:val="zh-CN"/>
        </w:rPr>
        <w:t>供应商均</w:t>
      </w:r>
      <w:r>
        <w:rPr>
          <w:rFonts w:hint="eastAsia" w:ascii="宋体" w:hAnsi="宋体" w:cs="宋体"/>
          <w:kern w:val="0"/>
          <w:sz w:val="24"/>
          <w:lang w:val="zh-CN"/>
        </w:rPr>
        <w:t>需按本表格式填写</w:t>
      </w:r>
      <w:r>
        <w:rPr>
          <w:rFonts w:cs="仿宋_GB2312" w:asciiTheme="minorEastAsia" w:hAnsiTheme="minorEastAsia" w:eastAsiaTheme="minorEastAsia"/>
          <w:kern w:val="0"/>
          <w:sz w:val="24"/>
          <w:lang w:val="zh-CN"/>
        </w:rPr>
        <w:t>。</w:t>
      </w:r>
    </w:p>
    <w:p>
      <w:pPr>
        <w:spacing w:line="360" w:lineRule="auto"/>
        <w:ind w:right="-874" w:rightChars="-416"/>
        <w:rPr>
          <w:rFonts w:cs="仿宋_GB2312"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 xml:space="preserve">                                           </w:t>
      </w: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9720" w:firstLineChars="405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pStyle w:val="4"/>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93" w:name="_Toc465665161"/>
      <w:r>
        <w:rPr>
          <w:rFonts w:hint="eastAsia" w:asciiTheme="minorEastAsia" w:hAnsiTheme="minorEastAsia" w:eastAsiaTheme="minorEastAsia"/>
          <w:b/>
          <w:sz w:val="32"/>
          <w:szCs w:val="32"/>
        </w:rPr>
        <w:t>（如果有）</w:t>
      </w:r>
    </w:p>
    <w:p>
      <w:pPr>
        <w:widowControl/>
        <w:spacing w:line="360" w:lineRule="auto"/>
        <w:ind w:firstLine="120" w:firstLineChars="50"/>
        <w:jc w:val="left"/>
        <w:rPr>
          <w:rFonts w:cs="宋体" w:asciiTheme="minorEastAsia" w:hAnsiTheme="minorEastAsia" w:eastAsiaTheme="minorEastAsia"/>
          <w:b/>
          <w:sz w:val="24"/>
        </w:rPr>
      </w:pPr>
    </w:p>
    <w:p>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pPr>
        <w:widowControl/>
        <w:adjustRightInd/>
        <w:jc w:val="center"/>
        <w:rPr>
          <w:rFonts w:cs="仿宋_GB2312" w:asciiTheme="minorEastAsia" w:hAnsiTheme="minorEastAsia" w:eastAsiaTheme="minorEastAsia"/>
          <w:sz w:val="24"/>
        </w:rPr>
      </w:pPr>
    </w:p>
    <w:p>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pPr>
        <w:pStyle w:val="631"/>
      </w:pPr>
      <w:r>
        <w:rPr>
          <w:rFonts w:hint="eastAsia"/>
        </w:rPr>
        <w:t>附件</w:t>
      </w:r>
      <w:bookmarkEnd w:id="193"/>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sz w:val="30"/>
          <w:szCs w:val="30"/>
        </w:rPr>
      </w:pPr>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pPr>
        <w:spacing w:line="360" w:lineRule="auto"/>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pPr>
        <w:spacing w:line="360" w:lineRule="auto"/>
        <w:rPr>
          <w:rFonts w:asciiTheme="minorEastAsia" w:hAnsiTheme="minorEastAsia" w:eastAsiaTheme="minorEastAsia"/>
          <w:b/>
          <w:spacing w:val="6"/>
          <w:sz w:val="30"/>
          <w:szCs w:val="30"/>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pPr>
        <w:spacing w:line="360" w:lineRule="auto"/>
        <w:ind w:firstLine="480" w:firstLineChars="200"/>
        <w:rPr>
          <w:rFonts w:cs="仿宋_GB2312" w:asciiTheme="minorEastAsia" w:hAnsiTheme="minorEastAsia" w:eastAsiaTheme="minorEastAsia"/>
          <w:sz w:val="24"/>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pPr>
        <w:spacing w:line="360" w:lineRule="auto"/>
        <w:jc w:val="left"/>
        <w:rPr>
          <w:rFonts w:cs="仿宋_GB2312" w:asciiTheme="minorEastAsia" w:hAnsiTheme="minorEastAsia" w:eastAsiaTheme="minorEastAsia"/>
          <w:b/>
          <w:sz w:val="24"/>
        </w:rPr>
      </w:pPr>
    </w:p>
    <w:p>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pPr>
        <w:autoSpaceDE w:val="0"/>
        <w:autoSpaceDN w:val="0"/>
        <w:jc w:val="center"/>
        <w:rPr>
          <w:rFonts w:asciiTheme="minorEastAsia" w:hAnsiTheme="minorEastAsia" w:eastAsiaTheme="minorEastAsia"/>
          <w:b/>
          <w:bCs/>
          <w:sz w:val="32"/>
          <w:szCs w:val="32"/>
        </w:rPr>
      </w:pP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pPr>
        <w:widowControl/>
        <w:spacing w:line="360" w:lineRule="auto"/>
        <w:ind w:firstLine="480" w:firstLineChars="200"/>
        <w:jc w:val="left"/>
        <w:rPr>
          <w:rFonts w:cs="宋体" w:asciiTheme="minorEastAsia" w:hAnsiTheme="minorEastAsia" w:eastAsiaTheme="minorEastAsia"/>
          <w:kern w:val="0"/>
          <w:sz w:val="24"/>
        </w:rPr>
      </w:pPr>
    </w:p>
    <w:p>
      <w:pPr>
        <w:snapToGrid w:val="0"/>
        <w:spacing w:line="360" w:lineRule="auto"/>
        <w:jc w:val="cente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pPr>
        <w:spacing w:line="360" w:lineRule="auto"/>
        <w:jc w:val="center"/>
        <w:rPr>
          <w:rFonts w:cs="宋体" w:asciiTheme="minorEastAsia" w:hAnsiTheme="minorEastAsia" w:eastAsiaTheme="minorEastAsia"/>
          <w:b/>
          <w:sz w:val="32"/>
          <w:szCs w:val="32"/>
        </w:rPr>
      </w:pPr>
    </w:p>
    <w:p>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pPr>
        <w:spacing w:line="360" w:lineRule="auto"/>
        <w:jc w:val="center"/>
        <w:rPr>
          <w:rFonts w:cs="宋体" w:asciiTheme="minorEastAsia" w:hAnsiTheme="minorEastAsia" w:eastAsiaTheme="minorEastAsia"/>
          <w:b/>
          <w:sz w:val="32"/>
          <w:szCs w:val="32"/>
        </w:rPr>
      </w:pPr>
    </w:p>
    <w:p>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cs="宋体" w:asciiTheme="minorEastAsia" w:hAnsiTheme="minorEastAsia" w:eastAsiaTheme="minorEastAsia"/>
          <w:sz w:val="24"/>
        </w:rPr>
        <w:br w:type="page"/>
      </w: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附件6：关于符合本国产品标准的声明函</w:t>
      </w:r>
    </w:p>
    <w:p>
      <w:pPr>
        <w:spacing w:line="360" w:lineRule="auto"/>
        <w:jc w:val="center"/>
        <w:rPr>
          <w:rFonts w:ascii="宋体" w:hAnsi="宋体" w:cs="宋体"/>
          <w:color w:val="FF0000"/>
          <w:sz w:val="24"/>
          <w:u w:val="single"/>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w:t>
      </w:r>
      <w:r>
        <w:rPr>
          <w:rFonts w:hint="eastAsia" w:ascii="宋体" w:hAnsi="宋体" w:cs="宋体"/>
          <w:color w:val="FF0000"/>
          <w:sz w:val="24"/>
          <w:u w:val="single"/>
        </w:rPr>
        <w:t>（产品名称1）</w:t>
      </w:r>
      <w:r>
        <w:rPr>
          <w:rFonts w:hint="eastAsia" w:ascii="宋体" w:hAnsi="宋体" w:cs="宋体"/>
          <w:color w:val="FF0000"/>
          <w:sz w:val="24"/>
        </w:rPr>
        <w:t>1，生产厂为</w:t>
      </w:r>
      <w:r>
        <w:rPr>
          <w:rFonts w:hint="eastAsia" w:ascii="宋体" w:hAnsi="宋体" w:cs="宋体"/>
          <w:color w:val="FF0000"/>
          <w:sz w:val="24"/>
          <w:u w:val="single"/>
        </w:rPr>
        <w:t>（厂名）</w:t>
      </w:r>
      <w:r>
        <w:rPr>
          <w:rFonts w:hint="eastAsia" w:ascii="宋体" w:hAnsi="宋体" w:cs="宋体"/>
          <w:color w:val="FF0000"/>
          <w:sz w:val="24"/>
        </w:rPr>
        <w:t>2，厂址为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（产品名称1）</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3。</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4在中国境内生产。</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5在中国境内完成。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w:t>
      </w:r>
      <w:r>
        <w:rPr>
          <w:rFonts w:hint="eastAsia" w:ascii="宋体" w:hAnsi="宋体" w:cs="宋体"/>
          <w:color w:val="FF0000"/>
          <w:sz w:val="24"/>
          <w:u w:val="single"/>
        </w:rPr>
        <w:t>（产品名称2）</w:t>
      </w:r>
      <w:r>
        <w:rPr>
          <w:rFonts w:hint="eastAsia" w:ascii="宋体" w:hAnsi="宋体" w:cs="宋体"/>
          <w:color w:val="FF0000"/>
          <w:sz w:val="24"/>
        </w:rPr>
        <w:t>，生产厂为</w:t>
      </w:r>
      <w:r>
        <w:rPr>
          <w:rFonts w:hint="eastAsia" w:ascii="宋体" w:hAnsi="宋体" w:cs="宋体"/>
          <w:color w:val="FF0000"/>
          <w:sz w:val="24"/>
          <w:u w:val="single"/>
        </w:rPr>
        <w:t>（厂名）</w:t>
      </w:r>
      <w:r>
        <w:rPr>
          <w:rFonts w:hint="eastAsia" w:ascii="宋体" w:hAnsi="宋体" w:cs="宋体"/>
          <w:color w:val="FF0000"/>
          <w:sz w:val="24"/>
        </w:rPr>
        <w:t>，厂址为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在中国境内生产。</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1.产品如有型号，请在“产品名称”栏一并填写。</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2.生产厂名与厂址应与生产厂营业执照载明的相关信息保持一致。</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3.该产品的中国境内生产的组件成本占比相关要求实施前，“规定比例”栏可不填，下同。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4.该产品的关键组件要求实施前，“关键组件”栏可不填，下同。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5.该产品的关键工序要求实施前，“关键工序”栏可不填，下同。</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附件7：关于符合本国产品标准的产品成本之和占提供的全部产品成本之和的比例达到80%以上的声明函</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关于符合本国产品标准的产品成本之和占我公司（单位）提供的全部产品成本之和的比例达到80%以上的声明函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2.当采购项目或者采购包中含有多种产品，供应商拟享受该政策时提供。当采购项目或者采购包中仅含有单一产品时，无须提供本声明函。</w:t>
      </w:r>
    </w:p>
    <w:p>
      <w:pPr>
        <w:spacing w:line="360" w:lineRule="auto"/>
        <w:jc w:val="center"/>
        <w:rPr>
          <w:rFonts w:ascii="宋体" w:hAnsi="宋体" w:cs="宋体"/>
          <w:b/>
          <w:color w:val="FF0000"/>
          <w:sz w:val="32"/>
          <w:szCs w:val="32"/>
        </w:rPr>
      </w:pPr>
    </w:p>
    <w:p>
      <w:pPr>
        <w:spacing w:line="360" w:lineRule="auto"/>
        <w:ind w:right="420" w:firstLine="723" w:firstLineChars="3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bookmarkStart w:id="194" w:name="_Toc91899912"/>
    <w:bookmarkStart w:id="195" w:name="_Toc36110187"/>
    <w:bookmarkStart w:id="196" w:name="_Toc131845147"/>
    <w:bookmarkStart w:id="197" w:name="_Toc164085800"/>
    <w:r>
      <w:rPr>
        <w:rFonts w:hint="eastAsia" w:ascii="仿宋_GB2312" w:eastAsia="仿宋_GB2312"/>
        <w:kern w:val="0"/>
        <w:szCs w:val="21"/>
      </w:rPr>
      <w:t xml:space="preserve"> 页</w:t>
    </w:r>
    <w:bookmarkEnd w:id="194"/>
    <w:bookmarkEnd w:id="195"/>
    <w:bookmarkEnd w:id="196"/>
    <w:bookmarkEnd w:id="19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Cs/>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w:t>
    </w:r>
    <w:r>
      <w:rPr>
        <w:rFonts w:hint="eastAsia"/>
      </w:rPr>
      <w:t xml:space="preserve">         </w:t>
    </w:r>
  </w:p>
  <w:p>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pPr>
    <w:r>
      <w:t></w:t>
    </w:r>
    <w:r>
      <w:rPr>
        <w:rFonts w:hint="eastAsia"/>
      </w:rPr>
      <w:t xml:space="preserve">         </w:t>
    </w:r>
  </w:p>
  <w:p>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pPr>
    <w:r>
      <w:t></w:t>
    </w:r>
    <w:r>
      <w:rPr>
        <w:rFonts w:hint="eastAsia"/>
      </w:rPr>
      <w:t xml:space="preserve">         </w:t>
    </w:r>
  </w:p>
  <w:p>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3A901"/>
    <w:multiLevelType w:val="singleLevel"/>
    <w:tmpl w:val="ECE3A901"/>
    <w:lvl w:ilvl="0" w:tentative="0">
      <w:start w:val="4"/>
      <w:numFmt w:val="decimal"/>
      <w:lvlText w:val="%1."/>
      <w:lvlJc w:val="left"/>
      <w:pPr>
        <w:tabs>
          <w:tab w:val="left" w:pos="312"/>
        </w:tabs>
      </w:pPr>
    </w:lvl>
  </w:abstractNum>
  <w:abstractNum w:abstractNumId="1">
    <w:nsid w:val="F668A9BA"/>
    <w:multiLevelType w:val="multilevel"/>
    <w:tmpl w:val="F668A9B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0000027"/>
    <w:multiLevelType w:val="singleLevel"/>
    <w:tmpl w:val="00000027"/>
    <w:lvl w:ilvl="0" w:tentative="0">
      <w:start w:val="0"/>
      <w:numFmt w:val="bullet"/>
      <w:lvlText w:val="*"/>
      <w:lvlJc w:val="left"/>
    </w:lvl>
  </w:abstractNum>
  <w:abstractNum w:abstractNumId="6">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1732721E"/>
    <w:multiLevelType w:val="multilevel"/>
    <w:tmpl w:val="1732721E"/>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4"/>
  </w:num>
  <w:num w:numId="3">
    <w:abstractNumId w:val="2"/>
  </w:num>
  <w:num w:numId="4">
    <w:abstractNumId w:val="3"/>
  </w:num>
  <w:num w:numId="5">
    <w:abstractNumId w:val="9"/>
  </w:num>
  <w:num w:numId="6">
    <w:abstractNumId w:val="10"/>
  </w:num>
  <w:num w:numId="7">
    <w:abstractNumId w:val="0"/>
  </w:num>
  <w:num w:numId="8">
    <w:abstractNumId w:val="1"/>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286C"/>
    <w:rsid w:val="0000488B"/>
    <w:rsid w:val="00005CAC"/>
    <w:rsid w:val="00006109"/>
    <w:rsid w:val="00006725"/>
    <w:rsid w:val="0000675E"/>
    <w:rsid w:val="00007CAA"/>
    <w:rsid w:val="00010FE9"/>
    <w:rsid w:val="0001122F"/>
    <w:rsid w:val="00011BF9"/>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2D98"/>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0FEE"/>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67EA"/>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0C2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1793"/>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97B41"/>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1EB9"/>
    <w:rsid w:val="0022234D"/>
    <w:rsid w:val="002223FA"/>
    <w:rsid w:val="00222C78"/>
    <w:rsid w:val="00224B9B"/>
    <w:rsid w:val="0022555A"/>
    <w:rsid w:val="0023114A"/>
    <w:rsid w:val="0023205A"/>
    <w:rsid w:val="0023265B"/>
    <w:rsid w:val="00233538"/>
    <w:rsid w:val="002344F5"/>
    <w:rsid w:val="0023454D"/>
    <w:rsid w:val="002345FC"/>
    <w:rsid w:val="00234679"/>
    <w:rsid w:val="00235415"/>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3E33"/>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1053"/>
    <w:rsid w:val="00312260"/>
    <w:rsid w:val="00312378"/>
    <w:rsid w:val="00312BF8"/>
    <w:rsid w:val="00312DFC"/>
    <w:rsid w:val="0031318C"/>
    <w:rsid w:val="00313C9D"/>
    <w:rsid w:val="00314C5A"/>
    <w:rsid w:val="00314D13"/>
    <w:rsid w:val="0031531A"/>
    <w:rsid w:val="00315394"/>
    <w:rsid w:val="00315A0E"/>
    <w:rsid w:val="00315D77"/>
    <w:rsid w:val="003166B2"/>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0F39"/>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356"/>
    <w:rsid w:val="003944EA"/>
    <w:rsid w:val="00394639"/>
    <w:rsid w:val="003962E6"/>
    <w:rsid w:val="00396831"/>
    <w:rsid w:val="00397EE1"/>
    <w:rsid w:val="003A03EF"/>
    <w:rsid w:val="003A12B6"/>
    <w:rsid w:val="003A20D5"/>
    <w:rsid w:val="003A24CC"/>
    <w:rsid w:val="003A2EE8"/>
    <w:rsid w:val="003A373C"/>
    <w:rsid w:val="003A3E10"/>
    <w:rsid w:val="003A3FD6"/>
    <w:rsid w:val="003A5330"/>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5C51"/>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3B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98C"/>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51D9"/>
    <w:rsid w:val="005160EA"/>
    <w:rsid w:val="005173F3"/>
    <w:rsid w:val="00517AC8"/>
    <w:rsid w:val="00517C3E"/>
    <w:rsid w:val="0052051D"/>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9E"/>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765"/>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4F8C"/>
    <w:rsid w:val="005B5603"/>
    <w:rsid w:val="005B5994"/>
    <w:rsid w:val="005B61F4"/>
    <w:rsid w:val="005B667A"/>
    <w:rsid w:val="005B6FA1"/>
    <w:rsid w:val="005C0372"/>
    <w:rsid w:val="005C039B"/>
    <w:rsid w:val="005C059F"/>
    <w:rsid w:val="005C07CE"/>
    <w:rsid w:val="005C0B8F"/>
    <w:rsid w:val="005C0CDD"/>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5796C"/>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983"/>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3C1C"/>
    <w:rsid w:val="007444E6"/>
    <w:rsid w:val="0074592C"/>
    <w:rsid w:val="00745F41"/>
    <w:rsid w:val="00747578"/>
    <w:rsid w:val="00751073"/>
    <w:rsid w:val="00752188"/>
    <w:rsid w:val="00752546"/>
    <w:rsid w:val="0075281E"/>
    <w:rsid w:val="00752CC6"/>
    <w:rsid w:val="00754580"/>
    <w:rsid w:val="00754A29"/>
    <w:rsid w:val="00755003"/>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235"/>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1DBD"/>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0A3"/>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0D0"/>
    <w:rsid w:val="00882474"/>
    <w:rsid w:val="008824DF"/>
    <w:rsid w:val="0088378E"/>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2527"/>
    <w:rsid w:val="00933680"/>
    <w:rsid w:val="0093386D"/>
    <w:rsid w:val="00935194"/>
    <w:rsid w:val="0093537B"/>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62EE"/>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3B4A"/>
    <w:rsid w:val="009E5701"/>
    <w:rsid w:val="009E5711"/>
    <w:rsid w:val="009E6249"/>
    <w:rsid w:val="009E6D26"/>
    <w:rsid w:val="009E758E"/>
    <w:rsid w:val="009E7752"/>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DF6"/>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6ED5"/>
    <w:rsid w:val="00B1767E"/>
    <w:rsid w:val="00B203B6"/>
    <w:rsid w:val="00B203CE"/>
    <w:rsid w:val="00B21676"/>
    <w:rsid w:val="00B241D5"/>
    <w:rsid w:val="00B26147"/>
    <w:rsid w:val="00B26677"/>
    <w:rsid w:val="00B26C57"/>
    <w:rsid w:val="00B272C1"/>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1A39"/>
    <w:rsid w:val="00B630F2"/>
    <w:rsid w:val="00B63E7A"/>
    <w:rsid w:val="00B65582"/>
    <w:rsid w:val="00B66054"/>
    <w:rsid w:val="00B66B48"/>
    <w:rsid w:val="00B672EA"/>
    <w:rsid w:val="00B6747B"/>
    <w:rsid w:val="00B70200"/>
    <w:rsid w:val="00B70279"/>
    <w:rsid w:val="00B72CF0"/>
    <w:rsid w:val="00B740F6"/>
    <w:rsid w:val="00B74615"/>
    <w:rsid w:val="00B75035"/>
    <w:rsid w:val="00B75389"/>
    <w:rsid w:val="00B755B6"/>
    <w:rsid w:val="00B76ADC"/>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086"/>
    <w:rsid w:val="00C75A8F"/>
    <w:rsid w:val="00C81716"/>
    <w:rsid w:val="00C82795"/>
    <w:rsid w:val="00C82AAA"/>
    <w:rsid w:val="00C832CB"/>
    <w:rsid w:val="00C84085"/>
    <w:rsid w:val="00C865B3"/>
    <w:rsid w:val="00C86964"/>
    <w:rsid w:val="00C8779E"/>
    <w:rsid w:val="00C87850"/>
    <w:rsid w:val="00C87BD0"/>
    <w:rsid w:val="00C90B95"/>
    <w:rsid w:val="00C90CA9"/>
    <w:rsid w:val="00C91BF6"/>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12"/>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46147"/>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5D2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4DD"/>
    <w:rsid w:val="00D87FE6"/>
    <w:rsid w:val="00D90BC3"/>
    <w:rsid w:val="00D90DB9"/>
    <w:rsid w:val="00D90FC1"/>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5B9B"/>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D"/>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958"/>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24E5"/>
    <w:rsid w:val="00E33954"/>
    <w:rsid w:val="00E3533E"/>
    <w:rsid w:val="00E35A45"/>
    <w:rsid w:val="00E37C85"/>
    <w:rsid w:val="00E43006"/>
    <w:rsid w:val="00E43551"/>
    <w:rsid w:val="00E50809"/>
    <w:rsid w:val="00E50F0A"/>
    <w:rsid w:val="00E510CF"/>
    <w:rsid w:val="00E52AAB"/>
    <w:rsid w:val="00E533B0"/>
    <w:rsid w:val="00E540BA"/>
    <w:rsid w:val="00E5448E"/>
    <w:rsid w:val="00E54E0D"/>
    <w:rsid w:val="00E56795"/>
    <w:rsid w:val="00E57096"/>
    <w:rsid w:val="00E57932"/>
    <w:rsid w:val="00E57DA3"/>
    <w:rsid w:val="00E60811"/>
    <w:rsid w:val="00E61AA9"/>
    <w:rsid w:val="00E64050"/>
    <w:rsid w:val="00E65097"/>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E7A7A"/>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0FF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4DFF"/>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4F64"/>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2E0484"/>
    <w:rsid w:val="02DA0C0E"/>
    <w:rsid w:val="02F970C1"/>
    <w:rsid w:val="03DD35E4"/>
    <w:rsid w:val="06242F9B"/>
    <w:rsid w:val="065A6178"/>
    <w:rsid w:val="073718A2"/>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86742B0"/>
    <w:rsid w:val="1B2A271F"/>
    <w:rsid w:val="1B890139"/>
    <w:rsid w:val="1D266CE1"/>
    <w:rsid w:val="1D3963AF"/>
    <w:rsid w:val="1E714A66"/>
    <w:rsid w:val="1F1E21B5"/>
    <w:rsid w:val="1FE868A9"/>
    <w:rsid w:val="211E26D6"/>
    <w:rsid w:val="21283D08"/>
    <w:rsid w:val="25B440B3"/>
    <w:rsid w:val="2AA1365A"/>
    <w:rsid w:val="2DD15014"/>
    <w:rsid w:val="2FD25781"/>
    <w:rsid w:val="319C6071"/>
    <w:rsid w:val="32DB72BE"/>
    <w:rsid w:val="342E63AB"/>
    <w:rsid w:val="345D260B"/>
    <w:rsid w:val="365302AE"/>
    <w:rsid w:val="37F142D2"/>
    <w:rsid w:val="39A13F14"/>
    <w:rsid w:val="3C5F759A"/>
    <w:rsid w:val="3D5C78D4"/>
    <w:rsid w:val="3DA912E1"/>
    <w:rsid w:val="3FFF72A6"/>
    <w:rsid w:val="42E1381E"/>
    <w:rsid w:val="43FB717C"/>
    <w:rsid w:val="451E447A"/>
    <w:rsid w:val="45345B76"/>
    <w:rsid w:val="45705B7A"/>
    <w:rsid w:val="47307808"/>
    <w:rsid w:val="486F747C"/>
    <w:rsid w:val="4D637C08"/>
    <w:rsid w:val="4D861CF6"/>
    <w:rsid w:val="51A0432A"/>
    <w:rsid w:val="527140E5"/>
    <w:rsid w:val="5292508F"/>
    <w:rsid w:val="52A96B6F"/>
    <w:rsid w:val="550764A4"/>
    <w:rsid w:val="551926E0"/>
    <w:rsid w:val="561279B9"/>
    <w:rsid w:val="56515F3B"/>
    <w:rsid w:val="572B71CA"/>
    <w:rsid w:val="57711B71"/>
    <w:rsid w:val="57E958DA"/>
    <w:rsid w:val="587913C0"/>
    <w:rsid w:val="58AE4F0C"/>
    <w:rsid w:val="5A2A7C7B"/>
    <w:rsid w:val="5C80234E"/>
    <w:rsid w:val="5E261785"/>
    <w:rsid w:val="5FCC5339"/>
    <w:rsid w:val="5FE70807"/>
    <w:rsid w:val="60E53485"/>
    <w:rsid w:val="61054A27"/>
    <w:rsid w:val="611D2366"/>
    <w:rsid w:val="62885958"/>
    <w:rsid w:val="641576F6"/>
    <w:rsid w:val="64CE2EAA"/>
    <w:rsid w:val="662E75B1"/>
    <w:rsid w:val="66342C2E"/>
    <w:rsid w:val="663E784C"/>
    <w:rsid w:val="685867EC"/>
    <w:rsid w:val="6A2121EF"/>
    <w:rsid w:val="6DB43CD4"/>
    <w:rsid w:val="6E8E12EF"/>
    <w:rsid w:val="71D43752"/>
    <w:rsid w:val="733E397A"/>
    <w:rsid w:val="73DD6243"/>
    <w:rsid w:val="749C4185"/>
    <w:rsid w:val="75DA2C18"/>
    <w:rsid w:val="775319EF"/>
    <w:rsid w:val="790F1C77"/>
    <w:rsid w:val="7A67303B"/>
    <w:rsid w:val="7AAB1D04"/>
    <w:rsid w:val="7ABA4368"/>
    <w:rsid w:val="7B257FFD"/>
    <w:rsid w:val="7B4A0B0F"/>
    <w:rsid w:val="7C2B1DA5"/>
    <w:rsid w:val="7D991AF0"/>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link w:val="543"/>
    <w:qFormat/>
    <w:uiPriority w:val="0"/>
    <w:pPr>
      <w:ind w:firstLine="420"/>
    </w:pPr>
    <w:rPr>
      <w:szCs w:val="20"/>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7"/>
    <w:qFormat/>
    <w:locked/>
    <w:uiPriority w:val="99"/>
    <w:rPr>
      <w:kern w:val="2"/>
      <w:sz w:val="18"/>
      <w:szCs w:val="18"/>
    </w:rPr>
  </w:style>
  <w:style w:type="character" w:customStyle="1" w:styleId="635">
    <w:name w:val="页眉 Char2"/>
    <w:link w:val="38"/>
    <w:qFormat/>
    <w:uiPriority w:val="99"/>
    <w:rPr>
      <w:kern w:val="2"/>
      <w:sz w:val="18"/>
      <w:szCs w:val="18"/>
    </w:rPr>
  </w:style>
  <w:style w:type="table" w:customStyle="1" w:styleId="636">
    <w:name w:val="网格型2"/>
    <w:basedOn w:val="60"/>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7ED7B-1C2F-4477-ADB6-45114422DEE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95</Pages>
  <Words>50830</Words>
  <Characters>54262</Characters>
  <Lines>413</Lines>
  <Paragraphs>116</Paragraphs>
  <TotalTime>2</TotalTime>
  <ScaleCrop>false</ScaleCrop>
  <LinksUpToDate>false</LinksUpToDate>
  <CharactersWithSpaces>60352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lenovo</cp:lastModifiedBy>
  <cp:lastPrinted>2026-05-27T02:28:06Z</cp:lastPrinted>
  <dcterms:modified xsi:type="dcterms:W3CDTF">2026-05-27T02:28:20Z</dcterms:modified>
  <dc:title>北海市政府采购中心</dc:title>
  <cp:revision>1168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87AF7047CEC84137AA61D2D3CE84D79D</vt:lpwstr>
  </property>
</Properties>
</file>