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outlineLvl w:val="0"/>
        <w:rPr>
          <w:rFonts w:hint="eastAsia" w:ascii="宋体" w:hAnsi="宋体" w:eastAsia="宋体" w:cs="宋体"/>
          <w:b/>
          <w:sz w:val="36"/>
          <w:szCs w:val="36"/>
          <w:lang w:val="en-US" w:eastAsia="zh-CN"/>
        </w:rPr>
      </w:pPr>
      <w:bookmarkStart w:id="0" w:name="OLE_LINK19"/>
      <w:bookmarkStart w:id="1" w:name="_Toc9838479"/>
      <w:bookmarkStart w:id="2" w:name="OLE_LINK84"/>
      <w:r>
        <w:rPr>
          <w:rFonts w:hint="eastAsia" w:ascii="宋体" w:hAnsi="宋体" w:cs="宋体"/>
          <w:b/>
          <w:sz w:val="36"/>
          <w:szCs w:val="36"/>
          <w:lang w:val="en-US" w:eastAsia="zh-CN"/>
        </w:rPr>
        <w:t>附件</w:t>
      </w:r>
    </w:p>
    <w:p>
      <w:pPr>
        <w:spacing w:line="360" w:lineRule="auto"/>
        <w:jc w:val="center"/>
        <w:outlineLvl w:val="0"/>
        <w:rPr>
          <w:rFonts w:hint="eastAsia" w:ascii="宋体" w:hAnsi="宋体" w:eastAsia="宋体" w:cs="宋体"/>
          <w:b/>
          <w:sz w:val="36"/>
          <w:szCs w:val="36"/>
        </w:rPr>
      </w:pPr>
      <w:r>
        <w:rPr>
          <w:rFonts w:hint="eastAsia" w:ascii="宋体" w:hAnsi="宋体" w:eastAsia="宋体" w:cs="宋体"/>
          <w:b/>
          <w:sz w:val="36"/>
          <w:szCs w:val="36"/>
        </w:rPr>
        <w:t>第三部分  采购需求</w:t>
      </w:r>
    </w:p>
    <w:p>
      <w:pPr>
        <w:spacing w:line="300" w:lineRule="exact"/>
        <w:rPr>
          <w:rFonts w:hint="eastAsia" w:ascii="宋体" w:hAnsi="宋体" w:eastAsia="宋体" w:cs="宋体"/>
          <w:bCs/>
          <w:sz w:val="24"/>
        </w:rPr>
      </w:pPr>
      <w:r>
        <w:rPr>
          <w:rFonts w:hint="eastAsia" w:ascii="宋体" w:hAnsi="宋体" w:eastAsia="宋体" w:cs="宋体"/>
          <w:bCs/>
          <w:sz w:val="24"/>
        </w:rPr>
        <w:t>说明：</w:t>
      </w:r>
    </w:p>
    <w:p>
      <w:pPr>
        <w:spacing w:line="240" w:lineRule="auto"/>
        <w:ind w:firstLine="480" w:firstLineChars="200"/>
        <w:rPr>
          <w:rFonts w:hint="eastAsia" w:ascii="宋体" w:hAnsi="宋体" w:eastAsia="宋体" w:cs="宋体"/>
          <w:bCs/>
          <w:sz w:val="24"/>
        </w:rPr>
      </w:pPr>
      <w:r>
        <w:rPr>
          <w:rFonts w:hint="eastAsia" w:ascii="宋体" w:hAnsi="宋体" w:eastAsia="宋体" w:cs="宋体"/>
          <w:bCs/>
          <w:sz w:val="24"/>
        </w:rPr>
        <w:t>1.下表中的品牌型号、技术参数仅起参考作用，投标人可选用其他品牌型号替代，但这些替代的产品要实质上相当于或优于参考品牌型号及其技术参数性能（配置）要求。</w:t>
      </w:r>
    </w:p>
    <w:p>
      <w:pPr>
        <w:spacing w:line="240" w:lineRule="auto"/>
        <w:ind w:firstLine="480" w:firstLineChars="200"/>
        <w:rPr>
          <w:rFonts w:hint="eastAsia" w:ascii="宋体" w:hAnsi="宋体" w:eastAsia="宋体" w:cs="宋体"/>
          <w:bCs/>
          <w:sz w:val="24"/>
        </w:rPr>
      </w:pPr>
      <w:r>
        <w:rPr>
          <w:rFonts w:hint="eastAsia" w:ascii="宋体" w:hAnsi="宋体" w:eastAsia="宋体" w:cs="宋体"/>
          <w:bCs/>
          <w:sz w:val="24"/>
        </w:rPr>
        <w:t>2.本项目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pPr>
        <w:spacing w:line="240" w:lineRule="auto"/>
        <w:ind w:firstLine="480" w:firstLineChars="200"/>
        <w:rPr>
          <w:rFonts w:hint="eastAsia" w:ascii="宋体" w:hAnsi="宋体" w:eastAsia="宋体" w:cs="宋体"/>
          <w:bCs/>
          <w:sz w:val="24"/>
        </w:rPr>
      </w:pPr>
      <w:r>
        <w:rPr>
          <w:rFonts w:hint="eastAsia" w:ascii="宋体" w:hAnsi="宋体" w:eastAsia="宋体" w:cs="宋体"/>
          <w:bCs/>
          <w:sz w:val="24"/>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pPr>
        <w:snapToGrid w:val="0"/>
        <w:spacing w:line="240" w:lineRule="auto"/>
        <w:ind w:firstLine="480" w:firstLineChars="200"/>
        <w:rPr>
          <w:rFonts w:hint="eastAsia" w:ascii="宋体" w:hAnsi="宋体" w:eastAsia="宋体" w:cs="宋体"/>
          <w:bCs/>
          <w:sz w:val="24"/>
        </w:rPr>
      </w:pPr>
      <w:bookmarkStart w:id="3" w:name="OLE_LINK80"/>
      <w:bookmarkStart w:id="4" w:name="OLE_LINK79"/>
      <w:r>
        <w:rPr>
          <w:rFonts w:hint="eastAsia" w:ascii="宋体" w:hAnsi="宋体" w:eastAsia="宋体" w:cs="宋体"/>
          <w:bCs/>
          <w:sz w:val="24"/>
        </w:rPr>
        <w:t>4.本一览表中带“▲”的条款为本次采购的实质性(关键性)的商务、技术或服务要求，投标人须满足或优于，否则，将会被认定为无效投标。标明“★”号的参数为重要技术参数，作为评分依据。除标明“▲”号的参数以外，其余参数仅为参考要求，在评标时不作为判定投标无效的依据。</w:t>
      </w:r>
    </w:p>
    <w:p>
      <w:pPr>
        <w:pStyle w:val="3"/>
        <w:spacing w:line="240" w:lineRule="auto"/>
        <w:ind w:left="0" w:leftChars="0"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5.本项目标的所属行业均为：</w:t>
      </w:r>
      <w:r>
        <w:rPr>
          <w:rFonts w:hint="eastAsia" w:ascii="宋体" w:hAnsi="宋体" w:eastAsia="宋体" w:cs="宋体"/>
          <w:b w:val="0"/>
          <w:bCs/>
          <w:kern w:val="2"/>
          <w:sz w:val="24"/>
          <w:szCs w:val="24"/>
          <w:u w:val="single"/>
          <w:lang w:val="en-US" w:eastAsia="zh-CN" w:bidi="ar-SA"/>
        </w:rPr>
        <w:t xml:space="preserve">  工业    </w:t>
      </w:r>
      <w:r>
        <w:rPr>
          <w:rFonts w:hint="eastAsia" w:ascii="宋体" w:hAnsi="宋体" w:eastAsia="宋体" w:cs="宋体"/>
          <w:b w:val="0"/>
          <w:bCs/>
          <w:kern w:val="2"/>
          <w:sz w:val="24"/>
          <w:szCs w:val="24"/>
          <w:lang w:val="en-US" w:eastAsia="zh-CN" w:bidi="ar-SA"/>
        </w:rPr>
        <w:t>；划分依据：《关于印发中小企业划型标准规定的通知》（工信部联企业[2011]300号）</w:t>
      </w:r>
    </w:p>
    <w:bookmarkEnd w:id="3"/>
    <w:bookmarkEnd w:id="4"/>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
        <w:gridCol w:w="80"/>
        <w:gridCol w:w="1432"/>
        <w:gridCol w:w="70"/>
        <w:gridCol w:w="638"/>
        <w:gridCol w:w="705"/>
        <w:gridCol w:w="6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55" w:type="dxa"/>
            <w:gridSpan w:val="7"/>
            <w:noWrap/>
            <w:vAlign w:val="center"/>
          </w:tcPr>
          <w:p>
            <w:pPr>
              <w:jc w:val="center"/>
              <w:rPr>
                <w:rFonts w:hint="eastAsia" w:ascii="宋体" w:hAnsi="宋体" w:eastAsia="宋体" w:cs="宋体"/>
                <w:b/>
                <w:szCs w:val="21"/>
              </w:rPr>
            </w:pPr>
            <w:r>
              <w:rPr>
                <w:rFonts w:hint="eastAsia" w:ascii="宋体" w:hAnsi="宋体" w:eastAsia="宋体" w:cs="宋体"/>
                <w:b/>
                <w:szCs w:val="21"/>
              </w:rPr>
              <w:t>技术参数要求表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636" w:type="dxa"/>
            <w:gridSpan w:val="2"/>
            <w:noWrap/>
            <w:vAlign w:val="center"/>
          </w:tcPr>
          <w:p>
            <w:pPr>
              <w:rPr>
                <w:rFonts w:hint="eastAsia" w:ascii="宋体" w:hAnsi="宋体" w:eastAsia="宋体" w:cs="宋体"/>
                <w:szCs w:val="21"/>
              </w:rPr>
            </w:pPr>
            <w:r>
              <w:rPr>
                <w:rFonts w:hint="eastAsia" w:ascii="宋体" w:hAnsi="宋体" w:eastAsia="宋体" w:cs="宋体"/>
                <w:szCs w:val="21"/>
              </w:rPr>
              <w:t>序号</w:t>
            </w:r>
          </w:p>
        </w:tc>
        <w:tc>
          <w:tcPr>
            <w:tcW w:w="1432" w:type="dxa"/>
            <w:noWrap/>
            <w:vAlign w:val="center"/>
          </w:tcPr>
          <w:p>
            <w:pPr>
              <w:rPr>
                <w:rFonts w:hint="eastAsia" w:ascii="宋体" w:hAnsi="宋体" w:eastAsia="宋体" w:cs="宋体"/>
                <w:szCs w:val="21"/>
              </w:rPr>
            </w:pPr>
            <w:r>
              <w:rPr>
                <w:rFonts w:hint="eastAsia" w:ascii="宋体" w:hAnsi="宋体" w:eastAsia="宋体" w:cs="宋体"/>
                <w:szCs w:val="21"/>
              </w:rPr>
              <w:t>项目名称</w:t>
            </w:r>
          </w:p>
        </w:tc>
        <w:tc>
          <w:tcPr>
            <w:tcW w:w="708" w:type="dxa"/>
            <w:gridSpan w:val="2"/>
            <w:noWrap/>
            <w:vAlign w:val="center"/>
          </w:tcPr>
          <w:p>
            <w:pPr>
              <w:rPr>
                <w:rFonts w:hint="eastAsia" w:ascii="宋体" w:hAnsi="宋体" w:eastAsia="宋体" w:cs="宋体"/>
                <w:szCs w:val="21"/>
              </w:rPr>
            </w:pPr>
            <w:r>
              <w:rPr>
                <w:rFonts w:hint="eastAsia" w:ascii="宋体" w:hAnsi="宋体" w:eastAsia="宋体" w:cs="宋体"/>
                <w:szCs w:val="21"/>
              </w:rPr>
              <w:t>单位</w:t>
            </w:r>
          </w:p>
        </w:tc>
        <w:tc>
          <w:tcPr>
            <w:tcW w:w="705" w:type="dxa"/>
            <w:noWrap/>
            <w:vAlign w:val="center"/>
          </w:tcPr>
          <w:p>
            <w:pPr>
              <w:rPr>
                <w:rFonts w:hint="eastAsia" w:ascii="宋体" w:hAnsi="宋体" w:eastAsia="宋体" w:cs="宋体"/>
                <w:szCs w:val="21"/>
              </w:rPr>
            </w:pPr>
            <w:r>
              <w:rPr>
                <w:rFonts w:hint="eastAsia" w:ascii="宋体" w:hAnsi="宋体" w:eastAsia="宋体" w:cs="宋体"/>
                <w:szCs w:val="21"/>
              </w:rPr>
              <w:t>数量</w:t>
            </w:r>
          </w:p>
        </w:tc>
        <w:tc>
          <w:tcPr>
            <w:tcW w:w="6374" w:type="dxa"/>
            <w:vAlign w:val="center"/>
          </w:tcPr>
          <w:p>
            <w:pPr>
              <w:rPr>
                <w:rFonts w:hint="eastAsia" w:ascii="宋体" w:hAnsi="宋体" w:eastAsia="宋体" w:cs="宋体"/>
                <w:szCs w:val="21"/>
              </w:rPr>
            </w:pPr>
            <w:r>
              <w:rPr>
                <w:rFonts w:hint="eastAsia" w:ascii="宋体" w:hAnsi="宋体" w:eastAsia="宋体" w:cs="宋体"/>
                <w:szCs w:val="21"/>
              </w:rPr>
              <w:t xml:space="preserve">技术参数及配备要求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636" w:type="dxa"/>
            <w:gridSpan w:val="2"/>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w:t>
            </w:r>
          </w:p>
        </w:tc>
        <w:tc>
          <w:tcPr>
            <w:tcW w:w="1432"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1.5P变频挂式空调</w:t>
            </w:r>
          </w:p>
        </w:tc>
        <w:tc>
          <w:tcPr>
            <w:tcW w:w="708" w:type="dxa"/>
            <w:gridSpan w:val="2"/>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705" w:type="dxa"/>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193</w:t>
            </w:r>
          </w:p>
        </w:tc>
        <w:tc>
          <w:tcPr>
            <w:tcW w:w="6374"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1.运行模式：变频</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2.能效等级：一级</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▲3.APF：≥5.2</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▲4.额定制冷量(W)：≥3510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▲5.额定制热量(W)：≥5010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▲6.额定制冷功率(W)：≤830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★7.额定制热功率(W)：≤1260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8.电辅热功率(W)：≤1010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9.室内机噪音高风dB(A）：≤35.5</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10.室外机噪音dB(A）：≤51.5</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★11.循环风量（m³/h)：≥735</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12.整机最大输入功率(W)：≤2900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13.整机最大输入电流(A)：≤13.4</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14.电压/频率（V/HZ）：220V/50HZ</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15.为了方便核对参数及后期设备验收，以上参数以空调内机张贴铭牌或产品检测报告中的铭牌值为准。</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default"/>
                <w:lang w:val="en-US"/>
              </w:rPr>
            </w:pPr>
            <w:r>
              <w:rPr>
                <w:rFonts w:hint="eastAsia" w:ascii="仿宋" w:hAnsi="仿宋" w:eastAsia="仿宋" w:cs="仿宋"/>
                <w:b w:val="0"/>
                <w:bCs w:val="0"/>
                <w:kern w:val="0"/>
                <w:sz w:val="24"/>
                <w:szCs w:val="24"/>
                <w:lang w:val="en-US" w:eastAsia="zh-CN" w:bidi="ar"/>
              </w:rPr>
              <w:t>16.自带断电记忆功能。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636" w:type="dxa"/>
            <w:gridSpan w:val="2"/>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w:t>
            </w:r>
          </w:p>
        </w:tc>
        <w:tc>
          <w:tcPr>
            <w:tcW w:w="1432"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2P变频挂式空调</w:t>
            </w:r>
          </w:p>
        </w:tc>
        <w:tc>
          <w:tcPr>
            <w:tcW w:w="708" w:type="dxa"/>
            <w:gridSpan w:val="2"/>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705" w:type="dxa"/>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19</w:t>
            </w:r>
          </w:p>
        </w:tc>
        <w:tc>
          <w:tcPr>
            <w:tcW w:w="6374"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1.运行模式：变频</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2.能效等级：一级</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▲3.APF：≥4.7</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▲4.额定制冷量(W)：≥5050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▲5.额定制热量(W)：≥7210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▲6.额定制冷功率(W)：≤1270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7.额定制热功率(W)：≤1970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8.电辅热功率(W)：≤1210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9.室内机噪音高风dB(A）：≤41</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10.室外机噪音dB(A）：≤53</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11.循环风量（m³/h)：≥1000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12.整机最大输入功率(W)：≤4400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13.整机最大输入电流(A)：≤17.4</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14.电压/频率（V/HZ）：220V/50HZ</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15.为了方便核对参数及后期设备验收，以上参数以空调内机张贴铭牌或产品检测报告中的铭牌值为准。</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b w:val="0"/>
                <w:bCs w:val="0"/>
                <w:kern w:val="0"/>
                <w:sz w:val="24"/>
                <w:szCs w:val="24"/>
                <w:lang w:val="en-US" w:eastAsia="zh-CN" w:bidi="ar"/>
              </w:rPr>
              <w:t>16.自带断电记忆功能。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gridSpan w:val="2"/>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3</w:t>
            </w:r>
          </w:p>
        </w:tc>
        <w:tc>
          <w:tcPr>
            <w:tcW w:w="1432"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3P变频柜式空调</w:t>
            </w:r>
          </w:p>
        </w:tc>
        <w:tc>
          <w:tcPr>
            <w:tcW w:w="708" w:type="dxa"/>
            <w:gridSpan w:val="2"/>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705" w:type="dxa"/>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25</w:t>
            </w:r>
          </w:p>
        </w:tc>
        <w:tc>
          <w:tcPr>
            <w:tcW w:w="6374"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1.运行模式：变频</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2.能效等级：二级或二级以上</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▲3.APF：≥4.1</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▲4.额定制冷量(W)：≥7320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▲5.额定制热量(W)：≥9640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▲6.额定制冷功率(W)：≤2090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★7.额定制热功率(W)：≤2780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8.电辅热功率(W)：≤2110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9.室内机噪音高风dB(A）：≤43</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10.室外机噪音dB(A）：≤56</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11.循环风量（m³/h)：≥1205</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12.整机最大输入功率(W)：≤6180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13.最大输入电流(A)：≤27</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14.电压/频率（V/HZ）：220V/50HZ</w:t>
            </w:r>
          </w:p>
          <w:p>
            <w:pPr>
              <w:keepNext w:val="0"/>
              <w:keepLines w:val="0"/>
              <w:pageBreakBefore w:val="0"/>
              <w:widowControl/>
              <w:numPr>
                <w:ilvl w:val="0"/>
                <w:numId w:val="0"/>
              </w:numPr>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15.为了方便核对参数及后期设备验收，以上参数以空调内机张贴铭牌或产品检测报告中的铭牌值为准。</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b w:val="0"/>
                <w:bCs w:val="0"/>
                <w:kern w:val="0"/>
                <w:sz w:val="24"/>
                <w:szCs w:val="24"/>
                <w:lang w:val="en-US" w:eastAsia="zh-CN" w:bidi="ar"/>
              </w:rPr>
              <w:t>16.自带断电记忆功能。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gridSpan w:val="2"/>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4</w:t>
            </w:r>
          </w:p>
        </w:tc>
        <w:tc>
          <w:tcPr>
            <w:tcW w:w="1432"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5P变频天井机空调</w:t>
            </w:r>
          </w:p>
        </w:tc>
        <w:tc>
          <w:tcPr>
            <w:tcW w:w="708" w:type="dxa"/>
            <w:gridSpan w:val="2"/>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705" w:type="dxa"/>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44</w:t>
            </w:r>
          </w:p>
        </w:tc>
        <w:tc>
          <w:tcPr>
            <w:tcW w:w="6374"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1.运行模式：变频</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2.能效等级：一级</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▲3.APF：≥3.90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▲4.额定制冷量(W)：≥12000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▲5.额定制热量(W)：≥13450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▲6.额定制冷功率(W)：≤4210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7.额定制热功率(W)：≤4110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8.电辅热功率(W)：≤1800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9.室内机噪音高风dB(A）：≤49</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10.室外机噪音dB(A）：≤60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11.风量（m³/h)：≥1800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12.整机最大输入功率(W)：≤7670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13.整机最大输入电流(A)：≤14.5</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14.电压/频率（V/HZ）：380V3N～/50Hz</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15.为了方便核对参数及后期设备验收，以上参数以空调内机张贴铭牌或产品检测报告中的铭牌值为准。</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b w:val="0"/>
                <w:bCs w:val="0"/>
                <w:kern w:val="0"/>
                <w:sz w:val="24"/>
                <w:szCs w:val="24"/>
                <w:lang w:val="en-US" w:eastAsia="zh-CN" w:bidi="ar"/>
              </w:rPr>
              <w:t>16.自带断电记忆功能。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6" w:type="dxa"/>
            <w:gridSpan w:val="2"/>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5</w:t>
            </w:r>
          </w:p>
        </w:tc>
        <w:tc>
          <w:tcPr>
            <w:tcW w:w="1432"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5P变频柜式空调</w:t>
            </w:r>
          </w:p>
        </w:tc>
        <w:tc>
          <w:tcPr>
            <w:tcW w:w="708" w:type="dxa"/>
            <w:gridSpan w:val="2"/>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台</w:t>
            </w:r>
          </w:p>
        </w:tc>
        <w:tc>
          <w:tcPr>
            <w:tcW w:w="705" w:type="dxa"/>
            <w:vAlign w:val="center"/>
          </w:tcPr>
          <w:p>
            <w:pPr>
              <w:keepNext w:val="0"/>
              <w:keepLines w:val="0"/>
              <w:widowControl/>
              <w:suppressLineNumbers w:val="0"/>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4</w:t>
            </w:r>
          </w:p>
        </w:tc>
        <w:tc>
          <w:tcPr>
            <w:tcW w:w="6374"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1.运行模式：变频</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2.能效等级：一级</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▲3.APF：≥3.6</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▲4.额定制冷量(W)：≥12150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▲5.额定制热量(W)：≥13850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▲6.额定制冷功率(W)：≤4610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7.额定制热功率(W)：≤4560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8.电辅热功率(W)：≤3210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9.室内机噪音高风dB(A）：≤51</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10.室外机噪音dB(A）：≤60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11.风量（m³/h)：≥2300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12.整机最大输入功率(W)：≤8700</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13.整机最大输入电流(A)：≤17</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14.电压/频率（V/HZ）：380V3N～/50Hz</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仿宋" w:hAnsi="仿宋" w:eastAsia="仿宋" w:cs="仿宋"/>
                <w:b w:val="0"/>
                <w:bCs w:val="0"/>
                <w:i w:val="0"/>
                <w:iCs w:val="0"/>
                <w:color w:val="000000"/>
                <w:kern w:val="0"/>
                <w:sz w:val="24"/>
                <w:szCs w:val="24"/>
                <w:u w:val="none"/>
                <w:lang w:val="en-US" w:eastAsia="zh-CN" w:bidi="ar"/>
              </w:rPr>
            </w:pPr>
            <w:r>
              <w:rPr>
                <w:rFonts w:hint="eastAsia" w:ascii="仿宋" w:hAnsi="仿宋" w:eastAsia="仿宋" w:cs="仿宋"/>
                <w:b w:val="0"/>
                <w:bCs w:val="0"/>
                <w:i w:val="0"/>
                <w:iCs w:val="0"/>
                <w:color w:val="000000"/>
                <w:kern w:val="0"/>
                <w:sz w:val="24"/>
                <w:szCs w:val="24"/>
                <w:u w:val="none"/>
                <w:lang w:val="en-US" w:eastAsia="zh-CN" w:bidi="ar"/>
              </w:rPr>
              <w:t>15.为了方便核对参数及后期设备验收，以上参数以空调内机张贴铭牌或产品检测报告中的铭牌值为准。</w:t>
            </w:r>
          </w:p>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 w:hAnsi="仿宋" w:eastAsia="仿宋" w:cs="仿宋"/>
                <w:b w:val="0"/>
                <w:bCs w:val="0"/>
                <w:kern w:val="0"/>
                <w:sz w:val="24"/>
                <w:szCs w:val="24"/>
                <w:lang w:val="en-US" w:eastAsia="zh-CN" w:bidi="ar"/>
              </w:rPr>
              <w:t>16.自带断电记忆功能。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6" w:type="dxa"/>
            <w:gridSpan w:val="2"/>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432" w:type="dxa"/>
            <w:vAlign w:val="center"/>
          </w:tcPr>
          <w:p>
            <w:pPr>
              <w:wordWrap w:val="0"/>
              <w:topLinePunct/>
              <w:adjustRightInd w:val="0"/>
              <w:snapToGrid w:val="0"/>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sz w:val="21"/>
                <w:szCs w:val="21"/>
                <w:highlight w:val="none"/>
              </w:rPr>
              <w:t>室外机支架</w:t>
            </w:r>
          </w:p>
        </w:tc>
        <w:tc>
          <w:tcPr>
            <w:tcW w:w="708" w:type="dxa"/>
            <w:gridSpan w:val="2"/>
            <w:vAlign w:val="center"/>
          </w:tcPr>
          <w:p>
            <w:pPr>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套</w:t>
            </w:r>
          </w:p>
        </w:tc>
        <w:tc>
          <w:tcPr>
            <w:tcW w:w="705" w:type="dxa"/>
            <w:vAlign w:val="center"/>
          </w:tcPr>
          <w:p>
            <w:pPr>
              <w:wordWrap w:val="0"/>
              <w:topLinePunct/>
              <w:adjustRightInd w:val="0"/>
              <w:snapToGrid w:val="0"/>
              <w:jc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285</w:t>
            </w:r>
          </w:p>
        </w:tc>
        <w:tc>
          <w:tcPr>
            <w:tcW w:w="6374" w:type="dxa"/>
            <w:vAlign w:val="center"/>
          </w:tcPr>
          <w:p>
            <w:pPr>
              <w:widowControl/>
              <w:spacing w:line="400" w:lineRule="exact"/>
              <w:jc w:val="left"/>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color w:val="000000"/>
                <w:sz w:val="21"/>
                <w:szCs w:val="21"/>
                <w:highlight w:val="none"/>
              </w:rPr>
              <w:t>镀锌支架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6" w:type="dxa"/>
            <w:gridSpan w:val="2"/>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432"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1.5P铜管</w:t>
            </w:r>
          </w:p>
        </w:tc>
        <w:tc>
          <w:tcPr>
            <w:tcW w:w="708" w:type="dxa"/>
            <w:gridSpan w:val="2"/>
            <w:vAlign w:val="center"/>
          </w:tcPr>
          <w:p>
            <w:pPr>
              <w:keepNext w:val="0"/>
              <w:keepLines w:val="0"/>
              <w:widowControl/>
              <w:suppressLineNumbers w:val="0"/>
              <w:jc w:val="center"/>
              <w:textAlignment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米</w:t>
            </w:r>
          </w:p>
        </w:tc>
        <w:tc>
          <w:tcPr>
            <w:tcW w:w="70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965</w:t>
            </w:r>
          </w:p>
        </w:tc>
        <w:tc>
          <w:tcPr>
            <w:tcW w:w="6374" w:type="dxa"/>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Φ6/Φ10</w:t>
            </w:r>
            <w:r>
              <w:rPr>
                <w:rFonts w:hint="eastAsia" w:ascii="宋体" w:hAnsi="宋体" w:eastAsia="宋体" w:cs="宋体"/>
                <w:color w:val="000000"/>
                <w:sz w:val="21"/>
                <w:szCs w:val="21"/>
                <w:highlight w:val="none"/>
              </w:rPr>
              <w:t>，含保温、信号线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6"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4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2P铜管</w:t>
            </w:r>
          </w:p>
        </w:tc>
        <w:tc>
          <w:tcPr>
            <w:tcW w:w="708" w:type="dxa"/>
            <w:gridSpan w:val="2"/>
            <w:vAlign w:val="center"/>
          </w:tcPr>
          <w:p>
            <w:pPr>
              <w:keepNext w:val="0"/>
              <w:keepLines w:val="0"/>
              <w:widowControl/>
              <w:suppressLineNumbers w:val="0"/>
              <w:jc w:val="center"/>
              <w:textAlignment w:val="center"/>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米</w:t>
            </w:r>
          </w:p>
        </w:tc>
        <w:tc>
          <w:tcPr>
            <w:tcW w:w="70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76</w:t>
            </w:r>
          </w:p>
        </w:tc>
        <w:tc>
          <w:tcPr>
            <w:tcW w:w="6374"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u w:val="none"/>
                <w:lang w:val="en-US" w:eastAsia="zh-CN" w:bidi="ar"/>
              </w:rPr>
              <w:t>Φ</w:t>
            </w:r>
            <w:r>
              <w:rPr>
                <w:rFonts w:hint="eastAsia" w:ascii="宋体" w:hAnsi="宋体" w:eastAsia="宋体" w:cs="宋体"/>
                <w:color w:val="000000"/>
                <w:sz w:val="21"/>
                <w:szCs w:val="21"/>
                <w:highlight w:val="none"/>
              </w:rPr>
              <w:t>6</w:t>
            </w:r>
            <w:r>
              <w:rPr>
                <w:rFonts w:hint="eastAsia" w:ascii="宋体" w:hAnsi="宋体" w:eastAsia="宋体" w:cs="宋体"/>
                <w:i w:val="0"/>
                <w:iCs w:val="0"/>
                <w:color w:val="000000"/>
                <w:kern w:val="0"/>
                <w:sz w:val="21"/>
                <w:szCs w:val="21"/>
                <w:u w:val="none"/>
                <w:lang w:val="en-US" w:eastAsia="zh-CN" w:bidi="ar"/>
              </w:rPr>
              <w:t>/Φ1</w:t>
            </w:r>
            <w:r>
              <w:rPr>
                <w:rFonts w:hint="eastAsia" w:ascii="宋体" w:hAnsi="宋体" w:eastAsia="宋体" w:cs="宋体"/>
                <w:color w:val="000000"/>
                <w:sz w:val="21"/>
                <w:szCs w:val="21"/>
                <w:highlight w:val="none"/>
              </w:rPr>
              <w:t>2，含保温、信号线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6"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4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3P铜管</w:t>
            </w:r>
          </w:p>
        </w:tc>
        <w:tc>
          <w:tcPr>
            <w:tcW w:w="708" w:type="dxa"/>
            <w:gridSpan w:val="2"/>
            <w:vAlign w:val="center"/>
          </w:tcPr>
          <w:p>
            <w:pPr>
              <w:keepNext w:val="0"/>
              <w:keepLines w:val="0"/>
              <w:widowControl/>
              <w:suppressLineNumbers w:val="0"/>
              <w:jc w:val="center"/>
              <w:textAlignment w:val="center"/>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米</w:t>
            </w:r>
          </w:p>
        </w:tc>
        <w:tc>
          <w:tcPr>
            <w:tcW w:w="70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425</w:t>
            </w:r>
          </w:p>
        </w:tc>
        <w:tc>
          <w:tcPr>
            <w:tcW w:w="6374"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u w:val="none"/>
                <w:lang w:val="en-US" w:eastAsia="zh-CN" w:bidi="ar"/>
              </w:rPr>
              <w:t>Φ</w:t>
            </w:r>
            <w:r>
              <w:rPr>
                <w:rFonts w:hint="eastAsia" w:ascii="宋体" w:hAnsi="宋体" w:eastAsia="宋体" w:cs="宋体"/>
                <w:color w:val="000000"/>
                <w:sz w:val="21"/>
                <w:szCs w:val="21"/>
                <w:highlight w:val="none"/>
              </w:rPr>
              <w:t>6</w:t>
            </w:r>
            <w:r>
              <w:rPr>
                <w:rFonts w:hint="eastAsia" w:ascii="宋体" w:hAnsi="宋体" w:eastAsia="宋体" w:cs="宋体"/>
                <w:i w:val="0"/>
                <w:iCs w:val="0"/>
                <w:color w:val="000000"/>
                <w:kern w:val="0"/>
                <w:sz w:val="21"/>
                <w:szCs w:val="21"/>
                <w:u w:val="none"/>
                <w:lang w:val="en-US" w:eastAsia="zh-CN" w:bidi="ar"/>
              </w:rPr>
              <w:t>/Φ1</w:t>
            </w:r>
            <w:r>
              <w:rPr>
                <w:rFonts w:hint="eastAsia" w:ascii="宋体" w:hAnsi="宋体" w:eastAsia="宋体" w:cs="宋体"/>
                <w:color w:val="000000"/>
                <w:sz w:val="21"/>
                <w:szCs w:val="21"/>
                <w:highlight w:val="none"/>
              </w:rPr>
              <w:t>2，含保温、信号线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6" w:type="dxa"/>
            <w:gridSpan w:val="2"/>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432"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5P铜管</w:t>
            </w:r>
          </w:p>
        </w:tc>
        <w:tc>
          <w:tcPr>
            <w:tcW w:w="708" w:type="dxa"/>
            <w:gridSpan w:val="2"/>
            <w:vAlign w:val="center"/>
          </w:tcPr>
          <w:p>
            <w:pPr>
              <w:keepNext w:val="0"/>
              <w:keepLines w:val="0"/>
              <w:widowControl/>
              <w:suppressLineNumbers w:val="0"/>
              <w:jc w:val="center"/>
              <w:textAlignment w:val="center"/>
              <w:rPr>
                <w:rFonts w:hint="eastAsia"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米</w:t>
            </w:r>
          </w:p>
        </w:tc>
        <w:tc>
          <w:tcPr>
            <w:tcW w:w="70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960</w:t>
            </w:r>
          </w:p>
        </w:tc>
        <w:tc>
          <w:tcPr>
            <w:tcW w:w="6374" w:type="dxa"/>
            <w:vAlign w:val="center"/>
          </w:tcPr>
          <w:p>
            <w:pPr>
              <w:keepNext w:val="0"/>
              <w:keepLines w:val="0"/>
              <w:pageBreakBefore w:val="0"/>
              <w:widowControl/>
              <w:suppressLineNumbers w:val="0"/>
              <w:kinsoku/>
              <w:wordWrap/>
              <w:overflowPunct/>
              <w:topLinePunct w:val="0"/>
              <w:autoSpaceDE/>
              <w:autoSpaceDN/>
              <w:bidi w:val="0"/>
              <w:adjustRightInd w:val="0"/>
              <w:snapToGrid/>
              <w:spacing w:line="30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i w:val="0"/>
                <w:iCs w:val="0"/>
                <w:color w:val="000000"/>
                <w:kern w:val="0"/>
                <w:sz w:val="21"/>
                <w:szCs w:val="21"/>
                <w:u w:val="none"/>
                <w:lang w:val="en-US" w:eastAsia="zh-CN" w:bidi="ar"/>
              </w:rPr>
              <w:t>Φ</w:t>
            </w:r>
            <w:r>
              <w:rPr>
                <w:rFonts w:hint="eastAsia" w:ascii="宋体" w:hAnsi="宋体" w:eastAsia="宋体" w:cs="宋体"/>
                <w:color w:val="000000"/>
                <w:sz w:val="21"/>
                <w:szCs w:val="21"/>
                <w:highlight w:val="none"/>
              </w:rPr>
              <w:t>10</w:t>
            </w:r>
            <w:r>
              <w:rPr>
                <w:rFonts w:hint="eastAsia" w:ascii="宋体" w:hAnsi="宋体" w:eastAsia="宋体" w:cs="宋体"/>
                <w:i w:val="0"/>
                <w:iCs w:val="0"/>
                <w:color w:val="000000"/>
                <w:kern w:val="0"/>
                <w:sz w:val="21"/>
                <w:szCs w:val="21"/>
                <w:u w:val="none"/>
                <w:lang w:val="en-US" w:eastAsia="zh-CN" w:bidi="ar"/>
              </w:rPr>
              <w:t>/Φ1</w:t>
            </w:r>
            <w:r>
              <w:rPr>
                <w:rFonts w:hint="eastAsia" w:ascii="宋体" w:hAnsi="宋体" w:eastAsia="宋体" w:cs="宋体"/>
                <w:color w:val="000000"/>
                <w:sz w:val="21"/>
                <w:szCs w:val="21"/>
                <w:highlight w:val="none"/>
              </w:rPr>
              <w:t>6，含保温、信号线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6" w:type="dxa"/>
            <w:gridSpan w:val="2"/>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43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水磨孔</w:t>
            </w:r>
          </w:p>
        </w:tc>
        <w:tc>
          <w:tcPr>
            <w:tcW w:w="708"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70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285</w:t>
            </w:r>
          </w:p>
        </w:tc>
        <w:tc>
          <w:tcPr>
            <w:tcW w:w="6374"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水磨孔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636" w:type="dxa"/>
            <w:gridSpan w:val="2"/>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432"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电源线铺设</w:t>
            </w:r>
          </w:p>
        </w:tc>
        <w:tc>
          <w:tcPr>
            <w:tcW w:w="708" w:type="dxa"/>
            <w:gridSpan w:val="2"/>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项</w:t>
            </w:r>
          </w:p>
        </w:tc>
        <w:tc>
          <w:tcPr>
            <w:tcW w:w="705"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6374"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设备安装学校宿舍、教室、办公室的线路铺设的人工及辅材，包含但不限于（电缆，电线，埋管，辅材，人工等费用）此项按各投标人需要，自行勘查。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636" w:type="dxa"/>
            <w:gridSpan w:val="2"/>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13</w:t>
            </w:r>
          </w:p>
        </w:tc>
        <w:tc>
          <w:tcPr>
            <w:tcW w:w="1432" w:type="dxa"/>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ascii="Segoe UI" w:hAnsi="Segoe UI" w:eastAsia="Segoe UI" w:cs="Segoe UI"/>
                <w:b w:val="0"/>
                <w:bCs w:val="0"/>
                <w:i w:val="0"/>
                <w:iCs w:val="0"/>
                <w:caps w:val="0"/>
                <w:color w:val="0F1115"/>
                <w:spacing w:val="0"/>
                <w:sz w:val="22"/>
                <w:szCs w:val="22"/>
                <w:shd w:val="clear" w:fill="FFFFFF"/>
              </w:rPr>
              <w:t>吊装设备租赁及就位</w:t>
            </w:r>
          </w:p>
        </w:tc>
        <w:tc>
          <w:tcPr>
            <w:tcW w:w="708" w:type="dxa"/>
            <w:gridSpan w:val="2"/>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项</w:t>
            </w:r>
          </w:p>
        </w:tc>
        <w:tc>
          <w:tcPr>
            <w:tcW w:w="705" w:type="dxa"/>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6374" w:type="dxa"/>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设备涉及高楼层外墙安装的</w:t>
            </w:r>
            <w:r>
              <w:rPr>
                <w:rFonts w:ascii="Segoe UI" w:hAnsi="Segoe UI" w:eastAsia="Segoe UI" w:cs="Segoe UI"/>
                <w:b w:val="0"/>
                <w:bCs w:val="0"/>
                <w:i w:val="0"/>
                <w:iCs w:val="0"/>
                <w:caps w:val="0"/>
                <w:color w:val="0F1115"/>
                <w:spacing w:val="0"/>
                <w:sz w:val="22"/>
                <w:szCs w:val="22"/>
                <w:shd w:val="clear" w:fill="FFFFFF"/>
              </w:rPr>
              <w:t>吊车（满足</w:t>
            </w:r>
            <w:r>
              <w:rPr>
                <w:rFonts w:hint="default" w:ascii="Segoe UI" w:hAnsi="Segoe UI" w:eastAsia="Segoe UI" w:cs="Segoe UI"/>
                <w:b w:val="0"/>
                <w:bCs w:val="0"/>
                <w:i w:val="0"/>
                <w:iCs w:val="0"/>
                <w:caps w:val="0"/>
                <w:color w:val="0F1115"/>
                <w:spacing w:val="0"/>
                <w:sz w:val="22"/>
                <w:szCs w:val="22"/>
                <w:shd w:val="clear" w:fill="FFFFFF"/>
              </w:rPr>
              <w:t>≥层外墙作业高度）、吊篮、吊带等全套工具，包运输、操作及安全措施</w:t>
            </w:r>
            <w:r>
              <w:rPr>
                <w:rFonts w:hint="eastAsia" w:ascii="Segoe UI" w:hAnsi="Segoe UI" w:eastAsia="宋体" w:cs="Segoe UI"/>
                <w:b w:val="0"/>
                <w:bCs w:val="0"/>
                <w:i w:val="0"/>
                <w:iCs w:val="0"/>
                <w:caps w:val="0"/>
                <w:color w:val="0F1115"/>
                <w:spacing w:val="0"/>
                <w:sz w:val="22"/>
                <w:szCs w:val="22"/>
                <w:shd w:val="clear" w:fill="FFFFFF"/>
                <w:lang w:eastAsia="zh-CN"/>
              </w:rPr>
              <w:t>，</w:t>
            </w:r>
            <w:r>
              <w:rPr>
                <w:rFonts w:hint="eastAsia" w:ascii="宋体" w:hAnsi="宋体" w:eastAsia="宋体" w:cs="宋体"/>
                <w:i w:val="0"/>
                <w:iCs w:val="0"/>
                <w:color w:val="000000"/>
                <w:kern w:val="0"/>
                <w:sz w:val="21"/>
                <w:szCs w:val="21"/>
                <w:u w:val="none"/>
                <w:lang w:val="en-US" w:eastAsia="zh-CN" w:bidi="ar"/>
              </w:rPr>
              <w:t>此项按各投标人需要，自行勘查。</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5" w:hRule="atLeast"/>
        </w:trPr>
        <w:tc>
          <w:tcPr>
            <w:tcW w:w="9855" w:type="dxa"/>
            <w:gridSpan w:val="7"/>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hint="eastAsia" w:ascii="宋体" w:hAnsi="宋体" w:eastAsia="宋体" w:cs="宋体"/>
                <w:b/>
                <w:bCs/>
                <w:color w:val="000000"/>
                <w:szCs w:val="21"/>
              </w:rPr>
            </w:pPr>
            <w:r>
              <w:rPr>
                <w:rFonts w:hint="eastAsia" w:ascii="宋体" w:hAnsi="宋体" w:eastAsia="宋体" w:cs="宋体"/>
                <w:color w:val="000000"/>
                <w:kern w:val="0"/>
                <w:sz w:val="20"/>
                <w:szCs w:val="20"/>
                <w:lang w:bidi="ar"/>
              </w:rPr>
              <w:t>▲</w:t>
            </w:r>
            <w:r>
              <w:rPr>
                <w:rFonts w:hint="eastAsia" w:ascii="宋体" w:hAnsi="宋体" w:eastAsia="宋体" w:cs="宋体"/>
                <w:b/>
                <w:bCs/>
                <w:color w:val="000000"/>
                <w:kern w:val="0"/>
                <w:szCs w:val="21"/>
                <w:lang w:bidi="ar"/>
              </w:rPr>
              <w:t>商务要求表</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1</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hint="eastAsia" w:ascii="宋体" w:hAnsi="宋体" w:eastAsia="宋体" w:cs="宋体"/>
                <w:b/>
                <w:bCs/>
                <w:kern w:val="2"/>
                <w:sz w:val="21"/>
                <w:szCs w:val="21"/>
                <w:lang w:val="zh-CN" w:eastAsia="zh-CN" w:bidi="ar-SA"/>
              </w:rPr>
            </w:pPr>
            <w:r>
              <w:rPr>
                <w:rFonts w:hint="eastAsia" w:ascii="宋体" w:hAnsi="宋体" w:eastAsia="宋体" w:cs="宋体"/>
                <w:b/>
                <w:bCs/>
                <w:sz w:val="21"/>
                <w:szCs w:val="21"/>
              </w:rPr>
              <w:t>报价要求</w:t>
            </w:r>
          </w:p>
        </w:tc>
        <w:tc>
          <w:tcPr>
            <w:tcW w:w="7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wordWrap w:val="0"/>
              <w:adjustRightInd/>
              <w:snapToGrid w:val="0"/>
              <w:spacing w:line="360" w:lineRule="exact"/>
              <w:jc w:val="left"/>
              <w:rPr>
                <w:rFonts w:hint="eastAsia" w:ascii="宋体" w:hAnsi="宋体" w:eastAsia="宋体" w:cs="宋体"/>
                <w:kern w:val="1"/>
                <w:sz w:val="21"/>
                <w:szCs w:val="21"/>
                <w:lang w:val="zh-CN" w:bidi="ar"/>
              </w:rPr>
            </w:pPr>
            <w:r>
              <w:rPr>
                <w:rFonts w:hint="eastAsia" w:ascii="宋体" w:hAnsi="宋体" w:eastAsia="宋体" w:cs="宋体"/>
                <w:kern w:val="0"/>
                <w:sz w:val="21"/>
                <w:szCs w:val="21"/>
              </w:rPr>
              <w:t>1.投标报价为采购人指定地点的现场交货及安装、调试等的总价包干，包含搬运、空调整体安装调试辅材、水钻打孔、空调专用加长铜管（国标）、室外机不锈钢支架，内外机连接电源线、信号线及排水管等以上设备安装所需辅材等，投标人应对完成本项目至投入使用的所有内容范围的货物（含辅材）及服务进行报价，采购人不再支付其他任何费用，所有辅材均要求按照国标提供。</w:t>
            </w:r>
          </w:p>
          <w:p>
            <w:pPr>
              <w:spacing w:line="360" w:lineRule="exact"/>
              <w:rPr>
                <w:rFonts w:hint="eastAsia" w:ascii="宋体" w:hAnsi="宋体" w:eastAsia="宋体" w:cs="宋体"/>
                <w:color w:val="000000"/>
                <w:kern w:val="2"/>
                <w:sz w:val="21"/>
                <w:szCs w:val="21"/>
                <w:lang w:val="en-US" w:eastAsia="zh-CN" w:bidi="ar"/>
              </w:rPr>
            </w:pPr>
            <w:r>
              <w:rPr>
                <w:rFonts w:hint="eastAsia" w:ascii="宋体" w:hAnsi="宋体" w:eastAsia="宋体" w:cs="宋体"/>
                <w:color w:val="000000"/>
                <w:kern w:val="1"/>
                <w:sz w:val="21"/>
                <w:szCs w:val="21"/>
                <w:lang w:bidi="ar"/>
              </w:rPr>
              <w:t>2</w:t>
            </w:r>
            <w:r>
              <w:rPr>
                <w:rFonts w:hint="eastAsia" w:ascii="宋体" w:hAnsi="宋体" w:eastAsia="宋体" w:cs="宋体"/>
                <w:kern w:val="1"/>
                <w:sz w:val="21"/>
                <w:szCs w:val="21"/>
                <w:lang w:bidi="ar"/>
              </w:rPr>
              <w:t>.评标委员会认为投标人的报价明显低于其他通过符合性审查投标人的报价，有可能影响产品质量或者不能诚信履约的，有权要求其在评标现场合理的时间内提供书面说明，必要时提交相关证明材料。</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lang w:eastAsia="zh-CN"/>
              </w:rPr>
            </w:pPr>
            <w:r>
              <w:rPr>
                <w:rFonts w:hint="eastAsia" w:ascii="宋体" w:hAnsi="宋体" w:eastAsia="宋体" w:cs="宋体"/>
                <w:b/>
                <w:bCs/>
                <w:color w:val="000000"/>
                <w:kern w:val="0"/>
                <w:sz w:val="21"/>
                <w:szCs w:val="21"/>
                <w:lang w:val="en-US" w:eastAsia="zh-CN" w:bidi="ar"/>
              </w:rPr>
              <w:t>2</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wordWrap w:val="0"/>
              <w:spacing w:line="360" w:lineRule="exact"/>
              <w:jc w:val="center"/>
              <w:rPr>
                <w:rFonts w:hint="eastAsia" w:ascii="宋体" w:hAnsi="宋体" w:eastAsia="宋体" w:cs="宋体"/>
                <w:b/>
                <w:bCs/>
                <w:color w:val="000000"/>
                <w:sz w:val="21"/>
                <w:szCs w:val="21"/>
              </w:rPr>
            </w:pPr>
            <w:r>
              <w:rPr>
                <w:rFonts w:hint="eastAsia" w:ascii="宋体" w:hAnsi="宋体" w:eastAsia="宋体" w:cs="宋体"/>
                <w:b/>
                <w:bCs/>
                <w:sz w:val="21"/>
                <w:szCs w:val="21"/>
              </w:rPr>
              <w:t>交货时间及地点</w:t>
            </w:r>
          </w:p>
        </w:tc>
        <w:tc>
          <w:tcPr>
            <w:tcW w:w="7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ordWrap w:val="0"/>
              <w:adjustRightInd/>
              <w:snapToGrid w:val="0"/>
              <w:spacing w:line="360" w:lineRule="exact"/>
              <w:rPr>
                <w:rFonts w:hint="eastAsia" w:ascii="宋体" w:hAnsi="宋体" w:eastAsia="宋体" w:cs="宋体"/>
                <w:sz w:val="21"/>
                <w:szCs w:val="21"/>
              </w:rPr>
            </w:pPr>
            <w:r>
              <w:rPr>
                <w:rFonts w:hint="eastAsia" w:ascii="宋体" w:hAnsi="宋体" w:eastAsia="宋体" w:cs="宋体"/>
                <w:sz w:val="21"/>
                <w:szCs w:val="21"/>
              </w:rPr>
              <w:t>1、交付使用时间：合同签订后，在接到采购人书面通知之日起</w:t>
            </w:r>
            <w:r>
              <w:rPr>
                <w:rFonts w:hint="eastAsia" w:ascii="宋体" w:hAnsi="宋体" w:cs="宋体"/>
                <w:sz w:val="21"/>
                <w:szCs w:val="21"/>
                <w:lang w:val="en-US" w:eastAsia="zh-CN"/>
              </w:rPr>
              <w:t>15</w:t>
            </w:r>
            <w:r>
              <w:rPr>
                <w:rFonts w:hint="eastAsia" w:ascii="宋体" w:hAnsi="宋体" w:eastAsia="宋体" w:cs="宋体"/>
                <w:sz w:val="21"/>
                <w:szCs w:val="21"/>
              </w:rPr>
              <w:t>日历日内交付并安装完毕。</w:t>
            </w:r>
          </w:p>
          <w:p>
            <w:pPr>
              <w:wordWrap w:val="0"/>
              <w:adjustRightInd/>
              <w:snapToGrid w:val="0"/>
              <w:spacing w:line="360" w:lineRule="exact"/>
              <w:rPr>
                <w:rFonts w:hint="eastAsia" w:ascii="宋体" w:hAnsi="宋体" w:eastAsia="宋体" w:cs="宋体"/>
                <w:sz w:val="21"/>
                <w:szCs w:val="21"/>
              </w:rPr>
            </w:pPr>
            <w:r>
              <w:rPr>
                <w:rFonts w:hint="eastAsia" w:ascii="宋体" w:hAnsi="宋体" w:eastAsia="宋体" w:cs="宋体"/>
                <w:sz w:val="21"/>
                <w:szCs w:val="21"/>
              </w:rPr>
              <w:t>2、交货地点：</w:t>
            </w:r>
            <w:r>
              <w:rPr>
                <w:rFonts w:hint="eastAsia" w:ascii="宋体" w:hAnsi="宋体" w:eastAsia="宋体" w:cs="宋体"/>
                <w:sz w:val="21"/>
                <w:szCs w:val="21"/>
                <w:u w:val="single"/>
                <w:lang w:val="en-US" w:eastAsia="zh-CN"/>
              </w:rPr>
              <w:t>北海</w:t>
            </w:r>
            <w:r>
              <w:rPr>
                <w:rFonts w:hint="eastAsia" w:ascii="宋体" w:hAnsi="宋体" w:eastAsia="宋体" w:cs="宋体"/>
                <w:sz w:val="21"/>
                <w:szCs w:val="21"/>
                <w:u w:val="single"/>
              </w:rPr>
              <w:t>市</w:t>
            </w:r>
            <w:r>
              <w:rPr>
                <w:rFonts w:hint="eastAsia" w:ascii="宋体" w:hAnsi="宋体" w:cs="宋体"/>
                <w:sz w:val="21"/>
                <w:szCs w:val="21"/>
                <w:u w:val="single"/>
                <w:lang w:val="en-US" w:eastAsia="zh-CN"/>
              </w:rPr>
              <w:t>第十四中学</w:t>
            </w:r>
            <w:r>
              <w:rPr>
                <w:rFonts w:hint="eastAsia" w:ascii="宋体" w:hAnsi="宋体" w:eastAsia="宋体" w:cs="宋体"/>
                <w:sz w:val="21"/>
                <w:szCs w:val="21"/>
                <w:u w:val="single"/>
              </w:rPr>
              <w:t>。</w:t>
            </w:r>
          </w:p>
          <w:p>
            <w:pPr>
              <w:spacing w:line="360" w:lineRule="exact"/>
              <w:rPr>
                <w:rFonts w:hint="eastAsia" w:ascii="宋体" w:hAnsi="宋体" w:eastAsia="宋体" w:cs="宋体"/>
                <w:color w:val="000000"/>
                <w:sz w:val="21"/>
                <w:szCs w:val="21"/>
              </w:rPr>
            </w:pPr>
            <w:r>
              <w:rPr>
                <w:rFonts w:hint="eastAsia" w:ascii="宋体" w:hAnsi="宋体" w:eastAsia="宋体" w:cs="宋体"/>
                <w:sz w:val="21"/>
                <w:szCs w:val="21"/>
              </w:rPr>
              <w:t>3、交货方式：现场交货。</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kern w:val="0"/>
                <w:sz w:val="21"/>
                <w:szCs w:val="21"/>
                <w:lang w:val="en-US" w:eastAsia="zh-CN" w:bidi="ar"/>
              </w:rPr>
              <w:t>3</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hint="eastAsia" w:ascii="宋体" w:hAnsi="宋体" w:eastAsia="宋体" w:cs="宋体"/>
                <w:b/>
                <w:bCs/>
                <w:color w:val="000000"/>
                <w:sz w:val="21"/>
                <w:szCs w:val="21"/>
              </w:rPr>
            </w:pPr>
            <w:r>
              <w:rPr>
                <w:rFonts w:hint="eastAsia" w:ascii="宋体" w:hAnsi="宋体" w:eastAsia="宋体" w:cs="宋体"/>
                <w:b/>
                <w:bCs/>
                <w:sz w:val="21"/>
                <w:szCs w:val="21"/>
              </w:rPr>
              <w:t>合同签订时间</w:t>
            </w:r>
          </w:p>
        </w:tc>
        <w:tc>
          <w:tcPr>
            <w:tcW w:w="7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rPr>
                <w:rFonts w:hint="eastAsia" w:ascii="宋体" w:hAnsi="宋体" w:eastAsia="宋体" w:cs="宋体"/>
                <w:color w:val="000000"/>
                <w:sz w:val="21"/>
                <w:szCs w:val="21"/>
              </w:rPr>
            </w:pPr>
            <w:r>
              <w:rPr>
                <w:rFonts w:hint="eastAsia" w:ascii="宋体" w:hAnsi="宋体" w:eastAsia="宋体" w:cs="宋体"/>
                <w:sz w:val="21"/>
                <w:szCs w:val="21"/>
              </w:rPr>
              <w:t>合同签订期：</w:t>
            </w:r>
            <w:r>
              <w:rPr>
                <w:rFonts w:hint="eastAsia" w:ascii="宋体" w:hAnsi="宋体" w:eastAsia="宋体" w:cs="宋体"/>
                <w:sz w:val="21"/>
                <w:szCs w:val="21"/>
                <w:u w:val="single"/>
              </w:rPr>
              <w:t>自中标通知书发出之日起7个日历日内。</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4</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hint="eastAsia" w:ascii="宋体" w:hAnsi="宋体" w:eastAsia="宋体" w:cs="宋体"/>
                <w:b/>
                <w:bCs/>
                <w:kern w:val="2"/>
                <w:sz w:val="21"/>
                <w:szCs w:val="21"/>
                <w:lang w:val="zh-CN" w:eastAsia="zh-CN" w:bidi="ar-SA"/>
              </w:rPr>
            </w:pPr>
            <w:r>
              <w:rPr>
                <w:rFonts w:hint="eastAsia" w:ascii="宋体" w:hAnsi="宋体" w:eastAsia="宋体" w:cs="宋体"/>
                <w:b/>
                <w:bCs/>
                <w:sz w:val="21"/>
                <w:szCs w:val="21"/>
              </w:rPr>
              <w:t>核心产品</w:t>
            </w:r>
          </w:p>
        </w:tc>
        <w:tc>
          <w:tcPr>
            <w:tcW w:w="7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adjustRightInd/>
              <w:snapToGrid w:val="0"/>
              <w:spacing w:line="360" w:lineRule="exact"/>
              <w:ind w:left="210" w:leftChars="100" w:right="105" w:rightChars="50"/>
              <w:rPr>
                <w:rFonts w:hint="eastAsia" w:ascii="宋体" w:hAnsi="宋体" w:eastAsia="宋体" w:cs="宋体"/>
                <w:b/>
                <w:bCs w:val="0"/>
                <w:sz w:val="21"/>
                <w:szCs w:val="21"/>
                <w:u w:val="single"/>
                <w:lang w:val="en-US" w:eastAsia="zh-CN"/>
              </w:rPr>
            </w:pPr>
            <w:r>
              <w:rPr>
                <w:rFonts w:hint="eastAsia" w:ascii="宋体" w:hAnsi="宋体" w:eastAsia="宋体" w:cs="宋体"/>
                <w:b/>
                <w:bCs w:val="0"/>
                <w:sz w:val="21"/>
                <w:szCs w:val="21"/>
                <w:lang w:val="en-US" w:eastAsia="zh-CN"/>
              </w:rPr>
              <w:t>核心产品为</w:t>
            </w:r>
            <w:r>
              <w:rPr>
                <w:rFonts w:hint="eastAsia" w:ascii="宋体" w:hAnsi="宋体" w:eastAsia="宋体" w:cs="宋体"/>
                <w:b/>
                <w:bCs w:val="0"/>
                <w:sz w:val="21"/>
                <w:szCs w:val="21"/>
                <w:u w:val="single"/>
                <w:lang w:val="en-US" w:eastAsia="zh-CN"/>
              </w:rPr>
              <w:t>项号1“1.5P变频挂式空调”；</w:t>
            </w:r>
          </w:p>
          <w:p>
            <w:pPr>
              <w:widowControl/>
              <w:adjustRightInd/>
              <w:snapToGrid w:val="0"/>
              <w:spacing w:line="360" w:lineRule="exact"/>
              <w:ind w:left="210" w:leftChars="100" w:right="105" w:rightChars="50"/>
              <w:rPr>
                <w:rFonts w:hint="eastAsia" w:ascii="宋体" w:hAnsi="宋体" w:eastAsia="宋体" w:cs="宋体"/>
                <w:b/>
                <w:sz w:val="21"/>
                <w:szCs w:val="21"/>
              </w:rPr>
            </w:pPr>
            <w:r>
              <w:rPr>
                <w:rFonts w:hint="eastAsia" w:ascii="宋体" w:hAnsi="宋体" w:eastAsia="宋体" w:cs="宋体"/>
                <w:color w:val="000000"/>
                <w:sz w:val="21"/>
                <w:szCs w:val="21"/>
              </w:rPr>
              <w:t>（核心产品品牌相同的，视为提供同品牌产品）</w:t>
            </w:r>
          </w:p>
          <w:p>
            <w:pPr>
              <w:spacing w:line="360" w:lineRule="exact"/>
              <w:rPr>
                <w:rFonts w:hint="eastAsia" w:ascii="宋体" w:hAnsi="宋体" w:eastAsia="宋体" w:cs="宋体"/>
                <w:color w:val="000000"/>
                <w:kern w:val="2"/>
                <w:sz w:val="21"/>
                <w:szCs w:val="21"/>
                <w:lang w:val="zh-CN" w:eastAsia="zh-CN" w:bidi="ar"/>
              </w:rPr>
            </w:pPr>
            <w:r>
              <w:rPr>
                <w:rFonts w:hint="eastAsia" w:ascii="宋体" w:hAnsi="宋体" w:eastAsia="宋体" w:cs="宋体"/>
                <w:sz w:val="21"/>
                <w:szCs w:val="21"/>
              </w:rPr>
              <w:t>多家供应商提供的核心产品品牌相同的，提供相同品牌产品且通过资格审查、符合性审查的不同供应商参加同一合同项下投标的，按一家供应商计算，评审后得分最高的同品牌供应商获得中标人推荐资格；评审得分相同的，由采购人或者采购人委托评标委员会按照招标文件规定的方式确定一个供应商获得中标人推荐资格，招标文件未规定的采取随机抽取方式确定，其他同品牌供应商不作为中标候选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lang w:eastAsia="zh-CN"/>
              </w:rPr>
            </w:pPr>
            <w:r>
              <w:rPr>
                <w:rFonts w:hint="eastAsia" w:ascii="宋体" w:hAnsi="宋体" w:eastAsia="宋体" w:cs="宋体"/>
                <w:b/>
                <w:bCs/>
                <w:color w:val="000000"/>
                <w:kern w:val="0"/>
                <w:sz w:val="21"/>
                <w:szCs w:val="21"/>
                <w:lang w:val="en-US" w:eastAsia="zh-CN" w:bidi="ar"/>
              </w:rPr>
              <w:t>5</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付款时间和方式</w:t>
            </w:r>
          </w:p>
        </w:tc>
        <w:tc>
          <w:tcPr>
            <w:tcW w:w="7717"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highlight w:val="none"/>
                <w:lang w:bidi="ar"/>
              </w:rPr>
              <w:t>自签订合同后7个日历日内支付中标合同金额</w:t>
            </w:r>
            <w:r>
              <w:rPr>
                <w:rFonts w:hint="eastAsia" w:ascii="宋体" w:hAnsi="宋体" w:cs="宋体"/>
                <w:color w:val="000000"/>
                <w:kern w:val="0"/>
                <w:sz w:val="21"/>
                <w:szCs w:val="21"/>
                <w:highlight w:val="none"/>
                <w:lang w:val="en-US" w:eastAsia="zh-CN" w:bidi="ar"/>
              </w:rPr>
              <w:t>2</w:t>
            </w:r>
            <w:r>
              <w:rPr>
                <w:rFonts w:hint="eastAsia" w:ascii="宋体" w:hAnsi="宋体" w:eastAsia="宋体" w:cs="宋体"/>
                <w:color w:val="000000"/>
                <w:kern w:val="0"/>
                <w:sz w:val="21"/>
                <w:szCs w:val="21"/>
                <w:highlight w:val="none"/>
                <w:lang w:bidi="ar"/>
              </w:rPr>
              <w:t>0%预付款。项目验收合格后，2026年12月30日前支付中标合同金额的</w:t>
            </w:r>
            <w:r>
              <w:rPr>
                <w:rFonts w:hint="eastAsia" w:ascii="宋体" w:hAnsi="宋体" w:cs="宋体"/>
                <w:color w:val="000000"/>
                <w:kern w:val="0"/>
                <w:sz w:val="21"/>
                <w:szCs w:val="21"/>
                <w:highlight w:val="none"/>
                <w:lang w:val="en-US" w:eastAsia="zh-CN" w:bidi="ar"/>
              </w:rPr>
              <w:t>3</w:t>
            </w:r>
            <w:r>
              <w:rPr>
                <w:rFonts w:hint="eastAsia" w:ascii="宋体" w:hAnsi="宋体" w:eastAsia="宋体" w:cs="宋体"/>
                <w:color w:val="000000"/>
                <w:kern w:val="0"/>
                <w:sz w:val="21"/>
                <w:szCs w:val="21"/>
                <w:highlight w:val="none"/>
                <w:lang w:bidi="ar"/>
              </w:rPr>
              <w:t>0％。剩余的50％分两期付清，第一期：2027年12月30前支付支付中标合同金额的30%；第二期：2028年6月30前支付支付中标合同金额的20%。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6</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wordWrap w:val="0"/>
              <w:spacing w:line="360" w:lineRule="exact"/>
              <w:jc w:val="center"/>
              <w:rPr>
                <w:rFonts w:hint="eastAsia" w:ascii="宋体" w:hAnsi="宋体" w:eastAsia="宋体" w:cs="宋体"/>
                <w:b/>
                <w:bCs/>
                <w:color w:val="000000"/>
                <w:sz w:val="21"/>
                <w:szCs w:val="21"/>
              </w:rPr>
            </w:pPr>
            <w:r>
              <w:rPr>
                <w:rFonts w:hint="eastAsia" w:ascii="宋体" w:hAnsi="宋体" w:eastAsia="宋体" w:cs="宋体"/>
                <w:b/>
                <w:bCs/>
                <w:sz w:val="21"/>
                <w:szCs w:val="21"/>
              </w:rPr>
              <w:t>售后及服务要求</w:t>
            </w:r>
          </w:p>
        </w:tc>
        <w:tc>
          <w:tcPr>
            <w:tcW w:w="7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ordWrap w:val="0"/>
              <w:adjustRightInd/>
              <w:snapToGrid w:val="0"/>
              <w:spacing w:line="360" w:lineRule="exact"/>
              <w:ind w:right="126" w:rightChars="60"/>
              <w:rPr>
                <w:rFonts w:hint="eastAsia" w:ascii="宋体" w:hAnsi="宋体" w:eastAsia="宋体" w:cs="宋体"/>
                <w:color w:val="000000"/>
                <w:sz w:val="21"/>
                <w:szCs w:val="21"/>
              </w:rPr>
            </w:pPr>
            <w:r>
              <w:rPr>
                <w:rFonts w:hint="eastAsia" w:ascii="宋体" w:hAnsi="宋体" w:eastAsia="宋体" w:cs="宋体"/>
                <w:color w:val="000000"/>
                <w:sz w:val="21"/>
                <w:szCs w:val="21"/>
              </w:rPr>
              <w:t>1.售后服务内容包括：空调及其附件的采购、运输、保险、现场仓储以及安装调试、验收、培训、保养、维护维修等服务工作。</w:t>
            </w:r>
          </w:p>
          <w:p>
            <w:pPr>
              <w:wordWrap w:val="0"/>
              <w:adjustRightInd/>
              <w:snapToGrid w:val="0"/>
              <w:spacing w:line="360" w:lineRule="exact"/>
              <w:ind w:right="126" w:rightChars="6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2.投标人应具备本地化服务能力。</w:t>
            </w:r>
          </w:p>
          <w:p>
            <w:pPr>
              <w:wordWrap w:val="0"/>
              <w:adjustRightInd/>
              <w:snapToGrid w:val="0"/>
              <w:spacing w:line="360" w:lineRule="exact"/>
              <w:ind w:right="126" w:rightChars="60"/>
              <w:rPr>
                <w:rFonts w:hint="eastAsia" w:ascii="宋体" w:hAnsi="宋体" w:eastAsia="宋体" w:cs="宋体"/>
                <w:color w:val="000000"/>
                <w:sz w:val="21"/>
                <w:szCs w:val="21"/>
              </w:rPr>
            </w:pPr>
            <w:r>
              <w:rPr>
                <w:rFonts w:hint="eastAsia" w:ascii="宋体" w:hAnsi="宋体" w:eastAsia="宋体" w:cs="宋体"/>
                <w:color w:val="000000"/>
                <w:sz w:val="21"/>
                <w:szCs w:val="21"/>
              </w:rPr>
              <w:t>3.空调设备如发生非用户导致的重大损坏，在设备更换或维修正常工作后延长响应时间的保修期。设备在运输过程中出现损坏的，由中标供应商负责该损坏设备的更换或维修。</w:t>
            </w:r>
          </w:p>
          <w:p>
            <w:pPr>
              <w:wordWrap w:val="0"/>
              <w:adjustRightInd/>
              <w:snapToGrid w:val="0"/>
              <w:spacing w:line="360" w:lineRule="exact"/>
              <w:ind w:right="126" w:rightChars="60"/>
              <w:rPr>
                <w:rFonts w:hint="eastAsia" w:ascii="宋体" w:hAnsi="宋体" w:eastAsia="宋体" w:cs="宋体"/>
                <w:color w:val="000000"/>
                <w:sz w:val="21"/>
                <w:szCs w:val="21"/>
              </w:rPr>
            </w:pPr>
            <w:r>
              <w:rPr>
                <w:rFonts w:hint="eastAsia" w:ascii="宋体" w:hAnsi="宋体" w:eastAsia="宋体" w:cs="宋体"/>
                <w:color w:val="000000"/>
                <w:sz w:val="21"/>
                <w:szCs w:val="21"/>
              </w:rPr>
              <w:t>4.中标供应商配置专业维修人员进行24小时的服务。中标供应商委派的空调维修人员必须具有上岗资质，并承担安全责任。中标供应商要保证维修人员遵守采购人规章制度，进出学校必须进行登记，穿工装并佩戴工作牌。为方便保修，中标供应商需开通24小时专线免费售后服务电话，以便及时、快捷地为采购人做好售后服务。中标供应商必须督促员工安全务工，在工作中若出现安全事故，由中标供应商负责。</w:t>
            </w:r>
          </w:p>
          <w:p>
            <w:pPr>
              <w:wordWrap w:val="0"/>
              <w:adjustRightInd/>
              <w:snapToGrid w:val="0"/>
              <w:spacing w:line="360" w:lineRule="exact"/>
              <w:ind w:right="126" w:rightChars="60"/>
              <w:rPr>
                <w:rFonts w:hint="eastAsia" w:ascii="宋体" w:hAnsi="宋体" w:eastAsia="宋体" w:cs="宋体"/>
                <w:color w:val="000000"/>
                <w:sz w:val="21"/>
                <w:szCs w:val="21"/>
              </w:rPr>
            </w:pPr>
            <w:r>
              <w:rPr>
                <w:rFonts w:hint="eastAsia" w:ascii="宋体" w:hAnsi="宋体" w:eastAsia="宋体" w:cs="宋体"/>
                <w:color w:val="000000"/>
                <w:sz w:val="21"/>
                <w:szCs w:val="21"/>
              </w:rPr>
              <w:t>5.采购人有维修、维护要求以及由于空调质量或其他原因造成不能正常使用，中标供应商须在2小时内响应，8小时内到达现场，24小时内（包括更换配件）维修并能保证正常使用，中标供应商如超过24小时内仍不能修复，中标供应商应更换相同品牌且同等规格型号的替代机。安装、拆装空调均由中标供应商的专业安装人员操作，安装空调时按采购人指定位置安装。</w:t>
            </w:r>
          </w:p>
          <w:p>
            <w:pPr>
              <w:wordWrap w:val="0"/>
              <w:adjustRightInd/>
              <w:snapToGrid w:val="0"/>
              <w:spacing w:line="360" w:lineRule="exact"/>
              <w:ind w:right="126" w:rightChars="60"/>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6.采购人保留对中标供应商现场安装、售后服务工作进行监督、检查的权利，发现涉及中标供应商设备、材料及人员存在违规行为或者事故隐患，采购人有权提出警告与制止，中标供应商应及时纠正。</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kern w:val="0"/>
                <w:sz w:val="21"/>
                <w:szCs w:val="21"/>
                <w:lang w:val="en-US" w:eastAsia="zh-CN" w:bidi="ar"/>
              </w:rPr>
              <w:t>7</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jc w:val="center"/>
              <w:rPr>
                <w:rFonts w:hint="eastAsia" w:ascii="宋体" w:hAnsi="宋体" w:eastAsia="宋体" w:cs="宋体"/>
                <w:b/>
                <w:bCs/>
                <w:color w:val="000000"/>
                <w:sz w:val="21"/>
                <w:szCs w:val="21"/>
              </w:rPr>
            </w:pPr>
            <w:r>
              <w:rPr>
                <w:rFonts w:hint="eastAsia" w:ascii="宋体" w:hAnsi="宋体" w:eastAsia="宋体" w:cs="宋体"/>
                <w:b/>
                <w:bCs/>
                <w:sz w:val="21"/>
                <w:szCs w:val="21"/>
              </w:rPr>
              <w:t>验收要求</w:t>
            </w:r>
          </w:p>
        </w:tc>
        <w:tc>
          <w:tcPr>
            <w:tcW w:w="7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1.验收依据</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按合同要求、中标供应商的项目响应文件及国家标准进行验收。</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2.验收标准</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（1）所有采购标的均已运输至指定地点，并安装调试完毕。</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（2）采购文件采购需求及采购合同约定的附件、工具、技术资料等齐全；提供项目相关使用说明书、合格证。</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3、验收要求</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（1）验收过程中所产生的一切费用均由</w:t>
            </w:r>
            <w:r>
              <w:rPr>
                <w:rFonts w:hint="eastAsia" w:ascii="宋体" w:hAnsi="宋体" w:eastAsia="宋体" w:cs="宋体"/>
                <w:sz w:val="21"/>
                <w:szCs w:val="21"/>
                <w:lang w:val="en"/>
              </w:rPr>
              <w:t>中标供应商</w:t>
            </w:r>
            <w:r>
              <w:rPr>
                <w:rFonts w:hint="eastAsia" w:ascii="宋体" w:hAnsi="宋体" w:eastAsia="宋体" w:cs="宋体"/>
                <w:sz w:val="21"/>
                <w:szCs w:val="21"/>
              </w:rPr>
              <w:t>承担，报价时应考虑相关费用。</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（2）采购人可以根据采购项目具体情况自行组织验收，如委托第三方机构组织实施的，由验收小组对照采购文件的技术参数要求核对检验，如不符合采购文件的技术参数要求的，按合同约定执行，</w:t>
            </w:r>
            <w:r>
              <w:rPr>
                <w:rFonts w:hint="eastAsia" w:ascii="宋体" w:hAnsi="宋体" w:eastAsia="宋体" w:cs="宋体"/>
                <w:sz w:val="21"/>
                <w:szCs w:val="21"/>
                <w:lang w:val="en"/>
              </w:rPr>
              <w:t>中标供应商</w:t>
            </w:r>
            <w:r>
              <w:rPr>
                <w:rFonts w:hint="eastAsia" w:ascii="宋体" w:hAnsi="宋体" w:eastAsia="宋体" w:cs="宋体"/>
                <w:sz w:val="21"/>
                <w:szCs w:val="21"/>
              </w:rPr>
              <w:t>承担所有责任和费用。采购人保留进一步追究责任的权利。</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①验收活动开始前，</w:t>
            </w:r>
            <w:r>
              <w:rPr>
                <w:rFonts w:hint="eastAsia" w:ascii="宋体" w:hAnsi="宋体" w:eastAsia="宋体" w:cs="宋体"/>
                <w:sz w:val="21"/>
                <w:szCs w:val="21"/>
                <w:lang w:val="en"/>
              </w:rPr>
              <w:t>中标供应商</w:t>
            </w:r>
            <w:r>
              <w:rPr>
                <w:rFonts w:hint="eastAsia" w:ascii="宋体" w:hAnsi="宋体" w:eastAsia="宋体" w:cs="宋体"/>
                <w:sz w:val="21"/>
                <w:szCs w:val="21"/>
              </w:rPr>
              <w:t>应对货物作出全面检查和对验收文件进行整理，并列出清单，作为采购人收货验收和使用的技术条件依据。</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②因验收不合格的，需要再次组织验收的，由此产生相关成本费用由</w:t>
            </w:r>
            <w:r>
              <w:rPr>
                <w:rFonts w:hint="eastAsia" w:ascii="宋体" w:hAnsi="宋体" w:eastAsia="宋体" w:cs="宋体"/>
                <w:sz w:val="21"/>
                <w:szCs w:val="21"/>
                <w:lang w:val="en"/>
              </w:rPr>
              <w:t>中标供应商</w:t>
            </w:r>
            <w:r>
              <w:rPr>
                <w:rFonts w:hint="eastAsia" w:ascii="宋体" w:hAnsi="宋体" w:eastAsia="宋体" w:cs="宋体"/>
                <w:sz w:val="21"/>
                <w:szCs w:val="21"/>
              </w:rPr>
              <w:t>承担。</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（3）验收时中标供应商提供验收文档，具体如下：技术方案、实施方案、售后服务方案、培训方案、测试文档、使用说明书、电子文档（如有）等。</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（4）对所有要求出具的证明文件的原件进行核查，如不符合采购文件的技术需求及要求，以及提供虚假承诺的，按相关规定做退货处理及违约处理，</w:t>
            </w:r>
            <w:r>
              <w:rPr>
                <w:rFonts w:hint="eastAsia" w:ascii="宋体" w:hAnsi="宋体" w:eastAsia="宋体" w:cs="宋体"/>
                <w:sz w:val="21"/>
                <w:szCs w:val="21"/>
                <w:lang w:val="en"/>
              </w:rPr>
              <w:t>中标供应商</w:t>
            </w:r>
            <w:r>
              <w:rPr>
                <w:rFonts w:hint="eastAsia" w:ascii="宋体" w:hAnsi="宋体" w:eastAsia="宋体" w:cs="宋体"/>
                <w:sz w:val="21"/>
                <w:szCs w:val="21"/>
              </w:rPr>
              <w:t>承担所有责任和费用，采购人保留进一步追究责任的权利。</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（5）项目验收过程中，需委托第三方检测机构介入的，费用由</w:t>
            </w:r>
            <w:r>
              <w:rPr>
                <w:rFonts w:hint="eastAsia" w:ascii="宋体" w:hAnsi="宋体" w:eastAsia="宋体" w:cs="宋体"/>
                <w:sz w:val="21"/>
                <w:szCs w:val="21"/>
                <w:lang w:val="en"/>
              </w:rPr>
              <w:t>中标供应商</w:t>
            </w:r>
            <w:r>
              <w:rPr>
                <w:rFonts w:hint="eastAsia" w:ascii="宋体" w:hAnsi="宋体" w:eastAsia="宋体" w:cs="宋体"/>
                <w:sz w:val="21"/>
                <w:szCs w:val="21"/>
              </w:rPr>
              <w:t>另行承担。</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（6）在验收过程中发现</w:t>
            </w:r>
            <w:r>
              <w:rPr>
                <w:rFonts w:hint="eastAsia" w:ascii="宋体" w:hAnsi="宋体" w:eastAsia="宋体" w:cs="宋体"/>
                <w:sz w:val="21"/>
                <w:szCs w:val="21"/>
                <w:lang w:val="en"/>
              </w:rPr>
              <w:t>中标供应商</w:t>
            </w:r>
            <w:r>
              <w:rPr>
                <w:rFonts w:hint="eastAsia" w:ascii="宋体" w:hAnsi="宋体" w:eastAsia="宋体" w:cs="宋体"/>
                <w:sz w:val="21"/>
                <w:szCs w:val="21"/>
              </w:rPr>
              <w:t>有违约问题，可暂缓资金结算，待违约问题解决后，方可办理资金结算事宜。</w:t>
            </w:r>
          </w:p>
          <w:p>
            <w:pPr>
              <w:widowControl/>
              <w:wordWrap w:val="0"/>
              <w:adjustRightInd/>
              <w:snapToGrid w:val="0"/>
              <w:spacing w:line="360" w:lineRule="exact"/>
              <w:jc w:val="left"/>
              <w:rPr>
                <w:rFonts w:hint="eastAsia" w:ascii="宋体" w:hAnsi="宋体" w:eastAsia="宋体" w:cs="宋体"/>
                <w:sz w:val="21"/>
                <w:szCs w:val="21"/>
              </w:rPr>
            </w:pPr>
            <w:r>
              <w:rPr>
                <w:rFonts w:hint="eastAsia" w:ascii="宋体" w:hAnsi="宋体" w:eastAsia="宋体" w:cs="宋体"/>
                <w:sz w:val="21"/>
                <w:szCs w:val="21"/>
              </w:rPr>
              <w:t>（7）</w:t>
            </w:r>
            <w:r>
              <w:rPr>
                <w:rFonts w:hint="eastAsia" w:ascii="宋体" w:hAnsi="宋体" w:eastAsia="宋体" w:cs="宋体"/>
                <w:sz w:val="21"/>
                <w:szCs w:val="21"/>
                <w:lang w:val="en"/>
              </w:rPr>
              <w:t>中标供应商</w:t>
            </w:r>
            <w:r>
              <w:rPr>
                <w:rFonts w:hint="eastAsia" w:ascii="宋体" w:hAnsi="宋体" w:eastAsia="宋体" w:cs="宋体"/>
                <w:sz w:val="21"/>
                <w:szCs w:val="21"/>
              </w:rPr>
              <w:t>提交服务成果前应对提交的服务成果作出全面检查和对验收文件进行整理，并列出清单，作为采购人验收和使用的技术条件依据，检验的结果应随服务成果交给采购人。</w:t>
            </w:r>
          </w:p>
          <w:p>
            <w:pPr>
              <w:widowControl/>
              <w:wordWrap w:val="0"/>
              <w:adjustRightInd/>
              <w:snapToGrid w:val="0"/>
              <w:spacing w:line="360" w:lineRule="exact"/>
              <w:jc w:val="left"/>
              <w:rPr>
                <w:rFonts w:hint="eastAsia" w:ascii="宋体" w:hAnsi="宋体" w:eastAsia="宋体" w:cs="宋体"/>
                <w:color w:val="000000"/>
                <w:sz w:val="21"/>
                <w:szCs w:val="21"/>
              </w:rPr>
            </w:pPr>
            <w:r>
              <w:rPr>
                <w:rFonts w:hint="eastAsia" w:ascii="宋体" w:hAnsi="宋体" w:eastAsia="宋体" w:cs="宋体"/>
                <w:sz w:val="21"/>
                <w:szCs w:val="21"/>
              </w:rPr>
              <w:t>4、中标供应商提供的空调设备必须为正品行货，中标供应商安装完成验收前，需提供【生产厂家针对本项目开具的售后服务承诺函及各项设备的检测报告</w:t>
            </w:r>
            <w:r>
              <w:rPr>
                <w:rFonts w:hint="eastAsia" w:ascii="宋体" w:hAnsi="宋体" w:eastAsia="宋体" w:cs="宋体"/>
                <w:sz w:val="21"/>
                <w:szCs w:val="21"/>
                <w:lang w:eastAsia="zh-CN"/>
              </w:rPr>
              <w:t>复印件</w:t>
            </w:r>
            <w:r>
              <w:rPr>
                <w:rFonts w:hint="eastAsia" w:ascii="宋体" w:hAnsi="宋体" w:eastAsia="宋体" w:cs="宋体"/>
                <w:sz w:val="21"/>
                <w:szCs w:val="21"/>
              </w:rPr>
              <w:t>】；所有资料需经采购人进行核查，如中标供应商无法提供资料或资料提供不齐全的，采购单位有权不予以验收货物，采购人有权单方面终止合同，并且保留追究中标供应商的法律责任。</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0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b/>
                <w:bCs/>
                <w:color w:val="000000"/>
                <w:sz w:val="21"/>
                <w:szCs w:val="21"/>
                <w:lang w:val="en-US" w:eastAsia="zh-CN"/>
              </w:rPr>
            </w:pPr>
            <w:r>
              <w:rPr>
                <w:rFonts w:hint="eastAsia" w:ascii="宋体" w:hAnsi="宋体" w:cs="宋体"/>
                <w:b/>
                <w:bCs/>
                <w:color w:val="000000"/>
                <w:sz w:val="21"/>
                <w:szCs w:val="21"/>
                <w:lang w:val="en-US" w:eastAsia="zh-CN"/>
              </w:rPr>
              <w:t>8</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wordWrap w:val="0"/>
              <w:spacing w:line="360" w:lineRule="exact"/>
              <w:jc w:val="center"/>
              <w:rPr>
                <w:rFonts w:hint="eastAsia" w:ascii="宋体" w:hAnsi="宋体" w:eastAsia="宋体" w:cs="宋体"/>
                <w:b/>
                <w:bCs/>
                <w:sz w:val="21"/>
                <w:szCs w:val="21"/>
              </w:rPr>
            </w:pPr>
            <w:r>
              <w:rPr>
                <w:rFonts w:hint="eastAsia" w:ascii="宋体" w:hAnsi="宋体" w:eastAsia="宋体" w:cs="宋体"/>
                <w:b/>
                <w:bCs/>
                <w:sz w:val="21"/>
                <w:szCs w:val="21"/>
              </w:rPr>
              <w:t>质保和保修期</w:t>
            </w:r>
          </w:p>
        </w:tc>
        <w:tc>
          <w:tcPr>
            <w:tcW w:w="7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wordWrap w:val="0"/>
              <w:adjustRightInd/>
              <w:snapToGrid w:val="0"/>
              <w:spacing w:line="360" w:lineRule="exact"/>
              <w:jc w:val="left"/>
              <w:rPr>
                <w:rFonts w:hint="eastAsia" w:ascii="宋体" w:hAnsi="宋体" w:eastAsia="宋体" w:cs="宋体"/>
                <w:color w:val="000000"/>
                <w:kern w:val="1"/>
                <w:sz w:val="21"/>
                <w:szCs w:val="21"/>
                <w:lang w:bidi="ar"/>
              </w:rPr>
            </w:pPr>
            <w:r>
              <w:rPr>
                <w:rFonts w:hint="eastAsia" w:ascii="宋体" w:hAnsi="宋体" w:eastAsia="宋体" w:cs="宋体"/>
                <w:sz w:val="21"/>
                <w:szCs w:val="21"/>
              </w:rPr>
              <w:t>1.质保期：自安装、验收合格并交付使用之日起不少于6年。</w:t>
            </w:r>
            <w:r>
              <w:rPr>
                <w:rFonts w:hint="eastAsia" w:ascii="宋体" w:hAnsi="宋体" w:eastAsia="宋体" w:cs="宋体"/>
                <w:sz w:val="21"/>
                <w:szCs w:val="21"/>
                <w:lang w:val="zh-CN"/>
              </w:rPr>
              <w:t>投标</w:t>
            </w:r>
            <w:r>
              <w:rPr>
                <w:rFonts w:hint="eastAsia" w:ascii="宋体" w:hAnsi="宋体" w:eastAsia="宋体" w:cs="宋体"/>
                <w:sz w:val="21"/>
                <w:szCs w:val="21"/>
              </w:rPr>
              <w:t>时文件</w:t>
            </w:r>
            <w:r>
              <w:rPr>
                <w:rFonts w:hint="eastAsia" w:ascii="宋体" w:hAnsi="宋体" w:eastAsia="宋体" w:cs="宋体"/>
                <w:sz w:val="21"/>
                <w:szCs w:val="21"/>
                <w:lang w:val="zh-CN"/>
              </w:rPr>
              <w:t>提供质保年限不低于</w:t>
            </w:r>
            <w:r>
              <w:rPr>
                <w:rFonts w:hint="eastAsia" w:ascii="宋体" w:hAnsi="宋体" w:eastAsia="宋体" w:cs="宋体"/>
                <w:sz w:val="21"/>
                <w:szCs w:val="21"/>
              </w:rPr>
              <w:t>6</w:t>
            </w:r>
            <w:r>
              <w:rPr>
                <w:rFonts w:hint="eastAsia" w:ascii="宋体" w:hAnsi="宋体" w:eastAsia="宋体" w:cs="宋体"/>
                <w:sz w:val="21"/>
                <w:szCs w:val="21"/>
                <w:lang w:val="zh-CN"/>
              </w:rPr>
              <w:t>年的承诺函。</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00" w:hRule="atLeast"/>
        </w:trPr>
        <w:tc>
          <w:tcPr>
            <w:tcW w:w="5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b/>
                <w:bCs/>
                <w:color w:val="000000"/>
                <w:sz w:val="21"/>
                <w:szCs w:val="21"/>
                <w:lang w:val="en-US" w:eastAsia="zh-CN"/>
              </w:rPr>
            </w:pPr>
            <w:r>
              <w:rPr>
                <w:rFonts w:hint="eastAsia" w:ascii="宋体" w:hAnsi="宋体" w:cs="宋体"/>
                <w:b/>
                <w:bCs/>
                <w:color w:val="000000"/>
                <w:sz w:val="21"/>
                <w:szCs w:val="21"/>
                <w:lang w:val="en-US" w:eastAsia="zh-CN"/>
              </w:rPr>
              <w:t>9</w:t>
            </w:r>
          </w:p>
        </w:tc>
        <w:tc>
          <w:tcPr>
            <w:tcW w:w="15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wordWrap w:val="0"/>
              <w:spacing w:line="360" w:lineRule="exact"/>
              <w:jc w:val="center"/>
              <w:rPr>
                <w:rFonts w:hint="eastAsia" w:ascii="宋体" w:hAnsi="宋体" w:eastAsia="宋体" w:cs="宋体"/>
                <w:b/>
                <w:bCs/>
                <w:color w:val="000000"/>
                <w:sz w:val="21"/>
                <w:szCs w:val="21"/>
              </w:rPr>
            </w:pPr>
            <w:r>
              <w:rPr>
                <w:rFonts w:hint="eastAsia" w:ascii="宋体" w:hAnsi="宋体" w:eastAsia="宋体" w:cs="宋体"/>
                <w:b/>
                <w:bCs/>
                <w:sz w:val="21"/>
                <w:szCs w:val="21"/>
              </w:rPr>
              <w:t>其他要求</w:t>
            </w:r>
          </w:p>
        </w:tc>
        <w:tc>
          <w:tcPr>
            <w:tcW w:w="77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360" w:lineRule="exact"/>
              <w:rPr>
                <w:rFonts w:hint="eastAsia" w:ascii="宋体" w:hAnsi="宋体" w:eastAsia="宋体" w:cs="宋体"/>
                <w:color w:val="000000"/>
                <w:kern w:val="1"/>
                <w:sz w:val="21"/>
                <w:szCs w:val="21"/>
                <w:lang w:bidi="ar"/>
              </w:rPr>
            </w:pPr>
            <w:r>
              <w:rPr>
                <w:rFonts w:hint="eastAsia" w:ascii="宋体" w:hAnsi="宋体" w:eastAsia="宋体" w:cs="宋体"/>
                <w:color w:val="000000"/>
                <w:kern w:val="1"/>
                <w:sz w:val="21"/>
                <w:szCs w:val="21"/>
                <w:lang w:bidi="ar"/>
              </w:rPr>
              <w:t>1.中标供应商保证向采购人提供的货物是全新、完整、未使用过的。</w:t>
            </w:r>
          </w:p>
          <w:p>
            <w:pPr>
              <w:spacing w:line="360" w:lineRule="exact"/>
              <w:rPr>
                <w:rFonts w:hint="eastAsia" w:ascii="宋体" w:hAnsi="宋体" w:eastAsia="宋体" w:cs="宋体"/>
                <w:color w:val="000000"/>
                <w:kern w:val="1"/>
                <w:sz w:val="21"/>
                <w:szCs w:val="21"/>
                <w:lang w:bidi="ar"/>
              </w:rPr>
            </w:pPr>
            <w:r>
              <w:rPr>
                <w:rFonts w:hint="eastAsia" w:ascii="宋体" w:hAnsi="宋体" w:eastAsia="宋体" w:cs="宋体"/>
                <w:color w:val="000000"/>
                <w:kern w:val="1"/>
                <w:sz w:val="21"/>
                <w:szCs w:val="21"/>
                <w:lang w:bidi="ar"/>
              </w:rPr>
              <w:t>2.验收过程中所产生的一切费用均由中标供应商承担。报价时应考虑相关费用。</w:t>
            </w:r>
          </w:p>
          <w:p>
            <w:pPr>
              <w:spacing w:line="360" w:lineRule="exact"/>
              <w:rPr>
                <w:rFonts w:hint="eastAsia" w:ascii="宋体" w:hAnsi="宋体" w:eastAsia="宋体" w:cs="宋体"/>
                <w:color w:val="000000"/>
                <w:kern w:val="1"/>
                <w:sz w:val="21"/>
                <w:szCs w:val="21"/>
                <w:lang w:bidi="ar"/>
              </w:rPr>
            </w:pPr>
            <w:r>
              <w:rPr>
                <w:rFonts w:hint="eastAsia" w:ascii="宋体" w:hAnsi="宋体" w:eastAsia="宋体" w:cs="宋体"/>
                <w:color w:val="000000"/>
                <w:kern w:val="1"/>
                <w:sz w:val="21"/>
                <w:szCs w:val="21"/>
                <w:lang w:bidi="ar"/>
              </w:rPr>
              <w:t>3.采购人保留对中标人现场安装、售后服务工作进行监督、检查的权利，发现涉及中标人设备、材料及人员存在违规行为或者事故隐患，采购人有权提出警告与制止，中标人应及时纠正。</w:t>
            </w:r>
          </w:p>
          <w:p>
            <w:pPr>
              <w:spacing w:line="360" w:lineRule="exact"/>
              <w:rPr>
                <w:rFonts w:hint="eastAsia" w:ascii="宋体" w:hAnsi="宋体" w:eastAsia="宋体" w:cs="宋体"/>
                <w:color w:val="000000"/>
                <w:kern w:val="1"/>
                <w:sz w:val="21"/>
                <w:szCs w:val="21"/>
                <w:lang w:bidi="ar"/>
              </w:rPr>
            </w:pPr>
            <w:r>
              <w:rPr>
                <w:rFonts w:hint="eastAsia" w:ascii="宋体" w:hAnsi="宋体" w:eastAsia="宋体" w:cs="宋体"/>
                <w:color w:val="000000"/>
                <w:kern w:val="1"/>
                <w:sz w:val="21"/>
                <w:szCs w:val="21"/>
                <w:lang w:bidi="ar"/>
              </w:rPr>
              <w:t>4.投标人应对所投产品的技术参数真实性负责。</w:t>
            </w:r>
            <w:r>
              <w:rPr>
                <w:rFonts w:hint="eastAsia" w:ascii="宋体" w:hAnsi="宋体" w:cs="宋体"/>
                <w:color w:val="000000"/>
                <w:kern w:val="1"/>
                <w:sz w:val="21"/>
                <w:szCs w:val="21"/>
                <w:lang w:val="en-US" w:eastAsia="zh-CN" w:bidi="ar"/>
              </w:rPr>
              <w:t>空调设备</w:t>
            </w:r>
            <w:r>
              <w:rPr>
                <w:rFonts w:hint="eastAsia" w:ascii="宋体" w:hAnsi="宋体" w:eastAsia="宋体" w:cs="宋体"/>
                <w:color w:val="000000"/>
                <w:kern w:val="1"/>
                <w:sz w:val="21"/>
                <w:szCs w:val="21"/>
                <w:lang w:bidi="ar"/>
              </w:rPr>
              <w:t>技术参数，以空调机身铭牌值或产品检测报告中的铭牌值为准。中标人须在中标后，向采购人提供上述检测报告核验，如无法提供或检测报告数据与投标响应不符的，视为虚假应标，采购人有权取消其中标资格并追究相关责任。</w:t>
            </w:r>
          </w:p>
          <w:p>
            <w:pPr>
              <w:spacing w:line="360" w:lineRule="exact"/>
              <w:rPr>
                <w:rFonts w:hint="eastAsia" w:ascii="宋体" w:hAnsi="宋体" w:eastAsia="宋体" w:cs="宋体"/>
                <w:color w:val="000000"/>
                <w:kern w:val="1"/>
                <w:sz w:val="21"/>
                <w:szCs w:val="21"/>
                <w:lang w:bidi="ar"/>
              </w:rPr>
            </w:pPr>
            <w:r>
              <w:rPr>
                <w:rFonts w:hint="eastAsia" w:ascii="宋体" w:hAnsi="宋体" w:eastAsia="宋体" w:cs="宋体"/>
                <w:color w:val="000000"/>
                <w:kern w:val="1"/>
                <w:sz w:val="21"/>
                <w:szCs w:val="21"/>
                <w:lang w:bidi="ar"/>
              </w:rPr>
              <w:t>5.本项目货物不接受进口产品（即通过中国海关报关验放进入中国境内且产自关境外的产品）参与投标。</w:t>
            </w:r>
          </w:p>
          <w:p>
            <w:pPr>
              <w:spacing w:line="360" w:lineRule="exact"/>
              <w:rPr>
                <w:rFonts w:hint="eastAsia" w:ascii="宋体" w:hAnsi="宋体" w:eastAsia="宋体" w:cs="宋体"/>
                <w:color w:val="000000"/>
                <w:kern w:val="1"/>
                <w:sz w:val="21"/>
                <w:szCs w:val="21"/>
                <w:lang w:bidi="ar"/>
              </w:rPr>
            </w:pPr>
            <w:r>
              <w:rPr>
                <w:rFonts w:hint="eastAsia" w:ascii="宋体" w:hAnsi="宋体" w:eastAsia="宋体" w:cs="宋体"/>
                <w:color w:val="000000"/>
                <w:kern w:val="1"/>
                <w:sz w:val="21"/>
                <w:szCs w:val="21"/>
                <w:lang w:bidi="ar"/>
              </w:rPr>
              <w:t>6.执行《财政部发展改革委生态环境部市场监管总局关于调整优化节能产品、环境标志产品政府采购执行机制的通知》（财库〔2019〕9号）、《关于印发节能产品政府采购品目清单的通知》（财库〔2019〕19号）及《关于印发环境标志产品政府采购品目清单的通知》（财库〔2019〕18号），属于政府优先采购产品类别的，投标人按照《市场监管总局关于发布参与实施政府采购节能产品、环境标志产品认证机构名录的公告》（2019年第16号）要求提供依据国家认可的认证机构出具的、处于有效期之内的节能产品或环境标志产品认证证书复印件并加盖投标人公章，否则不予认定。</w:t>
            </w:r>
          </w:p>
          <w:p>
            <w:pPr>
              <w:spacing w:line="360" w:lineRule="exact"/>
              <w:rPr>
                <w:rFonts w:hint="eastAsia" w:ascii="宋体" w:hAnsi="宋体" w:eastAsia="宋体" w:cs="宋体"/>
                <w:color w:val="000000"/>
                <w:sz w:val="21"/>
                <w:szCs w:val="21"/>
              </w:rPr>
            </w:pPr>
            <w:r>
              <w:rPr>
                <w:rFonts w:hint="eastAsia" w:ascii="宋体" w:hAnsi="宋体" w:eastAsia="宋体" w:cs="宋体"/>
                <w:color w:val="000000"/>
                <w:kern w:val="1"/>
                <w:sz w:val="21"/>
                <w:szCs w:val="21"/>
                <w:lang w:bidi="ar"/>
              </w:rPr>
              <w:t>7.根据《强制性产品认证管理规定》（总局令第117号）强制性产品认证目录，采购需求中的空调设备属于强制性产品的，投标人的投标货物必须使用强制性产品，提供依据国家认可的认证机构出具的产品认证证书复印件并加盖投标人公章，否则不予认定。</w:t>
            </w:r>
          </w:p>
        </w:tc>
      </w:tr>
    </w:tbl>
    <w:p/>
    <w:p>
      <w:pPr>
        <w:pStyle w:val="3"/>
        <w:rPr>
          <w:lang w:val="en-US"/>
        </w:rPr>
      </w:pPr>
    </w:p>
    <w:p/>
    <w:p>
      <w:pPr>
        <w:pStyle w:val="3"/>
        <w:rPr>
          <w:lang w:val="en-US"/>
        </w:rPr>
      </w:pPr>
    </w:p>
    <w:p/>
    <w:bookmarkEnd w:id="0"/>
    <w:bookmarkEnd w:id="1"/>
    <w:bookmarkEnd w:id="2"/>
    <w:p>
      <w:pPr>
        <w:pStyle w:val="3"/>
        <w:rPr>
          <w:lang w:val="en-US"/>
        </w:rPr>
        <w:sectPr>
          <w:pgSz w:w="11906" w:h="16838"/>
          <w:pgMar w:top="1247" w:right="849" w:bottom="1247" w:left="1418" w:header="851" w:footer="992" w:gutter="0"/>
          <w:cols w:space="720" w:num="1"/>
          <w:titlePg/>
          <w:docGrid w:type="lines" w:linePitch="312" w:charSpace="0"/>
        </w:sectPr>
      </w:pPr>
    </w:p>
    <w:p>
      <w:pPr>
        <w:spacing w:line="360" w:lineRule="auto"/>
        <w:ind w:firstLine="181" w:firstLineChars="50"/>
        <w:jc w:val="center"/>
        <w:outlineLvl w:val="0"/>
        <w:rPr>
          <w:rFonts w:hint="eastAsia" w:ascii="宋体" w:hAnsi="宋体" w:eastAsia="宋体" w:cs="宋体"/>
          <w:b/>
          <w:sz w:val="32"/>
          <w:szCs w:val="20"/>
        </w:rPr>
      </w:pPr>
      <w:bookmarkStart w:id="5" w:name="_Toc176343851"/>
      <w:bookmarkStart w:id="6" w:name="_Toc176185122"/>
      <w:r>
        <w:rPr>
          <w:rFonts w:hint="eastAsia" w:ascii="宋体" w:hAnsi="宋体" w:eastAsia="宋体" w:cs="宋体"/>
          <w:b/>
          <w:sz w:val="36"/>
          <w:szCs w:val="36"/>
        </w:rPr>
        <w:t xml:space="preserve">第四部分  </w:t>
      </w:r>
      <w:bookmarkStart w:id="7" w:name="_Toc184308061"/>
      <w:bookmarkEnd w:id="7"/>
      <w:bookmarkStart w:id="8" w:name="_Toc184308044"/>
      <w:bookmarkEnd w:id="8"/>
      <w:bookmarkStart w:id="9" w:name="_Toc184314445"/>
      <w:bookmarkEnd w:id="9"/>
      <w:bookmarkStart w:id="10" w:name="_Toc184312087"/>
      <w:bookmarkEnd w:id="10"/>
      <w:bookmarkStart w:id="11" w:name="_Toc184308058"/>
      <w:bookmarkEnd w:id="11"/>
      <w:bookmarkStart w:id="12" w:name="_Toc184312084"/>
      <w:bookmarkEnd w:id="12"/>
      <w:bookmarkStart w:id="13" w:name="_Toc184313285"/>
      <w:bookmarkEnd w:id="13"/>
      <w:bookmarkStart w:id="14" w:name="_Toc184314422"/>
      <w:bookmarkEnd w:id="14"/>
      <w:bookmarkStart w:id="15" w:name="_Toc184308101"/>
      <w:bookmarkEnd w:id="15"/>
      <w:bookmarkStart w:id="16" w:name="_Toc184312109"/>
      <w:bookmarkEnd w:id="16"/>
      <w:bookmarkStart w:id="17" w:name="_Toc184308079"/>
      <w:bookmarkEnd w:id="17"/>
      <w:bookmarkStart w:id="18" w:name="_Toc184310291"/>
      <w:bookmarkEnd w:id="18"/>
      <w:bookmarkStart w:id="19" w:name="_Toc184308085"/>
      <w:bookmarkEnd w:id="19"/>
      <w:bookmarkStart w:id="20" w:name="_Toc184310304"/>
      <w:bookmarkEnd w:id="20"/>
      <w:bookmarkStart w:id="21" w:name="_Toc184314446"/>
      <w:bookmarkEnd w:id="21"/>
      <w:bookmarkStart w:id="22" w:name="_Toc184313243"/>
      <w:bookmarkEnd w:id="22"/>
      <w:bookmarkStart w:id="23" w:name="_Toc184310344"/>
      <w:bookmarkEnd w:id="23"/>
      <w:bookmarkStart w:id="24" w:name="_Toc184314426"/>
      <w:bookmarkEnd w:id="24"/>
      <w:bookmarkStart w:id="25" w:name="_Toc184312138"/>
      <w:bookmarkEnd w:id="25"/>
      <w:bookmarkStart w:id="26" w:name="_Toc184308043"/>
      <w:bookmarkEnd w:id="26"/>
      <w:bookmarkStart w:id="27" w:name="_Toc184310274"/>
      <w:bookmarkEnd w:id="27"/>
      <w:bookmarkStart w:id="28" w:name="_Toc184314472"/>
      <w:bookmarkEnd w:id="28"/>
      <w:bookmarkStart w:id="29" w:name="_Toc184310324"/>
      <w:bookmarkEnd w:id="29"/>
      <w:bookmarkStart w:id="30" w:name="_Toc184308104"/>
      <w:bookmarkEnd w:id="30"/>
      <w:bookmarkStart w:id="31" w:name="_Toc184313276"/>
      <w:bookmarkEnd w:id="31"/>
      <w:bookmarkStart w:id="32" w:name="_Toc184313246"/>
      <w:bookmarkEnd w:id="32"/>
      <w:bookmarkStart w:id="33" w:name="_Toc184314461"/>
      <w:bookmarkEnd w:id="33"/>
      <w:bookmarkStart w:id="34" w:name="_Toc184310303"/>
      <w:bookmarkEnd w:id="34"/>
      <w:bookmarkStart w:id="35" w:name="_Toc184313284"/>
      <w:bookmarkEnd w:id="35"/>
      <w:bookmarkStart w:id="36" w:name="_Toc184314444"/>
      <w:bookmarkEnd w:id="36"/>
      <w:bookmarkStart w:id="37" w:name="_Toc184314430"/>
      <w:bookmarkEnd w:id="37"/>
      <w:bookmarkStart w:id="38" w:name="_Toc184308086"/>
      <w:bookmarkEnd w:id="38"/>
      <w:bookmarkStart w:id="39" w:name="_Toc184314458"/>
      <w:bookmarkEnd w:id="39"/>
      <w:bookmarkStart w:id="40" w:name="_Toc184308053"/>
      <w:bookmarkEnd w:id="40"/>
      <w:bookmarkStart w:id="41" w:name="_Toc184314429"/>
      <w:bookmarkEnd w:id="41"/>
      <w:bookmarkStart w:id="42" w:name="_Toc184313302"/>
      <w:bookmarkEnd w:id="42"/>
      <w:bookmarkStart w:id="43" w:name="_Toc184308046"/>
      <w:bookmarkEnd w:id="43"/>
      <w:bookmarkStart w:id="44" w:name="_Toc184310287"/>
      <w:bookmarkEnd w:id="44"/>
      <w:bookmarkStart w:id="45" w:name="_Toc184312069"/>
      <w:bookmarkEnd w:id="45"/>
      <w:bookmarkStart w:id="46" w:name="_Toc184308045"/>
      <w:bookmarkEnd w:id="46"/>
      <w:bookmarkStart w:id="47" w:name="_Toc184314423"/>
      <w:bookmarkEnd w:id="47"/>
      <w:bookmarkStart w:id="48" w:name="_Toc184310314"/>
      <w:bookmarkEnd w:id="48"/>
      <w:bookmarkStart w:id="49" w:name="_Toc184310310"/>
      <w:bookmarkEnd w:id="49"/>
      <w:bookmarkStart w:id="50" w:name="_Toc184312092"/>
      <w:bookmarkEnd w:id="50"/>
      <w:bookmarkStart w:id="51" w:name="_Toc184308073"/>
      <w:bookmarkEnd w:id="51"/>
      <w:bookmarkStart w:id="52" w:name="_Toc184314463"/>
      <w:bookmarkEnd w:id="52"/>
      <w:bookmarkStart w:id="53" w:name="_Toc184313269"/>
      <w:bookmarkEnd w:id="53"/>
      <w:bookmarkStart w:id="54" w:name="_Toc184312110"/>
      <w:bookmarkEnd w:id="54"/>
      <w:bookmarkStart w:id="55" w:name="_Toc184313306"/>
      <w:bookmarkEnd w:id="55"/>
      <w:bookmarkStart w:id="56" w:name="_Toc184313298"/>
      <w:bookmarkEnd w:id="56"/>
      <w:bookmarkStart w:id="57" w:name="_Toc184308108"/>
      <w:bookmarkEnd w:id="57"/>
      <w:bookmarkStart w:id="58" w:name="_Toc184310292"/>
      <w:bookmarkEnd w:id="58"/>
      <w:bookmarkStart w:id="59" w:name="_Toc184312115"/>
      <w:bookmarkEnd w:id="59"/>
      <w:bookmarkStart w:id="60" w:name="_Toc184314465"/>
      <w:bookmarkEnd w:id="60"/>
      <w:bookmarkStart w:id="61" w:name="_Toc184310333"/>
      <w:bookmarkEnd w:id="61"/>
      <w:bookmarkStart w:id="62" w:name="_Toc184310320"/>
      <w:bookmarkEnd w:id="62"/>
      <w:bookmarkStart w:id="63" w:name="_Toc184308075"/>
      <w:bookmarkEnd w:id="63"/>
      <w:bookmarkStart w:id="64" w:name="_Toc184314415"/>
      <w:bookmarkEnd w:id="64"/>
      <w:bookmarkStart w:id="65" w:name="_Toc184312077"/>
      <w:bookmarkEnd w:id="65"/>
      <w:bookmarkStart w:id="66" w:name="_Toc184314460"/>
      <w:bookmarkEnd w:id="66"/>
      <w:bookmarkStart w:id="67" w:name="_Toc184310282"/>
      <w:bookmarkEnd w:id="67"/>
      <w:bookmarkStart w:id="68" w:name="_Toc184313300"/>
      <w:bookmarkEnd w:id="68"/>
      <w:bookmarkStart w:id="69" w:name="_Toc184308106"/>
      <w:bookmarkEnd w:id="69"/>
      <w:bookmarkStart w:id="70" w:name="_Toc184313264"/>
      <w:bookmarkEnd w:id="70"/>
      <w:bookmarkStart w:id="71" w:name="_Toc184313310"/>
      <w:bookmarkEnd w:id="71"/>
      <w:bookmarkStart w:id="72" w:name="_Toc184314438"/>
      <w:bookmarkEnd w:id="72"/>
      <w:bookmarkStart w:id="73" w:name="_Toc184314479"/>
      <w:bookmarkEnd w:id="73"/>
      <w:bookmarkStart w:id="74" w:name="_Toc184313277"/>
      <w:bookmarkEnd w:id="74"/>
      <w:bookmarkStart w:id="75" w:name="_Toc184308068"/>
      <w:bookmarkEnd w:id="75"/>
      <w:bookmarkStart w:id="76" w:name="_Toc184312113"/>
      <w:bookmarkEnd w:id="76"/>
      <w:bookmarkStart w:id="77" w:name="_Toc184312137"/>
      <w:bookmarkEnd w:id="77"/>
      <w:bookmarkStart w:id="78" w:name="_Toc184312103"/>
      <w:bookmarkEnd w:id="78"/>
      <w:bookmarkStart w:id="79" w:name="_Toc184314471"/>
      <w:bookmarkEnd w:id="79"/>
      <w:bookmarkStart w:id="80" w:name="_Toc184312125"/>
      <w:bookmarkEnd w:id="80"/>
      <w:bookmarkStart w:id="81" w:name="_Toc184314410"/>
      <w:bookmarkEnd w:id="81"/>
      <w:bookmarkStart w:id="82" w:name="_Toc184312074"/>
      <w:bookmarkEnd w:id="82"/>
      <w:bookmarkStart w:id="83" w:name="_Toc184308054"/>
      <w:bookmarkEnd w:id="83"/>
      <w:bookmarkStart w:id="84" w:name="_Toc184310342"/>
      <w:bookmarkEnd w:id="84"/>
      <w:bookmarkStart w:id="85" w:name="_Toc184312111"/>
      <w:bookmarkEnd w:id="85"/>
      <w:bookmarkStart w:id="86" w:name="_Toc184308064"/>
      <w:bookmarkEnd w:id="86"/>
      <w:bookmarkStart w:id="87" w:name="_Toc184312118"/>
      <w:bookmarkEnd w:id="87"/>
      <w:bookmarkStart w:id="88" w:name="_Toc184310301"/>
      <w:bookmarkEnd w:id="88"/>
      <w:bookmarkStart w:id="89" w:name="_Toc184314416"/>
      <w:bookmarkEnd w:id="89"/>
      <w:bookmarkStart w:id="90" w:name="_Toc184312095"/>
      <w:bookmarkEnd w:id="90"/>
      <w:bookmarkStart w:id="91" w:name="_Toc184313263"/>
      <w:bookmarkEnd w:id="91"/>
      <w:bookmarkStart w:id="92" w:name="_Toc184313254"/>
      <w:bookmarkEnd w:id="92"/>
      <w:bookmarkStart w:id="93" w:name="_Toc184313283"/>
      <w:bookmarkEnd w:id="93"/>
      <w:bookmarkStart w:id="94" w:name="_Toc184310318"/>
      <w:bookmarkEnd w:id="94"/>
      <w:bookmarkStart w:id="95" w:name="_Toc184310335"/>
      <w:bookmarkEnd w:id="95"/>
      <w:bookmarkStart w:id="96" w:name="_Toc184308070"/>
      <w:bookmarkEnd w:id="96"/>
      <w:bookmarkStart w:id="97" w:name="_Toc184314467"/>
      <w:bookmarkEnd w:id="97"/>
      <w:bookmarkStart w:id="98" w:name="_Toc184310336"/>
      <w:bookmarkEnd w:id="98"/>
      <w:bookmarkStart w:id="99" w:name="_Toc184308102"/>
      <w:bookmarkEnd w:id="99"/>
      <w:bookmarkStart w:id="100" w:name="_Toc184312136"/>
      <w:bookmarkEnd w:id="100"/>
      <w:bookmarkStart w:id="101" w:name="_Toc184313307"/>
      <w:bookmarkEnd w:id="101"/>
      <w:bookmarkStart w:id="102" w:name="_Toc184308066"/>
      <w:bookmarkEnd w:id="102"/>
      <w:bookmarkStart w:id="103" w:name="_Toc184312128"/>
      <w:bookmarkEnd w:id="103"/>
      <w:bookmarkStart w:id="104" w:name="_Toc184312073"/>
      <w:bookmarkEnd w:id="104"/>
      <w:bookmarkStart w:id="105" w:name="_Toc184308103"/>
      <w:bookmarkEnd w:id="105"/>
      <w:bookmarkStart w:id="106" w:name="_Toc184314420"/>
      <w:bookmarkEnd w:id="106"/>
      <w:bookmarkStart w:id="107" w:name="_Toc184310279"/>
      <w:bookmarkEnd w:id="107"/>
      <w:bookmarkStart w:id="108" w:name="_Toc184308074"/>
      <w:bookmarkEnd w:id="108"/>
      <w:bookmarkStart w:id="109" w:name="_Toc184313287"/>
      <w:bookmarkEnd w:id="109"/>
      <w:bookmarkStart w:id="110" w:name="_Toc184308037"/>
      <w:bookmarkEnd w:id="110"/>
      <w:bookmarkStart w:id="111" w:name="_Toc184313259"/>
      <w:bookmarkEnd w:id="111"/>
      <w:bookmarkStart w:id="112" w:name="_Toc184312090"/>
      <w:bookmarkEnd w:id="112"/>
      <w:bookmarkStart w:id="113" w:name="_Toc184308082"/>
      <w:bookmarkEnd w:id="113"/>
      <w:bookmarkStart w:id="114" w:name="_Toc184310298"/>
      <w:bookmarkEnd w:id="114"/>
      <w:bookmarkStart w:id="115" w:name="_Toc184314457"/>
      <w:bookmarkEnd w:id="115"/>
      <w:bookmarkStart w:id="116" w:name="_Toc184314440"/>
      <w:bookmarkEnd w:id="116"/>
      <w:bookmarkStart w:id="117" w:name="_Toc184312091"/>
      <w:bookmarkEnd w:id="117"/>
      <w:bookmarkStart w:id="118" w:name="_Toc184313304"/>
      <w:bookmarkEnd w:id="118"/>
      <w:bookmarkStart w:id="119" w:name="_Toc184312083"/>
      <w:bookmarkEnd w:id="119"/>
      <w:bookmarkStart w:id="120" w:name="_Toc184310296"/>
      <w:bookmarkEnd w:id="120"/>
      <w:bookmarkStart w:id="121" w:name="_Toc184310297"/>
      <w:bookmarkEnd w:id="121"/>
      <w:bookmarkStart w:id="122" w:name="_Toc184312102"/>
      <w:bookmarkEnd w:id="122"/>
      <w:bookmarkStart w:id="123" w:name="_Toc184313252"/>
      <w:bookmarkEnd w:id="123"/>
      <w:bookmarkStart w:id="124" w:name="_Toc184310325"/>
      <w:bookmarkEnd w:id="124"/>
      <w:bookmarkStart w:id="125" w:name="_Toc184308047"/>
      <w:bookmarkEnd w:id="125"/>
      <w:bookmarkStart w:id="126" w:name="_Toc184313242"/>
      <w:bookmarkEnd w:id="126"/>
      <w:bookmarkStart w:id="127" w:name="_Toc184314455"/>
      <w:bookmarkEnd w:id="127"/>
      <w:bookmarkStart w:id="128" w:name="_Toc184310284"/>
      <w:bookmarkEnd w:id="128"/>
      <w:bookmarkStart w:id="129" w:name="_Toc184313253"/>
      <w:bookmarkEnd w:id="129"/>
      <w:bookmarkStart w:id="130" w:name="_Toc184314414"/>
      <w:bookmarkEnd w:id="130"/>
      <w:bookmarkStart w:id="131" w:name="_Toc184314417"/>
      <w:bookmarkEnd w:id="131"/>
      <w:bookmarkStart w:id="132" w:name="_Toc184314425"/>
      <w:bookmarkEnd w:id="132"/>
      <w:bookmarkStart w:id="133" w:name="_Toc184314474"/>
      <w:bookmarkEnd w:id="133"/>
      <w:bookmarkStart w:id="134" w:name="_Toc184312094"/>
      <w:bookmarkEnd w:id="134"/>
      <w:bookmarkStart w:id="135" w:name="_Toc184312100"/>
      <w:bookmarkEnd w:id="135"/>
      <w:bookmarkStart w:id="136" w:name="_Toc184308041"/>
      <w:bookmarkEnd w:id="136"/>
      <w:bookmarkStart w:id="137" w:name="_Toc184314436"/>
      <w:bookmarkEnd w:id="137"/>
      <w:bookmarkStart w:id="138" w:name="_Toc184310295"/>
      <w:bookmarkEnd w:id="138"/>
      <w:bookmarkStart w:id="139" w:name="_Toc184314443"/>
      <w:bookmarkEnd w:id="139"/>
      <w:bookmarkStart w:id="140" w:name="_Toc184308076"/>
      <w:bookmarkEnd w:id="140"/>
      <w:bookmarkStart w:id="141" w:name="_Toc184308059"/>
      <w:bookmarkEnd w:id="141"/>
      <w:bookmarkStart w:id="142" w:name="_Toc184310293"/>
      <w:bookmarkEnd w:id="142"/>
      <w:bookmarkStart w:id="143" w:name="_Toc184313301"/>
      <w:bookmarkEnd w:id="143"/>
      <w:bookmarkStart w:id="144" w:name="_Toc184312088"/>
      <w:bookmarkEnd w:id="144"/>
      <w:bookmarkStart w:id="145" w:name="_Toc184313296"/>
      <w:bookmarkEnd w:id="145"/>
      <w:bookmarkStart w:id="146" w:name="_Toc184310331"/>
      <w:bookmarkEnd w:id="146"/>
      <w:bookmarkStart w:id="147" w:name="_Toc184313305"/>
      <w:bookmarkEnd w:id="147"/>
      <w:bookmarkStart w:id="148" w:name="_Toc184313292"/>
      <w:bookmarkEnd w:id="148"/>
      <w:bookmarkStart w:id="149" w:name="_Toc184308071"/>
      <w:bookmarkEnd w:id="149"/>
      <w:bookmarkStart w:id="150" w:name="_Toc184312101"/>
      <w:bookmarkEnd w:id="150"/>
      <w:bookmarkStart w:id="151" w:name="_Toc184310326"/>
      <w:bookmarkEnd w:id="151"/>
      <w:bookmarkStart w:id="152" w:name="_Toc184308038"/>
      <w:bookmarkEnd w:id="152"/>
      <w:bookmarkStart w:id="153" w:name="_Toc184313280"/>
      <w:bookmarkEnd w:id="153"/>
      <w:bookmarkStart w:id="154" w:name="_Toc184310286"/>
      <w:bookmarkEnd w:id="154"/>
      <w:bookmarkStart w:id="155" w:name="_Toc184312085"/>
      <w:bookmarkEnd w:id="155"/>
      <w:bookmarkStart w:id="156" w:name="_Toc184314434"/>
      <w:bookmarkEnd w:id="156"/>
      <w:bookmarkStart w:id="157" w:name="_Toc184310283"/>
      <w:bookmarkEnd w:id="157"/>
      <w:bookmarkStart w:id="158" w:name="_Toc184308050"/>
      <w:bookmarkEnd w:id="158"/>
      <w:bookmarkStart w:id="159" w:name="_Toc184313247"/>
      <w:bookmarkEnd w:id="159"/>
      <w:bookmarkStart w:id="160" w:name="_Toc184310340"/>
      <w:bookmarkEnd w:id="160"/>
      <w:bookmarkStart w:id="161" w:name="_Toc184308093"/>
      <w:bookmarkEnd w:id="161"/>
      <w:bookmarkStart w:id="162" w:name="_Toc184312114"/>
      <w:bookmarkEnd w:id="162"/>
      <w:bookmarkStart w:id="163" w:name="_Toc184313268"/>
      <w:bookmarkEnd w:id="163"/>
      <w:bookmarkStart w:id="164" w:name="_Toc184308084"/>
      <w:bookmarkEnd w:id="164"/>
      <w:bookmarkStart w:id="165" w:name="_Toc184314419"/>
      <w:bookmarkEnd w:id="165"/>
      <w:bookmarkStart w:id="166" w:name="_Toc184308091"/>
      <w:bookmarkEnd w:id="166"/>
      <w:bookmarkStart w:id="167" w:name="_Toc184310328"/>
      <w:bookmarkEnd w:id="167"/>
      <w:bookmarkStart w:id="168" w:name="_Toc184313289"/>
      <w:bookmarkEnd w:id="168"/>
      <w:bookmarkStart w:id="169" w:name="_Toc184308052"/>
      <w:bookmarkEnd w:id="169"/>
      <w:bookmarkStart w:id="170" w:name="_Toc184310327"/>
      <w:bookmarkEnd w:id="170"/>
      <w:bookmarkStart w:id="171" w:name="_Toc184313279"/>
      <w:bookmarkEnd w:id="171"/>
      <w:bookmarkStart w:id="172" w:name="_Toc184312098"/>
      <w:bookmarkEnd w:id="172"/>
      <w:bookmarkStart w:id="173" w:name="_Toc184312096"/>
      <w:bookmarkEnd w:id="173"/>
      <w:bookmarkStart w:id="174" w:name="_Toc184313294"/>
      <w:bookmarkEnd w:id="174"/>
      <w:bookmarkStart w:id="175" w:name="_Toc184313288"/>
      <w:bookmarkEnd w:id="175"/>
      <w:bookmarkStart w:id="176" w:name="_Toc184312134"/>
      <w:bookmarkEnd w:id="176"/>
      <w:bookmarkStart w:id="177" w:name="_Toc184308097"/>
      <w:bookmarkEnd w:id="177"/>
      <w:bookmarkStart w:id="178" w:name="_Toc184310290"/>
      <w:bookmarkEnd w:id="178"/>
      <w:bookmarkStart w:id="179" w:name="_Toc184310309"/>
      <w:bookmarkEnd w:id="179"/>
      <w:bookmarkStart w:id="180" w:name="_Toc184313265"/>
      <w:bookmarkEnd w:id="180"/>
      <w:bookmarkStart w:id="181" w:name="_Toc184310315"/>
      <w:bookmarkEnd w:id="181"/>
      <w:bookmarkStart w:id="182" w:name="_Toc184314480"/>
      <w:bookmarkEnd w:id="182"/>
      <w:bookmarkStart w:id="183" w:name="_Toc184310329"/>
      <w:bookmarkEnd w:id="183"/>
      <w:bookmarkStart w:id="184" w:name="_Toc184314478"/>
      <w:bookmarkEnd w:id="184"/>
      <w:bookmarkStart w:id="185" w:name="_Toc184314418"/>
      <w:bookmarkEnd w:id="185"/>
      <w:bookmarkStart w:id="186" w:name="_Toc184310289"/>
      <w:bookmarkEnd w:id="186"/>
      <w:bookmarkStart w:id="187" w:name="_Toc184313260"/>
      <w:bookmarkEnd w:id="187"/>
      <w:bookmarkStart w:id="188" w:name="_Toc184313297"/>
      <w:bookmarkEnd w:id="188"/>
      <w:bookmarkStart w:id="189" w:name="_Toc184313258"/>
      <w:bookmarkEnd w:id="189"/>
      <w:bookmarkStart w:id="190" w:name="_Toc184312070"/>
      <w:bookmarkEnd w:id="190"/>
      <w:bookmarkStart w:id="191" w:name="_Toc184308060"/>
      <w:bookmarkEnd w:id="191"/>
      <w:bookmarkStart w:id="192" w:name="_Toc184310323"/>
      <w:bookmarkEnd w:id="192"/>
      <w:bookmarkStart w:id="193" w:name="_Toc184314427"/>
      <w:bookmarkEnd w:id="193"/>
      <w:bookmarkStart w:id="194" w:name="_Toc184314449"/>
      <w:bookmarkEnd w:id="194"/>
      <w:bookmarkStart w:id="195" w:name="_Toc184312126"/>
      <w:bookmarkEnd w:id="195"/>
      <w:bookmarkStart w:id="196" w:name="_Toc184314439"/>
      <w:bookmarkEnd w:id="196"/>
      <w:bookmarkStart w:id="197" w:name="_Toc184312117"/>
      <w:bookmarkEnd w:id="197"/>
      <w:bookmarkStart w:id="198" w:name="_Toc184310316"/>
      <w:bookmarkEnd w:id="198"/>
      <w:bookmarkStart w:id="199" w:name="_Toc184312078"/>
      <w:bookmarkEnd w:id="199"/>
      <w:bookmarkStart w:id="200" w:name="_Toc184308067"/>
      <w:bookmarkEnd w:id="200"/>
      <w:bookmarkStart w:id="201" w:name="_Toc184313270"/>
      <w:bookmarkEnd w:id="201"/>
      <w:bookmarkStart w:id="202" w:name="_Toc184312119"/>
      <w:bookmarkEnd w:id="202"/>
      <w:bookmarkStart w:id="203" w:name="_Toc184313308"/>
      <w:bookmarkEnd w:id="203"/>
      <w:bookmarkStart w:id="204" w:name="_Toc184314432"/>
      <w:bookmarkEnd w:id="204"/>
      <w:bookmarkStart w:id="205" w:name="_Toc184313286"/>
      <w:bookmarkEnd w:id="205"/>
      <w:bookmarkStart w:id="206" w:name="_Toc184312071"/>
      <w:bookmarkEnd w:id="206"/>
      <w:bookmarkStart w:id="207" w:name="_Toc184314481"/>
      <w:bookmarkEnd w:id="207"/>
      <w:bookmarkStart w:id="208" w:name="_Toc184312104"/>
      <w:bookmarkEnd w:id="208"/>
      <w:bookmarkStart w:id="209" w:name="_Toc184308055"/>
      <w:bookmarkEnd w:id="209"/>
      <w:bookmarkStart w:id="210" w:name="_Toc184308095"/>
      <w:bookmarkEnd w:id="210"/>
      <w:bookmarkStart w:id="211" w:name="_Toc184314441"/>
      <w:bookmarkEnd w:id="211"/>
      <w:bookmarkStart w:id="212" w:name="_Toc184310281"/>
      <w:bookmarkEnd w:id="212"/>
      <w:bookmarkStart w:id="213" w:name="_Toc184312106"/>
      <w:bookmarkEnd w:id="213"/>
      <w:bookmarkStart w:id="214" w:name="_Toc184310306"/>
      <w:bookmarkEnd w:id="214"/>
      <w:bookmarkStart w:id="215" w:name="_Toc184310311"/>
      <w:bookmarkEnd w:id="215"/>
      <w:bookmarkStart w:id="216" w:name="_Toc184310299"/>
      <w:bookmarkEnd w:id="216"/>
      <w:bookmarkStart w:id="217" w:name="_Toc184314468"/>
      <w:bookmarkEnd w:id="217"/>
      <w:bookmarkStart w:id="218" w:name="_Toc184312116"/>
      <w:bookmarkEnd w:id="218"/>
      <w:bookmarkStart w:id="219" w:name="_Toc184314448"/>
      <w:bookmarkEnd w:id="219"/>
      <w:bookmarkStart w:id="220" w:name="_Toc184313266"/>
      <w:bookmarkEnd w:id="220"/>
      <w:bookmarkStart w:id="221" w:name="_Toc184314475"/>
      <w:bookmarkEnd w:id="221"/>
      <w:bookmarkStart w:id="222" w:name="_Toc184310312"/>
      <w:bookmarkEnd w:id="222"/>
      <w:bookmarkStart w:id="223" w:name="_Toc184310272"/>
      <w:bookmarkEnd w:id="223"/>
      <w:bookmarkStart w:id="224" w:name="_Toc184310276"/>
      <w:bookmarkEnd w:id="224"/>
      <w:bookmarkStart w:id="225" w:name="_Toc184310319"/>
      <w:bookmarkEnd w:id="225"/>
      <w:bookmarkStart w:id="226" w:name="_Toc184310275"/>
      <w:bookmarkEnd w:id="226"/>
      <w:bookmarkStart w:id="227" w:name="_Toc184314424"/>
      <w:bookmarkEnd w:id="227"/>
      <w:bookmarkStart w:id="228" w:name="_Toc184314452"/>
      <w:bookmarkEnd w:id="228"/>
      <w:bookmarkStart w:id="229" w:name="_Toc184312079"/>
      <w:bookmarkEnd w:id="229"/>
      <w:bookmarkStart w:id="230" w:name="_Toc184308107"/>
      <w:bookmarkEnd w:id="230"/>
      <w:bookmarkStart w:id="231" w:name="_Toc184310339"/>
      <w:bookmarkEnd w:id="231"/>
      <w:bookmarkStart w:id="232" w:name="_Toc184312121"/>
      <w:bookmarkEnd w:id="232"/>
      <w:bookmarkStart w:id="233" w:name="_Toc184310278"/>
      <w:bookmarkEnd w:id="233"/>
      <w:bookmarkStart w:id="234" w:name="_Toc184314450"/>
      <w:bookmarkEnd w:id="234"/>
      <w:bookmarkStart w:id="235" w:name="_Toc184308051"/>
      <w:bookmarkEnd w:id="235"/>
      <w:bookmarkStart w:id="236" w:name="_Toc184314447"/>
      <w:bookmarkEnd w:id="236"/>
      <w:bookmarkStart w:id="237" w:name="_Toc184313273"/>
      <w:bookmarkEnd w:id="237"/>
      <w:bookmarkStart w:id="238" w:name="_Toc184314437"/>
      <w:bookmarkEnd w:id="238"/>
      <w:bookmarkStart w:id="239" w:name="_Toc184308088"/>
      <w:bookmarkEnd w:id="239"/>
      <w:bookmarkStart w:id="240" w:name="_Toc184312112"/>
      <w:bookmarkEnd w:id="240"/>
      <w:bookmarkStart w:id="241" w:name="_Toc184308099"/>
      <w:bookmarkEnd w:id="241"/>
      <w:bookmarkStart w:id="242" w:name="_Toc184314469"/>
      <w:bookmarkEnd w:id="242"/>
      <w:bookmarkStart w:id="243" w:name="_Toc184313240"/>
      <w:bookmarkEnd w:id="243"/>
      <w:bookmarkStart w:id="244" w:name="_Toc184314451"/>
      <w:bookmarkEnd w:id="244"/>
      <w:bookmarkStart w:id="245" w:name="_Toc184310277"/>
      <w:bookmarkEnd w:id="245"/>
      <w:bookmarkStart w:id="246" w:name="_Toc184312089"/>
      <w:bookmarkEnd w:id="246"/>
      <w:bookmarkStart w:id="247" w:name="_Toc184313262"/>
      <w:bookmarkEnd w:id="247"/>
      <w:bookmarkStart w:id="248" w:name="_Toc184312108"/>
      <w:bookmarkEnd w:id="248"/>
      <w:bookmarkStart w:id="249" w:name="_Toc184310332"/>
      <w:bookmarkEnd w:id="249"/>
      <w:bookmarkStart w:id="250" w:name="_Toc184310337"/>
      <w:bookmarkEnd w:id="250"/>
      <w:bookmarkStart w:id="251" w:name="_Toc184312081"/>
      <w:bookmarkEnd w:id="251"/>
      <w:bookmarkStart w:id="252" w:name="_Toc184313278"/>
      <w:bookmarkEnd w:id="252"/>
      <w:bookmarkStart w:id="253" w:name="_Toc184314470"/>
      <w:bookmarkEnd w:id="253"/>
      <w:bookmarkStart w:id="254" w:name="_Toc184314442"/>
      <w:bookmarkEnd w:id="254"/>
      <w:bookmarkStart w:id="255" w:name="_Toc184313281"/>
      <w:bookmarkEnd w:id="255"/>
      <w:bookmarkStart w:id="256" w:name="_Toc184310338"/>
      <w:bookmarkEnd w:id="256"/>
      <w:bookmarkStart w:id="257" w:name="_Toc184313274"/>
      <w:bookmarkEnd w:id="257"/>
      <w:bookmarkStart w:id="258" w:name="_Toc184308048"/>
      <w:bookmarkEnd w:id="258"/>
      <w:bookmarkStart w:id="259" w:name="_Toc184310294"/>
      <w:bookmarkEnd w:id="259"/>
      <w:bookmarkStart w:id="260" w:name="_Toc184312099"/>
      <w:bookmarkEnd w:id="260"/>
      <w:bookmarkStart w:id="261" w:name="_Toc184308040"/>
      <w:bookmarkEnd w:id="261"/>
      <w:bookmarkStart w:id="262" w:name="_Toc184310308"/>
      <w:bookmarkEnd w:id="262"/>
      <w:bookmarkStart w:id="263" w:name="_Toc184314428"/>
      <w:bookmarkEnd w:id="263"/>
      <w:bookmarkStart w:id="264" w:name="_Toc184312076"/>
      <w:bookmarkEnd w:id="264"/>
      <w:bookmarkStart w:id="265" w:name="_Toc184308042"/>
      <w:bookmarkEnd w:id="265"/>
      <w:bookmarkStart w:id="266" w:name="_Toc184308072"/>
      <w:bookmarkEnd w:id="266"/>
      <w:bookmarkStart w:id="267" w:name="_Toc184308065"/>
      <w:bookmarkEnd w:id="267"/>
      <w:bookmarkStart w:id="268" w:name="_Toc184308039"/>
      <w:bookmarkEnd w:id="268"/>
      <w:bookmarkStart w:id="269" w:name="_Toc184308094"/>
      <w:bookmarkEnd w:id="269"/>
      <w:bookmarkStart w:id="270" w:name="_Toc184312105"/>
      <w:bookmarkEnd w:id="270"/>
      <w:bookmarkStart w:id="271" w:name="_Toc184310343"/>
      <w:bookmarkEnd w:id="271"/>
      <w:bookmarkStart w:id="272" w:name="_Toc184308069"/>
      <w:bookmarkEnd w:id="272"/>
      <w:bookmarkStart w:id="273" w:name="_Toc184312139"/>
      <w:bookmarkEnd w:id="273"/>
      <w:bookmarkStart w:id="274" w:name="_Toc184308098"/>
      <w:bookmarkEnd w:id="274"/>
      <w:bookmarkStart w:id="275" w:name="_Toc184314464"/>
      <w:bookmarkEnd w:id="275"/>
      <w:bookmarkStart w:id="276" w:name="_Toc184308096"/>
      <w:bookmarkEnd w:id="276"/>
      <w:bookmarkStart w:id="277" w:name="_Toc184313249"/>
      <w:bookmarkEnd w:id="277"/>
      <w:bookmarkStart w:id="278" w:name="_Toc184313293"/>
      <w:bookmarkEnd w:id="278"/>
      <w:bookmarkStart w:id="279" w:name="_Toc184308063"/>
      <w:bookmarkEnd w:id="279"/>
      <w:bookmarkStart w:id="280" w:name="_Toc184308090"/>
      <w:bookmarkEnd w:id="280"/>
      <w:bookmarkStart w:id="281" w:name="_Toc184310285"/>
      <w:bookmarkEnd w:id="281"/>
      <w:bookmarkStart w:id="282" w:name="_Toc184313238"/>
      <w:bookmarkEnd w:id="282"/>
      <w:bookmarkStart w:id="283" w:name="_Toc184313255"/>
      <w:bookmarkEnd w:id="283"/>
      <w:bookmarkStart w:id="284" w:name="_Toc184308056"/>
      <w:bookmarkEnd w:id="284"/>
      <w:bookmarkStart w:id="285" w:name="_Toc184310322"/>
      <w:bookmarkEnd w:id="285"/>
      <w:bookmarkStart w:id="286" w:name="_Toc184313256"/>
      <w:bookmarkEnd w:id="286"/>
      <w:bookmarkStart w:id="287" w:name="_Toc184314466"/>
      <w:bookmarkEnd w:id="287"/>
      <w:bookmarkStart w:id="288" w:name="_Toc184313250"/>
      <w:bookmarkEnd w:id="288"/>
      <w:bookmarkStart w:id="289" w:name="_Toc184313267"/>
      <w:bookmarkEnd w:id="289"/>
      <w:bookmarkStart w:id="290" w:name="_Toc184312097"/>
      <w:bookmarkEnd w:id="290"/>
      <w:bookmarkStart w:id="291" w:name="_Toc184313291"/>
      <w:bookmarkEnd w:id="291"/>
      <w:bookmarkStart w:id="292" w:name="_Toc184310313"/>
      <w:bookmarkEnd w:id="292"/>
      <w:bookmarkStart w:id="293" w:name="_Toc184314412"/>
      <w:bookmarkEnd w:id="293"/>
      <w:bookmarkStart w:id="294" w:name="_Toc184312068"/>
      <w:bookmarkEnd w:id="294"/>
      <w:bookmarkStart w:id="295" w:name="_Toc184314473"/>
      <w:bookmarkEnd w:id="295"/>
      <w:bookmarkStart w:id="296" w:name="_Toc184308049"/>
      <w:bookmarkEnd w:id="296"/>
      <w:bookmarkStart w:id="297" w:name="_Toc184313299"/>
      <w:bookmarkEnd w:id="297"/>
      <w:bookmarkStart w:id="298" w:name="_Toc184310334"/>
      <w:bookmarkEnd w:id="298"/>
      <w:bookmarkStart w:id="299" w:name="_Toc184313275"/>
      <w:bookmarkEnd w:id="299"/>
      <w:bookmarkStart w:id="300" w:name="_Toc184308077"/>
      <w:bookmarkEnd w:id="300"/>
      <w:bookmarkStart w:id="301" w:name="_Toc184312133"/>
      <w:bookmarkEnd w:id="301"/>
      <w:bookmarkStart w:id="302" w:name="_Toc184313290"/>
      <w:bookmarkEnd w:id="302"/>
      <w:bookmarkStart w:id="303" w:name="_Toc184308080"/>
      <w:bookmarkEnd w:id="303"/>
      <w:bookmarkStart w:id="304" w:name="_Toc184314453"/>
      <w:bookmarkEnd w:id="304"/>
      <w:bookmarkStart w:id="305" w:name="_Toc184312124"/>
      <w:bookmarkEnd w:id="305"/>
      <w:bookmarkStart w:id="306" w:name="_Toc184308083"/>
      <w:bookmarkEnd w:id="306"/>
      <w:bookmarkStart w:id="307" w:name="_Toc184308089"/>
      <w:bookmarkEnd w:id="307"/>
      <w:bookmarkStart w:id="308" w:name="_Toc184312132"/>
      <w:bookmarkEnd w:id="308"/>
      <w:bookmarkStart w:id="309" w:name="_Toc184308057"/>
      <w:bookmarkEnd w:id="309"/>
      <w:bookmarkStart w:id="310" w:name="_Toc184312131"/>
      <w:bookmarkEnd w:id="310"/>
      <w:bookmarkStart w:id="311" w:name="_Toc184312086"/>
      <w:bookmarkEnd w:id="311"/>
      <w:bookmarkStart w:id="312" w:name="_Toc184310305"/>
      <w:bookmarkEnd w:id="312"/>
      <w:bookmarkStart w:id="313" w:name="_Toc184310273"/>
      <w:bookmarkEnd w:id="313"/>
      <w:bookmarkStart w:id="314" w:name="_Toc184313309"/>
      <w:bookmarkEnd w:id="314"/>
      <w:bookmarkStart w:id="315" w:name="_Toc184313245"/>
      <w:bookmarkEnd w:id="315"/>
      <w:bookmarkStart w:id="316" w:name="_Toc184312075"/>
      <w:bookmarkEnd w:id="316"/>
      <w:bookmarkStart w:id="317" w:name="_Toc184314476"/>
      <w:bookmarkEnd w:id="317"/>
      <w:bookmarkStart w:id="318" w:name="_Toc184313271"/>
      <w:bookmarkEnd w:id="318"/>
      <w:bookmarkStart w:id="319" w:name="_Toc184314459"/>
      <w:bookmarkEnd w:id="319"/>
      <w:bookmarkStart w:id="320" w:name="_Toc184313261"/>
      <w:bookmarkEnd w:id="320"/>
      <w:bookmarkStart w:id="321" w:name="_Toc184312135"/>
      <w:bookmarkEnd w:id="321"/>
      <w:bookmarkStart w:id="322" w:name="_Toc184312122"/>
      <w:bookmarkEnd w:id="322"/>
      <w:bookmarkStart w:id="323" w:name="_Toc184308092"/>
      <w:bookmarkEnd w:id="323"/>
      <w:bookmarkStart w:id="324" w:name="_Toc184313282"/>
      <w:bookmarkEnd w:id="324"/>
      <w:bookmarkStart w:id="325" w:name="_Toc184314411"/>
      <w:bookmarkEnd w:id="325"/>
      <w:bookmarkStart w:id="326" w:name="_Toc184314456"/>
      <w:bookmarkEnd w:id="326"/>
      <w:bookmarkStart w:id="327" w:name="_Toc184314477"/>
      <w:bookmarkEnd w:id="327"/>
      <w:bookmarkStart w:id="328" w:name="_Toc184312123"/>
      <w:bookmarkEnd w:id="328"/>
      <w:bookmarkStart w:id="329" w:name="_Toc184312129"/>
      <w:bookmarkEnd w:id="329"/>
      <w:bookmarkStart w:id="330" w:name="_Toc184312130"/>
      <w:bookmarkEnd w:id="330"/>
      <w:bookmarkStart w:id="331" w:name="_Toc184314454"/>
      <w:bookmarkEnd w:id="331"/>
      <w:bookmarkStart w:id="332" w:name="_Toc184310280"/>
      <w:bookmarkEnd w:id="332"/>
      <w:bookmarkStart w:id="333" w:name="_Toc184314431"/>
      <w:bookmarkEnd w:id="333"/>
      <w:bookmarkStart w:id="334" w:name="_Toc184308105"/>
      <w:bookmarkEnd w:id="334"/>
      <w:bookmarkStart w:id="335" w:name="_Toc184313248"/>
      <w:bookmarkEnd w:id="335"/>
      <w:bookmarkStart w:id="336" w:name="_Toc184312107"/>
      <w:bookmarkEnd w:id="336"/>
      <w:bookmarkStart w:id="337" w:name="_Toc184308081"/>
      <w:bookmarkEnd w:id="337"/>
      <w:bookmarkStart w:id="338" w:name="_Toc184314413"/>
      <w:bookmarkEnd w:id="338"/>
      <w:bookmarkStart w:id="339" w:name="_Toc184314435"/>
      <w:bookmarkEnd w:id="339"/>
      <w:bookmarkStart w:id="340" w:name="_Toc184308062"/>
      <w:bookmarkEnd w:id="340"/>
      <w:bookmarkStart w:id="341" w:name="_Toc184308036"/>
      <w:bookmarkEnd w:id="341"/>
      <w:bookmarkStart w:id="342" w:name="_Toc184312067"/>
      <w:bookmarkEnd w:id="342"/>
      <w:bookmarkStart w:id="343" w:name="_Toc184313244"/>
      <w:bookmarkEnd w:id="343"/>
      <w:bookmarkStart w:id="344" w:name="_Toc184310341"/>
      <w:bookmarkEnd w:id="344"/>
      <w:bookmarkStart w:id="345" w:name="_Toc184312072"/>
      <w:bookmarkEnd w:id="345"/>
      <w:bookmarkStart w:id="346" w:name="_Toc184313272"/>
      <w:bookmarkEnd w:id="346"/>
      <w:bookmarkStart w:id="347" w:name="_Toc184313295"/>
      <w:bookmarkEnd w:id="347"/>
      <w:bookmarkStart w:id="348" w:name="_Toc184312082"/>
      <w:bookmarkEnd w:id="348"/>
      <w:bookmarkStart w:id="349" w:name="_Toc184310302"/>
      <w:bookmarkEnd w:id="349"/>
      <w:bookmarkStart w:id="350" w:name="_Toc184312127"/>
      <w:bookmarkEnd w:id="350"/>
      <w:bookmarkStart w:id="351" w:name="_Toc184313303"/>
      <w:bookmarkEnd w:id="351"/>
      <w:bookmarkStart w:id="352" w:name="_Toc184313241"/>
      <w:bookmarkEnd w:id="352"/>
      <w:bookmarkStart w:id="353" w:name="_Toc184310288"/>
      <w:bookmarkEnd w:id="353"/>
      <w:bookmarkStart w:id="354" w:name="_Toc184310300"/>
      <w:bookmarkEnd w:id="354"/>
      <w:bookmarkStart w:id="355" w:name="_Toc184308087"/>
      <w:bookmarkEnd w:id="355"/>
      <w:bookmarkStart w:id="356" w:name="_Toc184313257"/>
      <w:bookmarkEnd w:id="356"/>
      <w:bookmarkStart w:id="357" w:name="_Toc184313251"/>
      <w:bookmarkEnd w:id="357"/>
      <w:bookmarkStart w:id="358" w:name="_Toc184312093"/>
      <w:bookmarkEnd w:id="358"/>
      <w:bookmarkStart w:id="359" w:name="_Toc184310307"/>
      <w:bookmarkEnd w:id="359"/>
      <w:bookmarkStart w:id="360" w:name="_Toc184310330"/>
      <w:bookmarkEnd w:id="360"/>
      <w:bookmarkStart w:id="361" w:name="_Toc184312120"/>
      <w:bookmarkEnd w:id="361"/>
      <w:bookmarkStart w:id="362" w:name="_Toc184314433"/>
      <w:bookmarkEnd w:id="362"/>
      <w:bookmarkStart w:id="363" w:name="_Toc184308100"/>
      <w:bookmarkEnd w:id="363"/>
      <w:bookmarkStart w:id="364" w:name="_Toc184312080"/>
      <w:bookmarkEnd w:id="364"/>
      <w:bookmarkStart w:id="365" w:name="_Toc184310321"/>
      <w:bookmarkEnd w:id="365"/>
      <w:bookmarkStart w:id="366" w:name="_Toc184308078"/>
      <w:bookmarkEnd w:id="366"/>
      <w:bookmarkStart w:id="367" w:name="_Toc184314482"/>
      <w:bookmarkEnd w:id="367"/>
      <w:bookmarkStart w:id="368" w:name="_Toc184314421"/>
      <w:bookmarkEnd w:id="368"/>
      <w:bookmarkStart w:id="369" w:name="_Toc184313239"/>
      <w:bookmarkEnd w:id="369"/>
      <w:bookmarkStart w:id="370" w:name="_Toc184310317"/>
      <w:bookmarkEnd w:id="370"/>
      <w:bookmarkStart w:id="371" w:name="_Toc184314462"/>
      <w:bookmarkEnd w:id="371"/>
      <w:r>
        <w:rPr>
          <w:rFonts w:hint="eastAsia" w:ascii="宋体" w:hAnsi="宋体" w:eastAsia="宋体" w:cs="宋体"/>
          <w:b/>
          <w:sz w:val="36"/>
          <w:szCs w:val="36"/>
        </w:rPr>
        <w:t>评标办法</w:t>
      </w:r>
      <w:bookmarkEnd w:id="5"/>
      <w:bookmarkEnd w:id="6"/>
    </w:p>
    <w:tbl>
      <w:tblPr>
        <w:tblStyle w:val="9"/>
        <w:tblW w:w="51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848"/>
        <w:gridCol w:w="1282"/>
        <w:gridCol w:w="5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349" w:type="pct"/>
            <w:vAlign w:val="center"/>
          </w:tcPr>
          <w:p>
            <w:pPr>
              <w:pStyle w:val="12"/>
              <w:spacing w:after="120"/>
              <w:ind w:firstLine="0"/>
              <w:jc w:val="center"/>
              <w:rPr>
                <w:rFonts w:hint="eastAsia" w:ascii="宋体" w:hAnsi="宋体" w:eastAsia="宋体" w:cs="宋体"/>
                <w:b w:val="0"/>
                <w:bCs/>
                <w:sz w:val="21"/>
                <w:szCs w:val="21"/>
              </w:rPr>
            </w:pPr>
            <w:bookmarkStart w:id="372" w:name="OLE_LINK18"/>
            <w:r>
              <w:rPr>
                <w:rFonts w:hint="eastAsia" w:ascii="宋体" w:hAnsi="宋体" w:eastAsia="宋体" w:cs="宋体"/>
                <w:b w:val="0"/>
                <w:bCs/>
                <w:sz w:val="21"/>
                <w:szCs w:val="21"/>
              </w:rPr>
              <w:t>序号</w:t>
            </w:r>
          </w:p>
        </w:tc>
        <w:tc>
          <w:tcPr>
            <w:tcW w:w="1221" w:type="pct"/>
            <w:gridSpan w:val="2"/>
            <w:vAlign w:val="center"/>
          </w:tcPr>
          <w:p>
            <w:pPr>
              <w:pStyle w:val="12"/>
              <w:spacing w:after="120"/>
              <w:jc w:val="center"/>
              <w:rPr>
                <w:rFonts w:hint="eastAsia" w:ascii="宋体" w:hAnsi="宋体" w:eastAsia="宋体" w:cs="宋体"/>
                <w:b w:val="0"/>
                <w:bCs/>
                <w:sz w:val="21"/>
                <w:szCs w:val="21"/>
              </w:rPr>
            </w:pPr>
            <w:r>
              <w:rPr>
                <w:rFonts w:hint="eastAsia" w:ascii="宋体" w:hAnsi="宋体" w:eastAsia="宋体" w:cs="宋体"/>
                <w:b w:val="0"/>
                <w:bCs/>
                <w:sz w:val="21"/>
                <w:szCs w:val="21"/>
              </w:rPr>
              <w:t>评审因素</w:t>
            </w:r>
          </w:p>
        </w:tc>
        <w:tc>
          <w:tcPr>
            <w:tcW w:w="3428" w:type="pct"/>
            <w:vAlign w:val="center"/>
          </w:tcPr>
          <w:p>
            <w:pPr>
              <w:pStyle w:val="12"/>
              <w:spacing w:after="120"/>
              <w:jc w:val="center"/>
              <w:rPr>
                <w:rFonts w:hint="eastAsia" w:ascii="宋体" w:hAnsi="宋体" w:eastAsia="宋体" w:cs="宋体"/>
                <w:b w:val="0"/>
                <w:bCs/>
                <w:sz w:val="21"/>
                <w:szCs w:val="21"/>
              </w:rPr>
            </w:pPr>
            <w:r>
              <w:rPr>
                <w:rFonts w:hint="eastAsia" w:ascii="宋体" w:hAnsi="宋体" w:eastAsia="宋体" w:cs="宋体"/>
                <w:b w:val="0"/>
                <w:bCs/>
                <w:sz w:val="21"/>
                <w:szCs w:val="21"/>
              </w:rPr>
              <w:t>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jc w:val="center"/>
        </w:trPr>
        <w:tc>
          <w:tcPr>
            <w:tcW w:w="349" w:type="pct"/>
            <w:vAlign w:val="center"/>
          </w:tcPr>
          <w:p>
            <w:pPr>
              <w:pStyle w:val="12"/>
              <w:spacing w:after="120"/>
              <w:ind w:firstLine="208" w:firstLineChars="100"/>
              <w:rPr>
                <w:rFonts w:hint="eastAsia" w:ascii="宋体" w:hAnsi="宋体" w:eastAsia="宋体" w:cs="宋体"/>
                <w:b w:val="0"/>
                <w:bCs/>
                <w:spacing w:val="-1"/>
                <w:sz w:val="21"/>
                <w:szCs w:val="21"/>
              </w:rPr>
            </w:pPr>
            <w:r>
              <w:rPr>
                <w:rFonts w:hint="eastAsia" w:ascii="宋体" w:hAnsi="宋体" w:eastAsia="宋体" w:cs="宋体"/>
                <w:b w:val="0"/>
                <w:bCs/>
                <w:spacing w:val="-1"/>
                <w:sz w:val="21"/>
                <w:szCs w:val="21"/>
              </w:rPr>
              <w:t>1</w:t>
            </w:r>
          </w:p>
        </w:tc>
        <w:tc>
          <w:tcPr>
            <w:tcW w:w="486" w:type="pct"/>
            <w:vAlign w:val="center"/>
          </w:tcPr>
          <w:p>
            <w:pPr>
              <w:spacing w:line="360" w:lineRule="auto"/>
              <w:rPr>
                <w:rFonts w:hint="eastAsia" w:ascii="宋体" w:hAnsi="宋体" w:eastAsia="宋体" w:cs="宋体"/>
                <w:b w:val="0"/>
                <w:bCs/>
                <w:sz w:val="21"/>
                <w:szCs w:val="21"/>
              </w:rPr>
            </w:pPr>
            <w:r>
              <w:rPr>
                <w:rFonts w:hint="eastAsia" w:ascii="宋体" w:hAnsi="宋体" w:eastAsia="宋体" w:cs="宋体"/>
                <w:b w:val="0"/>
                <w:bCs/>
                <w:kern w:val="0"/>
                <w:sz w:val="21"/>
                <w:szCs w:val="21"/>
              </w:rPr>
              <w:t>价格分（满分</w:t>
            </w:r>
            <w:r>
              <w:rPr>
                <w:rFonts w:hint="eastAsia" w:ascii="宋体" w:hAnsi="宋体" w:eastAsia="宋体" w:cs="宋体"/>
                <w:b w:val="0"/>
                <w:bCs/>
                <w:kern w:val="0"/>
                <w:sz w:val="21"/>
                <w:szCs w:val="21"/>
                <w:lang w:val="en-US" w:eastAsia="zh-CN"/>
              </w:rPr>
              <w:t>30</w:t>
            </w:r>
            <w:r>
              <w:rPr>
                <w:rFonts w:hint="eastAsia" w:ascii="宋体" w:hAnsi="宋体" w:eastAsia="宋体" w:cs="宋体"/>
                <w:b w:val="0"/>
                <w:bCs/>
                <w:kern w:val="0"/>
                <w:sz w:val="21"/>
                <w:szCs w:val="21"/>
              </w:rPr>
              <w:t>分）</w:t>
            </w:r>
          </w:p>
        </w:tc>
        <w:tc>
          <w:tcPr>
            <w:tcW w:w="735" w:type="pct"/>
            <w:vAlign w:val="center"/>
          </w:tcPr>
          <w:p>
            <w:pPr>
              <w:spacing w:line="360" w:lineRule="auto"/>
              <w:rPr>
                <w:rFonts w:hint="eastAsia" w:ascii="宋体" w:hAnsi="宋体" w:eastAsia="宋体" w:cs="宋体"/>
                <w:b w:val="0"/>
                <w:bCs/>
                <w:sz w:val="21"/>
                <w:szCs w:val="21"/>
              </w:rPr>
            </w:pPr>
            <w:r>
              <w:rPr>
                <w:rFonts w:hint="eastAsia" w:ascii="宋体" w:hAnsi="宋体" w:eastAsia="宋体" w:cs="宋体"/>
                <w:b w:val="0"/>
                <w:bCs/>
                <w:kern w:val="0"/>
                <w:sz w:val="21"/>
                <w:szCs w:val="21"/>
              </w:rPr>
              <w:t>价格分（满分</w:t>
            </w:r>
            <w:r>
              <w:rPr>
                <w:rFonts w:hint="eastAsia" w:ascii="宋体" w:hAnsi="宋体" w:eastAsia="宋体" w:cs="宋体"/>
                <w:b w:val="0"/>
                <w:bCs/>
                <w:kern w:val="0"/>
                <w:sz w:val="21"/>
                <w:szCs w:val="21"/>
                <w:lang w:val="en-US" w:eastAsia="zh-CN"/>
              </w:rPr>
              <w:t>30</w:t>
            </w:r>
            <w:r>
              <w:rPr>
                <w:rFonts w:hint="eastAsia" w:ascii="宋体" w:hAnsi="宋体" w:eastAsia="宋体" w:cs="宋体"/>
                <w:b w:val="0"/>
                <w:bCs/>
                <w:kern w:val="0"/>
                <w:sz w:val="21"/>
                <w:szCs w:val="21"/>
              </w:rPr>
              <w:t>分）</w:t>
            </w:r>
          </w:p>
        </w:tc>
        <w:tc>
          <w:tcPr>
            <w:tcW w:w="3428" w:type="pct"/>
          </w:tcPr>
          <w:p>
            <w:pPr>
              <w:spacing w:line="360" w:lineRule="auto"/>
              <w:ind w:firstLine="420" w:firstLineChars="200"/>
              <w:rPr>
                <w:rFonts w:ascii="宋体" w:hAnsi="宋体" w:cs="宋体"/>
                <w:bCs/>
                <w:szCs w:val="21"/>
              </w:rPr>
            </w:pPr>
            <w:r>
              <w:rPr>
                <w:rFonts w:hint="eastAsia" w:ascii="宋体" w:hAnsi="宋体" w:cs="宋体"/>
                <w:bCs/>
                <w:szCs w:val="21"/>
              </w:rPr>
              <w:t>（1）评标报价为投标人的投标报价进行政策性扣除后的价格，评标报价只是作为评标时使用。最终中标人的中标金额等于投标报价。</w:t>
            </w:r>
          </w:p>
          <w:p>
            <w:pPr>
              <w:spacing w:line="360" w:lineRule="auto"/>
              <w:ind w:firstLine="420" w:firstLineChars="200"/>
              <w:rPr>
                <w:rFonts w:ascii="宋体" w:hAnsi="宋体" w:cs="宋体"/>
                <w:bCs/>
                <w:szCs w:val="21"/>
              </w:rPr>
            </w:pPr>
            <w:r>
              <w:rPr>
                <w:rFonts w:hint="eastAsia" w:ascii="宋体" w:hAnsi="宋体" w:cs="宋体"/>
                <w:bCs/>
                <w:szCs w:val="21"/>
              </w:rPr>
              <w:t>（2）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pacing w:line="360" w:lineRule="auto"/>
              <w:ind w:firstLine="420" w:firstLineChars="200"/>
              <w:rPr>
                <w:rFonts w:ascii="宋体" w:hAnsi="宋体" w:cs="宋体"/>
                <w:bCs/>
                <w:szCs w:val="21"/>
              </w:rPr>
            </w:pPr>
            <w:r>
              <w:rPr>
                <w:rFonts w:hint="eastAsia" w:ascii="宋体" w:hAnsi="宋体" w:cs="宋体"/>
                <w:bCs/>
                <w:szCs w:val="21"/>
              </w:rPr>
              <w:t>（3）按照《政府采购促进中小企业发展管理办法》（财库〔2020〕46号）、《广西壮族自治区财政厅关于贯彻落实政府采购支持中小企业发展政策的通知》（桂财采〔2022〕31 号）的规定，在其投标文件中提供《中小企业声明函》，且其提供的货物全部由符合政策要求的小型、微型企业制造，即货物由小型、微型企业生产且使用该小型、微型企业商号或者注册商标，对其投标价格给予20%的扣除。</w:t>
            </w:r>
          </w:p>
          <w:p>
            <w:pPr>
              <w:spacing w:line="360" w:lineRule="auto"/>
              <w:ind w:firstLine="420" w:firstLineChars="200"/>
              <w:rPr>
                <w:rFonts w:ascii="宋体" w:hAnsi="宋体" w:cs="宋体"/>
                <w:bCs/>
                <w:szCs w:val="21"/>
              </w:rPr>
            </w:pPr>
            <w:r>
              <w:rPr>
                <w:rFonts w:hint="eastAsia" w:ascii="宋体" w:hAnsi="宋体" w:cs="宋体"/>
                <w:bCs/>
                <w:szCs w:val="21"/>
              </w:rPr>
              <w:t>（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pPr>
              <w:spacing w:line="360" w:lineRule="auto"/>
              <w:ind w:firstLine="420" w:firstLineChars="200"/>
              <w:rPr>
                <w:rFonts w:ascii="宋体" w:hAnsi="宋体" w:cs="宋体"/>
                <w:bCs/>
                <w:szCs w:val="21"/>
              </w:rPr>
            </w:pPr>
            <w:r>
              <w:rPr>
                <w:rFonts w:hint="eastAsia" w:ascii="宋体" w:hAnsi="宋体" w:cs="宋体"/>
                <w:bCs/>
                <w:szCs w:val="21"/>
              </w:rPr>
              <w:t>（5）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spacing w:line="360" w:lineRule="auto"/>
              <w:ind w:firstLine="420" w:firstLineChars="200"/>
              <w:rPr>
                <w:rFonts w:ascii="宋体" w:hAnsi="宋体" w:cs="宋体"/>
                <w:bCs/>
                <w:szCs w:val="21"/>
              </w:rPr>
            </w:pPr>
            <w:r>
              <w:rPr>
                <w:rFonts w:hint="eastAsia" w:ascii="宋体" w:hAnsi="宋体" w:cs="宋体"/>
                <w:bCs/>
                <w:szCs w:val="21"/>
              </w:rPr>
              <w:t>（</w:t>
            </w:r>
            <w:r>
              <w:rPr>
                <w:rFonts w:hint="eastAsia" w:ascii="宋体" w:hAnsi="宋体" w:cs="宋体"/>
                <w:bCs/>
                <w:szCs w:val="21"/>
                <w:lang w:val="en-US" w:eastAsia="zh-CN"/>
              </w:rPr>
              <w:t>6</w:t>
            </w:r>
            <w:r>
              <w:rPr>
                <w:rFonts w:hint="eastAsia" w:ascii="宋体" w:hAnsi="宋体" w:cs="宋体"/>
                <w:bCs/>
                <w:szCs w:val="21"/>
              </w:rPr>
              <w:t>）满足招标文件要求且评标报价最低的评标报价为评标基准价，基准价得分为30分。</w:t>
            </w:r>
          </w:p>
          <w:p>
            <w:pPr>
              <w:widowControl/>
              <w:jc w:val="left"/>
              <w:textAlignment w:val="bottom"/>
              <w:rPr>
                <w:rFonts w:hint="eastAsia" w:ascii="宋体" w:hAnsi="宋体" w:eastAsia="宋体" w:cs="宋体"/>
                <w:color w:val="000000"/>
                <w:kern w:val="0"/>
                <w:sz w:val="21"/>
                <w:szCs w:val="21"/>
                <w:highlight w:val="none"/>
                <w:lang w:bidi="ar"/>
              </w:rPr>
            </w:pPr>
            <w:r>
              <w:rPr>
                <w:rFonts w:hint="eastAsia" w:ascii="宋体" w:hAnsi="宋体" w:cs="宋体"/>
                <w:bCs/>
                <w:szCs w:val="21"/>
              </w:rPr>
              <w:t>（</w:t>
            </w:r>
            <w:r>
              <w:rPr>
                <w:rFonts w:hint="eastAsia" w:ascii="宋体" w:hAnsi="宋体" w:cs="宋体"/>
                <w:bCs/>
                <w:szCs w:val="21"/>
                <w:lang w:val="en-US" w:eastAsia="zh-CN"/>
              </w:rPr>
              <w:t>7</w:t>
            </w:r>
            <w:r>
              <w:rPr>
                <w:rFonts w:hint="eastAsia" w:ascii="宋体" w:hAnsi="宋体" w:cs="宋体"/>
                <w:bCs/>
                <w:szCs w:val="21"/>
              </w:rPr>
              <w:t>）某投标人价格分 =（评标基准价÷某投标人评标报价）×30分。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608" w:type="dxa"/>
            <w:vMerge w:val="restart"/>
            <w:vAlign w:val="center"/>
          </w:tcPr>
          <w:p>
            <w:pPr>
              <w:pStyle w:val="12"/>
              <w:spacing w:after="120"/>
              <w:ind w:firstLine="210" w:firstLineChars="1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w:t>
            </w:r>
          </w:p>
        </w:tc>
        <w:tc>
          <w:tcPr>
            <w:tcW w:w="848" w:type="dxa"/>
            <w:vMerge w:val="restart"/>
            <w:vAlign w:val="center"/>
          </w:tcPr>
          <w:p>
            <w:pPr>
              <w:spacing w:line="360" w:lineRule="auto"/>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技术分（满分60分）</w:t>
            </w:r>
          </w:p>
        </w:tc>
        <w:tc>
          <w:tcPr>
            <w:tcW w:w="1282" w:type="dxa"/>
            <w:vAlign w:val="center"/>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参数性能分（6分）</w:t>
            </w:r>
          </w:p>
        </w:tc>
        <w:tc>
          <w:tcPr>
            <w:tcW w:w="5982" w:type="dxa"/>
            <w:vAlign w:val="top"/>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投标产品“技术参数及配备要求”标注★项有正偏离且被评标委员会接受的，每优于一项加2分，满分6分。</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技术响应偏离情况说明：</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（1）采购需求 “≥XXX”的要求：如投标人参数响应为“＞XXX”，则为正偏离；投标人参数响应为“=XXX”，则为无偏离；如投标人参数响应为“＜XXX”的情况，则为负偏离。</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（2）采购需求 “≤XXX”要求：如投标人参数响应为“＜XXX”的情况，则为正偏离；投标人参数响应“=XXX”，则为无偏离；投标人参数响应为“＞XXX”，则为负偏离。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60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p>
        </w:tc>
        <w:tc>
          <w:tcPr>
            <w:tcW w:w="84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p>
        </w:tc>
        <w:tc>
          <w:tcPr>
            <w:tcW w:w="1282" w:type="dxa"/>
            <w:vAlign w:val="center"/>
          </w:tcPr>
          <w:p>
            <w:pPr>
              <w:spacing w:line="360" w:lineRule="auto"/>
              <w:ind w:firstLine="420" w:firstLineChars="200"/>
              <w:rPr>
                <w:rFonts w:hint="default"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技术性能分（满分3分）</w:t>
            </w:r>
          </w:p>
        </w:tc>
        <w:tc>
          <w:tcPr>
            <w:tcW w:w="5982" w:type="dxa"/>
            <w:vAlign w:val="top"/>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1-5 项投标产品均满足“16.自带断电记忆功能”的，得3分（以产品彩页或品牌官网功能介绍截图为准，投标需提供有效证明材料）。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5" w:hRule="atLeast"/>
          <w:jc w:val="center"/>
        </w:trPr>
        <w:tc>
          <w:tcPr>
            <w:tcW w:w="60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p>
        </w:tc>
        <w:tc>
          <w:tcPr>
            <w:tcW w:w="84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p>
        </w:tc>
        <w:tc>
          <w:tcPr>
            <w:tcW w:w="1282" w:type="dxa"/>
            <w:vAlign w:val="center"/>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项目实施方案分（满分24分）</w:t>
            </w:r>
          </w:p>
          <w:p>
            <w:pPr>
              <w:spacing w:line="360" w:lineRule="auto"/>
              <w:ind w:firstLine="420" w:firstLineChars="200"/>
              <w:rPr>
                <w:rFonts w:hint="eastAsia" w:ascii="宋体" w:hAnsi="宋体" w:eastAsia="宋体" w:cs="宋体"/>
                <w:bCs/>
                <w:kern w:val="2"/>
                <w:sz w:val="21"/>
                <w:szCs w:val="21"/>
                <w:lang w:val="en-US" w:eastAsia="zh-CN" w:bidi="ar-SA"/>
              </w:rPr>
            </w:pPr>
          </w:p>
        </w:tc>
        <w:tc>
          <w:tcPr>
            <w:tcW w:w="5982" w:type="dxa"/>
            <w:vAlign w:val="top"/>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由评委根据投标文件中安装施工方案内容的进行综合评定，包括但不限于：施工组织机构、质量保障措施、安全保障措施、施工进度保证措施、文明施工保证措施等方面进行综合评定。</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一档（15分）：提供安装施工方案，内容简略；</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二档（18分）：安装施工方案简单，包含施工组织机构、质量保障措施、安全保障措施、施工进度保证措施、文明施工保证措施等方面内容；</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三档（21分）：安装施工方案内容齐全，施工组织机构、质量保障措施、安全保障措施、施工进度保证措施、文明施工保证措施等方面内容，满足安装要求；</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四档（24分）：安装施工方案中施工组织机构、质量保障措施、安全保障措施、施工进度保证措施、文明施工保证措施等方面考虑周全完整优于采购文件要求；能现实可操作性和投入实施人员配置合理的；能保证安全施工、安装质量优质的前提下确保项目更快完工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bookmarkStart w:id="373" w:name="_Hlk202544375"/>
          </w:p>
        </w:tc>
        <w:tc>
          <w:tcPr>
            <w:tcW w:w="84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p>
        </w:tc>
        <w:tc>
          <w:tcPr>
            <w:tcW w:w="1282" w:type="dxa"/>
            <w:shd w:val="clear" w:color="auto" w:fill="auto"/>
            <w:vAlign w:val="center"/>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售后服务方案（满分24分）</w:t>
            </w:r>
          </w:p>
        </w:tc>
        <w:tc>
          <w:tcPr>
            <w:tcW w:w="5982" w:type="dxa"/>
            <w:shd w:val="clear" w:color="auto" w:fill="auto"/>
            <w:vAlign w:val="top"/>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 xml:space="preserve"> 由评委根据投标人投标文件中售后服务内容的完整性、可行性，拟投入售后服务的人员、响应时间、到达故障现场时间、故障出现解决方案、应急方案、定期维护（注明时间）、免费技术培训方案、免费保修期外维修方案，其他优惠措施和售后服务保障等方面，等方面进行综合评定。</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一档（15分）：有售后服务承诺，售后服务方案满足招标文件的要求，有故障出现解决方案，有技术培训方案、保修期外维修方案。</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二档（18分）：售后服务承诺内容完整，到达故障现场进行维修或维护响应时间符合项目要求。故障出现解决方案、定期维护（注明时间）、质保措施、免费技术培训方案、保修期外维修方案等方面可行，且有其他优惠措施及方案的。</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三档（21分）：售后服务承诺书内容详细具体，到达故障现场进行维修或维护响应时间优于项目要求。故障出现解决方案、定期维护（注明时间）、质保措施、免费技术培训方案、保修期外维修方案，且其他优惠措施及方案有描述，同时具备项目应急保障方案以及售后服务的人员组织方案。</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四档（24分）：售后服务承诺书内容优于项目需求。到达故障现场进行维修或维护响应时间优于项目要求且工作人员具备的故障诊断与维修能力。故障出现解决方案可靠，定期维护方式方法合理（注明时间），质保措施完整、有完整的免费技术培训方案、保修期外维修方案；售后服务应急预案、应急制度、人员、物质及组织保障方案具体，其他优惠措施及方案完整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60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p>
        </w:tc>
        <w:tc>
          <w:tcPr>
            <w:tcW w:w="84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p>
        </w:tc>
        <w:tc>
          <w:tcPr>
            <w:tcW w:w="1282" w:type="dxa"/>
            <w:vAlign w:val="center"/>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售后服务与产品兼容性（满分3分）</w:t>
            </w:r>
          </w:p>
        </w:tc>
        <w:tc>
          <w:tcPr>
            <w:tcW w:w="5982" w:type="dxa"/>
            <w:vAlign w:val="top"/>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为保障本项目空调系统整体运行的稳定性及售后服务的统一性，所投“需求一览表”中第1-5项空调设备均为同一品牌，得3分；若存在2个及以上不同品牌，则本项不得分。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vMerge w:val="restart"/>
            <w:vAlign w:val="center"/>
          </w:tcPr>
          <w:p>
            <w:pPr>
              <w:pStyle w:val="12"/>
              <w:spacing w:after="120"/>
              <w:ind w:firstLine="210" w:firstLineChars="1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3</w:t>
            </w:r>
          </w:p>
        </w:tc>
        <w:tc>
          <w:tcPr>
            <w:tcW w:w="848" w:type="dxa"/>
            <w:vMerge w:val="restart"/>
            <w:vAlign w:val="center"/>
          </w:tcPr>
          <w:p>
            <w:pPr>
              <w:pStyle w:val="12"/>
              <w:spacing w:after="120"/>
              <w:ind w:firstLine="210" w:firstLineChars="1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商务分（满分10）</w:t>
            </w:r>
          </w:p>
          <w:p>
            <w:pPr>
              <w:pStyle w:val="12"/>
              <w:spacing w:after="120"/>
              <w:ind w:firstLine="210" w:firstLineChars="100"/>
              <w:rPr>
                <w:rFonts w:hint="eastAsia" w:ascii="宋体" w:hAnsi="宋体" w:eastAsia="宋体" w:cs="宋体"/>
                <w:bCs/>
                <w:kern w:val="2"/>
                <w:sz w:val="21"/>
                <w:szCs w:val="21"/>
                <w:lang w:val="en-US" w:eastAsia="zh-CN" w:bidi="ar-SA"/>
              </w:rPr>
            </w:pPr>
          </w:p>
        </w:tc>
        <w:tc>
          <w:tcPr>
            <w:tcW w:w="1282" w:type="dxa"/>
            <w:vAlign w:val="center"/>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信誉分（满分3）</w:t>
            </w:r>
          </w:p>
        </w:tc>
        <w:tc>
          <w:tcPr>
            <w:tcW w:w="5982" w:type="dxa"/>
            <w:vAlign w:val="top"/>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投标人或投标核心产品生产厂家具有有效的1S09001质量管理体系认证、1S014001环境管理体系认证、1S045001中国职业健康安全管理体系认证，(提供证书复印件并加盖投标人公章)，每提供一项得1分，满分3分。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p>
        </w:tc>
        <w:tc>
          <w:tcPr>
            <w:tcW w:w="84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p>
        </w:tc>
        <w:tc>
          <w:tcPr>
            <w:tcW w:w="1282" w:type="dxa"/>
            <w:vAlign w:val="center"/>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业绩分（满分4）</w:t>
            </w:r>
          </w:p>
        </w:tc>
        <w:tc>
          <w:tcPr>
            <w:tcW w:w="5982" w:type="dxa"/>
            <w:vAlign w:val="top"/>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投标人自2023年以来（含）有类似项目业绩的，每有一份业绩得1分，满分4分。（以有效的合同或中标/成交通知书复印件为准，原件备查）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p>
        </w:tc>
        <w:tc>
          <w:tcPr>
            <w:tcW w:w="848" w:type="dxa"/>
            <w:vMerge w:val="continue"/>
            <w:vAlign w:val="center"/>
          </w:tcPr>
          <w:p>
            <w:pPr>
              <w:spacing w:line="360" w:lineRule="auto"/>
              <w:ind w:firstLine="420" w:firstLineChars="200"/>
              <w:rPr>
                <w:rFonts w:hint="eastAsia" w:ascii="宋体" w:hAnsi="宋体" w:eastAsia="宋体" w:cs="宋体"/>
                <w:bCs/>
                <w:kern w:val="2"/>
                <w:sz w:val="21"/>
                <w:szCs w:val="21"/>
                <w:lang w:val="en-US" w:eastAsia="zh-CN" w:bidi="ar-SA"/>
              </w:rPr>
            </w:pPr>
          </w:p>
        </w:tc>
        <w:tc>
          <w:tcPr>
            <w:tcW w:w="1282" w:type="dxa"/>
            <w:vAlign w:val="center"/>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政策功能分（满分3分）</w:t>
            </w:r>
          </w:p>
          <w:p>
            <w:pPr>
              <w:spacing w:line="360" w:lineRule="auto"/>
              <w:ind w:firstLine="420" w:firstLineChars="200"/>
              <w:rPr>
                <w:rFonts w:hint="eastAsia" w:ascii="宋体" w:hAnsi="宋体" w:eastAsia="宋体" w:cs="宋体"/>
                <w:bCs/>
                <w:kern w:val="2"/>
                <w:sz w:val="21"/>
                <w:szCs w:val="21"/>
                <w:lang w:val="en-US" w:eastAsia="zh-CN" w:bidi="ar-SA"/>
              </w:rPr>
            </w:pPr>
          </w:p>
        </w:tc>
        <w:tc>
          <w:tcPr>
            <w:tcW w:w="5982" w:type="dxa"/>
            <w:vAlign w:val="top"/>
          </w:tcPr>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（1）投标产品纳入财政部 国家发展改革委《关于印发节能产品政府采购品目清单的通知》（财库[2019]19号）中节能产品政府采购品目清单的，毎有一项得1分，满分2分。（投标时须提供国家确定的认证机构出具的、处于有效期之内的有效的节能产品认证证书复印件并加盖投标人公章。适用于非强制采购节能产品）</w:t>
            </w:r>
          </w:p>
          <w:p>
            <w:pPr>
              <w:spacing w:line="360" w:lineRule="auto"/>
              <w:ind w:firstLine="420" w:firstLineChars="200"/>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（2）投标产品纳入财政部 国家发展改革委《关于印发环境标志产品政府采购品目清单的通知》（财库[2019]18号）中环境标志产品政府采购品目清单的，毎有一项得1分，满分1分。（投标时须提供国家确定的认证机构出具的、处于有效期之内的有效的认证证书复印件并加盖投标人公章。）</w:t>
            </w:r>
          </w:p>
        </w:tc>
      </w:tr>
      <w:bookmarkEnd w:id="373"/>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Pr>
          <w:p>
            <w:pPr>
              <w:pStyle w:val="12"/>
              <w:spacing w:after="120"/>
              <w:rPr>
                <w:rFonts w:hint="eastAsia" w:ascii="宋体" w:hAnsi="宋体" w:eastAsia="宋体" w:cs="宋体"/>
                <w:b w:val="0"/>
                <w:bCs/>
                <w:spacing w:val="-1"/>
                <w:sz w:val="21"/>
                <w:szCs w:val="21"/>
              </w:rPr>
            </w:pPr>
            <w:r>
              <w:rPr>
                <w:rFonts w:hint="eastAsia" w:ascii="宋体" w:hAnsi="宋体" w:eastAsia="宋体" w:cs="宋体"/>
                <w:b w:val="0"/>
                <w:bCs/>
                <w:spacing w:val="-2"/>
                <w:sz w:val="21"/>
                <w:szCs w:val="21"/>
                <w14:textOutline w14:w="3835" w14:cap="flat" w14:cmpd="sng" w14:algn="ctr">
                  <w14:solidFill>
                    <w14:srgbClr w14:val="000000"/>
                  </w14:solidFill>
                  <w14:prstDash w14:val="solid"/>
                  <w14:miter w14:val="0"/>
                </w14:textOutline>
              </w:rPr>
              <w:t>总分=1+2+3</w:t>
            </w:r>
          </w:p>
        </w:tc>
      </w:tr>
      <w:bookmarkEnd w:id="372"/>
    </w:tbl>
    <w:p>
      <w:pPr>
        <w:rPr>
          <w:rFonts w:hint="eastAsia" w:ascii="宋体" w:hAnsi="宋体" w:eastAsia="宋体" w:cs="宋体"/>
        </w:rPr>
      </w:pPr>
    </w:p>
    <w:p>
      <w:pPr>
        <w:tabs>
          <w:tab w:val="left" w:pos="284"/>
          <w:tab w:val="left" w:pos="567"/>
          <w:tab w:val="left" w:pos="709"/>
        </w:tabs>
        <w:snapToGrid w:val="0"/>
        <w:spacing w:line="360" w:lineRule="auto"/>
        <w:ind w:firstLine="480" w:firstLineChars="200"/>
        <w:rPr>
          <w:rFonts w:ascii="宋体" w:hAnsi="宋体" w:cs="宋体"/>
        </w:rPr>
      </w:pPr>
      <w:r>
        <w:rPr>
          <w:rFonts w:hint="eastAsia" w:ascii="宋体" w:hAnsi="宋体" w:eastAsia="宋体" w:cs="宋体"/>
          <w:bCs/>
          <w:sz w:val="24"/>
        </w:rPr>
        <w:t>*</w:t>
      </w:r>
      <w:r>
        <w:rPr>
          <w:rFonts w:hint="eastAsia" w:ascii="宋体" w:hAnsi="宋体" w:eastAsia="宋体" w:cs="宋体"/>
          <w:b/>
          <w:sz w:val="24"/>
        </w:rPr>
        <w:t>备注：</w:t>
      </w:r>
      <w:r>
        <w:rPr>
          <w:rFonts w:hint="eastAsia" w:ascii="宋体" w:hAnsi="宋体" w:eastAsia="宋体" w:cs="宋体"/>
          <w:sz w:val="24"/>
        </w:rPr>
        <w:t>投标人编制投标文件（商务技术文件部分）时，建议按此目录（序号和内容）提供评标标准相应的商务技术资料。</w:t>
      </w:r>
    </w:p>
    <w:p>
      <w:pPr>
        <w:tabs>
          <w:tab w:val="left" w:pos="284"/>
          <w:tab w:val="left" w:pos="567"/>
          <w:tab w:val="left" w:pos="709"/>
        </w:tabs>
        <w:snapToGrid w:val="0"/>
        <w:spacing w:line="360" w:lineRule="auto"/>
        <w:ind w:firstLine="480" w:firstLineChars="200"/>
        <w:rPr>
          <w:rFonts w:ascii="宋体" w:hAnsi="宋体" w:cs="宋体"/>
          <w:sz w:val="24"/>
        </w:rPr>
      </w:pPr>
    </w:p>
    <w:p>
      <w:pPr>
        <w:pStyle w:val="4"/>
        <w:snapToGrid w:val="0"/>
        <w:spacing w:line="360" w:lineRule="auto"/>
        <w:ind w:firstLine="482"/>
        <w:rPr>
          <w:rFonts w:hint="eastAsia" w:cs="仿宋_GB2312" w:asciiTheme="minorEastAsia" w:hAnsiTheme="minorEastAsia" w:eastAsiaTheme="minorEastAsia"/>
        </w:rPr>
      </w:pPr>
      <w:bookmarkStart w:id="374" w:name="_GoBack"/>
      <w:bookmarkEnd w:id="374"/>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3E06FC"/>
    <w:rsid w:val="202E5B11"/>
    <w:rsid w:val="2D2979C2"/>
    <w:rsid w:val="383E06FC"/>
    <w:rsid w:val="7AB35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4">
    <w:name w:val="Body Text Indent"/>
    <w:basedOn w:val="1"/>
    <w:next w:val="5"/>
    <w:qFormat/>
    <w:uiPriority w:val="99"/>
    <w:pPr>
      <w:spacing w:line="480" w:lineRule="exact"/>
      <w:ind w:firstLine="480" w:firstLineChars="200"/>
    </w:pPr>
    <w:rPr>
      <w:rFonts w:ascii="宋体" w:hAnsi="宋体"/>
      <w:sz w:val="24"/>
    </w:rPr>
  </w:style>
  <w:style w:type="paragraph" w:styleId="5">
    <w:name w:val="envelope return"/>
    <w:basedOn w:val="1"/>
    <w:unhideWhenUsed/>
    <w:qFormat/>
    <w:uiPriority w:val="99"/>
    <w:pPr>
      <w:snapToGrid w:val="0"/>
    </w:pPr>
    <w:rPr>
      <w:rFonts w:ascii="Arial" w:hAnsi="Arial"/>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0"/>
    <w:rPr>
      <w:rFonts w:ascii="Arial" w:hAnsi="Arial" w:eastAsia="黑体" w:cs="Arial"/>
      <w:snapToGrid w:val="0"/>
      <w:kern w:val="0"/>
      <w:szCs w:val="21"/>
    </w:rPr>
  </w:style>
  <w:style w:type="paragraph" w:customStyle="1" w:styleId="12">
    <w:name w:val="*正文"/>
    <w:basedOn w:val="1"/>
    <w:qFormat/>
    <w:uiPriority w:val="0"/>
    <w:pPr>
      <w:snapToGrid w:val="0"/>
      <w:spacing w:line="360" w:lineRule="auto"/>
      <w:ind w:firstLine="482"/>
      <w:jc w:val="left"/>
    </w:pPr>
    <w:rPr>
      <w:rFonts w:ascii="宋体" w:hAnsi="宋体"/>
      <w:kern w:val="0"/>
      <w:sz w:val="24"/>
      <w:szCs w:val="20"/>
    </w:rPr>
  </w:style>
  <w:style w:type="paragraph" w:customStyle="1" w:styleId="13">
    <w:name w:val="正文2"/>
    <w:basedOn w:val="1"/>
    <w:qFormat/>
    <w:uiPriority w:val="0"/>
    <w:pPr>
      <w:spacing w:before="156" w:line="360" w:lineRule="auto"/>
      <w:ind w:firstLine="510" w:firstLineChars="200"/>
    </w:pPr>
    <w:rPr>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7533</Words>
  <Characters>8239</Characters>
  <Lines>0</Lines>
  <Paragraphs>0</Paragraphs>
  <TotalTime>20</TotalTime>
  <ScaleCrop>false</ScaleCrop>
  <LinksUpToDate>false</LinksUpToDate>
  <CharactersWithSpaces>8259</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2026-07-30T09:21:00Z</dcterms:created>
  <dc:creator>lenovo</dc:creator>
  <cp:lastModifiedBy>lenovo</cp:lastModifiedBy>
  <cp:lastPrinted>2026-07-31T07:18:29Z</cp:lastPrinted>
  <dcterms:modified xsi:type="dcterms:W3CDTF">2026-07-31T07:31:13Z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BBEAC5769DDA483CB0CB949A689974DD</vt:lpwstr>
  </property>
</Properties>
</file>