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E728">
      <w:pPr>
        <w:pStyle w:val="29"/>
        <w:ind w:left="1260"/>
        <w:jc w:val="left"/>
        <w:rPr>
          <w:rFonts w:hAnsi="宋体" w:cs="宋体"/>
          <w:b/>
          <w:color w:val="000000" w:themeColor="text1"/>
          <w:sz w:val="56"/>
          <w:szCs w:val="56"/>
          <w:highlight w:val="none"/>
          <w14:textFill>
            <w14:solidFill>
              <w14:schemeClr w14:val="tx1"/>
            </w14:solidFill>
          </w14:textFill>
        </w:rPr>
      </w:pPr>
      <w:bookmarkStart w:id="0" w:name="_Toc217446030"/>
      <w:bookmarkStart w:id="1" w:name="_Toc183682338"/>
      <w:r>
        <w:rPr>
          <w:rFonts w:hint="eastAsia" w:hAnsi="宋体" w:cs="宋体"/>
          <w:b/>
          <w:color w:val="000000" w:themeColor="text1"/>
          <w:sz w:val="56"/>
          <w:szCs w:val="56"/>
          <w:highlight w:val="none"/>
          <w14:textFill>
            <w14:solidFill>
              <w14:schemeClr w14:val="tx1"/>
            </w14:solidFill>
          </w14:textFill>
        </w:rPr>
        <w:t>北 海 市 政 府 采 购 中 心</w:t>
      </w:r>
    </w:p>
    <w:p w14:paraId="0775AD70">
      <w:pPr>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BEIHAI  CITY  GOVERNMENT  PROCUREMENT  CENTER</w:t>
      </w:r>
    </w:p>
    <w:p w14:paraId="064F4932">
      <w:pPr>
        <w:pStyle w:val="29"/>
        <w:rPr>
          <w:rFonts w:hAnsi="宋体" w:cs="宋体"/>
          <w:color w:val="000000" w:themeColor="text1"/>
          <w:spacing w:val="-20"/>
          <w:highlight w:val="none"/>
          <w:u w:val="single"/>
          <w14:textFill>
            <w14:solidFill>
              <w14:schemeClr w14:val="tx1"/>
            </w14:solidFill>
          </w14:textFill>
        </w:rPr>
      </w:pPr>
      <w:r>
        <w:rPr>
          <w:rFonts w:hint="eastAsia" w:hAnsi="宋体" w:cs="宋体"/>
          <w:color w:val="000000" w:themeColor="text1"/>
          <w:spacing w:val="-20"/>
          <w:highlight w:val="none"/>
          <w:u w:val="single"/>
          <w14:textFill>
            <w14:solidFill>
              <w14:schemeClr w14:val="tx1"/>
            </w14:solidFill>
          </w14:textFill>
        </w:rPr>
        <w:t xml:space="preserve">                                                                                                                                                                   </w:t>
      </w:r>
    </w:p>
    <w:p w14:paraId="3738521F">
      <w:pPr>
        <w:rPr>
          <w:rFonts w:ascii="宋体" w:hAnsi="宋体" w:cs="宋体"/>
          <w:color w:val="000000" w:themeColor="text1"/>
          <w:highlight w:val="none"/>
          <w14:textFill>
            <w14:solidFill>
              <w14:schemeClr w14:val="tx1"/>
            </w14:solidFill>
          </w14:textFill>
        </w:rPr>
      </w:pPr>
    </w:p>
    <w:p w14:paraId="1FDBB34F">
      <w:pPr>
        <w:tabs>
          <w:tab w:val="left" w:pos="4200"/>
        </w:tabs>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p>
    <w:p w14:paraId="662C205C">
      <w:pPr>
        <w:rPr>
          <w:rFonts w:ascii="宋体" w:hAnsi="宋体" w:cs="宋体"/>
          <w:color w:val="000000" w:themeColor="text1"/>
          <w:highlight w:val="none"/>
          <w14:textFill>
            <w14:solidFill>
              <w14:schemeClr w14:val="tx1"/>
            </w14:solidFill>
          </w14:textFill>
        </w:rPr>
      </w:pPr>
    </w:p>
    <w:p w14:paraId="615213F7">
      <w:pPr>
        <w:rPr>
          <w:rFonts w:ascii="宋体" w:hAnsi="宋体" w:cs="宋体"/>
          <w:color w:val="000000" w:themeColor="text1"/>
          <w:highlight w:val="none"/>
          <w14:textFill>
            <w14:solidFill>
              <w14:schemeClr w14:val="tx1"/>
            </w14:solidFill>
          </w14:textFill>
        </w:rPr>
      </w:pPr>
    </w:p>
    <w:p w14:paraId="520FDF3B">
      <w:pPr>
        <w:pStyle w:val="29"/>
        <w:tabs>
          <w:tab w:val="left" w:pos="4253"/>
        </w:tabs>
        <w:jc w:val="both"/>
        <w:rPr>
          <w:rFonts w:hAnsi="宋体" w:cs="宋体"/>
          <w:b/>
          <w:color w:val="000000" w:themeColor="text1"/>
          <w:spacing w:val="32"/>
          <w:sz w:val="72"/>
          <w:szCs w:val="72"/>
          <w:highlight w:val="none"/>
          <w14:textFill>
            <w14:solidFill>
              <w14:schemeClr w14:val="tx1"/>
            </w14:solidFill>
          </w14:textFill>
        </w:rPr>
      </w:pPr>
    </w:p>
    <w:p w14:paraId="14DC5D18">
      <w:pPr>
        <w:pStyle w:val="29"/>
        <w:tabs>
          <w:tab w:val="left" w:pos="4253"/>
        </w:tabs>
        <w:jc w:val="center"/>
        <w:rPr>
          <w:rFonts w:hAnsi="宋体" w:cs="宋体"/>
          <w:b/>
          <w:color w:val="000000" w:themeColor="text1"/>
          <w:spacing w:val="32"/>
          <w:sz w:val="72"/>
          <w:szCs w:val="72"/>
          <w:highlight w:val="none"/>
          <w14:textFill>
            <w14:solidFill>
              <w14:schemeClr w14:val="tx1"/>
            </w14:solidFill>
          </w14:textFill>
        </w:rPr>
      </w:pPr>
    </w:p>
    <w:p w14:paraId="0998DCDE">
      <w:pPr>
        <w:pStyle w:val="29"/>
        <w:tabs>
          <w:tab w:val="left" w:pos="4253"/>
        </w:tabs>
        <w:jc w:val="center"/>
        <w:rPr>
          <w:rFonts w:hAnsi="宋体" w:cs="宋体"/>
          <w:b/>
          <w:color w:val="000000" w:themeColor="text1"/>
          <w:spacing w:val="32"/>
          <w:sz w:val="72"/>
          <w:szCs w:val="72"/>
          <w:highlight w:val="none"/>
          <w14:textFill>
            <w14:solidFill>
              <w14:schemeClr w14:val="tx1"/>
            </w14:solidFill>
          </w14:textFill>
        </w:rPr>
      </w:pPr>
      <w:r>
        <w:rPr>
          <w:rFonts w:hint="eastAsia" w:hAnsi="宋体" w:cs="宋体"/>
          <w:b/>
          <w:color w:val="000000" w:themeColor="text1"/>
          <w:spacing w:val="32"/>
          <w:sz w:val="72"/>
          <w:szCs w:val="72"/>
          <w:highlight w:val="none"/>
          <w14:textFill>
            <w14:solidFill>
              <w14:schemeClr w14:val="tx1"/>
            </w14:solidFill>
          </w14:textFill>
        </w:rPr>
        <w:t>公开招标文件</w:t>
      </w:r>
    </w:p>
    <w:p w14:paraId="42125747">
      <w:pPr>
        <w:pStyle w:val="29"/>
        <w:rPr>
          <w:rFonts w:hAnsi="宋体" w:cs="宋体"/>
          <w:b/>
          <w:color w:val="000000" w:themeColor="text1"/>
          <w:sz w:val="28"/>
          <w:szCs w:val="28"/>
          <w:highlight w:val="none"/>
          <w14:textFill>
            <w14:solidFill>
              <w14:schemeClr w14:val="tx1"/>
            </w14:solidFill>
          </w14:textFill>
        </w:rPr>
      </w:pPr>
    </w:p>
    <w:p w14:paraId="325CC766">
      <w:pPr>
        <w:pStyle w:val="29"/>
        <w:rPr>
          <w:rFonts w:hAnsi="宋体" w:cs="宋体"/>
          <w:b/>
          <w:color w:val="000000" w:themeColor="text1"/>
          <w:sz w:val="28"/>
          <w:szCs w:val="28"/>
          <w:highlight w:val="none"/>
          <w14:textFill>
            <w14:solidFill>
              <w14:schemeClr w14:val="tx1"/>
            </w14:solidFill>
          </w14:textFill>
        </w:rPr>
      </w:pPr>
    </w:p>
    <w:p w14:paraId="3442619B">
      <w:pPr>
        <w:pStyle w:val="29"/>
        <w:rPr>
          <w:rFonts w:hAnsi="宋体" w:cs="宋体"/>
          <w:b/>
          <w:color w:val="000000" w:themeColor="text1"/>
          <w:sz w:val="28"/>
          <w:szCs w:val="28"/>
          <w:highlight w:val="none"/>
          <w14:textFill>
            <w14:solidFill>
              <w14:schemeClr w14:val="tx1"/>
            </w14:solidFill>
          </w14:textFill>
        </w:rPr>
      </w:pPr>
    </w:p>
    <w:p w14:paraId="7BC177EB">
      <w:pPr>
        <w:rPr>
          <w:color w:val="000000" w:themeColor="text1"/>
          <w:highlight w:val="none"/>
          <w14:textFill>
            <w14:solidFill>
              <w14:schemeClr w14:val="tx1"/>
            </w14:solidFill>
          </w14:textFill>
        </w:rPr>
      </w:pPr>
    </w:p>
    <w:p w14:paraId="2F742BF6">
      <w:pPr>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项目名称：</w:t>
      </w:r>
      <w:r>
        <w:rPr>
          <w:rFonts w:hint="eastAsia" w:ascii="宋体" w:hAnsi="宋体" w:cs="宋体"/>
          <w:b/>
          <w:color w:val="000000" w:themeColor="text1"/>
          <w:sz w:val="28"/>
          <w:szCs w:val="28"/>
          <w:highlight w:val="none"/>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p>
    <w:p w14:paraId="3C628A7D">
      <w:pPr>
        <w:pStyle w:val="29"/>
        <w:rPr>
          <w:rFonts w:hint="eastAsia"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项目编号：</w:t>
      </w:r>
      <w:r>
        <w:rPr>
          <w:rFonts w:hint="eastAsia" w:hAnsi="宋体" w:cs="宋体"/>
          <w:b/>
          <w:color w:val="000000" w:themeColor="text1"/>
          <w:sz w:val="28"/>
          <w:szCs w:val="28"/>
          <w:highlight w:val="none"/>
          <w:lang w:eastAsia="zh-CN"/>
          <w14:textFill>
            <w14:solidFill>
              <w14:schemeClr w14:val="tx1"/>
            </w14:solidFill>
          </w14:textFill>
        </w:rPr>
        <w:t>BHZC2026-G3-990062-CGZX</w:t>
      </w:r>
    </w:p>
    <w:p w14:paraId="27EEED7C">
      <w:pPr>
        <w:pStyle w:val="29"/>
        <w:rPr>
          <w:rFonts w:hAnsi="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采购单位：中国共产党北海市委员会宣传部</w:t>
      </w:r>
      <w:r>
        <w:rPr>
          <w:rFonts w:hint="eastAsia" w:hAnsi="宋体" w:cs="宋体"/>
          <w:b/>
          <w:color w:val="000000" w:themeColor="text1"/>
          <w:sz w:val="28"/>
          <w:szCs w:val="28"/>
          <w:highlight w:val="none"/>
          <w14:textFill>
            <w14:solidFill>
              <w14:schemeClr w14:val="tx1"/>
            </w14:solidFill>
          </w14:textFill>
        </w:rPr>
        <w:tab/>
      </w:r>
    </w:p>
    <w:p w14:paraId="5BAC2345">
      <w:pPr>
        <w:pStyle w:val="29"/>
        <w:rPr>
          <w:rFonts w:hAnsi="宋体" w:cs="宋体"/>
          <w:color w:val="000000" w:themeColor="text1"/>
          <w:highlight w:val="none"/>
          <w:u w:val="single"/>
          <w14:textFill>
            <w14:solidFill>
              <w14:schemeClr w14:val="tx1"/>
            </w14:solidFill>
          </w14:textFill>
        </w:rPr>
      </w:pPr>
    </w:p>
    <w:p w14:paraId="05EF8E7B">
      <w:pPr>
        <w:pStyle w:val="29"/>
        <w:rPr>
          <w:rFonts w:hAnsi="宋体" w:cs="宋体"/>
          <w:color w:val="000000" w:themeColor="text1"/>
          <w:highlight w:val="none"/>
          <w14:textFill>
            <w14:solidFill>
              <w14:schemeClr w14:val="tx1"/>
            </w14:solidFill>
          </w14:textFill>
        </w:rPr>
      </w:pPr>
      <w:r>
        <w:rPr>
          <w:rFonts w:hint="eastAsia" w:hAnsi="宋体" w:cs="宋体"/>
          <w:color w:val="000000" w:themeColor="text1"/>
          <w:sz w:val="15"/>
          <w:szCs w:val="15"/>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99060</wp:posOffset>
                </wp:positionV>
                <wp:extent cx="6360795" cy="10795"/>
                <wp:effectExtent l="0" t="7620" r="1905" b="10160"/>
                <wp:wrapNone/>
                <wp:docPr id="1" name="直线 4"/>
                <wp:cNvGraphicFramePr/>
                <a:graphic xmlns:a="http://schemas.openxmlformats.org/drawingml/2006/main">
                  <a:graphicData uri="http://schemas.microsoft.com/office/word/2010/wordprocessingShape">
                    <wps:wsp>
                      <wps:cNvCnPr/>
                      <wps:spPr>
                        <a:xfrm flipV="1">
                          <a:off x="0" y="0"/>
                          <a:ext cx="6360795" cy="107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7.7pt;margin-top:7.8pt;height:0.85pt;width:500.85pt;z-index:251659264;mso-width-relative:page;mso-height-relative:page;" filled="f" stroked="t" coordsize="21600,21600" o:gfxdata="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1nSdYA&#10;AAAJAQAADwAAAAAAAAABACAAAAAiAAAAZHJzL2Rvd25yZXYueG1sUEsBAhQAFAAAAAgAh07iQEuM&#10;o7LoAQAA3gMAAA4AAAAAAAAAAQAgAAAAJQEAAGRycy9lMm9Eb2MueG1sUEsFBgAAAAAGAAYAWQEA&#10;AH8FAAAAAA==&#10;">
                <v:fill on="f" focussize="0,0"/>
                <v:stroke weight="1.25pt" color="#000000" joinstyle="round"/>
                <v:imagedata o:title=""/>
                <o:lock v:ext="edit" aspectratio="f"/>
              </v:line>
            </w:pict>
          </mc:Fallback>
        </mc:AlternateContent>
      </w:r>
    </w:p>
    <w:p w14:paraId="3B5226D5">
      <w:pPr>
        <w:spacing w:line="440" w:lineRule="exact"/>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北海市政府采购中心</w:t>
      </w:r>
    </w:p>
    <w:p w14:paraId="3B52445C">
      <w:pPr>
        <w:pStyle w:val="29"/>
        <w:jc w:val="center"/>
        <w:rPr>
          <w:rFonts w:hAnsi="宋体" w:cs="宋体"/>
          <w:color w:val="000000" w:themeColor="text1"/>
          <w:sz w:val="28"/>
          <w:szCs w:val="28"/>
          <w:highlight w:val="none"/>
          <w14:textFill>
            <w14:solidFill>
              <w14:schemeClr w14:val="tx1"/>
            </w14:solidFill>
          </w14:textFill>
        </w:rPr>
      </w:pPr>
      <w:r>
        <w:rPr>
          <w:rFonts w:hint="eastAsia" w:hAnsi="宋体" w:cs="宋体"/>
          <w:b/>
          <w:color w:val="000000" w:themeColor="text1"/>
          <w:kern w:val="2"/>
          <w:sz w:val="28"/>
          <w:szCs w:val="28"/>
          <w:highlight w:val="none"/>
          <w14:textFill>
            <w14:solidFill>
              <w14:schemeClr w14:val="tx1"/>
            </w14:solidFill>
          </w14:textFill>
        </w:rPr>
        <w:t xml:space="preserve"> 2026年</w:t>
      </w:r>
      <w:r>
        <w:rPr>
          <w:rFonts w:hint="eastAsia" w:hAnsi="宋体" w:cs="宋体"/>
          <w:b/>
          <w:color w:val="000000" w:themeColor="text1"/>
          <w:kern w:val="2"/>
          <w:sz w:val="28"/>
          <w:szCs w:val="28"/>
          <w:highlight w:val="none"/>
          <w:lang w:val="en-US" w:eastAsia="zh-CN"/>
          <w14:textFill>
            <w14:solidFill>
              <w14:schemeClr w14:val="tx1"/>
            </w14:solidFill>
          </w14:textFill>
        </w:rPr>
        <w:t>4</w:t>
      </w:r>
      <w:r>
        <w:rPr>
          <w:rFonts w:hint="eastAsia" w:hAnsi="宋体" w:cs="宋体"/>
          <w:b/>
          <w:color w:val="000000" w:themeColor="text1"/>
          <w:kern w:val="2"/>
          <w:sz w:val="28"/>
          <w:szCs w:val="28"/>
          <w:highlight w:val="none"/>
          <w14:textFill>
            <w14:solidFill>
              <w14:schemeClr w14:val="tx1"/>
            </w14:solidFill>
          </w14:textFill>
        </w:rPr>
        <w:t>月</w:t>
      </w:r>
      <w:r>
        <w:rPr>
          <w:rFonts w:hint="eastAsia" w:hAnsi="宋体" w:cs="宋体"/>
          <w:b/>
          <w:color w:val="000000" w:themeColor="text1"/>
          <w:kern w:val="2"/>
          <w:sz w:val="28"/>
          <w:szCs w:val="28"/>
          <w:highlight w:val="none"/>
          <w:lang w:val="en-US" w:eastAsia="zh-CN"/>
          <w14:textFill>
            <w14:solidFill>
              <w14:schemeClr w14:val="tx1"/>
            </w14:solidFill>
          </w14:textFill>
        </w:rPr>
        <w:t>13</w:t>
      </w:r>
      <w:r>
        <w:rPr>
          <w:rFonts w:hint="eastAsia" w:hAnsi="宋体" w:cs="宋体"/>
          <w:b/>
          <w:color w:val="000000" w:themeColor="text1"/>
          <w:kern w:val="2"/>
          <w:sz w:val="28"/>
          <w:szCs w:val="28"/>
          <w:highlight w:val="none"/>
          <w14:textFill>
            <w14:solidFill>
              <w14:schemeClr w14:val="tx1"/>
            </w14:solidFill>
          </w14:textFill>
        </w:rPr>
        <w:t>日</w:t>
      </w:r>
      <w:r>
        <w:rPr>
          <w:rFonts w:hint="eastAsia" w:hAnsi="宋体" w:cs="宋体"/>
          <w:b/>
          <w:color w:val="000000" w:themeColor="text1"/>
          <w:kern w:val="2"/>
          <w:sz w:val="28"/>
          <w:szCs w:val="28"/>
          <w:highlight w:val="none"/>
          <w14:textFill>
            <w14:solidFill>
              <w14:schemeClr w14:val="tx1"/>
            </w14:solidFill>
          </w14:textFill>
        </w:rPr>
        <w:tab/>
      </w:r>
    </w:p>
    <w:p w14:paraId="159320A8">
      <w:pPr>
        <w:pStyle w:val="29"/>
        <w:spacing w:line="600" w:lineRule="exact"/>
        <w:jc w:val="center"/>
        <w:rPr>
          <w:rFonts w:hAnsi="宋体" w:cs="宋体"/>
          <w:color w:val="000000" w:themeColor="text1"/>
          <w:sz w:val="40"/>
          <w:szCs w:val="40"/>
          <w:highlight w:val="none"/>
          <w14:textFill>
            <w14:solidFill>
              <w14:schemeClr w14:val="tx1"/>
            </w14:solidFill>
          </w14:textFill>
        </w:rPr>
        <w:sectPr>
          <w:footerReference r:id="rId5" w:type="first"/>
          <w:headerReference r:id="rId3" w:type="default"/>
          <w:footerReference r:id="rId4" w:type="default"/>
          <w:pgSz w:w="11906" w:h="16838"/>
          <w:pgMar w:top="1440" w:right="1080" w:bottom="1440" w:left="1080" w:header="851" w:footer="992" w:gutter="0"/>
          <w:cols w:space="720" w:num="1"/>
          <w:titlePg/>
          <w:docGrid w:type="lines" w:linePitch="312" w:charSpace="0"/>
        </w:sectPr>
      </w:pPr>
    </w:p>
    <w:p w14:paraId="05821AB0">
      <w:pPr>
        <w:pStyle w:val="29"/>
        <w:spacing w:line="600" w:lineRule="exact"/>
        <w:jc w:val="center"/>
        <w:rPr>
          <w:rFonts w:hAnsi="宋体" w:cs="宋体"/>
          <w:color w:val="000000" w:themeColor="text1"/>
          <w:sz w:val="40"/>
          <w:szCs w:val="40"/>
          <w:highlight w:val="none"/>
          <w14:textFill>
            <w14:solidFill>
              <w14:schemeClr w14:val="tx1"/>
            </w14:solidFill>
          </w14:textFill>
        </w:rPr>
      </w:pPr>
    </w:p>
    <w:p w14:paraId="2E1A8ACF">
      <w:pPr>
        <w:pStyle w:val="29"/>
        <w:spacing w:line="600" w:lineRule="exact"/>
        <w:jc w:val="center"/>
        <w:outlineLvl w:val="0"/>
        <w:rPr>
          <w:rFonts w:hAnsi="宋体" w:cs="宋体"/>
          <w:color w:val="000000" w:themeColor="text1"/>
          <w:sz w:val="40"/>
          <w:szCs w:val="40"/>
          <w:highlight w:val="none"/>
          <w14:textFill>
            <w14:solidFill>
              <w14:schemeClr w14:val="tx1"/>
            </w14:solidFill>
          </w14:textFill>
        </w:rPr>
      </w:pPr>
      <w:bookmarkStart w:id="2" w:name="_Toc19525382"/>
      <w:bookmarkStart w:id="3" w:name="_Toc67320237"/>
      <w:bookmarkStart w:id="4" w:name="_Toc17145"/>
      <w:bookmarkStart w:id="5" w:name="_Toc9838476"/>
      <w:bookmarkStart w:id="6" w:name="_Toc9204"/>
      <w:r>
        <w:rPr>
          <w:rFonts w:hint="eastAsia" w:hAnsi="宋体" w:cs="宋体"/>
          <w:color w:val="000000" w:themeColor="text1"/>
          <w:sz w:val="40"/>
          <w:szCs w:val="40"/>
          <w:highlight w:val="none"/>
          <w14:textFill>
            <w14:solidFill>
              <w14:schemeClr w14:val="tx1"/>
            </w14:solidFill>
          </w14:textFill>
        </w:rPr>
        <w:t>目录</w:t>
      </w:r>
      <w:bookmarkEnd w:id="2"/>
      <w:bookmarkEnd w:id="3"/>
      <w:bookmarkEnd w:id="4"/>
      <w:bookmarkEnd w:id="5"/>
      <w:bookmarkEnd w:id="6"/>
    </w:p>
    <w:p w14:paraId="20B0E8FE">
      <w:pPr>
        <w:pStyle w:val="29"/>
        <w:spacing w:line="600" w:lineRule="exact"/>
        <w:jc w:val="center"/>
        <w:rPr>
          <w:rFonts w:hAnsi="宋体" w:cs="宋体"/>
          <w:color w:val="000000" w:themeColor="text1"/>
          <w:sz w:val="40"/>
          <w:szCs w:val="40"/>
          <w:highlight w:val="none"/>
          <w14:textFill>
            <w14:solidFill>
              <w14:schemeClr w14:val="tx1"/>
            </w14:solidFill>
          </w14:textFill>
        </w:rPr>
      </w:pPr>
    </w:p>
    <w:p w14:paraId="4DF3F19B">
      <w:pPr>
        <w:pStyle w:val="37"/>
        <w:tabs>
          <w:tab w:val="right" w:leader="dot" w:pos="9746"/>
          <w:tab w:val="clear" w:pos="9360"/>
        </w:tabs>
        <w:rPr>
          <w:color w:val="000000" w:themeColor="text1"/>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fldChar w:fldCharType="begin"/>
      </w:r>
      <w:r>
        <w:rPr>
          <w:rFonts w:hint="eastAsia" w:cs="宋体"/>
          <w:color w:val="000000" w:themeColor="text1"/>
          <w:sz w:val="24"/>
          <w:szCs w:val="24"/>
          <w:highlight w:val="none"/>
          <w14:textFill>
            <w14:solidFill>
              <w14:schemeClr w14:val="tx1"/>
            </w14:solidFill>
          </w14:textFill>
        </w:rPr>
        <w:instrText xml:space="preserve"> TOC \o "1-1" \h \z \u </w:instrText>
      </w:r>
      <w:r>
        <w:rPr>
          <w:rFonts w:hint="eastAsia"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_Toc22175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szCs w:val="36"/>
          <w:highlight w:val="none"/>
          <w14:textFill>
            <w14:solidFill>
              <w14:schemeClr w14:val="tx1"/>
            </w14:solidFill>
          </w14:textFill>
        </w:rPr>
        <w:t>第一章 公开招标公告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A23B585">
      <w:pPr>
        <w:pStyle w:val="37"/>
        <w:tabs>
          <w:tab w:val="right" w:leader="dot" w:pos="9746"/>
          <w:tab w:val="clear" w:pos="9360"/>
        </w:tabs>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_Toc8535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szCs w:val="36"/>
          <w:highlight w:val="none"/>
          <w14:textFill>
            <w14:solidFill>
              <w14:schemeClr w14:val="tx1"/>
            </w14:solidFill>
          </w14:textFill>
        </w:rPr>
        <w:t>第二章 招标项目采购需求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FACCCAF">
      <w:pPr>
        <w:pStyle w:val="37"/>
        <w:tabs>
          <w:tab w:val="right" w:leader="dot" w:pos="9746"/>
          <w:tab w:val="clear" w:pos="9360"/>
        </w:tabs>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_Toc19636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szCs w:val="36"/>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B4BAE54">
      <w:pPr>
        <w:pStyle w:val="37"/>
        <w:tabs>
          <w:tab w:val="right" w:leader="dot" w:pos="9746"/>
          <w:tab w:val="clear" w:pos="9360"/>
        </w:tabs>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_Toc19711 </w:instrText>
      </w:r>
      <w:r>
        <w:rPr>
          <w:rFonts w:hint="eastAsia" w:ascii="宋体" w:hAnsi="宋体" w:cs="宋体"/>
          <w:color w:val="000000" w:themeColor="text1"/>
          <w:highlight w:val="none"/>
          <w14:textFill>
            <w14:solidFill>
              <w14:schemeClr w14:val="tx1"/>
            </w14:solidFill>
          </w14:textFill>
        </w:rPr>
        <w:fldChar w:fldCharType="separate"/>
      </w:r>
      <w:r>
        <w:rPr>
          <w:rFonts w:hint="eastAsia" w:hAnsi="宋体" w:cs="宋体"/>
          <w:color w:val="000000" w:themeColor="text1"/>
          <w:szCs w:val="36"/>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42A2E30">
      <w:pPr>
        <w:pStyle w:val="37"/>
        <w:tabs>
          <w:tab w:val="right" w:leader="dot" w:pos="9746"/>
          <w:tab w:val="clear" w:pos="9360"/>
        </w:tabs>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_Toc5671 </w:instrText>
      </w:r>
      <w:r>
        <w:rPr>
          <w:rFonts w:hint="eastAsia" w:ascii="宋体" w:hAnsi="宋体" w:cs="宋体"/>
          <w:color w:val="000000" w:themeColor="text1"/>
          <w:highlight w:val="none"/>
          <w14:textFill>
            <w14:solidFill>
              <w14:schemeClr w14:val="tx1"/>
            </w14:solidFill>
          </w14:textFill>
        </w:rPr>
        <w:fldChar w:fldCharType="separate"/>
      </w:r>
      <w:r>
        <w:rPr>
          <w:rFonts w:hint="eastAsia" w:hAnsi="宋体" w:cs="宋体"/>
          <w:color w:val="000000" w:themeColor="text1"/>
          <w:szCs w:val="36"/>
          <w:highlight w:val="none"/>
          <w14:textFill>
            <w14:solidFill>
              <w14:schemeClr w14:val="tx1"/>
            </w14:solidFill>
          </w14:textFill>
        </w:rPr>
        <w:t>第五章 合同文本（格式）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EB0BEE7">
      <w:pPr>
        <w:pStyle w:val="37"/>
        <w:tabs>
          <w:tab w:val="right" w:leader="dot" w:pos="9746"/>
          <w:tab w:val="clear" w:pos="9360"/>
        </w:tabs>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\l _Toc20 </w:instrText>
      </w:r>
      <w:r>
        <w:rPr>
          <w:rFonts w:hint="eastAsia" w:ascii="宋体" w:hAnsi="宋体" w:cs="宋体"/>
          <w:color w:val="000000" w:themeColor="text1"/>
          <w:highlight w:val="none"/>
          <w14:textFill>
            <w14:solidFill>
              <w14:schemeClr w14:val="tx1"/>
            </w14:solidFill>
          </w14:textFill>
        </w:rPr>
        <w:fldChar w:fldCharType="separate"/>
      </w:r>
      <w:r>
        <w:rPr>
          <w:rFonts w:hint="eastAsia" w:hAnsi="宋体" w:cs="宋体"/>
          <w:color w:val="000000" w:themeColor="text1"/>
          <w:szCs w:val="36"/>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CAA7D73">
      <w:pPr>
        <w:spacing w:line="6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1E3D066C">
      <w:pPr>
        <w:pStyle w:val="29"/>
        <w:spacing w:before="120" w:after="120" w:line="360" w:lineRule="auto"/>
        <w:rPr>
          <w:rFonts w:hAnsi="宋体" w:cs="宋体"/>
          <w:color w:val="000000" w:themeColor="text1"/>
          <w:sz w:val="21"/>
          <w:highlight w:val="none"/>
          <w14:textFill>
            <w14:solidFill>
              <w14:schemeClr w14:val="tx1"/>
            </w14:solidFill>
          </w14:textFill>
        </w:rPr>
      </w:pPr>
    </w:p>
    <w:p w14:paraId="405936B2">
      <w:pPr>
        <w:pStyle w:val="29"/>
        <w:spacing w:before="120" w:after="120" w:line="360" w:lineRule="auto"/>
        <w:rPr>
          <w:rFonts w:hAnsi="宋体" w:cs="宋体"/>
          <w:color w:val="000000" w:themeColor="text1"/>
          <w:highlight w:val="none"/>
          <w14:textFill>
            <w14:solidFill>
              <w14:schemeClr w14:val="tx1"/>
            </w14:solidFill>
          </w14:textFill>
        </w:rPr>
      </w:pPr>
    </w:p>
    <w:p w14:paraId="38A34F78">
      <w:pPr>
        <w:pStyle w:val="29"/>
        <w:spacing w:before="120" w:after="120" w:line="360" w:lineRule="auto"/>
        <w:rPr>
          <w:rFonts w:hAnsi="宋体" w:cs="宋体"/>
          <w:color w:val="000000" w:themeColor="text1"/>
          <w:highlight w:val="none"/>
          <w14:textFill>
            <w14:solidFill>
              <w14:schemeClr w14:val="tx1"/>
            </w14:solidFill>
          </w14:textFill>
        </w:rPr>
      </w:pPr>
    </w:p>
    <w:p w14:paraId="731E3DAF">
      <w:pPr>
        <w:pStyle w:val="29"/>
        <w:spacing w:before="120" w:after="120" w:line="360" w:lineRule="auto"/>
        <w:rPr>
          <w:rFonts w:hAnsi="宋体" w:cs="宋体"/>
          <w:color w:val="000000" w:themeColor="text1"/>
          <w:highlight w:val="none"/>
          <w14:textFill>
            <w14:solidFill>
              <w14:schemeClr w14:val="tx1"/>
            </w14:solidFill>
          </w14:textFill>
        </w:rPr>
      </w:pPr>
    </w:p>
    <w:p w14:paraId="77F1FE3C">
      <w:pPr>
        <w:pStyle w:val="29"/>
        <w:spacing w:before="120" w:after="120" w:line="360" w:lineRule="auto"/>
        <w:rPr>
          <w:rFonts w:hAnsi="宋体" w:cs="宋体"/>
          <w:color w:val="000000" w:themeColor="text1"/>
          <w:highlight w:val="none"/>
          <w14:textFill>
            <w14:solidFill>
              <w14:schemeClr w14:val="tx1"/>
            </w14:solidFill>
          </w14:textFill>
        </w:rPr>
      </w:pPr>
    </w:p>
    <w:p w14:paraId="15FE8C4C">
      <w:pPr>
        <w:pStyle w:val="29"/>
        <w:spacing w:before="120" w:after="120" w:line="360" w:lineRule="auto"/>
        <w:rPr>
          <w:rFonts w:hAnsi="宋体" w:cs="宋体"/>
          <w:color w:val="000000" w:themeColor="text1"/>
          <w:highlight w:val="none"/>
          <w14:textFill>
            <w14:solidFill>
              <w14:schemeClr w14:val="tx1"/>
            </w14:solidFill>
          </w14:textFill>
        </w:rPr>
      </w:pPr>
    </w:p>
    <w:p w14:paraId="7B1A0C2C">
      <w:pPr>
        <w:pStyle w:val="29"/>
        <w:spacing w:before="120" w:after="120" w:line="360" w:lineRule="auto"/>
        <w:rPr>
          <w:rFonts w:hAnsi="宋体" w:cs="宋体"/>
          <w:color w:val="000000" w:themeColor="text1"/>
          <w:highlight w:val="none"/>
          <w14:textFill>
            <w14:solidFill>
              <w14:schemeClr w14:val="tx1"/>
            </w14:solidFill>
          </w14:textFill>
        </w:rPr>
      </w:pPr>
    </w:p>
    <w:p w14:paraId="136CF49C">
      <w:pPr>
        <w:pStyle w:val="29"/>
        <w:spacing w:before="120" w:after="120" w:line="360" w:lineRule="auto"/>
        <w:rPr>
          <w:rFonts w:hAnsi="宋体" w:cs="宋体"/>
          <w:color w:val="000000" w:themeColor="text1"/>
          <w:highlight w:val="none"/>
          <w14:textFill>
            <w14:solidFill>
              <w14:schemeClr w14:val="tx1"/>
            </w14:solidFill>
          </w14:textFill>
        </w:rPr>
        <w:sectPr>
          <w:footerReference r:id="rId7" w:type="first"/>
          <w:footerReference r:id="rId6" w:type="default"/>
          <w:pgSz w:w="11906" w:h="16838"/>
          <w:pgMar w:top="1440" w:right="1080" w:bottom="1440" w:left="1080" w:header="851" w:footer="992" w:gutter="0"/>
          <w:pgNumType w:start="1"/>
          <w:cols w:space="720" w:num="1"/>
          <w:docGrid w:type="lines" w:linePitch="312" w:charSpace="0"/>
        </w:sectPr>
      </w:pPr>
    </w:p>
    <w:p w14:paraId="2EFA9DCD">
      <w:pPr>
        <w:pStyle w:val="29"/>
        <w:spacing w:before="120" w:after="120" w:line="360" w:lineRule="auto"/>
        <w:rPr>
          <w:rFonts w:hAnsi="宋体" w:cs="宋体"/>
          <w:color w:val="000000" w:themeColor="text1"/>
          <w:highlight w:val="none"/>
          <w14:textFill>
            <w14:solidFill>
              <w14:schemeClr w14:val="tx1"/>
            </w14:solidFill>
          </w14:textFill>
        </w:rPr>
      </w:pPr>
    </w:p>
    <w:p w14:paraId="496DFCA6">
      <w:pPr>
        <w:pStyle w:val="29"/>
        <w:spacing w:before="120" w:after="120" w:line="360" w:lineRule="auto"/>
        <w:rPr>
          <w:rFonts w:hAnsi="宋体" w:cs="宋体"/>
          <w:color w:val="000000" w:themeColor="text1"/>
          <w:highlight w:val="none"/>
          <w14:textFill>
            <w14:solidFill>
              <w14:schemeClr w14:val="tx1"/>
            </w14:solidFill>
          </w14:textFill>
        </w:rPr>
      </w:pPr>
    </w:p>
    <w:p w14:paraId="3D045139">
      <w:pPr>
        <w:pStyle w:val="29"/>
        <w:spacing w:before="120" w:after="120" w:line="360" w:lineRule="auto"/>
        <w:rPr>
          <w:rFonts w:hAnsi="宋体" w:cs="宋体"/>
          <w:color w:val="000000" w:themeColor="text1"/>
          <w:highlight w:val="none"/>
          <w14:textFill>
            <w14:solidFill>
              <w14:schemeClr w14:val="tx1"/>
            </w14:solidFill>
          </w14:textFill>
        </w:rPr>
      </w:pPr>
    </w:p>
    <w:p w14:paraId="014BB664">
      <w:pPr>
        <w:pStyle w:val="29"/>
        <w:spacing w:before="120" w:after="120" w:line="360" w:lineRule="auto"/>
        <w:rPr>
          <w:rFonts w:hAnsi="宋体" w:cs="宋体"/>
          <w:color w:val="000000" w:themeColor="text1"/>
          <w:highlight w:val="none"/>
          <w14:textFill>
            <w14:solidFill>
              <w14:schemeClr w14:val="tx1"/>
            </w14:solidFill>
          </w14:textFill>
        </w:rPr>
      </w:pPr>
    </w:p>
    <w:p w14:paraId="19135E32">
      <w:pPr>
        <w:pStyle w:val="29"/>
        <w:spacing w:before="120" w:after="120" w:line="360" w:lineRule="auto"/>
        <w:rPr>
          <w:rFonts w:hAnsi="宋体" w:cs="宋体"/>
          <w:color w:val="000000" w:themeColor="text1"/>
          <w:highlight w:val="none"/>
          <w14:textFill>
            <w14:solidFill>
              <w14:schemeClr w14:val="tx1"/>
            </w14:solidFill>
          </w14:textFill>
        </w:rPr>
      </w:pPr>
    </w:p>
    <w:p w14:paraId="6825A561">
      <w:pPr>
        <w:pStyle w:val="29"/>
        <w:spacing w:before="120" w:after="120" w:line="360" w:lineRule="auto"/>
        <w:rPr>
          <w:rFonts w:hAnsi="宋体" w:cs="宋体"/>
          <w:color w:val="000000" w:themeColor="text1"/>
          <w:highlight w:val="none"/>
          <w14:textFill>
            <w14:solidFill>
              <w14:schemeClr w14:val="tx1"/>
            </w14:solidFill>
          </w14:textFill>
        </w:rPr>
      </w:pPr>
    </w:p>
    <w:p w14:paraId="79322060">
      <w:pPr>
        <w:pStyle w:val="29"/>
        <w:spacing w:before="120" w:after="120" w:line="360" w:lineRule="auto"/>
        <w:rPr>
          <w:rFonts w:hAnsi="宋体" w:cs="宋体"/>
          <w:color w:val="000000" w:themeColor="text1"/>
          <w:highlight w:val="none"/>
          <w14:textFill>
            <w14:solidFill>
              <w14:schemeClr w14:val="tx1"/>
            </w14:solidFill>
          </w14:textFill>
        </w:rPr>
      </w:pPr>
    </w:p>
    <w:p w14:paraId="6C809B0A">
      <w:pPr>
        <w:pStyle w:val="29"/>
        <w:spacing w:line="600" w:lineRule="exact"/>
        <w:rPr>
          <w:rFonts w:hAnsi="宋体" w:cs="宋体"/>
          <w:color w:val="000000" w:themeColor="text1"/>
          <w:sz w:val="36"/>
          <w:szCs w:val="36"/>
          <w:highlight w:val="none"/>
          <w14:textFill>
            <w14:solidFill>
              <w14:schemeClr w14:val="tx1"/>
            </w14:solidFill>
          </w14:textFill>
        </w:rPr>
      </w:pPr>
    </w:p>
    <w:p w14:paraId="442FA0BF">
      <w:pPr>
        <w:jc w:val="center"/>
        <w:rPr>
          <w:rFonts w:ascii="宋体" w:hAnsi="宋体" w:cs="宋体"/>
          <w:color w:val="000000" w:themeColor="text1"/>
          <w:highlight w:val="none"/>
          <w14:textFill>
            <w14:solidFill>
              <w14:schemeClr w14:val="tx1"/>
            </w14:solidFill>
          </w14:textFill>
        </w:rPr>
      </w:pPr>
    </w:p>
    <w:p w14:paraId="5BAFC4E8">
      <w:pPr>
        <w:pStyle w:val="29"/>
        <w:spacing w:line="600" w:lineRule="exact"/>
        <w:rPr>
          <w:rFonts w:hAnsi="宋体" w:cs="宋体"/>
          <w:color w:val="000000" w:themeColor="text1"/>
          <w:sz w:val="36"/>
          <w:szCs w:val="36"/>
          <w:highlight w:val="none"/>
          <w14:textFill>
            <w14:solidFill>
              <w14:schemeClr w14:val="tx1"/>
            </w14:solidFill>
          </w14:textFill>
        </w:rPr>
      </w:pPr>
    </w:p>
    <w:p w14:paraId="4D8DC3EF">
      <w:pPr>
        <w:pStyle w:val="314"/>
        <w:widowControl w:val="0"/>
        <w:spacing w:afterLines="0" w:line="600" w:lineRule="exact"/>
        <w:ind w:firstLine="0" w:firstLineChars="0"/>
        <w:jc w:val="left"/>
        <w:outlineLvl w:val="0"/>
        <w:rPr>
          <w:rFonts w:ascii="宋体" w:hAnsi="宋体" w:cs="宋体"/>
          <w:b/>
          <w:color w:val="000000" w:themeColor="text1"/>
          <w:sz w:val="36"/>
          <w:szCs w:val="36"/>
          <w:highlight w:val="none"/>
          <w14:textFill>
            <w14:solidFill>
              <w14:schemeClr w14:val="tx1"/>
            </w14:solidFill>
          </w14:textFill>
        </w:rPr>
      </w:pPr>
      <w:bookmarkStart w:id="7" w:name="_Toc9838477"/>
    </w:p>
    <w:p w14:paraId="0A70274D">
      <w:pPr>
        <w:pStyle w:val="314"/>
        <w:widowControl w:val="0"/>
        <w:spacing w:afterLines="0" w:line="600" w:lineRule="exact"/>
        <w:ind w:firstLine="0" w:firstLineChars="0"/>
        <w:jc w:val="center"/>
        <w:outlineLvl w:val="0"/>
        <w:rPr>
          <w:rFonts w:ascii="宋体" w:hAnsi="宋体" w:cs="宋体"/>
          <w:b/>
          <w:color w:val="000000" w:themeColor="text1"/>
          <w:sz w:val="36"/>
          <w:szCs w:val="36"/>
          <w:highlight w:val="none"/>
          <w14:textFill>
            <w14:solidFill>
              <w14:schemeClr w14:val="tx1"/>
            </w14:solidFill>
          </w14:textFill>
        </w:rPr>
      </w:pPr>
      <w:bookmarkStart w:id="8" w:name="_Toc22175"/>
      <w:r>
        <w:rPr>
          <w:rFonts w:hint="eastAsia" w:ascii="宋体" w:hAnsi="宋体" w:cs="宋体"/>
          <w:b/>
          <w:color w:val="000000" w:themeColor="text1"/>
          <w:sz w:val="36"/>
          <w:szCs w:val="36"/>
          <w:highlight w:val="none"/>
          <w14:textFill>
            <w14:solidFill>
              <w14:schemeClr w14:val="tx1"/>
            </w14:solidFill>
          </w14:textFill>
        </w:rPr>
        <w:t>第一章 公开招标公告</w:t>
      </w:r>
      <w:bookmarkEnd w:id="7"/>
      <w:bookmarkEnd w:id="8"/>
    </w:p>
    <w:p w14:paraId="2AA31E34">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628CC879">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4775B542">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7976CA8F">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7729150E">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5469C6FB">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4D3412B8">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5387A20D">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01BE94BB">
      <w:pPr>
        <w:pStyle w:val="29"/>
        <w:snapToGrid w:val="0"/>
        <w:spacing w:before="156" w:beforeLines="50" w:after="156" w:afterLines="50" w:line="600" w:lineRule="exact"/>
        <w:jc w:val="center"/>
        <w:rPr>
          <w:rFonts w:hAnsi="宋体" w:cs="宋体"/>
          <w:b/>
          <w:color w:val="000000" w:themeColor="text1"/>
          <w:sz w:val="32"/>
          <w:szCs w:val="32"/>
          <w:highlight w:val="none"/>
          <w14:textFill>
            <w14:solidFill>
              <w14:schemeClr w14:val="tx1"/>
            </w14:solidFill>
          </w14:textFill>
        </w:rPr>
      </w:pPr>
    </w:p>
    <w:p w14:paraId="32462D52">
      <w:pPr>
        <w:pStyle w:val="29"/>
        <w:spacing w:before="156" w:beforeLines="50" w:after="156" w:afterLines="50" w:line="320" w:lineRule="exact"/>
        <w:rPr>
          <w:rFonts w:hAnsi="宋体" w:cs="宋体"/>
          <w:b/>
          <w:bCs/>
          <w:color w:val="000000" w:themeColor="text1"/>
          <w:kern w:val="44"/>
          <w:sz w:val="28"/>
          <w:szCs w:val="28"/>
          <w:highlight w:val="none"/>
          <w14:textFill>
            <w14:solidFill>
              <w14:schemeClr w14:val="tx1"/>
            </w14:solidFill>
          </w14:textFill>
        </w:rPr>
      </w:pPr>
    </w:p>
    <w:p w14:paraId="7DF9BF6E">
      <w:pPr>
        <w:pStyle w:val="29"/>
        <w:spacing w:before="156" w:beforeLines="50" w:after="156" w:afterLines="50" w:line="440" w:lineRule="exact"/>
        <w:jc w:val="center"/>
        <w:rPr>
          <w:rFonts w:hAnsi="宋体" w:cs="宋体"/>
          <w:b/>
          <w:bCs/>
          <w:color w:val="000000" w:themeColor="text1"/>
          <w:kern w:val="44"/>
          <w:sz w:val="24"/>
          <w:szCs w:val="28"/>
          <w:highlight w:val="none"/>
          <w14:textFill>
            <w14:solidFill>
              <w14:schemeClr w14:val="tx1"/>
            </w14:solidFill>
          </w14:textFill>
        </w:rPr>
      </w:pPr>
      <w:r>
        <w:rPr>
          <w:rFonts w:hint="eastAsia" w:hAnsi="宋体" w:cs="宋体"/>
          <w:b/>
          <w:bCs/>
          <w:color w:val="000000" w:themeColor="text1"/>
          <w:kern w:val="44"/>
          <w:sz w:val="24"/>
          <w:szCs w:val="28"/>
          <w:highlight w:val="none"/>
          <w14:textFill>
            <w14:solidFill>
              <w14:schemeClr w14:val="tx1"/>
            </w14:solidFill>
          </w14:textFill>
        </w:rPr>
        <w:t>北海市政府采购中心关于中国共产党北海市委员会宣传部</w:t>
      </w:r>
      <w:r>
        <w:rPr>
          <w:rFonts w:hint="eastAsia" w:hAnsi="宋体" w:cs="宋体"/>
          <w:b/>
          <w:bCs/>
          <w:color w:val="000000" w:themeColor="text1"/>
          <w:kern w:val="44"/>
          <w:sz w:val="24"/>
          <w:szCs w:val="28"/>
          <w:highlight w:val="none"/>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hAnsi="宋体" w:cs="宋体"/>
          <w:b/>
          <w:bCs/>
          <w:color w:val="000000" w:themeColor="text1"/>
          <w:kern w:val="44"/>
          <w:sz w:val="24"/>
          <w:szCs w:val="28"/>
          <w:highlight w:val="none"/>
          <w14:textFill>
            <w14:solidFill>
              <w14:schemeClr w14:val="tx1"/>
            </w14:solidFill>
          </w14:textFill>
        </w:rPr>
        <w:t>(项目编号：</w:t>
      </w:r>
      <w:r>
        <w:rPr>
          <w:rFonts w:hint="eastAsia" w:hAnsi="宋体" w:cs="宋体"/>
          <w:b/>
          <w:bCs/>
          <w:color w:val="000000" w:themeColor="text1"/>
          <w:kern w:val="44"/>
          <w:sz w:val="24"/>
          <w:szCs w:val="28"/>
          <w:highlight w:val="none"/>
          <w:lang w:eastAsia="zh-CN"/>
          <w14:textFill>
            <w14:solidFill>
              <w14:schemeClr w14:val="tx1"/>
            </w14:solidFill>
          </w14:textFill>
        </w:rPr>
        <w:t>BHZC2026-G3-990062-CGZX</w:t>
      </w:r>
      <w:r>
        <w:rPr>
          <w:rFonts w:hint="eastAsia" w:hAnsi="宋体" w:cs="宋体"/>
          <w:b/>
          <w:bCs/>
          <w:color w:val="000000" w:themeColor="text1"/>
          <w:kern w:val="44"/>
          <w:sz w:val="24"/>
          <w:szCs w:val="28"/>
          <w:highlight w:val="none"/>
          <w14:textFill>
            <w14:solidFill>
              <w14:schemeClr w14:val="tx1"/>
            </w14:solidFill>
          </w14:textFill>
        </w:rPr>
        <w:t>)招标公告（远程异地评标）</w:t>
      </w:r>
    </w:p>
    <w:p w14:paraId="35BAABFB">
      <w:pPr>
        <w:pBdr>
          <w:top w:val="single" w:color="auto" w:sz="4" w:space="1"/>
          <w:left w:val="single" w:color="auto" w:sz="4" w:space="4"/>
          <w:bottom w:val="single" w:color="auto" w:sz="4" w:space="9"/>
          <w:right w:val="single" w:color="auto" w:sz="4" w:space="4"/>
        </w:pBdr>
        <w:spacing w:line="32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项目概况：</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广西壮族自治区第十六届运动会和广西壮族自治区第十一届残疾人运动会暨第六届特殊奥林匹克运动会开闭幕式及火炬传递仪式服务招标项目的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潜在投标人应在广西政府采购云平台（https://www.gcy.zfcg.gxzf.gov.cn/）获取招标文件，并于2026年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日9时（北京时间）前递交投标文件。</w:t>
      </w:r>
    </w:p>
    <w:p w14:paraId="21D240D9">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一、项目基本情况</w:t>
      </w:r>
    </w:p>
    <w:p w14:paraId="7C347B10">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BHZC2026-G3-990062-CGZX</w:t>
      </w:r>
    </w:p>
    <w:p w14:paraId="2F62C4C5">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p>
    <w:p w14:paraId="484FFA5C">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p>
    <w:p w14:paraId="0245A17F">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预算金额(人民币）：13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000.00元</w:t>
      </w:r>
    </w:p>
    <w:p w14:paraId="6D9FE5CB">
      <w:pPr>
        <w:spacing w:line="3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最高限价（元）：13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000</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000.00元</w:t>
      </w:r>
    </w:p>
    <w:p w14:paraId="0F62D6B7">
      <w:pPr>
        <w:spacing w:line="32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采购需求：</w:t>
      </w:r>
    </w:p>
    <w:p w14:paraId="3DC7B92E">
      <w:pPr>
        <w:spacing w:line="32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标项一</w:t>
      </w:r>
    </w:p>
    <w:p w14:paraId="605CCFB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标项名称:</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p>
    <w:p w14:paraId="6105CB25">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r>
        <w:rPr>
          <w:rFonts w:hint="eastAsia" w:asciiTheme="minorEastAsia" w:hAnsiTheme="minorEastAsia" w:eastAsiaTheme="minorEastAsia" w:cstheme="minorEastAsia"/>
          <w:color w:val="000000" w:themeColor="text1"/>
          <w:highlight w:val="none"/>
          <w14:textFill>
            <w14:solidFill>
              <w14:schemeClr w14:val="tx1"/>
            </w14:solidFill>
          </w14:textFill>
        </w:rPr>
        <w:t>不限</w:t>
      </w:r>
    </w:p>
    <w:p w14:paraId="0C56EE35">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预算金额（元）:13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000.00元</w:t>
      </w:r>
    </w:p>
    <w:p w14:paraId="52727D81">
      <w:pPr>
        <w:pStyle w:val="514"/>
        <w:spacing w:line="32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简要规格描述或项目基本概况介绍、用途：</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包括但不限于本项目采用公开招标（服务类）方式，确定一个中标单位负责广西壮族自治区第十六届运动会和广西壮族自治区第十一届残疾人运动会暨第六届特殊奥林匹克运动会开闭幕式及火炬传递仪式服务项目的策划、组织与实施。包括但不限于：开闭幕式文体演出、音乐创作、火炬传递仪式、服装道具制作租赁、全程全景实录、舞美音响灯光舞台搭建、媒体直播录制配合、文稿撰写与培训等，中标人需按要求提交细化方案、安全 / 应急方案、项目人员名单等资料，承担专业演员全部费用，严格遵守分包、保险、知识产权等约定。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如需进一步了解，详见招标文件。</w:t>
      </w:r>
    </w:p>
    <w:p w14:paraId="5F3F2914">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最高限价（如有）：13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000.00元</w:t>
      </w:r>
    </w:p>
    <w:p w14:paraId="35492CD2">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合同履约期限：2026年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月至2026年12月（具体以采购人书面通知为准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中标人收到通知后 24小时内书面确认，逾期未确认视为认可</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78BA330">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本标项（否）接受联合体投标。</w:t>
      </w:r>
    </w:p>
    <w:p w14:paraId="28DDE998">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p w14:paraId="0D527F10">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二、申请人的资格要求</w:t>
      </w:r>
    </w:p>
    <w:p w14:paraId="373C9F98">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1.满足《中华人民共和国政府采购法》第二十二条规定；</w:t>
      </w:r>
    </w:p>
    <w:p w14:paraId="7F370466">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47D311E">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3.本项目的特定资格要求：</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主创团队必须配备项目负责人、总导演、执行导演、总撰稿、总统筹、音乐设计制作、舞蹈编导、舞美设计、服装、化妆、道具、灯光音响等专业人员负责开幕式的策划与执行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Start w:id="53" w:name="_GoBack"/>
      <w:bookmarkEnd w:id="53"/>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投标人可使用其下属子公司的上述专业人员参与本项目策划与执行，需提供全资控股证明材料及人员所属关系证明材料。</w:t>
      </w:r>
    </w:p>
    <w:p w14:paraId="5881BB09">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三、获取招标文件</w:t>
      </w:r>
    </w:p>
    <w:p w14:paraId="339906E3">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时间：2026年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日至2026年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日，每天上午00:00至12:00，下午12:00至23:59（北京时间，法定节假日除外）</w:t>
      </w:r>
    </w:p>
    <w:p w14:paraId="19F29244">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地点（网址）：广西政府采购云平台（https://www.gcy.zfcg.gxzf.gov.cn/）</w:t>
      </w:r>
    </w:p>
    <w:p w14:paraId="46FF4902">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登录广西政府采购云平台（https://www.gcy.zfcg.gxzf.gov.cn/）在线自行下载采购文件；未注册的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可在广西政府采购云平台完成注册后再进行下载。如在操作过程中遇到问题或需技术支持，请致电广西政采云客服热线：95763。提示：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只有在“广西政府采购云平台”完成获取招标文件申请并下载了招标文件后才视作依法获取招标文件（法律法规所指的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获取招标文件时间以</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完成获取招标文件申请后下载招标文件的时间为准）。</w:t>
      </w:r>
    </w:p>
    <w:p w14:paraId="49852F52">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售价（元）：0</w:t>
      </w:r>
    </w:p>
    <w:p w14:paraId="7FCA1275">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四、提交投标文件截止时间、开标时间和地点</w:t>
      </w:r>
    </w:p>
    <w:p w14:paraId="731760CB">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提交投标文件截止时间：2026年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日9时（北京时间）</w:t>
      </w:r>
    </w:p>
    <w:p w14:paraId="06294CF7">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投标地点（网址）：通过广西政府采购云平台（https://www.gcy.zfcg.gxzf.gov.cn/）实行在线投标</w:t>
      </w:r>
    </w:p>
    <w:p w14:paraId="28EEB7EE">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开标时间：：2026年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日9时（北京时间）</w:t>
      </w:r>
    </w:p>
    <w:p w14:paraId="7AC5AFE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开标地点：通过广西政府采购云平台（https://www.gcy.zfcg.gxzf.gov.cn/）实行在线开标  </w:t>
      </w:r>
    </w:p>
    <w:p w14:paraId="5589C116">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五、公告期限</w:t>
      </w:r>
    </w:p>
    <w:p w14:paraId="2A2F0C5F">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自本公告发布之日起5个工作日。</w:t>
      </w:r>
    </w:p>
    <w:p w14:paraId="02D406EC">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六、其他补充事宜</w:t>
      </w:r>
    </w:p>
    <w:p w14:paraId="59F86823">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1.本项目不收取投标保证金。</w:t>
      </w:r>
    </w:p>
    <w:p w14:paraId="292E4DF1">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平等对待内外资企业和符合条件的破产重整企业。</w:t>
      </w:r>
    </w:p>
    <w:p w14:paraId="30C6CB6D">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3F57CA3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4.网上公告媒体查询：中国政府采购网、广西政府采购网、全国公共资源交易平台（广西•北海）、北海市政府采购监管网、北海市人民政府网-北海市政府采购中心网站。</w:t>
      </w:r>
    </w:p>
    <w:p w14:paraId="37069AE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2D9C23D">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35682B5">
      <w:pPr>
        <w:spacing w:line="32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7.本项目采用远程异地评标。</w:t>
      </w:r>
    </w:p>
    <w:p w14:paraId="582E037F">
      <w:pPr>
        <w:spacing w:line="32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七、对本次招标提出询问，请按以下方式联系</w:t>
      </w:r>
    </w:p>
    <w:p w14:paraId="6D74F48E">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1.采购人信息</w:t>
      </w:r>
    </w:p>
    <w:p w14:paraId="0AE54D1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名称：中国共产党北海市委宣传部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b/>
      </w:r>
    </w:p>
    <w:p w14:paraId="621D40CB">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地址：北海市海城区和平路东二巷 2 号（党政机关大院内）</w:t>
      </w:r>
    </w:p>
    <w:p w14:paraId="479388DD">
      <w:pPr>
        <w:adjustRightInd w:val="0"/>
        <w:snapToGrid w:val="0"/>
        <w:spacing w:line="36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项目联系人：黄雪梅  </w:t>
      </w:r>
    </w:p>
    <w:p w14:paraId="501CF5D9">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项目联系方式：0779-2038313 </w:t>
      </w:r>
    </w:p>
    <w:p w14:paraId="505F4334">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2.采购代理机构信息</w:t>
      </w:r>
    </w:p>
    <w:p w14:paraId="15376E42">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名称：北海市政府采购中心</w:t>
      </w:r>
    </w:p>
    <w:p w14:paraId="5BAC2593">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地址：北海市海城区陈文村北路7号市直机关第三办公区</w:t>
      </w:r>
    </w:p>
    <w:p w14:paraId="299C6B91">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联系方式：0779-3960815</w:t>
      </w:r>
    </w:p>
    <w:p w14:paraId="09433170">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3.项目联系方式</w:t>
      </w:r>
    </w:p>
    <w:p w14:paraId="6446FCD5">
      <w:pPr>
        <w:spacing w:line="32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项目联系人：易思行</w:t>
      </w:r>
    </w:p>
    <w:p w14:paraId="17175640">
      <w:pPr>
        <w:spacing w:line="32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sectPr>
          <w:headerReference r:id="rId8" w:type="first"/>
          <w:footerReference r:id="rId10" w:type="first"/>
          <w:footerReference r:id="rId9" w:type="default"/>
          <w:pgSz w:w="11906" w:h="16838"/>
          <w:pgMar w:top="1247" w:right="1417" w:bottom="1247" w:left="1418"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电话：0779-3960815</w:t>
      </w:r>
    </w:p>
    <w:p w14:paraId="63864201">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9" w:name="_Toc9838478"/>
    </w:p>
    <w:p w14:paraId="0021DD97">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7EA3F4BF">
      <w:pPr>
        <w:snapToGrid w:val="0"/>
        <w:spacing w:line="540" w:lineRule="exact"/>
        <w:jc w:val="both"/>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583EA7FB">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2B431307">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6188275C">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64DCBEB0">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42ED422A">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4BFFD9C4">
      <w:pPr>
        <w:snapToGrid w:val="0"/>
        <w:spacing w:line="540" w:lineRule="exact"/>
        <w:jc w:val="center"/>
        <w:outlineLvl w:val="0"/>
        <w:rPr>
          <w:rFonts w:asciiTheme="minorEastAsia" w:hAnsiTheme="minorEastAsia" w:eastAsiaTheme="minorEastAsia" w:cstheme="minorEastAsia"/>
          <w:b/>
          <w:color w:val="000000" w:themeColor="text1"/>
          <w:szCs w:val="21"/>
          <w:highlight w:val="none"/>
          <w14:textFill>
            <w14:solidFill>
              <w14:schemeClr w14:val="tx1"/>
            </w14:solidFill>
          </w14:textFill>
        </w:rPr>
      </w:pPr>
    </w:p>
    <w:bookmarkEnd w:id="9"/>
    <w:p w14:paraId="3CF025CB">
      <w:pPr>
        <w:pStyle w:val="314"/>
        <w:widowControl w:val="0"/>
        <w:spacing w:afterLines="0" w:line="600" w:lineRule="exact"/>
        <w:ind w:firstLine="0" w:firstLineChars="0"/>
        <w:jc w:val="center"/>
        <w:outlineLvl w:val="0"/>
        <w:rPr>
          <w:rFonts w:ascii="宋体" w:hAnsi="宋体" w:cs="宋体"/>
          <w:b/>
          <w:color w:val="000000" w:themeColor="text1"/>
          <w:sz w:val="36"/>
          <w:szCs w:val="36"/>
          <w:highlight w:val="none"/>
          <w14:textFill>
            <w14:solidFill>
              <w14:schemeClr w14:val="tx1"/>
            </w14:solidFill>
          </w14:textFill>
        </w:rPr>
      </w:pPr>
      <w:bookmarkStart w:id="10" w:name="_Toc8535"/>
      <w:r>
        <w:rPr>
          <w:rFonts w:hint="eastAsia" w:ascii="宋体" w:hAnsi="宋体" w:cs="宋体"/>
          <w:b/>
          <w:color w:val="000000" w:themeColor="text1"/>
          <w:sz w:val="36"/>
          <w:szCs w:val="36"/>
          <w:highlight w:val="none"/>
          <w14:textFill>
            <w14:solidFill>
              <w14:schemeClr w14:val="tx1"/>
            </w14:solidFill>
          </w14:textFill>
        </w:rPr>
        <w:t>第二章 招标项目采购需求</w:t>
      </w:r>
      <w:bookmarkEnd w:id="10"/>
    </w:p>
    <w:p w14:paraId="195D83A3">
      <w:pPr>
        <w:pStyle w:val="314"/>
        <w:widowControl w:val="0"/>
        <w:spacing w:afterLines="0" w:line="600" w:lineRule="exact"/>
        <w:ind w:firstLine="0" w:firstLineChars="0"/>
        <w:jc w:val="center"/>
        <w:outlineLvl w:val="0"/>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6EC3E1F9">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5F128FA2">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FD33B8F">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DC30E01">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8435ACD">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40B2D2D">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7AD576EC">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60742FBE">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61D5AB02">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309382E1">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F2CA848">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1180BE8B">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61209231">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742DA06">
      <w:pPr>
        <w:snapToGrid w:val="0"/>
        <w:spacing w:line="5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1EA393EB">
      <w:pPr>
        <w:ind w:firstLine="723" w:firstLineChars="200"/>
        <w:jc w:val="center"/>
        <w:rPr>
          <w:rFonts w:ascii="楷体" w:hAnsi="楷体" w:eastAsia="楷体" w:cs="楷体"/>
          <w:b/>
          <w:bCs/>
          <w:color w:val="000000" w:themeColor="text1"/>
          <w:sz w:val="36"/>
          <w:szCs w:val="36"/>
          <w:highlight w:val="none"/>
          <w14:textFill>
            <w14:solidFill>
              <w14:schemeClr w14:val="tx1"/>
            </w14:solidFill>
          </w14:textFill>
        </w:rPr>
      </w:pPr>
      <w:bookmarkStart w:id="11" w:name="_Toc9838479"/>
    </w:p>
    <w:p w14:paraId="2B432BAA">
      <w:pPr>
        <w:jc w:val="center"/>
        <w:rPr>
          <w:rFonts w:ascii="楷体" w:hAnsi="楷体" w:eastAsia="楷体" w:cs="楷体"/>
          <w:b/>
          <w:bCs/>
          <w:color w:val="000000" w:themeColor="text1"/>
          <w:kern w:val="0"/>
          <w:sz w:val="36"/>
          <w:szCs w:val="36"/>
          <w:highlight w:val="none"/>
          <w14:textFill>
            <w14:solidFill>
              <w14:schemeClr w14:val="tx1"/>
            </w14:solidFill>
          </w14:textFill>
        </w:rPr>
      </w:pPr>
      <w:r>
        <w:rPr>
          <w:rFonts w:hint="eastAsia" w:ascii="楷体" w:hAnsi="楷体" w:eastAsia="楷体" w:cs="楷体"/>
          <w:b/>
          <w:bCs/>
          <w:color w:val="000000" w:themeColor="text1"/>
          <w:sz w:val="36"/>
          <w:szCs w:val="36"/>
          <w:highlight w:val="none"/>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ascii="楷体" w:hAnsi="楷体" w:eastAsia="楷体" w:cs="楷体"/>
          <w:b/>
          <w:bCs/>
          <w:color w:val="000000" w:themeColor="text1"/>
          <w:sz w:val="36"/>
          <w:szCs w:val="36"/>
          <w:highlight w:val="none"/>
          <w14:textFill>
            <w14:solidFill>
              <w14:schemeClr w14:val="tx1"/>
            </w14:solidFill>
          </w14:textFill>
        </w:rPr>
        <w:t>采购需求</w:t>
      </w:r>
    </w:p>
    <w:p w14:paraId="337B1150">
      <w:pPr>
        <w:spacing w:line="400" w:lineRule="exact"/>
        <w:ind w:firstLine="422" w:firstLineChars="200"/>
        <w:jc w:val="left"/>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508CDBFE">
      <w:pPr>
        <w:pStyle w:val="511"/>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200"/>
        <w:textAlignment w:val="auto"/>
        <w:rPr>
          <w:rFonts w:hint="default" w:asciiTheme="minorEastAsia" w:hAnsiTheme="minorEastAsia" w:eastAsiaTheme="minorEastAsia" w:cstheme="minorEastAsia"/>
          <w:b/>
          <w:bCs/>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一、服务内容及时间地点：</w:t>
      </w:r>
    </w:p>
    <w:p w14:paraId="02F54C24">
      <w:pPr>
        <w:pStyle w:val="514"/>
        <w:keepLines w:val="0"/>
        <w:pageBreakBefore w:val="0"/>
        <w:widowControl w:val="0"/>
        <w:kinsoku/>
        <w:wordWrap/>
        <w:overflowPunct/>
        <w:topLinePunct w:val="0"/>
        <w:autoSpaceDE/>
        <w:autoSpaceDN/>
        <w:bidi w:val="0"/>
        <w:adjustRightInd w:val="0"/>
        <w:snapToGrid w:val="0"/>
        <w:spacing w:line="540" w:lineRule="atLeast"/>
        <w:ind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服务内容：</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本项目采用公开招标（服务类）方式，确定一个中标单位负责</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的策划、组织与实施。包括但不限于：开闭幕式文体</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演出</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、音乐创作、火炬传递仪式、服装道具制作租赁、全程全景实录、舞美音响灯光舞台搭建、媒体直播录制配合、文稿撰写与培训等。</w:t>
      </w:r>
    </w:p>
    <w:p w14:paraId="0E405F32">
      <w:pPr>
        <w:keepNext w:val="0"/>
        <w:keepLines w:val="0"/>
        <w:pageBreakBefore w:val="0"/>
        <w:widowControl w:val="0"/>
        <w:kinsoku/>
        <w:wordWrap/>
        <w:overflowPunct/>
        <w:topLinePunct w:val="0"/>
        <w:autoSpaceDE/>
        <w:autoSpaceDN/>
        <w:bidi w:val="0"/>
        <w:adjustRightInd w:val="0"/>
        <w:snapToGrid w:val="0"/>
        <w:spacing w:line="540" w:lineRule="exact"/>
        <w:ind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服务地点：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广西壮族自治区第十六届运动会</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和</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广西壮族自治区第十一届残疾人运动会暨第六届特殊奥林匹克运动会</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火炬传递仪式的线路在北海市（含一县三区）范围内（最终以经主办单位批准的线路为准），广西壮族自治区第十六届运动会开幕式的地点为中国东盟（北海）体育实训基地，广西壮族自治区第十六届运动会闭幕式、广西壮族自治区第十一届残疾人运动会暨第六届特殊奥林匹克运动会开闭幕式的地点为北海市体育馆。</w:t>
      </w:r>
    </w:p>
    <w:p w14:paraId="1E00C899">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服务时间：2026年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月至2026年12月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（具体以采购人书面通知为准，中标人收到通知后 24 小时内书面确认，逾期未确认视为认可）</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1F8B88D">
      <w:pPr>
        <w:numPr>
          <w:ilvl w:val="0"/>
          <w:numId w:val="4"/>
        </w:numPr>
        <w:spacing w:line="540" w:lineRule="exact"/>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开闭幕式具体要求：</w:t>
      </w:r>
    </w:p>
    <w:p w14:paraId="43113680">
      <w:pPr>
        <w:numPr>
          <w:ilvl w:val="0"/>
          <w:numId w:val="0"/>
        </w:numPr>
        <w:spacing w:line="540" w:lineRule="exact"/>
        <w:ind w:firstLine="210" w:firstLineChars="100"/>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广西壮族自治区第十六届运动会</w:t>
      </w:r>
      <w:r>
        <w:rPr>
          <w:rFonts w:hint="default" w:ascii="宋体" w:hAnsi="宋体" w:eastAsia="宋体" w:cs="宋体"/>
          <w:color w:val="000000" w:themeColor="text1"/>
          <w:sz w:val="21"/>
          <w:szCs w:val="21"/>
          <w:highlight w:val="none"/>
          <w:lang w:val="en-US"/>
          <w14:textFill>
            <w14:solidFill>
              <w14:schemeClr w14:val="tx1"/>
            </w14:solidFill>
          </w14:textFill>
        </w:rPr>
        <w:t>、广西壮族自治区第十一届残疾人运动会暨第六届特殊奥林匹克运动会火炬传递</w:t>
      </w:r>
      <w:r>
        <w:rPr>
          <w:rFonts w:hint="eastAsia" w:ascii="宋体" w:hAnsi="宋体" w:cs="宋体"/>
          <w:color w:val="000000" w:themeColor="text1"/>
          <w:sz w:val="21"/>
          <w:szCs w:val="21"/>
          <w:highlight w:val="none"/>
          <w:lang w:val="en-US" w:eastAsia="zh-CN"/>
          <w14:textFill>
            <w14:solidFill>
              <w14:schemeClr w14:val="tx1"/>
            </w14:solidFill>
          </w14:textFill>
        </w:rPr>
        <w:t>仪式</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负责火炬传递活动的整体策划与实施。火炬传递需紧扣“潮涌新时代，向海</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开新篇</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广西壮族自治区第十六届运动会</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主题，同时体现第十一届残疾人运动会暨第六届特殊奥林匹克运动会火炬传递“平等、参与、共享</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、奋进</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核心价值，体现全民健身、全民参与的办赛理念。火炬传递路线需深度融合广西、北海地域文化特色，展现向海图强战略、海上丝路底蕴、滨海旅游风光及城市发展新貌；传递过程需充分彰显拼搏奋进的体育精神，传递团结、友谊、希望的办赛愿景。</w:t>
      </w:r>
    </w:p>
    <w:p w14:paraId="05941490">
      <w:pPr>
        <w:pStyle w:val="512"/>
        <w:numPr>
          <w:ilvl w:val="0"/>
          <w:numId w:val="0"/>
        </w:numPr>
        <w:spacing w:line="540" w:lineRule="exact"/>
        <w:ind w:left="212" w:leftChars="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广西壮族自治区第十六届运动会开幕式</w:t>
      </w:r>
    </w:p>
    <w:p w14:paraId="7A592DC2">
      <w:pPr>
        <w:spacing w:line="54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1.开幕式包含入场式、升国旗会旗、领导致辞、代表宣誓、节目表演等各流程的策划和执行，要求无缝对接，衔接顺畅。时长控制在120分钟</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大型文艺表演时长40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58A2EA95">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2.开幕式文艺演出以“解放思想、创新求变，向海图强、开放发展”为主线，紧扣</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广西壮族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自治区“十五五”发展方向与新时代区域战略定位，以“潮涌新时代，向海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开新篇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主题。全面展现广西锚定向海图强战略的磅礴力量；充分彰显体育在健康广西建设中的强劲引擎作用、经济发展中的新赛道价值、民族团结中的连心桥功能、对外交往中的金名片效应；展现广西开放包容的胸襟与务实担当的行动，持续深化面向东盟</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面向世界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的体育</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等全方位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交流合作；广西以各族群众凝心聚力、共赴发展的生动实践，深刻诠释铸牢中华民族共同体意识、扎实推进中华民族共同体建设的丰富内涵；始终坚持以向海图强、开放发展为引领，立足面向东盟的区位优势，牢牢锚定服务国家战略、建设壮美广西的总目标，在深化区域合作、扩大对外开放中展现新作为。北海紧扣广西向海图强、开放发展的整体部署，立足北部湾核心城市、滨海旅游名城的独特优势，以赛事赋能发展，加快建成全国向海经济标杆、文旅融合典范、绿色发展样板，为建设壮美广西注入强劲动力。</w:t>
      </w:r>
    </w:p>
    <w:p w14:paraId="7423E5B2">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2000人，专业演员不低于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00人，需</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具备大型运动会开幕式或者大型文体演艺活动项目服务经验。负责专业演员的所需费用。</w:t>
      </w:r>
    </w:p>
    <w:p w14:paraId="470DCDDA">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4.开幕式文艺表演需综合运用高清投影、超清LED数字光影、裸眼3D等多种技术手段，融入艺术表现手法，打造视觉盛宴，营造独特审美体验，形成一台高水准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高质量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的全景化演出，使开幕式效果更富有时代感和独特地域特征</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和专业水平</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56990B9">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大型运动会或大型文体演艺活动项目服务经验。</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▲投标人可使用其下属子公司的服务执行人员及专业人员参与本项目，需提供全资控股证明材料及人员所属关系证明材料，子公司人员的服务经验视为投标人的服务经验。</w:t>
      </w:r>
    </w:p>
    <w:p w14:paraId="167E835E">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广西壮族自治区第十六届运动会闭幕式</w:t>
      </w:r>
    </w:p>
    <w:p w14:paraId="2EB09830">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部分20分钟。（最终以经主办单位批准的流程和时长为准，仪式主要包括贵宾入场、运动员代表入场、领导致辞、颁发奖项、交接会旗、宣布闭幕等。）</w:t>
      </w:r>
    </w:p>
    <w:p w14:paraId="05D5D5B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2.闭幕式聚焦“情”之温暖、“聚”之力量，整台演出需深度融合艺术表达与时代精神</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和体育精神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将民族团结的深厚情谊、海丝根脉的厚重底蕴、体育竞技的澎湃激情、城市活力的蓬勃跃动，悉数汇入向海图强的时代叙事浪潮之中。演出既承载赛事圆满落幕的喜悦与荣光，更寄寓同心筑梦、共赴未来的美好期许；以体育精神为纽带，完成赛事荣光的接力传承，展望下一承办地接续奋进、续写华章的崭新征程。</w:t>
      </w:r>
    </w:p>
    <w:p w14:paraId="61C70EC8">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大型运动会开幕式或者大型文体演艺活动项目服务经验。负责专业演员的所需费用。</w:t>
      </w:r>
    </w:p>
    <w:p w14:paraId="1450A24F">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4.舞台舞美、设备需匹配闭幕式所需效果。切合演出主题与演出内容需求。</w:t>
      </w:r>
    </w:p>
    <w:p w14:paraId="37323A15">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组专业人员</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大型运动会或大型文体演艺活动项目服务经验。</w:t>
      </w:r>
    </w:p>
    <w:p w14:paraId="7BCBA1FD">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广西壮族自治区第十六届运动会点火仪式</w:t>
      </w:r>
    </w:p>
    <w:p w14:paraId="06BBC243">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场内火炬传递路线与点火仪式与策划，需紧扣本届运动会特色，深度融合广西、北海地域文化底蕴及开幕式文艺表演整体需求进行原创设计。整体方案力求</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蓬勃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大气、</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新颖独特、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兼具艺术质感，设计理念既要彰显广西独特地域风情，传递拼搏奋进、积极向上的体育精神，更要融入绿色环保理念，践行低碳节能、生态可持续的办赛宗旨，实现地域特色、体育精神与环保理念的有机统一。</w:t>
      </w:r>
    </w:p>
    <w:p w14:paraId="6442D6E6">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广西壮族自治区第十一届残疾人运动会暨第六届特殊奥林匹克运动会开幕式</w:t>
      </w:r>
    </w:p>
    <w:p w14:paraId="208516C8">
      <w:pPr>
        <w:spacing w:line="54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开幕式包含入场式、升国旗会旗、领导致辞、代表宣誓、节目表演等各流程的策划和执行，要求无缝对接，衔接顺畅。时长控制在90分钟，其中大型文艺表演时长30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6838BD7D">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2.开幕式文艺演出以“平等、参与、共享</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核心价值，紧扣残疾人事业高质量发展主题，展现残疾人自强不息、勇敢追梦的精神风貌。通过艺术化的表达，生动呈现党委、政府对残疾人事业的亲切关怀，全社会扶残助残的良好风尚，以及残疾人在体育康复、社会融合、就业创业等方面的积极作为；展现北海市推进无障碍环境建设、打造友好包容城市的实践成果，营造理解、尊重、关心、帮助残疾人的浓厚社会氛围，凝聚奋进新时代、共筑中国梦的广泛共识。</w:t>
      </w:r>
    </w:p>
    <w:p w14:paraId="53E954C9">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400人，专业演员不低于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人，需具备大型运动会开幕式或者大型文体演艺活动项目服务经验。负责专业演员的所需费用。</w:t>
      </w:r>
    </w:p>
    <w:p w14:paraId="53CEC15C">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开幕式文艺表演需综合运用高清投影、超清LED数字光影、裸眼3D等多种技术手段，融入艺术表现手法，打造视觉盛宴，营造独特审美体验，形成一台高水准的全景化演出，使开幕式效果更富有时代感和独特地域特征。</w:t>
      </w:r>
    </w:p>
    <w:p w14:paraId="4CB3BCA5">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专业人员需具大型运动会或大型文体演艺活动项目服务经验。▲投标人可使用其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的服务执行人员及专业人员参与本项目，需提供全资控股证明材料及人员所属关系证明材料，子公司人员的服务经验视为投标人的服务经验。</w:t>
      </w:r>
    </w:p>
    <w:p w14:paraId="2AF2FFEE">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广西壮族自治区第十一届残疾人运动会暨第六届特殊奥林匹克运动会闭幕式</w:t>
      </w:r>
    </w:p>
    <w:p w14:paraId="479E438A">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部分20分钟。（最终以经主办单位批准的流程和时长为准，仪式主要包括贵宾入场、运动员代表入场、领导致辞、颁发奖项、交接会旗、宣布闭幕等。）</w:t>
      </w:r>
    </w:p>
    <w:p w14:paraId="69C81507">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闭幕式聚焦“爱”之温暖、“融”之力量，整台演出深度融合艺术表达与时代精神，将残疾人自强不息的生命礼赞、社会各界的无私大爱、残健融合的动人篇章、体育精神的澎湃激情，悉数汇入同心筑梦的时代叙事之中。通过温暖人心的艺术呈现，诠释“同一个梦想、同一份精彩”的深刻内涵，展望残健同心、携手共赴未来的崭新征程。</w:t>
      </w:r>
    </w:p>
    <w:p w14:paraId="618C1078">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人，需具备大型运动会开幕式或者大型文体演艺活动项目服务经验。负责专业演员的所需费用。</w:t>
      </w:r>
    </w:p>
    <w:p w14:paraId="086730B8">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4.舞台舞美、设备需匹配闭幕式所需效果。切合演出主题与演出内容需求。</w:t>
      </w:r>
    </w:p>
    <w:p w14:paraId="4D53A389">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专业人员需具备大型运动会或大型文体演艺活动项目服务经验。▲投标人可使用其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的服务执行人员及专业人员参与本项目，需提供全资控股证明材料及人员所属关系证明材料，子公司人员的服务经验视为投标人的服务经验。</w:t>
      </w:r>
    </w:p>
    <w:p w14:paraId="2A40AA38">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广西壮族自治区第十一届残疾人运动会暨第六届特殊奥林匹克运动会点火仪式</w:t>
      </w:r>
    </w:p>
    <w:p w14:paraId="04B74D33">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场内火炬传递路线与点火仪式策划，需紧扣本届残运会暨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“平等、参与、共享</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”的核心价值，深度融合广西、北海地域文化底蕴及残</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幕式文艺表演整体需求进行原创设计。点火仪式需充分彰显残疾人自强不息、勇敢追梦的精神风貌，体现“勇气、决心、激励、平等”的残奥价值观，通过富有感染力的艺术化呈现，传递生命的尊严与力量。整体方案力求简洁大气、兼具艺术质感，火炬传递路线需充分考虑残疾人参与便利性，体现无障碍环境建设理念，实现地域特色、体育精神与人文关怀的有机统一。</w:t>
      </w:r>
    </w:p>
    <w:p w14:paraId="5BA2B95C">
      <w:pPr>
        <w:pStyle w:val="511"/>
        <w:spacing w:line="540" w:lineRule="exact"/>
        <w:ind w:firstLine="42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p w14:paraId="19DA8E27">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总要求</w:t>
      </w:r>
    </w:p>
    <w:p w14:paraId="3F0EA5C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1.投标人须组建项目团队，并做好各任务版块的分工，做好人员及设备的统筹协调。</w:t>
      </w:r>
    </w:p>
    <w:p w14:paraId="186350A6">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主创团队必须配备项目负责人、总导演、执行导演、总撰稿、总统筹、音乐设计制作、舞蹈编导、舞美设计、服装、化妆、道具、灯光音响等专业人员负责开闭幕式、火炬传递仪式等的策划与执行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▲投标人可使用其下属子公司的上述主创团队专业人员，需提供全资控股证明材料及人员所属关系证明材料，子公司人员的资质、工作经验视为投标人的资质、工作经验。</w:t>
      </w:r>
    </w:p>
    <w:p w14:paraId="4FC3B692">
      <w:pPr>
        <w:spacing w:line="54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活动所有施工搭建均需具备相应资质的施工单位进行实施，投标人须进场施工前需向采购人提供施工单位有效的施工资质材料。投标人须负责包括但不限于施工、排练、彩排、演出等各环节期间的所有安全生产工作。▲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具备相应施工资质的，可由其子公司承担本项目施工搭建工作，投标人需提供全资控股证明材料及子公司资质材料，子公司的施工资质视为投标人的施工资质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08D38326">
      <w:pPr>
        <w:pStyle w:val="512"/>
        <w:numPr>
          <w:ilvl w:val="0"/>
          <w:numId w:val="0"/>
        </w:numPr>
        <w:spacing w:line="540" w:lineRule="exact"/>
        <w:ind w:firstLine="211"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广西壮族自治区第十六届运动会</w:t>
      </w:r>
      <w:r>
        <w:rPr>
          <w:rFonts w:hint="default" w:ascii="宋体" w:hAnsi="宋体" w:eastAsia="宋体" w:cs="宋体"/>
          <w:color w:val="000000" w:themeColor="text1"/>
          <w:sz w:val="21"/>
          <w:szCs w:val="21"/>
          <w:highlight w:val="none"/>
          <w:lang w:val="en-US"/>
          <w14:textFill>
            <w14:solidFill>
              <w14:schemeClr w14:val="tx1"/>
            </w14:solidFill>
          </w14:textFill>
        </w:rPr>
        <w:t>、广西壮族自治区第十一届残疾人运动会暨第六届特殊奥林匹克运动会火炬传递</w:t>
      </w:r>
      <w:r>
        <w:rPr>
          <w:rFonts w:hint="default" w:ascii="宋体" w:hAnsi="宋体" w:eastAsia="宋体" w:cs="宋体"/>
          <w:color w:val="000000" w:themeColor="text1"/>
          <w:sz w:val="21"/>
          <w:szCs w:val="21"/>
          <w:highlight w:val="none"/>
          <w:lang w:val="en-US" w:eastAsia="zh-CN"/>
          <w14:textFill>
            <w14:solidFill>
              <w14:schemeClr w14:val="tx1"/>
            </w14:solidFill>
          </w14:textFill>
        </w:rPr>
        <w:t>技术要求</w:t>
      </w:r>
    </w:p>
    <w:p w14:paraId="4FD395E7">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1.负责火炬传递全程的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策划、实施</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工作，制定火炬传递总体方案、路线细化方案、起跑仪式方案、收火仪式方案。</w:t>
      </w:r>
    </w:p>
    <w:p w14:paraId="31AFA496">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2.负责本届运动会及</w:t>
      </w:r>
      <w:r>
        <w:rPr>
          <w:rFonts w:hint="default" w:ascii="宋体" w:hAnsi="宋体" w:eastAsia="宋体" w:cs="宋体"/>
          <w:color w:val="000000" w:themeColor="text1"/>
          <w:sz w:val="21"/>
          <w:szCs w:val="21"/>
          <w:highlight w:val="none"/>
          <w:lang w:val="en-US"/>
          <w14:textFill>
            <w14:solidFill>
              <w14:schemeClr w14:val="tx1"/>
            </w14:solidFill>
          </w14:textFill>
        </w:rPr>
        <w:t>第十一届残疾人运动会暨第六届特殊奥林匹克运动会</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火炬、火种灯、圣火盆、火炬手护具（手套、服装等）的原创设计、定制制作。火炬制作材料需符合环保、安全、耐用要求，火焰效果醒目稳定，具备防风、防雨功能。</w:t>
      </w:r>
    </w:p>
    <w:p w14:paraId="39371C04">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3.负责规划火炬传递路线与规模，需兼顾城市主干道、标志性景观、历史文化街区、滨海景观带及全民健身场所，体现广泛参与性。</w:t>
      </w:r>
    </w:p>
    <w:p w14:paraId="5A04392F">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4.负责完成火炬手、护跑手、志愿者的遴选、培训，火炬手应涵盖优秀运动员代表、残疾人运动员代表、社会各界先进模范人物等，充分体现全民参与的理念。火炬手培训需包含火炬交接规范、手持姿势、行进节奏、应急处理等内容，确保传递过程规范流畅。</w:t>
      </w:r>
    </w:p>
    <w:p w14:paraId="2B4F0FC6">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5.负责火炬传递起跑仪式及收火仪式的舞美设计、舞台搭建、音响设备、流程把控、节目组织等，体现地域特色与体育精神。负责火炬传递全程的影像记录，用于开幕式现场播放及宣传存档。</w:t>
      </w:r>
    </w:p>
    <w:p w14:paraId="684C8191">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6.负责配合采购人及媒体单位完成火炬传递活动的宣传报道及直播录制工作，包括信号对接、现场流程配合、采访组织等，确保火炬传递活动传播效果最大化。</w:t>
      </w:r>
    </w:p>
    <w:p w14:paraId="205961B9">
      <w:pPr>
        <w:spacing w:line="540" w:lineRule="exact"/>
        <w:ind w:firstLine="420" w:firstLineChars="200"/>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7.负责在火炬传递活动结束后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48</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小时内，火炬传递起跑仪式及收火仪式现场所有设施设备完成安全拆卸、分类清运及场地清场工作，恢复场地原貌。</w:t>
      </w:r>
    </w:p>
    <w:p w14:paraId="2CF9A7D1">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广西壮族自治区第十六届运动会开幕式技术要求</w:t>
      </w:r>
    </w:p>
    <w:p w14:paraId="0FC6CFB9">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暖场及开幕式分场排练、合练、集中排练、彩排及带机预演计划，集中排练、彩排至正式演出不低于4次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5BF6B612">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00人，并承担专业演员的吃住行、劳务等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136AE23A">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15A189E4">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4.负责开幕仪式及文艺表演所需道具的创意设计、修改优化、定制制作与采购统筹，保障道具质量、数量与演出适配。</w:t>
      </w:r>
    </w:p>
    <w:p w14:paraId="522A7BCE">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5.负责服装及造型的主题化设计、修改调整、定制制作与采购，确保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服装、化妆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风格契合演出定位，全程服务至正式演出。</w:t>
      </w:r>
    </w:p>
    <w:p w14:paraId="0F42B934">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3B9E4A08">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37B37F9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30A23C01">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9.负责开幕式项目团队的日常管理、工作协调与后勤保障。</w:t>
      </w:r>
    </w:p>
    <w:p w14:paraId="3AEBA3C3">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10.负责全程配合开幕式电视直播及网络直播的相关执行工作，包括音视频信号对接、现场流程配合等，确保直播顺利推进。</w:t>
      </w:r>
    </w:p>
    <w:p w14:paraId="2F2F21BC">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小时内，完成场内所有设施的安全拆卸、分类清运及场地清场工作，恢复场地原貌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不能影响体育赛事的正常进行。</w:t>
      </w:r>
    </w:p>
    <w:p w14:paraId="597B0E03">
      <w:pPr>
        <w:pStyle w:val="512"/>
        <w:numPr>
          <w:ilvl w:val="0"/>
          <w:numId w:val="0"/>
        </w:numPr>
        <w:spacing w:line="540" w:lineRule="exact"/>
        <w:ind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▲（四）广西壮族自治区第十六届运动会点火仪式</w:t>
      </w:r>
      <w:r>
        <w:rPr>
          <w:rFonts w:hint="default" w:ascii="宋体" w:hAnsi="宋体" w:eastAsia="宋体" w:cs="宋体"/>
          <w:color w:val="000000" w:themeColor="text1"/>
          <w:sz w:val="21"/>
          <w:szCs w:val="21"/>
          <w:highlight w:val="none"/>
          <w:lang w:val="en-US" w:eastAsia="zh-CN"/>
          <w14:textFill>
            <w14:solidFill>
              <w14:schemeClr w14:val="tx1"/>
            </w14:solidFill>
          </w14:textFill>
        </w:rPr>
        <w:t>技术要求</w:t>
      </w:r>
    </w:p>
    <w:p w14:paraId="09E1EA0D">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运动员、先进模范等）及传递节奏，体现全民参与与体育精神。</w:t>
      </w:r>
    </w:p>
    <w:p w14:paraId="5F227BD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7A2957B0">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63B38B23">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6CEF8B4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66EEAE5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6EB40545">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735032C0">
      <w:pPr>
        <w:spacing w:line="54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w:t>
      </w:r>
      <w:r>
        <w:rPr>
          <w:rFonts w:hint="eastAsia" w:ascii="宋体" w:hAnsi="宋体" w:cs="宋体"/>
          <w:color w:val="000000" w:themeColor="text1"/>
          <w:szCs w:val="21"/>
          <w:highlight w:val="none"/>
          <w:lang w:eastAsia="zh-CN"/>
          <w14:textFill>
            <w14:solidFill>
              <w14:schemeClr w14:val="tx1"/>
            </w14:solidFill>
          </w14:textFill>
        </w:rPr>
        <w:t>下属子公司</w:t>
      </w:r>
      <w:r>
        <w:rPr>
          <w:rFonts w:hint="eastAsia" w:ascii="宋体" w:hAnsi="宋体" w:eastAsia="宋体" w:cs="宋体"/>
          <w:color w:val="000000" w:themeColor="text1"/>
          <w:szCs w:val="21"/>
          <w:highlight w:val="none"/>
          <w14:textFill>
            <w14:solidFill>
              <w14:schemeClr w14:val="tx1"/>
            </w14:solidFill>
          </w14:textFill>
        </w:rPr>
        <w:t>的上述专项执行团队核心人员，需提供全资控股证明材料及人员所属关系证明材料，子公司人员的操作经验视为投标人的操作经验。</w:t>
      </w:r>
    </w:p>
    <w:p w14:paraId="6E21D711">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广西壮族自治区第十六届运动会闭幕式技术要求</w:t>
      </w:r>
    </w:p>
    <w:p w14:paraId="7F210D7D">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闭幕式分场排练、合练、集中排练、彩排及带机预演计划，集中排练、彩排至正式演出不低于3次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2F06A3B7">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02C8F561">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1E6311D2">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48CB022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所需灯光、音响、视频等全套设备设施的提供、运输、现场布局、安装调试与全程现场技术保障，确保排练及正式演出期间设备稳定运行。</w:t>
      </w:r>
    </w:p>
    <w:p w14:paraId="6ECEAFFE">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6.负责闭幕式主持词的专业撰写，并完成主持人员的专项培训、节奏把控与现场播报指导，保障主持环节流畅规范、贴合仪式氛围。</w:t>
      </w:r>
    </w:p>
    <w:p w14:paraId="06F39357">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7.负责闭幕式运行团队的人员管理、工作协调及自身后勤保障工作；演出结束后按要求完成所有设备设施的安全拆卸、场地清理与复原工作，保障现场有序撤场。</w:t>
      </w:r>
    </w:p>
    <w:p w14:paraId="1BD44D1F">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广西壮族自治区第十一届残疾人运动会暨第六届特殊奥林匹克运动会开幕式技术要求</w:t>
      </w:r>
    </w:p>
    <w:p w14:paraId="418A8838">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暖场及开幕式分场排练、合练、集中排练、彩排及带机预演计划，集中排练、彩排至正式演出不低于3次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162DED3A">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315A5305">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1BF3197F">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4.负责开幕仪式及文艺表演所需道具的创意设计、修改优化、定制制作与采购统筹，保障道具质量、数量与演出适配度。</w:t>
      </w:r>
    </w:p>
    <w:p w14:paraId="57FB7B2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5.负责服装及造型的主题化设计、修改调整、定制制作与采购，确保服化风格契合演出定位，全程服务至正式演出。</w:t>
      </w:r>
    </w:p>
    <w:p w14:paraId="28F26881">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3CB3C3C4">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00C6F7C9">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4EC3C78A">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9.负责开幕式项目团队的日常管理、工作协调与自身后勤保障。</w:t>
      </w:r>
    </w:p>
    <w:p w14:paraId="28E7719C">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10.负责全程配合开幕式电视直播及网络直播的相关执行工作，包括音视频信号对接、现场流程配合等，确保直播顺利推进。</w:t>
      </w:r>
    </w:p>
    <w:p w14:paraId="7E5177BA">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小时内，完成场内所有设施的安全拆卸、分类清运及场地清场工作，恢复场地原貌。</w:t>
      </w:r>
    </w:p>
    <w:p w14:paraId="1FE554E8">
      <w:pPr>
        <w:pStyle w:val="512"/>
        <w:numPr>
          <w:ilvl w:val="0"/>
          <w:numId w:val="0"/>
        </w:numPr>
        <w:spacing w:line="540" w:lineRule="exact"/>
        <w:ind w:firstLine="211" w:firstLineChars="10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广西壮族自治区第十一届残疾人运动会暨第六届特殊奥林匹克运动会点火仪式</w:t>
      </w:r>
      <w:r>
        <w:rPr>
          <w:rFonts w:hint="default" w:ascii="宋体" w:hAnsi="宋体" w:eastAsia="宋体" w:cs="宋体"/>
          <w:color w:val="000000" w:themeColor="text1"/>
          <w:sz w:val="21"/>
          <w:szCs w:val="21"/>
          <w:highlight w:val="none"/>
          <w:lang w:val="en-US"/>
          <w14:textFill>
            <w14:solidFill>
              <w14:schemeClr w14:val="tx1"/>
            </w14:solidFill>
          </w14:textFill>
        </w:rPr>
        <w:t>技术要求</w:t>
      </w:r>
    </w:p>
    <w:p w14:paraId="3A27D90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残疾人运动员、残疾人代表、先进模范等）及传递节奏，体现全民参与与体育精神。</w:t>
      </w:r>
    </w:p>
    <w:p w14:paraId="04787514">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78CC908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210CC408">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6A728C97">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1059B6E9">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1F5DEE96">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6FA8A25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w:t>
      </w:r>
      <w:r>
        <w:rPr>
          <w:rFonts w:hint="eastAsia" w:ascii="宋体" w:hAnsi="宋体" w:cs="宋体"/>
          <w:color w:val="000000" w:themeColor="text1"/>
          <w:szCs w:val="21"/>
          <w:highlight w:val="none"/>
          <w:lang w:eastAsia="zh-CN"/>
          <w14:textFill>
            <w14:solidFill>
              <w14:schemeClr w14:val="tx1"/>
            </w14:solidFill>
          </w14:textFill>
        </w:rPr>
        <w:t>下属子公司</w:t>
      </w:r>
      <w:r>
        <w:rPr>
          <w:rFonts w:hint="eastAsia" w:ascii="宋体" w:hAnsi="宋体" w:eastAsia="宋体" w:cs="宋体"/>
          <w:color w:val="000000" w:themeColor="text1"/>
          <w:szCs w:val="21"/>
          <w:highlight w:val="none"/>
          <w14:textFill>
            <w14:solidFill>
              <w14:schemeClr w14:val="tx1"/>
            </w14:solidFill>
          </w14:textFill>
        </w:rPr>
        <w:t>的上述专项执行团队核心人员，需提供全资控股证明材料及人员所属关系证明材料，子公司人员的操作经验视为投标人的操作经验。</w:t>
      </w:r>
    </w:p>
    <w:p w14:paraId="37799A7F">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广西壮族自治区第十一届残疾人运动会暨第六届特殊奥林匹克运动会闭幕式技术要求</w:t>
      </w:r>
    </w:p>
    <w:p w14:paraId="7976E960">
      <w:pPr>
        <w:spacing w:line="540" w:lineRule="exact"/>
        <w:ind w:firstLine="420" w:firstLineChars="200"/>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闭幕式分场排练、合练、集中排练、彩排及带机预演计划</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集中排练、彩排至正式演出不低于2次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3264FE36">
      <w:pPr>
        <w:spacing w:line="5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w:t>
      </w:r>
      <w:r>
        <w:rPr>
          <w:rFonts w:ascii="Segoe UI Emoji" w:hAnsi="Segoe UI Emoji" w:eastAsia="Segoe UI Emoji" w:cs="Segoe UI Emoji"/>
          <w:i w:val="0"/>
          <w:iCs w:val="0"/>
          <w:caps w:val="0"/>
          <w:color w:val="000000" w:themeColor="text1"/>
          <w:spacing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7E0CA3D8">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7CD5D03D">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7B91EB6E">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所需灯光、音响、视频等全套设备设施的提供、运输、现场布局、安装调试与全程现场技术保障，确保排练及正式演出期间设备稳定运行。</w:t>
      </w:r>
    </w:p>
    <w:p w14:paraId="63786E64">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6.负责闭幕式主持词的专业撰写，并完成主持人员的专项培训、节奏把控与现场播报指导，保障主持环节流畅规范、贴合仪式氛围。</w:t>
      </w:r>
    </w:p>
    <w:p w14:paraId="50DF318F">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7.负责闭幕式运行团队的人员管理、工作协调及后勤保障工作；演出结束后按要求完成所有设备设施的安全拆卸、场地清理与复原工作，保障现场有序撤场。</w:t>
      </w:r>
    </w:p>
    <w:p w14:paraId="247522F8">
      <w:pPr>
        <w:spacing w:line="540" w:lineRule="exact"/>
        <w:ind w:firstLine="422" w:firstLineChars="20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▲四、服务标准：</w:t>
      </w:r>
    </w:p>
    <w:p w14:paraId="34820DDA">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 本项目从策划到实施，必须遵守国家相关法律、法规及本地政策，符合民族、民俗、环保、安全、消防等相关部门的要求。</w:t>
      </w:r>
    </w:p>
    <w:p w14:paraId="39851B32">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 自广西壮族自治区第十六届运动会和第十一届残运会暨第六届特殊奥林匹克运动会火炬传递仪式、开闭幕式演出前，采购人对火炬传递仪式、开闭幕式环节提出修改要求（包括但不限于为了优化舞台效果而增加相应设备和服务），双方友好协商，并形成书面文件（会议纪要或确认书）。中标方需严格按照合同约定条款执行，不得以任何理由拖延或拒绝演出，必须保证开闭幕式按采购人最终审定批准的创意方案和执行方案实现招标文件的质量要求。</w:t>
      </w:r>
    </w:p>
    <w:p w14:paraId="5C1FDCE8">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3.合同签订生效后 30 日内，中标人须向采购人提交本项目全套细化实施方案（含火炬传递、开闭幕式各环节的策划方案、执行流程表、人员配置表、排练计划、应急预案等）；方案需调整的，中标人应提前 10 个工作日书面报备采购人并经书面同意后方可调整，调整后的方案需重新履行审核程序。</w:t>
      </w:r>
    </w:p>
    <w:p w14:paraId="3DBC0BA0">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4.人员保险购买：中标人需在项目启动前（最晚不迟于首次排练开始前），为专业演员、现场搭建人员、高空作业人员购买意外险，保额不低于20万元 / 人，投保期限覆盖从场地搭建至全部项目撤场完毕的全周期；保险单复印件需提交采购人备案，未按要求投保的视为违约。▲若上述人员为投标人下属子公司人员，由投标人统一购买保险或提供子公司已购买的符合要求的保险凭证，均视为投标人履行投保义务。</w:t>
      </w:r>
    </w:p>
    <w:p w14:paraId="329A3679">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5.安全与应急方案：安全与应急方案：合同签订生效后 15 日内，中标人须向采购人提交全套《开闭幕式安全实施方案》《火炬传递安全实施方案》《应急处置方案》，涵盖施工安全、消防安全、演出安全、人员安全、设备安全、交通疏导、医疗救护、极端天气应对、突发事件处置等方面。方案需明确安全责任分工、风险防控措施、应急响应流程、应急物资储备、应急队伍配置等内容，经采购人及相关安全监管部门审核通过后实施；中标人对项目施工、排练、彩排、演出、撤场等所有环节的安全生产负全部责任。▲若应急队伍包含投标人下属子公司人员，需在方案中注明并附全资控股证明材料及人员所属关系证明材料，子公司人员的安全责任由投标人统一承担。</w:t>
      </w:r>
    </w:p>
    <w:p w14:paraId="7B04441C">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6.项目人员管理：合同签订生效后 10 日内，中标人须向采购人提交《项目主创团队及全部工作人员名单》（含姓名、职务、职称、工作经验、社保证明、资质证书等），经采购人审核确认后方可上岗；未经采购人书面同意，不得擅自更换主创人员（项目负责人、总导演、执行导演、总撰稿、总统筹等）、核心技术人员及主要演职人员，确需更换的，新人员资质、工作经验不得低于原人员标准，且需提前 7 个工作日书面报备采购人，经审核同意后办理更换手续，更换过程不得影响项目进度及质量。▲1. 名单中的人员可为投标人下属子公司人员，需提供子公司为其缴纳的社保证明（2025年8月1日至首次投标文件提交截止时间期间任意连续六个月）、全资控股证明材料及人员所属关系证明材料，子公司人员的职称、工作经验、资质证书视为投标人人员的相关资质。2. 若更换的人员为投标人下属子公司人员，新人员资质、工作经验参照上述要求执行，且不得低于原人员标准。</w:t>
      </w:r>
    </w:p>
    <w:p w14:paraId="722F2531">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服务质量要求：中标人需建立完善的质量管理体系，对策划、创作、排练、制作、搭建、演出等各环节进行全程质量管控，确保各场次活动流程衔接顺畅、演出效果达标、设备运行稳定、服务响应及时；主动接受采购人及相关部门的监督检查，对提出的问题在规定时间内完成整改。▲若由投标人下属子公司承担部分环节的工作，投标人需将子公司纳入质量管理体系，对其工作质量进行统一管控，子公司的工作质量问题视为投标人的工作质量问题。</w:t>
      </w:r>
    </w:p>
    <w:p w14:paraId="0BE690FA">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知识产权与保密要求：中标人在履约过程中创作的所有作品、创意、设计成果的知识产权归采购人独家所有，中标人仅享有合理署名权；不得泄露项目相关的未公开信息（包括策划方案、技术参数、人员信息、活动流程等），保密期限为合同履行完毕后 3 年。▲投标人下属子公司参与项目创作、策划的，视为投标人履行本条款义务，子公司同样受知识产权与保密要求约束，由投标人承担连带责任。</w:t>
      </w:r>
    </w:p>
    <w:p w14:paraId="3BE97983">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分包管理要求：本项目严禁转包，允许将非主体、非关键性工作分包（如道具制作、设备租赁、后勤保障等），分包方需具备相应资质且不得再次分包；投标人拟分包的，需在投标文件中载明分包承担主体、分包内容及分包商资质，并在分包前提前 15 个工作日向采购人提交书面申请，经采购人书面同意后方可分包；中标人对分包商的工作成果承担连带责任，对分包环节的质量、安全、进度进行全程管控。▲投标人下属子公司承担本项目非主体、非关键性工作的，不视为分包，无需履行分包申请程序，投标人需提供全资控股证明材料，对子公司的工作成果承担全部责任。</w:t>
      </w:r>
    </w:p>
    <w:p w14:paraId="6AC0D602">
      <w:pPr>
        <w:spacing w:line="540" w:lineRule="exact"/>
        <w:ind w:firstLine="422"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五、知识产权归属和处理方式：</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人在本合同履约过程中，为采购人专门创作或根据采购人提供的有关资料产生的任何作品、创意、设计等（包括但不限于图案、图像、文案、音乐、视频、舞美设计、火炬仪式创意、服装道具设计等），以及为本项目新创作的原创作品的全部知识产权（含著作权、商标权、专利权等），自创作完成之日起归采购人独家所有；中标人仅享有合理署名权，未经采购人书面同意，不得自行使用、授权第三方使用、发表或转让上述成果；采购人可无偿使用、修改、复制上述成果，无需另行支付费用。若因中标人创作成果侵犯第三方知识产权引发纠纷，由中标人全权处理并承担全部责任（含赔偿、诉讼费、律师费等），同时赔偿采购人因此遭受的一切损失。▲若上述创作成果由投标人下属子公司完成，视为投标人的创作成果，相关知识产权归属及侵权责任均由投标人承担。</w:t>
      </w:r>
    </w:p>
    <w:p w14:paraId="0BFBD346">
      <w:pPr>
        <w:spacing w:line="540" w:lineRule="exact"/>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六、履约验收：</w:t>
      </w:r>
    </w:p>
    <w:p w14:paraId="19EAA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11" w:firstLineChars="100"/>
        <w:jc w:val="left"/>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（一）验收依据</w:t>
      </w:r>
    </w:p>
    <w:p w14:paraId="34AF90A0">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1.本招标文件（含补充文件、澄清说明）及中标人的投标文件、中标通知书；</w:t>
      </w:r>
    </w:p>
    <w:p w14:paraId="5F81842B">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2.双方签订的政府采购合同及补充协议、会议纪要、确认书等书面文件；</w:t>
      </w:r>
    </w:p>
    <w:p w14:paraId="2802C7B7">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3.采购人审定通过的《开闭幕式执行方案》《火炬传递执行方案》及相关技术文件；</w:t>
      </w:r>
    </w:p>
    <w:p w14:paraId="27072B88">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4.国家及行业相关标准、规范（包括但不限于《大型群众性活动安全管理条例》《演出场所安全技术要求》《舞台机械安全标准》等）；</w:t>
      </w:r>
    </w:p>
    <w:p w14:paraId="1A9EE10A">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中标人提交的全套验收材料（含书面报告、影像资料、经费使用明细、人员资质证明、保险单、设备检测报告等）。▲若验收材料中的人员资质、保险单等涉及投标人下属子公司，需附全资控股证明材料，相关材料视为投标人的验收材料。</w:t>
      </w:r>
    </w:p>
    <w:p w14:paraId="6FEE6D69">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（二）验收要点：</w:t>
      </w:r>
    </w:p>
    <w:p w14:paraId="736411BC">
      <w:pPr>
        <w:spacing w:line="540" w:lineRule="exact"/>
        <w:ind w:firstLine="422"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1.策划方案与执行一致性：</w:t>
      </w:r>
    </w:p>
    <w:p w14:paraId="754D5002">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.火炬传递：传递路线、总里程、传递天数、火炬手遴选、仪式流程等是否与审定方案一致；</w:t>
      </w:r>
    </w:p>
    <w:p w14:paraId="43DB433D">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闭幕式：各环节流程、演出时长、演员阵容（专业演员数量、总人数）、节目内容、舞美设计等是否符合约定要求；▲专业演员包含投标人下属子公司签约的专业演员，其数量计入投标人专业演员总数，子公司演员的演出执行情况视为投标人的执行情况。</w:t>
      </w:r>
    </w:p>
    <w:p w14:paraId="5EB6B201">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创意成果：音乐、视频、文案、舞美设计、火炬及护具设计等是否达到审定标准，是否融入地域文化特色及赛事主题。▲创意成果由投标人下属子公司完成的，视为投标人的创意成果，按审定标准验收。</w:t>
      </w:r>
    </w:p>
    <w:p w14:paraId="5B09B340">
      <w:pPr>
        <w:spacing w:line="540" w:lineRule="exact"/>
        <w:ind w:firstLine="422" w:firstLineChars="200"/>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服务质量与效果：</w:t>
      </w:r>
    </w:p>
    <w:p w14:paraId="4C33A571">
      <w:pPr>
        <w:spacing w:line="540" w:lineRule="exact"/>
        <w:ind w:firstLine="420" w:firstLineChars="200"/>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①演出效果：文艺表演的艺术水准、流程衔接、现场氛围营造是否达标；</w:t>
      </w:r>
    </w:p>
    <w:p w14:paraId="113352A0">
      <w:pPr>
        <w:spacing w:line="540" w:lineRule="exact"/>
        <w:ind w:firstLine="420" w:firstLineChars="200"/>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②设备运行：灯光、音响、视频、舞台机械、火炬、圣火盆等设备是否运行稳定，无故障、无安全隐患；▲设备由投标人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提供或安装的，视为投标人提供或安装，设备运行情况按要求验收。</w:t>
      </w:r>
    </w:p>
    <w:p w14:paraId="56562A41">
      <w:pPr>
        <w:spacing w:line="540" w:lineRule="exact"/>
        <w:ind w:firstLine="420" w:firstLineChars="200"/>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③安全保障：安全方案落实情况，是否发生安全事故、重大安全隐患或突发事件处置不当的情形；</w:t>
      </w:r>
    </w:p>
    <w:p w14:paraId="075B42A4">
      <w:pPr>
        <w:spacing w:line="540" w:lineRule="exact"/>
        <w:ind w:firstLine="420" w:firstLineChars="200"/>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④</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人员表现：演职人员、工作人员、志愿者的专业素养、服务态度、执行能力是否符合要求。▲上述人员为投标人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人员的，其表现视为投标人人员的表现，按要求验收。</w:t>
      </w:r>
    </w:p>
    <w:p w14:paraId="7F9EB42B">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3.物资与成果交付：</w:t>
      </w:r>
    </w:p>
    <w:p w14:paraId="2B98FCA3">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实体物资：火炬、火种灯、圣火盆、护具、服装、道具等是否按约定制作、交付，数量齐全、质量合格；</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▲实体物资由投标人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制作或采购的，视为投标人制作或采购，按约定验收。</w:t>
      </w:r>
    </w:p>
    <w:p w14:paraId="6B2F81D5">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成果文件：全程影像资料（直播录像、全景实录、花絮视频）、书面报告（策划报告、执行总结、经费决算报告）、设计文件（舞美设计图、服装道具设计图等）是否完整、规范，符合归档要求。</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▲成果文件由投标人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编制或制作的，视为投标人编制或制作，按要求验收。</w:t>
      </w:r>
    </w:p>
    <w:p w14:paraId="38C614B6">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4.场地与撤场情况：</w:t>
      </w:r>
    </w:p>
    <w:p w14:paraId="7AA472FB">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各场次活动结束后，场地清场、设施拆卸、物资清运是否及时（火炬传递 48 小时内，开闭幕式 48 小时内），场地是否恢复原貌，无遗留杂物、无环境破坏，不影响后续赛事或场地正常使用。</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▲场地清场、设施拆卸等工作由投标人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完成的，视为投标人完成，按要求验收。</w:t>
      </w:r>
    </w:p>
    <w:p w14:paraId="23517CDC">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5.合规性要求：</w:t>
      </w:r>
    </w:p>
    <w:p w14:paraId="3497D01A">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1.资质合规：施工单位、分包商等相关合作方的资质是否齐全有效；</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▲施工单位为投标人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的，其子公司资质视为投标人的资质，按要求审核。</w:t>
      </w:r>
    </w:p>
    <w:p w14:paraId="37A76D92">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2.财务合规：经费使用是否符合预算要求，报价清单与实际支出是否一致，无违规收费或虚报费用情形；</w:t>
      </w:r>
    </w:p>
    <w:p w14:paraId="17412B02">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3.保险合规：保险购买是否覆盖全部相关人员及物资，保额、投保期限符合约定。</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▲相关人员为投标人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人员的，其保险覆盖情况视为投标人的保险覆盖情况，按要求审核。</w:t>
      </w:r>
    </w:p>
    <w:p w14:paraId="28A36A39">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（三）验收程序：</w:t>
      </w:r>
    </w:p>
    <w:p w14:paraId="356818C7">
      <w:pPr>
        <w:spacing w:line="540" w:lineRule="exact"/>
        <w:ind w:firstLine="422"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1.验收申请：</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广西壮族自治区第十一届残疾人运动会暨第六届特殊奥林匹克运动会闭幕式撤场完毕且场地恢复原貌后10 个工作日内，中标人向采购人提交书面验收申请，并附上全套验收材料（纸质版一式肆份、电子版一式贰份），验收材料需加盖中标人公章并由法定代表人或委托代理人签字确认。</w:t>
      </w:r>
    </w:p>
    <w:p w14:paraId="43239FAE">
      <w:pPr>
        <w:spacing w:line="540" w:lineRule="exact"/>
        <w:ind w:firstLine="422"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2.验收组织：</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采购人在收到验收申请及全套材料后 15 个工作日内，组织验收小组（由采购人代表、相关专业技术人员、纪检监察人员组成，必要时邀请第三方机构参与）开展验收工作。</w:t>
      </w:r>
    </w:p>
    <w:p w14:paraId="1A318C7C">
      <w:pPr>
        <w:spacing w:line="540" w:lineRule="exact"/>
        <w:ind w:firstLine="422" w:firstLineChars="200"/>
        <w:rPr>
          <w:rFonts w:hint="eastAsia" w:ascii="Calibri" w:hAnsi="Calibri" w:cs="Calibri" w:eastAsiaTheme="minorEastAsia"/>
          <w:b/>
          <w:bCs/>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3.验收实施：</w:t>
      </w:r>
    </w:p>
    <w:p w14:paraId="6DEBD41B">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资料审核：验收小组对中标人提交的验收材料进行完整性、真实性、合规性审核；</w:t>
      </w:r>
    </w:p>
    <w:p w14:paraId="4B0BAA4D">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现场核查：实地核查场地恢复情况、剩余物资情况，查阅活动影像资料，核实各环节执行情况；</w:t>
      </w:r>
    </w:p>
    <w:p w14:paraId="6F39D11B">
      <w:p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沟通质询：就验收过程中发现的问题向中标人进行质询，中标人需现场作出解释或提供补充证明材料。</w:t>
      </w:r>
    </w:p>
    <w:p w14:paraId="5387F87E">
      <w:pPr>
        <w:spacing w:line="540" w:lineRule="exact"/>
        <w:ind w:firstLine="422" w:firstLineChars="200"/>
        <w:rPr>
          <w:rFonts w:hint="eastAsia" w:ascii="Calibri" w:hAnsi="Calibri" w:cs="Calibri" w:eastAsiaTheme="minorEastAsia"/>
          <w:b/>
          <w:bCs/>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4.验收结果：</w:t>
      </w:r>
    </w:p>
    <w:p w14:paraId="2798D400">
      <w:pPr>
        <w:numPr>
          <w:ilvl w:val="0"/>
          <w:numId w:val="0"/>
        </w:num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验收合格：验收小组一致认为项目符合验收依据及要求，出具《项目履约验收报告》，由验收小组成员签字、采购人盖章确认，验收报告作为付款及履约保证金退还的依据；</w:t>
      </w:r>
    </w:p>
    <w:p w14:paraId="62AD9B35">
      <w:pPr>
        <w:numPr>
          <w:ilvl w:val="0"/>
          <w:numId w:val="0"/>
        </w:num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验收不合格：验收小组出具书面整改意见，明确不合格事项、整改要求及整改期限（最长不超过 15 个工作日）；中标人需在整改期限内完成整改并重新提交验收申请，整改费用由中标人自行承担；若整改后仍不合格，或逾期未完成整改，采购人有权解除合同，扣除全部履约保证金，要求中标人退还已支付的服务费用，并赔偿因此造成的损失。▲若不合格事项由投标人下属子公司造成，由投标人负责整改并承担全部整改费用及损失。</w:t>
      </w:r>
    </w:p>
    <w:p w14:paraId="0A4B9C19">
      <w:pPr>
        <w:numPr>
          <w:ilvl w:val="0"/>
          <w:numId w:val="5"/>
        </w:numPr>
        <w:spacing w:line="540" w:lineRule="exact"/>
        <w:ind w:firstLine="422" w:firstLineChars="200"/>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b/>
          <w:bCs/>
          <w:color w:val="000000" w:themeColor="text1"/>
          <w:szCs w:val="21"/>
          <w:highlight w:val="none"/>
          <w:lang w:val="en-US" w:eastAsia="zh-CN"/>
          <w14:textFill>
            <w14:solidFill>
              <w14:schemeClr w14:val="tx1"/>
            </w14:solidFill>
          </w14:textFill>
        </w:rPr>
        <w:t>验收费用：</w:t>
      </w:r>
      <w:r>
        <w:rPr>
          <w:rFonts w:hint="default" w:ascii="Calibri" w:hAnsi="Calibri" w:cs="Calibri" w:eastAsiaTheme="minorEastAsia"/>
          <w:color w:val="000000" w:themeColor="text1"/>
          <w:szCs w:val="21"/>
          <w:highlight w:val="none"/>
          <w:lang w:val="en-US" w:eastAsia="zh-CN"/>
          <w14:textFill>
            <w14:solidFill>
              <w14:schemeClr w14:val="tx1"/>
            </w14:solidFill>
          </w14:textFill>
        </w:rPr>
        <w:t>首次验收费用（包括专家咨询费、资料审核费等）由采购人承担；因中标人原因导致验收不合格需重新验收的，后续整改及验收的全部费用由中标人承担。</w:t>
      </w:r>
    </w:p>
    <w:p w14:paraId="3F15A41E">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（四）验收异议处理</w:t>
      </w:r>
    </w:p>
    <w:p w14:paraId="5FBA52D5">
      <w:pPr>
        <w:numPr>
          <w:ilvl w:val="0"/>
          <w:numId w:val="0"/>
        </w:num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1.中标人对验收结果有异议的，可在收到验收结果通知后 7 个工作日内向采购人提出书面异议，说明异议理由并提供相关证明材料；</w:t>
      </w:r>
    </w:p>
    <w:p w14:paraId="3E7DD463">
      <w:pPr>
        <w:numPr>
          <w:ilvl w:val="0"/>
          <w:numId w:val="0"/>
        </w:num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2.采购人收到异议后 5 个工作日内组织复核，复核结果为最终验收结论；若复核后确认原验收结果有误，需重新出具验收报告；若异议不成立，需书面告知中标人异议理由。</w:t>
      </w:r>
    </w:p>
    <w:p w14:paraId="044109F2">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（五）验收档案管理</w:t>
      </w:r>
    </w:p>
    <w:p w14:paraId="008D4207">
      <w:pPr>
        <w:numPr>
          <w:ilvl w:val="0"/>
          <w:numId w:val="0"/>
        </w:numPr>
        <w:spacing w:line="540" w:lineRule="exact"/>
        <w:ind w:firstLine="420" w:firstLineChars="200"/>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验收工作完成后，采购人将验收报告、验收材料、整改记录（如有）等相关文件整理归档，作为项目履约的完整档案留存。</w:t>
      </w:r>
    </w:p>
    <w:p w14:paraId="7373A185">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七、本项目的政府采购预算为人民币13,000,000.00元，高于政府采购预算的报价将视为无效投标，中标人每次收款前，需向采购人开具等额合法有效的增值税发票，开票信息以采购人书面通知为准，未按要求开具发票的，采购人有权顺延付款且不承担违约责任。</w:t>
      </w:r>
    </w:p>
    <w:p w14:paraId="0339E03F">
      <w:pPr>
        <w:spacing w:line="540" w:lineRule="exact"/>
        <w:ind w:firstLine="422"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、付款方式：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1.合同签订生效后，且采购人收到中标人开具的等额合法有效增值税发票之日起10日内，向中标人支付合同总金额的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%作为首期款项。</w:t>
      </w:r>
    </w:p>
    <w:p w14:paraId="3F5FF750">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2.演出执行方案经组委会审定通过后，且采购人收到中标人开具的等额合法有效增值税发票之日起10日内，向中标人支付合同总金额的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0%作为第二期款项。</w:t>
      </w:r>
    </w:p>
    <w:p w14:paraId="26C7A52A">
      <w:pPr>
        <w:spacing w:line="5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3.广西壮族自治区第十六届运动会开幕式全流程合成彩排完成后，且采购人收到中标人开具的等额合法有效增值税发票之日起10日内，向中标人支付合同总金额的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0%作为第三期款项。</w:t>
      </w:r>
    </w:p>
    <w:p w14:paraId="09884597">
      <w:pPr>
        <w:pStyle w:val="3"/>
        <w:ind w:firstLine="420" w:firstLineChars="200"/>
        <w:rPr>
          <w:rFonts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广西壮族自治区第十一届残疾人运动会暨第六届特殊奥林匹克运动会闭幕式结束后，中标人完成场内设施拆卸及清场工作，且经履约验收，采购人收到中标人开具的等额合法有效增值税发票之日起10日内，向中标人支付合同总金额的</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0%。</w:t>
      </w:r>
    </w:p>
    <w:p w14:paraId="48B300C5">
      <w:pPr>
        <w:spacing w:line="540" w:lineRule="exact"/>
        <w:ind w:firstLine="422"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九、履约保证金：</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本项目收取履约保证金，金额为合同金额的5%。</w:t>
      </w:r>
    </w:p>
    <w:p w14:paraId="31ADC1AD">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中标人应当以支票、汇票、本票、银行保函、保险公司保函等非现金形式在签订合同时向采购人提交，采购人不得拒收合法有效的保函。</w:t>
      </w:r>
    </w:p>
    <w:p w14:paraId="6B242C82">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履约保证金自合同生效之日起至合同约定的中标人主要义务履行完毕止，采购人按约定退还履约保证金。中标人若出现项目进展未按进度及项目需求或演出过程中发生演出事故等情况，按违约处理，采购人将按照合同约定执行履约赔偿。如中标人违约给采购人造成的损失超过履约保证金的，应当依法赔偿超过部分的损失。▲若因投标人下属子公司的原因导致中标人违约，视为投标人违约，采购人按约定执行履约赔偿，投标人需赔偿超过履约保证金部分的损失。</w:t>
      </w:r>
    </w:p>
    <w:p w14:paraId="58381BC7">
      <w:pPr>
        <w:spacing w:line="540" w:lineRule="exact"/>
        <w:ind w:firstLine="422" w:firstLineChars="200"/>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▲十、报价要求：</w:t>
      </w:r>
    </w:p>
    <w:p w14:paraId="63638D94">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投标人投标报价应为所投项目的最终报价，包括一切税费、投标人应自行增加合法运行及使用所必须但招标文件没有包含的所有有关服务、硬件设备、材料、使用授权、版权、专利等一切费用，如果投标人在中标并签署合同后，发生任何遗漏，均由中标人免费提供，甲方不再支付任何费用。</w:t>
      </w:r>
    </w:p>
    <w:p w14:paraId="56DEC73B">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投标人文件中至少包含火炬传递仪式、暖场表演、开幕仪式、场内点火仪式、文体演出、闭幕式等相关环节的费用，如舞美、音乐、服装、道具、特种设备、主创人员劳务费、专业演员排练演出交通食宿和补助、工作人员后勤保障等详细经费报价清单，清单应包括数量、品牌、单价等。暖场表演、开幕仪式、文体演出、闭幕仪式经费分开列明。▲若主创人员、专业演员、工作人员等为投标人下属子公司人员，其相关费用纳入投标人报价清单，统一由投标人核算报价。</w:t>
      </w:r>
    </w:p>
    <w:p w14:paraId="21847BCF">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在实施方案确定后，如采购人提出为了优化舞台效果而增加相应设备和服务（包括但不限于：实施团队、参演演员及团队、视频制作、服装、化妆、道具、音乐制作、舞台搭建、现场置景、LED租赁、灯光租赁、音响租赁、激光投影、烟花、无人机、雾森、摄影、节目单制作、后勤保障、保险、所有演职员补助及交通食宿、主席台搭建、草皮盖板铺设、场地输配电保障（双路供电由场地运营方和供电公司负责）、旗杆吹飘器、闭幕式舞台搭建、闭幕仪式流程等）要求，其所需经费均由中标方承担，采购人不额外支付任何费用。（投标人应自行考虑上述风险因素作出投标及报价）。▲增加的设备和服务由投标人下属子公司提供或实施的，其所需经费仍由投标人承担。</w:t>
      </w:r>
    </w:p>
    <w:p w14:paraId="4E9F67CD">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4.本项目报价不得超过预算价（最高限价）。</w:t>
      </w:r>
    </w:p>
    <w:p w14:paraId="5827C35C">
      <w:pPr>
        <w:spacing w:line="540" w:lineRule="exact"/>
        <w:ind w:firstLine="422"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特别提醒：投标人应根据国家收费标准并结合市场实际进行报价，总价包干。</w:t>
      </w:r>
    </w:p>
    <w:p w14:paraId="18325B86">
      <w:pPr>
        <w:spacing w:line="540" w:lineRule="exact"/>
        <w:ind w:firstLine="422"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十一、根据《关于印发中小企业划型标准规定的通知》（工信部联企业〔2011〕300号）规定的划分标准，本项目采购所有标的对应的中小企业划分标准所属行业：其他未列明行业。</w:t>
      </w:r>
    </w:p>
    <w:p w14:paraId="5FEA9E00">
      <w:pPr>
        <w:spacing w:line="540" w:lineRule="exact"/>
        <w:ind w:firstLine="422"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▲十二、合同转包与分包</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p>
    <w:p w14:paraId="46B1A246">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（一）本采购项目严禁转包；</w:t>
      </w:r>
    </w:p>
    <w:p w14:paraId="3A726AD3">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（二）允许将非主体、非关键性工作分包，分包方需具备相应资质且不得再次分包；投标人拟在中标后分包的，需在投标文件中载明分包承担主体，并在分包前提前 15 个工作日向采购人提交书面申请，说明分包内容及分包商资质，经采购人书面同意后方可分包；中标人对分包商的工作成果承担连带责任。▲投标人下属子公司承担本项目非主体、非关键性工作的，不视为分包，无需履行分包申请程序，投标人需提供全资控股证明材料，对子公司的工作成果承担全部责任。</w:t>
      </w:r>
    </w:p>
    <w:p w14:paraId="40DDAB8B">
      <w:pPr>
        <w:spacing w:line="54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（三）中小企业中标后，小型 / 微型企业不得分包给大型 / 中型企业，中型企业不得分包给大型企业。▲中小企业投标人的下属子公司若为小型/微型企业，其承担本项目工作的，不视为分包；若子公司为大型/中型企业，中小企业投标人不得将项目交由其子公司承担。</w:t>
      </w:r>
    </w:p>
    <w:p w14:paraId="31226D81">
      <w:pPr>
        <w:snapToGrid w:val="0"/>
        <w:spacing w:before="156" w:beforeLines="50" w:after="156" w:afterLines="50" w:line="600" w:lineRule="exact"/>
        <w:ind w:left="238"/>
        <w:jc w:val="center"/>
        <w:rPr>
          <w:rFonts w:ascii="宋体" w:hAnsi="宋体" w:cs="宋体"/>
          <w:b/>
          <w:color w:val="000000" w:themeColor="text1"/>
          <w:sz w:val="36"/>
          <w:szCs w:val="36"/>
          <w:highlight w:val="none"/>
          <w14:textFill>
            <w14:solidFill>
              <w14:schemeClr w14:val="tx1"/>
            </w14:solidFill>
          </w14:textFill>
        </w:rPr>
      </w:pPr>
    </w:p>
    <w:bookmarkEnd w:id="11"/>
    <w:p w14:paraId="3BB3C626">
      <w:pPr>
        <w:spacing w:line="400" w:lineRule="exact"/>
        <w:jc w:val="left"/>
        <w:rPr>
          <w:rFonts w:ascii="宋体" w:hAnsi="宋体" w:cs="宋体"/>
          <w:b/>
          <w:color w:val="000000" w:themeColor="text1"/>
          <w:sz w:val="36"/>
          <w:szCs w:val="36"/>
          <w:highlight w:val="none"/>
          <w14:textFill>
            <w14:solidFill>
              <w14:schemeClr w14:val="tx1"/>
            </w14:solidFill>
          </w14:textFill>
        </w:rPr>
      </w:pPr>
    </w:p>
    <w:p w14:paraId="236959E2">
      <w:pPr>
        <w:pStyle w:val="54"/>
        <w:rPr>
          <w:rFonts w:ascii="宋体" w:hAnsi="宋体" w:cs="宋体"/>
          <w:color w:val="000000" w:themeColor="text1"/>
          <w:sz w:val="36"/>
          <w:szCs w:val="36"/>
          <w:highlight w:val="none"/>
          <w14:textFill>
            <w14:solidFill>
              <w14:schemeClr w14:val="tx1"/>
            </w14:solidFill>
          </w14:textFill>
        </w:rPr>
      </w:pPr>
    </w:p>
    <w:p w14:paraId="4CA40860">
      <w:pPr>
        <w:rPr>
          <w:rFonts w:ascii="宋体" w:hAnsi="宋体" w:cs="宋体"/>
          <w:b/>
          <w:color w:val="000000" w:themeColor="text1"/>
          <w:sz w:val="36"/>
          <w:szCs w:val="36"/>
          <w:highlight w:val="none"/>
          <w14:textFill>
            <w14:solidFill>
              <w14:schemeClr w14:val="tx1"/>
            </w14:solidFill>
          </w14:textFill>
        </w:rPr>
      </w:pPr>
    </w:p>
    <w:p w14:paraId="217B9B9E">
      <w:pPr>
        <w:rPr>
          <w:rFonts w:ascii="宋体" w:hAnsi="宋体" w:cs="宋体"/>
          <w:b/>
          <w:color w:val="000000" w:themeColor="text1"/>
          <w:sz w:val="36"/>
          <w:szCs w:val="36"/>
          <w:highlight w:val="none"/>
          <w14:textFill>
            <w14:solidFill>
              <w14:schemeClr w14:val="tx1"/>
            </w14:solidFill>
          </w14:textFill>
        </w:rPr>
      </w:pPr>
    </w:p>
    <w:p w14:paraId="384814D9">
      <w:pPr>
        <w:rPr>
          <w:rFonts w:ascii="宋体" w:hAnsi="宋体" w:cs="宋体"/>
          <w:b/>
          <w:color w:val="000000" w:themeColor="text1"/>
          <w:sz w:val="36"/>
          <w:szCs w:val="36"/>
          <w:highlight w:val="none"/>
          <w14:textFill>
            <w14:solidFill>
              <w14:schemeClr w14:val="tx1"/>
            </w14:solidFill>
          </w14:textFill>
        </w:rPr>
      </w:pPr>
    </w:p>
    <w:p w14:paraId="705F58A1">
      <w:pPr>
        <w:rPr>
          <w:rFonts w:ascii="宋体" w:hAnsi="宋体" w:cs="宋体"/>
          <w:b/>
          <w:color w:val="000000" w:themeColor="text1"/>
          <w:sz w:val="36"/>
          <w:szCs w:val="36"/>
          <w:highlight w:val="none"/>
          <w14:textFill>
            <w14:solidFill>
              <w14:schemeClr w14:val="tx1"/>
            </w14:solidFill>
          </w14:textFill>
        </w:rPr>
      </w:pPr>
    </w:p>
    <w:p w14:paraId="3D8FF673">
      <w:pPr>
        <w:rPr>
          <w:rFonts w:ascii="宋体" w:hAnsi="宋体" w:cs="宋体"/>
          <w:b/>
          <w:color w:val="000000" w:themeColor="text1"/>
          <w:sz w:val="36"/>
          <w:szCs w:val="36"/>
          <w:highlight w:val="none"/>
          <w14:textFill>
            <w14:solidFill>
              <w14:schemeClr w14:val="tx1"/>
            </w14:solidFill>
          </w14:textFill>
        </w:rPr>
      </w:pPr>
    </w:p>
    <w:p w14:paraId="0762310C">
      <w:pPr>
        <w:rPr>
          <w:rFonts w:ascii="宋体" w:hAnsi="宋体" w:cs="宋体"/>
          <w:b/>
          <w:color w:val="000000" w:themeColor="text1"/>
          <w:sz w:val="36"/>
          <w:szCs w:val="36"/>
          <w:highlight w:val="none"/>
          <w14:textFill>
            <w14:solidFill>
              <w14:schemeClr w14:val="tx1"/>
            </w14:solidFill>
          </w14:textFill>
        </w:rPr>
      </w:pPr>
    </w:p>
    <w:p w14:paraId="70FF1FF0">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p>
    <w:p w14:paraId="0EDB0620">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p>
    <w:p w14:paraId="75F3A9A4">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p>
    <w:p w14:paraId="5F20EF4B">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p>
    <w:p w14:paraId="2F0EF8DF">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p>
    <w:p w14:paraId="2F5D1F9C">
      <w:pPr>
        <w:snapToGrid w:val="0"/>
        <w:spacing w:before="156" w:beforeLines="50" w:after="156" w:afterLines="50" w:line="600" w:lineRule="exact"/>
        <w:ind w:left="238"/>
        <w:jc w:val="center"/>
        <w:outlineLvl w:val="0"/>
        <w:rPr>
          <w:rFonts w:ascii="宋体" w:hAnsi="宋体" w:cs="宋体"/>
          <w:b/>
          <w:color w:val="000000" w:themeColor="text1"/>
          <w:sz w:val="36"/>
          <w:szCs w:val="36"/>
          <w:highlight w:val="none"/>
          <w14:textFill>
            <w14:solidFill>
              <w14:schemeClr w14:val="tx1"/>
            </w14:solidFill>
          </w14:textFill>
        </w:rPr>
      </w:pPr>
      <w:bookmarkStart w:id="12" w:name="_Toc19636"/>
      <w:r>
        <w:rPr>
          <w:rFonts w:hint="eastAsia" w:ascii="宋体" w:hAnsi="宋体" w:cs="宋体"/>
          <w:b/>
          <w:color w:val="000000" w:themeColor="text1"/>
          <w:sz w:val="36"/>
          <w:szCs w:val="36"/>
          <w:highlight w:val="none"/>
          <w14:textFill>
            <w14:solidFill>
              <w14:schemeClr w14:val="tx1"/>
            </w14:solidFill>
          </w14:textFill>
        </w:rPr>
        <w:t>第三章 投标人须知</w:t>
      </w:r>
      <w:bookmarkEnd w:id="12"/>
    </w:p>
    <w:p w14:paraId="4388303D">
      <w:pPr>
        <w:widowControl/>
        <w:spacing w:line="320" w:lineRule="exact"/>
        <w:jc w:val="center"/>
        <w:rPr>
          <w:rFonts w:ascii="宋体" w:hAnsi="宋体" w:cs="宋体"/>
          <w:b/>
          <w:bCs/>
          <w:color w:val="000000" w:themeColor="text1"/>
          <w:kern w:val="0"/>
          <w:sz w:val="32"/>
          <w:szCs w:val="32"/>
          <w:highlight w:val="none"/>
          <w14:textFill>
            <w14:solidFill>
              <w14:schemeClr w14:val="tx1"/>
            </w14:solidFill>
          </w14:textFill>
        </w:rPr>
      </w:pPr>
    </w:p>
    <w:p w14:paraId="7C66D51A">
      <w:pPr>
        <w:spacing w:line="360" w:lineRule="auto"/>
        <w:rPr>
          <w:rFonts w:ascii="宋体" w:hAnsi="宋体" w:cs="宋体"/>
          <w:b/>
          <w:color w:val="000000" w:themeColor="text1"/>
          <w:szCs w:val="21"/>
          <w:highlight w:val="none"/>
          <w14:textFill>
            <w14:solidFill>
              <w14:schemeClr w14:val="tx1"/>
            </w14:solidFill>
          </w14:textFill>
        </w:rPr>
      </w:pPr>
    </w:p>
    <w:p w14:paraId="421650EE">
      <w:pPr>
        <w:spacing w:line="360" w:lineRule="auto"/>
        <w:rPr>
          <w:rFonts w:ascii="宋体" w:hAnsi="宋体" w:cs="宋体"/>
          <w:b/>
          <w:color w:val="000000" w:themeColor="text1"/>
          <w:szCs w:val="21"/>
          <w:highlight w:val="none"/>
          <w14:textFill>
            <w14:solidFill>
              <w14:schemeClr w14:val="tx1"/>
            </w14:solidFill>
          </w14:textFill>
        </w:rPr>
      </w:pPr>
    </w:p>
    <w:p w14:paraId="301D3932">
      <w:pPr>
        <w:spacing w:line="360" w:lineRule="auto"/>
        <w:rPr>
          <w:rFonts w:ascii="宋体" w:hAnsi="宋体" w:cs="宋体"/>
          <w:b/>
          <w:color w:val="000000" w:themeColor="text1"/>
          <w:szCs w:val="21"/>
          <w:highlight w:val="none"/>
          <w14:textFill>
            <w14:solidFill>
              <w14:schemeClr w14:val="tx1"/>
            </w14:solidFill>
          </w14:textFill>
        </w:rPr>
      </w:pPr>
    </w:p>
    <w:p w14:paraId="159B29C4">
      <w:pPr>
        <w:spacing w:line="360" w:lineRule="auto"/>
        <w:rPr>
          <w:rFonts w:ascii="宋体" w:hAnsi="宋体" w:cs="宋体"/>
          <w:b/>
          <w:color w:val="000000" w:themeColor="text1"/>
          <w:szCs w:val="21"/>
          <w:highlight w:val="none"/>
          <w14:textFill>
            <w14:solidFill>
              <w14:schemeClr w14:val="tx1"/>
            </w14:solidFill>
          </w14:textFill>
        </w:rPr>
      </w:pPr>
    </w:p>
    <w:p w14:paraId="4EB90955">
      <w:pPr>
        <w:spacing w:line="360" w:lineRule="auto"/>
        <w:rPr>
          <w:rFonts w:ascii="宋体" w:hAnsi="宋体" w:cs="宋体"/>
          <w:b/>
          <w:color w:val="000000" w:themeColor="text1"/>
          <w:szCs w:val="21"/>
          <w:highlight w:val="none"/>
          <w14:textFill>
            <w14:solidFill>
              <w14:schemeClr w14:val="tx1"/>
            </w14:solidFill>
          </w14:textFill>
        </w:rPr>
      </w:pPr>
    </w:p>
    <w:p w14:paraId="12E22681">
      <w:pPr>
        <w:spacing w:line="360" w:lineRule="auto"/>
        <w:rPr>
          <w:rFonts w:ascii="宋体" w:hAnsi="宋体" w:cs="宋体"/>
          <w:b/>
          <w:color w:val="000000" w:themeColor="text1"/>
          <w:szCs w:val="21"/>
          <w:highlight w:val="none"/>
          <w14:textFill>
            <w14:solidFill>
              <w14:schemeClr w14:val="tx1"/>
            </w14:solidFill>
          </w14:textFill>
        </w:rPr>
      </w:pPr>
    </w:p>
    <w:p w14:paraId="0DAD5B26">
      <w:pPr>
        <w:spacing w:line="360" w:lineRule="auto"/>
        <w:rPr>
          <w:rFonts w:ascii="宋体" w:hAnsi="宋体" w:cs="宋体"/>
          <w:b/>
          <w:color w:val="000000" w:themeColor="text1"/>
          <w:szCs w:val="21"/>
          <w:highlight w:val="none"/>
          <w14:textFill>
            <w14:solidFill>
              <w14:schemeClr w14:val="tx1"/>
            </w14:solidFill>
          </w14:textFill>
        </w:rPr>
      </w:pPr>
    </w:p>
    <w:p w14:paraId="5E6520F2">
      <w:pPr>
        <w:spacing w:line="360" w:lineRule="auto"/>
        <w:rPr>
          <w:rFonts w:ascii="宋体" w:hAnsi="宋体" w:cs="宋体"/>
          <w:b/>
          <w:color w:val="000000" w:themeColor="text1"/>
          <w:szCs w:val="21"/>
          <w:highlight w:val="none"/>
          <w14:textFill>
            <w14:solidFill>
              <w14:schemeClr w14:val="tx1"/>
            </w14:solidFill>
          </w14:textFill>
        </w:rPr>
      </w:pPr>
    </w:p>
    <w:p w14:paraId="3E8BF339">
      <w:pPr>
        <w:spacing w:line="360" w:lineRule="auto"/>
        <w:rPr>
          <w:rFonts w:ascii="宋体" w:hAnsi="宋体" w:cs="宋体"/>
          <w:b/>
          <w:color w:val="000000" w:themeColor="text1"/>
          <w:szCs w:val="21"/>
          <w:highlight w:val="none"/>
          <w14:textFill>
            <w14:solidFill>
              <w14:schemeClr w14:val="tx1"/>
            </w14:solidFill>
          </w14:textFill>
        </w:rPr>
      </w:pPr>
    </w:p>
    <w:p w14:paraId="6264691E">
      <w:pPr>
        <w:spacing w:line="360" w:lineRule="auto"/>
        <w:rPr>
          <w:rFonts w:ascii="宋体" w:hAnsi="宋体" w:cs="宋体"/>
          <w:b/>
          <w:color w:val="000000" w:themeColor="text1"/>
          <w:szCs w:val="21"/>
          <w:highlight w:val="none"/>
          <w14:textFill>
            <w14:solidFill>
              <w14:schemeClr w14:val="tx1"/>
            </w14:solidFill>
          </w14:textFill>
        </w:rPr>
      </w:pPr>
    </w:p>
    <w:p w14:paraId="06F2C240">
      <w:pPr>
        <w:spacing w:line="360" w:lineRule="auto"/>
        <w:rPr>
          <w:rFonts w:ascii="宋体" w:hAnsi="宋体" w:cs="宋体"/>
          <w:b/>
          <w:color w:val="000000" w:themeColor="text1"/>
          <w:szCs w:val="21"/>
          <w:highlight w:val="none"/>
          <w14:textFill>
            <w14:solidFill>
              <w14:schemeClr w14:val="tx1"/>
            </w14:solidFill>
          </w14:textFill>
        </w:rPr>
      </w:pPr>
    </w:p>
    <w:p w14:paraId="6A2B8E8D">
      <w:pPr>
        <w:tabs>
          <w:tab w:val="center" w:pos="4153"/>
          <w:tab w:val="left" w:pos="6795"/>
        </w:tabs>
        <w:snapToGrid w:val="0"/>
        <w:spacing w:line="600" w:lineRule="exact"/>
        <w:rPr>
          <w:rFonts w:ascii="宋体" w:hAnsi="宋体" w:cs="宋体"/>
          <w:b/>
          <w:color w:val="000000" w:themeColor="text1"/>
          <w:sz w:val="32"/>
          <w:szCs w:val="32"/>
          <w:highlight w:val="none"/>
          <w14:textFill>
            <w14:solidFill>
              <w14:schemeClr w14:val="tx1"/>
            </w14:solidFill>
          </w14:textFill>
        </w:rPr>
        <w:sectPr>
          <w:footerReference r:id="rId11" w:type="first"/>
          <w:pgSz w:w="11906" w:h="16838"/>
          <w:pgMar w:top="1247" w:right="849" w:bottom="1247" w:left="1418" w:header="851" w:footer="992" w:gutter="0"/>
          <w:cols w:space="720" w:num="1"/>
          <w:titlePg/>
          <w:docGrid w:type="lines" w:linePitch="312" w:charSpace="0"/>
        </w:sectPr>
      </w:pPr>
    </w:p>
    <w:p w14:paraId="195C878C">
      <w:pPr>
        <w:tabs>
          <w:tab w:val="center" w:pos="4153"/>
          <w:tab w:val="left" w:pos="6795"/>
        </w:tabs>
        <w:snapToGrid w:val="0"/>
        <w:spacing w:line="6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投标人须知及前附表</w:t>
      </w:r>
    </w:p>
    <w:tbl>
      <w:tblPr>
        <w:tblStyle w:val="58"/>
        <w:tblW w:w="9799" w:type="dxa"/>
        <w:tblInd w:w="-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9073"/>
      </w:tblGrid>
      <w:tr w14:paraId="2E04F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vAlign w:val="center"/>
          </w:tcPr>
          <w:p w14:paraId="6033B5EB">
            <w:pPr>
              <w:snapToGrid w:val="0"/>
              <w:spacing w:line="2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9073" w:type="dxa"/>
            <w:tcBorders>
              <w:top w:val="single" w:color="auto" w:sz="4" w:space="0"/>
              <w:left w:val="single" w:color="auto" w:sz="4" w:space="0"/>
              <w:bottom w:val="single" w:color="auto" w:sz="4" w:space="0"/>
              <w:right w:val="single" w:color="auto" w:sz="4" w:space="0"/>
            </w:tcBorders>
            <w:vAlign w:val="center"/>
          </w:tcPr>
          <w:p w14:paraId="70667D3E">
            <w:pPr>
              <w:snapToGrid w:val="0"/>
              <w:spacing w:line="2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内容、要求</w:t>
            </w:r>
          </w:p>
        </w:tc>
      </w:tr>
      <w:tr w14:paraId="61B1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26" w:type="dxa"/>
            <w:tcBorders>
              <w:top w:val="single" w:color="auto" w:sz="4" w:space="0"/>
              <w:left w:val="single" w:color="auto" w:sz="4" w:space="0"/>
              <w:bottom w:val="single" w:color="auto" w:sz="4" w:space="0"/>
              <w:right w:val="single" w:color="auto" w:sz="4" w:space="0"/>
            </w:tcBorders>
            <w:vAlign w:val="center"/>
          </w:tcPr>
          <w:p w14:paraId="5BA5D073">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073" w:type="dxa"/>
            <w:tcBorders>
              <w:top w:val="single" w:color="auto" w:sz="4" w:space="0"/>
              <w:left w:val="single" w:color="auto" w:sz="4" w:space="0"/>
              <w:bottom w:val="single" w:color="auto" w:sz="4" w:space="0"/>
              <w:right w:val="single" w:color="auto" w:sz="4" w:space="0"/>
            </w:tcBorders>
            <w:vAlign w:val="center"/>
          </w:tcPr>
          <w:p w14:paraId="24717877">
            <w:pPr>
              <w:snapToGrid w:val="0"/>
              <w:spacing w:line="2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ascii="宋体" w:hAnsi="宋体" w:cs="宋体"/>
                <w:color w:val="000000" w:themeColor="text1"/>
                <w:szCs w:val="21"/>
                <w:highlight w:val="none"/>
                <w14:textFill>
                  <w14:solidFill>
                    <w14:schemeClr w14:val="tx1"/>
                  </w14:solidFill>
                </w14:textFill>
              </w:rPr>
              <w:t>。</w:t>
            </w:r>
          </w:p>
          <w:p w14:paraId="15596121">
            <w:pPr>
              <w:snapToGrid w:val="0"/>
              <w:spacing w:line="2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BHZC2026-G3-990062-CGZX</w:t>
            </w:r>
            <w:r>
              <w:rPr>
                <w:rFonts w:hint="eastAsia" w:ascii="宋体" w:hAnsi="宋体" w:cs="宋体"/>
                <w:bCs/>
                <w:color w:val="000000" w:themeColor="text1"/>
                <w:szCs w:val="21"/>
                <w:highlight w:val="none"/>
                <w14:textFill>
                  <w14:solidFill>
                    <w14:schemeClr w14:val="tx1"/>
                  </w14:solidFill>
                </w14:textFill>
              </w:rPr>
              <w:t>。</w:t>
            </w:r>
          </w:p>
        </w:tc>
      </w:tr>
      <w:tr w14:paraId="48E16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26" w:type="dxa"/>
            <w:tcBorders>
              <w:top w:val="single" w:color="auto" w:sz="4" w:space="0"/>
              <w:left w:val="single" w:color="auto" w:sz="4" w:space="0"/>
              <w:bottom w:val="single" w:color="auto" w:sz="4" w:space="0"/>
              <w:right w:val="single" w:color="auto" w:sz="4" w:space="0"/>
            </w:tcBorders>
            <w:vAlign w:val="center"/>
          </w:tcPr>
          <w:p w14:paraId="54BE236C">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073" w:type="dxa"/>
            <w:tcBorders>
              <w:top w:val="single" w:color="auto" w:sz="4" w:space="0"/>
              <w:left w:val="single" w:color="auto" w:sz="4" w:space="0"/>
              <w:bottom w:val="single" w:color="auto" w:sz="4" w:space="0"/>
              <w:right w:val="single" w:color="auto" w:sz="4" w:space="0"/>
            </w:tcBorders>
            <w:vAlign w:val="center"/>
          </w:tcPr>
          <w:p w14:paraId="7C630780">
            <w:pPr>
              <w:snapToGrid w:val="0"/>
              <w:spacing w:line="2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投标人的法定代表人（负责人）为同一人或者存在直接控股、管理关系的不同</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，不得参加同一合同项下的政府采购活动。</w:t>
            </w:r>
          </w:p>
        </w:tc>
      </w:tr>
      <w:tr w14:paraId="5D5A1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26" w:type="dxa"/>
            <w:tcBorders>
              <w:top w:val="single" w:color="auto" w:sz="4" w:space="0"/>
              <w:left w:val="single" w:color="auto" w:sz="4" w:space="0"/>
              <w:bottom w:val="single" w:color="auto" w:sz="4" w:space="0"/>
              <w:right w:val="single" w:color="auto" w:sz="4" w:space="0"/>
            </w:tcBorders>
            <w:vAlign w:val="center"/>
          </w:tcPr>
          <w:p w14:paraId="27FA97D9">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073" w:type="dxa"/>
            <w:tcBorders>
              <w:top w:val="single" w:color="auto" w:sz="4" w:space="0"/>
              <w:left w:val="single" w:color="auto" w:sz="4" w:space="0"/>
              <w:bottom w:val="single" w:color="auto" w:sz="4" w:space="0"/>
              <w:right w:val="single" w:color="auto" w:sz="4" w:space="0"/>
            </w:tcBorders>
            <w:vAlign w:val="center"/>
          </w:tcPr>
          <w:p w14:paraId="46BABE4C">
            <w:pPr>
              <w:snapToGrid w:val="0"/>
              <w:spacing w:line="2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投标报价及费用：</w:t>
            </w:r>
            <w:r>
              <w:rPr>
                <w:rFonts w:hint="eastAsia" w:ascii="宋体" w:hAnsi="宋体" w:cs="宋体"/>
                <w:color w:val="000000" w:themeColor="text1"/>
                <w:szCs w:val="21"/>
                <w:highlight w:val="none"/>
                <w14:textFill>
                  <w14:solidFill>
                    <w14:schemeClr w14:val="tx1"/>
                  </w14:solidFill>
                </w14:textFill>
              </w:rPr>
              <w:t>1.本项目投标应以人民币报价；2.不论投标结果如何，投标人均应自行承担所有与投标有关的全部费用。</w:t>
            </w:r>
          </w:p>
        </w:tc>
      </w:tr>
      <w:tr w14:paraId="03166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26" w:type="dxa"/>
            <w:tcBorders>
              <w:top w:val="single" w:color="auto" w:sz="4" w:space="0"/>
              <w:left w:val="single" w:color="auto" w:sz="4" w:space="0"/>
              <w:bottom w:val="single" w:color="auto" w:sz="4" w:space="0"/>
              <w:right w:val="single" w:color="auto" w:sz="4" w:space="0"/>
            </w:tcBorders>
            <w:vAlign w:val="center"/>
          </w:tcPr>
          <w:p w14:paraId="46C0EF69">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073" w:type="dxa"/>
            <w:tcBorders>
              <w:top w:val="single" w:color="auto" w:sz="4" w:space="0"/>
              <w:left w:val="single" w:color="auto" w:sz="4" w:space="0"/>
              <w:bottom w:val="single" w:color="auto" w:sz="4" w:space="0"/>
              <w:right w:val="single" w:color="auto" w:sz="4" w:space="0"/>
            </w:tcBorders>
            <w:vAlign w:val="center"/>
          </w:tcPr>
          <w:p w14:paraId="2523286F">
            <w:pPr>
              <w:snapToGrid w:val="0"/>
              <w:spacing w:line="2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r>
              <w:rPr>
                <w:rFonts w:hint="eastAsia" w:ascii="宋体" w:hAnsi="宋体" w:cs="宋体"/>
                <w:color w:val="000000" w:themeColor="text1"/>
                <w:szCs w:val="21"/>
                <w:highlight w:val="none"/>
                <w14:textFill>
                  <w14:solidFill>
                    <w14:schemeClr w14:val="tx1"/>
                  </w14:solidFill>
                </w14:textFill>
              </w:rPr>
              <w:t>：本项目不收取投标保证金。</w:t>
            </w:r>
          </w:p>
        </w:tc>
      </w:tr>
      <w:tr w14:paraId="6AB4B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vAlign w:val="center"/>
          </w:tcPr>
          <w:p w14:paraId="12754271">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073" w:type="dxa"/>
            <w:tcBorders>
              <w:top w:val="single" w:color="auto" w:sz="4" w:space="0"/>
              <w:left w:val="single" w:color="auto" w:sz="4" w:space="0"/>
              <w:bottom w:val="single" w:color="auto" w:sz="4" w:space="0"/>
              <w:right w:val="single" w:color="auto" w:sz="4" w:space="0"/>
            </w:tcBorders>
            <w:vAlign w:val="center"/>
          </w:tcPr>
          <w:p w14:paraId="7D200B70">
            <w:pPr>
              <w:snapToGrid w:val="0"/>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分包：</w:t>
            </w:r>
          </w:p>
          <w:p w14:paraId="0E75328A">
            <w:pPr>
              <w:snapToGrid w:val="0"/>
              <w:spacing w:line="2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A同意将非主体、非关键性的工作分包</w:t>
            </w:r>
            <w:r>
              <w:rPr>
                <w:rFonts w:hint="eastAsia" w:ascii="宋体" w:hAnsi="宋体" w:cs="宋体"/>
                <w:b/>
                <w:bCs/>
                <w:color w:val="000000" w:themeColor="text1"/>
                <w:szCs w:val="21"/>
                <w:highlight w:val="none"/>
                <w:lang w:val="en-US" w:eastAsia="zh-CN"/>
                <w14:textFill>
                  <w14:solidFill>
                    <w14:schemeClr w14:val="tx1"/>
                  </w14:solidFill>
                </w14:textFill>
              </w:rPr>
              <w:t>（投标人下属子公司承担非主体、非关键性工作的，不视为分包）。</w:t>
            </w:r>
          </w:p>
          <w:p w14:paraId="443B0D69">
            <w:pPr>
              <w:snapToGrid w:val="0"/>
              <w:spacing w:line="2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B不同意分包。</w:t>
            </w:r>
          </w:p>
        </w:tc>
      </w:tr>
      <w:tr w14:paraId="5383E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6" w:hRule="atLeast"/>
        </w:trPr>
        <w:tc>
          <w:tcPr>
            <w:tcW w:w="726" w:type="dxa"/>
            <w:tcBorders>
              <w:top w:val="single" w:color="auto" w:sz="4" w:space="0"/>
              <w:left w:val="single" w:color="auto" w:sz="4" w:space="0"/>
              <w:bottom w:val="single" w:color="auto" w:sz="4" w:space="0"/>
              <w:right w:val="single" w:color="auto" w:sz="4" w:space="0"/>
            </w:tcBorders>
            <w:vAlign w:val="center"/>
          </w:tcPr>
          <w:p w14:paraId="708AB9B1">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073" w:type="dxa"/>
            <w:tcBorders>
              <w:top w:val="single" w:color="auto" w:sz="4" w:space="0"/>
              <w:left w:val="single" w:color="auto" w:sz="4" w:space="0"/>
              <w:bottom w:val="single" w:color="auto" w:sz="4" w:space="0"/>
              <w:right w:val="single" w:color="auto" w:sz="4" w:space="0"/>
            </w:tcBorders>
            <w:vAlign w:val="center"/>
          </w:tcPr>
          <w:p w14:paraId="6A5C6B1F">
            <w:pPr>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答疑、澄清：</w:t>
            </w:r>
            <w:r>
              <w:rPr>
                <w:rFonts w:hint="eastAsia" w:ascii="宋体" w:hAnsi="宋体" w:cs="宋体"/>
                <w:color w:val="000000" w:themeColor="text1"/>
                <w:highlight w:val="none"/>
                <w14:textFill>
                  <w14:solidFill>
                    <w14:schemeClr w14:val="tx1"/>
                  </w14:solidFill>
                </w14:textFill>
              </w:rPr>
              <w:t>投标人要认真</w:t>
            </w:r>
            <w:r>
              <w:rPr>
                <w:rFonts w:hint="eastAsia" w:ascii="宋体" w:hAnsi="宋体" w:cs="宋体"/>
                <w:color w:val="000000" w:themeColor="text1"/>
                <w:szCs w:val="21"/>
                <w:highlight w:val="none"/>
                <w14:textFill>
                  <w14:solidFill>
                    <w14:schemeClr w14:val="tx1"/>
                  </w14:solidFill>
                </w14:textFill>
              </w:rPr>
              <w:t>阅读招标文件，仔细审核《项目需求和说明》中的要求，如发现有误或要求不合理的，投标人必须在收到招标文件之日起七个工作日书面向北海市政府采购中心要求答疑或澄清，在此后时间提出的答疑或澄清，视为无效。</w:t>
            </w:r>
          </w:p>
          <w:p w14:paraId="6A4E4D80">
            <w:pPr>
              <w:snapToGrid w:val="0"/>
              <w:spacing w:line="2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询问、质疑</w:t>
            </w:r>
            <w:r>
              <w:rPr>
                <w:rFonts w:hint="eastAsia" w:ascii="宋体" w:hAnsi="宋体" w:cs="宋体"/>
                <w:color w:val="000000" w:themeColor="text1"/>
                <w:szCs w:val="21"/>
                <w:highlight w:val="none"/>
                <w14:textFill>
                  <w14:solidFill>
                    <w14:schemeClr w14:val="tx1"/>
                  </w14:solidFill>
                </w14:textFill>
              </w:rPr>
              <w:t>：投标人如认为招标文件存在歧视性、排他性或者其他违法内容的，按投标人须知“一、总则（八）询问、质疑和投诉”中的要求向北海市政府采购中心或采购人提出书面询问、质疑。</w:t>
            </w:r>
          </w:p>
          <w:p w14:paraId="33DEDD96">
            <w:pPr>
              <w:snapToGrid w:val="0"/>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可通过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进入“项目采购-询问质疑投诉”栏目在线提起询问、质疑。</w:t>
            </w:r>
          </w:p>
          <w:p w14:paraId="3AF54BCD">
            <w:pPr>
              <w:snapToGrid w:val="0"/>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人或者采购代理机构可以对已发出的招标文件进行必要的澄清或者修改。澄清或者修改的内容可能影响投标文件编制的，采购人或者采购代理机构应当在投标截止时间至少十五日前，以书面形式通知所有获取招标文件的潜在投标人；不足十五日的，采购人或者采购代理机构应当顺延提交投标文件的截止时间。澄清或者修改的内容为招标文件的组成部分。北海市政府采购中心将变更内容书面通知所有招标文件收受人，并在财政部门指定的政府采购信息发布媒体上发布变更公告（详细见公告中公布的网站）。</w:t>
            </w:r>
          </w:p>
        </w:tc>
      </w:tr>
      <w:tr w14:paraId="13BBE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1" w:hRule="atLeast"/>
        </w:trPr>
        <w:tc>
          <w:tcPr>
            <w:tcW w:w="726" w:type="dxa"/>
            <w:tcBorders>
              <w:top w:val="single" w:color="auto" w:sz="4" w:space="0"/>
              <w:left w:val="single" w:color="auto" w:sz="4" w:space="0"/>
              <w:bottom w:val="single" w:color="auto" w:sz="4" w:space="0"/>
              <w:right w:val="single" w:color="auto" w:sz="4" w:space="0"/>
            </w:tcBorders>
            <w:vAlign w:val="center"/>
          </w:tcPr>
          <w:p w14:paraId="6AD51FD6">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073" w:type="dxa"/>
            <w:tcBorders>
              <w:top w:val="single" w:color="auto" w:sz="4" w:space="0"/>
              <w:left w:val="single" w:color="auto" w:sz="4" w:space="0"/>
              <w:bottom w:val="single" w:color="auto" w:sz="4" w:space="0"/>
              <w:right w:val="single" w:color="auto" w:sz="4" w:space="0"/>
            </w:tcBorders>
            <w:vAlign w:val="center"/>
          </w:tcPr>
          <w:p w14:paraId="3066C324">
            <w:pPr>
              <w:snapToGrid w:val="0"/>
              <w:spacing w:line="32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投标前准备：</w:t>
            </w:r>
          </w:p>
          <w:p w14:paraId="5789F742">
            <w:pPr>
              <w:snapToGrid w:val="0"/>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1.本项目实行网上投标，采用电子投标文件。若</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参与投标，自行承担投标一切费用。</w:t>
            </w:r>
          </w:p>
          <w:p w14:paraId="318081FC">
            <w:pPr>
              <w:snapToGrid w:val="0"/>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应在截标前应确保成为广西政府采购云平台正式注册</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，并完成CA数字证书申领。因未注册入库、未办理CA数字证书等原因造成无法投标或投标失败等后果由</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自行承担。</w:t>
            </w:r>
          </w:p>
          <w:p w14:paraId="5D7CD229">
            <w:pPr>
              <w:autoSpaceDE w:val="0"/>
              <w:autoSpaceDN w:val="0"/>
              <w:snapToGrid w:val="0"/>
              <w:spacing w:line="260" w:lineRule="exact"/>
              <w:ind w:firstLine="420" w:firstLineChars="20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将政采云电子交易客户端下载、安装完成后，可通过账号密码或CA登录客户端进行投标文件制作。客户端请至北海市政府采购中心网站下载专区查看，如有问题可拨打政采云客户服务热线95763进行咨询。</w:t>
            </w:r>
          </w:p>
        </w:tc>
      </w:tr>
      <w:tr w14:paraId="10EDD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726" w:type="dxa"/>
            <w:tcBorders>
              <w:top w:val="single" w:color="auto" w:sz="4" w:space="0"/>
              <w:left w:val="single" w:color="auto" w:sz="4" w:space="0"/>
              <w:bottom w:val="single" w:color="auto" w:sz="4" w:space="0"/>
              <w:right w:val="single" w:color="auto" w:sz="4" w:space="0"/>
            </w:tcBorders>
            <w:vAlign w:val="center"/>
          </w:tcPr>
          <w:p w14:paraId="4A957649">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073" w:type="dxa"/>
            <w:tcBorders>
              <w:top w:val="single" w:color="auto" w:sz="4" w:space="0"/>
              <w:left w:val="single" w:color="auto" w:sz="4" w:space="0"/>
              <w:bottom w:val="single" w:color="auto" w:sz="4" w:space="0"/>
              <w:right w:val="single" w:color="auto" w:sz="4" w:space="0"/>
            </w:tcBorders>
            <w:vAlign w:val="center"/>
          </w:tcPr>
          <w:p w14:paraId="5E68C5CE">
            <w:pPr>
              <w:autoSpaceDE w:val="0"/>
              <w:autoSpaceDN w:val="0"/>
              <w:snapToGrid w:val="0"/>
              <w:spacing w:line="260" w:lineRule="exact"/>
              <w:ind w:firstLine="422" w:firstLineChars="20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应准备电子投标文件，</w:t>
            </w:r>
            <w:r>
              <w:rPr>
                <w:rFonts w:hint="eastAsia" w:ascii="宋体" w:hAnsi="宋体" w:cs="宋体"/>
                <w:color w:val="000000" w:themeColor="text1"/>
                <w:szCs w:val="21"/>
                <w:highlight w:val="none"/>
                <w14:textFill>
                  <w14:solidFill>
                    <w14:schemeClr w14:val="tx1"/>
                  </w14:solidFill>
                </w14:textFill>
              </w:rPr>
              <w:t>电子投标文件按广西政府采购云平台要求及本招标文件要求制作、加密并递交。</w:t>
            </w:r>
          </w:p>
          <w:p w14:paraId="28F71799">
            <w:pPr>
              <w:autoSpaceDE w:val="0"/>
              <w:autoSpaceDN w:val="0"/>
              <w:snapToGrid w:val="0"/>
              <w:spacing w:line="260" w:lineRule="exact"/>
              <w:ind w:firstLine="420" w:firstLineChars="20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电子投标文件解密时间：截标时间后30分钟内，投标</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必须在此时间段内登录广西政府采购云平台，用“项目采购-开标评标”功能完成电子投标文件的解密。若投标</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在规定时间内未按时解密的，视为投标文件无效。</w:t>
            </w:r>
          </w:p>
        </w:tc>
      </w:tr>
      <w:tr w14:paraId="44403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26" w:type="dxa"/>
            <w:tcBorders>
              <w:top w:val="single" w:color="auto" w:sz="4" w:space="0"/>
              <w:left w:val="single" w:color="auto" w:sz="4" w:space="0"/>
              <w:bottom w:val="single" w:color="auto" w:sz="4" w:space="0"/>
              <w:right w:val="single" w:color="auto" w:sz="4" w:space="0"/>
            </w:tcBorders>
            <w:vAlign w:val="center"/>
          </w:tcPr>
          <w:p w14:paraId="2EE58D2C">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073" w:type="dxa"/>
            <w:tcBorders>
              <w:top w:val="single" w:color="auto" w:sz="4" w:space="0"/>
              <w:left w:val="single" w:color="auto" w:sz="4" w:space="0"/>
              <w:bottom w:val="single" w:color="auto" w:sz="4" w:space="0"/>
              <w:right w:val="single" w:color="auto" w:sz="4" w:space="0"/>
            </w:tcBorders>
            <w:vAlign w:val="center"/>
          </w:tcPr>
          <w:p w14:paraId="43A6BDE5">
            <w:pPr>
              <w:autoSpaceDE w:val="0"/>
              <w:autoSpaceDN w:val="0"/>
              <w:snapToGrid w:val="0"/>
              <w:spacing w:line="260" w:lineRule="exact"/>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本文件所涉及的法定代表人（负责人）或其委托代理人签名的内容，可以是</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的法定代表人（负责人）或其委托代理人的电子签名；如果</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没有法定代表人（负责人）或其委托代理人的电子签名，</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也可以线下签名或盖姓名章后扫描上传。</w:t>
            </w:r>
          </w:p>
        </w:tc>
      </w:tr>
      <w:tr w14:paraId="44055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auto" w:sz="4" w:space="0"/>
              <w:left w:val="single" w:color="auto" w:sz="4" w:space="0"/>
              <w:bottom w:val="single" w:color="auto" w:sz="4" w:space="0"/>
              <w:right w:val="single" w:color="auto" w:sz="4" w:space="0"/>
            </w:tcBorders>
            <w:vAlign w:val="center"/>
          </w:tcPr>
          <w:p w14:paraId="18DAE6C0">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073" w:type="dxa"/>
            <w:tcBorders>
              <w:top w:val="single" w:color="auto" w:sz="4" w:space="0"/>
              <w:left w:val="single" w:color="auto" w:sz="4" w:space="0"/>
              <w:bottom w:val="single" w:color="auto" w:sz="4" w:space="0"/>
              <w:right w:val="single" w:color="auto" w:sz="4" w:space="0"/>
            </w:tcBorders>
            <w:vAlign w:val="center"/>
          </w:tcPr>
          <w:p w14:paraId="6137404A">
            <w:pPr>
              <w:snapToGrid w:val="0"/>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投标截止时间及地点：2026年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日9时（北京时间），通过广西政府采购云平台实行在线截标。</w:t>
            </w:r>
          </w:p>
        </w:tc>
      </w:tr>
      <w:tr w14:paraId="776AE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26" w:type="dxa"/>
            <w:tcBorders>
              <w:top w:val="single" w:color="auto" w:sz="4" w:space="0"/>
              <w:left w:val="single" w:color="auto" w:sz="4" w:space="0"/>
              <w:bottom w:val="single" w:color="auto" w:sz="4" w:space="0"/>
              <w:right w:val="single" w:color="auto" w:sz="4" w:space="0"/>
            </w:tcBorders>
            <w:vAlign w:val="center"/>
          </w:tcPr>
          <w:p w14:paraId="63994928">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073" w:type="dxa"/>
            <w:tcBorders>
              <w:top w:val="single" w:color="auto" w:sz="4" w:space="0"/>
              <w:left w:val="single" w:color="auto" w:sz="4" w:space="0"/>
              <w:bottom w:val="single" w:color="auto" w:sz="4" w:space="0"/>
              <w:right w:val="single" w:color="auto" w:sz="4" w:space="0"/>
            </w:tcBorders>
            <w:vAlign w:val="center"/>
          </w:tcPr>
          <w:p w14:paraId="1310F8F9">
            <w:pPr>
              <w:snapToGrid w:val="0"/>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开标时间及地点：2026年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日9时（北京时间），通过广西政府采购云平台实行在线开标。</w:t>
            </w:r>
          </w:p>
        </w:tc>
      </w:tr>
      <w:tr w14:paraId="35530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26" w:type="dxa"/>
            <w:tcBorders>
              <w:top w:val="single" w:color="auto" w:sz="4" w:space="0"/>
              <w:left w:val="single" w:color="auto" w:sz="4" w:space="0"/>
              <w:bottom w:val="single" w:color="auto" w:sz="4" w:space="0"/>
              <w:right w:val="single" w:color="auto" w:sz="4" w:space="0"/>
            </w:tcBorders>
            <w:vAlign w:val="center"/>
          </w:tcPr>
          <w:p w14:paraId="46D02B69">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073" w:type="dxa"/>
            <w:tcBorders>
              <w:top w:val="single" w:color="auto" w:sz="4" w:space="0"/>
              <w:left w:val="single" w:color="auto" w:sz="4" w:space="0"/>
              <w:bottom w:val="single" w:color="auto" w:sz="4" w:space="0"/>
              <w:right w:val="single" w:color="auto" w:sz="4" w:space="0"/>
            </w:tcBorders>
            <w:vAlign w:val="center"/>
          </w:tcPr>
          <w:p w14:paraId="6A52311C">
            <w:pPr>
              <w:autoSpaceDE w:val="0"/>
              <w:autoSpaceDN w:val="0"/>
              <w:snapToGrid w:val="0"/>
              <w:spacing w:line="2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评标方法及评分标准：</w:t>
            </w:r>
            <w:r>
              <w:rPr>
                <w:rFonts w:hint="eastAsia" w:ascii="宋体" w:hAnsi="宋体" w:cs="宋体"/>
                <w:color w:val="000000" w:themeColor="text1"/>
                <w:szCs w:val="21"/>
                <w:highlight w:val="none"/>
                <w14:textFill>
                  <w14:solidFill>
                    <w14:schemeClr w14:val="tx1"/>
                  </w14:solidFill>
                </w14:textFill>
              </w:rPr>
              <w:t>综合评分法。</w:t>
            </w:r>
          </w:p>
        </w:tc>
      </w:tr>
      <w:tr w14:paraId="47302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6" w:hRule="atLeast"/>
        </w:trPr>
        <w:tc>
          <w:tcPr>
            <w:tcW w:w="726" w:type="dxa"/>
            <w:tcBorders>
              <w:top w:val="single" w:color="auto" w:sz="4" w:space="0"/>
              <w:left w:val="single" w:color="auto" w:sz="4" w:space="0"/>
              <w:bottom w:val="single" w:color="auto" w:sz="4" w:space="0"/>
              <w:right w:val="single" w:color="auto" w:sz="4" w:space="0"/>
            </w:tcBorders>
            <w:vAlign w:val="center"/>
          </w:tcPr>
          <w:p w14:paraId="5569A4BB">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073" w:type="dxa"/>
            <w:tcBorders>
              <w:top w:val="single" w:color="auto" w:sz="4" w:space="0"/>
              <w:left w:val="single" w:color="auto" w:sz="4" w:space="0"/>
              <w:bottom w:val="single" w:color="auto" w:sz="4" w:space="0"/>
              <w:right w:val="single" w:color="auto" w:sz="4" w:space="0"/>
            </w:tcBorders>
            <w:vAlign w:val="center"/>
          </w:tcPr>
          <w:p w14:paraId="5EBA5279">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中标通知书及中标公告：</w:t>
            </w:r>
            <w:r>
              <w:rPr>
                <w:rFonts w:hint="eastAsia" w:ascii="宋体" w:hAnsi="宋体" w:cs="宋体"/>
                <w:color w:val="000000" w:themeColor="text1"/>
                <w:highlight w:val="none"/>
                <w14:textFill>
                  <w14:solidFill>
                    <w14:schemeClr w14:val="tx1"/>
                  </w14:solidFill>
                </w14:textFill>
              </w:rPr>
              <w:t>采购代理机构在采购人依法确定中标人之日起2个工作日内发出中标通知书，并在</w:t>
            </w:r>
            <w:r>
              <w:rPr>
                <w:rFonts w:hint="eastAsia" w:ascii="宋体" w:hAnsi="宋体" w:cs="宋体"/>
                <w:color w:val="000000" w:themeColor="text1"/>
                <w:szCs w:val="21"/>
                <w:highlight w:val="none"/>
                <w14:textFill>
                  <w14:solidFill>
                    <w14:schemeClr w14:val="tx1"/>
                  </w14:solidFill>
                </w14:textFill>
              </w:rPr>
              <w:t>中国政府采购网、</w:t>
            </w:r>
            <w:r>
              <w:rPr>
                <w:rFonts w:hint="eastAsia" w:ascii="宋体" w:hAnsi="宋体" w:cs="宋体"/>
                <w:color w:val="000000" w:themeColor="text1"/>
                <w:highlight w:val="none"/>
                <w14:textFill>
                  <w14:solidFill>
                    <w14:schemeClr w14:val="tx1"/>
                  </w14:solidFill>
                </w14:textFill>
              </w:rPr>
              <w:t>广西壮族自治区政府采购网、北海市政府采购监管网、北海市政府采购中心网站、全国公共资源交易平台（广西•北海）发布中标公告。</w:t>
            </w:r>
          </w:p>
          <w:p w14:paraId="018E774B">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中小企业信用融资：</w:t>
            </w:r>
            <w:r>
              <w:rPr>
                <w:rFonts w:hint="eastAsia" w:ascii="宋体" w:hAnsi="宋体" w:cs="宋体"/>
                <w:color w:val="000000" w:themeColor="text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若有融资意向，详见《关于贯彻落实政府采购领域促进中小企业发展措施的通知》，或登录北海市政府采购中心网站自助查询。</w:t>
            </w:r>
          </w:p>
          <w:p w14:paraId="3C826FFE">
            <w:pPr>
              <w:autoSpaceDE w:val="0"/>
              <w:autoSpaceDN w:val="0"/>
              <w:snapToGrid w:val="0"/>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中标后也可在广西政府采购云平台申请政采贷：操作路径：登录政采云平台-金融服务中心-【融资服务】，可在热门申请中选择产品直接申请。</w:t>
            </w:r>
          </w:p>
        </w:tc>
      </w:tr>
      <w:tr w14:paraId="5D4A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exact"/>
        </w:trPr>
        <w:tc>
          <w:tcPr>
            <w:tcW w:w="726" w:type="dxa"/>
            <w:tcBorders>
              <w:top w:val="single" w:color="auto" w:sz="4" w:space="0"/>
              <w:left w:val="single" w:color="auto" w:sz="4" w:space="0"/>
              <w:bottom w:val="single" w:color="auto" w:sz="4" w:space="0"/>
              <w:right w:val="single" w:color="auto" w:sz="4" w:space="0"/>
            </w:tcBorders>
            <w:vAlign w:val="center"/>
          </w:tcPr>
          <w:p w14:paraId="45E44CFF">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073" w:type="dxa"/>
            <w:tcBorders>
              <w:top w:val="single" w:color="auto" w:sz="4" w:space="0"/>
              <w:left w:val="single" w:color="auto" w:sz="4" w:space="0"/>
              <w:bottom w:val="single" w:color="auto" w:sz="4" w:space="0"/>
              <w:right w:val="single" w:color="auto" w:sz="4" w:space="0"/>
            </w:tcBorders>
            <w:vAlign w:val="center"/>
          </w:tcPr>
          <w:p w14:paraId="309448E2">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签订合同时间：</w:t>
            </w:r>
            <w:r>
              <w:rPr>
                <w:rFonts w:hint="eastAsia" w:ascii="宋体" w:hAnsi="宋体" w:cs="宋体"/>
                <w:color w:val="000000" w:themeColor="text1"/>
                <w:highlight w:val="none"/>
                <w14:textFill>
                  <w14:solidFill>
                    <w14:schemeClr w14:val="tx1"/>
                  </w14:solidFill>
                </w14:textFill>
              </w:rPr>
              <w:t>自中标通知书发出之日起，原则上要求25日内签订（项目实施过程中出现质疑或投诉的情形除外）。</w:t>
            </w:r>
          </w:p>
          <w:p w14:paraId="0907051A">
            <w:pPr>
              <w:pStyle w:val="3"/>
              <w:rPr>
                <w:rFonts w:ascii="宋体" w:hAnsi="宋体" w:eastAsia="宋体" w:cs="宋体"/>
                <w:color w:val="000000" w:themeColor="text1"/>
                <w:highlight w:val="none"/>
                <w14:textFill>
                  <w14:solidFill>
                    <w14:schemeClr w14:val="tx1"/>
                  </w14:solidFill>
                </w14:textFill>
              </w:rPr>
            </w:pPr>
          </w:p>
        </w:tc>
      </w:tr>
      <w:tr w14:paraId="3ED8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exact"/>
        </w:trPr>
        <w:tc>
          <w:tcPr>
            <w:tcW w:w="726" w:type="dxa"/>
            <w:tcBorders>
              <w:top w:val="single" w:color="auto" w:sz="4" w:space="0"/>
              <w:left w:val="single" w:color="auto" w:sz="4" w:space="0"/>
              <w:bottom w:val="single" w:color="auto" w:sz="4" w:space="0"/>
              <w:right w:val="single" w:color="auto" w:sz="4" w:space="0"/>
            </w:tcBorders>
            <w:vAlign w:val="center"/>
          </w:tcPr>
          <w:p w14:paraId="18A4D419">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073" w:type="dxa"/>
            <w:tcBorders>
              <w:top w:val="single" w:color="auto" w:sz="4" w:space="0"/>
              <w:left w:val="single" w:color="auto" w:sz="4" w:space="0"/>
              <w:bottom w:val="single" w:color="auto" w:sz="4" w:space="0"/>
              <w:right w:val="single" w:color="auto" w:sz="4" w:space="0"/>
            </w:tcBorders>
            <w:vAlign w:val="center"/>
          </w:tcPr>
          <w:p w14:paraId="10E1707F">
            <w:pPr>
              <w:autoSpaceDE w:val="0"/>
              <w:autoSpaceDN w:val="0"/>
              <w:snapToGrid w:val="0"/>
              <w:spacing w:line="2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采购资金来源：</w:t>
            </w:r>
            <w:r>
              <w:rPr>
                <w:rFonts w:hint="eastAsia" w:ascii="宋体" w:hAnsi="宋体" w:cs="宋体"/>
                <w:color w:val="000000" w:themeColor="text1"/>
                <w:szCs w:val="21"/>
                <w:highlight w:val="none"/>
                <w14:textFill>
                  <w14:solidFill>
                    <w14:schemeClr w14:val="tx1"/>
                  </w14:solidFill>
                </w14:textFill>
              </w:rPr>
              <w:t>财政性资金。</w:t>
            </w:r>
          </w:p>
        </w:tc>
      </w:tr>
      <w:tr w14:paraId="19DEA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6" w:hRule="exact"/>
        </w:trPr>
        <w:tc>
          <w:tcPr>
            <w:tcW w:w="726" w:type="dxa"/>
            <w:tcBorders>
              <w:top w:val="single" w:color="auto" w:sz="4" w:space="0"/>
              <w:left w:val="single" w:color="auto" w:sz="4" w:space="0"/>
              <w:bottom w:val="single" w:color="auto" w:sz="4" w:space="0"/>
              <w:right w:val="single" w:color="auto" w:sz="4" w:space="0"/>
            </w:tcBorders>
            <w:vAlign w:val="center"/>
          </w:tcPr>
          <w:p w14:paraId="23D6CC57">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073" w:type="dxa"/>
            <w:tcBorders>
              <w:top w:val="single" w:color="auto" w:sz="4" w:space="0"/>
              <w:left w:val="single" w:color="auto" w:sz="4" w:space="0"/>
              <w:bottom w:val="single" w:color="auto" w:sz="4" w:space="0"/>
              <w:right w:val="single" w:color="auto" w:sz="4" w:space="0"/>
            </w:tcBorders>
            <w:vAlign w:val="center"/>
          </w:tcPr>
          <w:p w14:paraId="36A29AB0">
            <w:pPr>
              <w:snapToGrid w:val="0"/>
              <w:spacing w:line="24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付款方式：</w:t>
            </w:r>
          </w:p>
          <w:p w14:paraId="1ED99508">
            <w:pPr>
              <w:autoSpaceDE w:val="0"/>
              <w:autoSpaceDN w:val="0"/>
              <w:snapToGrid w:val="0"/>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1.合同签订生效后，且采购人收到中标人开具的等额合法有效增值税发票之日起10日内，向中标人支付合同总金额的</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%作为首期款项。</w:t>
            </w:r>
          </w:p>
          <w:p w14:paraId="5DC2C7D8">
            <w:pPr>
              <w:autoSpaceDE w:val="0"/>
              <w:autoSpaceDN w:val="0"/>
              <w:snapToGrid w:val="0"/>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2.演出执行方案经组委会审定通过后，且采购人收到中标人开具的等额合法有效增值税发票之日起10日内，向中标人支付合同总金额的</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0%作为第二期款项。</w:t>
            </w:r>
          </w:p>
          <w:p w14:paraId="04B61704">
            <w:pPr>
              <w:autoSpaceDE w:val="0"/>
              <w:autoSpaceDN w:val="0"/>
              <w:snapToGrid w:val="0"/>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3.广西壮族自治区第十六届运动会开幕式全流程合成彩排完成后，且采购人收到中标人开具的等额合法有效增值税发票之日起10日内，向中标人支付合同总金额的</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0%作为第三期款项。</w:t>
            </w:r>
          </w:p>
          <w:p w14:paraId="0D643EB2">
            <w:pPr>
              <w:autoSpaceDE w:val="0"/>
              <w:autoSpaceDN w:val="0"/>
              <w:snapToGrid w:val="0"/>
              <w:ind w:firstLine="420" w:firstLineChars="20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广西壮族自治区第十一届残疾人运动会暨第六届特殊奥林匹克运动会闭幕式结束后，中标人完成场内设施拆卸及清场工作，且经履约验收，采购人收到中标人开具的等额合法有效增值税发票之日起10日内，向中标人支付合同总金额的</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w:t>
            </w:r>
          </w:p>
        </w:tc>
      </w:tr>
      <w:tr w14:paraId="71FDA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26" w:type="dxa"/>
            <w:tcBorders>
              <w:top w:val="single" w:color="auto" w:sz="4" w:space="0"/>
              <w:left w:val="single" w:color="auto" w:sz="4" w:space="0"/>
              <w:bottom w:val="single" w:color="auto" w:sz="4" w:space="0"/>
              <w:right w:val="single" w:color="auto" w:sz="4" w:space="0"/>
            </w:tcBorders>
            <w:vAlign w:val="center"/>
          </w:tcPr>
          <w:p w14:paraId="3BA6B215">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073" w:type="dxa"/>
            <w:tcBorders>
              <w:top w:val="single" w:color="auto" w:sz="4" w:space="0"/>
              <w:left w:val="single" w:color="auto" w:sz="4" w:space="0"/>
              <w:bottom w:val="single" w:color="auto" w:sz="4" w:space="0"/>
              <w:right w:val="single" w:color="auto" w:sz="4" w:space="0"/>
            </w:tcBorders>
            <w:vAlign w:val="center"/>
          </w:tcPr>
          <w:p w14:paraId="7B2FDFBB">
            <w:pPr>
              <w:snapToGrid w:val="0"/>
              <w:spacing w:line="2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投标文件有效期：</w:t>
            </w:r>
            <w:r>
              <w:rPr>
                <w:rFonts w:hint="eastAsia" w:ascii="宋体" w:hAnsi="宋体" w:cs="宋体"/>
                <w:color w:val="000000" w:themeColor="text1"/>
                <w:szCs w:val="21"/>
                <w:highlight w:val="none"/>
                <w14:textFill>
                  <w14:solidFill>
                    <w14:schemeClr w14:val="tx1"/>
                  </w14:solidFill>
                </w14:textFill>
              </w:rPr>
              <w:t>六十日。</w:t>
            </w:r>
          </w:p>
        </w:tc>
      </w:tr>
      <w:tr w14:paraId="73B41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exact"/>
        </w:trPr>
        <w:tc>
          <w:tcPr>
            <w:tcW w:w="726" w:type="dxa"/>
            <w:tcBorders>
              <w:top w:val="single" w:color="auto" w:sz="4" w:space="0"/>
              <w:left w:val="single" w:color="auto" w:sz="4" w:space="0"/>
              <w:bottom w:val="single" w:color="auto" w:sz="4" w:space="0"/>
              <w:right w:val="single" w:color="auto" w:sz="4" w:space="0"/>
            </w:tcBorders>
            <w:vAlign w:val="center"/>
          </w:tcPr>
          <w:p w14:paraId="1EDF486D">
            <w:pPr>
              <w:snapToGri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073" w:type="dxa"/>
            <w:tcBorders>
              <w:top w:val="single" w:color="auto" w:sz="4" w:space="0"/>
              <w:left w:val="single" w:color="auto" w:sz="4" w:space="0"/>
              <w:bottom w:val="single" w:color="auto" w:sz="4" w:space="0"/>
              <w:right w:val="single" w:color="auto" w:sz="4" w:space="0"/>
            </w:tcBorders>
            <w:vAlign w:val="center"/>
          </w:tcPr>
          <w:p w14:paraId="6DE26213">
            <w:pPr>
              <w:snapToGrid w:val="0"/>
              <w:spacing w:line="2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本招标文件的解释权属于</w:t>
            </w:r>
            <w:r>
              <w:rPr>
                <w:rFonts w:hint="eastAsia" w:ascii="宋体" w:hAnsi="宋体" w:cs="宋体"/>
                <w:color w:val="000000" w:themeColor="text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及北海市政府采购中心。</w:t>
            </w:r>
          </w:p>
        </w:tc>
      </w:tr>
    </w:tbl>
    <w:p w14:paraId="33CE20B2">
      <w:pPr>
        <w:pStyle w:val="29"/>
        <w:snapToGrid w:val="0"/>
        <w:spacing w:line="600" w:lineRule="exact"/>
        <w:jc w:val="center"/>
        <w:rPr>
          <w:rFonts w:hAnsi="宋体" w:cs="宋体"/>
          <w:b/>
          <w:color w:val="000000" w:themeColor="text1"/>
          <w:sz w:val="32"/>
          <w:szCs w:val="32"/>
          <w:highlight w:val="none"/>
          <w14:textFill>
            <w14:solidFill>
              <w14:schemeClr w14:val="tx1"/>
            </w14:solidFill>
          </w14:textFill>
        </w:rPr>
        <w:sectPr>
          <w:footerReference r:id="rId12" w:type="first"/>
          <w:pgSz w:w="11906" w:h="16838"/>
          <w:pgMar w:top="1247" w:right="849" w:bottom="1247" w:left="1418" w:header="851" w:footer="992" w:gutter="0"/>
          <w:cols w:space="720" w:num="1"/>
          <w:titlePg/>
          <w:docGrid w:type="lines" w:linePitch="312" w:charSpace="0"/>
        </w:sectPr>
      </w:pPr>
    </w:p>
    <w:p w14:paraId="08B469A9">
      <w:pPr>
        <w:pStyle w:val="29"/>
        <w:snapToGrid w:val="0"/>
        <w:spacing w:line="600" w:lineRule="exact"/>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投标人须知</w:t>
      </w:r>
    </w:p>
    <w:p w14:paraId="4D42FC75">
      <w:pPr>
        <w:pStyle w:val="29"/>
        <w:adjustRightInd w:val="0"/>
        <w:snapToGrid w:val="0"/>
        <w:spacing w:line="360" w:lineRule="exact"/>
        <w:ind w:firstLine="56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一、总则</w:t>
      </w:r>
    </w:p>
    <w:p w14:paraId="7F71BFF7">
      <w:pPr>
        <w:snapToGrid w:val="0"/>
        <w:spacing w:before="156" w:beforeLines="50" w:line="360" w:lineRule="exact"/>
        <w:ind w:firstLine="310" w:firstLineChars="147"/>
        <w:jc w:val="left"/>
        <w:rPr>
          <w:rFonts w:ascii="宋体" w:hAnsi="宋体" w:cs="宋体"/>
          <w:b/>
          <w:color w:val="000000" w:themeColor="text1"/>
          <w:highlight w:val="none"/>
          <w14:textFill>
            <w14:solidFill>
              <w14:schemeClr w14:val="tx1"/>
            </w14:solidFill>
          </w14:textFill>
        </w:rPr>
      </w:pPr>
      <w:bookmarkStart w:id="13" w:name="_Toc254970668"/>
      <w:bookmarkStart w:id="14" w:name="_Toc254970527"/>
      <w:r>
        <w:rPr>
          <w:rFonts w:hint="eastAsia" w:ascii="宋体" w:hAnsi="宋体" w:cs="宋体"/>
          <w:b/>
          <w:color w:val="000000" w:themeColor="text1"/>
          <w:highlight w:val="none"/>
          <w14:textFill>
            <w14:solidFill>
              <w14:schemeClr w14:val="tx1"/>
            </w14:solidFill>
          </w14:textFill>
        </w:rPr>
        <w:t>（一）适用范围</w:t>
      </w:r>
      <w:bookmarkEnd w:id="13"/>
      <w:bookmarkEnd w:id="14"/>
    </w:p>
    <w:p w14:paraId="29937303">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本招标文件适用于本项目的招标、投标、评标、定标、验收、合同履约、付款等行为（法律、法规另有规定的，从其规定）。</w:t>
      </w:r>
    </w:p>
    <w:p w14:paraId="65656C25">
      <w:pPr>
        <w:snapToGrid w:val="0"/>
        <w:spacing w:before="156" w:beforeLines="50" w:line="360" w:lineRule="exact"/>
        <w:ind w:firstLine="310" w:firstLineChars="147"/>
        <w:jc w:val="left"/>
        <w:rPr>
          <w:rFonts w:ascii="宋体" w:hAnsi="宋体" w:cs="宋体"/>
          <w:b/>
          <w:color w:val="000000" w:themeColor="text1"/>
          <w:highlight w:val="none"/>
          <w14:textFill>
            <w14:solidFill>
              <w14:schemeClr w14:val="tx1"/>
            </w14:solidFill>
          </w14:textFill>
        </w:rPr>
      </w:pPr>
      <w:bookmarkStart w:id="15" w:name="_Toc254970669"/>
      <w:bookmarkStart w:id="16" w:name="_Toc254970528"/>
      <w:r>
        <w:rPr>
          <w:rFonts w:hint="eastAsia" w:ascii="宋体" w:hAnsi="宋体" w:cs="宋体"/>
          <w:b/>
          <w:color w:val="000000" w:themeColor="text1"/>
          <w:highlight w:val="none"/>
          <w14:textFill>
            <w14:solidFill>
              <w14:schemeClr w14:val="tx1"/>
            </w14:solidFill>
          </w14:textFill>
        </w:rPr>
        <w:t>（二）定义</w:t>
      </w:r>
      <w:bookmarkEnd w:id="15"/>
      <w:bookmarkEnd w:id="16"/>
    </w:p>
    <w:p w14:paraId="336EE8D7">
      <w:pPr>
        <w:snapToGrid w:val="0"/>
        <w:spacing w:line="360" w:lineRule="exact"/>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“采购人”系指组织本次招标的采购单位。</w:t>
      </w:r>
    </w:p>
    <w:p w14:paraId="282F7DA8">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“采购代理机构”系指组织本次招标的北海市政府采购中心（以下简称“本中心”）。</w:t>
      </w:r>
    </w:p>
    <w:p w14:paraId="2AAFC6FE">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“投标人”系指响应招标、参加投标竞争的法人、其他组织或者自然人。</w:t>
      </w:r>
    </w:p>
    <w:p w14:paraId="2CC7FFD6">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4.“产品”系指供方按招标文件规定，须向采购人提供的一切设备、保险、税金、备品备件、工具、手册及其它有关技术资料和材料。</w:t>
      </w:r>
    </w:p>
    <w:p w14:paraId="14B765A2">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5.“服务”系指招标文件规定投标人须承担的安装、调试、技术协助、校准、培训、技术指导以及其他类似的义务。</w:t>
      </w:r>
    </w:p>
    <w:p w14:paraId="1C2DAEC9">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6.“项目”系指投标人按招标文件规定向采购人提供的产品和服务。</w:t>
      </w:r>
    </w:p>
    <w:p w14:paraId="63F0D0A8">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7.“书面形式”包括信函、传真、电报等。</w:t>
      </w:r>
    </w:p>
    <w:p w14:paraId="08F38D5B">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8.“▲”系指实质性要求条款。</w:t>
      </w:r>
    </w:p>
    <w:p w14:paraId="5A7A92E0">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bookmarkStart w:id="17" w:name="_Toc254970670"/>
      <w:bookmarkStart w:id="18" w:name="_Toc254970529"/>
      <w:r>
        <w:rPr>
          <w:rFonts w:hint="eastAsia" w:ascii="宋体" w:hAnsi="宋体" w:cs="宋体"/>
          <w:b/>
          <w:color w:val="000000" w:themeColor="text1"/>
          <w:szCs w:val="21"/>
          <w:highlight w:val="none"/>
          <w14:textFill>
            <w14:solidFill>
              <w14:schemeClr w14:val="tx1"/>
            </w14:solidFill>
          </w14:textFill>
        </w:rPr>
        <w:t>（三）招标方式</w:t>
      </w:r>
      <w:bookmarkEnd w:id="17"/>
      <w:bookmarkEnd w:id="18"/>
    </w:p>
    <w:p w14:paraId="7C61F41B">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公开招标方式。</w:t>
      </w:r>
    </w:p>
    <w:p w14:paraId="1F359926">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bookmarkStart w:id="19" w:name="_Toc254970671"/>
      <w:bookmarkStart w:id="20" w:name="_Toc254970530"/>
      <w:r>
        <w:rPr>
          <w:rFonts w:hint="eastAsia" w:ascii="宋体" w:hAnsi="宋体" w:cs="宋体"/>
          <w:b/>
          <w:color w:val="000000" w:themeColor="text1"/>
          <w:szCs w:val="21"/>
          <w:highlight w:val="none"/>
          <w14:textFill>
            <w14:solidFill>
              <w14:schemeClr w14:val="tx1"/>
            </w14:solidFill>
          </w14:textFill>
        </w:rPr>
        <w:t>（四）投标委托</w:t>
      </w:r>
      <w:bookmarkEnd w:id="19"/>
      <w:bookmarkEnd w:id="20"/>
    </w:p>
    <w:p w14:paraId="3E67CB8D">
      <w:pPr>
        <w:pStyle w:val="22"/>
        <w:snapToGrid w:val="0"/>
        <w:spacing w:line="360" w:lineRule="exact"/>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投标人代表须携带有效身份证件。如投标人代表不是法定代表人（负责人），须有法定代表人（负责人）出具的授权委托书（格式见第六章《投标文件格式》）。</w:t>
      </w:r>
    </w:p>
    <w:p w14:paraId="0097932F">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bookmarkStart w:id="21" w:name="_Toc254970531"/>
      <w:bookmarkStart w:id="22" w:name="_Toc254970672"/>
      <w:r>
        <w:rPr>
          <w:rFonts w:hint="eastAsia" w:ascii="宋体" w:hAnsi="宋体" w:cs="宋体"/>
          <w:b/>
          <w:color w:val="000000" w:themeColor="text1"/>
          <w:szCs w:val="21"/>
          <w:highlight w:val="none"/>
          <w14:textFill>
            <w14:solidFill>
              <w14:schemeClr w14:val="tx1"/>
            </w14:solidFill>
          </w14:textFill>
        </w:rPr>
        <w:t>（五）投标费用</w:t>
      </w:r>
      <w:bookmarkEnd w:id="21"/>
      <w:bookmarkEnd w:id="22"/>
    </w:p>
    <w:p w14:paraId="473F0C42">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投标人均应自行承担所有与投标有关的全部费用（招标文件有相关的规定除外）。</w:t>
      </w:r>
    </w:p>
    <w:p w14:paraId="061B7806">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（六）联合体投标</w:t>
      </w:r>
    </w:p>
    <w:p w14:paraId="0589FF7C">
      <w:pPr>
        <w:tabs>
          <w:tab w:val="left" w:pos="3960"/>
        </w:tabs>
        <w:adjustRightInd w:val="0"/>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不接受联合体投标。</w:t>
      </w:r>
    </w:p>
    <w:p w14:paraId="0DCC39F5">
      <w:pPr>
        <w:widowControl/>
        <w:adjustRightInd w:val="0"/>
        <w:snapToGrid w:val="0"/>
        <w:spacing w:line="360" w:lineRule="exact"/>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w:t>
      </w:r>
      <w:r>
        <w:rPr>
          <w:rFonts w:hint="eastAsia" w:ascii="宋体" w:hAnsi="宋体" w:cs="宋体"/>
          <w:b/>
          <w:color w:val="000000" w:themeColor="text1"/>
          <w:kern w:val="0"/>
          <w:szCs w:val="21"/>
          <w:highlight w:val="none"/>
          <w14:textFill>
            <w14:solidFill>
              <w14:schemeClr w14:val="tx1"/>
            </w14:solidFill>
          </w14:textFill>
        </w:rPr>
        <w:t>转包与分包</w:t>
      </w:r>
    </w:p>
    <w:p w14:paraId="3A8E0926">
      <w:pPr>
        <w:ind w:firstLine="525" w:firstLineChars="250"/>
        <w:rPr>
          <w:rFonts w:ascii="宋体" w:hAnsi="宋体" w:cs="宋体"/>
          <w:color w:val="000000" w:themeColor="text1"/>
          <w:szCs w:val="21"/>
          <w:highlight w:val="none"/>
          <w14:textFill>
            <w14:solidFill>
              <w14:schemeClr w14:val="tx1"/>
            </w14:solidFill>
          </w14:textFill>
        </w:rPr>
      </w:pPr>
      <w:bookmarkStart w:id="23" w:name="_Toc254970532"/>
      <w:bookmarkStart w:id="24" w:name="_Toc254970673"/>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合同转包：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中标人转包的，视同拒绝履行政府采购合同义务，将依法追究法律责任。</w:t>
      </w:r>
    </w:p>
    <w:p w14:paraId="62AE99EA">
      <w:pPr>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2.合同分包：</w:t>
      </w:r>
    </w:p>
    <w:p w14:paraId="1FC5B9FE">
      <w:pPr>
        <w:ind w:firstLine="525" w:firstLineChars="2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采购人允许投标人将项目非主体、非关键性工作交由他人完成投标人拟在中标后将中标项目的非主体、非关键性工作分包的，应当在投标文件中载明分包承担主体，分包承担主体应当具备相应资质条件且不得再次分包。并且分包</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履行的分包项目的品牌、规格型号及技术要求等，必须与中标的一致。分包履行合同的部分应当为采购项目的非主体、非关键性工作，不属于中标人的主要合同义务。</w:t>
      </w:r>
      <w:r>
        <w:rPr>
          <w:rFonts w:hint="eastAsia" w:ascii="宋体" w:hAnsi="宋体" w:cs="宋体"/>
          <w:b/>
          <w:bCs/>
          <w:color w:val="000000" w:themeColor="text1"/>
          <w:kern w:val="0"/>
          <w:szCs w:val="21"/>
          <w:highlight w:val="none"/>
          <w14:textFill>
            <w14:solidFill>
              <w14:schemeClr w14:val="tx1"/>
            </w14:solidFill>
          </w14:textFill>
        </w:rPr>
        <w:t>投标人</w:t>
      </w:r>
      <w:r>
        <w:rPr>
          <w:rFonts w:hint="eastAsia" w:ascii="宋体" w:hAnsi="宋体" w:cs="宋体"/>
          <w:b/>
          <w:bCs/>
          <w:color w:val="000000" w:themeColor="text1"/>
          <w:kern w:val="0"/>
          <w:szCs w:val="21"/>
          <w:highlight w:val="none"/>
          <w:lang w:eastAsia="zh-CN"/>
          <w14:textFill>
            <w14:solidFill>
              <w14:schemeClr w14:val="tx1"/>
            </w14:solidFill>
          </w14:textFill>
        </w:rPr>
        <w:t>下属子公司</w:t>
      </w:r>
      <w:r>
        <w:rPr>
          <w:rFonts w:hint="eastAsia" w:ascii="宋体" w:hAnsi="宋体" w:cs="宋体"/>
          <w:b/>
          <w:bCs/>
          <w:color w:val="000000" w:themeColor="text1"/>
          <w:kern w:val="0"/>
          <w:szCs w:val="21"/>
          <w:highlight w:val="none"/>
          <w14:textFill>
            <w14:solidFill>
              <w14:schemeClr w14:val="tx1"/>
            </w14:solidFill>
          </w14:textFill>
        </w:rPr>
        <w:t>承担本项目非主体、非关键性工作的，不视为分包，无需履行分包申请程序，投标人需提供全资控股证明材料，对子公司的工作成果承担全部责任。</w:t>
      </w:r>
    </w:p>
    <w:p w14:paraId="1C3E670C">
      <w:pPr>
        <w:ind w:firstLine="525" w:firstLineChars="250"/>
        <w:rPr>
          <w:rFonts w:ascii="宋体" w:hAnsi="宋体" w:cs="宋体"/>
          <w:color w:val="000000" w:themeColor="text1"/>
          <w:szCs w:val="21"/>
          <w:highlight w:val="none"/>
          <w14:textFill>
            <w14:solidFill>
              <w14:schemeClr w14:val="tx1"/>
            </w14:solidFill>
          </w14:textFill>
        </w:rPr>
      </w:pPr>
    </w:p>
    <w:p w14:paraId="35FB31FE">
      <w:pPr>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2.2采购合同实行分包履行的，中标人就采购项目和分包项目向采购人负责，分包</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就分包项目承担责任。</w:t>
      </w:r>
    </w:p>
    <w:p w14:paraId="44CCA927">
      <w:pPr>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2.3中小企业依据《政府采购促进中小企业发展管理办法》（财库〔2020〕46号）规定的政策获取政府采购合同后，小型、微型企业不得分包或转包给大型、中型企业，中型企业不得分包或转包给大型企业。</w:t>
      </w:r>
      <w:r>
        <w:rPr>
          <w:rFonts w:hint="eastAsia" w:ascii="宋体" w:hAnsi="宋体" w:cs="宋体"/>
          <w:b/>
          <w:bCs/>
          <w:color w:val="000000" w:themeColor="text1"/>
          <w:szCs w:val="21"/>
          <w:highlight w:val="none"/>
          <w14:textFill>
            <w14:solidFill>
              <w14:schemeClr w14:val="tx1"/>
            </w14:solidFill>
          </w14:textFill>
        </w:rPr>
        <w:t>中小企业投标人的</w:t>
      </w:r>
      <w:r>
        <w:rPr>
          <w:rFonts w:hint="eastAsia" w:ascii="宋体" w:hAnsi="宋体" w:cs="宋体"/>
          <w:b/>
          <w:bCs/>
          <w:color w:val="000000" w:themeColor="text1"/>
          <w:szCs w:val="21"/>
          <w:highlight w:val="none"/>
          <w:lang w:eastAsia="zh-CN"/>
          <w14:textFill>
            <w14:solidFill>
              <w14:schemeClr w14:val="tx1"/>
            </w14:solidFill>
          </w14:textFill>
        </w:rPr>
        <w:t>下属子公司</w:t>
      </w:r>
      <w:r>
        <w:rPr>
          <w:rFonts w:hint="eastAsia" w:ascii="宋体" w:hAnsi="宋体" w:cs="宋体"/>
          <w:b/>
          <w:bCs/>
          <w:color w:val="000000" w:themeColor="text1"/>
          <w:szCs w:val="21"/>
          <w:highlight w:val="none"/>
          <w14:textFill>
            <w14:solidFill>
              <w14:schemeClr w14:val="tx1"/>
            </w14:solidFill>
          </w14:textFill>
        </w:rPr>
        <w:t>若为小型 / 微型企业，其承担本项目工作的，不视为分包；若子公司为大型 / 中型企业，中小企业投标人不得将项目交由其子公司承担</w:t>
      </w:r>
      <w:r>
        <w:rPr>
          <w:rStyle w:val="61"/>
          <w:b/>
          <w:bCs/>
          <w:color w:val="000000" w:themeColor="text1"/>
          <w:sz w:val="24"/>
          <w:szCs w:val="24"/>
          <w:highlight w:val="none"/>
          <w14:textFill>
            <w14:solidFill>
              <w14:schemeClr w14:val="tx1"/>
            </w14:solidFill>
          </w14:textFill>
        </w:rPr>
        <w:t>。</w:t>
      </w:r>
    </w:p>
    <w:p w14:paraId="77164DB3">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（八）</w:t>
      </w:r>
      <w:r>
        <w:rPr>
          <w:rFonts w:hint="eastAsia" w:ascii="宋体" w:hAnsi="宋体" w:cs="宋体"/>
          <w:b/>
          <w:color w:val="000000" w:themeColor="text1"/>
          <w:szCs w:val="21"/>
          <w:highlight w:val="none"/>
          <w14:textFill>
            <w14:solidFill>
              <w14:schemeClr w14:val="tx1"/>
            </w14:solidFill>
          </w14:textFill>
        </w:rPr>
        <w:t>特别说明：</w:t>
      </w:r>
      <w:bookmarkEnd w:id="23"/>
      <w:bookmarkEnd w:id="24"/>
    </w:p>
    <w:p w14:paraId="6EB5F538">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▲1.单位负责人为同一人或者存在直接控股、管理关系的不同</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，不得参加同一合同项下的政府采购活动。</w:t>
      </w:r>
    </w:p>
    <w:p w14:paraId="48BE3DEA">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.对在“信用中国”网站、“中国政府采购网”等被列入失信被执行人、重大税收违法案件当事人名单、政府采购严重违法失信行为记录名单及其他不符合《中华人民共和国政府采购法》第二十二条规定条件的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，不得参与政府采购活动。</w:t>
      </w:r>
    </w:p>
    <w:p w14:paraId="7C3E7351">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.投标人应仔细阅读招标文件的所有内容，按照招标文件的要求提交投标文件，并对所提供的全部资料的真实性承担法律责任。</w:t>
      </w:r>
    </w:p>
    <w:p w14:paraId="6CF42CDD">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.投标人在投标活动中提供任何虚假材料、互相串通投标，其投标无效，并报监管部门查处。</w:t>
      </w:r>
    </w:p>
    <w:p w14:paraId="3C4ED61F">
      <w:pPr>
        <w:snapToGrid w:val="0"/>
        <w:spacing w:line="360" w:lineRule="exact"/>
        <w:ind w:firstLine="420" w:firstLineChars="200"/>
        <w:rPr>
          <w:rFonts w:ascii="宋体" w:hAnsi="宋体" w:cs="宋体"/>
          <w:color w:val="000000" w:themeColor="text1"/>
          <w:kern w:val="0"/>
          <w:highlight w:val="none"/>
          <w14:textFill>
            <w14:solidFill>
              <w14:schemeClr w14:val="tx1"/>
            </w14:solidFill>
          </w14:textFill>
        </w:rPr>
      </w:pPr>
      <w:bookmarkStart w:id="25" w:name="_Toc254970674"/>
      <w:bookmarkStart w:id="26" w:name="_Toc254970533"/>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.招标文件提供期限届满后，获取招标文件的潜在投标人不足3家的，本中心将顺延提供期限，</w:t>
      </w:r>
      <w:r>
        <w:rPr>
          <w:rFonts w:hint="eastAsia" w:ascii="宋体" w:hAnsi="宋体" w:cs="宋体"/>
          <w:color w:val="000000" w:themeColor="text1"/>
          <w:kern w:val="0"/>
          <w:highlight w:val="none"/>
          <w14:textFill>
            <w14:solidFill>
              <w14:schemeClr w14:val="tx1"/>
            </w14:solidFill>
          </w14:textFill>
        </w:rPr>
        <w:t>并在省级以上财政部门指定的政府采购信息发布媒体及本中心网站上发布变更公告。</w:t>
      </w:r>
    </w:p>
    <w:bookmarkEnd w:id="25"/>
    <w:bookmarkEnd w:id="26"/>
    <w:p w14:paraId="043E3C1D">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14:paraId="01DF1CA9">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评标方法及评标标准”。</w:t>
      </w:r>
    </w:p>
    <w:p w14:paraId="692378C7">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修缮、装修类项目采购建材的，采购人应将绿色建筑和绿色建材性能、指标等作为实质性条件纳入招标文件和合同。</w:t>
      </w:r>
    </w:p>
    <w:p w14:paraId="0A2486B5">
      <w:pPr>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为助力打好污染防治攻坚战，推广使用绿色包装，政府采购货物项目中涉及商品包装和快递包装的，</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提供产品及相关快递服务的具体包装要求要参考《商品包装政府采购需求标准（试行）》、《快递包装政府采购需求标准（试行）》。</w:t>
      </w:r>
    </w:p>
    <w:p w14:paraId="499EF4B8">
      <w:pPr>
        <w:spacing w:line="400" w:lineRule="exact"/>
        <w:ind w:firstLine="420" w:firstLineChars="200"/>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▲7.本文件中所指一级 / 二级导演、编导、演员、服装设计师、舞台技术等职称，均指由国家文化和旅游部、人力资源和社会保障部等官方主管部门或省级以上专业文艺行业协会颁发的相应等级职称证书；拟投入团队人员的社保证明以2025年8月1日至首次投标文件提交截止时间期间任意连续六个月缴纳记录为准。</w:t>
      </w:r>
    </w:p>
    <w:p w14:paraId="01ABF5E3">
      <w:pPr>
        <w:spacing w:line="400" w:lineRule="exact"/>
        <w:ind w:firstLine="420" w:firstLineChars="200"/>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▲8.小型、微型企业、监狱企业、残疾人福利性单位享受同等投标报价 20% 扣除政策。</w:t>
      </w:r>
    </w:p>
    <w:p w14:paraId="4C388656">
      <w:pPr>
        <w:spacing w:line="400" w:lineRule="exact"/>
        <w:ind w:firstLine="422" w:firstLineChars="200"/>
        <w:rPr>
          <w:rFonts w:hint="default"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▲9. 投标人下属子公司的同类项目业绩、施工资质、营业性演出许可证、人员职称及社保证明等视为投标人的履约能力证明，需提供全资控股证明及子公司相关材料。</w:t>
      </w:r>
    </w:p>
    <w:p w14:paraId="6D02A910">
      <w:pPr>
        <w:pStyle w:val="29"/>
        <w:snapToGrid w:val="0"/>
        <w:spacing w:line="360" w:lineRule="exact"/>
        <w:ind w:firstLine="413" w:firstLineChars="196"/>
        <w:rPr>
          <w:rFonts w:hAnsi="宋体" w:cs="宋体"/>
          <w:b/>
          <w:bCs/>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（九）询问、质疑和投诉</w:t>
      </w:r>
    </w:p>
    <w:p w14:paraId="4A2A14D3">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1.投标人对政府采购活动事项有疑问的，可以向采购人、采购代理机构提出询问。</w:t>
      </w:r>
    </w:p>
    <w:p w14:paraId="5DE3C375">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人认为招标文件、招标过程或中标结果使自己的合法权益受到损害的，应当在知道或者应知其权益受到损害之日起七个工作日内，以书面形式向采购人、采购代理机构提出质疑。对同一采购程序环节的质疑，供应商须在法定质疑期内一次性提出</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具体计算时间如下：</w:t>
      </w:r>
    </w:p>
    <w:p w14:paraId="4B8324A3">
      <w:pPr>
        <w:snapToGrid w:val="0"/>
        <w:spacing w:line="3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（1）对可以质疑的招标采购文件提出质疑的，为收到采购文件之日；</w:t>
      </w:r>
    </w:p>
    <w:p w14:paraId="302AE7B1">
      <w:pPr>
        <w:snapToGrid w:val="0"/>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（2）对招标采购过程提出质疑的，为各采购程序环节结束之日；</w:t>
      </w:r>
    </w:p>
    <w:p w14:paraId="397C68FB">
      <w:pPr>
        <w:snapToGrid w:val="0"/>
        <w:spacing w:line="36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对中标结果提出质疑的，为中标结果公告期限届满之日。投标人对招标采购单位的质疑答复不满意或者招标采购单位未在规定时间内作出答复的，可以在答复期满后十五个工作日内向同级采购监管部门投诉。</w:t>
      </w:r>
    </w:p>
    <w:p w14:paraId="4FD81074">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0582431E">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bookmarkStart w:id="27" w:name="_Toc254970675"/>
      <w:bookmarkStart w:id="28" w:name="_Toc254970534"/>
      <w:r>
        <w:rPr>
          <w:rFonts w:hint="eastAsia" w:hAnsi="宋体" w:cs="宋体"/>
          <w:color w:val="000000" w:themeColor="text1"/>
          <w:sz w:val="21"/>
          <w:highlight w:val="none"/>
          <w14:textFill>
            <w14:solidFill>
              <w14:schemeClr w14:val="tx1"/>
            </w14:solidFill>
          </w14:textFill>
        </w:rPr>
        <w:t>①质疑联系部门及电话：北海市政府采购中心监督科</w:t>
      </w:r>
      <w:r>
        <w:rPr>
          <w:rFonts w:hint="eastAsia" w:hAnsi="宋体" w:cs="宋体"/>
          <w:color w:val="000000" w:themeColor="text1"/>
          <w:sz w:val="21"/>
          <w:highlight w:val="none"/>
          <w:lang w:val="en-US" w:eastAsia="zh-CN"/>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0779-3960826；</w:t>
      </w:r>
    </w:p>
    <w:p w14:paraId="7A605A01">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②投诉联系部门及电话：</w:t>
      </w:r>
      <w:r>
        <w:rPr>
          <w:rFonts w:hint="eastAsia" w:hAnsi="宋体" w:cs="宋体"/>
          <w:color w:val="000000" w:themeColor="text1"/>
          <w:sz w:val="21"/>
          <w:highlight w:val="none"/>
          <w:lang w:eastAsia="zh-CN"/>
          <w14:textFill>
            <w14:solidFill>
              <w14:schemeClr w14:val="tx1"/>
            </w14:solidFill>
          </w14:textFill>
        </w:rPr>
        <w:t>北海市财政局政府采购监督管理科</w:t>
      </w:r>
      <w:r>
        <w:rPr>
          <w:rFonts w:hint="eastAsia" w:hAnsi="宋体" w:cs="宋体"/>
          <w:color w:val="000000" w:themeColor="text1"/>
          <w:sz w:val="21"/>
          <w:highlight w:val="none"/>
          <w:lang w:val="en-US" w:eastAsia="zh-CN"/>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0779-3063975。</w:t>
      </w:r>
    </w:p>
    <w:p w14:paraId="5DDB2F23">
      <w:pPr>
        <w:pStyle w:val="29"/>
        <w:snapToGrid w:val="0"/>
        <w:spacing w:line="360" w:lineRule="exact"/>
        <w:ind w:firstLine="422" w:firstLineChars="200"/>
        <w:rPr>
          <w:rFonts w:hint="eastAsia" w:hAnsi="宋体" w:cs="宋体"/>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注：</w:t>
      </w:r>
      <w:r>
        <w:rPr>
          <w:rFonts w:hint="eastAsia" w:hAnsi="宋体" w:cs="宋体"/>
          <w:b/>
          <w:bCs/>
          <w:color w:val="000000" w:themeColor="text1"/>
          <w:sz w:val="21"/>
          <w:highlight w:val="none"/>
          <w:lang w:eastAsia="zh-CN"/>
          <w14:textFill>
            <w14:solidFill>
              <w14:schemeClr w14:val="tx1"/>
            </w14:solidFill>
          </w14:textFill>
        </w:rPr>
        <w:t>投标人</w:t>
      </w:r>
      <w:r>
        <w:rPr>
          <w:rFonts w:hint="eastAsia" w:hAnsi="宋体" w:cs="宋体"/>
          <w:b/>
          <w:bCs/>
          <w:color w:val="000000" w:themeColor="text1"/>
          <w:sz w:val="21"/>
          <w:highlight w:val="none"/>
          <w14:textFill>
            <w14:solidFill>
              <w14:schemeClr w14:val="tx1"/>
            </w14:solidFill>
          </w14:textFill>
        </w:rPr>
        <w:t>可通过</w:t>
      </w:r>
      <w:r>
        <w:rPr>
          <w:rFonts w:hint="eastAsia" w:hAnsi="宋体" w:cs="宋体"/>
          <w:b/>
          <w:bCs/>
          <w:color w:val="000000" w:themeColor="text1"/>
          <w:sz w:val="21"/>
          <w:highlight w:val="none"/>
          <w:lang w:eastAsia="zh-CN"/>
          <w14:textFill>
            <w14:solidFill>
              <w14:schemeClr w14:val="tx1"/>
            </w14:solidFill>
          </w14:textFill>
        </w:rPr>
        <w:t>广西政府采购云平台</w:t>
      </w:r>
      <w:r>
        <w:rPr>
          <w:rFonts w:hint="eastAsia" w:hAnsi="宋体" w:cs="宋体"/>
          <w:b/>
          <w:bCs/>
          <w:color w:val="000000" w:themeColor="text1"/>
          <w:sz w:val="21"/>
          <w:highlight w:val="none"/>
          <w14:textFill>
            <w14:solidFill>
              <w14:schemeClr w14:val="tx1"/>
            </w14:solidFill>
          </w14:textFill>
        </w:rPr>
        <w:t>进入“项目采购-询问质疑投诉”栏目在线提起询问、质疑，对质疑答复不满意或者未收到答复的可以向监督部门在线提起投诉。</w:t>
      </w:r>
    </w:p>
    <w:p w14:paraId="49368B73">
      <w:pPr>
        <w:pStyle w:val="29"/>
        <w:adjustRightInd w:val="0"/>
        <w:snapToGrid w:val="0"/>
        <w:spacing w:line="360" w:lineRule="exact"/>
        <w:ind w:firstLine="562" w:firstLineChars="200"/>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二、招标文件</w:t>
      </w:r>
      <w:bookmarkEnd w:id="27"/>
      <w:bookmarkEnd w:id="28"/>
    </w:p>
    <w:p w14:paraId="0F54ADD3">
      <w:pPr>
        <w:snapToGrid w:val="0"/>
        <w:spacing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（一）招标文件的构成。</w:t>
      </w:r>
    </w:p>
    <w:p w14:paraId="373A8978">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1.公开招标公告；</w:t>
      </w:r>
    </w:p>
    <w:p w14:paraId="196632FC">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2.招标项目采购需求</w:t>
      </w:r>
    </w:p>
    <w:p w14:paraId="0922ADD4">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3.投标人须知；</w:t>
      </w:r>
    </w:p>
    <w:p w14:paraId="19A0C87C">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4.评标方法及评定标准；</w:t>
      </w:r>
    </w:p>
    <w:p w14:paraId="2E7D6927">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5.政府采购合同主要条款；</w:t>
      </w:r>
    </w:p>
    <w:p w14:paraId="3FEAD69A">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71AE7C3D">
      <w:pPr>
        <w:snapToGrid w:val="0"/>
        <w:spacing w:before="156" w:beforeLines="50"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（二）投标人的风险</w:t>
      </w:r>
    </w:p>
    <w:p w14:paraId="6253F1AD">
      <w:pPr>
        <w:tabs>
          <w:tab w:val="left" w:pos="180"/>
          <w:tab w:val="left" w:pos="1620"/>
        </w:tabs>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宋体"/>
          <w:color w:val="000000" w:themeColor="text1"/>
          <w:szCs w:val="21"/>
          <w:highlight w:val="none"/>
          <w14:textFill>
            <w14:solidFill>
              <w14:schemeClr w14:val="tx1"/>
            </w14:solidFill>
          </w14:textFill>
        </w:rPr>
        <w:cr/>
      </w:r>
      <w:r>
        <w:rPr>
          <w:rFonts w:hint="eastAsia" w:ascii="宋体" w:hAnsi="宋体" w:cs="宋体"/>
          <w:color w:val="000000" w:themeColor="text1"/>
          <w:szCs w:val="21"/>
          <w:highlight w:val="none"/>
          <w14:textFill>
            <w14:solidFill>
              <w14:schemeClr w14:val="tx1"/>
            </w14:solidFill>
          </w14:textFill>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14:paraId="63835D9D">
      <w:pPr>
        <w:pStyle w:val="14"/>
        <w:widowControl w:val="0"/>
        <w:tabs>
          <w:tab w:val="clear" w:pos="454"/>
        </w:tabs>
        <w:snapToGrid w:val="0"/>
        <w:spacing w:before="156" w:beforeLines="50" w:afterLines="0" w:line="360" w:lineRule="exact"/>
        <w:ind w:left="0" w:firstLine="413" w:firstLineChars="196"/>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（三）招标文件的澄清与修改</w:t>
      </w:r>
    </w:p>
    <w:p w14:paraId="444649E7">
      <w:pPr>
        <w:pStyle w:val="29"/>
        <w:snapToGrid w:val="0"/>
        <w:spacing w:line="36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采购人或者本中心可以对已发出的招标文件进行必要的澄清或者修改。澄清或者修改的内容可能影响投标文件编制的，采购人或者本中心应当在投标截止时间至少15日前，以书面形式通知所有获取招标文件的潜在投标人；不足15日的，顺延至15日。澄清或者修改的内容为招标文件的组成部分。</w:t>
      </w:r>
    </w:p>
    <w:p w14:paraId="3B33D4E1">
      <w:pPr>
        <w:pStyle w:val="29"/>
        <w:snapToGrid w:val="0"/>
        <w:spacing w:line="36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2.本中心必须以书面形式答复投标人要求澄清的问题，并将不包含问题来源的答复书面通知所有报名登记的投标人；除书面答复以外的其他澄清方式及澄清内容均无效。</w:t>
      </w:r>
    </w:p>
    <w:p w14:paraId="77B2934F">
      <w:pPr>
        <w:pStyle w:val="29"/>
        <w:snapToGrid w:val="0"/>
        <w:spacing w:line="36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14:paraId="226C8DAA">
      <w:pPr>
        <w:pStyle w:val="29"/>
        <w:snapToGrid w:val="0"/>
        <w:spacing w:line="36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4.招标文件的答疑、澄清、修改、补充都应该通过本中心以法定形式发布，采购人非通过本中心，不得擅自答疑、澄清、修改、补充招标文件。</w:t>
      </w:r>
    </w:p>
    <w:p w14:paraId="645E8EB3">
      <w:pPr>
        <w:pStyle w:val="29"/>
        <w:snapToGrid w:val="0"/>
        <w:spacing w:line="36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5.本中心可以视采购具体情况，延长招标文件或者资格预审文件提供期限，并在省级以上财政部门指定的政府采购信息发布媒体及本中心网站上发布公告。</w:t>
      </w:r>
    </w:p>
    <w:p w14:paraId="6AF1EAE7">
      <w:pPr>
        <w:pStyle w:val="22"/>
        <w:adjustRightInd w:val="0"/>
        <w:snapToGrid w:val="0"/>
        <w:spacing w:line="360" w:lineRule="exact"/>
        <w:ind w:firstLine="562" w:firstLineChars="200"/>
        <w:outlineLvl w:val="1"/>
        <w:rPr>
          <w:rFonts w:ascii="宋体" w:hAnsi="宋体" w:eastAsia="宋体" w:cs="宋体"/>
          <w:b/>
          <w:bCs/>
          <w:color w:val="000000" w:themeColor="text1"/>
          <w:kern w:val="2"/>
          <w:sz w:val="28"/>
          <w:szCs w:val="28"/>
          <w:highlight w:val="none"/>
          <w14:textFill>
            <w14:solidFill>
              <w14:schemeClr w14:val="tx1"/>
            </w14:solidFill>
          </w14:textFill>
        </w:rPr>
      </w:pPr>
      <w:bookmarkStart w:id="29" w:name="_Toc254970535"/>
      <w:bookmarkStart w:id="30" w:name="_Toc254970676"/>
      <w:r>
        <w:rPr>
          <w:rFonts w:hint="eastAsia" w:ascii="宋体" w:hAnsi="宋体" w:eastAsia="宋体" w:cs="宋体"/>
          <w:b/>
          <w:bCs/>
          <w:color w:val="000000" w:themeColor="text1"/>
          <w:kern w:val="2"/>
          <w:sz w:val="28"/>
          <w:szCs w:val="28"/>
          <w:highlight w:val="none"/>
          <w14:textFill>
            <w14:solidFill>
              <w14:schemeClr w14:val="tx1"/>
            </w14:solidFill>
          </w14:textFill>
        </w:rPr>
        <w:t>三、投标文件的编制</w:t>
      </w:r>
      <w:bookmarkEnd w:id="29"/>
      <w:bookmarkEnd w:id="30"/>
    </w:p>
    <w:p w14:paraId="50828B86">
      <w:pPr>
        <w:snapToGrid w:val="0"/>
        <w:spacing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bookmarkStart w:id="31" w:name="_Toc254970536"/>
      <w:bookmarkStart w:id="32" w:name="_Toc254970677"/>
      <w:r>
        <w:rPr>
          <w:rFonts w:hint="eastAsia" w:ascii="宋体" w:hAnsi="宋体" w:cs="宋体"/>
          <w:b/>
          <w:color w:val="000000" w:themeColor="text1"/>
          <w:szCs w:val="21"/>
          <w:highlight w:val="none"/>
          <w14:textFill>
            <w14:solidFill>
              <w14:schemeClr w14:val="tx1"/>
            </w14:solidFill>
          </w14:textFill>
        </w:rPr>
        <w:t>（一）投标文件的组成</w:t>
      </w:r>
      <w:bookmarkEnd w:id="31"/>
      <w:bookmarkEnd w:id="32"/>
    </w:p>
    <w:p w14:paraId="0375FD9A">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1.投标文件编制基本要求</w:t>
      </w:r>
    </w:p>
    <w:p w14:paraId="33B0D647">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1.1本项目实行电子投标，</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应准备电子投标文件</w:t>
      </w:r>
      <w:r>
        <w:rPr>
          <w:rFonts w:hint="eastAsia" w:ascii="宋体" w:hAnsi="宋体" w:cs="宋体"/>
          <w:color w:val="000000" w:themeColor="text1"/>
          <w:szCs w:val="21"/>
          <w:highlight w:val="none"/>
          <w14:textFill>
            <w14:solidFill>
              <w14:schemeClr w14:val="tx1"/>
            </w14:solidFill>
          </w14:textFill>
        </w:rPr>
        <w:t>：</w:t>
      </w:r>
    </w:p>
    <w:p w14:paraId="39D4E60D">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电子投标文件按广西政府采购云平台要求及本招标文件要求制作、加密并递交。具体操作流程可参考《政府采购项目电子交易管理操作指南-</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》，指南可在“北海市政府采购中心网站-办事指南-政府采购项目电子交易管理操作指南”下载。</w:t>
      </w:r>
    </w:p>
    <w:p w14:paraId="1AE2B854">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提交的投标文件以及</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与本中心和采购人就有关投标的所有来往函电均应使用中文。</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提交的支持文件和印刷的文献可以使用别的语言，但其相应内容必须附有中文翻译文本，在解释投标文件时以翻译文本为主。</w:t>
      </w:r>
    </w:p>
    <w:p w14:paraId="1A49C9CB">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应认真阅读、并充分理解本文件的全部内容（包括所有的澄清、更改、补充、答疑等内容），承诺并履行本文件中各项条款规定及要求。</w:t>
      </w:r>
    </w:p>
    <w:p w14:paraId="371D9ACF">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1.4投标文件必须按本文件的全部内容，包括所有的澄清、更改、补充、答疑等内容及附件进行编制。</w:t>
      </w:r>
    </w:p>
    <w:p w14:paraId="3A75C4D9">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1.5如因</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只填写和提供了本文件要求的部分内容和附件，而给评标委员会评审造成困难，其可能导致的结果和责任由</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自行承担。</w:t>
      </w:r>
    </w:p>
    <w:p w14:paraId="27AD5374">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1.6投标文件的组成：投标文件应分为资格文件、资信及商务文件商务、技术文件、报价文件四个部分组成。</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应仔细阅读采购文件的所有内容，按招标文件的要求，详细编制投标文件。</w:t>
      </w:r>
    </w:p>
    <w:p w14:paraId="517D76C6">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1.7全面实行全流程电子化采购后进一步精简评标事项和环节，梳理采购流程，取消原件审查、核对等环节。资格条件证明材料、业绩证明、授权书等材料均以电子采购文件为评审依据，</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须对所提供材料的真实性和一致性负责。</w:t>
      </w:r>
    </w:p>
    <w:p w14:paraId="3B838A95">
      <w:pPr>
        <w:snapToGrid w:val="0"/>
        <w:spacing w:line="360" w:lineRule="exact"/>
        <w:ind w:firstLine="422"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2.资格文件：</w:t>
      </w:r>
    </w:p>
    <w:p w14:paraId="0C9A75D9">
      <w:pPr>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北海市政府采购</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信用承诺函</w:t>
      </w:r>
      <w:r>
        <w:rPr>
          <w:rFonts w:hint="eastAsia" w:ascii="宋体" w:hAnsi="宋体" w:cs="宋体"/>
          <w:b/>
          <w:color w:val="000000" w:themeColor="text1"/>
          <w:szCs w:val="21"/>
          <w:highlight w:val="none"/>
          <w14:textFill>
            <w14:solidFill>
              <w14:schemeClr w14:val="tx1"/>
            </w14:solidFill>
          </w14:textFill>
        </w:rPr>
        <w:t>（格式见</w:t>
      </w:r>
      <w:r>
        <w:rPr>
          <w:rFonts w:hint="eastAsia" w:ascii="宋体" w:hAnsi="宋体" w:cs="宋体"/>
          <w:b/>
          <w:bCs/>
          <w:color w:val="000000" w:themeColor="text1"/>
          <w:szCs w:val="21"/>
          <w:highlight w:val="none"/>
          <w14:textFill>
            <w14:solidFill>
              <w14:schemeClr w14:val="tx1"/>
            </w14:solidFill>
          </w14:textFill>
        </w:rPr>
        <w:t>第六章</w:t>
      </w:r>
      <w:r>
        <w:rPr>
          <w:rFonts w:hint="eastAsia" w:ascii="宋体" w:hAnsi="宋体" w:cs="宋体"/>
          <w:b/>
          <w:color w:val="000000" w:themeColor="text1"/>
          <w:szCs w:val="21"/>
          <w:highlight w:val="none"/>
          <w14:textFill>
            <w14:solidFill>
              <w14:schemeClr w14:val="tx1"/>
            </w14:solidFill>
          </w14:textFill>
        </w:rPr>
        <w:t>，必须提供）。</w:t>
      </w:r>
    </w:p>
    <w:p w14:paraId="3589BC75">
      <w:pPr>
        <w:snapToGrid w:val="0"/>
        <w:spacing w:line="360" w:lineRule="exact"/>
        <w:ind w:firstLine="415" w:firstLineChars="19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）具备法律、行政法规规定的其他条件的证明材料(如有规定,则必须提供)。</w:t>
      </w:r>
    </w:p>
    <w:p w14:paraId="5705C273">
      <w:pPr>
        <w:snapToGrid w:val="0"/>
        <w:spacing w:before="156" w:beforeLines="50" w:line="360" w:lineRule="exact"/>
        <w:ind w:firstLine="413" w:firstLineChars="196"/>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3.资信及商务文件：</w:t>
      </w:r>
    </w:p>
    <w:p w14:paraId="77A5451D">
      <w:pPr>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▲（1）承诺函 </w:t>
      </w:r>
      <w:r>
        <w:rPr>
          <w:rFonts w:hint="eastAsia" w:ascii="宋体" w:hAnsi="宋体" w:cs="宋体"/>
          <w:b/>
          <w:bCs/>
          <w:color w:val="000000" w:themeColor="text1"/>
          <w:szCs w:val="21"/>
          <w:highlight w:val="none"/>
          <w14:textFill>
            <w14:solidFill>
              <w14:schemeClr w14:val="tx1"/>
            </w14:solidFill>
          </w14:textFill>
        </w:rPr>
        <w:t>（格式见第六章，必须提供）</w:t>
      </w:r>
    </w:p>
    <w:p w14:paraId="19B2F3BE">
      <w:pPr>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▲（2）法定代表人（负责人）授权委托书和委托代理人身份证复印件</w:t>
      </w:r>
      <w:r>
        <w:rPr>
          <w:rFonts w:hint="eastAsia" w:ascii="宋体" w:hAnsi="宋体" w:cs="宋体"/>
          <w:b/>
          <w:bCs/>
          <w:color w:val="000000" w:themeColor="text1"/>
          <w:szCs w:val="21"/>
          <w:highlight w:val="none"/>
          <w14:textFill>
            <w14:solidFill>
              <w14:schemeClr w14:val="tx1"/>
            </w14:solidFill>
          </w14:textFill>
        </w:rPr>
        <w:t>（委托代理时必须提供，格式见第六章）</w:t>
      </w:r>
      <w:r>
        <w:rPr>
          <w:rFonts w:hint="eastAsia" w:ascii="宋体" w:hAnsi="宋体" w:cs="宋体"/>
          <w:color w:val="000000" w:themeColor="text1"/>
          <w:szCs w:val="21"/>
          <w:highlight w:val="none"/>
          <w14:textFill>
            <w14:solidFill>
              <w14:schemeClr w14:val="tx1"/>
            </w14:solidFill>
          </w14:textFill>
        </w:rPr>
        <w:t>；法定代表人（负责人）参加投标时，提供法定代表人（负责人）身份证明书和身份证复印件</w:t>
      </w:r>
      <w:r>
        <w:rPr>
          <w:rFonts w:hint="eastAsia" w:ascii="宋体" w:hAnsi="宋体" w:cs="宋体"/>
          <w:b/>
          <w:bCs/>
          <w:color w:val="000000" w:themeColor="text1"/>
          <w:szCs w:val="21"/>
          <w:highlight w:val="none"/>
          <w14:textFill>
            <w14:solidFill>
              <w14:schemeClr w14:val="tx1"/>
            </w14:solidFill>
          </w14:textFill>
        </w:rPr>
        <w:t>（必须提供，格式见第六章）；</w:t>
      </w:r>
    </w:p>
    <w:p w14:paraId="053D8682">
      <w:pPr>
        <w:adjustRightInd w:val="0"/>
        <w:snapToGrid w:val="0"/>
        <w:spacing w:line="36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可作为投标人资信评分的资质证明材料（可选） </w:t>
      </w:r>
    </w:p>
    <w:p w14:paraId="06F5936C">
      <w:pPr>
        <w:adjustRightInd w:val="0"/>
        <w:snapToGrid w:val="0"/>
        <w:spacing w:line="36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（3）投标人的营业性演出许可证 </w:t>
      </w:r>
    </w:p>
    <w:p w14:paraId="0F32DACA">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（4）具备履行合同所必需的人员、设备和专业技术能力的证明材料</w:t>
      </w:r>
    </w:p>
    <w:p w14:paraId="5085B01D">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（5）劳务派遣服务许可证；</w:t>
      </w:r>
    </w:p>
    <w:p w14:paraId="0FEE8828">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（6）质量管理体系认证证书；</w:t>
      </w:r>
    </w:p>
    <w:p w14:paraId="7C3FC2BD">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（7）环境管理体系认证证书；</w:t>
      </w:r>
    </w:p>
    <w:p w14:paraId="7E8812A3">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（8）职业健康安全管理体系认证证书；</w:t>
      </w:r>
    </w:p>
    <w:p w14:paraId="0C7AC2E1">
      <w:pPr>
        <w:adjustRightInd w:val="0"/>
        <w:snapToGrid w:val="0"/>
        <w:spacing w:line="36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（9）投标人20</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以</w:t>
      </w:r>
      <w:r>
        <w:rPr>
          <w:rFonts w:hint="eastAsia" w:ascii="宋体" w:hAnsi="宋体" w:cs="宋体"/>
          <w:color w:val="000000" w:themeColor="text1"/>
          <w:highlight w:val="none"/>
          <w14:textFill>
            <w14:solidFill>
              <w14:schemeClr w14:val="tx1"/>
            </w14:solidFill>
          </w14:textFill>
        </w:rPr>
        <w:t>来同类项目业绩【以中标通知或合同为准】复印件</w:t>
      </w:r>
      <w:r>
        <w:rPr>
          <w:rFonts w:hint="eastAsia" w:ascii="宋体" w:hAnsi="宋体" w:cs="宋体"/>
          <w:color w:val="000000" w:themeColor="text1"/>
          <w:szCs w:val="21"/>
          <w:highlight w:val="none"/>
          <w14:textFill>
            <w14:solidFill>
              <w14:schemeClr w14:val="tx1"/>
            </w14:solidFill>
          </w14:textFill>
        </w:rPr>
        <w:t>；</w:t>
      </w:r>
    </w:p>
    <w:p w14:paraId="0BFDA692">
      <w:pPr>
        <w:adjustRightInd w:val="0"/>
        <w:snapToGrid w:val="0"/>
        <w:spacing w:line="36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）中小企业声明函（格式见第六章）</w:t>
      </w:r>
      <w:r>
        <w:rPr>
          <w:rFonts w:hint="eastAsia" w:ascii="宋体" w:hAnsi="宋体" w:cs="宋体"/>
          <w:color w:val="000000" w:themeColor="text1"/>
          <w:szCs w:val="21"/>
          <w:highlight w:val="none"/>
          <w:lang w:eastAsia="zh-CN"/>
          <w14:textFill>
            <w14:solidFill>
              <w14:schemeClr w14:val="tx1"/>
            </w14:solidFill>
          </w14:textFill>
        </w:rPr>
        <w:t>；</w:t>
      </w:r>
    </w:p>
    <w:p w14:paraId="6ACED809">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）投标人情况介绍，投标人关于本单位债务纠纷、违法违规记录等方面的情况。</w:t>
      </w:r>
    </w:p>
    <w:p w14:paraId="55C41A11">
      <w:pPr>
        <w:snapToGrid w:val="0"/>
        <w:spacing w:before="156" w:beforeLines="50" w:line="360" w:lineRule="exact"/>
        <w:ind w:firstLine="413" w:firstLineChars="196"/>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4.技术文件：</w:t>
      </w:r>
    </w:p>
    <w:p w14:paraId="100698B2">
      <w:pPr>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（1）服务响应表</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1872E3B2">
      <w:pPr>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服务方案</w:t>
      </w:r>
      <w:r>
        <w:rPr>
          <w:rFonts w:hint="eastAsia" w:ascii="宋体" w:hAnsi="宋体" w:cs="宋体"/>
          <w:b/>
          <w:color w:val="000000" w:themeColor="text1"/>
          <w:szCs w:val="21"/>
          <w:highlight w:val="none"/>
          <w14:textFill>
            <w14:solidFill>
              <w14:schemeClr w14:val="tx1"/>
            </w14:solidFill>
          </w14:textFill>
        </w:rPr>
        <w:t>（格式自拟，必须提供）</w:t>
      </w:r>
      <w:r>
        <w:rPr>
          <w:rFonts w:hint="eastAsia" w:ascii="宋体" w:hAnsi="宋体" w:cs="宋体"/>
          <w:color w:val="000000" w:themeColor="text1"/>
          <w:szCs w:val="21"/>
          <w:highlight w:val="none"/>
          <w14:textFill>
            <w14:solidFill>
              <w14:schemeClr w14:val="tx1"/>
            </w14:solidFill>
          </w14:textFill>
        </w:rPr>
        <w:t>；</w:t>
      </w:r>
    </w:p>
    <w:p w14:paraId="2810AD81">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（3）投标人拥有主要服务设施的情况和现状（格式自拟）及项目实施人员一览表； </w:t>
      </w:r>
    </w:p>
    <w:p w14:paraId="3A0F57FC">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（4）优惠条件：投标人承诺给予招标人的各种优惠条件；</w:t>
      </w:r>
    </w:p>
    <w:p w14:paraId="0237A28A">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（5）投标人对本项目的合理化建议和改进措施；</w:t>
      </w:r>
    </w:p>
    <w:p w14:paraId="3CFB0324">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（6）投标人需要说明的其他文件和说明（格式略）；</w:t>
      </w:r>
    </w:p>
    <w:p w14:paraId="630FCA46">
      <w:pPr>
        <w:snapToGrid w:val="0"/>
        <w:spacing w:before="156" w:beforeLines="50" w:line="360" w:lineRule="exact"/>
        <w:ind w:firstLine="413" w:firstLineChars="196"/>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5.报价文件：</w:t>
      </w:r>
    </w:p>
    <w:p w14:paraId="06796DC5">
      <w:pPr>
        <w:tabs>
          <w:tab w:val="left" w:pos="3870"/>
          <w:tab w:val="left" w:pos="4085"/>
        </w:tabs>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bookmarkStart w:id="33" w:name="_Toc254970537"/>
      <w:bookmarkStart w:id="34" w:name="_Toc254970678"/>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（1）投标函</w:t>
      </w:r>
      <w:r>
        <w:rPr>
          <w:rFonts w:hint="eastAsia" w:ascii="宋体" w:hAnsi="宋体" w:cs="宋体"/>
          <w:b/>
          <w:color w:val="000000" w:themeColor="text1"/>
          <w:szCs w:val="21"/>
          <w:highlight w:val="none"/>
          <w14:textFill>
            <w14:solidFill>
              <w14:schemeClr w14:val="tx1"/>
            </w14:solidFill>
          </w14:textFill>
        </w:rPr>
        <w:t>（格式见第六章，必须提供</w:t>
      </w:r>
      <w:r>
        <w:rPr>
          <w:rFonts w:hint="eastAsia" w:ascii="宋体" w:hAnsi="宋体" w:cs="宋体"/>
          <w:color w:val="000000" w:themeColor="text1"/>
          <w:szCs w:val="21"/>
          <w:highlight w:val="none"/>
          <w14:textFill>
            <w14:solidFill>
              <w14:schemeClr w14:val="tx1"/>
            </w14:solidFill>
          </w14:textFill>
        </w:rPr>
        <w:t xml:space="preserve">）； </w:t>
      </w:r>
    </w:p>
    <w:p w14:paraId="773694CE">
      <w:pPr>
        <w:tabs>
          <w:tab w:val="left" w:pos="3870"/>
          <w:tab w:val="left" w:pos="4085"/>
        </w:tabs>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（2）投标报价明细表</w:t>
      </w:r>
      <w:r>
        <w:rPr>
          <w:rFonts w:hint="eastAsia" w:ascii="宋体" w:hAnsi="宋体" w:cs="宋体"/>
          <w:b/>
          <w:color w:val="000000" w:themeColor="text1"/>
          <w:szCs w:val="21"/>
          <w:highlight w:val="none"/>
          <w14:textFill>
            <w14:solidFill>
              <w14:schemeClr w14:val="tx1"/>
            </w14:solidFill>
          </w14:textFill>
        </w:rPr>
        <w:t>（格式见第六章，必须提供</w:t>
      </w:r>
      <w:r>
        <w:rPr>
          <w:rFonts w:hint="eastAsia" w:ascii="宋体" w:hAnsi="宋体" w:cs="宋体"/>
          <w:color w:val="000000" w:themeColor="text1"/>
          <w:szCs w:val="21"/>
          <w:highlight w:val="none"/>
          <w14:textFill>
            <w14:solidFill>
              <w14:schemeClr w14:val="tx1"/>
            </w14:solidFill>
          </w14:textFill>
        </w:rPr>
        <w:t>）；</w:t>
      </w:r>
    </w:p>
    <w:p w14:paraId="127099D7">
      <w:pPr>
        <w:tabs>
          <w:tab w:val="left" w:pos="3870"/>
          <w:tab w:val="left" w:pos="4085"/>
        </w:tabs>
        <w:adjustRightInd w:val="0"/>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（3）投标人针对报价需要说明的其他文件和说明；（格式自拟）</w:t>
      </w:r>
    </w:p>
    <w:p w14:paraId="62812785">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▲（4）开标一览表（</w:t>
      </w:r>
      <w:r>
        <w:rPr>
          <w:rFonts w:hint="eastAsia" w:ascii="宋体" w:hAnsi="宋体" w:cs="宋体"/>
          <w:b/>
          <w:color w:val="000000" w:themeColor="text1"/>
          <w:szCs w:val="21"/>
          <w:highlight w:val="none"/>
          <w14:textFill>
            <w14:solidFill>
              <w14:schemeClr w14:val="tx1"/>
            </w14:solidFill>
          </w14:textFill>
        </w:rPr>
        <w:t>格式见第六章,必须提供）</w:t>
      </w:r>
      <w:r>
        <w:rPr>
          <w:rFonts w:hint="eastAsia" w:ascii="宋体" w:hAnsi="宋体" w:cs="宋体"/>
          <w:color w:val="000000" w:themeColor="text1"/>
          <w:szCs w:val="21"/>
          <w:highlight w:val="none"/>
          <w14:textFill>
            <w14:solidFill>
              <w14:schemeClr w14:val="tx1"/>
            </w14:solidFill>
          </w14:textFill>
        </w:rPr>
        <w:t>。</w:t>
      </w:r>
    </w:p>
    <w:bookmarkEnd w:id="33"/>
    <w:bookmarkEnd w:id="34"/>
    <w:p w14:paraId="77EAFF7D">
      <w:pPr>
        <w:pStyle w:val="48"/>
        <w:spacing w:line="360" w:lineRule="exact"/>
        <w:ind w:firstLine="422" w:firstLineChars="200"/>
        <w:rPr>
          <w:rFonts w:ascii="宋体" w:hAnsi="宋体" w:cs="宋体"/>
          <w:b/>
          <w:bCs/>
          <w:color w:val="000000" w:themeColor="text1"/>
          <w:sz w:val="21"/>
          <w:szCs w:val="21"/>
          <w:highlight w:val="none"/>
          <w14:textFill>
            <w14:solidFill>
              <w14:schemeClr w14:val="tx1"/>
            </w14:solidFill>
          </w14:textFill>
        </w:rPr>
      </w:pPr>
      <w:bookmarkStart w:id="35" w:name="_Toc254970685"/>
      <w:bookmarkStart w:id="36" w:name="_Toc254970544"/>
      <w:r>
        <w:rPr>
          <w:rFonts w:hint="eastAsia" w:ascii="宋体" w:hAnsi="宋体" w:cs="宋体"/>
          <w:b/>
          <w:bCs/>
          <w:color w:val="000000" w:themeColor="text1"/>
          <w:sz w:val="21"/>
          <w:szCs w:val="21"/>
          <w:highlight w:val="none"/>
          <w14:textFill>
            <w14:solidFill>
              <w14:schemeClr w14:val="tx1"/>
            </w14:solidFill>
          </w14:textFill>
        </w:rPr>
        <w:t>特别说明：</w:t>
      </w:r>
    </w:p>
    <w:p w14:paraId="5FC6EC6C">
      <w:pPr>
        <w:pStyle w:val="48"/>
        <w:spacing w:line="36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（1）法定代表人（负责人）授权委托书必须由法定代表人（负责人）签名并加盖 单位公章；承诺函、投标函、开标一览表必须由法定代表人（负责人）或委托代理人签名并加盖单位公章。电子投标文件须加盖公章部分均采用CA签章。</w:t>
      </w:r>
    </w:p>
    <w:p w14:paraId="4D2D45C1">
      <w:pPr>
        <w:pStyle w:val="48"/>
        <w:spacing w:line="360" w:lineRule="exact"/>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（2）投标文件，其中电子投标文件中所须加盖公章部分均采用CA签章。若招标文件中有专门标注的某关联点，并要求</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在电子投标系统中作出投标响应的，如</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未对关联点进行响应或者在投标文件其它内容进行描述，造成电子评审不能查询的责任由</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自行承担。</w:t>
      </w:r>
    </w:p>
    <w:p w14:paraId="288E96B1">
      <w:pPr>
        <w:adjustRightInd w:val="0"/>
        <w:snapToGrid w:val="0"/>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（二）投标文件的语言及计量</w:t>
      </w:r>
    </w:p>
    <w:p w14:paraId="3A53B4B8">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▲1投标文件以及投标方与招标方就有关投标事宜的所有来往函电，均应以中文汉语书写。除签字、盖章、专用名称等特殊情形外，以中文汉语以外的文字表述的投标文件视同未提供。</w:t>
      </w:r>
    </w:p>
    <w:p w14:paraId="320EBCDC">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14:paraId="13F6AB43">
      <w:pPr>
        <w:adjustRightInd w:val="0"/>
        <w:snapToGrid w:val="0"/>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（三）投标报价</w:t>
      </w:r>
    </w:p>
    <w:p w14:paraId="3C7C0FD5">
      <w:pPr>
        <w:pStyle w:val="29"/>
        <w:adjustRightInd w:val="0"/>
        <w:snapToGrid w:val="0"/>
        <w:spacing w:line="360" w:lineRule="exact"/>
        <w:ind w:firstLine="420" w:firstLineChars="200"/>
        <w:jc w:val="left"/>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1.投标报价应按招标文件中相关附表格式填写。投标人必须就《项目采购需求》中的服务内容作完整唯一报价。</w:t>
      </w:r>
    </w:p>
    <w:p w14:paraId="1FA8183B">
      <w:pPr>
        <w:pStyle w:val="29"/>
        <w:adjustRightInd w:val="0"/>
        <w:snapToGrid w:val="0"/>
        <w:spacing w:line="360" w:lineRule="exact"/>
        <w:ind w:firstLine="420" w:firstLineChars="200"/>
        <w:jc w:val="left"/>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2.投标报价是履行合同的最终价格。</w:t>
      </w:r>
    </w:p>
    <w:p w14:paraId="3C564D7B">
      <w:pPr>
        <w:tabs>
          <w:tab w:val="left" w:pos="525"/>
        </w:tabs>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▲3.投标文件只允许有一个报价，有选择的或有条件的报价将不予接受。</w:t>
      </w:r>
    </w:p>
    <w:p w14:paraId="362FA08B">
      <w:pPr>
        <w:pStyle w:val="14"/>
        <w:widowControl w:val="0"/>
        <w:tabs>
          <w:tab w:val="clear" w:pos="454"/>
        </w:tabs>
        <w:adjustRightInd w:val="0"/>
        <w:snapToGrid w:val="0"/>
        <w:spacing w:afterLines="0" w:line="360" w:lineRule="exact"/>
        <w:ind w:left="0"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（四）投标文件的有效期</w:t>
      </w:r>
    </w:p>
    <w:p w14:paraId="6EBD7843">
      <w:pPr>
        <w:pStyle w:val="29"/>
        <w:adjustRightInd w:val="0"/>
        <w:snapToGrid w:val="0"/>
        <w:spacing w:line="360" w:lineRule="exact"/>
        <w:ind w:firstLine="420" w:firstLineChars="200"/>
        <w:jc w:val="left"/>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1.自投标截止日起60天投标文件应保持有效。有效期不足的投标文件将被拒绝。</w:t>
      </w:r>
    </w:p>
    <w:p w14:paraId="69AEC632">
      <w:pPr>
        <w:pStyle w:val="29"/>
        <w:adjustRightInd w:val="0"/>
        <w:snapToGrid w:val="0"/>
        <w:spacing w:line="360" w:lineRule="exact"/>
        <w:ind w:firstLine="420" w:firstLineChars="200"/>
        <w:jc w:val="left"/>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2.在特殊情况下，招标人可与投标人协商延长投标书的有效期，这种要求和答复均以书面形式进行。</w:t>
      </w:r>
    </w:p>
    <w:p w14:paraId="4DCF2CB4">
      <w:pPr>
        <w:pStyle w:val="29"/>
        <w:adjustRightInd w:val="0"/>
        <w:snapToGrid w:val="0"/>
        <w:spacing w:line="360" w:lineRule="exact"/>
        <w:ind w:firstLine="420" w:firstLineChars="200"/>
        <w:jc w:val="left"/>
        <w:rPr>
          <w:rFonts w:hAnsi="宋体" w:cs="宋体"/>
          <w:color w:val="000000" w:themeColor="text1"/>
          <w:kern w:val="2"/>
          <w:sz w:val="21"/>
          <w:highlight w:val="none"/>
          <w14:textFill>
            <w14:solidFill>
              <w14:schemeClr w14:val="tx1"/>
            </w14:solidFill>
          </w14:textFill>
        </w:rPr>
      </w:pPr>
      <w:bookmarkStart w:id="37" w:name="_Toc254970681"/>
      <w:bookmarkStart w:id="38" w:name="_Toc254970540"/>
      <w:r>
        <w:rPr>
          <w:rFonts w:hint="eastAsia" w:hAnsi="宋体" w:cs="宋体"/>
          <w:color w:val="000000" w:themeColor="text1"/>
          <w:kern w:val="2"/>
          <w:sz w:val="21"/>
          <w:highlight w:val="none"/>
          <w14:textFill>
            <w14:solidFill>
              <w14:schemeClr w14:val="tx1"/>
            </w14:solidFill>
          </w14:textFill>
        </w:rPr>
        <w:t>3.中标人的投标文件自开标之日起至合同履行完毕止均应保持有效。</w:t>
      </w:r>
      <w:bookmarkEnd w:id="37"/>
      <w:bookmarkEnd w:id="38"/>
    </w:p>
    <w:p w14:paraId="7DD360F9">
      <w:pPr>
        <w:adjustRightInd w:val="0"/>
        <w:snapToGrid w:val="0"/>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（五）投标保证金</w:t>
      </w:r>
    </w:p>
    <w:p w14:paraId="408384A1">
      <w:pPr>
        <w:autoSpaceDE w:val="0"/>
        <w:autoSpaceDN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本项目不收取投标保证金。</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在采购活动中违反相关法律法规规章规定的，本中心将报告政府采购监督管理部门，由政府采购监督管理部门依照相关规定作出处理。</w:t>
      </w:r>
    </w:p>
    <w:p w14:paraId="527CF128">
      <w:pPr>
        <w:adjustRightInd w:val="0"/>
        <w:snapToGrid w:val="0"/>
        <w:spacing w:line="360" w:lineRule="exact"/>
        <w:ind w:firstLine="422" w:firstLineChars="200"/>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（六）投标文件的签署和份数</w:t>
      </w:r>
    </w:p>
    <w:p w14:paraId="3A9726B8">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人应按照招标文件的要求编制完整的投标文件，投标文件须对招标文件中的内容做出实质性和完整的响应，混乱的编排导致投标文件被误读、漏读或查找不到相关内容的，投标文件留有空项的地方，其投标将会被拒绝。</w:t>
      </w:r>
    </w:p>
    <w:p w14:paraId="3873B5E9">
      <w:pPr>
        <w:snapToGrid w:val="0"/>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2.电子投标文件中须加盖</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公章部分均采用 CA 签章，并根据“政府采购项目电子交易管理操作指南-</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 及本招标文件规定的格式和顺序编制电子投标文件并进行关联定位，以便评标委员会在评审时，点击评分项可直接定位到该评分项内容。如对招标文件的某项要求，</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的电子投标文件未能关联定位提供相应的内容与其对应，则评标委员会在评审时如做出对</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不利的评审由</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自行承担。电子投标文件如内容不完整、编排混乱导致投标文件被误读、 漏读，或者在按采购文件规定的部位查找不到相关内容的，由</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自行承担。</w:t>
      </w:r>
    </w:p>
    <w:p w14:paraId="79E9667D">
      <w:pPr>
        <w:snapToGrid w:val="0"/>
        <w:spacing w:line="360" w:lineRule="exact"/>
        <w:ind w:firstLine="422"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3.投标文件中涉及到签名的位置未按要求进行签名的，提供的材料视为无效。</w:t>
      </w:r>
    </w:p>
    <w:p w14:paraId="7C018355">
      <w:pPr>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4.投标文件不得涂改，若有修改错漏处，须加盖单位公章或者法定代表人（负责人）或授权委托人签字或盖章。投标文件因字迹潦草或表达不清所引起的后果由</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负责。</w:t>
      </w:r>
    </w:p>
    <w:p w14:paraId="5C8D5B60">
      <w:pPr>
        <w:snapToGrid w:val="0"/>
        <w:spacing w:before="156" w:beforeLines="50" w:line="360" w:lineRule="exact"/>
        <w:ind w:firstLine="310" w:firstLineChars="147"/>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（七）投标文件的递交、修改和撤回</w:t>
      </w:r>
    </w:p>
    <w:p w14:paraId="2C9DE77F">
      <w:pPr>
        <w:snapToGrid w:val="0"/>
        <w:spacing w:line="360" w:lineRule="exact"/>
        <w:ind w:firstLine="420"/>
        <w:jc w:val="left"/>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投标文件的</w:t>
      </w:r>
      <w:r>
        <w:rPr>
          <w:rFonts w:hint="eastAsia" w:ascii="宋体" w:hAnsi="宋体" w:cs="宋体"/>
          <w:b/>
          <w:color w:val="000000" w:themeColor="text1"/>
          <w:spacing w:val="-4"/>
          <w:szCs w:val="21"/>
          <w:highlight w:val="none"/>
          <w14:textFill>
            <w14:solidFill>
              <w14:schemeClr w14:val="tx1"/>
            </w14:solidFill>
          </w14:textFill>
        </w:rPr>
        <w:t>递交</w:t>
      </w:r>
    </w:p>
    <w:p w14:paraId="7DAD4DD3">
      <w:pPr>
        <w:snapToGrid w:val="0"/>
        <w:spacing w:line="360" w:lineRule="exact"/>
        <w:ind w:firstLine="420"/>
        <w:jc w:val="left"/>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所有投标文件应于招标文件中规定的时间上传递交至广西政府采购云平台。</w:t>
      </w:r>
    </w:p>
    <w:p w14:paraId="02174F91">
      <w:pPr>
        <w:snapToGrid w:val="0"/>
        <w:spacing w:line="360" w:lineRule="exact"/>
        <w:ind w:firstLine="420"/>
        <w:jc w:val="left"/>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2.电子投标文件的相关说明</w:t>
      </w:r>
    </w:p>
    <w:p w14:paraId="28AE2046">
      <w:pPr>
        <w:snapToGrid w:val="0"/>
        <w:spacing w:line="360" w:lineRule="exact"/>
        <w:ind w:firstLine="420"/>
        <w:jc w:val="left"/>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（1）</w:t>
      </w:r>
      <w:r>
        <w:rPr>
          <w:rFonts w:hint="eastAsia" w:ascii="宋体" w:hAnsi="宋体" w:cs="宋体"/>
          <w:b/>
          <w:color w:val="000000" w:themeColor="text1"/>
          <w:spacing w:val="-4"/>
          <w:szCs w:val="21"/>
          <w:highlight w:val="none"/>
          <w:lang w:eastAsia="zh-CN"/>
          <w14:textFill>
            <w14:solidFill>
              <w14:schemeClr w14:val="tx1"/>
            </w14:solidFill>
          </w14:textFill>
        </w:rPr>
        <w:t>投标人</w:t>
      </w:r>
      <w:r>
        <w:rPr>
          <w:rFonts w:hint="eastAsia" w:ascii="宋体" w:hAnsi="宋体" w:cs="宋体"/>
          <w:b/>
          <w:color w:val="000000" w:themeColor="text1"/>
          <w:spacing w:val="-4"/>
          <w:szCs w:val="21"/>
          <w:highlight w:val="none"/>
          <w14:textFill>
            <w14:solidFill>
              <w14:schemeClr w14:val="tx1"/>
            </w14:solidFill>
          </w14:textFill>
        </w:rPr>
        <w:t>进行电子投标应安装客户端软件，并按照采购文件和电子交易平台的要求编制并加密投标文件。</w:t>
      </w:r>
      <w:r>
        <w:rPr>
          <w:rFonts w:hint="eastAsia" w:ascii="宋体" w:hAnsi="宋体" w:cs="宋体"/>
          <w:b/>
          <w:color w:val="000000" w:themeColor="text1"/>
          <w:spacing w:val="-4"/>
          <w:szCs w:val="21"/>
          <w:highlight w:val="none"/>
          <w:lang w:eastAsia="zh-CN"/>
          <w14:textFill>
            <w14:solidFill>
              <w14:schemeClr w14:val="tx1"/>
            </w14:solidFill>
          </w14:textFill>
        </w:rPr>
        <w:t>投标人</w:t>
      </w:r>
      <w:r>
        <w:rPr>
          <w:rFonts w:hint="eastAsia" w:ascii="宋体" w:hAnsi="宋体" w:cs="宋体"/>
          <w:b/>
          <w:color w:val="000000" w:themeColor="text1"/>
          <w:spacing w:val="-4"/>
          <w:szCs w:val="21"/>
          <w:highlight w:val="none"/>
          <w14:textFill>
            <w14:solidFill>
              <w14:schemeClr w14:val="tx1"/>
            </w14:solidFill>
          </w14:textFill>
        </w:rPr>
        <w:t>未按规定加密的投标文件，电子交易平台将拒收。</w:t>
      </w:r>
      <w:r>
        <w:rPr>
          <w:rFonts w:hint="eastAsia" w:ascii="宋体" w:hAnsi="宋体" w:cs="宋体"/>
          <w:b/>
          <w:color w:val="000000" w:themeColor="text1"/>
          <w:spacing w:val="-4"/>
          <w:szCs w:val="21"/>
          <w:highlight w:val="none"/>
          <w:lang w:eastAsia="zh-CN"/>
          <w14:textFill>
            <w14:solidFill>
              <w14:schemeClr w14:val="tx1"/>
            </w14:solidFill>
          </w14:textFill>
        </w:rPr>
        <w:t>投标人</w:t>
      </w:r>
      <w:r>
        <w:rPr>
          <w:rFonts w:hint="eastAsia" w:ascii="宋体" w:hAnsi="宋体" w:cs="宋体"/>
          <w:b/>
          <w:color w:val="000000" w:themeColor="text1"/>
          <w:spacing w:val="-4"/>
          <w:szCs w:val="21"/>
          <w:highlight w:val="none"/>
          <w14:textFill>
            <w14:solidFill>
              <w14:schemeClr w14:val="tx1"/>
            </w14:solidFill>
          </w14:textFill>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0E1C12E">
      <w:pPr>
        <w:snapToGrid w:val="0"/>
        <w:spacing w:line="360" w:lineRule="exact"/>
        <w:ind w:firstLine="420"/>
        <w:jc w:val="left"/>
        <w:rPr>
          <w:rFonts w:ascii="宋体" w:hAnsi="宋体" w:cs="宋体"/>
          <w:color w:val="000000" w:themeColor="text1"/>
          <w:spacing w:val="-4"/>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（2）如有特殊情况，本中心延长截止时间和开标时间，本中心和</w:t>
      </w:r>
      <w:r>
        <w:rPr>
          <w:rFonts w:hint="eastAsia" w:ascii="宋体" w:hAnsi="宋体" w:cs="宋体"/>
          <w:b/>
          <w:color w:val="000000" w:themeColor="text1"/>
          <w:spacing w:val="-4"/>
          <w:szCs w:val="21"/>
          <w:highlight w:val="none"/>
          <w:lang w:eastAsia="zh-CN"/>
          <w14:textFill>
            <w14:solidFill>
              <w14:schemeClr w14:val="tx1"/>
            </w14:solidFill>
          </w14:textFill>
        </w:rPr>
        <w:t>投标人</w:t>
      </w:r>
      <w:r>
        <w:rPr>
          <w:rFonts w:hint="eastAsia" w:ascii="宋体" w:hAnsi="宋体" w:cs="宋体"/>
          <w:b/>
          <w:color w:val="000000" w:themeColor="text1"/>
          <w:spacing w:val="-4"/>
          <w:szCs w:val="21"/>
          <w:highlight w:val="none"/>
          <w14:textFill>
            <w14:solidFill>
              <w14:schemeClr w14:val="tx1"/>
            </w14:solidFill>
          </w14:textFill>
        </w:rPr>
        <w:t>的权利和义务将受到新的截止时间和开标时间的约束。</w:t>
      </w:r>
    </w:p>
    <w:p w14:paraId="50325146">
      <w:pPr>
        <w:snapToGrid w:val="0"/>
        <w:spacing w:line="360" w:lineRule="exact"/>
        <w:ind w:firstLine="420"/>
        <w:jc w:val="left"/>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3.投标人已经被推荐为第一中标候选</w:t>
      </w:r>
      <w:r>
        <w:rPr>
          <w:rFonts w:hint="eastAsia" w:ascii="宋体" w:hAnsi="宋体" w:cs="宋体"/>
          <w:color w:val="000000" w:themeColor="text1"/>
          <w:spacing w:val="-4"/>
          <w:szCs w:val="21"/>
          <w:highlight w:val="none"/>
          <w:lang w:eastAsia="zh-CN"/>
          <w14:textFill>
            <w14:solidFill>
              <w14:schemeClr w14:val="tx1"/>
            </w14:solidFill>
          </w14:textFill>
        </w:rPr>
        <w:t>投标人</w:t>
      </w:r>
      <w:r>
        <w:rPr>
          <w:rFonts w:hint="eastAsia" w:ascii="宋体" w:hAnsi="宋体" w:cs="宋体"/>
          <w:color w:val="000000" w:themeColor="text1"/>
          <w:spacing w:val="-4"/>
          <w:szCs w:val="21"/>
          <w:highlight w:val="none"/>
          <w14:textFill>
            <w14:solidFill>
              <w14:schemeClr w14:val="tx1"/>
            </w14:solidFill>
          </w14:textFill>
        </w:rPr>
        <w:t>后撤回投标或放弃中标的，给采购人造成损失的，应当赔偿损失，并作为不良行为记录在案。</w:t>
      </w:r>
    </w:p>
    <w:p w14:paraId="4BFA8738">
      <w:pPr>
        <w:snapToGrid w:val="0"/>
        <w:spacing w:line="360" w:lineRule="exact"/>
        <w:ind w:firstLine="42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（八）投标无效的情形</w:t>
      </w:r>
    </w:p>
    <w:p w14:paraId="74964545">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3B1FED60">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1.在符合性审查和资格性审查时，如发现下列情形之一的，投标文件将被视为无效：</w:t>
      </w:r>
    </w:p>
    <w:p w14:paraId="72953B7B">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（1）超越了按照法律法规规定必须获得行政许可或者行政审批的经营范围的；</w:t>
      </w:r>
    </w:p>
    <w:p w14:paraId="1691E4F4">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（2）资格证明文件不全的，或者不符合招标文件标明的资格要求的；</w:t>
      </w:r>
    </w:p>
    <w:p w14:paraId="494DA1E6">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（3）投标文件无法定代表人（负责人）或其授权委托代理人签字或盖章，或未提供法定代表人（负责人）授权委托书、投标声明书或者填写项目不齐全的；</w:t>
      </w:r>
    </w:p>
    <w:p w14:paraId="16B24865">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（4）投标代表人未能出具身份证明或与法定代表人（负责人）授权委托人身份不符的；</w:t>
      </w:r>
    </w:p>
    <w:p w14:paraId="53453186">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（5）项目不齐全或者内容虚假的；</w:t>
      </w:r>
    </w:p>
    <w:p w14:paraId="28E437DB">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（6）投标文件的实质性内容未使用中文表述、意思表述不明确、前后矛盾或者使用计量单位不符合投标文件要求的（经评标委员会认定并允许其当场更正的笔误除外）；</w:t>
      </w:r>
    </w:p>
    <w:p w14:paraId="5809FE3C">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（7）投标有效期、交付使用时间、质保期等商务条款不能满足招标文件要求的；</w:t>
      </w:r>
    </w:p>
    <w:p w14:paraId="50A4E1C1">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（8）未实质性响应招标文件要求或者投标文件有招标方不能接受的附加条件的；</w:t>
      </w:r>
    </w:p>
    <w:p w14:paraId="66C6DE0A">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2.在技术评审时，如发现下列情形之一的，投标文件将被视为无效：</w:t>
      </w:r>
    </w:p>
    <w:p w14:paraId="2E6F2AAE">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（1）未提供或未如实提供投标货物的技术参数，或者投标文件标明的响应或偏离与事实不符或虚假投标的；</w:t>
      </w:r>
    </w:p>
    <w:p w14:paraId="1A27CE43">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（2）明显不符合招标文件要求的规格型号、质量标准，或者与招标文件中的技术指标、主要功能项目发生实质性偏离的；</w:t>
      </w:r>
    </w:p>
    <w:p w14:paraId="36B181EC">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（3）标明星号“★”的技术、性能指标发生负偏离达1项（含）以上的（如有）；</w:t>
      </w:r>
    </w:p>
    <w:p w14:paraId="107203C4">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（4）投标技术方案不明确，存在一个或一个以上备选（替换）投标方案的；</w:t>
      </w:r>
    </w:p>
    <w:p w14:paraId="13AD550A">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（5）与其他参加本次投标</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投标人</w:t>
      </w:r>
      <w:r>
        <w:rPr>
          <w:rFonts w:hint="eastAsia" w:ascii="宋体" w:hAnsi="宋体" w:eastAsia="宋体" w:cs="宋体"/>
          <w:color w:val="000000" w:themeColor="text1"/>
          <w:spacing w:val="-4"/>
          <w:sz w:val="21"/>
          <w:szCs w:val="21"/>
          <w:highlight w:val="none"/>
          <w14:textFill>
            <w14:solidFill>
              <w14:schemeClr w14:val="tx1"/>
            </w14:solidFill>
          </w14:textFill>
        </w:rPr>
        <w:t>的投标文件（技术文件）的文字表述内容差错相同二处以上的。</w:t>
      </w:r>
    </w:p>
    <w:p w14:paraId="2E48E6A6">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3.在报价评审时，如发现下列情形之一的，投标文件将被视为无效：</w:t>
      </w:r>
    </w:p>
    <w:p w14:paraId="2C8A347B">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（1）未采用人民币报价或者未按照招标文件标明的币种报价的；</w:t>
      </w:r>
    </w:p>
    <w:p w14:paraId="09E63AF5">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（2）报价超出最高限价，或者超出采购预算金额，采购人不能支付的；</w:t>
      </w:r>
    </w:p>
    <w:p w14:paraId="2F85DAFF">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（3）投标报价具有选择性，或者开标价格与投标文件承诺的优惠（折扣）价格不一致的。</w:t>
      </w:r>
    </w:p>
    <w:p w14:paraId="1723ECE2">
      <w:pPr>
        <w:pStyle w:val="22"/>
        <w:snapToGrid w:val="0"/>
        <w:spacing w:line="360" w:lineRule="exact"/>
        <w:ind w:firstLine="0" w:firstLineChars="0"/>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 xml:space="preserve">   （4）投标报价属于招标文件规定的政府采购异常低价情形之一，且投标人不能提供书面说明、证明材料，或者提供的书面说明、证明材料不能证明其报价合理性的。</w:t>
      </w:r>
    </w:p>
    <w:p w14:paraId="4E49B906">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4.有下列情形之一的视为投标人相互串通投标，投标文件将被视为无效:</w:t>
      </w:r>
    </w:p>
    <w:p w14:paraId="40AED01D">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（1）不同投标人的投标文件由同一单位或者个人编制；或不同投标人报名的IP地址一致的；</w:t>
      </w:r>
    </w:p>
    <w:p w14:paraId="3AB0B8D9">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（2）不同投标人委托同一单位或者个人办理投标事宜；</w:t>
      </w:r>
    </w:p>
    <w:p w14:paraId="121ACFA5">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（3）不同投标人的投标文件载明的项目管理成员或者联系人员为同一人；</w:t>
      </w:r>
    </w:p>
    <w:p w14:paraId="2C8EA149">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（4）不同投标人的投标文件异常一致或投标报价呈规律性差异；</w:t>
      </w:r>
    </w:p>
    <w:p w14:paraId="62830D6F">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（5）不同投标人的投标文件相互混装；</w:t>
      </w:r>
    </w:p>
    <w:p w14:paraId="59C2CB69">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（6）不同投标人的投标保证金从同一个单位或者个人账户转出。</w:t>
      </w:r>
    </w:p>
    <w:p w14:paraId="10C014CF">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5.有下列情形之一的视为关联</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投标人</w:t>
      </w:r>
      <w:r>
        <w:rPr>
          <w:rFonts w:hint="eastAsia" w:ascii="宋体" w:hAnsi="宋体" w:eastAsia="宋体" w:cs="宋体"/>
          <w:color w:val="000000" w:themeColor="text1"/>
          <w:spacing w:val="-4"/>
          <w:sz w:val="21"/>
          <w:szCs w:val="21"/>
          <w:highlight w:val="none"/>
          <w14:textFill>
            <w14:solidFill>
              <w14:schemeClr w14:val="tx1"/>
            </w14:solidFill>
          </w14:textFill>
        </w:rPr>
        <w:t>参加同一合同项下政府采购活动，投标文件将被视为无效:</w:t>
      </w:r>
    </w:p>
    <w:p w14:paraId="02F8CB1F">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（1）单位负责人为同一人或者存在直接控股、管理关系的不同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投标人</w:t>
      </w:r>
      <w:r>
        <w:rPr>
          <w:rFonts w:hint="eastAsia" w:ascii="宋体" w:hAnsi="宋体" w:eastAsia="宋体" w:cs="宋体"/>
          <w:color w:val="000000" w:themeColor="text1"/>
          <w:spacing w:val="-4"/>
          <w:sz w:val="21"/>
          <w:szCs w:val="21"/>
          <w:highlight w:val="none"/>
          <w14:textFill>
            <w14:solidFill>
              <w14:schemeClr w14:val="tx1"/>
            </w14:solidFill>
          </w14:textFill>
        </w:rPr>
        <w:t>，参加同一合同项下的政府采购活动；</w:t>
      </w:r>
    </w:p>
    <w:p w14:paraId="3F2A951C">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（2）生产厂商授权给</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投标人</w:t>
      </w:r>
      <w:r>
        <w:rPr>
          <w:rFonts w:hint="eastAsia" w:ascii="宋体" w:hAnsi="宋体" w:eastAsia="宋体" w:cs="宋体"/>
          <w:color w:val="000000" w:themeColor="text1"/>
          <w:spacing w:val="-4"/>
          <w:sz w:val="21"/>
          <w:szCs w:val="21"/>
          <w:highlight w:val="none"/>
          <w14:textFill>
            <w14:solidFill>
              <w14:schemeClr w14:val="tx1"/>
            </w14:solidFill>
          </w14:textFill>
        </w:rPr>
        <w:t>后又参加同一合同项下的政府采购活动。</w:t>
      </w:r>
    </w:p>
    <w:p w14:paraId="2BB42295">
      <w:pPr>
        <w:pStyle w:val="22"/>
        <w:snapToGrid w:val="0"/>
        <w:spacing w:line="360" w:lineRule="exact"/>
        <w:ind w:firstLine="395" w:firstLineChars="196"/>
        <w:rPr>
          <w:rFonts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6.被拒绝的投标文件为无效。</w:t>
      </w:r>
    </w:p>
    <w:p w14:paraId="18C3BE30">
      <w:pPr>
        <w:adjustRightInd w:val="0"/>
        <w:snapToGrid w:val="0"/>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（九）</w:t>
      </w:r>
      <w:r>
        <w:rPr>
          <w:rFonts w:hint="eastAsia" w:ascii="宋体" w:hAnsi="宋体" w:cs="宋体"/>
          <w:b/>
          <w:color w:val="000000" w:themeColor="text1"/>
          <w:szCs w:val="21"/>
          <w:highlight w:val="none"/>
          <w:lang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有下列情形之一的，属于恶意串通行为：</w:t>
      </w:r>
    </w:p>
    <w:p w14:paraId="60E00508">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直接或者间接从采购人或者采购代理机构处获得其他</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的相关信息并修改其投标文件或者</w:t>
      </w:r>
      <w:r>
        <w:rPr>
          <w:rFonts w:hint="eastAsia" w:ascii="宋体" w:hAnsi="宋体" w:cs="宋体"/>
          <w:color w:val="000000" w:themeColor="text1"/>
          <w:szCs w:val="21"/>
          <w:highlight w:val="none"/>
          <w:lang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w:t>
      </w:r>
    </w:p>
    <w:p w14:paraId="5AD5CED0">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按照采购人或者采购代理机构的授意撤换、修改投标文件或者</w:t>
      </w:r>
      <w:r>
        <w:rPr>
          <w:rFonts w:hint="eastAsia" w:ascii="宋体" w:hAnsi="宋体" w:cs="宋体"/>
          <w:color w:val="000000" w:themeColor="text1"/>
          <w:szCs w:val="21"/>
          <w:highlight w:val="none"/>
          <w:lang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w:t>
      </w:r>
    </w:p>
    <w:p w14:paraId="7CED384D">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之间协商报价、技术方案等投标文件或者</w:t>
      </w:r>
      <w:r>
        <w:rPr>
          <w:rFonts w:hint="eastAsia" w:ascii="宋体" w:hAnsi="宋体" w:cs="宋体"/>
          <w:color w:val="000000" w:themeColor="text1"/>
          <w:szCs w:val="21"/>
          <w:highlight w:val="none"/>
          <w:lang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的实质性内容;</w:t>
      </w:r>
    </w:p>
    <w:p w14:paraId="4CCA6199">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按照该组织要求协同参加政府采购活动;</w:t>
      </w:r>
    </w:p>
    <w:p w14:paraId="6C624591">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之间事先约定一致抬高或者压低投标报价,或者在招标项目中事先约定轮流以高价位或者低价位中标,或者事先约定由某一特定</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中标,然后再参加投标;</w:t>
      </w:r>
    </w:p>
    <w:p w14:paraId="13842259">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之间商定部分</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放弃参加政府采购活动或者放弃中标;</w:t>
      </w:r>
    </w:p>
    <w:p w14:paraId="3F3B9445">
      <w:pPr>
        <w:adjustRightInd w:val="0"/>
        <w:snapToGrid w:val="0"/>
        <w:spacing w:line="36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与采购人或者采购代理机构之间、</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相互之间，为谋求特定</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中标或者排斥其他</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的其他串通行为。</w:t>
      </w:r>
    </w:p>
    <w:p w14:paraId="330EE8B1">
      <w:pPr>
        <w:adjustRightInd w:val="0"/>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存在以上恶意串通情形的，根据《中华人民共和国政府采购法》第七十二条及《中华人民共和国政府采购法实施条例》第七十四条规定进行处理。</w:t>
      </w:r>
    </w:p>
    <w:p w14:paraId="28BD1E04">
      <w:pPr>
        <w:pStyle w:val="29"/>
        <w:adjustRightInd w:val="0"/>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（十）废标</w:t>
      </w:r>
    </w:p>
    <w:p w14:paraId="125D6B38">
      <w:pPr>
        <w:pStyle w:val="29"/>
        <w:adjustRightInd w:val="0"/>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1.招标采购项目出现下列情形之一的，将予废标：</w:t>
      </w:r>
    </w:p>
    <w:p w14:paraId="4F73C84B">
      <w:pPr>
        <w:widowControl/>
        <w:adjustRightInd w:val="0"/>
        <w:snapToGrid w:val="0"/>
        <w:spacing w:line="360" w:lineRule="exact"/>
        <w:ind w:firstLine="514" w:firstLineChars="24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（1）截标后整个招标项目的投标人不足三家的或实质性响应不足法定三家的；</w:t>
      </w:r>
    </w:p>
    <w:p w14:paraId="78EF3B4C">
      <w:pPr>
        <w:widowControl/>
        <w:adjustRightInd w:val="0"/>
        <w:snapToGrid w:val="0"/>
        <w:spacing w:line="360" w:lineRule="exact"/>
        <w:ind w:firstLine="514" w:firstLineChars="245"/>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035AE7A5">
      <w:pPr>
        <w:widowControl/>
        <w:adjustRightInd w:val="0"/>
        <w:snapToGrid w:val="0"/>
        <w:spacing w:line="360" w:lineRule="exact"/>
        <w:ind w:firstLine="514" w:firstLineChars="24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（3）投标人的报价均超过了采购预算，采购人不能支付的；</w:t>
      </w:r>
    </w:p>
    <w:p w14:paraId="7576FD7A">
      <w:pPr>
        <w:widowControl/>
        <w:adjustRightInd w:val="0"/>
        <w:snapToGrid w:val="0"/>
        <w:spacing w:line="360" w:lineRule="exact"/>
        <w:ind w:firstLine="514" w:firstLineChars="245"/>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（4）因重大变故，采购任务取消的。</w:t>
      </w:r>
    </w:p>
    <w:p w14:paraId="65DD4FAC">
      <w:pPr>
        <w:pStyle w:val="22"/>
        <w:adjustRightInd w:val="0"/>
        <w:snapToGrid w:val="0"/>
        <w:spacing w:line="360" w:lineRule="exact"/>
        <w:ind w:firstLine="422" w:firstLineChars="200"/>
        <w:rPr>
          <w:rFonts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2.废标后，本中心将把废标理由通知所有投标人。</w:t>
      </w:r>
    </w:p>
    <w:p w14:paraId="58095311">
      <w:pPr>
        <w:pStyle w:val="22"/>
        <w:adjustRightInd w:val="0"/>
        <w:snapToGrid w:val="0"/>
        <w:spacing w:line="360" w:lineRule="exact"/>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四、开标</w:t>
      </w:r>
      <w:bookmarkEnd w:id="35"/>
      <w:bookmarkEnd w:id="36"/>
    </w:p>
    <w:p w14:paraId="12C92F69">
      <w:pPr>
        <w:pStyle w:val="29"/>
        <w:snapToGrid w:val="0"/>
        <w:spacing w:line="360" w:lineRule="exact"/>
        <w:ind w:firstLine="413" w:firstLineChars="196"/>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（一）开标准备</w:t>
      </w:r>
    </w:p>
    <w:p w14:paraId="478974EE">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bookmarkStart w:id="39" w:name="_Toc254970686"/>
      <w:bookmarkStart w:id="40" w:name="_Toc254970545"/>
      <w:r>
        <w:rPr>
          <w:rFonts w:hint="eastAsia" w:hAnsi="宋体" w:cs="宋体"/>
          <w:color w:val="000000" w:themeColor="text1"/>
          <w:sz w:val="21"/>
          <w:highlight w:val="none"/>
          <w14:textFill>
            <w14:solidFill>
              <w14:schemeClr w14:val="tx1"/>
            </w14:solidFill>
          </w14:textFill>
        </w:rPr>
        <w:t>1.开标的准备工作由本中心负责落实；</w:t>
      </w:r>
    </w:p>
    <w:p w14:paraId="54E08AF1">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2.本中心将按照招标文件规定的时间通过“政府采购云平台”组织开标、开启投标文件，所有</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均应当准时在线参加。投标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如不参加开标会的，视同认可开标结果，事后不得对采购相关人员、开标过程和开标结果提出异议，同时投标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因未在线参加开标而导致投标文件无法按时解密等一切后果由</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自己承担。</w:t>
      </w:r>
    </w:p>
    <w:p w14:paraId="2B826A08">
      <w:pPr>
        <w:pStyle w:val="29"/>
        <w:tabs>
          <w:tab w:val="left" w:pos="567"/>
        </w:tabs>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（二）开标程序</w:t>
      </w:r>
    </w:p>
    <w:p w14:paraId="4F056020">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1.向各投标</w:t>
      </w:r>
      <w:r>
        <w:rPr>
          <w:rFonts w:hint="eastAsia" w:hAnsi="宋体" w:cs="宋体"/>
          <w:b/>
          <w:color w:val="000000" w:themeColor="text1"/>
          <w:sz w:val="21"/>
          <w:highlight w:val="none"/>
          <w:lang w:eastAsia="zh-CN"/>
          <w14:textFill>
            <w14:solidFill>
              <w14:schemeClr w14:val="tx1"/>
            </w14:solidFill>
          </w14:textFill>
        </w:rPr>
        <w:t>投标人</w:t>
      </w:r>
      <w:r>
        <w:rPr>
          <w:rFonts w:hint="eastAsia" w:hAnsi="宋体" w:cs="宋体"/>
          <w:b/>
          <w:color w:val="000000" w:themeColor="text1"/>
          <w:sz w:val="21"/>
          <w:highlight w:val="none"/>
          <w14:textFill>
            <w14:solidFill>
              <w14:schemeClr w14:val="tx1"/>
            </w14:solidFill>
          </w14:textFill>
        </w:rPr>
        <w:t>发出电子加密投标文件【开始解密】通知，由</w:t>
      </w:r>
      <w:r>
        <w:rPr>
          <w:rFonts w:hint="eastAsia" w:hAnsi="宋体" w:cs="宋体"/>
          <w:b/>
          <w:color w:val="000000" w:themeColor="text1"/>
          <w:sz w:val="21"/>
          <w:highlight w:val="none"/>
          <w:lang w:eastAsia="zh-CN"/>
          <w14:textFill>
            <w14:solidFill>
              <w14:schemeClr w14:val="tx1"/>
            </w14:solidFill>
          </w14:textFill>
        </w:rPr>
        <w:t>投标人</w:t>
      </w:r>
      <w:r>
        <w:rPr>
          <w:rFonts w:hint="eastAsia" w:hAnsi="宋体" w:cs="宋体"/>
          <w:b/>
          <w:color w:val="000000" w:themeColor="text1"/>
          <w:sz w:val="21"/>
          <w:highlight w:val="none"/>
          <w14:textFill>
            <w14:solidFill>
              <w14:schemeClr w14:val="tx1"/>
            </w14:solidFill>
          </w14:textFill>
        </w:rPr>
        <w:t>按招标文件规定的时间内自行进行投标文件解密。投标</w:t>
      </w:r>
      <w:r>
        <w:rPr>
          <w:rFonts w:hint="eastAsia" w:hAnsi="宋体" w:cs="宋体"/>
          <w:b/>
          <w:color w:val="000000" w:themeColor="text1"/>
          <w:sz w:val="21"/>
          <w:highlight w:val="none"/>
          <w:lang w:eastAsia="zh-CN"/>
          <w14:textFill>
            <w14:solidFill>
              <w14:schemeClr w14:val="tx1"/>
            </w14:solidFill>
          </w14:textFill>
        </w:rPr>
        <w:t>投标人</w:t>
      </w:r>
      <w:r>
        <w:rPr>
          <w:rFonts w:hint="eastAsia" w:hAnsi="宋体" w:cs="宋体"/>
          <w:b/>
          <w:color w:val="000000" w:themeColor="text1"/>
          <w:sz w:val="21"/>
          <w:highlight w:val="none"/>
          <w14:textFill>
            <w14:solidFill>
              <w14:schemeClr w14:val="tx1"/>
            </w14:solidFill>
          </w14:textFill>
        </w:rPr>
        <w:t>在规定的时间内无法在线完成已递交的“电子加密投标文件”解密的，视为投标无效。在线解密时间为30分钟。</w:t>
      </w:r>
    </w:p>
    <w:p w14:paraId="54801B52">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2.投标文件解密结束后，开标活动组织人员在线开启投标文件。</w:t>
      </w:r>
    </w:p>
    <w:p w14:paraId="29BE1154">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3.开启投标人报价文件，开标活动组织人员宣读开标（报价）一览表有关内容，投标人代表如果认为宣读有误，可以当场提出异议。</w:t>
      </w:r>
    </w:p>
    <w:p w14:paraId="3D712F9E">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开标结束后，如发现开标结果与报价文件不一致者，由评标委员会根据报价文件内容进行修正。</w:t>
      </w:r>
    </w:p>
    <w:p w14:paraId="6F8E4935">
      <w:pPr>
        <w:pStyle w:val="29"/>
        <w:snapToGrid w:val="0"/>
        <w:spacing w:line="360" w:lineRule="exact"/>
        <w:ind w:firstLine="422" w:firstLineChars="200"/>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特别说明：如遇“政府采购云平台”电子化开标或评审程序调整的，按调整后程序执行。</w:t>
      </w:r>
    </w:p>
    <w:p w14:paraId="3D4F6E4A">
      <w:pPr>
        <w:pStyle w:val="22"/>
        <w:tabs>
          <w:tab w:val="left" w:pos="709"/>
        </w:tabs>
        <w:adjustRightInd w:val="0"/>
        <w:snapToGrid w:val="0"/>
        <w:spacing w:line="360" w:lineRule="exact"/>
        <w:ind w:firstLine="562" w:firstLineChars="2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五、评标</w:t>
      </w:r>
      <w:bookmarkEnd w:id="39"/>
      <w:bookmarkEnd w:id="40"/>
    </w:p>
    <w:p w14:paraId="6813A17C">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（一）组建评标委员会</w:t>
      </w:r>
    </w:p>
    <w:p w14:paraId="0E3DB36D">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本招标采购项目的评标委员会由采购人代表和有关技术、经济等方面的专家组成，成员人数应当为7人以上单数。其中，技术、经济等方面的专家不得少于成员总数的三分之二</w:t>
      </w:r>
      <w:r>
        <w:rPr>
          <w:rFonts w:hint="eastAsia" w:hAnsi="宋体" w:cs="宋体"/>
          <w:color w:val="000000" w:themeColor="text1"/>
          <w:sz w:val="21"/>
          <w:highlight w:val="none"/>
          <w14:textFill>
            <w14:solidFill>
              <w14:schemeClr w14:val="tx1"/>
            </w14:solidFill>
          </w14:textFill>
        </w:rPr>
        <w:t>。</w:t>
      </w:r>
    </w:p>
    <w:p w14:paraId="0B600571">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（二）评标的方式</w:t>
      </w:r>
    </w:p>
    <w:p w14:paraId="7F7805BC">
      <w:pPr>
        <w:pStyle w:val="29"/>
        <w:snapToGrid w:val="0"/>
        <w:spacing w:line="360" w:lineRule="exact"/>
        <w:ind w:left="689" w:leftChars="228" w:hanging="210" w:hanging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本项目采用不公开方式评标，评标的依据为招标文件和投标文件。</w:t>
      </w:r>
    </w:p>
    <w:p w14:paraId="6D61E2D3">
      <w:pPr>
        <w:pStyle w:val="29"/>
        <w:snapToGrid w:val="0"/>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（三）</w:t>
      </w:r>
      <w:r>
        <w:rPr>
          <w:rFonts w:hint="eastAsia" w:hAnsi="宋体" w:cs="宋体"/>
          <w:b/>
          <w:bCs/>
          <w:color w:val="000000" w:themeColor="text1"/>
          <w:sz w:val="21"/>
          <w:highlight w:val="none"/>
          <w14:textFill>
            <w14:solidFill>
              <w14:schemeClr w14:val="tx1"/>
            </w14:solidFill>
          </w14:textFill>
        </w:rPr>
        <w:t>评标程序</w:t>
      </w:r>
    </w:p>
    <w:p w14:paraId="408F89FE">
      <w:pPr>
        <w:snapToGrid w:val="0"/>
        <w:spacing w:line="36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1.形式审查</w:t>
      </w:r>
    </w:p>
    <w:p w14:paraId="54AA4A2B">
      <w:pPr>
        <w:snapToGrid w:val="0"/>
        <w:spacing w:line="360" w:lineRule="exact"/>
        <w:ind w:firstLine="420" w:firstLineChars="200"/>
        <w:rPr>
          <w:rFonts w:ascii="宋体" w:hAnsi="宋体" w:cs="宋体"/>
          <w:b/>
          <w:color w:val="000000" w:themeColor="text1"/>
          <w:spacing w:val="-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采购人依法对投标人的资格进行审查。审查的依据是投标人递交的投标文件及本中心依照相关规定通过“信用中国”网站（www.creditchina.gov.cn）和中国政府采购网（www.ccgp.gov.cn）查询的相关</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主体信用记录。合格投标人不足3家的，不得评标。</w:t>
      </w:r>
    </w:p>
    <w:p w14:paraId="44B714A9">
      <w:pPr>
        <w:snapToGrid w:val="0"/>
        <w:spacing w:line="36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2.实质审查与比较</w:t>
      </w:r>
    </w:p>
    <w:p w14:paraId="1642CEB2">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（1）评标委员会审查、评价投标文件是否符合招标文件的商务、技术等实质性要求。</w:t>
      </w:r>
    </w:p>
    <w:p w14:paraId="4E7CF7DD">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（2）评标委员会对投标文件进行比较和评价,如有疑问,将要求投标人对投标文件有关事项作出澄清或者说明。投标人向评标委员会澄清或者说明有关问题,并最终以书面形式进行答复。</w:t>
      </w:r>
    </w:p>
    <w:p w14:paraId="2D94940B">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投标人代表未到场或者拒绝澄清或者澄清的内容改变了投标文件的实质性内容的，评标委员会有权视该投标文件无效。</w:t>
      </w:r>
    </w:p>
    <w:p w14:paraId="46FF08A3">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（3）各投标人的技术得分为所有评委的有效评分的算术平均数，由指定专人进行计算复核。</w:t>
      </w:r>
    </w:p>
    <w:p w14:paraId="40FEA95D">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（4）本中心工作人员协助评标委员会根据本项目的评分标准计算各投标人的商务报价得分。</w:t>
      </w:r>
    </w:p>
    <w:p w14:paraId="7451DD0E">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（5）评标委员会完成评标后,评委对各部分得分汇总,计算出本项目最终得分、评标价等。评标委员会按评标原则推荐中标候选人同时起草评标报告。</w:t>
      </w:r>
    </w:p>
    <w:p w14:paraId="47A774B8">
      <w:pPr>
        <w:snapToGrid w:val="0"/>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（四）澄清问题的形式</w:t>
      </w:r>
    </w:p>
    <w:p w14:paraId="24B4378B">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70556413">
      <w:pPr>
        <w:pStyle w:val="29"/>
        <w:snapToGrid w:val="0"/>
        <w:spacing w:line="360" w:lineRule="exact"/>
        <w:ind w:left="690" w:leftChars="228" w:hanging="211" w:hangingChars="1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（五）错误修正</w:t>
      </w:r>
    </w:p>
    <w:p w14:paraId="35661AE8">
      <w:pPr>
        <w:pStyle w:val="29"/>
        <w:snapToGrid w:val="0"/>
        <w:spacing w:line="360" w:lineRule="exact"/>
        <w:ind w:left="689" w:leftChars="228" w:hanging="210" w:hanging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投标文件如果出现计算或表达上的错误，修正错误的原则如下：</w:t>
      </w:r>
    </w:p>
    <w:p w14:paraId="47B7A9FA">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09774DCB">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2.大写金额和小写金额不一致的，以大写金额为准；</w:t>
      </w:r>
    </w:p>
    <w:p w14:paraId="4947DA5D">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3.单价金额小数点或者百分比有明显错位的，以开标一览表的总价为准，并修改单价；</w:t>
      </w:r>
    </w:p>
    <w:p w14:paraId="52955011">
      <w:pPr>
        <w:pStyle w:val="29"/>
        <w:snapToGrid w:val="0"/>
        <w:spacing w:line="360" w:lineRule="exact"/>
        <w:ind w:firstLine="420" w:firstLineChars="200"/>
        <w:rPr>
          <w:rFonts w:hint="eastAsia" w:hAnsi="宋体" w:eastAsia="宋体" w:cs="宋体"/>
          <w:color w:val="000000" w:themeColor="text1"/>
          <w:sz w:val="2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4.总价金额与按单价汇总金额不一致的，以单价金额计算结果为准</w:t>
      </w:r>
      <w:r>
        <w:rPr>
          <w:rFonts w:hint="eastAsia" w:hAnsi="宋体" w:cs="宋体"/>
          <w:color w:val="000000" w:themeColor="text1"/>
          <w:sz w:val="21"/>
          <w:highlight w:val="none"/>
          <w:lang w:eastAsia="zh-CN"/>
          <w14:textFill>
            <w14:solidFill>
              <w14:schemeClr w14:val="tx1"/>
            </w14:solidFill>
          </w14:textFill>
        </w:rPr>
        <w:t>；</w:t>
      </w:r>
    </w:p>
    <w:p w14:paraId="259BDBBB">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5.对不同文字文本投标文件的解释发生异议的，以中文文本为准。</w:t>
      </w:r>
    </w:p>
    <w:p w14:paraId="6131ABEB">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同时出现两种以上不一致的，按照前款规定的顺序修正。</w:t>
      </w:r>
    </w:p>
    <w:p w14:paraId="34C0E5EA">
      <w:pPr>
        <w:pStyle w:val="29"/>
        <w:snapToGrid w:val="0"/>
        <w:spacing w:line="360" w:lineRule="exact"/>
        <w:ind w:firstLine="422" w:firstLineChars="200"/>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14:paraId="35F26E10">
      <w:pPr>
        <w:pStyle w:val="29"/>
        <w:snapToGrid w:val="0"/>
        <w:spacing w:line="360" w:lineRule="exact"/>
        <w:ind w:firstLine="422" w:firstLineChars="200"/>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（六）政府采购异常低价审查：</w:t>
      </w:r>
    </w:p>
    <w:p w14:paraId="407B0687">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1.按照《关于推动解决政府采购异常低价问题的通知》（财库〔2026〕2号）有关规定，本项目评审中出现下列情形之一的，评标委员会应当启动异常低价投标审查程序：</w:t>
      </w:r>
    </w:p>
    <w:p w14:paraId="6650464E">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（1）投标报价低于全部通过符合性审查</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投标报价平均值50%的，即投标报价&lt;全部通过符合性审查</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投标报价平均值×50%；</w:t>
      </w:r>
    </w:p>
    <w:p w14:paraId="7D5A5539">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（2）投标报价低于通过符合性审查的次低报价</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投标报价50%的，即投标报价&lt;通过符合性审查的次低报价</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投标报价×50%；</w:t>
      </w:r>
    </w:p>
    <w:p w14:paraId="5D1F516D">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（3）投标报价低于采购项目最高限价45%的，即投标报价&lt;采购项目最高限价×45%；</w:t>
      </w:r>
    </w:p>
    <w:p w14:paraId="1529392F">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（4）评标委员会基于专业判断，认为</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报价过低，有可能影响产品质量或者不能诚信履约的其他情形。</w:t>
      </w:r>
    </w:p>
    <w:p w14:paraId="6BBAFF1B">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按照规定，采购人可以结合具体项目实际情况，提高上述第（1）项至第（3）项中启动异常低价投标审查的数值标准，但是最高不得超过65%，本项目采购人决定将上述（1）（2）（3）数值标准分别确定为50%，50%，45%。采购项目未设定最高限价的，审查时取项目预算金额作为最高限价。</w:t>
      </w:r>
    </w:p>
    <w:p w14:paraId="6D650E18">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2.评标委员会启动异常低价投标审查后，属于前述第（1）项至第（4）项情形的，应当要求相关</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在评审现场合理的时间内对投标价格作出解释，提供项目具体成本测算等与报价合理性相关的书面说明及必要的证明材料，包括但不限于原材料成本、人工成本、制造费用等，给予相关</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的合理时间一般不少于30分钟。其中，属于第（3）项情形，</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已随投标文件一并提交相关书面说明及必要的证明材料的，在评审现场可不再重复提交。</w:t>
      </w:r>
    </w:p>
    <w:p w14:paraId="15B56A7A">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不能提供书面说明、证明材料，或者提供的书面说明、证明材料不能证明其报价合理性的，评审委员会应当将其作为无效投标处理。</w:t>
      </w:r>
    </w:p>
    <w:p w14:paraId="467059FF">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B7362E7">
      <w:pPr>
        <w:pStyle w:val="29"/>
        <w:snapToGrid w:val="0"/>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异常低价投标审查的启动原因、审查意见和审查结果应当在评审报告中记录，并随</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提供的相关书面说明及证明材料，以及评标委员会有关互联网浏览、查询历史一并归档。</w:t>
      </w:r>
    </w:p>
    <w:p w14:paraId="73BF1D62">
      <w:pPr>
        <w:pStyle w:val="29"/>
        <w:tabs>
          <w:tab w:val="left" w:pos="630"/>
        </w:tabs>
        <w:snapToGrid w:val="0"/>
        <w:spacing w:line="360" w:lineRule="exact"/>
        <w:ind w:firstLine="211" w:firstLineChars="1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（七）评标原则和评标办法</w:t>
      </w:r>
    </w:p>
    <w:p w14:paraId="75405B27">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0D031ED">
      <w:pPr>
        <w:pStyle w:val="29"/>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2.评标办法。本项目评标办法是综合评分法，具体评标内容及评分标准等详见第四章：评标方法及评定标准。</w:t>
      </w:r>
    </w:p>
    <w:p w14:paraId="185BDD82">
      <w:pPr>
        <w:pStyle w:val="29"/>
        <w:snapToGrid w:val="0"/>
        <w:spacing w:line="440" w:lineRule="exact"/>
        <w:ind w:firstLine="211" w:firstLineChars="1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（八）评标过程中出现争议时处理办法</w:t>
      </w:r>
    </w:p>
    <w:p w14:paraId="3A3B2C05">
      <w:pPr>
        <w:pStyle w:val="29"/>
        <w:adjustRightInd w:val="0"/>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2849CB2D">
      <w:pPr>
        <w:pStyle w:val="29"/>
        <w:adjustRightInd w:val="0"/>
        <w:snapToGrid w:val="0"/>
        <w:spacing w:line="360" w:lineRule="exact"/>
        <w:ind w:firstLine="211" w:firstLineChars="1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（九）评标过程的监控</w:t>
      </w:r>
    </w:p>
    <w:p w14:paraId="7D631FF8">
      <w:pPr>
        <w:pStyle w:val="29"/>
        <w:adjustRightInd w:val="0"/>
        <w:snapToGrid w:val="0"/>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本项目评标过程实行全程录音、录像监控，投标人在评标过程中所进行的试图影响评标结果的不公正活动，可能导致其投标被拒绝。</w:t>
      </w:r>
      <w:bookmarkStart w:id="41" w:name="_Toc254970546"/>
      <w:bookmarkStart w:id="42" w:name="_Toc254970687"/>
    </w:p>
    <w:p w14:paraId="5EFA3807">
      <w:pPr>
        <w:pStyle w:val="29"/>
        <w:adjustRightInd w:val="0"/>
        <w:snapToGrid w:val="0"/>
        <w:spacing w:line="360" w:lineRule="exact"/>
        <w:ind w:firstLine="281" w:firstLineChars="100"/>
        <w:rPr>
          <w:rFonts w:hAnsi="宋体" w:cs="宋体"/>
          <w:b/>
          <w:bCs/>
          <w:color w:val="000000" w:themeColor="text1"/>
          <w:kern w:val="2"/>
          <w:sz w:val="28"/>
          <w:szCs w:val="28"/>
          <w:highlight w:val="none"/>
          <w14:textFill>
            <w14:solidFill>
              <w14:schemeClr w14:val="tx1"/>
            </w14:solidFill>
          </w14:textFill>
        </w:rPr>
      </w:pPr>
      <w:r>
        <w:rPr>
          <w:rFonts w:hint="eastAsia" w:hAnsi="宋体" w:cs="宋体"/>
          <w:b/>
          <w:bCs/>
          <w:color w:val="000000" w:themeColor="text1"/>
          <w:kern w:val="2"/>
          <w:sz w:val="28"/>
          <w:szCs w:val="28"/>
          <w:highlight w:val="none"/>
          <w14:textFill>
            <w14:solidFill>
              <w14:schemeClr w14:val="tx1"/>
            </w14:solidFill>
          </w14:textFill>
        </w:rPr>
        <w:t>六、评标结果</w:t>
      </w:r>
      <w:bookmarkEnd w:id="41"/>
      <w:bookmarkEnd w:id="42"/>
    </w:p>
    <w:p w14:paraId="6914A056">
      <w:pPr>
        <w:pStyle w:val="29"/>
        <w:adjustRightInd w:val="0"/>
        <w:snapToGrid w:val="0"/>
        <w:spacing w:line="360" w:lineRule="exact"/>
        <w:ind w:firstLine="210" w:firstLine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（一）本中心将在评标结束后2个工作日内将评标报告送采购人，采购人在5个工作日内按照评标报告中推荐的中标候选</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顺序确定中标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。采购人也可以事先授权评标委员会直接确定中标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w:t>
      </w:r>
    </w:p>
    <w:p w14:paraId="5F0DEC9C">
      <w:pPr>
        <w:pStyle w:val="29"/>
        <w:adjustRightInd w:val="0"/>
        <w:snapToGrid w:val="0"/>
        <w:spacing w:line="360" w:lineRule="exact"/>
        <w:ind w:firstLine="210" w:firstLine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确定后，本中心在中国政府采购网、广西壮族自治区政府采购网、北海市政府采购监管网、北海市政府采购中心网站、全国公共资源交易平台（广西•北海）发布中标公告。</w:t>
      </w:r>
    </w:p>
    <w:p w14:paraId="38DA2227">
      <w:pPr>
        <w:pStyle w:val="29"/>
        <w:adjustRightInd w:val="0"/>
        <w:snapToGrid w:val="0"/>
        <w:spacing w:line="360" w:lineRule="exact"/>
        <w:ind w:firstLine="210" w:firstLine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（三）在发布中标公告的同时，本中心向中标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发出中标通知书。对未通过资格审查的投标人，本中心告知其未通过的原因；采用综合评分法评审的，本中心告知未中标人本人的评审得分与排序。</w:t>
      </w:r>
    </w:p>
    <w:p w14:paraId="5F321A5B">
      <w:pPr>
        <w:pStyle w:val="29"/>
        <w:adjustRightInd w:val="0"/>
        <w:snapToGrid w:val="0"/>
        <w:spacing w:line="360" w:lineRule="exact"/>
        <w:ind w:firstLine="210" w:firstLine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（四）投标人认为招标文件、招标过程和中标结果使自己的权益受到损害的，可以在知道或者应知其权益受到损害之日起七个工作日内，以书面形式向本中心提出质疑，并及时索要书面回执。</w:t>
      </w:r>
    </w:p>
    <w:p w14:paraId="454223D1">
      <w:pPr>
        <w:pStyle w:val="29"/>
        <w:adjustRightInd w:val="0"/>
        <w:snapToGrid w:val="0"/>
        <w:spacing w:line="360" w:lineRule="exact"/>
        <w:ind w:firstLine="210" w:firstLineChars="1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（五）本中心应当按照有关规定就采购人委托授权范围内的事项在收到投标人的书面质疑后7个工作日内做出答复，但答复的内容不得涉及商业秘密。</w:t>
      </w:r>
    </w:p>
    <w:p w14:paraId="5D01CFE9">
      <w:pPr>
        <w:pStyle w:val="22"/>
        <w:adjustRightInd w:val="0"/>
        <w:snapToGrid w:val="0"/>
        <w:spacing w:line="360" w:lineRule="exact"/>
        <w:ind w:left="0" w:leftChars="0" w:firstLine="281" w:firstLineChars="100"/>
        <w:rPr>
          <w:rFonts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七、签订合同</w:t>
      </w:r>
    </w:p>
    <w:p w14:paraId="5A9F4DCC">
      <w:pPr>
        <w:pStyle w:val="22"/>
        <w:adjustRightInd w:val="0"/>
        <w:snapToGrid w:val="0"/>
        <w:spacing w:line="360" w:lineRule="exact"/>
        <w:ind w:left="0" w:leftChars="0" w:firstLine="211" w:firstLineChars="100"/>
        <w:rPr>
          <w:rFonts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（一）合同授予标准</w:t>
      </w:r>
    </w:p>
    <w:p w14:paraId="4703E7E5">
      <w:pPr>
        <w:pStyle w:val="29"/>
        <w:spacing w:line="44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合同将授予被确定投标文件满足招标文件全部实质性要求，具备履行合同能力，评审得分最高，综合评分排名第一的</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w:t>
      </w:r>
    </w:p>
    <w:p w14:paraId="58EC4268">
      <w:pPr>
        <w:pStyle w:val="29"/>
        <w:spacing w:line="440" w:lineRule="exact"/>
        <w:ind w:firstLine="211" w:firstLineChars="100"/>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（二）签订合同</w:t>
      </w:r>
    </w:p>
    <w:p w14:paraId="6388647D">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1.中标通知书发出后，采购人不得违法改变中标结果，中标人无正当理由不得放弃中标。</w:t>
      </w:r>
    </w:p>
    <w:p w14:paraId="7ECE4F54">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拒绝与采购人签订合同或因不可抗力或者自身原因不能履行采购合同的，采购人可以与中标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之后排名第一的中标候选</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签订采购合同，以此类推,也可以重新招标。中标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放弃中标项目，拒绝与采购人签订合同的，给采购人造成损失的，还应当赔偿损失，并作为不良行为记录在案。</w:t>
      </w:r>
    </w:p>
    <w:p w14:paraId="101B2C9D">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人应当自中标通知书发出之日起25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42B45A0">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政府采购合同应当包括采购人与中标人的名称和住所、标的、数量、质量、价款或者报酬、履行期限及地点和方式、验收要求、违约责任、解决争议的方法等内容。政府采购合同签订当日，将政府采购合同送代理机构备案。</w:t>
      </w:r>
    </w:p>
    <w:p w14:paraId="1E03EF4E">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5.采购人与中标人应当根据合同的约定依法履行合同义务。政府采购合同的履行、违约责任和解决争议的方法等适用《中华人民共和国民法典》。</w:t>
      </w:r>
    </w:p>
    <w:p w14:paraId="3D7594DB">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6.采购人应当及时对采购项目进行验收。采购人可以邀请参加本项目的其他投标人或者第三方机构参与验收。参与验收的投标人或者第三方机构的意见作为验收书的参考资料一并存档。</w:t>
      </w:r>
    </w:p>
    <w:p w14:paraId="6B2FA14D">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7.采购人应当加强对中标人的履约管理，并按照采购合同约定，及时向中标人支付采购资金。对于中标人违反采购合同约定的行为，采购人应当及时处理，依法追究其违约责任。</w:t>
      </w:r>
    </w:p>
    <w:p w14:paraId="74627D37">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8.关于开展北海市政府采购合同信用融资工作的通知</w:t>
      </w:r>
    </w:p>
    <w:p w14:paraId="7F4194D5">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各政府采购</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w:t>
      </w:r>
    </w:p>
    <w:p w14:paraId="4109C1A4">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为贯彻落实党的十九大精神、国务院“放管服”改革决策部署，助力解决中小微企业在政府采购活动中资金不足、融资难、融资贵的困难，促进中小微企业依法诚信参加政府采购活动，优化我市营商环境，根据《中华人民共和国政府采购法》等有关规定，现就开展北海市政府采购合同信用融资工作有关事项通知如下：</w:t>
      </w:r>
    </w:p>
    <w:p w14:paraId="62C9E7A0">
      <w:pPr>
        <w:pStyle w:val="29"/>
        <w:spacing w:line="360" w:lineRule="exact"/>
        <w:ind w:firstLine="422" w:firstLineChars="200"/>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一、融资概念</w:t>
      </w:r>
    </w:p>
    <w:p w14:paraId="4C429315">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w:t>
      </w:r>
    </w:p>
    <w:p w14:paraId="3DCFCF0F">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二、基本原则</w:t>
      </w:r>
    </w:p>
    <w:p w14:paraId="10241E14">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协调推进，服务银企。北海市财政局、北海市政府采购中心共同推进“政采贷”工作，促进政府采购政策功能和金融资源的有机结合，拓宽金融机构的融资业务，助力解决政府采购中标（成交）中小微企业资金不足、融资难、融资贵的困难，促进中小微企业健康发展。</w:t>
      </w:r>
    </w:p>
    <w:p w14:paraId="6A3902C4">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银企自愿，互惠共赢。金融机构和中小微企业按照自愿原则参与。中小微企业根据自身情况自行决定是否申请“政采贷”，自愿选择金融机构、融资方式；金融机构依据其内部审查制度和决策程序决定是否为中小微企业提供信用融资、融资额度等，并与</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签订融资合同，自担风险。</w:t>
      </w:r>
    </w:p>
    <w:p w14:paraId="5649F3E6">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优质优惠，加强扶持。金融机构按优于同期一般企业的贷款利率，向政府采购中小微企业提供信用贷款，贷款额度由金融机构根据政府采购合同的具体情况确定，不要求申请融资的中小微企业提供财产抵押或第三方担保，不收取融资利息之外的额外费用。</w:t>
      </w:r>
    </w:p>
    <w:p w14:paraId="6A51B545">
      <w:pPr>
        <w:pStyle w:val="29"/>
        <w:spacing w:line="360" w:lineRule="exact"/>
        <w:ind w:firstLine="422" w:firstLineChars="200"/>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三、基本流程</w:t>
      </w:r>
    </w:p>
    <w:p w14:paraId="10B71777">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（一）融资申请。有融资需求的</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取得《中标通知书》后，在签订采购合同前，向贷款金融机构递交融资申请表。中标（成交）</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可以根据贷款需求等实际情况选择是否需要北海市小微企业融资担保有限公司提供担保增信，如需要提供担保增信则同时向北海市小微企业融资担保有限公司递交融资申请表。</w:t>
      </w:r>
    </w:p>
    <w:p w14:paraId="19A2CEC6">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（二）资料审查。贷款金融机构查看有融资需求</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有关资料，进行贷前独立评审，决定是否提供融资或融资担保。双方达成融资意向后，确定融资方案和回款账户，</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与采购单位签订《政府采购合同》，并将金融机构监管账户设定为合同收款账户。其中，需北海市小微企业融资担保有限公司提供担保增信的，还需北海市小微企业融资担保有限公司进行保前独立评审。</w:t>
      </w:r>
    </w:p>
    <w:p w14:paraId="4C82FA3B">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（三）签订贷款协议。无需北海市小微企业融资担保有限公司提供担保增信的，贷款金融机构查看采购合同信息，确认账户无误后，与</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签订贷款协议。需要北海市小微企业融资担保有限公司提供担保增信的，由其与贷款金融机构查看采购合同信息，确认账户无误后，贷款金融机构与</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签订贷款协议、北海市小微企业融资担保有限公司与</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签订委托担保合同。</w:t>
      </w:r>
    </w:p>
    <w:p w14:paraId="18B4C514">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（四）贷款发放。贷款金融机构根据贷款协议向</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发放贷款。</w:t>
      </w:r>
    </w:p>
    <w:p w14:paraId="2B794385">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（五）按期还款。</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获得贷款后应自觉履行政府采购合同，合同履行完毕后，采购单位根据合同约定时间和账户信息，严格按照财政资金管理的相关规定，及时将资金支付到采购合同收款账户。</w:t>
      </w:r>
    </w:p>
    <w:p w14:paraId="4EB06387">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（六）业务终止。贷款偿清后，贷款金融机构或北海市小微企业融资担保有限公司及时办理应收账款质押注销登记，业务终止。</w:t>
      </w:r>
    </w:p>
    <w:p w14:paraId="6B8D64ED">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注：相关合作银行的具体操作流程详见北海市政府采购中心首页“政采云”板块。</w:t>
      </w:r>
    </w:p>
    <w:p w14:paraId="685E2F88">
      <w:pPr>
        <w:pStyle w:val="29"/>
        <w:spacing w:line="360" w:lineRule="exact"/>
        <w:ind w:firstLine="422" w:firstLineChars="200"/>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（三）补充合同</w:t>
      </w:r>
    </w:p>
    <w:p w14:paraId="74671DFC">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政府采购采购合同履行过程中，采购人需要追加与合同标的相同的货物或服务的，在不改变合同其他条款的前提下，可以与中标</w:t>
      </w:r>
      <w:r>
        <w:rPr>
          <w:rFonts w:hint="eastAsia" w:hAnsi="宋体" w:cs="宋体"/>
          <w:color w:val="000000" w:themeColor="text1"/>
          <w:sz w:val="21"/>
          <w:highlight w:val="none"/>
          <w:lang w:eastAsia="zh-CN"/>
          <w14:textFill>
            <w14:solidFill>
              <w14:schemeClr w14:val="tx1"/>
            </w14:solidFill>
          </w14:textFill>
        </w:rPr>
        <w:t>投标人</w:t>
      </w:r>
      <w:r>
        <w:rPr>
          <w:rFonts w:hint="eastAsia" w:hAnsi="宋体" w:cs="宋体"/>
          <w:color w:val="000000" w:themeColor="text1"/>
          <w:sz w:val="21"/>
          <w:highlight w:val="none"/>
          <w14:textFill>
            <w14:solidFill>
              <w14:schemeClr w14:val="tx1"/>
            </w14:solidFill>
          </w14:textFill>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81B1085">
      <w:pPr>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w:t>
      </w:r>
      <w:r>
        <w:rPr>
          <w:rFonts w:hint="eastAsia" w:ascii="宋体" w:hAnsi="宋体" w:cs="宋体"/>
          <w:b/>
          <w:color w:val="000000" w:themeColor="text1"/>
          <w:kern w:val="0"/>
          <w:szCs w:val="21"/>
          <w:highlight w:val="none"/>
          <w14:textFill>
            <w14:solidFill>
              <w14:schemeClr w14:val="tx1"/>
            </w14:solidFill>
          </w14:textFill>
        </w:rPr>
        <w:t>合同公告</w:t>
      </w:r>
    </w:p>
    <w:p w14:paraId="2D9440B2">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应当自政府采购合同签订（双方当事人均已签字盖章）之日起2个工作日内，将政府采购合同在省级以上人民政府财政部门指定的媒体上公告（广西壮族自治区政府采购网），但政府采购合同中涉及国家秘密、商业秘密的内容除外。</w:t>
      </w:r>
    </w:p>
    <w:p w14:paraId="51C6A257">
      <w:pPr>
        <w:pStyle w:val="29"/>
        <w:spacing w:line="440" w:lineRule="exact"/>
        <w:ind w:left="-105" w:leftChars="-50" w:firstLine="562" w:firstLineChars="200"/>
        <w:rPr>
          <w:rFonts w:hAnsi="宋体" w:cs="宋体"/>
          <w:b/>
          <w:bCs/>
          <w:color w:val="000000" w:themeColor="text1"/>
          <w:kern w:val="2"/>
          <w:sz w:val="28"/>
          <w:szCs w:val="28"/>
          <w:highlight w:val="none"/>
          <w14:textFill>
            <w14:solidFill>
              <w14:schemeClr w14:val="tx1"/>
            </w14:solidFill>
          </w14:textFill>
        </w:rPr>
      </w:pPr>
      <w:r>
        <w:rPr>
          <w:rFonts w:hint="eastAsia" w:hAnsi="宋体" w:cs="宋体"/>
          <w:b/>
          <w:bCs/>
          <w:color w:val="000000" w:themeColor="text1"/>
          <w:kern w:val="2"/>
          <w:sz w:val="28"/>
          <w:szCs w:val="28"/>
          <w:highlight w:val="none"/>
          <w14:textFill>
            <w14:solidFill>
              <w14:schemeClr w14:val="tx1"/>
            </w14:solidFill>
          </w14:textFill>
        </w:rPr>
        <w:t>八、履约保证金</w:t>
      </w:r>
    </w:p>
    <w:p w14:paraId="74378F8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本项目收取履约保证金，金额为合同金额的5%。</w:t>
      </w:r>
    </w:p>
    <w:p w14:paraId="74A2BD5C">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中标人应当以支票、汇票、本票、银行保函、保险公司保函等非现金形式在签订合同时向采购人提交，采购人不得拒收合法有效的保函。</w:t>
      </w:r>
    </w:p>
    <w:p w14:paraId="705B3213">
      <w:pPr>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自合同生效之日起至合同约定的中标人主要义务履行完毕止，采购人按约定退还履约保证金。中标人若出现项目进展未按进度及项目需求或演出过程中发生演出事故等情况，按违约处理，采购人将按照合同约定执行履约赔偿。如中标人违约给采购人造成的损失超过履约保证金的，应当依法赔偿超过部分的损失。</w:t>
      </w:r>
    </w:p>
    <w:p w14:paraId="3BC83EAB">
      <w:pPr>
        <w:pStyle w:val="29"/>
        <w:spacing w:line="440" w:lineRule="exact"/>
        <w:ind w:left="-105" w:leftChars="-50" w:firstLine="562" w:firstLineChars="200"/>
        <w:rPr>
          <w:rFonts w:hAnsi="宋体" w:cs="宋体"/>
          <w:b/>
          <w:bCs/>
          <w:color w:val="000000" w:themeColor="text1"/>
          <w:kern w:val="2"/>
          <w:sz w:val="28"/>
          <w:szCs w:val="28"/>
          <w:highlight w:val="none"/>
          <w14:textFill>
            <w14:solidFill>
              <w14:schemeClr w14:val="tx1"/>
            </w14:solidFill>
          </w14:textFill>
        </w:rPr>
      </w:pPr>
      <w:r>
        <w:rPr>
          <w:rFonts w:hint="eastAsia" w:hAnsi="宋体" w:cs="宋体"/>
          <w:b/>
          <w:bCs/>
          <w:color w:val="000000" w:themeColor="text1"/>
          <w:kern w:val="2"/>
          <w:sz w:val="28"/>
          <w:szCs w:val="28"/>
          <w:highlight w:val="none"/>
          <w14:textFill>
            <w14:solidFill>
              <w14:schemeClr w14:val="tx1"/>
            </w14:solidFill>
          </w14:textFill>
        </w:rPr>
        <w:t>九、中标服务费</w:t>
      </w:r>
    </w:p>
    <w:p w14:paraId="79FB6306">
      <w:pPr>
        <w:pStyle w:val="29"/>
        <w:spacing w:line="440" w:lineRule="exact"/>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本项目不收取中标服务费。</w:t>
      </w:r>
    </w:p>
    <w:p w14:paraId="68667664">
      <w:pPr>
        <w:pStyle w:val="29"/>
        <w:spacing w:line="440" w:lineRule="exact"/>
        <w:ind w:firstLine="422" w:firstLineChars="150"/>
        <w:rPr>
          <w:rFonts w:hAnsi="宋体" w:cs="宋体"/>
          <w:b/>
          <w:bCs/>
          <w:color w:val="000000" w:themeColor="text1"/>
          <w:kern w:val="2"/>
          <w:sz w:val="28"/>
          <w:szCs w:val="28"/>
          <w:highlight w:val="none"/>
          <w14:textFill>
            <w14:solidFill>
              <w14:schemeClr w14:val="tx1"/>
            </w14:solidFill>
          </w14:textFill>
        </w:rPr>
      </w:pPr>
      <w:r>
        <w:rPr>
          <w:rFonts w:hint="eastAsia" w:hAnsi="宋体" w:cs="宋体"/>
          <w:b/>
          <w:bCs/>
          <w:color w:val="000000" w:themeColor="text1"/>
          <w:kern w:val="2"/>
          <w:sz w:val="28"/>
          <w:szCs w:val="28"/>
          <w:highlight w:val="none"/>
          <w14:textFill>
            <w14:solidFill>
              <w14:schemeClr w14:val="tx1"/>
            </w14:solidFill>
          </w14:textFill>
        </w:rPr>
        <w:t>十、其他事项</w:t>
      </w:r>
    </w:p>
    <w:p w14:paraId="54AFE383">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1.电子交易异常情形处理：采购过程中出现以下异常情形，导致电子交易平台无法正常运行，或者无法保证电子交易的公平、公正和安全时，本中心有权中止电子交易活动：</w:t>
      </w:r>
    </w:p>
    <w:p w14:paraId="59B069BC">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1.1电子交易平台发生故障而无法登录访问的；</w:t>
      </w:r>
    </w:p>
    <w:p w14:paraId="1DAA7A0E">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1.2电子交易平台应用或数据库出现错误，不能进行正常操作的；</w:t>
      </w:r>
    </w:p>
    <w:p w14:paraId="6BC708EE">
      <w:pPr>
        <w:pStyle w:val="29"/>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1.3电子交易平台发现严重安全漏洞，潜在泄密危险的；</w:t>
      </w:r>
    </w:p>
    <w:p w14:paraId="0C65E8EB">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1.4病毒发作导致不能进行正常操作的；</w:t>
      </w:r>
    </w:p>
    <w:p w14:paraId="6A0F120A">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1.5其他无法保证电子交易的公平、公正和安全的情况。出现以上规定情形，不影响采购公平、公正性的，本中心可以待上述情形消除后继续组织电子交易活动，也可以决定某些环节以纸质形式进行；影响或可能影响采购公平、公正性的，应当重新采购。</w:t>
      </w:r>
    </w:p>
    <w:p w14:paraId="36B0B201">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2.解释权：本招标文件解释权属采购人及本中心。</w:t>
      </w:r>
    </w:p>
    <w:p w14:paraId="58BA1FE9">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3.有关事宜</w:t>
      </w:r>
    </w:p>
    <w:p w14:paraId="4C31FDF2">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所有与本招标文件有关的函件请按下列通讯地址联系：</w:t>
      </w:r>
    </w:p>
    <w:p w14:paraId="7494AA58">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北海市政府采购中心</w:t>
      </w:r>
    </w:p>
    <w:p w14:paraId="74D93AA2">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邮政编码：536000</w:t>
      </w:r>
    </w:p>
    <w:p w14:paraId="70FDB346">
      <w:pPr>
        <w:pStyle w:val="29"/>
        <w:spacing w:line="360" w:lineRule="exact"/>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通讯地址：北海市海城区陈文村北路7号市直机关第三办公区</w:t>
      </w:r>
    </w:p>
    <w:p w14:paraId="0DFC48A6">
      <w:pPr>
        <w:pStyle w:val="29"/>
        <w:spacing w:line="360" w:lineRule="exact"/>
        <w:ind w:firstLine="420" w:firstLineChars="200"/>
        <w:rPr>
          <w:rFonts w:hint="default"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电话：0779—3960815</w:t>
      </w:r>
    </w:p>
    <w:p w14:paraId="7CAC7839">
      <w:pPr>
        <w:pStyle w:val="29"/>
        <w:snapToGrid w:val="0"/>
        <w:spacing w:line="600" w:lineRule="exact"/>
        <w:outlineLvl w:val="0"/>
        <w:rPr>
          <w:rFonts w:hAnsi="宋体" w:cs="宋体"/>
          <w:b/>
          <w:color w:val="000000" w:themeColor="text1"/>
          <w:sz w:val="36"/>
          <w:szCs w:val="36"/>
          <w:highlight w:val="none"/>
          <w14:textFill>
            <w14:solidFill>
              <w14:schemeClr w14:val="tx1"/>
            </w14:solidFill>
          </w14:textFill>
        </w:rPr>
        <w:sectPr>
          <w:pgSz w:w="11906" w:h="16838"/>
          <w:pgMar w:top="1247" w:right="849" w:bottom="1247" w:left="1418" w:header="851" w:footer="992" w:gutter="0"/>
          <w:cols w:space="720" w:num="1"/>
          <w:titlePg/>
          <w:docGrid w:type="lines" w:linePitch="312" w:charSpace="0"/>
        </w:sectPr>
      </w:pPr>
      <w:bookmarkStart w:id="43" w:name="_Toc9838480"/>
    </w:p>
    <w:p w14:paraId="7C599261">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796FF29F">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2A406644">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58C701F3">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78B104EB">
      <w:pPr>
        <w:pStyle w:val="29"/>
        <w:snapToGrid w:val="0"/>
        <w:spacing w:line="600" w:lineRule="exact"/>
        <w:rPr>
          <w:rFonts w:hAnsi="宋体" w:cs="宋体"/>
          <w:b/>
          <w:color w:val="000000" w:themeColor="text1"/>
          <w:sz w:val="36"/>
          <w:szCs w:val="36"/>
          <w:highlight w:val="none"/>
          <w14:textFill>
            <w14:solidFill>
              <w14:schemeClr w14:val="tx1"/>
            </w14:solidFill>
          </w14:textFill>
        </w:rPr>
      </w:pPr>
    </w:p>
    <w:p w14:paraId="0C8F0EA6">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7F4EF05F">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7116053C">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bookmarkEnd w:id="43"/>
    <w:p w14:paraId="33C94DD5">
      <w:pPr>
        <w:pStyle w:val="29"/>
        <w:snapToGrid w:val="0"/>
        <w:spacing w:line="600" w:lineRule="exact"/>
        <w:jc w:val="center"/>
        <w:outlineLvl w:val="0"/>
        <w:rPr>
          <w:rFonts w:hAnsi="宋体" w:cs="宋体"/>
          <w:b/>
          <w:color w:val="000000" w:themeColor="text1"/>
          <w:sz w:val="36"/>
          <w:szCs w:val="36"/>
          <w:highlight w:val="none"/>
          <w14:textFill>
            <w14:solidFill>
              <w14:schemeClr w14:val="tx1"/>
            </w14:solidFill>
          </w14:textFill>
        </w:rPr>
      </w:pPr>
      <w:bookmarkStart w:id="44" w:name="_Toc19711"/>
      <w:r>
        <w:rPr>
          <w:rFonts w:hint="eastAsia" w:hAnsi="宋体" w:cs="宋体"/>
          <w:b/>
          <w:color w:val="000000" w:themeColor="text1"/>
          <w:sz w:val="36"/>
          <w:szCs w:val="36"/>
          <w:highlight w:val="none"/>
          <w14:textFill>
            <w14:solidFill>
              <w14:schemeClr w14:val="tx1"/>
            </w14:solidFill>
          </w14:textFill>
        </w:rPr>
        <w:t>第四章 评标办法及评分标准</w:t>
      </w:r>
      <w:bookmarkEnd w:id="44"/>
    </w:p>
    <w:p w14:paraId="21499175">
      <w:pPr>
        <w:pStyle w:val="29"/>
        <w:spacing w:line="360" w:lineRule="exact"/>
        <w:rPr>
          <w:rFonts w:hAnsi="宋体" w:cs="宋体"/>
          <w:b/>
          <w:bCs/>
          <w:color w:val="000000" w:themeColor="text1"/>
          <w:sz w:val="28"/>
          <w:szCs w:val="28"/>
          <w:highlight w:val="none"/>
          <w14:textFill>
            <w14:solidFill>
              <w14:schemeClr w14:val="tx1"/>
            </w14:solidFill>
          </w14:textFill>
        </w:rPr>
      </w:pPr>
    </w:p>
    <w:p w14:paraId="52FE8F63">
      <w:pPr>
        <w:pStyle w:val="29"/>
        <w:spacing w:line="360" w:lineRule="exact"/>
        <w:rPr>
          <w:rFonts w:hAnsi="宋体" w:cs="宋体"/>
          <w:b/>
          <w:bCs/>
          <w:color w:val="000000" w:themeColor="text1"/>
          <w:sz w:val="32"/>
          <w:szCs w:val="32"/>
          <w:highlight w:val="none"/>
          <w14:textFill>
            <w14:solidFill>
              <w14:schemeClr w14:val="tx1"/>
            </w14:solidFill>
          </w14:textFill>
        </w:rPr>
      </w:pPr>
    </w:p>
    <w:p w14:paraId="1534214E">
      <w:pPr>
        <w:pStyle w:val="29"/>
        <w:spacing w:line="360" w:lineRule="exact"/>
        <w:rPr>
          <w:rFonts w:hAnsi="宋体" w:cs="宋体"/>
          <w:b/>
          <w:bCs/>
          <w:color w:val="000000" w:themeColor="text1"/>
          <w:sz w:val="32"/>
          <w:szCs w:val="32"/>
          <w:highlight w:val="none"/>
          <w14:textFill>
            <w14:solidFill>
              <w14:schemeClr w14:val="tx1"/>
            </w14:solidFill>
          </w14:textFill>
        </w:rPr>
      </w:pPr>
    </w:p>
    <w:p w14:paraId="7484B391">
      <w:pPr>
        <w:pStyle w:val="29"/>
        <w:spacing w:line="360" w:lineRule="exact"/>
        <w:rPr>
          <w:rFonts w:hAnsi="宋体" w:cs="宋体"/>
          <w:b/>
          <w:bCs/>
          <w:color w:val="000000" w:themeColor="text1"/>
          <w:sz w:val="32"/>
          <w:szCs w:val="32"/>
          <w:highlight w:val="none"/>
          <w14:textFill>
            <w14:solidFill>
              <w14:schemeClr w14:val="tx1"/>
            </w14:solidFill>
          </w14:textFill>
        </w:rPr>
      </w:pPr>
    </w:p>
    <w:p w14:paraId="1CE27806">
      <w:pPr>
        <w:pStyle w:val="29"/>
        <w:spacing w:line="360" w:lineRule="exact"/>
        <w:rPr>
          <w:rFonts w:hAnsi="宋体" w:cs="宋体"/>
          <w:b/>
          <w:bCs/>
          <w:color w:val="000000" w:themeColor="text1"/>
          <w:sz w:val="32"/>
          <w:szCs w:val="32"/>
          <w:highlight w:val="none"/>
          <w14:textFill>
            <w14:solidFill>
              <w14:schemeClr w14:val="tx1"/>
            </w14:solidFill>
          </w14:textFill>
        </w:rPr>
      </w:pPr>
    </w:p>
    <w:p w14:paraId="374D9497">
      <w:pPr>
        <w:pStyle w:val="29"/>
        <w:spacing w:line="360" w:lineRule="exact"/>
        <w:rPr>
          <w:rFonts w:hAnsi="宋体" w:cs="宋体"/>
          <w:b/>
          <w:bCs/>
          <w:color w:val="000000" w:themeColor="text1"/>
          <w:sz w:val="32"/>
          <w:szCs w:val="32"/>
          <w:highlight w:val="none"/>
          <w14:textFill>
            <w14:solidFill>
              <w14:schemeClr w14:val="tx1"/>
            </w14:solidFill>
          </w14:textFill>
        </w:rPr>
      </w:pPr>
    </w:p>
    <w:p w14:paraId="787E1E1A">
      <w:pPr>
        <w:pStyle w:val="29"/>
        <w:spacing w:line="360" w:lineRule="exact"/>
        <w:rPr>
          <w:rFonts w:hAnsi="宋体" w:cs="宋体"/>
          <w:b/>
          <w:bCs/>
          <w:color w:val="000000" w:themeColor="text1"/>
          <w:sz w:val="32"/>
          <w:szCs w:val="32"/>
          <w:highlight w:val="none"/>
          <w14:textFill>
            <w14:solidFill>
              <w14:schemeClr w14:val="tx1"/>
            </w14:solidFill>
          </w14:textFill>
        </w:rPr>
      </w:pPr>
    </w:p>
    <w:p w14:paraId="3CA20E4D">
      <w:pPr>
        <w:pStyle w:val="29"/>
        <w:spacing w:line="360" w:lineRule="exact"/>
        <w:rPr>
          <w:rFonts w:hAnsi="宋体" w:cs="宋体"/>
          <w:b/>
          <w:bCs/>
          <w:color w:val="000000" w:themeColor="text1"/>
          <w:sz w:val="32"/>
          <w:szCs w:val="32"/>
          <w:highlight w:val="none"/>
          <w14:textFill>
            <w14:solidFill>
              <w14:schemeClr w14:val="tx1"/>
            </w14:solidFill>
          </w14:textFill>
        </w:rPr>
      </w:pPr>
    </w:p>
    <w:p w14:paraId="31CB6196">
      <w:pPr>
        <w:pStyle w:val="29"/>
        <w:spacing w:line="360" w:lineRule="exact"/>
        <w:rPr>
          <w:rFonts w:hAnsi="宋体" w:cs="宋体"/>
          <w:b/>
          <w:color w:val="000000" w:themeColor="text1"/>
          <w:sz w:val="32"/>
          <w:szCs w:val="32"/>
          <w:highlight w:val="none"/>
          <w14:textFill>
            <w14:solidFill>
              <w14:schemeClr w14:val="tx1"/>
            </w14:solidFill>
          </w14:textFill>
        </w:rPr>
      </w:pPr>
    </w:p>
    <w:p w14:paraId="5D855B98">
      <w:pPr>
        <w:pStyle w:val="29"/>
        <w:spacing w:line="360" w:lineRule="exact"/>
        <w:rPr>
          <w:rFonts w:hAnsi="宋体" w:cs="宋体"/>
          <w:b/>
          <w:color w:val="000000" w:themeColor="text1"/>
          <w:sz w:val="32"/>
          <w:szCs w:val="32"/>
          <w:highlight w:val="none"/>
          <w14:textFill>
            <w14:solidFill>
              <w14:schemeClr w14:val="tx1"/>
            </w14:solidFill>
          </w14:textFill>
        </w:rPr>
      </w:pPr>
    </w:p>
    <w:p w14:paraId="5BE24660">
      <w:pPr>
        <w:pStyle w:val="29"/>
        <w:spacing w:line="360" w:lineRule="exact"/>
        <w:rPr>
          <w:rFonts w:hAnsi="宋体" w:cs="宋体"/>
          <w:b/>
          <w:color w:val="000000" w:themeColor="text1"/>
          <w:sz w:val="32"/>
          <w:szCs w:val="32"/>
          <w:highlight w:val="none"/>
          <w14:textFill>
            <w14:solidFill>
              <w14:schemeClr w14:val="tx1"/>
            </w14:solidFill>
          </w14:textFill>
        </w:rPr>
      </w:pPr>
    </w:p>
    <w:p w14:paraId="39EB540B">
      <w:pPr>
        <w:pStyle w:val="29"/>
        <w:spacing w:line="360" w:lineRule="exact"/>
        <w:rPr>
          <w:rFonts w:hAnsi="宋体" w:cs="宋体"/>
          <w:b/>
          <w:color w:val="000000" w:themeColor="text1"/>
          <w:sz w:val="32"/>
          <w:szCs w:val="32"/>
          <w:highlight w:val="none"/>
          <w14:textFill>
            <w14:solidFill>
              <w14:schemeClr w14:val="tx1"/>
            </w14:solidFill>
          </w14:textFill>
        </w:rPr>
      </w:pPr>
    </w:p>
    <w:p w14:paraId="72F5FFD5">
      <w:pPr>
        <w:pStyle w:val="29"/>
        <w:spacing w:line="360" w:lineRule="exact"/>
        <w:rPr>
          <w:rFonts w:hAnsi="宋体" w:cs="宋体"/>
          <w:b/>
          <w:color w:val="000000" w:themeColor="text1"/>
          <w:sz w:val="32"/>
          <w:szCs w:val="32"/>
          <w:highlight w:val="none"/>
          <w14:textFill>
            <w14:solidFill>
              <w14:schemeClr w14:val="tx1"/>
            </w14:solidFill>
          </w14:textFill>
        </w:rPr>
      </w:pPr>
    </w:p>
    <w:p w14:paraId="67BEC6E8">
      <w:pPr>
        <w:pStyle w:val="29"/>
        <w:spacing w:line="360" w:lineRule="exact"/>
        <w:rPr>
          <w:rFonts w:hAnsi="宋体" w:cs="宋体"/>
          <w:b/>
          <w:color w:val="000000" w:themeColor="text1"/>
          <w:sz w:val="32"/>
          <w:szCs w:val="32"/>
          <w:highlight w:val="none"/>
          <w14:textFill>
            <w14:solidFill>
              <w14:schemeClr w14:val="tx1"/>
            </w14:solidFill>
          </w14:textFill>
        </w:rPr>
      </w:pPr>
    </w:p>
    <w:p w14:paraId="5CA465AC">
      <w:pPr>
        <w:pStyle w:val="29"/>
        <w:spacing w:line="360" w:lineRule="exact"/>
        <w:rPr>
          <w:rFonts w:hAnsi="宋体" w:cs="宋体"/>
          <w:b/>
          <w:color w:val="000000" w:themeColor="text1"/>
          <w:sz w:val="32"/>
          <w:szCs w:val="32"/>
          <w:highlight w:val="none"/>
          <w14:textFill>
            <w14:solidFill>
              <w14:schemeClr w14:val="tx1"/>
            </w14:solidFill>
          </w14:textFill>
        </w:rPr>
      </w:pPr>
    </w:p>
    <w:p w14:paraId="3BD90379">
      <w:pPr>
        <w:pStyle w:val="29"/>
        <w:spacing w:line="360" w:lineRule="exact"/>
        <w:rPr>
          <w:rFonts w:hAnsi="宋体" w:cs="宋体"/>
          <w:b/>
          <w:color w:val="000000" w:themeColor="text1"/>
          <w:sz w:val="32"/>
          <w:szCs w:val="32"/>
          <w:highlight w:val="none"/>
          <w14:textFill>
            <w14:solidFill>
              <w14:schemeClr w14:val="tx1"/>
            </w14:solidFill>
          </w14:textFill>
        </w:rPr>
      </w:pPr>
    </w:p>
    <w:p w14:paraId="209BF6E5">
      <w:pPr>
        <w:pStyle w:val="29"/>
        <w:spacing w:line="360" w:lineRule="exact"/>
        <w:rPr>
          <w:rFonts w:hAnsi="宋体" w:cs="宋体"/>
          <w:b/>
          <w:color w:val="000000" w:themeColor="text1"/>
          <w:sz w:val="32"/>
          <w:szCs w:val="32"/>
          <w:highlight w:val="none"/>
          <w14:textFill>
            <w14:solidFill>
              <w14:schemeClr w14:val="tx1"/>
            </w14:solidFill>
          </w14:textFill>
        </w:rPr>
      </w:pPr>
    </w:p>
    <w:p w14:paraId="32F66AE4">
      <w:pPr>
        <w:pStyle w:val="29"/>
        <w:spacing w:line="360" w:lineRule="exact"/>
        <w:rPr>
          <w:rFonts w:hAnsi="宋体" w:cs="宋体"/>
          <w:b/>
          <w:color w:val="000000" w:themeColor="text1"/>
          <w:sz w:val="32"/>
          <w:szCs w:val="32"/>
          <w:highlight w:val="none"/>
          <w14:textFill>
            <w14:solidFill>
              <w14:schemeClr w14:val="tx1"/>
            </w14:solidFill>
          </w14:textFill>
        </w:rPr>
      </w:pPr>
    </w:p>
    <w:p w14:paraId="5A5D56C5">
      <w:pPr>
        <w:pStyle w:val="29"/>
        <w:spacing w:line="360" w:lineRule="exact"/>
        <w:rPr>
          <w:rFonts w:hAnsi="宋体" w:cs="宋体"/>
          <w:b/>
          <w:color w:val="000000" w:themeColor="text1"/>
          <w:sz w:val="32"/>
          <w:szCs w:val="32"/>
          <w:highlight w:val="none"/>
          <w14:textFill>
            <w14:solidFill>
              <w14:schemeClr w14:val="tx1"/>
            </w14:solidFill>
          </w14:textFill>
        </w:rPr>
      </w:pPr>
    </w:p>
    <w:p w14:paraId="6CCD3548">
      <w:pPr>
        <w:rPr>
          <w:rFonts w:ascii="宋体" w:hAnsi="宋体" w:cs="宋体"/>
          <w:color w:val="000000" w:themeColor="text1"/>
          <w:highlight w:val="none"/>
          <w14:textFill>
            <w14:solidFill>
              <w14:schemeClr w14:val="tx1"/>
            </w14:solidFill>
          </w14:textFill>
        </w:rPr>
      </w:pPr>
    </w:p>
    <w:p w14:paraId="7CE08DF2">
      <w:pPr>
        <w:pStyle w:val="100"/>
        <w:rPr>
          <w:rFonts w:ascii="宋体" w:hAnsi="宋体" w:cs="宋体"/>
          <w:color w:val="000000" w:themeColor="text1"/>
          <w:highlight w:val="none"/>
          <w14:textFill>
            <w14:solidFill>
              <w14:schemeClr w14:val="tx1"/>
            </w14:solidFill>
          </w14:textFill>
        </w:rPr>
      </w:pPr>
    </w:p>
    <w:p w14:paraId="4AF5CD17">
      <w:pPr>
        <w:pStyle w:val="100"/>
        <w:rPr>
          <w:rFonts w:ascii="宋体" w:hAnsi="宋体" w:cs="宋体"/>
          <w:color w:val="000000" w:themeColor="text1"/>
          <w:highlight w:val="none"/>
          <w14:textFill>
            <w14:solidFill>
              <w14:schemeClr w14:val="tx1"/>
            </w14:solidFill>
          </w14:textFill>
        </w:rPr>
      </w:pPr>
    </w:p>
    <w:p w14:paraId="4A8F1A51">
      <w:pPr>
        <w:pStyle w:val="100"/>
        <w:rPr>
          <w:rFonts w:ascii="宋体" w:hAnsi="宋体" w:cs="宋体"/>
          <w:color w:val="000000" w:themeColor="text1"/>
          <w:highlight w:val="none"/>
          <w14:textFill>
            <w14:solidFill>
              <w14:schemeClr w14:val="tx1"/>
            </w14:solidFill>
          </w14:textFill>
        </w:rPr>
      </w:pPr>
    </w:p>
    <w:p w14:paraId="00586293">
      <w:pPr>
        <w:pStyle w:val="100"/>
        <w:rPr>
          <w:rFonts w:ascii="宋体" w:hAnsi="宋体" w:cs="宋体"/>
          <w:color w:val="000000" w:themeColor="text1"/>
          <w:highlight w:val="none"/>
          <w14:textFill>
            <w14:solidFill>
              <w14:schemeClr w14:val="tx1"/>
            </w14:solidFill>
          </w14:textFill>
        </w:rPr>
      </w:pPr>
    </w:p>
    <w:p w14:paraId="26A60672">
      <w:pPr>
        <w:pStyle w:val="100"/>
        <w:rPr>
          <w:rFonts w:ascii="宋体" w:hAnsi="宋体" w:cs="宋体"/>
          <w:color w:val="000000" w:themeColor="text1"/>
          <w:highlight w:val="none"/>
          <w14:textFill>
            <w14:solidFill>
              <w14:schemeClr w14:val="tx1"/>
            </w14:solidFill>
          </w14:textFill>
        </w:rPr>
      </w:pPr>
    </w:p>
    <w:p w14:paraId="29B08607">
      <w:pPr>
        <w:pStyle w:val="100"/>
        <w:rPr>
          <w:rFonts w:ascii="宋体" w:hAnsi="宋体" w:cs="宋体"/>
          <w:color w:val="000000" w:themeColor="text1"/>
          <w:highlight w:val="none"/>
          <w14:textFill>
            <w14:solidFill>
              <w14:schemeClr w14:val="tx1"/>
            </w14:solidFill>
          </w14:textFill>
        </w:rPr>
      </w:pPr>
    </w:p>
    <w:p w14:paraId="0F2EDB59">
      <w:pPr>
        <w:spacing w:line="36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评标办法及评分标准</w:t>
      </w:r>
    </w:p>
    <w:p w14:paraId="5BC1B25B">
      <w:pPr>
        <w:spacing w:line="360" w:lineRule="exact"/>
        <w:rPr>
          <w:rFonts w:ascii="宋体" w:hAnsi="宋体" w:cs="宋体"/>
          <w:b/>
          <w:bCs/>
          <w:color w:val="000000" w:themeColor="text1"/>
          <w:sz w:val="28"/>
          <w:szCs w:val="21"/>
          <w:highlight w:val="none"/>
          <w14:textFill>
            <w14:solidFill>
              <w14:schemeClr w14:val="tx1"/>
            </w14:solidFill>
          </w14:textFill>
        </w:rPr>
      </w:pPr>
    </w:p>
    <w:p w14:paraId="577B74F9">
      <w:pPr>
        <w:tabs>
          <w:tab w:val="left" w:pos="5302"/>
        </w:tabs>
        <w:spacing w:line="360" w:lineRule="auto"/>
        <w:jc w:val="left"/>
        <w:rPr>
          <w:rFonts w:ascii="宋体" w:hAnsi="宋体" w:cs="宋体"/>
          <w:b/>
          <w:color w:val="000000" w:themeColor="text1"/>
          <w:sz w:val="40"/>
          <w:szCs w:val="28"/>
          <w:highlight w:val="none"/>
          <w14:textFill>
            <w14:solidFill>
              <w14:schemeClr w14:val="tx1"/>
            </w14:solidFill>
          </w14:textFill>
        </w:rPr>
      </w:pPr>
    </w:p>
    <w:p w14:paraId="1102295C">
      <w:pPr>
        <w:adjustRightInd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一、评标原则</w:t>
      </w:r>
    </w:p>
    <w:p w14:paraId="6BF5AECC">
      <w:pPr>
        <w:adjustRightInd w:val="0"/>
        <w:snapToGrid w:val="0"/>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(一)评委组成：本招标采购项目的评标委员会由采购人代表和有关技术、经济等方面的专家组成，成员人数应当为7人以上单数，其中评审专家不得少于成员总数的三分之二。</w:t>
      </w:r>
    </w:p>
    <w:p w14:paraId="53D41453">
      <w:pPr>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(二)评标依据：评委将以招投标文件为评标依据，对投标人的投标报价，技术性能，服务方案，售后服务，信誉业绩等方面的内容按百分制打分。</w:t>
      </w:r>
    </w:p>
    <w:p w14:paraId="13078AFF">
      <w:pPr>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(三)评标方式：以封闭方式进行。</w:t>
      </w:r>
    </w:p>
    <w:p w14:paraId="6C81134F">
      <w:pPr>
        <w:adjustRightInd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二、评定方法</w:t>
      </w:r>
    </w:p>
    <w:p w14:paraId="449C482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（一）对进入详评的，采用百分制综合评分法。</w:t>
      </w:r>
    </w:p>
    <w:p w14:paraId="4A5E3E0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（二）计分办法（按四舍五入取至百分位）：</w:t>
      </w:r>
    </w:p>
    <w:p w14:paraId="11EA5129">
      <w:pPr>
        <w:widowControl/>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三、评审标准</w:t>
      </w:r>
    </w:p>
    <w:p w14:paraId="0BCF4FA1">
      <w:pPr>
        <w:snapToGrid w:val="0"/>
        <w:spacing w:line="360" w:lineRule="auto"/>
        <w:ind w:firstLine="234" w:firstLineChars="111"/>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1.价格分（满分10分）</w:t>
      </w:r>
    </w:p>
    <w:p w14:paraId="23ED7FBD">
      <w:pPr>
        <w:snapToGrid w:val="0"/>
        <w:spacing w:line="360" w:lineRule="auto"/>
        <w:ind w:firstLine="233" w:firstLineChars="111"/>
        <w:jc w:val="left"/>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r>
        <w:rPr>
          <w:rFonts w:hint="eastAsia" w:ascii="宋体" w:hAnsi="宋体" w:cs="宋体"/>
          <w:b w:val="0"/>
          <w:bCs/>
          <w:color w:val="000000" w:themeColor="text1"/>
          <w:szCs w:val="21"/>
          <w:highlight w:val="none"/>
          <w:lang w:val="en-US" w:eastAsia="zh-CN"/>
          <w14:textFill>
            <w14:solidFill>
              <w14:schemeClr w14:val="tx1"/>
            </w14:solidFill>
          </w14:textFill>
        </w:rPr>
        <w:t>。</w:t>
      </w:r>
    </w:p>
    <w:p w14:paraId="0AB9DE9A">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（2）政策性扣除计算方法。</w:t>
      </w:r>
    </w:p>
    <w:p w14:paraId="628DA498">
      <w:pPr>
        <w:snapToGrid w:val="0"/>
        <w:spacing w:line="360" w:lineRule="auto"/>
        <w:ind w:firstLine="443" w:firstLineChars="211"/>
        <w:jc w:val="left"/>
        <w:rPr>
          <w:rFonts w:ascii="宋体" w:hAnsi="宋体" w:cs="宋体"/>
          <w:b w:val="0"/>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根据《政府采购促进中小企业发展管理办法》（财库〔2020〕46号）及《广西壮族自治区财政厅关于贯彻落实政府采购支持中小企业发展政策的通知》（桂财采〔2022〕31号）的规定，对其投标报价给予20%</w:t>
      </w:r>
      <w:r>
        <w:rPr>
          <w:rFonts w:hint="eastAsia" w:ascii="宋体" w:hAnsi="宋体" w:cs="宋体"/>
          <w:b w:val="0"/>
          <w:bCs/>
          <w:color w:val="000000" w:themeColor="text1"/>
          <w:szCs w:val="21"/>
          <w:highlight w:val="none"/>
          <w14:textFill>
            <w14:solidFill>
              <w14:schemeClr w14:val="tx1"/>
            </w14:solidFill>
          </w14:textFill>
        </w:rPr>
        <w:t>的扣除，扣除后的价格为评标报价，即评标报价=投标报价×（1-20%）。除上述情况外，评标报价=投标报价。</w:t>
      </w:r>
    </w:p>
    <w:p w14:paraId="73381499">
      <w:pPr>
        <w:snapToGrid w:val="0"/>
        <w:spacing w:line="360" w:lineRule="auto"/>
        <w:ind w:firstLine="233" w:firstLineChars="111"/>
        <w:jc w:val="left"/>
        <w:rPr>
          <w:rFonts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w:t>
      </w:r>
      <w:r>
        <w:rPr>
          <w:rFonts w:hint="eastAsia" w:ascii="宋体" w:hAnsi="宋体" w:cs="宋体"/>
          <w:b w:val="0"/>
          <w:bCs/>
          <w:color w:val="000000" w:themeColor="text1"/>
          <w:szCs w:val="21"/>
          <w:highlight w:val="none"/>
          <w:lang w:val="en-US" w:eastAsia="zh-CN"/>
          <w14:textFill>
            <w14:solidFill>
              <w14:schemeClr w14:val="tx1"/>
            </w14:solidFill>
          </w14:textFill>
        </w:rPr>
        <w:t>按照《财政部、司法部关于政府采购支持监狱企业发展有关问题的通知》（财库〔2014〕68 号）的规定，监狱企业视同小型、微型企业，享受同等 20% 价格扣除政策，监狱企业参加政府采购活动时，应当提供由省级以上监狱管理局、戒毒管理局（含新疆生产建设兵团）出具的属于监狱企业的证明文件。监狱企业属于小型、微型企业的，不重复享受政策</w:t>
      </w:r>
      <w:r>
        <w:rPr>
          <w:rFonts w:hint="eastAsia" w:ascii="宋体" w:hAnsi="宋体" w:cs="宋体"/>
          <w:b w:val="0"/>
          <w:bCs/>
          <w:color w:val="000000" w:themeColor="text1"/>
          <w:szCs w:val="21"/>
          <w:highlight w:val="none"/>
          <w14:textFill>
            <w14:solidFill>
              <w14:schemeClr w14:val="tx1"/>
            </w14:solidFill>
          </w14:textFill>
        </w:rPr>
        <w:t>。</w:t>
      </w:r>
    </w:p>
    <w:p w14:paraId="494860A8">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9A781D">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（5）满足招标文件要求且评标报价最低的评标报价为评标基准价，其价格分为满分。</w:t>
      </w:r>
    </w:p>
    <w:p w14:paraId="1B67B74E">
      <w:pPr>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（6）价格分计算公式：        </w:t>
      </w:r>
    </w:p>
    <w:p w14:paraId="38B73333">
      <w:pPr>
        <w:snapToGrid w:val="0"/>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价格分=（评标基准价/评标报价）×10分</w:t>
      </w:r>
    </w:p>
    <w:p w14:paraId="4EED67C6">
      <w:pPr>
        <w:snapToGrid w:val="0"/>
        <w:spacing w:line="360" w:lineRule="auto"/>
        <w:ind w:firstLine="445" w:firstLineChars="211"/>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服务实施方案分（满分3</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分）</w:t>
      </w:r>
    </w:p>
    <w:p w14:paraId="12B17BF1">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（1）项目策划执行方案（满分20分）</w:t>
      </w:r>
    </w:p>
    <w:p w14:paraId="6134FF8D">
      <w:pPr>
        <w:snapToGrid w:val="0"/>
        <w:spacing w:line="360" w:lineRule="auto"/>
        <w:ind w:firstLine="443" w:firstLineChars="211"/>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评标委员会根据各投标人提供的项目实施服务方案等情况进行定档，各评委在相应档次内独立打分。方案需重点评审是否紧扣 “潮涌新时代，向海开新篇”“平等、参与、共享、奋进” 赛事主题，是否融合广西北海地域文化、向海图强战略，是否落实绿色环保、无障碍建设理念。</w:t>
      </w:r>
    </w:p>
    <w:p w14:paraId="3682624B">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一档0分：策划执行方案简单，整体构思含糊不明确，展示形式呆板，方案重点内容不全或不突出，无特色符合主题的原创节目，基本无措施，较难达到采购方的采购目的。</w:t>
      </w:r>
    </w:p>
    <w:p w14:paraId="02B49FED">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二档5分：策划执行方案简单，整体构思、展示形式、方案重点内容简单，无特色符合主题的原创节目，基本能达到采购方的采购目的。</w:t>
      </w:r>
    </w:p>
    <w:p w14:paraId="50B54F8C">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三档10分：策划执行方案较完整，整体构思、展示形式、方案重点内容较好，有特色符合主题的原创节目，措施良好，方案可行性良好，能达到采购方的采购目的。</w:t>
      </w:r>
    </w:p>
    <w:p w14:paraId="0DD1DF28">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20分：策划执行方案清晰完整，整体构思新颖、目标明确，展示形式灵活多样，方案重点内容突出，有特色符合主题的原创节目，措施具体，方案完全可行性强，完全能达到采购方的采购目的，能很好的实现采购方的预期效果。</w:t>
      </w:r>
    </w:p>
    <w:p w14:paraId="4E070C51">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（2）舞美舞台设计方案（满分</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分）</w:t>
      </w:r>
    </w:p>
    <w:p w14:paraId="678652DE">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评委对</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的</w:t>
      </w: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中提供的舞美舞台设计方案，从设计说明、设计效果图等方面进行综合评定，</w:t>
      </w:r>
      <w:r>
        <w:rPr>
          <w:rFonts w:hint="eastAsia" w:ascii="宋体" w:hAnsi="宋体" w:cs="宋体"/>
          <w:bCs/>
          <w:color w:val="000000" w:themeColor="text1"/>
          <w:szCs w:val="21"/>
          <w:highlight w:val="none"/>
          <w:lang w:eastAsia="zh-CN"/>
          <w14:textFill>
            <w14:solidFill>
              <w14:schemeClr w14:val="tx1"/>
            </w14:solidFill>
          </w14:textFill>
        </w:rPr>
        <w:t>重点评审是否适配开闭幕式不同场地（中国东盟北海体育实训基地、北海市体育馆），是否能实现高清投影、超清 LED 数字光影、裸眼 3D 等技术融合，是否符合各场次演员阵容规模及演出需求，</w:t>
      </w:r>
      <w:r>
        <w:rPr>
          <w:rFonts w:hint="eastAsia" w:ascii="宋体" w:hAnsi="宋体" w:cs="宋体"/>
          <w:bCs/>
          <w:color w:val="000000" w:themeColor="text1"/>
          <w:szCs w:val="21"/>
          <w:highlight w:val="none"/>
          <w14:textFill>
            <w14:solidFill>
              <w14:schemeClr w14:val="tx1"/>
            </w14:solidFill>
          </w14:textFill>
        </w:rPr>
        <w:t>根据优劣程度进行独立打分：</w:t>
      </w:r>
    </w:p>
    <w:p w14:paraId="5A1C1CAC">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一档（0分）：未提供舞美舞台设计方案；</w:t>
      </w:r>
    </w:p>
    <w:p w14:paraId="335F8A8D">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二档（1分）：提供的舞美舞台设计方案比较简单，有基本的现场效果图，设计说明笼统，设计效果不明显，不能满足采购需求；</w:t>
      </w:r>
    </w:p>
    <w:p w14:paraId="641633A2">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三档（3分）：提供的舞美舞台设计方案较完整，有明确的现场效果图，设计说明较详细，有较好的创意，有较丰富设计效果体现，基本满采购需求；</w:t>
      </w:r>
    </w:p>
    <w:p w14:paraId="3148C346">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分）：提供的舞美舞台设计方案详细且合理，有齐全的现场效果图、有针对性的设计说明，设计效果新颖多样，能起到吸引广大受众，引起良好反响的效果，满足采购需求。</w:t>
      </w:r>
    </w:p>
    <w:p w14:paraId="0413DBE4">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（3）演出安全保障措施、应急预案防控预案（满分5分）</w:t>
      </w:r>
    </w:p>
    <w:p w14:paraId="15518E88">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本项评审需包含火炬传递、场地搭建、高空作业、残疾人参与环节的专项安全保障，以及极端天气、设备故障、人员突发健康问题的应急处置，残运会环节需重点评审无障碍保障措施。评委对</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的</w:t>
      </w: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中提供的演出安全保障措施、应急预案和防控预案的优劣进行独立打分：</w:t>
      </w:r>
    </w:p>
    <w:p w14:paraId="725E42B9">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一档（0分）：未提供演出安全保障措施、应急预案。</w:t>
      </w:r>
    </w:p>
    <w:p w14:paraId="07AC6E16">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二档（1分）：有简单的演出安全保障措施和应急预案及疫情防控预案，不能满足项目需求。</w:t>
      </w:r>
    </w:p>
    <w:p w14:paraId="34BD57F3">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三档（3分）：演出各项工作环节安全保障措施明确，有突发状况分析及对应的解决应急方案，能基本保障项目实施。</w:t>
      </w:r>
    </w:p>
    <w:p w14:paraId="4CADC7E5">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四档（5分）：演出各项工作环节安全保障措施详细合理，针对可能出现的各种突发状况有明确说明并出具可行的解决应急预案（能有力保障活动安全实施）</w:t>
      </w:r>
    </w:p>
    <w:p w14:paraId="3A04320A">
      <w:pPr>
        <w:numPr>
          <w:ilvl w:val="0"/>
          <w:numId w:val="6"/>
        </w:numPr>
        <w:snapToGrid w:val="0"/>
        <w:spacing w:line="360" w:lineRule="auto"/>
        <w:ind w:firstLine="443" w:firstLineChars="211"/>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拟投入人员分（满分3</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w:t>
      </w:r>
    </w:p>
    <w:p w14:paraId="2C5DCC3B">
      <w:pPr>
        <w:snapToGrid w:val="0"/>
        <w:spacing w:line="360" w:lineRule="auto"/>
        <w:ind w:firstLine="443" w:firstLineChars="211"/>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注：</w:t>
      </w:r>
      <w:r>
        <w:rPr>
          <w:rFonts w:hint="eastAsia" w:ascii="宋体" w:hAnsi="宋体" w:cs="宋体"/>
          <w:bCs/>
          <w:color w:val="000000" w:themeColor="text1"/>
          <w:szCs w:val="21"/>
          <w:highlight w:val="none"/>
          <w14:textFill>
            <w14:solidFill>
              <w14:schemeClr w14:val="tx1"/>
            </w14:solidFill>
          </w14:textFill>
        </w:rPr>
        <w:t>1. 残运会相关环节拟投入人员需具备残疾人文体活动服务经验；2. 点火仪式、火炬传递需配备专项执行团队人员，且该人员计入本项评审；3. 投标人</w:t>
      </w:r>
      <w:r>
        <w:rPr>
          <w:rFonts w:hint="eastAsia" w:ascii="宋体" w:hAnsi="宋体" w:cs="宋体"/>
          <w:bCs/>
          <w:color w:val="000000" w:themeColor="text1"/>
          <w:szCs w:val="21"/>
          <w:highlight w:val="none"/>
          <w:lang w:eastAsia="zh-CN"/>
          <w14:textFill>
            <w14:solidFill>
              <w14:schemeClr w14:val="tx1"/>
            </w14:solidFill>
          </w14:textFill>
        </w:rPr>
        <w:t>下属子公司</w:t>
      </w:r>
      <w:r>
        <w:rPr>
          <w:rFonts w:hint="eastAsia" w:ascii="宋体" w:hAnsi="宋体" w:cs="宋体"/>
          <w:bCs/>
          <w:color w:val="000000" w:themeColor="text1"/>
          <w:szCs w:val="21"/>
          <w:highlight w:val="none"/>
          <w14:textFill>
            <w14:solidFill>
              <w14:schemeClr w14:val="tx1"/>
            </w14:solidFill>
          </w14:textFill>
        </w:rPr>
        <w:t>人员参与的，需在投标文件中单独列明并提供全资控股证明、人员所属关系证明，否则不计入本项评分。</w:t>
      </w:r>
    </w:p>
    <w:p w14:paraId="2CFE6946">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一档（5分）：组织机构设置、人员配备基本满足采购需求，包含一级导演1名以上、二级编导2名以上，其中导演具有大型综合项目服务经验，部分人员具有大型活动或运动会服务经验。</w:t>
      </w:r>
    </w:p>
    <w:p w14:paraId="48C2FA75">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二档（10分）：组织机构设置较为合理，人员配备齐全，包含一级导演2名以上、二级编导2名以上、二级演员5名以上，其中导演具有大型综合项目服务经验，其他人员均具有大型活动或运动会服务经验。</w:t>
      </w:r>
    </w:p>
    <w:p w14:paraId="581F5568">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20分）：组织机构设置完善合理、人员配备齐全，包含一级导演2名以上、二级编导2名以上、一级演员3名以上、二级演员10名以上、一级服装设计师1名以上、二级造型设计1名以上、二级舞台技术3名以上、二级舞台监督1名、三级演出监督3名，其中导演具有大型综合项目服务经验，其他人员均具有大型活动或运动会服务经验。</w:t>
      </w:r>
    </w:p>
    <w:p w14:paraId="499FEA0E">
      <w:pPr>
        <w:snapToGrid w:val="0"/>
        <w:spacing w:line="360" w:lineRule="auto"/>
        <w:ind w:firstLine="443" w:firstLineChars="211"/>
        <w:jc w:val="left"/>
        <w:rPr>
          <w:rFonts w:hint="eastAsia" w:ascii="宋体" w:hAnsi="宋体" w:cs="宋体"/>
          <w:b/>
          <w:bCs w:val="0"/>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四档（3</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w:t>
      </w:r>
      <w:r>
        <w:rPr>
          <w:rFonts w:hint="eastAsia" w:ascii="宋体" w:hAnsi="宋体" w:cs="宋体"/>
          <w:b/>
          <w:bCs w:val="0"/>
          <w:color w:val="000000" w:themeColor="text1"/>
          <w:szCs w:val="21"/>
          <w:highlight w:val="none"/>
          <w:lang w:val="en-US" w:eastAsia="zh-CN"/>
          <w14:textFill>
            <w14:solidFill>
              <w14:schemeClr w14:val="tx1"/>
            </w14:solidFill>
          </w14:textFill>
        </w:rPr>
        <w:t>组织机构设置完善合理、人员配备齐全，核心主创及专业技术团队包含一级导演 3 名以上、一级编导 3 名以上、二级导演 3 名以上、二级编导 3 名以上、一级演员 6 名以上、二级演员 10 名以上、一级服装设计师 1 名以上、二级造型设计 1 名以上、二级舞台技术 6 名以上、二级舞台监督 1 名、三级演出监督 5 名，配备残运会专项执行团队（人员具备残疾人文体活动服务经验）及点火仪式、火炬传递专项执行团队，并配备足额技术专业人员；其中导演具备大型综合项目服务经验，其余所有主创、专业技术及演职人员均具有大型文体活动或运动会服务经验。</w:t>
      </w:r>
    </w:p>
    <w:p w14:paraId="507BC115">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注：1.拟投入本项目的团队人员需以</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自有人员为主，</w:t>
      </w: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中须提供以下材料复印件（加盖</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公章【公章(CA签章)/自然人签字或个人CA签章】）作为计分依据：①团队人员名单、年龄、性别、工作简历；②团队人员相关大型活动或运动会服务经验的有效证明材料（如项目服务合同、履约验收文件、获奖证书等）。</w:t>
      </w:r>
      <w:r>
        <w:rPr>
          <w:rFonts w:hint="default" w:ascii="宋体" w:hAnsi="宋体" w:cs="宋体"/>
          <w:bCs/>
          <w:color w:val="000000" w:themeColor="text1"/>
          <w:szCs w:val="21"/>
          <w:highlight w:val="none"/>
          <w14:textFill>
            <w14:solidFill>
              <w14:schemeClr w14:val="tx1"/>
            </w14:solidFill>
          </w14:textFill>
        </w:rPr>
        <w:t>③</w:t>
      </w:r>
      <w:r>
        <w:rPr>
          <w:rFonts w:hint="eastAsia" w:ascii="宋体" w:hAnsi="宋体" w:cs="宋体"/>
          <w:bCs/>
          <w:color w:val="000000" w:themeColor="text1"/>
          <w:szCs w:val="21"/>
          <w:highlight w:val="none"/>
          <w14:textFill>
            <w14:solidFill>
              <w14:schemeClr w14:val="tx1"/>
            </w14:solidFill>
          </w14:textFill>
        </w:rPr>
        <w:t xml:space="preserve"> 投标人</w:t>
      </w:r>
      <w:r>
        <w:rPr>
          <w:rFonts w:hint="eastAsia" w:ascii="宋体" w:hAnsi="宋体" w:cs="宋体"/>
          <w:bCs/>
          <w:color w:val="000000" w:themeColor="text1"/>
          <w:szCs w:val="21"/>
          <w:highlight w:val="none"/>
          <w:lang w:eastAsia="zh-CN"/>
          <w14:textFill>
            <w14:solidFill>
              <w14:schemeClr w14:val="tx1"/>
            </w14:solidFill>
          </w14:textFill>
        </w:rPr>
        <w:t>下属子公司</w:t>
      </w:r>
      <w:r>
        <w:rPr>
          <w:rFonts w:hint="eastAsia" w:ascii="宋体" w:hAnsi="宋体" w:cs="宋体"/>
          <w:bCs/>
          <w:color w:val="000000" w:themeColor="text1"/>
          <w:szCs w:val="21"/>
          <w:highlight w:val="none"/>
          <w14:textFill>
            <w14:solidFill>
              <w14:schemeClr w14:val="tx1"/>
            </w14:solidFill>
          </w14:textFill>
        </w:rPr>
        <w:t>人员参与的，需在投标文件中单独列明并提供全资控股证明、人员所属关系证明，否则不计入本项评分。未按上述要求完整提供的，本项不得分。</w:t>
      </w:r>
    </w:p>
    <w:p w14:paraId="3EAFD320">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2.本条款中一级、二级导演、编导、演员等职称，指由国家文化和旅游部、人力资源和社会保障部等官方主管部门或省级以上专业文艺行业协会颁发的相应等级职称证书。</w:t>
      </w:r>
    </w:p>
    <w:p w14:paraId="676B5108">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3.投标文件中须同时提供拟投入团队人员的职称证书复印件，以及</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在20</w:t>
      </w:r>
      <w:r>
        <w:rPr>
          <w:rFonts w:hint="eastAsia" w:ascii="宋体" w:hAnsi="宋体" w:cs="宋体"/>
          <w:bCs/>
          <w:color w:val="000000" w:themeColor="text1"/>
          <w:szCs w:val="21"/>
          <w:highlight w:val="none"/>
          <w:lang w:val="en-US" w:eastAsia="zh-CN"/>
          <w14:textFill>
            <w14:solidFill>
              <w14:schemeClr w14:val="tx1"/>
            </w14:solidFill>
          </w14:textFill>
        </w:rPr>
        <w:t>25</w:t>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月1日至首次投标文件提交截止时间期间任意连续六个月为其缴纳的社保证明材料复印件（社保证明为认定自有人员身份的核心依据）；未按要求提供职称证及自有人员社保证明，本项不得分。</w:t>
      </w:r>
    </w:p>
    <w:p w14:paraId="4CD6FB10">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服务承诺分………………………………5分</w:t>
      </w:r>
    </w:p>
    <w:p w14:paraId="6F7187F5">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评委对投标人的投标文件中提供的服务承诺书，从服务内容、服务措施、服务响应速度、应急服务承诺、后续清场服务承诺，以及方案提交时限、保险购买（保额≥20 万元 / 人）、人员管理（无理由不得更换核心人员）、分包管理（严禁转包，非主体工作分包需审批）、知识产权归属（采购人独家所有）、保密期限（合同履行后 3 年） 等本采购需求约定的核心履约要求方面进行综合评定，根据优劣程度进行独立打分：</w:t>
      </w:r>
    </w:p>
    <w:p w14:paraId="2FCD9E98">
      <w:pPr>
        <w:snapToGrid w:val="0"/>
        <w:spacing w:line="360" w:lineRule="auto"/>
        <w:ind w:firstLine="443" w:firstLineChars="211"/>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一档（1 分）：服务承诺内容简单，核心履约要求缺项较多，各项承诺内容不够全面或缺项；</w:t>
      </w:r>
    </w:p>
    <w:p w14:paraId="6A0BC621">
      <w:pPr>
        <w:snapToGrid w:val="0"/>
        <w:spacing w:line="360" w:lineRule="auto"/>
        <w:ind w:firstLine="443" w:firstLineChars="211"/>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二档（3 分）：服务承诺内容较完整，覆盖核心履约要求，各项承诺内容基本合理，具有一定针对性，基本满足项目需求；</w:t>
      </w:r>
    </w:p>
    <w:p w14:paraId="33DDA8EF">
      <w:pPr>
        <w:snapToGrid w:val="0"/>
        <w:spacing w:line="360" w:lineRule="auto"/>
        <w:ind w:firstLine="443" w:firstLineChars="211"/>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三档（5 分）：服务承诺内容详细，全面覆盖本采购需求所有核心履约要求，各项承诺内容合理，针对性强，服务措施详细可行，完全满足项目需求，充分为采购人考虑。</w:t>
      </w:r>
    </w:p>
    <w:p w14:paraId="1CC877AB">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履约能力分…………满分20分</w:t>
      </w:r>
    </w:p>
    <w:p w14:paraId="4B51A0B0">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（1）投标主体资质与履约保障条件（2分）</w:t>
      </w:r>
    </w:p>
    <w:p w14:paraId="385D32AB">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若投标人以</w:t>
      </w:r>
      <w:r>
        <w:rPr>
          <w:rFonts w:hint="eastAsia" w:ascii="宋体" w:hAnsi="宋体" w:cs="宋体"/>
          <w:bCs/>
          <w:color w:val="000000" w:themeColor="text1"/>
          <w:szCs w:val="21"/>
          <w:highlight w:val="none"/>
          <w:lang w:eastAsia="zh-CN"/>
          <w14:textFill>
            <w14:solidFill>
              <w14:schemeClr w14:val="tx1"/>
            </w14:solidFill>
          </w14:textFill>
        </w:rPr>
        <w:t>下属子公司</w:t>
      </w:r>
      <w:r>
        <w:rPr>
          <w:rFonts w:hint="eastAsia" w:ascii="宋体" w:hAnsi="宋体" w:cs="宋体"/>
          <w:bCs/>
          <w:color w:val="000000" w:themeColor="text1"/>
          <w:szCs w:val="21"/>
          <w:highlight w:val="none"/>
          <w14:textFill>
            <w14:solidFill>
              <w14:schemeClr w14:val="tx1"/>
            </w14:solidFill>
          </w14:textFill>
        </w:rPr>
        <w:t>资质作为履约保障的，需提供全资控股证明及子公司资质材料，否则相关资质不计入评审。</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须为依法登记设立、具备与本项目（大型运动会开闭幕式文艺演出策划、创作、执行、舞美制作等）相匹配服务能力的专业文化服务单位，拥有合法经营资质、固定服务场所、完善的项目管理体系、质量管控机制及安全保障制度，具备满足本项目全流程实施的履约条件与综合服务能力。</w:t>
      </w:r>
    </w:p>
    <w:p w14:paraId="2750DE8E">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中须提供营业执照（经营范围需包含相关文化演出服务内容）、核心专业资质证书（如营业性演出许可证等）、固定办公/服务场所证明（产权证明或租赁协议）等材料复印件，并加盖</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公章【公章(CA签章)/自然人签字或个人CA签章】。全部满足要求得2分，缺项或不符合要求不得分。</w:t>
      </w:r>
    </w:p>
    <w:p w14:paraId="5824760A">
      <w:pPr>
        <w:snapToGrid w:val="0"/>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（2）类似项目业绩（14分）</w:t>
      </w:r>
    </w:p>
    <w:p w14:paraId="305C4992">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本项业绩包含大型运动会（含残疾人运动会）开闭幕式、火炬传递仪式的策划执行业绩，投标人</w:t>
      </w:r>
      <w:r>
        <w:rPr>
          <w:rFonts w:hint="eastAsia" w:ascii="宋体" w:hAnsi="宋体" w:cs="宋体"/>
          <w:bCs/>
          <w:color w:val="000000" w:themeColor="text1"/>
          <w:szCs w:val="21"/>
          <w:highlight w:val="none"/>
          <w:lang w:eastAsia="zh-CN"/>
          <w14:textFill>
            <w14:solidFill>
              <w14:schemeClr w14:val="tx1"/>
            </w14:solidFill>
          </w14:textFill>
        </w:rPr>
        <w:t>下属子公司</w:t>
      </w:r>
      <w:r>
        <w:rPr>
          <w:rFonts w:hint="eastAsia" w:ascii="宋体" w:hAnsi="宋体" w:cs="宋体"/>
          <w:bCs/>
          <w:color w:val="000000" w:themeColor="text1"/>
          <w:szCs w:val="21"/>
          <w:highlight w:val="none"/>
          <w14:textFill>
            <w14:solidFill>
              <w14:schemeClr w14:val="tx1"/>
            </w14:solidFill>
          </w14:textFill>
        </w:rPr>
        <w:t>的业绩需提供全资控股证明，否则不计入评审</w:t>
      </w:r>
      <w:r>
        <w:rPr>
          <w:color w:val="000000" w:themeColor="text1"/>
          <w:sz w:val="24"/>
          <w:szCs w:val="24"/>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2018年1月1日至</w:t>
      </w: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提交截止时间止，</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具有与本次采购内容（大型运动会、大型文体活动开幕式/闭幕式文艺演出策划、创作、执行、舞美制作、设备保障等）一致或高度类似的服务业绩，每提供1个有效项目得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分，满分14分。</w:t>
      </w:r>
    </w:p>
    <w:p w14:paraId="56AA4B5C">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有效业绩证明材料要求：需提供能清晰反映项目名称、服务类型、核心服务内容、服务周期的中标（成交）通知书或正式服务合同复印件（加盖</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公章【公章(CA签章)/自然人签字或个人CA签章】）；同一项目编号下多个分标中标（成交）的，仅按1个项目计分；未按要求提供、材料信息不全或无法佐证业绩关联性的，该业绩不计分。</w:t>
      </w:r>
    </w:p>
    <w:p w14:paraId="46E94C5E">
      <w:pPr>
        <w:snapToGrid w:val="0"/>
        <w:spacing w:line="360" w:lineRule="auto"/>
        <w:ind w:firstLine="233" w:firstLineChars="1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（3）荣誉奖项（4分）</w:t>
      </w:r>
    </w:p>
    <w:p w14:paraId="65A805FB">
      <w:pPr>
        <w:snapToGrid w:val="0"/>
        <w:spacing w:line="360" w:lineRule="auto"/>
        <w:ind w:firstLine="443" w:firstLineChars="211"/>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201</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年1月1日至</w:t>
      </w: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提交截止时间止，</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自身，或其作为主创单位创排的文艺演出、赛事开闭幕式等项目作品，获得省级以上</w:t>
      </w:r>
      <w:r>
        <w:rPr>
          <w:rFonts w:hint="eastAsia" w:ascii="宋体" w:hAnsi="宋体" w:cs="宋体"/>
          <w:bCs/>
          <w:color w:val="000000" w:themeColor="text1"/>
          <w:szCs w:val="21"/>
          <w:highlight w:val="none"/>
          <w:lang w:val="en-US" w:eastAsia="zh-CN"/>
          <w14:textFill>
            <w14:solidFill>
              <w14:schemeClr w14:val="tx1"/>
            </w14:solidFill>
          </w14:textFill>
        </w:rPr>
        <w:t>行业主管部门批准的</w:t>
      </w:r>
      <w:r>
        <w:rPr>
          <w:rFonts w:hint="eastAsia" w:ascii="宋体" w:hAnsi="宋体" w:cs="宋体"/>
          <w:bCs/>
          <w:color w:val="000000" w:themeColor="text1"/>
          <w:szCs w:val="21"/>
          <w:highlight w:val="none"/>
          <w14:textFill>
            <w14:solidFill>
              <w14:schemeClr w14:val="tx1"/>
            </w14:solidFill>
          </w14:textFill>
        </w:rPr>
        <w:t>行业协会颁发相关荣誉、奖项的，每提供1个有效证明得0.5分，满分4分。</w:t>
      </w:r>
    </w:p>
    <w:p w14:paraId="63D1F53C">
      <w:pPr>
        <w:snapToGrid w:val="0"/>
        <w:spacing w:line="360" w:lineRule="auto"/>
        <w:ind w:firstLine="443" w:firstLineChars="211"/>
        <w:jc w:val="left"/>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中须提供奖项证书、颁奖批复文件、获奖公示截图等有效证明材料复印件并加盖</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公章【公章(CA签章)/自然人签字或个人CA签章】；未按要求提供、材料无效或超出规定时间范围的，该奖项不计分。</w:t>
      </w:r>
    </w:p>
    <w:p w14:paraId="0A7E698D">
      <w:pPr>
        <w:widowControl/>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三、中标候选人推荐原则</w:t>
      </w:r>
    </w:p>
    <w:p w14:paraId="64AC8FE2">
      <w:pPr>
        <w:pStyle w:val="29"/>
        <w:adjustRightInd w:val="0"/>
        <w:snapToGrid w:val="0"/>
        <w:spacing w:line="360" w:lineRule="exact"/>
        <w:ind w:firstLine="210" w:firstLineChars="1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一）评标委员会将根据得分由高到低排列次序（得分相同时，以投标报价由低到高顺序排列；得分相同且投标报价相同的，按技术指标优劣顺序排列）并推荐中标候选投标人。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p>
    <w:p w14:paraId="7AB3F7EE">
      <w:pPr>
        <w:pStyle w:val="29"/>
        <w:adjustRightInd w:val="0"/>
        <w:snapToGrid w:val="0"/>
        <w:spacing w:line="360" w:lineRule="exact"/>
        <w:ind w:firstLine="210" w:firstLineChars="100"/>
        <w:rPr>
          <w:rFonts w:hint="eastAsia" w:hAnsi="宋体" w:cs="宋体"/>
          <w:color w:val="000000" w:themeColor="text1"/>
          <w:kern w:val="2"/>
          <w:sz w:val="21"/>
          <w:szCs w:val="24"/>
          <w:highlight w:val="none"/>
          <w14:textFill>
            <w14:solidFill>
              <w14:schemeClr w14:val="tx1"/>
            </w14:solidFill>
          </w14:textFill>
        </w:rPr>
        <w:sectPr>
          <w:pgSz w:w="11906" w:h="16838"/>
          <w:pgMar w:top="1247" w:right="849" w:bottom="1247" w:left="1418" w:header="851" w:footer="992" w:gutter="0"/>
          <w:cols w:space="720" w:num="1"/>
          <w:titlePg/>
          <w:docGrid w:type="lines" w:linePitch="312" w:charSpace="0"/>
        </w:sectPr>
      </w:pPr>
      <w:r>
        <w:rPr>
          <w:rFonts w:hint="eastAsia" w:hAnsi="宋体" w:cs="宋体"/>
          <w:color w:val="000000" w:themeColor="text1"/>
          <w:kern w:val="2"/>
          <w:sz w:val="21"/>
          <w:szCs w:val="24"/>
          <w:highlight w:val="none"/>
          <w14:textFill>
            <w14:solidFill>
              <w14:schemeClr w14:val="tx1"/>
            </w14:solidFill>
          </w14:textFill>
        </w:rPr>
        <w:t>（二）投标报价属于本招标文件规定的政府采购异常低价情形之一，评标委员会应当要求投标人提供书面说明、证明材料。投标人不能提供书面说明、证明材料，或者提供的书面说明、证明材料不能证明其报价合理性的，投标无效。</w:t>
      </w:r>
    </w:p>
    <w:p w14:paraId="6F233421">
      <w:pPr>
        <w:pStyle w:val="29"/>
        <w:adjustRightInd w:val="0"/>
        <w:snapToGrid w:val="0"/>
        <w:spacing w:line="360" w:lineRule="exact"/>
        <w:rPr>
          <w:rFonts w:hAnsi="宋体" w:cs="宋体"/>
          <w:b/>
          <w:color w:val="000000" w:themeColor="text1"/>
          <w:sz w:val="21"/>
          <w:highlight w:val="none"/>
          <w14:textFill>
            <w14:solidFill>
              <w14:schemeClr w14:val="tx1"/>
            </w14:solidFill>
          </w14:textFill>
        </w:rPr>
      </w:pPr>
    </w:p>
    <w:p w14:paraId="123507F0">
      <w:pPr>
        <w:pStyle w:val="29"/>
        <w:snapToGrid w:val="0"/>
        <w:spacing w:line="600" w:lineRule="exact"/>
        <w:rPr>
          <w:rFonts w:hAnsi="宋体" w:cs="宋体"/>
          <w:b/>
          <w:color w:val="000000" w:themeColor="text1"/>
          <w:sz w:val="36"/>
          <w:szCs w:val="36"/>
          <w:highlight w:val="none"/>
          <w14:textFill>
            <w14:solidFill>
              <w14:schemeClr w14:val="tx1"/>
            </w14:solidFill>
          </w14:textFill>
        </w:rPr>
      </w:pPr>
    </w:p>
    <w:p w14:paraId="454C346C">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62BABD80">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31BCBF59">
      <w:pPr>
        <w:pStyle w:val="29"/>
        <w:snapToGrid w:val="0"/>
        <w:spacing w:line="600" w:lineRule="exact"/>
        <w:rPr>
          <w:rFonts w:hAnsi="宋体" w:cs="宋体"/>
          <w:b/>
          <w:color w:val="000000" w:themeColor="text1"/>
          <w:sz w:val="36"/>
          <w:szCs w:val="36"/>
          <w:highlight w:val="none"/>
          <w14:textFill>
            <w14:solidFill>
              <w14:schemeClr w14:val="tx1"/>
            </w14:solidFill>
          </w14:textFill>
        </w:rPr>
      </w:pPr>
    </w:p>
    <w:p w14:paraId="49F7ED5A">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697DC8C0">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50267296">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6AFD4844">
      <w:pPr>
        <w:pStyle w:val="29"/>
        <w:snapToGrid w:val="0"/>
        <w:spacing w:line="600" w:lineRule="exact"/>
        <w:jc w:val="center"/>
        <w:rPr>
          <w:rFonts w:hAnsi="宋体" w:cs="宋体"/>
          <w:b/>
          <w:color w:val="000000" w:themeColor="text1"/>
          <w:sz w:val="36"/>
          <w:szCs w:val="36"/>
          <w:highlight w:val="none"/>
          <w14:textFill>
            <w14:solidFill>
              <w14:schemeClr w14:val="tx1"/>
            </w14:solidFill>
          </w14:textFill>
        </w:rPr>
      </w:pPr>
    </w:p>
    <w:p w14:paraId="08F0B9D2">
      <w:pPr>
        <w:pStyle w:val="29"/>
        <w:snapToGrid w:val="0"/>
        <w:spacing w:line="600" w:lineRule="exact"/>
        <w:jc w:val="center"/>
        <w:outlineLvl w:val="0"/>
        <w:rPr>
          <w:rFonts w:hAnsi="宋体" w:cs="宋体"/>
          <w:b/>
          <w:color w:val="000000" w:themeColor="text1"/>
          <w:sz w:val="36"/>
          <w:szCs w:val="36"/>
          <w:highlight w:val="none"/>
          <w14:textFill>
            <w14:solidFill>
              <w14:schemeClr w14:val="tx1"/>
            </w14:solidFill>
          </w14:textFill>
        </w:rPr>
      </w:pPr>
      <w:bookmarkStart w:id="45" w:name="_Toc5671"/>
      <w:r>
        <w:rPr>
          <w:rFonts w:hint="eastAsia" w:hAnsi="宋体" w:cs="宋体"/>
          <w:b/>
          <w:color w:val="000000" w:themeColor="text1"/>
          <w:sz w:val="36"/>
          <w:szCs w:val="36"/>
          <w:highlight w:val="none"/>
          <w14:textFill>
            <w14:solidFill>
              <w14:schemeClr w14:val="tx1"/>
            </w14:solidFill>
          </w14:textFill>
        </w:rPr>
        <w:t>第五章 合同文本（格式）</w:t>
      </w:r>
      <w:bookmarkEnd w:id="45"/>
    </w:p>
    <w:p w14:paraId="72645674">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1CB5A7E5">
      <w:pPr>
        <w:pStyle w:val="29"/>
        <w:spacing w:line="600" w:lineRule="exact"/>
        <w:rPr>
          <w:rFonts w:hAnsi="宋体" w:cs="宋体"/>
          <w:b/>
          <w:color w:val="000000" w:themeColor="text1"/>
          <w:sz w:val="52"/>
          <w:szCs w:val="52"/>
          <w:highlight w:val="none"/>
          <w14:textFill>
            <w14:solidFill>
              <w14:schemeClr w14:val="tx1"/>
            </w14:solidFill>
          </w14:textFill>
        </w:rPr>
      </w:pPr>
    </w:p>
    <w:p w14:paraId="5C904822">
      <w:pPr>
        <w:pStyle w:val="29"/>
        <w:spacing w:line="600" w:lineRule="exact"/>
        <w:rPr>
          <w:rFonts w:hAnsi="宋体" w:cs="宋体"/>
          <w:b/>
          <w:color w:val="000000" w:themeColor="text1"/>
          <w:sz w:val="52"/>
          <w:szCs w:val="52"/>
          <w:highlight w:val="none"/>
          <w14:textFill>
            <w14:solidFill>
              <w14:schemeClr w14:val="tx1"/>
            </w14:solidFill>
          </w14:textFill>
        </w:rPr>
      </w:pPr>
    </w:p>
    <w:p w14:paraId="16375CF0">
      <w:pPr>
        <w:pStyle w:val="29"/>
        <w:spacing w:line="600" w:lineRule="exact"/>
        <w:rPr>
          <w:rFonts w:hAnsi="宋体" w:cs="宋体"/>
          <w:b/>
          <w:color w:val="000000" w:themeColor="text1"/>
          <w:sz w:val="52"/>
          <w:szCs w:val="52"/>
          <w:highlight w:val="none"/>
          <w14:textFill>
            <w14:solidFill>
              <w14:schemeClr w14:val="tx1"/>
            </w14:solidFill>
          </w14:textFill>
        </w:rPr>
      </w:pPr>
    </w:p>
    <w:p w14:paraId="6FDBA2AF">
      <w:pPr>
        <w:pStyle w:val="29"/>
        <w:spacing w:line="600" w:lineRule="exact"/>
        <w:rPr>
          <w:rFonts w:hAnsi="宋体" w:cs="宋体"/>
          <w:b/>
          <w:color w:val="000000" w:themeColor="text1"/>
          <w:sz w:val="52"/>
          <w:szCs w:val="52"/>
          <w:highlight w:val="none"/>
          <w14:textFill>
            <w14:solidFill>
              <w14:schemeClr w14:val="tx1"/>
            </w14:solidFill>
          </w14:textFill>
        </w:rPr>
      </w:pPr>
    </w:p>
    <w:p w14:paraId="58026E55">
      <w:pPr>
        <w:pStyle w:val="29"/>
        <w:spacing w:line="600" w:lineRule="exact"/>
        <w:rPr>
          <w:rFonts w:hAnsi="宋体" w:cs="宋体"/>
          <w:b/>
          <w:color w:val="000000" w:themeColor="text1"/>
          <w:sz w:val="52"/>
          <w:szCs w:val="52"/>
          <w:highlight w:val="none"/>
          <w14:textFill>
            <w14:solidFill>
              <w14:schemeClr w14:val="tx1"/>
            </w14:solidFill>
          </w14:textFill>
        </w:rPr>
      </w:pPr>
    </w:p>
    <w:p w14:paraId="73A414E2">
      <w:pPr>
        <w:pStyle w:val="29"/>
        <w:spacing w:line="600" w:lineRule="exact"/>
        <w:rPr>
          <w:rFonts w:hAnsi="宋体" w:cs="宋体"/>
          <w:b/>
          <w:color w:val="000000" w:themeColor="text1"/>
          <w:sz w:val="52"/>
          <w:szCs w:val="52"/>
          <w:highlight w:val="none"/>
          <w14:textFill>
            <w14:solidFill>
              <w14:schemeClr w14:val="tx1"/>
            </w14:solidFill>
          </w14:textFill>
        </w:rPr>
      </w:pPr>
    </w:p>
    <w:p w14:paraId="07D90CD0">
      <w:pPr>
        <w:pStyle w:val="29"/>
        <w:spacing w:line="600" w:lineRule="exact"/>
        <w:rPr>
          <w:rFonts w:hAnsi="宋体" w:cs="宋体"/>
          <w:b/>
          <w:color w:val="000000" w:themeColor="text1"/>
          <w:sz w:val="52"/>
          <w:szCs w:val="52"/>
          <w:highlight w:val="none"/>
          <w14:textFill>
            <w14:solidFill>
              <w14:schemeClr w14:val="tx1"/>
            </w14:solidFill>
          </w14:textFill>
        </w:rPr>
      </w:pPr>
    </w:p>
    <w:p w14:paraId="7926CA8A">
      <w:pPr>
        <w:pStyle w:val="29"/>
        <w:spacing w:line="600" w:lineRule="exact"/>
        <w:rPr>
          <w:rFonts w:hAnsi="宋体" w:cs="宋体"/>
          <w:b/>
          <w:color w:val="000000" w:themeColor="text1"/>
          <w:sz w:val="52"/>
          <w:szCs w:val="52"/>
          <w:highlight w:val="none"/>
          <w14:textFill>
            <w14:solidFill>
              <w14:schemeClr w14:val="tx1"/>
            </w14:solidFill>
          </w14:textFill>
        </w:rPr>
      </w:pPr>
    </w:p>
    <w:p w14:paraId="5DD54975">
      <w:pPr>
        <w:pStyle w:val="29"/>
        <w:spacing w:line="600" w:lineRule="exact"/>
        <w:rPr>
          <w:rFonts w:hAnsi="宋体" w:cs="宋体"/>
          <w:b/>
          <w:color w:val="000000" w:themeColor="text1"/>
          <w:sz w:val="52"/>
          <w:szCs w:val="52"/>
          <w:highlight w:val="none"/>
          <w14:textFill>
            <w14:solidFill>
              <w14:schemeClr w14:val="tx1"/>
            </w14:solidFill>
          </w14:textFill>
        </w:rPr>
      </w:pPr>
    </w:p>
    <w:p w14:paraId="20DB22EA">
      <w:pPr>
        <w:pStyle w:val="29"/>
        <w:spacing w:line="600" w:lineRule="exact"/>
        <w:rPr>
          <w:rFonts w:hAnsi="宋体" w:cs="宋体"/>
          <w:b/>
          <w:color w:val="000000" w:themeColor="text1"/>
          <w:sz w:val="52"/>
          <w:szCs w:val="52"/>
          <w:highlight w:val="none"/>
          <w14:textFill>
            <w14:solidFill>
              <w14:schemeClr w14:val="tx1"/>
            </w14:solidFill>
          </w14:textFill>
        </w:rPr>
      </w:pPr>
    </w:p>
    <w:p w14:paraId="7F98DDE3">
      <w:pPr>
        <w:pStyle w:val="29"/>
        <w:spacing w:line="600" w:lineRule="exact"/>
        <w:rPr>
          <w:rFonts w:hAnsi="宋体" w:cs="宋体"/>
          <w:b/>
          <w:color w:val="000000" w:themeColor="text1"/>
          <w:sz w:val="52"/>
          <w:szCs w:val="52"/>
          <w:highlight w:val="none"/>
          <w14:textFill>
            <w14:solidFill>
              <w14:schemeClr w14:val="tx1"/>
            </w14:solidFill>
          </w14:textFill>
        </w:rPr>
      </w:pPr>
    </w:p>
    <w:p w14:paraId="0B3AEF7C">
      <w:pPr>
        <w:pStyle w:val="29"/>
        <w:spacing w:line="600" w:lineRule="exact"/>
        <w:rPr>
          <w:rFonts w:hAnsi="宋体" w:cs="宋体"/>
          <w:b/>
          <w:color w:val="000000" w:themeColor="text1"/>
          <w:sz w:val="52"/>
          <w:szCs w:val="52"/>
          <w:highlight w:val="none"/>
          <w14:textFill>
            <w14:solidFill>
              <w14:schemeClr w14:val="tx1"/>
            </w14:solidFill>
          </w14:textFill>
        </w:rPr>
      </w:pPr>
    </w:p>
    <w:p w14:paraId="07606A34">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274AF66D">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0687093E">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0ADB4089">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271319AF">
      <w:pPr>
        <w:pStyle w:val="29"/>
        <w:spacing w:line="600" w:lineRule="exact"/>
        <w:jc w:val="center"/>
        <w:rPr>
          <w:rFonts w:hAnsi="宋体" w:cs="宋体"/>
          <w:b/>
          <w:color w:val="000000" w:themeColor="text1"/>
          <w:sz w:val="52"/>
          <w:szCs w:val="52"/>
          <w:highlight w:val="none"/>
          <w14:textFill>
            <w14:solidFill>
              <w14:schemeClr w14:val="tx1"/>
            </w14:solidFill>
          </w14:textFill>
        </w:rPr>
      </w:pPr>
    </w:p>
    <w:p w14:paraId="298EA1CE">
      <w:pPr>
        <w:pStyle w:val="29"/>
        <w:spacing w:line="600" w:lineRule="exact"/>
        <w:jc w:val="center"/>
        <w:rPr>
          <w:rFonts w:hAnsi="宋体" w:cs="宋体"/>
          <w:b/>
          <w:color w:val="000000" w:themeColor="text1"/>
          <w:sz w:val="52"/>
          <w:szCs w:val="52"/>
          <w:highlight w:val="none"/>
          <w14:textFill>
            <w14:solidFill>
              <w14:schemeClr w14:val="tx1"/>
            </w14:solidFill>
          </w14:textFill>
        </w:rPr>
      </w:pPr>
      <w:r>
        <w:rPr>
          <w:rFonts w:hint="eastAsia" w:hAnsi="宋体" w:cs="宋体"/>
          <w:b/>
          <w:color w:val="000000" w:themeColor="text1"/>
          <w:sz w:val="52"/>
          <w:szCs w:val="52"/>
          <w:highlight w:val="none"/>
          <w14:textFill>
            <w14:solidFill>
              <w14:schemeClr w14:val="tx1"/>
            </w14:solidFill>
          </w14:textFill>
        </w:rPr>
        <w:t>北海市政府采购合同</w:t>
      </w:r>
    </w:p>
    <w:p w14:paraId="51638196">
      <w:pPr>
        <w:pStyle w:val="29"/>
        <w:spacing w:line="600" w:lineRule="exact"/>
        <w:rPr>
          <w:rFonts w:hAnsi="宋体" w:cs="宋体"/>
          <w:color w:val="000000" w:themeColor="text1"/>
          <w:sz w:val="52"/>
          <w:szCs w:val="52"/>
          <w:highlight w:val="none"/>
          <w14:textFill>
            <w14:solidFill>
              <w14:schemeClr w14:val="tx1"/>
            </w14:solidFill>
          </w14:textFill>
        </w:rPr>
      </w:pPr>
    </w:p>
    <w:p w14:paraId="14109A9C">
      <w:pPr>
        <w:pStyle w:val="29"/>
        <w:spacing w:line="600" w:lineRule="exact"/>
        <w:rPr>
          <w:rFonts w:hAnsi="宋体" w:cs="宋体"/>
          <w:color w:val="000000" w:themeColor="text1"/>
          <w:highlight w:val="none"/>
          <w14:textFill>
            <w14:solidFill>
              <w14:schemeClr w14:val="tx1"/>
            </w14:solidFill>
          </w14:textFill>
        </w:rPr>
      </w:pPr>
    </w:p>
    <w:p w14:paraId="6B03BAE0">
      <w:pPr>
        <w:pStyle w:val="29"/>
        <w:spacing w:line="600" w:lineRule="exact"/>
        <w:rPr>
          <w:rFonts w:hAnsi="宋体" w:cs="宋体"/>
          <w:color w:val="000000" w:themeColor="text1"/>
          <w:highlight w:val="none"/>
          <w14:textFill>
            <w14:solidFill>
              <w14:schemeClr w14:val="tx1"/>
            </w14:solidFill>
          </w14:textFill>
        </w:rPr>
      </w:pPr>
    </w:p>
    <w:p w14:paraId="18DBA735">
      <w:pPr>
        <w:pStyle w:val="29"/>
        <w:spacing w:line="600" w:lineRule="exact"/>
        <w:rPr>
          <w:rFonts w:hAnsi="宋体" w:cs="宋体"/>
          <w:color w:val="000000" w:themeColor="text1"/>
          <w:highlight w:val="none"/>
          <w14:textFill>
            <w14:solidFill>
              <w14:schemeClr w14:val="tx1"/>
            </w14:solidFill>
          </w14:textFill>
        </w:rPr>
      </w:pPr>
    </w:p>
    <w:p w14:paraId="0B50D019">
      <w:pPr>
        <w:pStyle w:val="29"/>
        <w:spacing w:line="600" w:lineRule="exact"/>
        <w:rPr>
          <w:rFonts w:hAnsi="宋体" w:cs="宋体"/>
          <w:color w:val="000000" w:themeColor="text1"/>
          <w:highlight w:val="none"/>
          <w14:textFill>
            <w14:solidFill>
              <w14:schemeClr w14:val="tx1"/>
            </w14:solidFill>
          </w14:textFill>
        </w:rPr>
      </w:pPr>
    </w:p>
    <w:p w14:paraId="24FD1C17">
      <w:pPr>
        <w:pStyle w:val="29"/>
        <w:spacing w:line="700" w:lineRule="exact"/>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合同名称：</w:t>
      </w:r>
      <w:r>
        <w:rPr>
          <w:rFonts w:hint="eastAsia" w:hAnsi="宋体" w:cs="宋体"/>
          <w:b/>
          <w:color w:val="000000" w:themeColor="text1"/>
          <w:sz w:val="28"/>
          <w:szCs w:val="28"/>
          <w:highlight w:val="none"/>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广西壮族自治区第十六届运动会和广西壮族自治区第十一届残疾人运动会暨第六届特殊奥林匹克运动会开闭幕式及火炬传递仪式服务合同</w:t>
      </w:r>
    </w:p>
    <w:p w14:paraId="3190F61A">
      <w:pPr>
        <w:pStyle w:val="29"/>
        <w:spacing w:line="700" w:lineRule="exact"/>
        <w:rPr>
          <w:rFonts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合同编号：</w:t>
      </w:r>
    </w:p>
    <w:p w14:paraId="32B075C3">
      <w:pPr>
        <w:pStyle w:val="29"/>
        <w:spacing w:line="700" w:lineRule="exact"/>
        <w:rPr>
          <w:rFonts w:hAnsi="宋体" w:cs="宋体"/>
          <w:color w:val="000000" w:themeColor="text1"/>
          <w:sz w:val="28"/>
          <w:szCs w:val="28"/>
          <w:highlight w:val="none"/>
          <w14:textFill>
            <w14:solidFill>
              <w14:schemeClr w14:val="tx1"/>
            </w14:solidFill>
          </w14:textFill>
        </w:rPr>
      </w:pPr>
    </w:p>
    <w:p w14:paraId="311A3C87">
      <w:pPr>
        <w:pStyle w:val="29"/>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采购单位（甲方）</w:t>
      </w:r>
    </w:p>
    <w:p w14:paraId="177FAA2D">
      <w:pPr>
        <w:pStyle w:val="29"/>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eastAsia="zh-CN"/>
          <w14:textFill>
            <w14:solidFill>
              <w14:schemeClr w14:val="tx1"/>
            </w14:solidFill>
          </w14:textFill>
        </w:rPr>
        <w:t>投标人</w:t>
      </w:r>
      <w:r>
        <w:rPr>
          <w:rFonts w:hint="eastAsia" w:hAnsi="宋体" w:cs="宋体"/>
          <w:b/>
          <w:color w:val="000000" w:themeColor="text1"/>
          <w:sz w:val="28"/>
          <w:szCs w:val="28"/>
          <w:highlight w:val="none"/>
          <w14:textFill>
            <w14:solidFill>
              <w14:schemeClr w14:val="tx1"/>
            </w14:solidFill>
          </w14:textFill>
        </w:rPr>
        <w:t>（乙方）</w:t>
      </w:r>
    </w:p>
    <w:p w14:paraId="13CC66B5">
      <w:pPr>
        <w:pStyle w:val="29"/>
        <w:spacing w:line="700" w:lineRule="exact"/>
        <w:rPr>
          <w:rFonts w:hAnsi="宋体" w:cs="宋体"/>
          <w:color w:val="000000" w:themeColor="text1"/>
          <w:sz w:val="28"/>
          <w:szCs w:val="28"/>
          <w:highlight w:val="none"/>
          <w14:textFill>
            <w14:solidFill>
              <w14:schemeClr w14:val="tx1"/>
            </w14:solidFill>
          </w14:textFill>
        </w:rPr>
      </w:pPr>
    </w:p>
    <w:p w14:paraId="15190C56">
      <w:pPr>
        <w:pStyle w:val="29"/>
        <w:spacing w:line="700" w:lineRule="exact"/>
        <w:rPr>
          <w:rFonts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签订合同地点：</w:t>
      </w:r>
    </w:p>
    <w:p w14:paraId="075CCBFA">
      <w:pPr>
        <w:pStyle w:val="29"/>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签订合同时间：</w:t>
      </w:r>
    </w:p>
    <w:p w14:paraId="6EEEDCB1">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376C1552">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1380F8E6">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4C42216D">
      <w:pPr>
        <w:spacing w:line="520" w:lineRule="exact"/>
        <w:rPr>
          <w:rFonts w:ascii="宋体" w:hAnsi="宋体" w:cs="宋体"/>
          <w:color w:val="000000" w:themeColor="text1"/>
          <w:szCs w:val="21"/>
          <w:highlight w:val="none"/>
          <w14:textFill>
            <w14:solidFill>
              <w14:schemeClr w14:val="tx1"/>
            </w14:solidFill>
          </w14:textFill>
        </w:rPr>
      </w:pPr>
    </w:p>
    <w:p w14:paraId="5FEAF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themeColor="text1"/>
          <w:sz w:val="36"/>
          <w:szCs w:val="36"/>
          <w:highlight w:val="none"/>
          <w:u w:val="none"/>
          <w14:textFill>
            <w14:solidFill>
              <w14:schemeClr w14:val="tx1"/>
            </w14:solidFill>
          </w14:textFill>
        </w:rPr>
      </w:pPr>
      <w:bookmarkStart w:id="46" w:name="_Toc10502"/>
      <w:r>
        <w:rPr>
          <w:rFonts w:hint="eastAsia"/>
          <w:color w:val="000000" w:themeColor="text1"/>
          <w:sz w:val="36"/>
          <w:szCs w:val="36"/>
          <w:highlight w:val="none"/>
          <w:u w:val="none"/>
          <w:lang w:val="en-US" w:eastAsia="zh-CN"/>
          <w14:textFill>
            <w14:solidFill>
              <w14:schemeClr w14:val="tx1"/>
            </w14:solidFill>
          </w14:textFill>
        </w:rPr>
        <w:t>北海市</w:t>
      </w:r>
      <w:r>
        <w:rPr>
          <w:color w:val="000000" w:themeColor="text1"/>
          <w:sz w:val="36"/>
          <w:szCs w:val="36"/>
          <w:highlight w:val="none"/>
          <w:u w:val="none"/>
          <w14:textFill>
            <w14:solidFill>
              <w14:schemeClr w14:val="tx1"/>
            </w14:solidFill>
          </w14:textFill>
        </w:rPr>
        <w:t>政府采购合同</w:t>
      </w:r>
      <w:bookmarkEnd w:id="46"/>
    </w:p>
    <w:p w14:paraId="6B203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Style w:val="61"/>
          <w:rFonts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pPr>
    </w:p>
    <w:p w14:paraId="1E871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pPr>
    </w:p>
    <w:p w14:paraId="6F614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highlight w:val="none"/>
          <w:u w:val="singl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合同编号：</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HT-BHZC2026-G3-990062-CGZX</w:t>
      </w:r>
    </w:p>
    <w:p w14:paraId="19FBF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采购类别：</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服务类</w:t>
      </w:r>
    </w:p>
    <w:p w14:paraId="37A29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采购人（甲方）：</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中国共产党北海市委员会宣传部</w:t>
      </w:r>
    </w:p>
    <w:p w14:paraId="03DF6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地址：</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北海市海城区和平路东二巷 2 号（党政机关大院内</w:t>
      </w: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w:t>
      </w:r>
    </w:p>
    <w:p w14:paraId="51107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法定代表人 / 委托代理人：__________</w:t>
      </w:r>
    </w:p>
    <w:p w14:paraId="5C017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pPr>
    </w:p>
    <w:p w14:paraId="03F06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highlight w:val="none"/>
          <w:u w:val="singl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中标人（乙方）：</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 xml:space="preserve">                      </w:t>
      </w:r>
    </w:p>
    <w:p w14:paraId="1F3A9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统一社会信用代码：__________</w:t>
      </w:r>
    </w:p>
    <w:p w14:paraId="7B651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地址：__________</w:t>
      </w:r>
    </w:p>
    <w:p w14:paraId="21581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法定代表人 / 委托代理人：__________</w:t>
      </w:r>
    </w:p>
    <w:p w14:paraId="00ED0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联系电话：__________</w:t>
      </w:r>
    </w:p>
    <w:p w14:paraId="1745E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开户银行：__________</w:t>
      </w:r>
    </w:p>
    <w:p w14:paraId="7E3A8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银行账号：__________</w:t>
      </w:r>
    </w:p>
    <w:p w14:paraId="5A108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营业性演出许可证编号：__________</w:t>
      </w:r>
    </w:p>
    <w:p w14:paraId="2BBFD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D098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依据《中华人民共和国政府采购法》《中华人民共和国民法典》《政府采购货物和服务招标投标管理办法》等相关法律法规，甲方通过公开招标方式确定乙方为本项目中标人，双方本着平等自愿、公平诚信、协商一致的原则，就乙方为甲方提供本项目开闭幕式及火炬传递仪式策划实施等相关服务事宜，签订本合同，以资共同遵守。</w:t>
      </w:r>
    </w:p>
    <w:p w14:paraId="0D21E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outlineLvl w:val="1"/>
        <w:rPr>
          <w:color w:val="000000" w:themeColor="text1"/>
          <w:sz w:val="21"/>
          <w:szCs w:val="21"/>
          <w:highlight w:val="none"/>
          <w14:textFill>
            <w14:solidFill>
              <w14:schemeClr w14:val="tx1"/>
            </w14:solidFill>
          </w14:textFill>
        </w:rPr>
      </w:pPr>
    </w:p>
    <w:p w14:paraId="64DE338B">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outlineLvl w:val="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核心约定</w:t>
      </w:r>
    </w:p>
    <w:p w14:paraId="0AB4D2E8">
      <w:pPr>
        <w:keepNext w:val="0"/>
        <w:keepLines w:val="0"/>
        <w:pageBreakBefore w:val="0"/>
        <w:numPr>
          <w:ilvl w:val="0"/>
          <w:numId w:val="0"/>
        </w:numPr>
        <w:kinsoku/>
        <w:wordWrap/>
        <w:overflowPunct/>
        <w:topLinePunct w:val="0"/>
        <w:autoSpaceDE/>
        <w:autoSpaceDN/>
        <w:bidi w:val="0"/>
        <w:adjustRightInd w:val="0"/>
        <w:snapToGrid w:val="0"/>
        <w:spacing w:line="540" w:lineRule="atLeast"/>
        <w:textAlignment w:val="auto"/>
        <w:rPr>
          <w:color w:val="000000" w:themeColor="text1"/>
          <w:sz w:val="21"/>
          <w:szCs w:val="21"/>
          <w:highlight w:val="none"/>
          <w14:textFill>
            <w14:solidFill>
              <w14:schemeClr w14:val="tx1"/>
            </w14:solidFill>
          </w14:textFill>
        </w:rPr>
      </w:pPr>
    </w:p>
    <w:p w14:paraId="433DF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outlineLvl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一、服务项目概况</w:t>
      </w:r>
    </w:p>
    <w:p w14:paraId="3323A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名称：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广西壮族自治区第十六届运动会和广西壮族自治区第十一届残疾人运动会暨第六届特殊奥林匹克运动会开闭幕式及火炬传递仪式服务</w:t>
      </w:r>
    </w:p>
    <w:p w14:paraId="2DE4A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范围：包含但不限于广西壮族自治区第十六届运动会和广西壮族自治区第十一届残疾人运动会暨第六届特殊奥林匹克运动会火炬传递仪式、开闭幕式全流程策划组织与实施，具体为开闭幕式文体演出、音乐创作、火炬传递仪式策划与执行、火炬及火种灯、圣火盆、火炬手护具的原创设计与定制制作、服装道具制作租赁、全程全景实录、舞美音响灯光舞台搭建、媒体直播录制配合、文稿撰写与培训、相关人员遴选与培训等，以及各场次暖场、仪式、演出环节的统筹执行等（详见本合同第二部分）。</w:t>
      </w:r>
    </w:p>
    <w:p w14:paraId="69F78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服务要求：火炬传递及开闭幕式所有环节需严格落实绿色环保、低碳节能理念，残运会环节需符合无障碍环境建设要求，所有原创设计成果知识产权归甲方独家所有。</w:t>
      </w:r>
    </w:p>
    <w:p w14:paraId="53C398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服务地点：（1）火炬传递仪式：北海市（含一县三区，最终以甲方批准线路为准）；（2）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开幕式：中国东盟（北海）体育实训基地；（3）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闭幕式、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开闭幕式：北海市体育馆。</w:t>
      </w:r>
    </w:p>
    <w:p w14:paraId="78937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服务期限：</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2026年5月至 2026年12月（具体以甲方书面通知为准，乙方收到通知后 24 小时内书面确认，逾期未确认视为认可）；服务期限包含方案策划、人员培训、排练、彩排、正式活动、撤场及验收等全流程。</w:t>
      </w:r>
    </w:p>
    <w:p w14:paraId="5F9E5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二、服务费用及支付方式</w:t>
      </w:r>
    </w:p>
    <w:p w14:paraId="5305F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合同总价：人民币______元（大写：______________________元整），该价格为总价包干价，包含乙方完成本项目全部服务的一切费用（含税费、人员劳务费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食宿费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保险费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设备采购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租赁费、制作费、排练费、演出费、版权费、火炬及相关护具设计制作费、无障碍设施搭建费、场地清场费、运输费、安全保障费等），甲方不再支付任何额外费用。本价格不得高于项目最高限价 13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000.00 元，且已充分考虑项目实施过程中甲方优化舞台效果、增加设备 / 人员等所有风险。</w:t>
      </w:r>
    </w:p>
    <w:p w14:paraId="2D384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付款方式：甲方以银行转账方式支付，乙方每次收款前需向甲方开具等额合法有效的增值税专用发票，否则甲方有权顺延付款，且不承担违约责任。具体付款节点：</w:t>
      </w:r>
    </w:p>
    <w:p w14:paraId="014584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首期款（30%）：合同签订生效后，甲方收到乙方开具的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30%，即人民币______元；</w:t>
      </w:r>
    </w:p>
    <w:p w14:paraId="369B9D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二期款（20%）：演出执行方案经组委会审定通过后，甲方收到乙方开具的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20%，即人民币______元；</w:t>
      </w:r>
    </w:p>
    <w:p w14:paraId="5411DD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三期款（20%）：广西壮族自治区第十六届运动会开幕式全流程合成彩排完成后，甲方收到乙方开具的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20%，即人民币______元；</w:t>
      </w:r>
    </w:p>
    <w:p w14:paraId="1C29E2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尾款（30%）</w:t>
      </w:r>
      <w:r>
        <w:rPr>
          <w:color w:val="000000" w:themeColor="text1"/>
          <w:sz w:val="24"/>
          <w:szCs w:val="24"/>
          <w:highlight w:val="none"/>
          <w:shd w:val="clear" w:fill="FFFFFF"/>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广西壮族自治区第十一届残疾人运动会暨第六届特殊奥林匹克运动会闭幕式结束后，乙方完成场内设施拆卸及清场工作并经甲方履约验收合格，甲方收到乙方开具的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30%，即人民币______元</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670D4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发票要求：乙方开具的发票应符合国家税收法律法规规定，发票项目、金额与本合同约定一致，开票信息以甲方书面通知为准。</w:t>
      </w:r>
    </w:p>
    <w:p w14:paraId="44CBC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default" w:ascii="宋体" w:hAnsi="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三、履约保证金</w:t>
      </w:r>
    </w:p>
    <w:p w14:paraId="6B7D9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若因乙方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原因导致违约的，视为乙方违约，甲方按本条款扣除履约保证金并要求赔偿。</w:t>
      </w:r>
    </w:p>
    <w:p w14:paraId="03E91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乙方应在本合同签订当日，向甲方提交合同总金额5%的履约保证金，即人民币______元，保证金形式为银行保函 / 保险公司保函 / 汇票 / 本票（禁止现金形式），甲方不得拒收合法有效的保函。</w:t>
      </w:r>
    </w:p>
    <w:p w14:paraId="1EA63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履约保证金有效期：自合同生效之日起至本项目全部履约验收合格且乙方完成所有收尾工作之日止。</w:t>
      </w:r>
    </w:p>
    <w:p w14:paraId="11409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履约保证金退还：本项目全部验收合格后 30 个工作日内，甲方无息退还乙方履约保证金（若为保函，甲方配合办理保函注销手续）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；履约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保证金退还前，乙方需完成所有收尾工作（含场地复原、物资移交、档案交接等）。</w:t>
      </w:r>
    </w:p>
    <w:p w14:paraId="5A55F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履约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证金扣除情形：乙方出现本合同约定的违约情形（如项目进度滞后、演出质量不达标、擅自更换人员、安全事故等），甲方有权根据违约程度扣除部分或全部履约保证金；若乙方违约给甲方造成的损失超过履约保证金金额，乙方需依法赔偿超出部分。</w:t>
      </w:r>
    </w:p>
    <w:p w14:paraId="0C5DC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【注】本部分所有条款均严格对应采购需求中火炬传递、各场次开闭幕式的演员规模、排练次数、技术要求、清场时限等核心要求，乙方需 100% 履约。</w:t>
      </w:r>
    </w:p>
    <w:p w14:paraId="67922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1E286E8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服务内容及执行标准</w:t>
      </w:r>
    </w:p>
    <w:p w14:paraId="5F41B1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05305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一、火炬传递仪式服务</w:t>
      </w:r>
    </w:p>
    <w:p w14:paraId="19FAA8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乙方负责火炬传递全程策划与实施，制定总体方案、路线细化方案、起跑 / 收火仪式方案，经甲方审定后执行；</w:t>
      </w:r>
    </w:p>
    <w:p w14:paraId="7F625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负责火炬、火种灯、圣火盆、火炬手护具的原创设计与定制制作，材料符合环保、安全、耐用要求，火焰效果醒目稳定，具备防风、防雨功能；</w:t>
      </w:r>
    </w:p>
    <w:p w14:paraId="0E1BE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负责火炬手、护跑手、志愿者的遴选与培训，火炬手涵盖优秀运动员、残疾人运动员、社会先进模范等，培训内容包含交接规范、应急处理等；</w:t>
      </w:r>
    </w:p>
    <w:p w14:paraId="3DE83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负责起跑 / 收火仪式的舞美搭建、音响设备、流程把控，配合媒体完成宣传报道及直播录制，传递结束后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48</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小时内完成场地清场并恢复原貌。</w:t>
      </w:r>
    </w:p>
    <w:p w14:paraId="3589F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二、各场次开闭幕式演出服务执行标准</w:t>
      </w:r>
    </w:p>
    <w:p w14:paraId="00157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开幕式</w:t>
      </w:r>
    </w:p>
    <w:p w14:paraId="7CFB0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120 分钟内，其中大型文艺表演 40 分钟（最终以甲方审定为准），包含入场式、升国旗会旗、领导致辞、代表宣誓、节目表演等流程，要求无缝衔接；</w:t>
      </w:r>
    </w:p>
    <w:p w14:paraId="14267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2000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200 人，专业演员的吃住行、劳务、保险等全部费用由乙方承担；</w:t>
      </w:r>
    </w:p>
    <w:p w14:paraId="46A7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 次（含暖场表演），乙方制定详细排练计划并报甲方审核；</w:t>
      </w:r>
    </w:p>
    <w:p w14:paraId="3241D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文艺表演综合运用高清投影、超清 LED 数字光影、裸眼 3D 等技术，打造全景化视觉效果；</w:t>
      </w:r>
    </w:p>
    <w:p w14:paraId="5BB7C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场内火炬传递路线与点火仪式结合广西、北海地域文化及绿色环保理念原创设计，方案经甲方审定；</w:t>
      </w:r>
    </w:p>
    <w:p w14:paraId="64083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演出结束后 48 小时内完成场内设施拆卸、清运及清场，恢复场地原貌并经甲方验收。</w:t>
      </w:r>
    </w:p>
    <w:p w14:paraId="5FCE8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闭幕式</w:t>
      </w:r>
    </w:p>
    <w:p w14:paraId="79B3A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60 分钟内，其中仪式环节 30-40 分钟、文体演出 20 分钟（最终以甲方审定为准），包含运动员代表入场、领导致辞、颁奖、交接会旗、宣布闭幕等流程；</w:t>
      </w:r>
    </w:p>
    <w:p w14:paraId="4E177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500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50 人，专业演员相关费用由乙方全额承担；</w:t>
      </w:r>
    </w:p>
    <w:p w14:paraId="0BA80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 次，排练计划报甲方审核；</w:t>
      </w:r>
    </w:p>
    <w:p w14:paraId="3F0F2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舞美、设备贴合演出主题，效果经甲方审核后方可进场搭建，演出结束后按要求完成清场。</w:t>
      </w:r>
    </w:p>
    <w:p w14:paraId="50B0C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开幕式</w:t>
      </w:r>
    </w:p>
    <w:p w14:paraId="6F08F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90 分钟内，其中大型文艺表演 30 分钟（最终以甲方审定为准），流程衔接顺畅，凸显 “平等、参与、共享、奋进” 核心价值；</w:t>
      </w:r>
    </w:p>
    <w:p w14:paraId="02560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40 人，专业演员相关费用由乙方全额承担；</w:t>
      </w:r>
    </w:p>
    <w:p w14:paraId="21576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 次（含暖场表演），排练计划报甲方审核；</w:t>
      </w:r>
    </w:p>
    <w:p w14:paraId="6ADE0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运用高清投影、裸眼 3D 等技术打造全景化演出，火炬传递路线充分考虑残疾人参与便利性，符合无障碍环境建设理念；</w:t>
      </w:r>
    </w:p>
    <w:p w14:paraId="03BB7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演出结束后 48 小时内完成场地清场并恢复原貌。</w:t>
      </w:r>
    </w:p>
    <w:p w14:paraId="67AD1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闭幕式</w:t>
      </w:r>
    </w:p>
    <w:p w14:paraId="4D4FB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60 分钟内，其中仪式环节 30-40 分钟、文体演出 20 分钟（最终以甲方审定为准），凸显 “爱之温暖、融之力量”；</w:t>
      </w:r>
    </w:p>
    <w:p w14:paraId="09584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30 人，专业演员相关费用由乙方全额承担；</w:t>
      </w:r>
    </w:p>
    <w:p w14:paraId="5A1A4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 次，排练计划报甲方审核；</w:t>
      </w:r>
    </w:p>
    <w:p w14:paraId="4B753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舞美、设备贴合演出主题，演出结束后按要求完成清场。</w:t>
      </w:r>
    </w:p>
    <w:p w14:paraId="036A2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三、通用服务要求</w:t>
      </w:r>
    </w:p>
    <w:p w14:paraId="12BA7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乙方主创团队必须配备项目负责人、总导演、执行导演、总撰稿、音乐设计制作、舞蹈编导、服装 / 化妆 / 道具设计等专业人员，所有人员需具备大型运动会 / 大型文体演艺活动服务经验，人员资质证明报甲方备案；</w:t>
      </w:r>
    </w:p>
    <w:p w14:paraId="61C4C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乙方负责本项目所有施工搭建工作，施工单位需具备相应资质，乙方在进场前向甲方提供施工单位资质材料；</w:t>
      </w:r>
    </w:p>
    <w:p w14:paraId="39235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乙方负责配合电视及网络直播的全流程工作，包括音视频信号对接、直播配套设施搭建、现场技术保障等，确保直播顺利进行；</w:t>
      </w:r>
    </w:p>
    <w:p w14:paraId="49838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乙方需按甲方要求完成本项目所有成果性文件的编制与提交，包括策划方案、执行流程表、舞美设计图、安全方案、应急方案等。</w:t>
      </w:r>
    </w:p>
    <w:p w14:paraId="3BF68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526FDF8">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双方权利与义务</w:t>
      </w:r>
    </w:p>
    <w:p w14:paraId="4BE8AA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67394D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一、甲方权利与义务</w:t>
      </w:r>
    </w:p>
    <w:p w14:paraId="2849A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权利</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 xml:space="preserve"> </w:t>
      </w:r>
    </w:p>
    <w:p w14:paraId="38A42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对乙方的服务方案、人员配置、施工搭建、排练演出等全过程进行监督、检查和审核，有权要求乙方对不符合约定的内容进行整改；</w:t>
      </w:r>
    </w:p>
    <w:p w14:paraId="64F60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根据项目实际需要，对服务内容提出合理的优化调整要求，乙方需无条件配合，且甲方不额外支付费用；</w:t>
      </w:r>
    </w:p>
    <w:p w14:paraId="793B7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乙方出现违约情形时，有权根据本合同约定扣除履约保证金、要求乙方承担违约责任并赔偿损失；</w:t>
      </w:r>
    </w:p>
    <w:p w14:paraId="72472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本项目全部服务成果的知识产权归甲方所有，甲方有权无偿使用、修改、复制相关成果。</w:t>
      </w:r>
    </w:p>
    <w:p w14:paraId="4ED57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义务</w:t>
      </w:r>
    </w:p>
    <w:p w14:paraId="019B0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按本合同约定及时向乙方支付服务费用；</w:t>
      </w:r>
    </w:p>
    <w:p w14:paraId="45656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向乙方提供项目实施所需的相关资料和必要的协助，协调相关单位配合乙方开展工作；</w:t>
      </w:r>
    </w:p>
    <w:p w14:paraId="155C2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在乙方提交符合要求的方案、申请等材料后，按约定时间完成审核并出具书面意见；</w:t>
      </w:r>
    </w:p>
    <w:p w14:paraId="48D1F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项目验收合格后，按约定及时退还乙方履约保证金。</w:t>
      </w:r>
    </w:p>
    <w:p w14:paraId="20839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二、乙方权利与义务</w:t>
      </w:r>
    </w:p>
    <w:p w14:paraId="09DC6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权利</w:t>
      </w:r>
    </w:p>
    <w:p w14:paraId="673A2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按本合同约定要求甲方及时支付服务费用；</w:t>
      </w:r>
    </w:p>
    <w:p w14:paraId="15662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在遵守本合同约定的前提下，自主组织开展服务实施工作，要求甲方提供必要的协助；</w:t>
      </w:r>
    </w:p>
    <w:p w14:paraId="508BB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对甲方提出的不合理要求，有权予以拒绝并书面说明理由。</w:t>
      </w:r>
    </w:p>
    <w:p w14:paraId="34949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义务</w:t>
      </w:r>
    </w:p>
    <w:p w14:paraId="06C0C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严格按照本合同约定及甲方审定的方案开展服务，确保服务质量、数量、工期符合约定，不得擅自变更服务内容、人员配置、实施方案；</w:t>
      </w:r>
    </w:p>
    <w:p w14:paraId="3C2CF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10 日内，向甲方提交《项目主创团队及全部工作人员名单》（含姓名、职务、职称、工作经验、社保证明等），经甲方审核确认后方可上岗；未经甲方书面同意，不得擅自更换主创人员、核心技术人员及主要演职人员，若确需更换，新人员资质不得低于原人员标准；</w:t>
      </w:r>
    </w:p>
    <w:p w14:paraId="6D7D1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15 日内，向甲方提交全套《安全实施方案》</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《火炬传递安全实施方案》</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《应急处置方案》（覆盖施工、排练、演出、撤场各环节，含安全事故、消防、自然灾害等场景），经甲方审核通过后实施；</w:t>
      </w:r>
    </w:p>
    <w:p w14:paraId="215CD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4.人员保险购买：乙方需在项目启动前（最晚不迟于首次排练开始前），为专业演员、现场搭建人员、高空作业人员购买人身意外伤害保险，保额不低于 20 万元 / 人；投保期限覆盖从场地搭建至全部项目撤场完毕的全周期（含排练、彩排、正式活动期间）；保险单复印件需提交甲方备案，未按要求投保或保额不足的视为违约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4CB83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5. 下属子公司履约要求：乙方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参与本项目的，乙方需向甲方提交全资控股证明、子公司人员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资质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业绩材料，子公司的工作质量、安全责任由乙方全权承担，子公司人员视为乙方人员，子公司资质视为乙方资质。</w:t>
      </w:r>
    </w:p>
    <w:p w14:paraId="51ECB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对本项目施工、排练、演出、撤场等所有环节的安全生产负全部责任，若发生安全事故，立即启动应急方案并向甲方及相关部门报告，承担事故造成的全部赔偿责任；</w:t>
      </w:r>
    </w:p>
    <w:p w14:paraId="27DD5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30 日内，向甲方提交本项目全套细化实施方案，经甲方审定后严格执行；若需调整方案，提前 10 个工作日书面报备甲方并经同意；</w:t>
      </w:r>
    </w:p>
    <w:p w14:paraId="0134E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严格遵守国家相关法律、法规及北海市本地政策，符合民族、民俗、环保、安全、消防等相关部门要求，因违规操作导致项目暂停、整改或终止的，由乙方承担全部责任并赔偿甲方损失；</w:t>
      </w:r>
    </w:p>
    <w:p w14:paraId="02B77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9. 火炬及相关物资交付：乙方需在火炬传递仪式开始前 15 日，将定制制作的火炬、火种灯、圣火盆、火炬手护具提交甲方验收，验收合格后方可使用，相关物资验收后归甲方所有。</w:t>
      </w:r>
    </w:p>
    <w:p w14:paraId="70443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严禁转包，允许将非主体、非关键性工作分包（如道具制作、设备租赁、后勤保障等），分包方需具备相应资质且不得再次分包；乙方拟在中标后分包的，需在投标文件中载明分包承担主体、分包内容及分包商资质，并在分包前提前 15 个工作日向甲方提交书面申请，说明分包内容及分包商资质，经甲方书面同意后方可分包；乙方对分包商的工作成果承担连带责任，对分包环节的质量、安全、进度进行全程管控；中小企业乙方不得将项目分包 / 转包给大型 / 中型企业</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下属子公司</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承担本项目非主体、非关键性工作的，不视为分包，无需履行分包申请程序，乙方需提供全资控股证明材料，对子公司的工作成果承担全部责任。</w:t>
      </w:r>
    </w:p>
    <w:p w14:paraId="67288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项目完成后，按甲方要求整理并提交全套验收材料，包括书面报告、全程视频影像、经费使用明细、人员资质材料、保险单等；</w:t>
      </w:r>
    </w:p>
    <w:p w14:paraId="111B0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不得向甲方工作人员提供任何形式的回扣、贿赂，不得从事其他不正当竞争行为。</w:t>
      </w:r>
    </w:p>
    <w:p w14:paraId="1FAFC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627075C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知识产权与保密条款</w:t>
      </w:r>
    </w:p>
    <w:p w14:paraId="11D2D1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9DF6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一、知识产权归属</w:t>
      </w:r>
    </w:p>
    <w:p w14:paraId="53D70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在本合同履约过程中，为甲方专门创作或根据甲方提供的有关资料产生的任何作品、创意、设计等（包括但不限于图案、图像、文案、音乐、视频、舞美设计、火炬及护具设计、点火仪式创意、服装道具设计等），以及为本项目新创作的原创作品的全部知识产权（含著作权、商标权、专利权等），自创作完成之日起归甲方独家所有；乙方仅享有合理署名权，未经甲方书面同意，不得自行使用、授权第三方使用、发表或转让上述成果；甲方可无偿使用、修改、复制上述成果，无需另行支付费用。</w:t>
      </w:r>
    </w:p>
    <w:p w14:paraId="72AC1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乙方仅享有上述成果的合理署名权，未经甲方书面同意，乙方不得自行使用、授权第三方使用、发表或转让上述成果；甲方可无偿使用、修改、复制上述成果，无需另行向乙方支付费用。</w:t>
      </w:r>
    </w:p>
    <w:p w14:paraId="5F31F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若因乙方创作成果侵犯第三方知识产权引发纠纷，由乙方全权处理并承担全部责任（含赔偿、诉讼费、律师费等），同时赔偿甲方因此遭受的一切损失。</w:t>
      </w:r>
    </w:p>
    <w:p w14:paraId="5376E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完成上述创作成果的，视为乙方的创作成果，相关知识产权归属及侵权责任均由乙方承担。</w:t>
      </w:r>
    </w:p>
    <w:p w14:paraId="4276A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二、保密条款</w:t>
      </w:r>
    </w:p>
    <w:p w14:paraId="3DA71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双方应对在合同签订及履行过程中知悉的对方商业秘密、项目信息、技术资料等未公开信息承担保密义务，保密期限为合同履行完毕后 3 年。</w:t>
      </w:r>
    </w:p>
    <w:p w14:paraId="37632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未经对方书面同意，任何一方不得向任何第三方泄露上述保密信息，不得将保密信息用于本合同约定以外的目的。</w:t>
      </w:r>
    </w:p>
    <w:p w14:paraId="20A27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本条款不因合同的解除、终止而失效，若一方违反保密约定，需赔偿对方因此遭受的全部损失。</w:t>
      </w:r>
    </w:p>
    <w:p w14:paraId="2B8B0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437ED8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验收标准与程序</w:t>
      </w:r>
    </w:p>
    <w:p w14:paraId="6B9209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23B5C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验收依据</w:t>
      </w:r>
    </w:p>
    <w:p w14:paraId="79102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（一）本招标文件（含补充文件、澄清说明）及乙方投标文件、中标通知书；</w:t>
      </w:r>
    </w:p>
    <w:p w14:paraId="02E10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（二）本合同及补充协议、会议纪要、确认书等书面文件；</w:t>
      </w:r>
    </w:p>
    <w:p w14:paraId="7D006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（三）甲方审定通过的《开闭幕式执行方案》《火炬传递执行方案》及相关技术文件；</w:t>
      </w:r>
    </w:p>
    <w:p w14:paraId="3CA39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（四）国家及行业相关标准、规范（包括但不限于《大型群众性活动安全管理条例》《演出场所安全技术要求》《舞台机械安全标准》等）；</w:t>
      </w:r>
    </w:p>
    <w:p w14:paraId="2E9DF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（五）乙方提交的全套验收材料（含书面报告、影像资料、经费使用明细、人员资质证明、保险单、设备检测报告等）。</w:t>
      </w:r>
    </w:p>
    <w:p w14:paraId="030D5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二、验收要点</w:t>
      </w:r>
    </w:p>
    <w:p w14:paraId="69DFA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策划方案与执行一致性：</w:t>
      </w:r>
    </w:p>
    <w:p w14:paraId="32667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火炬传递：</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传递路线、总里程、传递天数、火炬手遴选、仪式流程等是否与审定方案一致；</w:t>
      </w:r>
    </w:p>
    <w:p w14:paraId="5D63F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开闭幕式：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各环节流程、演出时长、演员阵容（专业演员数量、总人数）、节目内容、舞美设计等是否符合约定要求；</w:t>
      </w:r>
    </w:p>
    <w:p w14:paraId="029E1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创意成果：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音乐、视频、文案、舞美设计、火炬及护具设计等是否达到审定标准，是否融入地域文化特色及赛事主题。</w:t>
      </w:r>
    </w:p>
    <w:p w14:paraId="5D0D1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（二）服务质量与效果：</w:t>
      </w:r>
    </w:p>
    <w:p w14:paraId="23250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演出效果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：文艺表演的艺术水准、流程衔接、现场氛围营造是否达标；</w:t>
      </w:r>
    </w:p>
    <w:p w14:paraId="54BBE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设备运行：</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灯光、音响、视频、舞台机械、火炬、圣火盆等设备是否运行稳定，无故障、无安全隐患；</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3.安全保障：</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安全方案落实情况，是否发生安全事故、重大安全隐患或突发事件处置不当的情形；</w:t>
      </w:r>
    </w:p>
    <w:p w14:paraId="6EC47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4.人员表现：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演职人员、工作人员、志愿者的专业素养、服务态度、执行能力是否符合要求。</w:t>
      </w:r>
    </w:p>
    <w:p w14:paraId="5AB783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物资与成果交付：</w:t>
      </w:r>
    </w:p>
    <w:p w14:paraId="2CE7B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实体物资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：火炬、火种灯、圣火盆、护具、服装、道具等是否按约定制作、交付，数量齐全、质量合格；</w:t>
      </w:r>
    </w:p>
    <w:p w14:paraId="0F42B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成果文件：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全程影像资料（直播录像、全景实录、花絮视频）、书面报告（策划报告、执行总结、经费决算报告）、设计文件（舞美设计图、服装道具设计图等）是否完整、规范，符合归档要求。</w:t>
      </w:r>
    </w:p>
    <w:p w14:paraId="4ED13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场地与撤场情况：</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各场次活动结束后，场地清场、设施拆卸、物资清运是否及时（火炬传递 24 小时内，开闭幕式 48 小时内），场地是否恢复原貌，无遗留杂物、无环境破坏，不影响后续赛事或场地正常使用。</w:t>
      </w:r>
    </w:p>
    <w:p w14:paraId="4AD3C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合规性要求：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资质合规：施工单位、分包商等相关合作方的资质是否齐全有效；（2）财务合规：经费使用是否符合预算要求，报价清单与实际支出是否一致，无违规收费或虚报费用情形；（3）保险合规：保险购买是否覆盖全部相关人员及物资，保额、投保期限符合约定。</w:t>
      </w:r>
    </w:p>
    <w:p w14:paraId="5F447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二、验收程序</w:t>
      </w:r>
    </w:p>
    <w:p w14:paraId="47145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（一）验收申请：</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广西壮族自治区第十一届残疾人运动会暨第六届特殊奥林匹克运动会闭幕式撤场完毕且场地恢复原貌后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个工作日内，乙方向甲方提交书面验收申请，并附上全套验收材料（纸质版一式肆份、电子版一式贰份），验收材料需加盖乙方公章并由法定代表人或委托代理人签字确认</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083A2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（二）验收组织：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甲方在收到验收申请及全套材料后 15 个工作日内，组织验收小组（由甲方代表、相关专业技术人员、纪检监察人员组成，必要时邀请第三方机构参与）开展验收工作</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p w14:paraId="52434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（三）验收实施：</w:t>
      </w:r>
    </w:p>
    <w:p w14:paraId="382D0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1.资料审核：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验收小组对乙方提交的验收材料进行完整性、真实性、合规性审核；</w:t>
      </w:r>
    </w:p>
    <w:p w14:paraId="2024C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2.现场核查：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实地核查场地恢复情况、剩余物资情况，查阅活动影像资料，核实各环节执行情况；</w:t>
      </w:r>
    </w:p>
    <w:p w14:paraId="52F32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3.沟通质询：</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就验收过程中发现的问题向乙方进行质询，乙方需现场作出解释或提供补充证明材料（新增：补充验收实施流程）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45A8E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（四）验收结果：</w:t>
      </w:r>
    </w:p>
    <w:p w14:paraId="27730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1.验收合格：</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验收小组一致认为项目符合验收依据及要求，出具《项目履约验收报告》，由验收小组成员签字、甲方盖章确认，验收报告作为付款及履约保证金退还的依据；</w:t>
      </w:r>
    </w:p>
    <w:p w14:paraId="53FC5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2.验收不合格：</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验收小组出具书面整改意见，明确不合格事项、整改要求及整改期限（最长不超过 15 个工作日）；乙方需在整改期限内完成整改并重新提交验收申请，整改费用由乙方自行承担；若整改后仍不合格，或逾期未完成整改，甲方有权解除合同，扣除全部履约保证金，要求乙方退还已支付的服务费用，并赔偿因此造成的损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4965E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（五）验收费用：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首次验收费用（包括专家咨询费、资料审核费等）由甲方承担；因乙方原因导致验收不合格需重新验收的，后续整改及验收的全部费用由乙方承担。</w:t>
      </w:r>
    </w:p>
    <w:p w14:paraId="14CE3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（六）验收异议处理：</w:t>
      </w:r>
    </w:p>
    <w:p w14:paraId="44394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乙方对验收结果有异议的，可在收到验收结果通知后 7 个工作日内向甲方提出书面异议，说明异议理由并提供相关证明材料；</w:t>
      </w:r>
    </w:p>
    <w:p w14:paraId="4657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甲方收到异议后 5 个工作日内组织复核，复核结果为最终验收结论；若复核后确认原验收结果有误，需重新出具验收报告；若异议不成立，需书面告知乙方异议理由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103A8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color w:val="000000" w:themeColor="text1"/>
          <w:sz w:val="24"/>
          <w:szCs w:val="24"/>
          <w:highlight w:val="none"/>
          <w:shd w:val="clear" w:fill="FFFFFF"/>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（七）验收档案管理：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验收工作完成后，甲方将验收报告、验收材料、整改记录（如有）等相关文件整理归档，作为项目履约的完整档案留存</w:t>
      </w:r>
      <w:r>
        <w:rPr>
          <w:color w:val="000000" w:themeColor="text1"/>
          <w:sz w:val="24"/>
          <w:szCs w:val="24"/>
          <w:highlight w:val="none"/>
          <w:shd w:val="clear" w:fill="FFFFFF"/>
          <w14:textFill>
            <w14:solidFill>
              <w14:schemeClr w14:val="tx1"/>
            </w14:solidFill>
          </w14:textFill>
        </w:rPr>
        <w:t>。</w:t>
      </w:r>
    </w:p>
    <w:p w14:paraId="34A90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80" w:firstLineChars="200"/>
        <w:jc w:val="both"/>
        <w:textAlignment w:val="auto"/>
        <w:rPr>
          <w:rFonts w:hint="eastAsia"/>
          <w:color w:val="000000" w:themeColor="text1"/>
          <w:sz w:val="24"/>
          <w:szCs w:val="24"/>
          <w:highlight w:val="none"/>
          <w:shd w:val="clear" w:fill="FFFFFF"/>
          <w:lang w:val="en-US" w:eastAsia="zh-CN"/>
          <w14:textFill>
            <w14:solidFill>
              <w14:schemeClr w14:val="tx1"/>
            </w14:solidFill>
          </w14:textFill>
        </w:rPr>
      </w:pPr>
    </w:p>
    <w:p w14:paraId="1D98E96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违约责任</w:t>
      </w:r>
    </w:p>
    <w:p w14:paraId="7A7BB1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759EA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一、甲方违约责任</w:t>
      </w:r>
    </w:p>
    <w:p w14:paraId="0F329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甲方无正当理由逾期支付服务费用的，每逾期一日，按欠付金额的万分之二向乙方支付违约金，违约金最高限额为欠付金额的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0%；逾期付款超过 30 日的，乙方有权要求甲方继续履行合同并赔偿损失。</w:t>
      </w:r>
    </w:p>
    <w:p w14:paraId="58E9A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甲方无故单方解除合同的，需向乙方支付合同总金额 20% 的违约金，并赔偿乙方因此遭受的实际损失。</w:t>
      </w:r>
    </w:p>
    <w:p w14:paraId="02194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因甲方原因导致项目延期的，服务期限相应顺延，甲方不承担其他违约责任。</w:t>
      </w:r>
    </w:p>
    <w:p w14:paraId="0AE12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二、乙方违约责任</w:t>
      </w:r>
    </w:p>
    <w:p w14:paraId="6434B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乙方未按本合同约定提交方案、人员名单、安全方案等材料，或材料审核未通过拒不整改的，甲方有权扣除履约保证金的 10%-20%，并要求乙方限期整改；逾期未整改的，甲方有权解除合同。</w:t>
      </w:r>
    </w:p>
    <w:p w14:paraId="535B6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乙方未经甲方书面同意擅自更换主创人员、核心技术人员的，视为严重违约，甲方有权扣除履约保证金的 20%，并要求乙方在 5 个工作日内恢复原人员配置；若因此导致项目进度延误、演出质量下降的，乙方需赔偿甲方因此遭受的损失。</w:t>
      </w:r>
    </w:p>
    <w:p w14:paraId="65195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乙方各场次演出的演员阵容、排练次数、演出时长等未达到本合同约定标准的，每一项违约情形，甲方有权扣除履约保证金的 5%-10%，并要求乙方限期整改；整改后仍不符合要求的，甲方有权扣除剩余履约保证金并解除合同。</w:t>
      </w:r>
    </w:p>
    <w:p w14:paraId="622E6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乙方未按本合同约定时间完成场地清场、设施复原，或清场验收不合格的，每逾期一日，按合同总金额的万分之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向甲方支付违约金，直至完成清场并验收合格；同时甲方有权扣除履约保证金的 10%。</w:t>
      </w:r>
    </w:p>
    <w:p w14:paraId="31255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乙方未按本合同约定为相关人员购买保险的，甲方有权扣除履约保证金的 10%，并要求乙方限期投保；逾期未投保的，甲方有权解除合同并要求乙方赔偿损失。</w:t>
      </w:r>
    </w:p>
    <w:p w14:paraId="4D940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乙方在项目实施过程中发生安全事故、重大演出失误的，甲方有权扣除全部履约保证金，乙方需赔偿甲方因此遭受的全部损失（含直接损失和间接损失）；若事故造成第三方损失的，由乙方承担全部赔偿责任。</w:t>
      </w:r>
    </w:p>
    <w:p w14:paraId="14306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乙方擅自转包项目或未经甲方同意分包项目的，甲方有权立即解除合同，扣除全部履约保证金，并要求乙方支付合同总金额 20% 的违约金，同时赔偿甲方因此遭受的损失。</w:t>
      </w:r>
    </w:p>
    <w:p w14:paraId="3CE42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乙方未按本合同约定配合媒体直播，导致直播故障、中断的，乙方需赔偿甲方因此遭受的全部损失（含直播服务费、品牌损失费等），甲方有权扣除履约保证金的 10%-30%。</w:t>
      </w:r>
    </w:p>
    <w:p w14:paraId="21ACE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乙方逾期完成服务的，每逾期一日，按合同总金额的万分之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向甲方支付违约金，违约金最高限额为合同总金额的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0%；逾期超过 15 日的，甲方有权解除合同，扣除全部履约保证金并要求乙方赔偿损失。</w:t>
      </w:r>
    </w:p>
    <w:p w14:paraId="103B94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提供的服务成果不符合本合同约定及验收标准，且无法整改或整改后仍不合格的，甲方有权解除合同，扣除全部履约保证金，乙方需退还甲方已支付的全部服务费用，并赔偿甲方因此遭受的损失（含重新采购的差价）。</w:t>
      </w:r>
    </w:p>
    <w:p w14:paraId="2A712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三、通用违约条款</w:t>
      </w:r>
    </w:p>
    <w:p w14:paraId="59DAA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任何一方违反本合同约定的其他义务，经对方催告后 15 日内仍未履行的，守约方有权要求违约方继续履行合同并赔偿实际损失；若违约行为导致合同目的无法实现的，守约方有权解除合同。</w:t>
      </w:r>
    </w:p>
    <w:p w14:paraId="78D9B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违约金不足以弥补守约方实际损失的，违约方需补足差额部分。</w:t>
      </w:r>
    </w:p>
    <w:p w14:paraId="4F03D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因不可抗力导致一方无法履行合同的，不承担违约责任，双方按本合同第七部分处理。</w:t>
      </w:r>
    </w:p>
    <w:p w14:paraId="53168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7DC08B5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不可抗力</w:t>
      </w:r>
    </w:p>
    <w:p w14:paraId="641ACF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4C614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本合同所称不可抗力，是指不能预见、不能避免并不能克服的客观情况，包括但不限于自然灾害、战争、疫情、政府行为、政策调整等。</w:t>
      </w:r>
    </w:p>
    <w:p w14:paraId="1DA92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发生不可抗力的一方，应在不可抗力发生后24 小时内以书面形式通知对方，并在不可抗力发生后2 日内提供由相关部门出具的证明文件。</w:t>
      </w:r>
    </w:p>
    <w:p w14:paraId="25515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因不可抗力导致合同无法履行的，根据不可抗力的影响，部分或全部免除责任，但法律另有规定的除外；因不可抗力导致合同履行延误的，服务期限相应顺延。</w:t>
      </w:r>
    </w:p>
    <w:p w14:paraId="42CDB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不可抗力发生后，双方应及时协商解决合同继续履行或解除的事宜，尽可能减少损失。</w:t>
      </w:r>
    </w:p>
    <w:p w14:paraId="334F6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9706282">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合同的变更、解除与终止</w:t>
      </w:r>
    </w:p>
    <w:p w14:paraId="561D4D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339EE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一、合同变更</w:t>
      </w:r>
    </w:p>
    <w:p w14:paraId="7B82C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本合同的任何变更，需经双方协商一致并签订书面补充协议，补充协议与本合同具有同等法律效力；</w:t>
      </w:r>
    </w:p>
    <w:p w14:paraId="4350D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甲方因项目需要对服务内容进行小幅优化调整的，乙方需无条件配合，无需签订补充协议，且甲方不额外支付费用；</w:t>
      </w:r>
    </w:p>
    <w:p w14:paraId="45CBE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补充协议不得违背招标文件、投标文件的实质性内容，不得超出本合同约定的服务范围和总价包干原则。</w:t>
      </w:r>
    </w:p>
    <w:p w14:paraId="28D2A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二、合同解除</w:t>
      </w:r>
    </w:p>
    <w:p w14:paraId="65199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有下列情形之一的，一方有权单方解除本合同，书面通知对方后，合同自通知到达对方之日起解除：</w:t>
      </w:r>
    </w:p>
    <w:p w14:paraId="76797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乙方出现本合同约定的严重违约情形，经甲方催告后仍未整改的；</w:t>
      </w:r>
    </w:p>
    <w:p w14:paraId="7C310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乙方因经营不善、破产、吊销营业执照等原因无法继续履行合同的；</w:t>
      </w:r>
    </w:p>
    <w:p w14:paraId="17174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甲方无正当理由逾期支付服务费用超过 30 日的；</w:t>
      </w:r>
    </w:p>
    <w:p w14:paraId="52E2C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因不可抗力导致合同目的无法实现的；</w:t>
      </w:r>
    </w:p>
    <w:p w14:paraId="562FD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法律规定的其他可以解除合同的情形。</w:t>
      </w:r>
    </w:p>
    <w:p w14:paraId="4CDF2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三、合同终止</w:t>
      </w:r>
    </w:p>
    <w:p w14:paraId="2696B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本合同自双方签字盖章之日起生效，至乙方完成全部服务、甲方支付完毕全部服务费用、履约保证金退还完毕之日起终止；</w:t>
      </w:r>
    </w:p>
    <w:p w14:paraId="2A2B0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合同终止后，本合同中的知识产权、保密、违约责任等条款仍然有效，双方仍需履行相关义务。</w:t>
      </w:r>
    </w:p>
    <w:p w14:paraId="2FDBC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3517D02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争议解决</w:t>
      </w:r>
    </w:p>
    <w:p w14:paraId="78B973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FEFE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一、本合同履行过程中发生的任何争议，双方应首先通过友好协商解决；</w:t>
      </w:r>
    </w:p>
    <w:p w14:paraId="3C0C5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二、协商不成的，任何一方均有权向甲方所在地有管辖权的人民法院提起诉讼；</w:t>
      </w:r>
    </w:p>
    <w:p w14:paraId="1D178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三、争议解决期间，除争议事项外，本合同其他条款继续履行。</w:t>
      </w:r>
    </w:p>
    <w:p w14:paraId="5E1C7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16FBD2F">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其他条款</w:t>
      </w:r>
    </w:p>
    <w:p w14:paraId="4FB37C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p>
    <w:p w14:paraId="55BDC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本项目招标文件、乙方投标文件、中标通知书均为本合同的组成部分，与本合同具有同等法律效力；若内容不一致，按以下优先级执行：本合同及补充协议 → 中标通知书 → 招标文件 → 乙方投标文件。</w:t>
      </w:r>
    </w:p>
    <w:p w14:paraId="6DB07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本合同未尽事宜，双方可另行签订补充协议，补充协议与本合同具有同等法律效力。</w:t>
      </w:r>
    </w:p>
    <w:p w14:paraId="42647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本合同一式肆份，甲方执贰份，乙方执贰份，每份均具有同等法律效力，自双方签字盖章之日起生效。</w:t>
      </w:r>
    </w:p>
    <w:p w14:paraId="4D07D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双方确认本合同所载的地址、电话、开户银行等信息为有效联系方式，任何书面通知按该地址寄送即视为有效送达；若信息变更，应提前 3 个工作日书面通知对方。</w:t>
      </w:r>
    </w:p>
    <w:p w14:paraId="7DAFE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95E9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6073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采购人（甲方）（盖章）：______________________</w:t>
      </w:r>
    </w:p>
    <w:p w14:paraId="07E21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8300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法定代表人 / 委托代理人（签字）：__________</w:t>
      </w:r>
    </w:p>
    <w:p w14:paraId="3DD92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4C67A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日期：______年____月____日</w:t>
      </w:r>
    </w:p>
    <w:p w14:paraId="4663E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14D5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中标人（乙方）（盖章）：______________________</w:t>
      </w:r>
    </w:p>
    <w:p w14:paraId="78EB5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5834E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法定代表人 / 委托代理人（签字）：__________</w:t>
      </w:r>
    </w:p>
    <w:p w14:paraId="7B76D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6FA0B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日期：______年____月____日</w:t>
      </w:r>
    </w:p>
    <w:p w14:paraId="669F93C2">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C23F69B">
      <w:pPr>
        <w:spacing w:line="560" w:lineRule="exact"/>
        <w:ind w:firstLine="420" w:firstLineChars="200"/>
        <w:rPr>
          <w:rFonts w:ascii="宋体" w:hAnsi="宋体"/>
          <w:color w:val="000000" w:themeColor="text1"/>
          <w:szCs w:val="21"/>
          <w:highlight w:val="none"/>
          <w14:textFill>
            <w14:solidFill>
              <w14:schemeClr w14:val="tx1"/>
            </w14:solidFill>
          </w14:textFill>
        </w:rPr>
      </w:pPr>
    </w:p>
    <w:p w14:paraId="258CC4DC">
      <w:pPr>
        <w:pStyle w:val="29"/>
        <w:snapToGrid w:val="0"/>
        <w:spacing w:line="600" w:lineRule="exact"/>
        <w:rPr>
          <w:rFonts w:hAnsi="宋体" w:cs="宋体"/>
          <w:color w:val="000000" w:themeColor="text1"/>
          <w:sz w:val="36"/>
          <w:szCs w:val="36"/>
          <w:highlight w:val="none"/>
          <w14:textFill>
            <w14:solidFill>
              <w14:schemeClr w14:val="tx1"/>
            </w14:solidFill>
          </w14:textFill>
        </w:rPr>
      </w:pPr>
    </w:p>
    <w:p w14:paraId="1781AC69">
      <w:pPr>
        <w:pStyle w:val="29"/>
        <w:snapToGrid w:val="0"/>
        <w:spacing w:line="600" w:lineRule="exact"/>
        <w:rPr>
          <w:rFonts w:hAnsi="宋体" w:cs="宋体"/>
          <w:color w:val="000000" w:themeColor="text1"/>
          <w:sz w:val="36"/>
          <w:szCs w:val="36"/>
          <w:highlight w:val="none"/>
          <w14:textFill>
            <w14:solidFill>
              <w14:schemeClr w14:val="tx1"/>
            </w14:solidFill>
          </w14:textFill>
        </w:rPr>
      </w:pPr>
    </w:p>
    <w:p w14:paraId="674A3915">
      <w:pPr>
        <w:pStyle w:val="29"/>
        <w:snapToGrid w:val="0"/>
        <w:spacing w:line="600" w:lineRule="exact"/>
        <w:rPr>
          <w:rFonts w:hAnsi="宋体" w:cs="宋体"/>
          <w:color w:val="000000" w:themeColor="text1"/>
          <w:sz w:val="36"/>
          <w:szCs w:val="36"/>
          <w:highlight w:val="none"/>
          <w14:textFill>
            <w14:solidFill>
              <w14:schemeClr w14:val="tx1"/>
            </w14:solidFill>
          </w14:textFill>
        </w:rPr>
      </w:pPr>
    </w:p>
    <w:p w14:paraId="70785532">
      <w:pPr>
        <w:pStyle w:val="29"/>
        <w:snapToGrid w:val="0"/>
        <w:spacing w:line="600" w:lineRule="exact"/>
        <w:rPr>
          <w:rFonts w:hAnsi="宋体" w:cs="宋体"/>
          <w:color w:val="000000" w:themeColor="text1"/>
          <w:sz w:val="36"/>
          <w:szCs w:val="36"/>
          <w:highlight w:val="none"/>
          <w14:textFill>
            <w14:solidFill>
              <w14:schemeClr w14:val="tx1"/>
            </w14:solidFill>
          </w14:textFill>
        </w:rPr>
      </w:pPr>
    </w:p>
    <w:p w14:paraId="021F2CE4">
      <w:pPr>
        <w:pStyle w:val="29"/>
        <w:snapToGrid w:val="0"/>
        <w:spacing w:line="600" w:lineRule="exact"/>
        <w:rPr>
          <w:rFonts w:hAnsi="宋体" w:cs="宋体"/>
          <w:color w:val="000000" w:themeColor="text1"/>
          <w:sz w:val="36"/>
          <w:szCs w:val="36"/>
          <w:highlight w:val="none"/>
          <w14:textFill>
            <w14:solidFill>
              <w14:schemeClr w14:val="tx1"/>
            </w14:solidFill>
          </w14:textFill>
        </w:rPr>
      </w:pPr>
    </w:p>
    <w:p w14:paraId="0410987B">
      <w:pPr>
        <w:rPr>
          <w:rFonts w:ascii="宋体" w:hAnsi="宋体" w:cs="宋体"/>
          <w:color w:val="000000" w:themeColor="text1"/>
          <w:sz w:val="36"/>
          <w:szCs w:val="36"/>
          <w:highlight w:val="none"/>
          <w14:textFill>
            <w14:solidFill>
              <w14:schemeClr w14:val="tx1"/>
            </w14:solidFill>
          </w14:textFill>
        </w:rPr>
      </w:pPr>
    </w:p>
    <w:p w14:paraId="49D703F7">
      <w:pPr>
        <w:rPr>
          <w:rFonts w:ascii="宋体" w:hAnsi="宋体" w:cs="宋体"/>
          <w:color w:val="000000" w:themeColor="text1"/>
          <w:sz w:val="36"/>
          <w:szCs w:val="36"/>
          <w:highlight w:val="none"/>
          <w14:textFill>
            <w14:solidFill>
              <w14:schemeClr w14:val="tx1"/>
            </w14:solidFill>
          </w14:textFill>
        </w:rPr>
      </w:pPr>
    </w:p>
    <w:p w14:paraId="15592D9A">
      <w:pPr>
        <w:rPr>
          <w:rFonts w:ascii="宋体" w:hAnsi="宋体" w:cs="宋体"/>
          <w:color w:val="000000" w:themeColor="text1"/>
          <w:sz w:val="36"/>
          <w:szCs w:val="36"/>
          <w:highlight w:val="none"/>
          <w14:textFill>
            <w14:solidFill>
              <w14:schemeClr w14:val="tx1"/>
            </w14:solidFill>
          </w14:textFill>
        </w:rPr>
      </w:pPr>
    </w:p>
    <w:p w14:paraId="680D4526">
      <w:pPr>
        <w:rPr>
          <w:rFonts w:ascii="宋体" w:hAnsi="宋体" w:cs="宋体"/>
          <w:color w:val="000000" w:themeColor="text1"/>
          <w:sz w:val="36"/>
          <w:szCs w:val="36"/>
          <w:highlight w:val="none"/>
          <w14:textFill>
            <w14:solidFill>
              <w14:schemeClr w14:val="tx1"/>
            </w14:solidFill>
          </w14:textFill>
        </w:rPr>
      </w:pPr>
    </w:p>
    <w:p w14:paraId="03B16678">
      <w:pPr>
        <w:rPr>
          <w:rFonts w:ascii="宋体" w:hAnsi="宋体" w:cs="宋体"/>
          <w:color w:val="000000" w:themeColor="text1"/>
          <w:sz w:val="36"/>
          <w:szCs w:val="36"/>
          <w:highlight w:val="none"/>
          <w14:textFill>
            <w14:solidFill>
              <w14:schemeClr w14:val="tx1"/>
            </w14:solidFill>
          </w14:textFill>
        </w:rPr>
      </w:pPr>
    </w:p>
    <w:p w14:paraId="3F359D10">
      <w:pPr>
        <w:rPr>
          <w:rFonts w:ascii="宋体" w:hAnsi="宋体" w:cs="宋体"/>
          <w:color w:val="000000" w:themeColor="text1"/>
          <w:sz w:val="36"/>
          <w:szCs w:val="36"/>
          <w:highlight w:val="none"/>
          <w14:textFill>
            <w14:solidFill>
              <w14:schemeClr w14:val="tx1"/>
            </w14:solidFill>
          </w14:textFill>
        </w:rPr>
      </w:pPr>
    </w:p>
    <w:p w14:paraId="2B2B05C0">
      <w:pPr>
        <w:rPr>
          <w:rFonts w:ascii="宋体" w:hAnsi="宋体" w:cs="宋体"/>
          <w:color w:val="000000" w:themeColor="text1"/>
          <w:sz w:val="36"/>
          <w:szCs w:val="36"/>
          <w:highlight w:val="none"/>
          <w14:textFill>
            <w14:solidFill>
              <w14:schemeClr w14:val="tx1"/>
            </w14:solidFill>
          </w14:textFill>
        </w:rPr>
      </w:pPr>
    </w:p>
    <w:p w14:paraId="352B6228">
      <w:pPr>
        <w:rPr>
          <w:rFonts w:ascii="宋体" w:hAnsi="宋体" w:cs="宋体"/>
          <w:color w:val="000000" w:themeColor="text1"/>
          <w:sz w:val="36"/>
          <w:szCs w:val="36"/>
          <w:highlight w:val="none"/>
          <w14:textFill>
            <w14:solidFill>
              <w14:schemeClr w14:val="tx1"/>
            </w14:solidFill>
          </w14:textFill>
        </w:rPr>
      </w:pPr>
    </w:p>
    <w:p w14:paraId="1D05EFE6">
      <w:pPr>
        <w:rPr>
          <w:rFonts w:ascii="宋体" w:hAnsi="宋体" w:cs="宋体"/>
          <w:color w:val="000000" w:themeColor="text1"/>
          <w:sz w:val="36"/>
          <w:szCs w:val="36"/>
          <w:highlight w:val="none"/>
          <w14:textFill>
            <w14:solidFill>
              <w14:schemeClr w14:val="tx1"/>
            </w14:solidFill>
          </w14:textFill>
        </w:rPr>
      </w:pPr>
    </w:p>
    <w:p w14:paraId="3C5C40B3">
      <w:pPr>
        <w:pStyle w:val="29"/>
        <w:snapToGrid w:val="0"/>
        <w:spacing w:line="600" w:lineRule="exact"/>
        <w:jc w:val="center"/>
        <w:outlineLvl w:val="0"/>
        <w:rPr>
          <w:rFonts w:hAnsi="宋体" w:cs="宋体"/>
          <w:b/>
          <w:color w:val="000000" w:themeColor="text1"/>
          <w:sz w:val="36"/>
          <w:szCs w:val="36"/>
          <w:highlight w:val="none"/>
          <w14:textFill>
            <w14:solidFill>
              <w14:schemeClr w14:val="tx1"/>
            </w14:solidFill>
          </w14:textFill>
        </w:rPr>
      </w:pPr>
      <w:bookmarkStart w:id="47" w:name="_Toc9838482"/>
      <w:bookmarkStart w:id="48" w:name="_Toc20"/>
      <w:r>
        <w:rPr>
          <w:rFonts w:hint="eastAsia" w:hAnsi="宋体" w:cs="宋体"/>
          <w:b/>
          <w:color w:val="000000" w:themeColor="text1"/>
          <w:sz w:val="36"/>
          <w:szCs w:val="36"/>
          <w:highlight w:val="none"/>
          <w14:textFill>
            <w14:solidFill>
              <w14:schemeClr w14:val="tx1"/>
            </w14:solidFill>
          </w14:textFill>
        </w:rPr>
        <w:t>第六章 投标文件格式</w:t>
      </w:r>
      <w:bookmarkEnd w:id="47"/>
      <w:bookmarkEnd w:id="48"/>
    </w:p>
    <w:p w14:paraId="53FB55AF">
      <w:pPr>
        <w:snapToGrid w:val="0"/>
        <w:spacing w:line="360" w:lineRule="exact"/>
        <w:rPr>
          <w:rFonts w:ascii="宋体" w:hAnsi="宋体" w:cs="宋体"/>
          <w:b/>
          <w:bCs/>
          <w:color w:val="000000" w:themeColor="text1"/>
          <w:sz w:val="36"/>
          <w:szCs w:val="36"/>
          <w:highlight w:val="none"/>
          <w14:textFill>
            <w14:solidFill>
              <w14:schemeClr w14:val="tx1"/>
            </w14:solidFill>
          </w14:textFill>
        </w:rPr>
      </w:pPr>
    </w:p>
    <w:p w14:paraId="587F9C9A">
      <w:pPr>
        <w:snapToGrid w:val="0"/>
        <w:spacing w:line="460" w:lineRule="exact"/>
        <w:ind w:firstLine="723" w:firstLineChars="200"/>
        <w:rPr>
          <w:rFonts w:ascii="宋体" w:hAnsi="宋体" w:cs="宋体"/>
          <w:b/>
          <w:bCs/>
          <w:color w:val="000000" w:themeColor="text1"/>
          <w:sz w:val="36"/>
          <w:szCs w:val="36"/>
          <w:highlight w:val="none"/>
          <w14:textFill>
            <w14:solidFill>
              <w14:schemeClr w14:val="tx1"/>
            </w14:solidFill>
          </w14:textFill>
        </w:rPr>
      </w:pPr>
    </w:p>
    <w:p w14:paraId="59C5C8F6">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680176CF">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5087A2F5">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5933EE17">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396BA1CD">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61720AB6">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46642CA1">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1AC6AA04">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06BB9C30">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57920F54">
      <w:pPr>
        <w:snapToGrid w:val="0"/>
        <w:spacing w:line="460" w:lineRule="exact"/>
        <w:rPr>
          <w:rFonts w:ascii="宋体" w:hAnsi="宋体" w:cs="宋体"/>
          <w:b/>
          <w:bCs/>
          <w:color w:val="000000" w:themeColor="text1"/>
          <w:szCs w:val="21"/>
          <w:highlight w:val="none"/>
          <w14:textFill>
            <w14:solidFill>
              <w14:schemeClr w14:val="tx1"/>
            </w14:solidFill>
          </w14:textFill>
        </w:rPr>
      </w:pPr>
    </w:p>
    <w:p w14:paraId="755A8C5E">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p w14:paraId="2DEF2C5E">
      <w:pPr>
        <w:snapToGrid w:val="0"/>
        <w:spacing w:line="460" w:lineRule="exact"/>
        <w:ind w:firstLine="422" w:firstLineChars="200"/>
        <w:rPr>
          <w:rFonts w:ascii="宋体" w:hAnsi="宋体" w:cs="宋体"/>
          <w:b/>
          <w:bCs/>
          <w:color w:val="000000" w:themeColor="text1"/>
          <w:szCs w:val="21"/>
          <w:highlight w:val="none"/>
          <w14:textFill>
            <w14:solidFill>
              <w14:schemeClr w14:val="tx1"/>
            </w14:solidFill>
          </w14:textFill>
        </w:rPr>
      </w:pPr>
    </w:p>
    <w:bookmarkEnd w:id="0"/>
    <w:bookmarkEnd w:id="1"/>
    <w:p w14:paraId="42855429">
      <w:pPr>
        <w:snapToGrid w:val="0"/>
        <w:spacing w:before="156" w:beforeLines="50" w:after="50" w:line="360" w:lineRule="exact"/>
        <w:jc w:val="center"/>
        <w:rPr>
          <w:rFonts w:hint="eastAsia" w:ascii="宋体" w:hAnsi="宋体" w:cs="宋体"/>
          <w:b/>
          <w:color w:val="000000" w:themeColor="text1"/>
          <w:sz w:val="32"/>
          <w:szCs w:val="32"/>
          <w:highlight w:val="none"/>
          <w14:textFill>
            <w14:solidFill>
              <w14:schemeClr w14:val="tx1"/>
            </w14:solidFill>
          </w14:textFill>
        </w:rPr>
      </w:pPr>
    </w:p>
    <w:p w14:paraId="0B439FF7">
      <w:pPr>
        <w:snapToGrid w:val="0"/>
        <w:spacing w:before="156" w:beforeLines="50" w:after="50" w:line="360" w:lineRule="exact"/>
        <w:jc w:val="center"/>
        <w:rPr>
          <w:rFonts w:hint="eastAsia" w:ascii="宋体" w:hAnsi="宋体" w:cs="宋体"/>
          <w:b/>
          <w:color w:val="000000" w:themeColor="text1"/>
          <w:sz w:val="32"/>
          <w:szCs w:val="32"/>
          <w:highlight w:val="none"/>
          <w14:textFill>
            <w14:solidFill>
              <w14:schemeClr w14:val="tx1"/>
            </w14:solidFill>
          </w14:textFill>
        </w:rPr>
      </w:pPr>
    </w:p>
    <w:p w14:paraId="7535C1F8">
      <w:pPr>
        <w:snapToGrid w:val="0"/>
        <w:spacing w:before="156" w:beforeLines="50" w:after="50" w:line="360" w:lineRule="exact"/>
        <w:jc w:val="center"/>
        <w:rPr>
          <w:rFonts w:hint="eastAsia" w:ascii="宋体" w:hAnsi="宋体" w:cs="宋体"/>
          <w:b/>
          <w:color w:val="000000" w:themeColor="text1"/>
          <w:sz w:val="32"/>
          <w:szCs w:val="32"/>
          <w:highlight w:val="none"/>
          <w14:textFill>
            <w14:solidFill>
              <w14:schemeClr w14:val="tx1"/>
            </w14:solidFill>
          </w14:textFill>
        </w:rPr>
      </w:pPr>
    </w:p>
    <w:p w14:paraId="50924C0E">
      <w:pPr>
        <w:snapToGrid w:val="0"/>
        <w:spacing w:before="156" w:beforeLines="50" w:after="50" w:line="36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投标文件格式</w:t>
      </w:r>
    </w:p>
    <w:p w14:paraId="65F7843A">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6A8331A6">
      <w:pPr>
        <w:snapToGrid w:val="0"/>
        <w:spacing w:before="156" w:beforeLines="50" w:after="50" w:line="360" w:lineRule="exact"/>
        <w:jc w:val="center"/>
        <w:outlineLvl w:val="1"/>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一、投标文件外包装封面及投标文件封面格式</w:t>
      </w:r>
    </w:p>
    <w:p w14:paraId="15785DED">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0509B924">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一）投标文件的外包装封面格式：</w:t>
      </w:r>
    </w:p>
    <w:p w14:paraId="7ED919A1">
      <w:pPr>
        <w:snapToGrid w:val="0"/>
        <w:spacing w:before="156" w:beforeLines="50" w:after="50" w:line="360" w:lineRule="exact"/>
        <w:ind w:firstLine="3518" w:firstLineChars="1095"/>
        <w:rPr>
          <w:rFonts w:ascii="宋体" w:hAnsi="宋体" w:cs="宋体"/>
          <w:b/>
          <w:bCs/>
          <w:color w:val="000000" w:themeColor="text1"/>
          <w:sz w:val="32"/>
          <w:szCs w:val="32"/>
          <w:highlight w:val="none"/>
          <w14:textFill>
            <w14:solidFill>
              <w14:schemeClr w14:val="tx1"/>
            </w14:solidFill>
          </w14:textFill>
        </w:rPr>
      </w:pPr>
    </w:p>
    <w:p w14:paraId="0393D212">
      <w:pPr>
        <w:snapToGrid w:val="0"/>
        <w:spacing w:before="156" w:beforeLines="50" w:after="50" w:line="360" w:lineRule="exact"/>
        <w:ind w:firstLine="3518" w:firstLineChars="1095"/>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投标文件</w:t>
      </w:r>
    </w:p>
    <w:p w14:paraId="253AAC3A">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采购项目名称：</w:t>
      </w:r>
    </w:p>
    <w:p w14:paraId="4E0324F2">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采购项目编号：</w:t>
      </w:r>
    </w:p>
    <w:p w14:paraId="22C72FC3">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所投分标：</w:t>
      </w:r>
    </w:p>
    <w:p w14:paraId="7FE1C278">
      <w:pPr>
        <w:pStyle w:val="7"/>
        <w:snapToGrid w:val="0"/>
        <w:spacing w:before="50" w:after="50" w:line="440" w:lineRule="exact"/>
        <w:ind w:firstLine="632" w:firstLineChars="3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投标文件名称：资格文件</w:t>
      </w:r>
    </w:p>
    <w:p w14:paraId="2E00F85B">
      <w:pPr>
        <w:pStyle w:val="7"/>
        <w:snapToGrid w:val="0"/>
        <w:spacing w:before="50" w:after="50" w:line="44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投标人名称：（盖章）</w:t>
      </w:r>
    </w:p>
    <w:p w14:paraId="5F3E4BA0">
      <w:pPr>
        <w:pStyle w:val="7"/>
        <w:snapToGrid w:val="0"/>
        <w:spacing w:before="50" w:after="50" w:line="44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投标人地址：</w:t>
      </w:r>
    </w:p>
    <w:p w14:paraId="7A76D469">
      <w:pPr>
        <w:pStyle w:val="7"/>
        <w:snapToGrid w:val="0"/>
        <w:spacing w:before="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在</w:t>
      </w:r>
      <w:r>
        <w:rPr>
          <w:rFonts w:hint="eastAsia" w:ascii="宋体" w:hAnsi="宋体" w:cs="宋体"/>
          <w:color w:val="000000" w:themeColor="text1"/>
          <w:sz w:val="21"/>
          <w:szCs w:val="21"/>
          <w:highlight w:val="none"/>
          <w14:textFill>
            <w14:solidFill>
              <w14:schemeClr w14:val="tx1"/>
            </w14:solidFill>
          </w14:textFill>
        </w:rPr>
        <w:t>×年×月×日×时×分前</w:t>
      </w:r>
      <w:r>
        <w:rPr>
          <w:rFonts w:hint="eastAsia" w:ascii="宋体" w:hAnsi="宋体" w:cs="宋体"/>
          <w:bCs/>
          <w:color w:val="000000" w:themeColor="text1"/>
          <w:sz w:val="21"/>
          <w:szCs w:val="21"/>
          <w:highlight w:val="none"/>
          <w14:textFill>
            <w14:solidFill>
              <w14:schemeClr w14:val="tx1"/>
            </w14:solidFill>
          </w14:textFill>
        </w:rPr>
        <w:t>不得启封（开标时才能启封）</w:t>
      </w:r>
    </w:p>
    <w:p w14:paraId="179E44A5">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p w14:paraId="750B6F1F">
      <w:pPr>
        <w:snapToGrid w:val="0"/>
        <w:spacing w:before="156" w:beforeLines="50" w:after="50" w:line="360" w:lineRule="exact"/>
        <w:ind w:firstLine="3518" w:firstLineChars="1095"/>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投标文件</w:t>
      </w:r>
    </w:p>
    <w:p w14:paraId="62FF7174">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采购项目名称：</w:t>
      </w:r>
    </w:p>
    <w:p w14:paraId="75D00988">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采购项目编号：</w:t>
      </w:r>
    </w:p>
    <w:p w14:paraId="28C967F1">
      <w:pPr>
        <w:snapToGrid w:val="0"/>
        <w:spacing w:before="156" w:beforeLines="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所投分标：</w:t>
      </w:r>
    </w:p>
    <w:p w14:paraId="058A0F9A">
      <w:pPr>
        <w:pStyle w:val="7"/>
        <w:snapToGrid w:val="0"/>
        <w:spacing w:before="50" w:after="50" w:line="440" w:lineRule="exact"/>
        <w:ind w:firstLine="632" w:firstLineChars="3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投标文件名称：资信及商务文件、技术文件、报价文件</w:t>
      </w:r>
    </w:p>
    <w:p w14:paraId="21CE32FB">
      <w:pPr>
        <w:pStyle w:val="7"/>
        <w:snapToGrid w:val="0"/>
        <w:spacing w:before="50" w:after="50" w:line="44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投标人名称：（盖章）</w:t>
      </w:r>
    </w:p>
    <w:p w14:paraId="2D5F0F20">
      <w:pPr>
        <w:pStyle w:val="7"/>
        <w:snapToGrid w:val="0"/>
        <w:spacing w:before="50" w:after="50" w:line="44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投标人地址：</w:t>
      </w:r>
    </w:p>
    <w:p w14:paraId="34C3C850">
      <w:pPr>
        <w:pStyle w:val="7"/>
        <w:snapToGrid w:val="0"/>
        <w:spacing w:before="50" w:after="50" w:line="360" w:lineRule="exact"/>
        <w:ind w:firstLine="630" w:firstLineChars="3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在</w:t>
      </w:r>
      <w:r>
        <w:rPr>
          <w:rFonts w:hint="eastAsia" w:ascii="宋体" w:hAnsi="宋体" w:cs="宋体"/>
          <w:color w:val="000000" w:themeColor="text1"/>
          <w:sz w:val="21"/>
          <w:szCs w:val="21"/>
          <w:highlight w:val="none"/>
          <w14:textFill>
            <w14:solidFill>
              <w14:schemeClr w14:val="tx1"/>
            </w14:solidFill>
          </w14:textFill>
        </w:rPr>
        <w:t>×年×月×日×时×分前</w:t>
      </w:r>
      <w:r>
        <w:rPr>
          <w:rFonts w:hint="eastAsia" w:ascii="宋体" w:hAnsi="宋体" w:cs="宋体"/>
          <w:bCs/>
          <w:color w:val="000000" w:themeColor="text1"/>
          <w:sz w:val="21"/>
          <w:szCs w:val="21"/>
          <w:highlight w:val="none"/>
          <w14:textFill>
            <w14:solidFill>
              <w14:schemeClr w14:val="tx1"/>
            </w14:solidFill>
          </w14:textFill>
        </w:rPr>
        <w:t>不得启封（开标时才能启封）</w:t>
      </w:r>
    </w:p>
    <w:p w14:paraId="2D1A09BF">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p>
    <w:p w14:paraId="33F20BF2">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424D0D6D">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5FA64F2F">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3969B230">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2D8F6F37">
      <w:pPr>
        <w:snapToGrid w:val="0"/>
        <w:spacing w:before="156" w:beforeLines="50" w:after="50" w:line="36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二）投标文件封面格式：</w:t>
      </w:r>
    </w:p>
    <w:p w14:paraId="1DD35813">
      <w:pPr>
        <w:snapToGrid w:val="0"/>
        <w:spacing w:before="156" w:beforeLines="50" w:after="50" w:line="360" w:lineRule="exact"/>
        <w:rPr>
          <w:rFonts w:ascii="宋体" w:hAnsi="宋体" w:cs="宋体"/>
          <w:color w:val="000000" w:themeColor="text1"/>
          <w:sz w:val="24"/>
          <w:highlight w:val="none"/>
          <w14:textFill>
            <w14:solidFill>
              <w14:schemeClr w14:val="tx1"/>
            </w14:solidFill>
          </w14:textFill>
        </w:rPr>
      </w:pPr>
    </w:p>
    <w:p w14:paraId="1FABF632">
      <w:pPr>
        <w:snapToGrid w:val="0"/>
        <w:spacing w:before="156" w:beforeLines="50" w:after="50" w:line="360" w:lineRule="exact"/>
        <w:rPr>
          <w:rFonts w:ascii="宋体" w:hAnsi="宋体" w:cs="宋体"/>
          <w:bCs/>
          <w:color w:val="000000" w:themeColor="text1"/>
          <w:sz w:val="24"/>
          <w:highlight w:val="none"/>
          <w14:textFill>
            <w14:solidFill>
              <w14:schemeClr w14:val="tx1"/>
            </w14:solidFill>
          </w14:textFill>
        </w:rPr>
      </w:pPr>
    </w:p>
    <w:p w14:paraId="7171BF9B">
      <w:pPr>
        <w:snapToGrid w:val="0"/>
        <w:spacing w:before="156" w:beforeLines="50" w:after="50" w:line="36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投标文件</w:t>
      </w:r>
    </w:p>
    <w:p w14:paraId="0EC5D0BE">
      <w:pPr>
        <w:snapToGrid w:val="0"/>
        <w:spacing w:before="156" w:beforeLines="50" w:after="50" w:line="360" w:lineRule="exact"/>
        <w:rPr>
          <w:rFonts w:ascii="宋体" w:hAnsi="宋体" w:cs="宋体"/>
          <w:bCs/>
          <w:color w:val="000000" w:themeColor="text1"/>
          <w:sz w:val="24"/>
          <w:highlight w:val="none"/>
          <w14:textFill>
            <w14:solidFill>
              <w14:schemeClr w14:val="tx1"/>
            </w14:solidFill>
          </w14:textFill>
        </w:rPr>
      </w:pPr>
    </w:p>
    <w:p w14:paraId="3B36E3C9">
      <w:pPr>
        <w:snapToGrid w:val="0"/>
        <w:spacing w:before="156" w:beforeLines="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w:t>
      </w:r>
    </w:p>
    <w:p w14:paraId="3681BE35">
      <w:pPr>
        <w:snapToGrid w:val="0"/>
        <w:spacing w:before="156" w:beforeLines="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项目编号：</w:t>
      </w:r>
    </w:p>
    <w:p w14:paraId="6ED8CD92">
      <w:pPr>
        <w:snapToGrid w:val="0"/>
        <w:spacing w:before="156" w:beforeLines="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所投分标：</w:t>
      </w:r>
    </w:p>
    <w:p w14:paraId="32C6F8CD">
      <w:pPr>
        <w:snapToGrid w:val="0"/>
        <w:spacing w:before="156" w:beforeLines="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投标人名称：（盖章）</w:t>
      </w:r>
    </w:p>
    <w:p w14:paraId="079F626E">
      <w:pPr>
        <w:snapToGrid w:val="0"/>
        <w:spacing w:before="156" w:beforeLines="50" w:after="50" w:line="360" w:lineRule="exact"/>
        <w:ind w:firstLine="630" w:firstLineChars="3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投标人地址：</w:t>
      </w:r>
    </w:p>
    <w:p w14:paraId="7B470318">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年月日</w:t>
      </w:r>
    </w:p>
    <w:p w14:paraId="1EB1E6E7">
      <w:pPr>
        <w:snapToGrid w:val="0"/>
        <w:spacing w:before="156" w:beforeLines="50" w:after="50" w:line="360" w:lineRule="exact"/>
        <w:jc w:val="center"/>
        <w:rPr>
          <w:rFonts w:ascii="宋体" w:hAnsi="宋体" w:cs="宋体"/>
          <w:bCs/>
          <w:color w:val="000000" w:themeColor="text1"/>
          <w:szCs w:val="21"/>
          <w:highlight w:val="none"/>
          <w14:textFill>
            <w14:solidFill>
              <w14:schemeClr w14:val="tx1"/>
            </w14:solidFill>
          </w14:textFill>
        </w:rPr>
      </w:pPr>
      <w:bookmarkStart w:id="49" w:name="_Toc254970698"/>
      <w:bookmarkStart w:id="50" w:name="_Toc254970557"/>
    </w:p>
    <w:p w14:paraId="478967CA">
      <w:pPr>
        <w:snapToGrid w:val="0"/>
        <w:spacing w:before="156" w:beforeLines="50" w:after="50" w:line="36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投标文件由</w:t>
      </w:r>
      <w:r>
        <w:rPr>
          <w:rFonts w:hint="eastAsia" w:ascii="宋体" w:hAnsi="宋体" w:cs="宋体"/>
          <w:b/>
          <w:color w:val="000000" w:themeColor="text1"/>
          <w:szCs w:val="21"/>
          <w:highlight w:val="none"/>
          <w14:textFill>
            <w14:solidFill>
              <w14:schemeClr w14:val="tx1"/>
            </w14:solidFill>
          </w14:textFill>
        </w:rPr>
        <w:t>资格文件、资信及商务文件、技术文件、投标报价文件四部份组成，</w:t>
      </w:r>
      <w:r>
        <w:rPr>
          <w:rFonts w:hint="eastAsia" w:ascii="宋体" w:hAnsi="宋体" w:cs="宋体"/>
          <w:bCs/>
          <w:color w:val="000000" w:themeColor="text1"/>
          <w:szCs w:val="21"/>
          <w:highlight w:val="none"/>
          <w14:textFill>
            <w14:solidFill>
              <w14:schemeClr w14:val="tx1"/>
            </w14:solidFill>
          </w14:textFill>
        </w:rPr>
        <w:t>其中资信及商务文件、技术文件、报价文件部分分别用封面标记分隔]</w:t>
      </w:r>
    </w:p>
    <w:p w14:paraId="61E3F963">
      <w:pPr>
        <w:snapToGrid w:val="0"/>
        <w:spacing w:before="156" w:beforeLines="50" w:after="50" w:line="360" w:lineRule="exact"/>
        <w:jc w:val="center"/>
        <w:rPr>
          <w:rFonts w:ascii="宋体" w:hAnsi="宋体" w:cs="宋体"/>
          <w:bCs/>
          <w:color w:val="000000" w:themeColor="text1"/>
          <w:sz w:val="24"/>
          <w:highlight w:val="none"/>
          <w14:textFill>
            <w14:solidFill>
              <w14:schemeClr w14:val="tx1"/>
            </w14:solidFill>
          </w14:textFill>
        </w:rPr>
      </w:pPr>
    </w:p>
    <w:p w14:paraId="5003FD7E">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1BD7E7D1">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5B9852B9">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6D738C75">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707ACCDE">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39E61D56">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4C21B221">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64A12C6A">
      <w:pPr>
        <w:snapToGrid w:val="0"/>
        <w:spacing w:before="156" w:beforeLines="50" w:after="50" w:line="360" w:lineRule="exact"/>
        <w:jc w:val="center"/>
        <w:rPr>
          <w:rFonts w:ascii="宋体" w:hAnsi="宋体" w:cs="宋体"/>
          <w:bCs/>
          <w:color w:val="000000" w:themeColor="text1"/>
          <w:sz w:val="32"/>
          <w:szCs w:val="32"/>
          <w:highlight w:val="none"/>
          <w14:textFill>
            <w14:solidFill>
              <w14:schemeClr w14:val="tx1"/>
            </w14:solidFill>
          </w14:textFill>
        </w:rPr>
      </w:pPr>
    </w:p>
    <w:p w14:paraId="668458BD">
      <w:pPr>
        <w:snapToGrid w:val="0"/>
        <w:spacing w:before="156" w:beforeLines="50" w:after="50" w:line="360" w:lineRule="exact"/>
        <w:jc w:val="both"/>
        <w:outlineLvl w:val="1"/>
        <w:rPr>
          <w:rFonts w:ascii="宋体" w:hAnsi="宋体" w:cs="宋体"/>
          <w:bCs/>
          <w:color w:val="000000" w:themeColor="text1"/>
          <w:sz w:val="32"/>
          <w:szCs w:val="32"/>
          <w:highlight w:val="none"/>
          <w14:textFill>
            <w14:solidFill>
              <w14:schemeClr w14:val="tx1"/>
            </w14:solidFill>
          </w14:textFill>
        </w:rPr>
      </w:pPr>
    </w:p>
    <w:p w14:paraId="17424FC3">
      <w:pPr>
        <w:snapToGrid w:val="0"/>
        <w:spacing w:before="156" w:beforeLines="50" w:after="50" w:line="360" w:lineRule="exact"/>
        <w:jc w:val="center"/>
        <w:outlineLvl w:val="1"/>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二、投标文件目录</w:t>
      </w:r>
    </w:p>
    <w:bookmarkEnd w:id="49"/>
    <w:bookmarkEnd w:id="50"/>
    <w:p w14:paraId="3F3C83F7">
      <w:pPr>
        <w:snapToGrid w:val="0"/>
        <w:spacing w:before="156" w:beforeLines="50" w:line="360" w:lineRule="exact"/>
        <w:ind w:firstLine="413" w:firstLineChars="196"/>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1.资格文件：</w:t>
      </w:r>
    </w:p>
    <w:p w14:paraId="12430D80">
      <w:pPr>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北海市政府采购</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信用承诺函</w:t>
      </w:r>
      <w:r>
        <w:rPr>
          <w:rFonts w:hint="eastAsia" w:ascii="宋体" w:hAnsi="宋体" w:cs="宋体"/>
          <w:b/>
          <w:color w:val="000000" w:themeColor="text1"/>
          <w:szCs w:val="21"/>
          <w:highlight w:val="none"/>
          <w14:textFill>
            <w14:solidFill>
              <w14:schemeClr w14:val="tx1"/>
            </w14:solidFill>
          </w14:textFill>
        </w:rPr>
        <w:t>（格式见</w:t>
      </w:r>
      <w:r>
        <w:rPr>
          <w:rFonts w:hint="eastAsia" w:ascii="宋体" w:hAnsi="宋体" w:cs="宋体"/>
          <w:b/>
          <w:bCs/>
          <w:color w:val="000000" w:themeColor="text1"/>
          <w:szCs w:val="21"/>
          <w:highlight w:val="none"/>
          <w14:textFill>
            <w14:solidFill>
              <w14:schemeClr w14:val="tx1"/>
            </w14:solidFill>
          </w14:textFill>
        </w:rPr>
        <w:t>第六章</w:t>
      </w:r>
      <w:r>
        <w:rPr>
          <w:rFonts w:hint="eastAsia" w:ascii="宋体" w:hAnsi="宋体" w:cs="宋体"/>
          <w:b/>
          <w:color w:val="000000" w:themeColor="text1"/>
          <w:szCs w:val="21"/>
          <w:highlight w:val="none"/>
          <w14:textFill>
            <w14:solidFill>
              <w14:schemeClr w14:val="tx1"/>
            </w14:solidFill>
          </w14:textFill>
        </w:rPr>
        <w:t>，必须提供）。</w:t>
      </w:r>
    </w:p>
    <w:p w14:paraId="4AA57830">
      <w:pPr>
        <w:snapToGrid w:val="0"/>
        <w:spacing w:line="36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（2）中小企业声明函（格式见第六章）</w:t>
      </w:r>
    </w:p>
    <w:p w14:paraId="69097437">
      <w:pPr>
        <w:snapToGrid w:val="0"/>
        <w:spacing w:line="3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（3）具备法律、行政法规规定的其他条件的证明材料(如有规定,则必须提供)。</w:t>
      </w:r>
    </w:p>
    <w:p w14:paraId="20D5C96F">
      <w:pPr>
        <w:tabs>
          <w:tab w:val="left" w:pos="426"/>
        </w:tabs>
        <w:snapToGrid w:val="0"/>
        <w:spacing w:line="360" w:lineRule="exact"/>
        <w:ind w:firstLine="417" w:firstLineChars="19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2.资信及商务文件：</w:t>
      </w:r>
    </w:p>
    <w:p w14:paraId="3700F673">
      <w:pPr>
        <w:snapToGrid w:val="0"/>
        <w:spacing w:line="360" w:lineRule="exact"/>
        <w:ind w:firstLine="210" w:firstLineChars="1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▲（1）承诺函 </w:t>
      </w:r>
      <w:r>
        <w:rPr>
          <w:rFonts w:hint="eastAsia" w:ascii="宋体" w:hAnsi="宋体" w:cs="宋体"/>
          <w:b/>
          <w:bCs/>
          <w:color w:val="000000" w:themeColor="text1"/>
          <w:szCs w:val="21"/>
          <w:highlight w:val="none"/>
          <w14:textFill>
            <w14:solidFill>
              <w14:schemeClr w14:val="tx1"/>
            </w14:solidFill>
          </w14:textFill>
        </w:rPr>
        <w:t>（格式见第六章，必须提供）</w:t>
      </w:r>
    </w:p>
    <w:p w14:paraId="3A19231C">
      <w:pPr>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▲（2）法定代表人（负责人）授权委托书和委托代理人身份证复印件</w:t>
      </w:r>
      <w:r>
        <w:rPr>
          <w:rFonts w:hint="eastAsia" w:ascii="宋体" w:hAnsi="宋体" w:cs="宋体"/>
          <w:b/>
          <w:bCs/>
          <w:color w:val="000000" w:themeColor="text1"/>
          <w:szCs w:val="21"/>
          <w:highlight w:val="none"/>
          <w14:textFill>
            <w14:solidFill>
              <w14:schemeClr w14:val="tx1"/>
            </w14:solidFill>
          </w14:textFill>
        </w:rPr>
        <w:t>（委托代理时必须提供，格式见第六章）</w:t>
      </w:r>
      <w:r>
        <w:rPr>
          <w:rFonts w:hint="eastAsia" w:ascii="宋体" w:hAnsi="宋体" w:cs="宋体"/>
          <w:color w:val="000000" w:themeColor="text1"/>
          <w:szCs w:val="21"/>
          <w:highlight w:val="none"/>
          <w14:textFill>
            <w14:solidFill>
              <w14:schemeClr w14:val="tx1"/>
            </w14:solidFill>
          </w14:textFill>
        </w:rPr>
        <w:t>；法定代表人（负责人）参加投标时，提供法定代表人（负责人）身份证明书和身份证复印件</w:t>
      </w:r>
      <w:r>
        <w:rPr>
          <w:rFonts w:hint="eastAsia" w:ascii="宋体" w:hAnsi="宋体" w:cs="宋体"/>
          <w:b/>
          <w:bCs/>
          <w:color w:val="000000" w:themeColor="text1"/>
          <w:szCs w:val="21"/>
          <w:highlight w:val="none"/>
          <w14:textFill>
            <w14:solidFill>
              <w14:schemeClr w14:val="tx1"/>
            </w14:solidFill>
          </w14:textFill>
        </w:rPr>
        <w:t>（必须提供，格式见第六章）</w:t>
      </w:r>
      <w:r>
        <w:rPr>
          <w:rFonts w:hint="eastAsia" w:ascii="宋体" w:hAnsi="宋体" w:cs="宋体"/>
          <w:color w:val="000000" w:themeColor="text1"/>
          <w:szCs w:val="21"/>
          <w:highlight w:val="none"/>
          <w14:textFill>
            <w14:solidFill>
              <w14:schemeClr w14:val="tx1"/>
            </w14:solidFill>
          </w14:textFill>
        </w:rPr>
        <w:t>；</w:t>
      </w:r>
    </w:p>
    <w:p w14:paraId="350F07E4">
      <w:pPr>
        <w:adjustRightInd w:val="0"/>
        <w:snapToGrid w:val="0"/>
        <w:spacing w:line="36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可作为投标人资信评分的资质证明材料（可选）  </w:t>
      </w:r>
    </w:p>
    <w:p w14:paraId="2A7FF277">
      <w:pPr>
        <w:adjustRightInd w:val="0"/>
        <w:snapToGrid w:val="0"/>
        <w:spacing w:line="36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（3）投标人的营业性演出许可证 </w:t>
      </w:r>
    </w:p>
    <w:p w14:paraId="2C234C33">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（4）具备履行合同所必需的人员、设备和专业技术能力的证明材料</w:t>
      </w:r>
    </w:p>
    <w:p w14:paraId="7CD5689A">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（5）劳务派遣服务许可证；</w:t>
      </w:r>
    </w:p>
    <w:p w14:paraId="1C12ECB2">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（6）质量管理体系认证证书；</w:t>
      </w:r>
    </w:p>
    <w:p w14:paraId="57CA3A70">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（7）环境管理体系认证证书；</w:t>
      </w:r>
    </w:p>
    <w:p w14:paraId="239DEA88">
      <w:pPr>
        <w:snapToGrid w:val="0"/>
        <w:spacing w:line="360" w:lineRule="exact"/>
        <w:ind w:left="41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（8）职业健康安全管理体系认证证书；</w:t>
      </w:r>
    </w:p>
    <w:p w14:paraId="05C6F239">
      <w:pPr>
        <w:adjustRightInd w:val="0"/>
        <w:snapToGrid w:val="0"/>
        <w:spacing w:line="36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（9）投标人20</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以</w:t>
      </w:r>
      <w:r>
        <w:rPr>
          <w:rFonts w:hint="eastAsia" w:ascii="宋体" w:hAnsi="宋体" w:cs="宋体"/>
          <w:color w:val="000000" w:themeColor="text1"/>
          <w:highlight w:val="none"/>
          <w14:textFill>
            <w14:solidFill>
              <w14:schemeClr w14:val="tx1"/>
            </w14:solidFill>
          </w14:textFill>
        </w:rPr>
        <w:t>来同类项目业绩【以中标通知或合同为准】复印件</w:t>
      </w:r>
      <w:r>
        <w:rPr>
          <w:rFonts w:hint="eastAsia" w:ascii="宋体" w:hAnsi="宋体" w:cs="宋体"/>
          <w:color w:val="000000" w:themeColor="text1"/>
          <w:szCs w:val="21"/>
          <w:highlight w:val="none"/>
          <w14:textFill>
            <w14:solidFill>
              <w14:schemeClr w14:val="tx1"/>
            </w14:solidFill>
          </w14:textFill>
        </w:rPr>
        <w:t>；</w:t>
      </w:r>
    </w:p>
    <w:p w14:paraId="00EEA27D">
      <w:pPr>
        <w:adjustRightInd w:val="0"/>
        <w:snapToGrid w:val="0"/>
        <w:spacing w:line="36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）中小企业声明函（格式见第六章）</w:t>
      </w:r>
      <w:r>
        <w:rPr>
          <w:rFonts w:hint="eastAsia" w:ascii="宋体" w:hAnsi="宋体" w:cs="宋体"/>
          <w:color w:val="000000" w:themeColor="text1"/>
          <w:szCs w:val="21"/>
          <w:highlight w:val="none"/>
          <w:lang w:eastAsia="zh-CN"/>
          <w14:textFill>
            <w14:solidFill>
              <w14:schemeClr w14:val="tx1"/>
            </w14:solidFill>
          </w14:textFill>
        </w:rPr>
        <w:t>；</w:t>
      </w:r>
    </w:p>
    <w:p w14:paraId="7FECFEDB">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）投标人情况介绍，投标人关于本单位债务纠纷、违法违规记录等方面的情况。</w:t>
      </w:r>
    </w:p>
    <w:p w14:paraId="2C6738A4">
      <w:pPr>
        <w:adjustRightInd w:val="0"/>
        <w:snapToGrid w:val="0"/>
        <w:spacing w:line="360" w:lineRule="exact"/>
        <w:ind w:firstLine="527" w:firstLineChars="250"/>
        <w:jc w:val="left"/>
        <w:outlineLvl w:val="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3.技术文件：</w:t>
      </w:r>
    </w:p>
    <w:p w14:paraId="1B69B09A">
      <w:pPr>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（1）服务响应表</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058B950C">
      <w:pPr>
        <w:adjustRightInd w:val="0"/>
        <w:snapToGrid w:val="0"/>
        <w:spacing w:line="360" w:lineRule="exact"/>
        <w:ind w:firstLine="420" w:firstLineChars="200"/>
        <w:jc w:val="left"/>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服务方案</w:t>
      </w:r>
      <w:r>
        <w:rPr>
          <w:rFonts w:hint="eastAsia" w:ascii="宋体" w:hAnsi="宋体" w:cs="宋体"/>
          <w:b/>
          <w:color w:val="000000" w:themeColor="text1"/>
          <w:szCs w:val="21"/>
          <w:highlight w:val="none"/>
          <w14:textFill>
            <w14:solidFill>
              <w14:schemeClr w14:val="tx1"/>
            </w14:solidFill>
          </w14:textFill>
        </w:rPr>
        <w:t>（格式自拟，必须提供）</w:t>
      </w:r>
      <w:r>
        <w:rPr>
          <w:rFonts w:hint="eastAsia" w:ascii="宋体" w:hAnsi="宋体" w:cs="宋体"/>
          <w:color w:val="000000" w:themeColor="text1"/>
          <w:szCs w:val="21"/>
          <w:highlight w:val="none"/>
          <w14:textFill>
            <w14:solidFill>
              <w14:schemeClr w14:val="tx1"/>
            </w14:solidFill>
          </w14:textFill>
        </w:rPr>
        <w:t>；</w:t>
      </w:r>
    </w:p>
    <w:p w14:paraId="767393EF">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（3）投标人拥有主要服务设施的情况和现状（格式自拟）及项目实施人员一览表； </w:t>
      </w:r>
    </w:p>
    <w:p w14:paraId="720D2EFE">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（4）优惠条件：投标人承诺给予招标人的各种优惠条件；</w:t>
      </w:r>
    </w:p>
    <w:p w14:paraId="2797E535">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（5）投标人对本项目的合理化建议和改进措施；</w:t>
      </w:r>
    </w:p>
    <w:p w14:paraId="2D830B29">
      <w:pPr>
        <w:adjustRightInd w:val="0"/>
        <w:snapToGrid w:val="0"/>
        <w:spacing w:line="360" w:lineRule="exact"/>
        <w:ind w:firstLine="525" w:firstLineChars="2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（6）投标人需要说明的其他文件和说明（格式略）；</w:t>
      </w:r>
    </w:p>
    <w:p w14:paraId="4F5B3584">
      <w:pPr>
        <w:snapToGrid w:val="0"/>
        <w:spacing w:line="360" w:lineRule="exact"/>
        <w:ind w:firstLine="422" w:firstLineChars="200"/>
        <w:jc w:val="left"/>
        <w:outlineLvl w:val="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4.报价文件：</w:t>
      </w:r>
    </w:p>
    <w:p w14:paraId="47D3B11F">
      <w:pPr>
        <w:tabs>
          <w:tab w:val="left" w:pos="3870"/>
          <w:tab w:val="left" w:pos="4085"/>
        </w:tabs>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投标函（格式见第六章）；</w:t>
      </w:r>
      <w:r>
        <w:rPr>
          <w:rFonts w:hint="eastAsia" w:ascii="宋体" w:hAnsi="宋体" w:cs="宋体"/>
          <w:b/>
          <w:color w:val="000000" w:themeColor="text1"/>
          <w:szCs w:val="21"/>
          <w:highlight w:val="none"/>
          <w14:textFill>
            <w14:solidFill>
              <w14:schemeClr w14:val="tx1"/>
            </w14:solidFill>
          </w14:textFill>
        </w:rPr>
        <w:t>（必须提供）</w:t>
      </w:r>
    </w:p>
    <w:p w14:paraId="7834F755">
      <w:pPr>
        <w:tabs>
          <w:tab w:val="left" w:pos="3870"/>
          <w:tab w:val="left" w:pos="4085"/>
        </w:tabs>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投标报价明细表（格式见第六章）；</w:t>
      </w:r>
      <w:r>
        <w:rPr>
          <w:rFonts w:hint="eastAsia" w:ascii="宋体" w:hAnsi="宋体" w:cs="宋体"/>
          <w:b/>
          <w:color w:val="000000" w:themeColor="text1"/>
          <w:szCs w:val="21"/>
          <w:highlight w:val="none"/>
          <w14:textFill>
            <w14:solidFill>
              <w14:schemeClr w14:val="tx1"/>
            </w14:solidFill>
          </w14:textFill>
        </w:rPr>
        <w:t>（必须提供）</w:t>
      </w:r>
    </w:p>
    <w:p w14:paraId="46BBAA16">
      <w:pPr>
        <w:tabs>
          <w:tab w:val="left" w:pos="3870"/>
          <w:tab w:val="left" w:pos="4085"/>
        </w:tabs>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（3）投标人针对报价需要说明的其他文件和说明；（格式自拟）</w:t>
      </w:r>
    </w:p>
    <w:p w14:paraId="4BFC0C05">
      <w:pPr>
        <w:tabs>
          <w:tab w:val="left" w:pos="3870"/>
          <w:tab w:val="left" w:pos="4085"/>
        </w:tabs>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开标一览表（单独封装递交，格式见第六章）</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526D0926">
      <w:pPr>
        <w:pStyle w:val="48"/>
        <w:spacing w:line="36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特别说明：</w:t>
      </w:r>
    </w:p>
    <w:p w14:paraId="3D8EEB0F">
      <w:pPr>
        <w:pStyle w:val="48"/>
        <w:spacing w:line="36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法定代表人（负责人）授权委托书必须由法定代表人（负责人）和委托代理人签名并加盖单位公章；承诺函、投标函、开标一览表必须由法定代表人（负责人）或委托代理人签名并加盖单位公章。电子投标文件须加盖公章部分均采用CA签章。</w:t>
      </w:r>
    </w:p>
    <w:p w14:paraId="364EFF26">
      <w:pPr>
        <w:pStyle w:val="48"/>
        <w:spacing w:line="360" w:lineRule="exact"/>
        <w:ind w:firstLine="422"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（2）电子投标文件中所须加盖公章部分均采用CA签章。若招标文件中有专门标注的某关联点，并要求</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在电子投标系统中作出投标响应的，如</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未对关联点进行响应或者在投标文件其它内容进行描述，造成电子评审不能查询的责任由</w:t>
      </w: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自行承担。</w:t>
      </w:r>
    </w:p>
    <w:p w14:paraId="2553AA84">
      <w:pPr>
        <w:snapToGrid w:val="0"/>
        <w:spacing w:before="50" w:after="156" w:afterLines="50" w:line="360" w:lineRule="exact"/>
        <w:jc w:val="center"/>
        <w:outlineLvl w:val="1"/>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三、投标文件格式</w:t>
      </w:r>
    </w:p>
    <w:p w14:paraId="7F03D821">
      <w:pPr>
        <w:snapToGrid w:val="0"/>
        <w:spacing w:before="50" w:after="156" w:afterLines="50" w:line="360" w:lineRule="exact"/>
        <w:jc w:val="left"/>
        <w:rPr>
          <w:rFonts w:ascii="宋体" w:hAnsi="宋体" w:cs="宋体"/>
          <w:b/>
          <w:color w:val="000000" w:themeColor="text1"/>
          <w:szCs w:val="21"/>
          <w:highlight w:val="none"/>
          <w14:textFill>
            <w14:solidFill>
              <w14:schemeClr w14:val="tx1"/>
            </w14:solidFill>
          </w14:textFill>
        </w:rPr>
      </w:pPr>
    </w:p>
    <w:p w14:paraId="004AB81E">
      <w:pPr>
        <w:snapToGrid w:val="0"/>
        <w:spacing w:before="50" w:after="156" w:afterLines="50" w:line="360" w:lineRule="exact"/>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资格文件部分（格式）</w:t>
      </w:r>
    </w:p>
    <w:p w14:paraId="0911CDB2">
      <w:pPr>
        <w:snapToGrid w:val="0"/>
        <w:spacing w:line="360" w:lineRule="exact"/>
        <w:ind w:firstLine="210" w:firstLineChars="1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北海市政府采购</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信用承诺函</w:t>
      </w:r>
      <w:r>
        <w:rPr>
          <w:rFonts w:hint="eastAsia" w:ascii="宋体" w:hAnsi="宋体" w:cs="宋体"/>
          <w:b/>
          <w:bCs/>
          <w:color w:val="000000" w:themeColor="text1"/>
          <w:szCs w:val="21"/>
          <w:highlight w:val="none"/>
          <w14:textFill>
            <w14:solidFill>
              <w14:schemeClr w14:val="tx1"/>
            </w14:solidFill>
          </w14:textFill>
        </w:rPr>
        <w:t>（格式见第六章，必须提供）</w:t>
      </w:r>
      <w:r>
        <w:rPr>
          <w:rFonts w:hint="eastAsia" w:ascii="宋体" w:hAnsi="宋体" w:cs="宋体"/>
          <w:b/>
          <w:color w:val="000000" w:themeColor="text1"/>
          <w:szCs w:val="21"/>
          <w:highlight w:val="none"/>
          <w14:textFill>
            <w14:solidFill>
              <w14:schemeClr w14:val="tx1"/>
            </w14:solidFill>
          </w14:textFill>
        </w:rPr>
        <w:t>。</w:t>
      </w:r>
    </w:p>
    <w:p w14:paraId="51438B70">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385DB84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北海市政府采购</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信用承诺函（格式）</w:t>
      </w:r>
    </w:p>
    <w:p w14:paraId="38E235D5">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F839F2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致（采购人或采购代理机构） ：</w:t>
      </w:r>
    </w:p>
    <w:p w14:paraId="52D33BEE">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名称：</w:t>
      </w:r>
    </w:p>
    <w:p w14:paraId="2D5C0737">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统一社会信用代码：</w:t>
      </w:r>
    </w:p>
    <w:p w14:paraId="22934DD4">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地址：</w:t>
      </w:r>
    </w:p>
    <w:p w14:paraId="3ED322E6">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5206DFC">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1.我单位具有符合采购文件资格要求独立承担民事责任的能力。</w:t>
      </w:r>
    </w:p>
    <w:p w14:paraId="0A1C6042">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2.我单位具有符合采购文件资格要求的财务状况报告。</w:t>
      </w:r>
    </w:p>
    <w:p w14:paraId="78A6B983">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3.我单位具有符合采购文件资格要求的依法缴纳税收和社会保障记录的良好记录。</w:t>
      </w:r>
    </w:p>
    <w:p w14:paraId="62FDD2F0">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4.我单位具有符合采购文件资格要求履行合同所必需的设备和专业技术能力。</w:t>
      </w:r>
    </w:p>
    <w:p w14:paraId="0D0C73B1">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5.参加政府采购活动前三年内，在经营活动中没有重大违法记录。</w:t>
      </w:r>
    </w:p>
    <w:p w14:paraId="5288C188">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若我单位承诺不实，自愿承担提供虚假材料谋取中标、成交的法律责任。</w:t>
      </w:r>
    </w:p>
    <w:p w14:paraId="5E535062">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184538F8">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名称（公章）：</w:t>
      </w:r>
    </w:p>
    <w:p w14:paraId="00762443">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法定代表人或授权代表(签名)：</w:t>
      </w:r>
    </w:p>
    <w:p w14:paraId="03BA662E">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A38923A">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 年 月 日</w:t>
      </w:r>
    </w:p>
    <w:p w14:paraId="66C14528">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4A72652">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注：1.</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须在投标（响应）文件中按此模板提供承诺函，未提供视为未实质性响应招标（采购）文件要求，按无效投标（响应）处理。</w:t>
      </w:r>
    </w:p>
    <w:p w14:paraId="1C66BAB9">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的法定代表人（其他组织的为负责人）或者授权代表的签名或盖章应真实、有效，如由授权代表签名或盖章的，应提供“法定代表人授权书”。</w:t>
      </w:r>
    </w:p>
    <w:p w14:paraId="12FB042F">
      <w:pPr>
        <w:snapToGrid w:val="0"/>
        <w:spacing w:line="360" w:lineRule="exact"/>
        <w:jc w:val="left"/>
        <w:rPr>
          <w:rFonts w:ascii="宋体" w:hAnsi="宋体" w:cs="宋体"/>
          <w:color w:val="000000" w:themeColor="text1"/>
          <w:kern w:val="0"/>
          <w:szCs w:val="21"/>
          <w:highlight w:val="none"/>
          <w14:textFill>
            <w14:solidFill>
              <w14:schemeClr w14:val="tx1"/>
            </w14:solidFill>
          </w14:textFill>
        </w:rPr>
      </w:pPr>
    </w:p>
    <w:p w14:paraId="417A857E">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28F3306A">
      <w:pPr>
        <w:snapToGrid w:val="0"/>
        <w:spacing w:line="360" w:lineRule="exact"/>
        <w:ind w:firstLine="210" w:firstLineChars="1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（2）中小企业声明函（格式见第六章）</w:t>
      </w:r>
    </w:p>
    <w:p w14:paraId="3DA2551E">
      <w:pPr>
        <w:snapToGrid w:val="0"/>
        <w:spacing w:line="360" w:lineRule="exact"/>
        <w:ind w:firstLine="205" w:firstLineChars="98"/>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（3）具备法律、行政法规规定的其他条件的证明材料(如有规定,则必须提供)。</w:t>
      </w:r>
    </w:p>
    <w:p w14:paraId="15DFF262">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4DCB55A4">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06ECF568">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50274D64">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5278FEFD">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65B313B7">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30F9AEFA">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3562D6E8">
      <w:pPr>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3500BF64">
      <w:pPr>
        <w:snapToGrid w:val="0"/>
        <w:spacing w:before="50" w:after="156" w:afterLines="50" w:line="360" w:lineRule="exact"/>
        <w:jc w:val="lef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资信及商务文件部分（格式）</w:t>
      </w:r>
    </w:p>
    <w:p w14:paraId="59CBB7DE">
      <w:pPr>
        <w:snapToGrid w:val="0"/>
        <w:spacing w:before="50" w:after="156" w:afterLines="50" w:line="3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（1）承诺函格式：（必须提供）</w:t>
      </w:r>
    </w:p>
    <w:p w14:paraId="29413A95">
      <w:pPr>
        <w:ind w:firstLine="640" w:firstLineChars="200"/>
        <w:jc w:val="center"/>
        <w:rPr>
          <w:rFonts w:ascii="宋体" w:hAnsi="宋体" w:cs="宋体"/>
          <w:color w:val="000000" w:themeColor="text1"/>
          <w:kern w:val="0"/>
          <w:sz w:val="32"/>
          <w:szCs w:val="21"/>
          <w:highlight w:val="none"/>
          <w14:textFill>
            <w14:solidFill>
              <w14:schemeClr w14:val="tx1"/>
            </w14:solidFill>
          </w14:textFill>
        </w:rPr>
      </w:pPr>
    </w:p>
    <w:p w14:paraId="103BB2CA">
      <w:pPr>
        <w:ind w:firstLine="640" w:firstLineChars="200"/>
        <w:jc w:val="center"/>
        <w:rPr>
          <w:rFonts w:ascii="宋体" w:hAnsi="宋体" w:cs="宋体"/>
          <w:color w:val="000000" w:themeColor="text1"/>
          <w:kern w:val="0"/>
          <w:sz w:val="32"/>
          <w:szCs w:val="21"/>
          <w:highlight w:val="none"/>
          <w14:textFill>
            <w14:solidFill>
              <w14:schemeClr w14:val="tx1"/>
            </w14:solidFill>
          </w14:textFill>
        </w:rPr>
      </w:pPr>
      <w:r>
        <w:rPr>
          <w:rFonts w:hint="eastAsia" w:ascii="宋体" w:hAnsi="宋体" w:cs="宋体"/>
          <w:color w:val="000000" w:themeColor="text1"/>
          <w:kern w:val="0"/>
          <w:sz w:val="32"/>
          <w:szCs w:val="21"/>
          <w:highlight w:val="none"/>
          <w14:textFill>
            <w14:solidFill>
              <w14:schemeClr w14:val="tx1"/>
            </w14:solidFill>
          </w14:textFill>
        </w:rPr>
        <w:t>承诺函（格式）</w:t>
      </w:r>
    </w:p>
    <w:p w14:paraId="740C989A">
      <w:pPr>
        <w:widowControl/>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58D50EB3">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北海市政府采购中心：</w:t>
      </w:r>
    </w:p>
    <w:p w14:paraId="62248B72">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我方作为本次采购项目的投标人，根据招标文件要求，现郑重承诺如下：</w:t>
      </w:r>
    </w:p>
    <w:p w14:paraId="5B380085">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76931FD4">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二、参加本次招标采购活动，不存在与单位负责人为同一人或者存在直接控股、管理关系的其他</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参与同一合同项下的政府采购活动的行为。</w:t>
      </w:r>
    </w:p>
    <w:p w14:paraId="28578045">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三、为采购项目提供整体设计、规范编制或者项目管理、监理、检测等服务的</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，不得再参加该采购项目的其他采购活动，我方承诺不属于此类禁止参加本项目的</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w:t>
      </w:r>
    </w:p>
    <w:p w14:paraId="031AD465">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四、参加本次招标采购活动，不存在和其他</w:t>
      </w:r>
      <w:r>
        <w:rPr>
          <w:rFonts w:hint="eastAsia" w:ascii="宋体" w:hAnsi="宋体" w:cs="宋体"/>
          <w:color w:val="000000" w:themeColor="text1"/>
          <w:kern w:val="0"/>
          <w:szCs w:val="21"/>
          <w:highlight w:val="none"/>
          <w:lang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在同一合同项下的采购项目中，同时委托同一个自然人、同一家庭的人员、同一单位的人员作为代理人的行为。</w:t>
      </w:r>
    </w:p>
    <w:p w14:paraId="30EC4A88">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五、投标文件中提供的能够给予我方带来优惠、好处的任何材料资料和技术、服务、商务、响应产品等响应承诺情况都是真实的、有效的、合法的。</w:t>
      </w:r>
    </w:p>
    <w:p w14:paraId="7136B252">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CB64A1C">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七、国家或行业主管部门对采购产品的技术标准、质量标准和资格资质条件等有强制性规定的，我方承诺符合其要求。</w:t>
      </w:r>
    </w:p>
    <w:p w14:paraId="15BEF1ED">
      <w:pPr>
        <w:widowControl/>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八、参加本次招标采购活动，我方完全同意招标文件第二章关于“投标费用”、“合同分包”、“合同转包”、“履约保证金”的实质性要求，并承诺严格按照招标文件要求履行。</w:t>
      </w:r>
    </w:p>
    <w:p w14:paraId="71C0F291">
      <w:pPr>
        <w:widowControl/>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九、我方承诺，</w:t>
      </w:r>
      <w:r>
        <w:rPr>
          <w:rFonts w:hint="eastAsia" w:ascii="宋体" w:hAnsi="宋体" w:cs="宋体"/>
          <w:color w:val="000000" w:themeColor="text1"/>
          <w:kern w:val="0"/>
          <w:szCs w:val="21"/>
          <w:highlight w:val="none"/>
          <w:lang w:eastAsia="zh-CN"/>
          <w14:textFill>
            <w14:solidFill>
              <w14:schemeClr w14:val="tx1"/>
            </w14:solidFill>
          </w14:textFill>
        </w:rPr>
        <w:t>下属子公司</w:t>
      </w:r>
      <w:r>
        <w:rPr>
          <w:rFonts w:hint="eastAsia" w:ascii="宋体" w:hAnsi="宋体" w:cs="宋体"/>
          <w:color w:val="000000" w:themeColor="text1"/>
          <w:kern w:val="0"/>
          <w:szCs w:val="21"/>
          <w:highlight w:val="none"/>
          <w14:textFill>
            <w14:solidFill>
              <w14:schemeClr w14:val="tx1"/>
            </w14:solidFill>
          </w14:textFill>
        </w:rPr>
        <w:t>参与本项目的，子公司的人员资质、工作经验、业绩、施工资质均视为我方所有，子公司的工作质量、安全责任由我方全权承担，我方已提供全资控股证明材料，真实有效。</w:t>
      </w:r>
    </w:p>
    <w:p w14:paraId="303956EE">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十</w:t>
      </w:r>
      <w:r>
        <w:rPr>
          <w:rFonts w:hint="eastAsia" w:ascii="宋体" w:hAnsi="宋体" w:cs="宋体"/>
          <w:color w:val="000000" w:themeColor="text1"/>
          <w:kern w:val="0"/>
          <w:szCs w:val="21"/>
          <w:highlight w:val="none"/>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F405845">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我方对上述承诺的内容事项真实性负责。如经查实上述承诺的内容事项存在虚假，我方愿意接受以提供虚假材料谋取中标追究法律责任。</w:t>
      </w:r>
    </w:p>
    <w:p w14:paraId="5B8BAACB">
      <w:pPr>
        <w:widowControl/>
        <w:ind w:firstLine="420" w:firstLineChars="200"/>
        <w:jc w:val="left"/>
        <w:rPr>
          <w:rFonts w:ascii="宋体" w:hAnsi="宋体" w:cs="宋体"/>
          <w:color w:val="000000" w:themeColor="text1"/>
          <w:kern w:val="0"/>
          <w:szCs w:val="21"/>
          <w:highlight w:val="none"/>
          <w14:textFill>
            <w14:solidFill>
              <w14:schemeClr w14:val="tx1"/>
            </w14:solidFill>
          </w14:textFill>
        </w:rPr>
      </w:pPr>
    </w:p>
    <w:p w14:paraId="7B80DEC9">
      <w:pPr>
        <w:widowControl/>
        <w:ind w:firstLine="7245" w:firstLineChars="34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投标人（公章）：</w:t>
      </w:r>
    </w:p>
    <w:p w14:paraId="3E9AFC49">
      <w:pPr>
        <w:widowControl/>
        <w:ind w:firstLine="4515" w:firstLineChars="21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法定代表人（负责人）或委托代理人（签名）：</w:t>
      </w:r>
    </w:p>
    <w:p w14:paraId="2E4E5FAC">
      <w:pPr>
        <w:widowControl/>
        <w:ind w:firstLine="8295" w:firstLineChars="39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p>
    <w:p w14:paraId="4E1B5688">
      <w:pPr>
        <w:snapToGrid w:val="0"/>
        <w:spacing w:line="360" w:lineRule="exact"/>
        <w:ind w:firstLine="211" w:firstLineChars="100"/>
        <w:jc w:val="left"/>
        <w:rPr>
          <w:rFonts w:ascii="宋体" w:hAnsi="宋体" w:cs="宋体"/>
          <w:b/>
          <w:color w:val="000000" w:themeColor="text1"/>
          <w:szCs w:val="21"/>
          <w:highlight w:val="none"/>
          <w14:textFill>
            <w14:solidFill>
              <w14:schemeClr w14:val="tx1"/>
            </w14:solidFill>
          </w14:textFill>
        </w:rPr>
      </w:pPr>
    </w:p>
    <w:p w14:paraId="392E372A">
      <w:pPr>
        <w:snapToGrid w:val="0"/>
        <w:spacing w:line="360" w:lineRule="exact"/>
        <w:ind w:firstLine="211" w:firstLineChars="100"/>
        <w:jc w:val="left"/>
        <w:rPr>
          <w:rFonts w:ascii="宋体" w:hAnsi="宋体" w:cs="宋体"/>
          <w:b/>
          <w:color w:val="000000" w:themeColor="text1"/>
          <w:szCs w:val="21"/>
          <w:highlight w:val="none"/>
          <w14:textFill>
            <w14:solidFill>
              <w14:schemeClr w14:val="tx1"/>
            </w14:solidFill>
          </w14:textFill>
        </w:rPr>
      </w:pPr>
    </w:p>
    <w:p w14:paraId="2EC9F4FE">
      <w:pPr>
        <w:snapToGrid w:val="0"/>
        <w:spacing w:line="360" w:lineRule="exact"/>
        <w:ind w:firstLine="211" w:firstLineChars="100"/>
        <w:jc w:val="left"/>
        <w:rPr>
          <w:rFonts w:ascii="宋体" w:hAnsi="宋体" w:cs="宋体"/>
          <w:b/>
          <w:color w:val="000000" w:themeColor="text1"/>
          <w:szCs w:val="21"/>
          <w:highlight w:val="none"/>
          <w14:textFill>
            <w14:solidFill>
              <w14:schemeClr w14:val="tx1"/>
            </w14:solidFill>
          </w14:textFill>
        </w:rPr>
      </w:pPr>
    </w:p>
    <w:p w14:paraId="0FF5D4DB">
      <w:pPr>
        <w:snapToGrid w:val="0"/>
        <w:spacing w:line="360" w:lineRule="exact"/>
        <w:ind w:firstLine="211"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法定代表人（负责人）授权委托书和委托代理人身份证复印件</w:t>
      </w:r>
      <w:r>
        <w:rPr>
          <w:rFonts w:hint="eastAsia" w:ascii="宋体" w:hAnsi="宋体" w:cs="宋体"/>
          <w:b/>
          <w:color w:val="000000" w:themeColor="text1"/>
          <w:szCs w:val="21"/>
          <w:highlight w:val="none"/>
          <w14:textFill>
            <w14:solidFill>
              <w14:schemeClr w14:val="tx1"/>
            </w14:solidFill>
          </w14:textFill>
        </w:rPr>
        <w:t>（委托代理时必须提供，格式见第六章）</w:t>
      </w:r>
      <w:r>
        <w:rPr>
          <w:rFonts w:hint="eastAsia" w:ascii="宋体" w:hAnsi="宋体" w:cs="宋体"/>
          <w:color w:val="000000" w:themeColor="text1"/>
          <w:szCs w:val="21"/>
          <w:highlight w:val="none"/>
          <w14:textFill>
            <w14:solidFill>
              <w14:schemeClr w14:val="tx1"/>
            </w14:solidFill>
          </w14:textFill>
        </w:rPr>
        <w:t>；法定代表人（负责人）参加投标时，提供法定代表人（负责人）身份证明书和身份证复印件</w:t>
      </w:r>
      <w:r>
        <w:rPr>
          <w:rFonts w:hint="eastAsia" w:ascii="宋体" w:hAnsi="宋体" w:cs="宋体"/>
          <w:b/>
          <w:color w:val="000000" w:themeColor="text1"/>
          <w:szCs w:val="21"/>
          <w:highlight w:val="none"/>
          <w14:textFill>
            <w14:solidFill>
              <w14:schemeClr w14:val="tx1"/>
            </w14:solidFill>
          </w14:textFill>
        </w:rPr>
        <w:t>（必须提供，格式见第六章）。</w:t>
      </w:r>
    </w:p>
    <w:p w14:paraId="5B8B8C58">
      <w:pPr>
        <w:snapToGrid w:val="0"/>
        <w:spacing w:before="156" w:beforeLines="50" w:after="50" w:line="3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法定代表人（负责人）授权委托书</w:t>
      </w:r>
    </w:p>
    <w:p w14:paraId="07D3FE00">
      <w:pPr>
        <w:snapToGrid w:val="0"/>
        <w:spacing w:before="156" w:beforeLines="50" w:after="50" w:line="34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北海市政府采购中心</w:t>
      </w:r>
      <w:r>
        <w:rPr>
          <w:rFonts w:hint="eastAsia" w:ascii="宋体" w:hAnsi="宋体" w:cs="宋体"/>
          <w:color w:val="000000" w:themeColor="text1"/>
          <w:szCs w:val="21"/>
          <w:highlight w:val="none"/>
          <w14:textFill>
            <w14:solidFill>
              <w14:schemeClr w14:val="tx1"/>
            </w14:solidFill>
          </w14:textFill>
        </w:rPr>
        <w:t>：</w:t>
      </w:r>
    </w:p>
    <w:p w14:paraId="30A75FEE">
      <w:pPr>
        <w:snapToGrid w:val="0"/>
        <w:spacing w:before="156" w:beforeLines="50" w:after="50" w:line="340" w:lineRule="exact"/>
        <w:ind w:firstLine="630" w:firstLineChars="3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姓名）系（投标人名称）的法定代表人（负责人），现授权委托本单位在职职工（姓名）以我方的名义参加项目的投标活动，并代表我方全权办理针对上述项目的投标、开标、评标、签约等具体事务和签署相关文件。</w:t>
      </w:r>
    </w:p>
    <w:p w14:paraId="64BC727B">
      <w:pPr>
        <w:snapToGrid w:val="0"/>
        <w:spacing w:before="156" w:beforeLines="50" w:after="50"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我方对被授权人的签名事项负全部责任。</w:t>
      </w:r>
    </w:p>
    <w:p w14:paraId="79B87E62">
      <w:pPr>
        <w:snapToGrid w:val="0"/>
        <w:spacing w:before="156" w:beforeLines="50" w:after="50" w:line="340" w:lineRule="exact"/>
        <w:ind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在撤销授权的书面通知以前，本授权书一直有效。</w:t>
      </w:r>
      <w:r>
        <w:rPr>
          <w:rFonts w:hint="eastAsia" w:ascii="宋体" w:hAnsi="宋体" w:cs="宋体"/>
          <w:color w:val="000000" w:themeColor="text1"/>
          <w:szCs w:val="21"/>
          <w:highlight w:val="none"/>
          <w14:textFill>
            <w14:solidFill>
              <w14:schemeClr w14:val="tx1"/>
            </w14:solidFill>
          </w14:textFill>
        </w:rPr>
        <w:t>被授权人在授权书有效期内签署的所有文件不因授权的撤销而失效。</w:t>
      </w:r>
    </w:p>
    <w:p w14:paraId="1296002B">
      <w:pPr>
        <w:snapToGrid w:val="0"/>
        <w:spacing w:before="156" w:beforeLines="50" w:after="50" w:line="340" w:lineRule="exact"/>
        <w:ind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被授权人无转委托权，特此委托。</w:t>
      </w:r>
    </w:p>
    <w:p w14:paraId="5FCE3B06">
      <w:pPr>
        <w:snapToGrid w:val="0"/>
        <w:spacing w:before="156" w:beforeLines="50" w:after="50" w:line="34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被授权人签名：法定代表人（负责人）签名：</w:t>
      </w:r>
    </w:p>
    <w:p w14:paraId="301C5622">
      <w:pPr>
        <w:snapToGrid w:val="0"/>
        <w:spacing w:before="156" w:beforeLines="50" w:after="50"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所在部门职务：职务：</w:t>
      </w:r>
    </w:p>
    <w:p w14:paraId="0D5DB11D">
      <w:pPr>
        <w:snapToGrid w:val="0"/>
        <w:spacing w:before="156" w:beforeLines="50" w:after="50"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被授权人身份证号码：</w:t>
      </w:r>
    </w:p>
    <w:p w14:paraId="744AAF6C">
      <w:pPr>
        <w:snapToGrid w:val="0"/>
        <w:spacing w:before="156" w:beforeLines="50" w:after="50"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贴附“委托代理人身份证复印件”（正反两面）</w:t>
      </w:r>
    </w:p>
    <w:p w14:paraId="2D0DF7D9">
      <w:pPr>
        <w:snapToGrid w:val="0"/>
        <w:spacing w:before="156" w:beforeLines="50" w:after="50" w:line="340" w:lineRule="exact"/>
        <w:ind w:firstLine="4620" w:firstLineChars="2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w:t>
      </w:r>
    </w:p>
    <w:p w14:paraId="240CCCA3">
      <w:pPr>
        <w:snapToGrid w:val="0"/>
        <w:spacing w:before="156" w:beforeLines="50" w:after="50"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年月日</w:t>
      </w:r>
    </w:p>
    <w:p w14:paraId="7749C95D">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bl>
      <w:tblPr>
        <w:tblStyle w:val="58"/>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7BD6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C3DE596">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贴附“身份证复印件”（正反两面）</w:t>
            </w:r>
          </w:p>
        </w:tc>
      </w:tr>
      <w:tr w14:paraId="7EC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124" w:type="dxa"/>
          </w:tcPr>
          <w:p w14:paraId="2FC80107">
            <w:pPr>
              <w:snapToGrid w:val="0"/>
              <w:spacing w:line="360" w:lineRule="exact"/>
              <w:rPr>
                <w:rFonts w:ascii="宋体" w:hAnsi="宋体" w:cs="宋体"/>
                <w:color w:val="000000" w:themeColor="text1"/>
                <w:szCs w:val="21"/>
                <w:highlight w:val="none"/>
                <w14:textFill>
                  <w14:solidFill>
                    <w14:schemeClr w14:val="tx1"/>
                  </w14:solidFill>
                </w14:textFill>
              </w:rPr>
            </w:pPr>
          </w:p>
          <w:p w14:paraId="3F0898EC">
            <w:pPr>
              <w:snapToGrid w:val="0"/>
              <w:spacing w:line="360" w:lineRule="exact"/>
              <w:rPr>
                <w:rFonts w:ascii="宋体" w:hAnsi="宋体" w:cs="宋体"/>
                <w:color w:val="000000" w:themeColor="text1"/>
                <w:szCs w:val="21"/>
                <w:highlight w:val="none"/>
                <w14:textFill>
                  <w14:solidFill>
                    <w14:schemeClr w14:val="tx1"/>
                  </w14:solidFill>
                </w14:textFill>
              </w:rPr>
            </w:pPr>
          </w:p>
          <w:p w14:paraId="5A9C2045">
            <w:pPr>
              <w:snapToGrid w:val="0"/>
              <w:spacing w:line="360" w:lineRule="exact"/>
              <w:rPr>
                <w:rFonts w:ascii="宋体" w:hAnsi="宋体" w:cs="宋体"/>
                <w:color w:val="000000" w:themeColor="text1"/>
                <w:szCs w:val="21"/>
                <w:highlight w:val="none"/>
                <w14:textFill>
                  <w14:solidFill>
                    <w14:schemeClr w14:val="tx1"/>
                  </w14:solidFill>
                </w14:textFill>
              </w:rPr>
            </w:pPr>
          </w:p>
        </w:tc>
      </w:tr>
    </w:tbl>
    <w:p w14:paraId="7C0846F0">
      <w:pPr>
        <w:snapToGrid w:val="0"/>
        <w:spacing w:before="156" w:beforeLines="50" w:after="50" w:line="600" w:lineRule="exact"/>
        <w:jc w:val="center"/>
        <w:rPr>
          <w:rFonts w:ascii="宋体" w:hAnsi="宋体" w:cs="宋体"/>
          <w:b/>
          <w:color w:val="000000" w:themeColor="text1"/>
          <w:sz w:val="30"/>
          <w:szCs w:val="30"/>
          <w:highlight w:val="none"/>
          <w14:textFill>
            <w14:solidFill>
              <w14:schemeClr w14:val="tx1"/>
            </w14:solidFill>
          </w14:textFill>
        </w:rPr>
      </w:pPr>
    </w:p>
    <w:p w14:paraId="39FFF300">
      <w:pPr>
        <w:snapToGrid w:val="0"/>
        <w:spacing w:before="156" w:beforeLines="50" w:after="50" w:line="600" w:lineRule="exact"/>
        <w:jc w:val="center"/>
        <w:rPr>
          <w:rFonts w:ascii="宋体" w:hAnsi="宋体" w:cs="宋体"/>
          <w:b/>
          <w:color w:val="000000" w:themeColor="text1"/>
          <w:sz w:val="30"/>
          <w:szCs w:val="30"/>
          <w:highlight w:val="none"/>
          <w14:textFill>
            <w14:solidFill>
              <w14:schemeClr w14:val="tx1"/>
            </w14:solidFill>
          </w14:textFill>
        </w:rPr>
      </w:pPr>
    </w:p>
    <w:p w14:paraId="3CB72F98">
      <w:pPr>
        <w:snapToGrid w:val="0"/>
        <w:spacing w:before="156" w:beforeLines="50" w:after="50" w:line="600" w:lineRule="exact"/>
        <w:jc w:val="center"/>
        <w:rPr>
          <w:rFonts w:ascii="宋体" w:hAnsi="宋体" w:cs="宋体"/>
          <w:b/>
          <w:color w:val="000000" w:themeColor="text1"/>
          <w:sz w:val="30"/>
          <w:szCs w:val="30"/>
          <w:highlight w:val="none"/>
          <w14:textFill>
            <w14:solidFill>
              <w14:schemeClr w14:val="tx1"/>
            </w14:solidFill>
          </w14:textFill>
        </w:rPr>
      </w:pPr>
    </w:p>
    <w:p w14:paraId="258A7E45">
      <w:pPr>
        <w:snapToGrid w:val="0"/>
        <w:spacing w:before="156" w:beforeLines="50" w:after="50" w:line="600" w:lineRule="exact"/>
        <w:jc w:val="center"/>
        <w:rPr>
          <w:rFonts w:ascii="宋体" w:hAnsi="宋体" w:cs="宋体"/>
          <w:b/>
          <w:color w:val="000000" w:themeColor="text1"/>
          <w:sz w:val="30"/>
          <w:szCs w:val="30"/>
          <w:highlight w:val="none"/>
          <w14:textFill>
            <w14:solidFill>
              <w14:schemeClr w14:val="tx1"/>
            </w14:solidFill>
          </w14:textFill>
        </w:rPr>
      </w:pPr>
    </w:p>
    <w:p w14:paraId="45525135">
      <w:pPr>
        <w:snapToGrid w:val="0"/>
        <w:spacing w:before="156" w:beforeLines="50" w:after="50" w:line="60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w:t>
      </w:r>
      <w:r>
        <w:rPr>
          <w:rFonts w:hint="eastAsia" w:ascii="宋体" w:hAnsi="宋体" w:cs="宋体"/>
          <w:b/>
          <w:color w:val="000000" w:themeColor="text1"/>
          <w:sz w:val="32"/>
          <w:szCs w:val="32"/>
          <w:highlight w:val="none"/>
          <w14:textFill>
            <w14:solidFill>
              <w14:schemeClr w14:val="tx1"/>
            </w14:solidFill>
          </w14:textFill>
        </w:rPr>
        <w:t>（负责人）</w:t>
      </w:r>
      <w:r>
        <w:rPr>
          <w:rFonts w:hint="eastAsia" w:ascii="宋体" w:hAnsi="宋体" w:cs="宋体"/>
          <w:b/>
          <w:color w:val="000000" w:themeColor="text1"/>
          <w:sz w:val="30"/>
          <w:szCs w:val="30"/>
          <w:highlight w:val="none"/>
          <w14:textFill>
            <w14:solidFill>
              <w14:schemeClr w14:val="tx1"/>
            </w14:solidFill>
          </w14:textFill>
        </w:rPr>
        <w:t>身份证明书</w:t>
      </w:r>
    </w:p>
    <w:p w14:paraId="0C5221A5">
      <w:pPr>
        <w:adjustRightInd w:val="0"/>
        <w:snapToGrid w:val="0"/>
        <w:spacing w:line="276" w:lineRule="auto"/>
        <w:ind w:firstLine="960" w:firstLineChars="400"/>
        <w:rPr>
          <w:rFonts w:ascii="宋体" w:hAnsi="宋体" w:cs="宋体"/>
          <w:color w:val="000000" w:themeColor="text1"/>
          <w:sz w:val="24"/>
          <w:highlight w:val="none"/>
          <w:u w:val="single"/>
          <w14:textFill>
            <w14:solidFill>
              <w14:schemeClr w14:val="tx1"/>
            </w14:solidFill>
          </w14:textFill>
        </w:rPr>
      </w:pPr>
    </w:p>
    <w:p w14:paraId="556F9391">
      <w:pPr>
        <w:adjustRightInd w:val="0"/>
        <w:snapToGrid w:val="0"/>
        <w:spacing w:line="720" w:lineRule="exact"/>
        <w:ind w:firstLine="840" w:firstLineChars="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在我任职务，是我公司的法定代表人。</w:t>
      </w:r>
    </w:p>
    <w:p w14:paraId="21396709">
      <w:pPr>
        <w:adjustRightInd w:val="0"/>
        <w:snapToGrid w:val="0"/>
        <w:spacing w:line="720" w:lineRule="exact"/>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052A98DA">
      <w:pPr>
        <w:adjustRightInd w:val="0"/>
        <w:snapToGrid w:val="0"/>
        <w:spacing w:line="276" w:lineRule="auto"/>
        <w:rPr>
          <w:rFonts w:ascii="宋体" w:hAnsi="宋体" w:cs="宋体"/>
          <w:color w:val="000000" w:themeColor="text1"/>
          <w:szCs w:val="21"/>
          <w:highlight w:val="none"/>
          <w14:textFill>
            <w14:solidFill>
              <w14:schemeClr w14:val="tx1"/>
            </w14:solidFill>
          </w14:textFill>
        </w:rPr>
      </w:pPr>
    </w:p>
    <w:p w14:paraId="278021E3">
      <w:pPr>
        <w:adjustRightInd w:val="0"/>
        <w:snapToGrid w:val="0"/>
        <w:spacing w:line="276" w:lineRule="auto"/>
        <w:rPr>
          <w:rFonts w:ascii="宋体" w:hAnsi="宋体" w:cs="宋体"/>
          <w:color w:val="000000" w:themeColor="text1"/>
          <w:szCs w:val="21"/>
          <w:highlight w:val="none"/>
          <w14:textFill>
            <w14:solidFill>
              <w14:schemeClr w14:val="tx1"/>
            </w14:solidFill>
          </w14:textFill>
        </w:rPr>
      </w:pPr>
    </w:p>
    <w:p w14:paraId="67BC4E94">
      <w:pPr>
        <w:adjustRightInd w:val="0"/>
        <w:snapToGrid w:val="0"/>
        <w:spacing w:line="276" w:lineRule="auto"/>
        <w:ind w:firstLine="2940" w:firstLineChars="14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p>
    <w:p w14:paraId="5854CAF6">
      <w:pPr>
        <w:adjustRightInd w:val="0"/>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（单位公章）</w:t>
      </w:r>
    </w:p>
    <w:p w14:paraId="53C3E704">
      <w:pPr>
        <w:adjustRightInd w:val="0"/>
        <w:snapToGrid w:val="0"/>
        <w:spacing w:line="276" w:lineRule="auto"/>
        <w:rPr>
          <w:rFonts w:ascii="宋体" w:hAnsi="宋体" w:cs="宋体"/>
          <w:color w:val="000000" w:themeColor="text1"/>
          <w:szCs w:val="21"/>
          <w:highlight w:val="none"/>
          <w14:textFill>
            <w14:solidFill>
              <w14:schemeClr w14:val="tx1"/>
            </w14:solidFill>
          </w14:textFill>
        </w:rPr>
      </w:pPr>
    </w:p>
    <w:p w14:paraId="5F5F023E">
      <w:pPr>
        <w:adjustRightInd w:val="0"/>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年月日</w:t>
      </w:r>
    </w:p>
    <w:p w14:paraId="204D63B5">
      <w:pPr>
        <w:adjustRightInd w:val="0"/>
        <w:snapToGrid w:val="0"/>
        <w:spacing w:line="276" w:lineRule="auto"/>
        <w:rPr>
          <w:rFonts w:ascii="宋体" w:hAnsi="宋体" w:cs="宋体"/>
          <w:color w:val="000000" w:themeColor="text1"/>
          <w:szCs w:val="21"/>
          <w:highlight w:val="none"/>
          <w14:textFill>
            <w14:solidFill>
              <w14:schemeClr w14:val="tx1"/>
            </w14:solidFill>
          </w14:textFill>
        </w:rPr>
      </w:pPr>
    </w:p>
    <w:p w14:paraId="1418CDAB">
      <w:pPr>
        <w:adjustRightInd w:val="0"/>
        <w:snapToGrid w:val="0"/>
        <w:spacing w:line="276" w:lineRule="auto"/>
        <w:ind w:firstLine="315" w:firstLineChars="150"/>
        <w:rPr>
          <w:rFonts w:ascii="宋体" w:hAnsi="宋体" w:cs="宋体"/>
          <w:color w:val="000000" w:themeColor="text1"/>
          <w:szCs w:val="21"/>
          <w:highlight w:val="none"/>
          <w14:textFill>
            <w14:solidFill>
              <w14:schemeClr w14:val="tx1"/>
            </w14:solidFill>
          </w14:textFill>
        </w:rPr>
      </w:pPr>
    </w:p>
    <w:p w14:paraId="76723AFD">
      <w:pPr>
        <w:adjustRightInd w:val="0"/>
        <w:snapToGrid w:val="0"/>
        <w:spacing w:line="276"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住址：</w:t>
      </w:r>
    </w:p>
    <w:p w14:paraId="773A7326">
      <w:pPr>
        <w:adjustRightInd w:val="0"/>
        <w:snapToGrid w:val="0"/>
        <w:spacing w:line="276" w:lineRule="auto"/>
        <w:ind w:firstLine="315" w:firstLineChars="150"/>
        <w:rPr>
          <w:rFonts w:ascii="宋体" w:hAnsi="宋体" w:cs="宋体"/>
          <w:color w:val="000000" w:themeColor="text1"/>
          <w:szCs w:val="21"/>
          <w:highlight w:val="none"/>
          <w14:textFill>
            <w14:solidFill>
              <w14:schemeClr w14:val="tx1"/>
            </w14:solidFill>
          </w14:textFill>
        </w:rPr>
      </w:pPr>
    </w:p>
    <w:p w14:paraId="69093BDD">
      <w:pPr>
        <w:pStyle w:val="29"/>
        <w:adjustRightInd w:val="0"/>
        <w:snapToGrid w:val="0"/>
        <w:spacing w:line="276" w:lineRule="auto"/>
        <w:ind w:firstLine="315" w:firstLineChars="15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联系电话：</w:t>
      </w:r>
    </w:p>
    <w:p w14:paraId="51C80ACD">
      <w:pPr>
        <w:pStyle w:val="29"/>
        <w:adjustRightInd w:val="0"/>
        <w:snapToGrid w:val="0"/>
        <w:spacing w:line="276" w:lineRule="auto"/>
        <w:ind w:firstLine="315" w:firstLineChars="150"/>
        <w:rPr>
          <w:rFonts w:hAnsi="宋体" w:cs="宋体"/>
          <w:color w:val="000000" w:themeColor="text1"/>
          <w:sz w:val="21"/>
          <w:highlight w:val="none"/>
          <w14:textFill>
            <w14:solidFill>
              <w14:schemeClr w14:val="tx1"/>
            </w14:solidFill>
          </w14:textFill>
        </w:rPr>
      </w:pPr>
    </w:p>
    <w:tbl>
      <w:tblPr>
        <w:tblStyle w:val="58"/>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01C1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6BC3D39D">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贴附“身份证复印件”（正反两面）</w:t>
            </w:r>
          </w:p>
        </w:tc>
      </w:tr>
      <w:tr w14:paraId="5213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124" w:type="dxa"/>
          </w:tcPr>
          <w:p w14:paraId="03D4E1CB">
            <w:pPr>
              <w:snapToGrid w:val="0"/>
              <w:spacing w:line="360" w:lineRule="exact"/>
              <w:rPr>
                <w:rFonts w:ascii="宋体" w:hAnsi="宋体" w:cs="宋体"/>
                <w:color w:val="000000" w:themeColor="text1"/>
                <w:szCs w:val="21"/>
                <w:highlight w:val="none"/>
                <w14:textFill>
                  <w14:solidFill>
                    <w14:schemeClr w14:val="tx1"/>
                  </w14:solidFill>
                </w14:textFill>
              </w:rPr>
            </w:pPr>
          </w:p>
          <w:p w14:paraId="231A3D2D">
            <w:pPr>
              <w:snapToGrid w:val="0"/>
              <w:spacing w:line="360" w:lineRule="exact"/>
              <w:rPr>
                <w:rFonts w:ascii="宋体" w:hAnsi="宋体" w:cs="宋体"/>
                <w:color w:val="000000" w:themeColor="text1"/>
                <w:szCs w:val="21"/>
                <w:highlight w:val="none"/>
                <w14:textFill>
                  <w14:solidFill>
                    <w14:schemeClr w14:val="tx1"/>
                  </w14:solidFill>
                </w14:textFill>
              </w:rPr>
            </w:pPr>
          </w:p>
          <w:p w14:paraId="7CCF0DDB">
            <w:pPr>
              <w:snapToGrid w:val="0"/>
              <w:spacing w:line="360" w:lineRule="exact"/>
              <w:rPr>
                <w:rFonts w:ascii="宋体" w:hAnsi="宋体" w:cs="宋体"/>
                <w:color w:val="000000" w:themeColor="text1"/>
                <w:szCs w:val="21"/>
                <w:highlight w:val="none"/>
                <w14:textFill>
                  <w14:solidFill>
                    <w14:schemeClr w14:val="tx1"/>
                  </w14:solidFill>
                </w14:textFill>
              </w:rPr>
            </w:pPr>
          </w:p>
        </w:tc>
      </w:tr>
    </w:tbl>
    <w:p w14:paraId="6EB43742">
      <w:pPr>
        <w:snapToGrid w:val="0"/>
        <w:spacing w:before="156" w:beforeLines="50" w:after="50" w:line="360" w:lineRule="exact"/>
        <w:jc w:val="center"/>
        <w:rPr>
          <w:rFonts w:ascii="宋体" w:hAnsi="宋体" w:cs="宋体"/>
          <w:bCs/>
          <w:color w:val="000000" w:themeColor="text1"/>
          <w:sz w:val="24"/>
          <w:highlight w:val="none"/>
          <w14:textFill>
            <w14:solidFill>
              <w14:schemeClr w14:val="tx1"/>
            </w14:solidFill>
          </w14:textFill>
        </w:rPr>
      </w:pPr>
    </w:p>
    <w:p w14:paraId="31CEB4C7">
      <w:pPr>
        <w:snapToGrid w:val="0"/>
        <w:spacing w:before="50" w:line="3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商务响应表格式：</w:t>
      </w:r>
    </w:p>
    <w:p w14:paraId="2A0C1CCA">
      <w:pPr>
        <w:snapToGrid w:val="0"/>
        <w:spacing w:before="50" w:line="360" w:lineRule="exact"/>
        <w:jc w:val="left"/>
        <w:rPr>
          <w:rFonts w:ascii="宋体" w:hAnsi="宋体" w:cs="宋体"/>
          <w:b/>
          <w:color w:val="000000" w:themeColor="text1"/>
          <w:szCs w:val="21"/>
          <w:highlight w:val="none"/>
          <w14:textFill>
            <w14:solidFill>
              <w14:schemeClr w14:val="tx1"/>
            </w14:solidFill>
          </w14:textFill>
        </w:rPr>
      </w:pPr>
    </w:p>
    <w:p w14:paraId="5819973B">
      <w:pPr>
        <w:snapToGrid w:val="0"/>
        <w:spacing w:before="50"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商务响应表</w:t>
      </w:r>
    </w:p>
    <w:p w14:paraId="539FCB45">
      <w:pPr>
        <w:snapToGrid w:val="0"/>
        <w:spacing w:before="50" w:line="360" w:lineRule="exact"/>
        <w:jc w:val="center"/>
        <w:rPr>
          <w:rFonts w:hint="eastAsia" w:ascii="宋体" w:hAnsi="宋体" w:cs="宋体"/>
          <w:b/>
          <w:color w:val="000000" w:themeColor="text1"/>
          <w:szCs w:val="21"/>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51E9B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3E23AFF2">
            <w:pPr>
              <w:snapToGrid w:val="0"/>
              <w:spacing w:before="156" w:beforeLines="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3600" w:type="dxa"/>
            <w:tcBorders>
              <w:top w:val="single" w:color="auto" w:sz="4" w:space="0"/>
              <w:left w:val="single" w:color="auto" w:sz="4" w:space="0"/>
              <w:bottom w:val="single" w:color="auto" w:sz="4" w:space="0"/>
              <w:right w:val="single" w:color="auto" w:sz="4" w:space="0"/>
            </w:tcBorders>
          </w:tcPr>
          <w:p w14:paraId="3A69D84B">
            <w:pPr>
              <w:snapToGrid w:val="0"/>
              <w:spacing w:before="156" w:beforeLines="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招标文件要求</w:t>
            </w:r>
          </w:p>
        </w:tc>
        <w:tc>
          <w:tcPr>
            <w:tcW w:w="1440" w:type="dxa"/>
            <w:tcBorders>
              <w:top w:val="single" w:color="auto" w:sz="4" w:space="0"/>
              <w:left w:val="single" w:color="auto" w:sz="4" w:space="0"/>
              <w:bottom w:val="single" w:color="auto" w:sz="4" w:space="0"/>
              <w:right w:val="single" w:color="auto" w:sz="4" w:space="0"/>
            </w:tcBorders>
          </w:tcPr>
          <w:p w14:paraId="2C6C1202">
            <w:pPr>
              <w:snapToGrid w:val="0"/>
              <w:spacing w:before="156" w:beforeLines="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是否响应</w:t>
            </w:r>
          </w:p>
        </w:tc>
        <w:tc>
          <w:tcPr>
            <w:tcW w:w="2880" w:type="dxa"/>
            <w:tcBorders>
              <w:top w:val="single" w:color="auto" w:sz="4" w:space="0"/>
              <w:left w:val="single" w:color="auto" w:sz="4" w:space="0"/>
              <w:bottom w:val="single" w:color="auto" w:sz="4" w:space="0"/>
              <w:right w:val="single" w:color="auto" w:sz="4" w:space="0"/>
            </w:tcBorders>
          </w:tcPr>
          <w:p w14:paraId="6B0D617C">
            <w:pPr>
              <w:snapToGrid w:val="0"/>
              <w:spacing w:before="156" w:beforeLines="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53D56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14:paraId="701B2C2B">
            <w:pPr>
              <w:snapToGrid w:val="0"/>
              <w:spacing w:before="156" w:beforeLine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3600" w:type="dxa"/>
            <w:tcBorders>
              <w:top w:val="single" w:color="auto" w:sz="4" w:space="0"/>
              <w:left w:val="single" w:color="auto" w:sz="4" w:space="0"/>
              <w:bottom w:val="single" w:color="auto" w:sz="4" w:space="0"/>
              <w:right w:val="single" w:color="auto" w:sz="4" w:space="0"/>
            </w:tcBorders>
          </w:tcPr>
          <w:p w14:paraId="3CA507E7">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565A14">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5268E999">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r>
      <w:tr w14:paraId="1131A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14:paraId="55A0E3BC">
            <w:pPr>
              <w:snapToGrid w:val="0"/>
              <w:spacing w:before="156" w:beforeLine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w:t>
            </w:r>
          </w:p>
        </w:tc>
        <w:tc>
          <w:tcPr>
            <w:tcW w:w="3600" w:type="dxa"/>
            <w:tcBorders>
              <w:top w:val="single" w:color="auto" w:sz="4" w:space="0"/>
              <w:left w:val="single" w:color="auto" w:sz="4" w:space="0"/>
              <w:bottom w:val="single" w:color="auto" w:sz="4" w:space="0"/>
              <w:right w:val="single" w:color="auto" w:sz="4" w:space="0"/>
            </w:tcBorders>
          </w:tcPr>
          <w:p w14:paraId="0DEE2948">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D336BA">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29E9BE3D">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r>
      <w:tr w14:paraId="3903E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vAlign w:val="center"/>
          </w:tcPr>
          <w:p w14:paraId="6A91408F">
            <w:pPr>
              <w:snapToGrid w:val="0"/>
              <w:spacing w:before="156" w:beforeLine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服务开始时间及地点</w:t>
            </w:r>
          </w:p>
        </w:tc>
        <w:tc>
          <w:tcPr>
            <w:tcW w:w="3600" w:type="dxa"/>
            <w:tcBorders>
              <w:top w:val="single" w:color="auto" w:sz="4" w:space="0"/>
              <w:left w:val="single" w:color="auto" w:sz="4" w:space="0"/>
              <w:bottom w:val="single" w:color="auto" w:sz="4" w:space="0"/>
              <w:right w:val="single" w:color="auto" w:sz="4" w:space="0"/>
            </w:tcBorders>
          </w:tcPr>
          <w:p w14:paraId="4BA3C3FF">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6EC53B2">
            <w:pPr>
              <w:snapToGrid w:val="0"/>
              <w:spacing w:before="156" w:beforeLines="50" w:line="360" w:lineRule="exact"/>
              <w:ind w:left="43"/>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41BDEB46">
            <w:pPr>
              <w:snapToGrid w:val="0"/>
              <w:spacing w:before="156" w:beforeLines="50" w:line="360" w:lineRule="exact"/>
              <w:ind w:left="43"/>
              <w:rPr>
                <w:rFonts w:ascii="宋体" w:hAnsi="宋体" w:cs="宋体"/>
                <w:color w:val="000000" w:themeColor="text1"/>
                <w:szCs w:val="21"/>
                <w:highlight w:val="none"/>
                <w14:textFill>
                  <w14:solidFill>
                    <w14:schemeClr w14:val="tx1"/>
                  </w14:solidFill>
                </w14:textFill>
              </w:rPr>
            </w:pPr>
          </w:p>
        </w:tc>
      </w:tr>
      <w:tr w14:paraId="10BF2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5573C8D2">
            <w:pPr>
              <w:snapToGrid w:val="0"/>
              <w:spacing w:before="156" w:beforeLine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付款条件</w:t>
            </w:r>
          </w:p>
        </w:tc>
        <w:tc>
          <w:tcPr>
            <w:tcW w:w="3600" w:type="dxa"/>
            <w:tcBorders>
              <w:top w:val="single" w:color="auto" w:sz="4" w:space="0"/>
              <w:left w:val="single" w:color="auto" w:sz="4" w:space="0"/>
              <w:bottom w:val="single" w:color="auto" w:sz="4" w:space="0"/>
              <w:right w:val="single" w:color="auto" w:sz="4" w:space="0"/>
            </w:tcBorders>
          </w:tcPr>
          <w:p w14:paraId="54A08700">
            <w:pPr>
              <w:snapToGrid w:val="0"/>
              <w:spacing w:before="156" w:beforeLines="50" w:line="360" w:lineRule="exact"/>
              <w:ind w:left="105" w:hanging="105" w:hangingChars="50"/>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4AD30EB">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66FE6E78">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r>
      <w:tr w14:paraId="2F133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14:paraId="540EC724">
            <w:pPr>
              <w:snapToGrid w:val="0"/>
              <w:spacing w:before="156" w:beforeLines="50"/>
              <w:jc w:val="center"/>
              <w:rPr>
                <w:rFonts w:ascii="宋体" w:hAnsi="宋体" w:cs="宋体"/>
                <w:color w:val="000000" w:themeColor="text1"/>
                <w:szCs w:val="21"/>
                <w:highlight w:val="none"/>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14:paraId="08AEB969">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A7CC12B">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5BC17F1B">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r>
      <w:tr w14:paraId="0FE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03C0E4F6">
            <w:pPr>
              <w:snapToGrid w:val="0"/>
              <w:spacing w:before="156" w:beforeLines="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tcPr>
          <w:p w14:paraId="78470EA3">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D5A0139">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145D29EC">
            <w:pPr>
              <w:snapToGrid w:val="0"/>
              <w:spacing w:before="156" w:beforeLines="50" w:line="360" w:lineRule="exact"/>
              <w:rPr>
                <w:rFonts w:ascii="宋体" w:hAnsi="宋体" w:cs="宋体"/>
                <w:color w:val="000000" w:themeColor="text1"/>
                <w:szCs w:val="21"/>
                <w:highlight w:val="none"/>
                <w14:textFill>
                  <w14:solidFill>
                    <w14:schemeClr w14:val="tx1"/>
                  </w14:solidFill>
                </w14:textFill>
              </w:rPr>
            </w:pPr>
          </w:p>
        </w:tc>
      </w:tr>
    </w:tbl>
    <w:p w14:paraId="49EBEC65">
      <w:pPr>
        <w:snapToGrid w:val="0"/>
        <w:spacing w:before="50" w:after="50" w:line="360" w:lineRule="exact"/>
        <w:rPr>
          <w:rFonts w:ascii="宋体" w:hAnsi="宋体" w:cs="宋体"/>
          <w:color w:val="000000" w:themeColor="text1"/>
          <w:spacing w:val="20"/>
          <w:szCs w:val="21"/>
          <w:highlight w:val="none"/>
          <w14:textFill>
            <w14:solidFill>
              <w14:schemeClr w14:val="tx1"/>
            </w14:solidFill>
          </w14:textFill>
        </w:rPr>
      </w:pPr>
    </w:p>
    <w:p w14:paraId="2E0A5BE3">
      <w:pPr>
        <w:snapToGrid w:val="0"/>
        <w:spacing w:before="50" w:after="50" w:line="360" w:lineRule="exact"/>
        <w:ind w:firstLine="210" w:firstLineChars="100"/>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法定代表人（负责人）或委托代理人签名</w:t>
      </w:r>
      <w:r>
        <w:rPr>
          <w:rFonts w:hint="eastAsia" w:ascii="宋体" w:hAnsi="宋体" w:cs="宋体"/>
          <w:color w:val="000000" w:themeColor="text1"/>
          <w:spacing w:val="20"/>
          <w:szCs w:val="21"/>
          <w:highlight w:val="none"/>
          <w14:textFill>
            <w14:solidFill>
              <w14:schemeClr w14:val="tx1"/>
            </w14:solidFill>
          </w14:textFill>
        </w:rPr>
        <w:t>：</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37CF81FF">
      <w:pPr>
        <w:snapToGrid w:val="0"/>
        <w:spacing w:line="360" w:lineRule="exact"/>
        <w:ind w:firstLine="245" w:firstLineChars="98"/>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投标人盖章：</w:t>
      </w:r>
      <w:r>
        <w:rPr>
          <w:rFonts w:hint="eastAsia" w:ascii="宋体" w:hAnsi="宋体" w:cs="宋体"/>
          <w:color w:val="000000" w:themeColor="text1"/>
          <w:spacing w:val="20"/>
          <w:szCs w:val="21"/>
          <w:highlight w:val="none"/>
          <w:u w:val="single"/>
          <w14:textFill>
            <w14:solidFill>
              <w14:schemeClr w14:val="tx1"/>
            </w14:solidFill>
          </w14:textFill>
        </w:rPr>
        <w:t xml:space="preserve">            </w:t>
      </w:r>
      <w:r>
        <w:rPr>
          <w:rFonts w:hint="eastAsia" w:ascii="宋体" w:hAnsi="宋体" w:cs="宋体"/>
          <w:color w:val="000000" w:themeColor="text1"/>
          <w:spacing w:val="20"/>
          <w:szCs w:val="21"/>
          <w:highlight w:val="none"/>
          <w14:textFill>
            <w14:solidFill>
              <w14:schemeClr w14:val="tx1"/>
            </w14:solidFill>
          </w14:textFill>
        </w:rPr>
        <w:t xml:space="preserve">              日 期：</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683E7A98">
      <w:pPr>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46D1A797">
      <w:pPr>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（4）劳务派遣服务许可证；</w:t>
      </w:r>
    </w:p>
    <w:p w14:paraId="34A188C3">
      <w:pPr>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（5）质量管理体系认证证书；</w:t>
      </w:r>
    </w:p>
    <w:p w14:paraId="21F9BF2F">
      <w:pPr>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（6）环境管理体系认证证书；</w:t>
      </w:r>
    </w:p>
    <w:p w14:paraId="74780AAA">
      <w:pPr>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（7）职业健康安全管理体系认证证书；</w:t>
      </w:r>
    </w:p>
    <w:p w14:paraId="4345C9DC">
      <w:pPr>
        <w:snapToGrid w:val="0"/>
        <w:spacing w:line="360" w:lineRule="exact"/>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（8）投标人2018年以来同类项目业绩【以中标通知或合同为准】复印件；</w:t>
      </w:r>
    </w:p>
    <w:p w14:paraId="1E862777">
      <w:pPr>
        <w:pStyle w:val="40"/>
        <w:snapToGrid w:val="0"/>
        <w:spacing w:line="260" w:lineRule="exact"/>
        <w:ind w:left="97" w:leftChars="46" w:firstLine="1050" w:firstLineChars="500"/>
        <w:rPr>
          <w:rFonts w:ascii="宋体" w:hAnsi="宋体" w:cs="宋体"/>
          <w:color w:val="000000" w:themeColor="text1"/>
          <w:sz w:val="21"/>
          <w:szCs w:val="21"/>
          <w:highlight w:val="none"/>
          <w14:textFill>
            <w14:solidFill>
              <w14:schemeClr w14:val="tx1"/>
            </w14:solidFill>
          </w14:textFill>
        </w:rPr>
      </w:pPr>
    </w:p>
    <w:p w14:paraId="5FDE7157">
      <w:pPr>
        <w:pStyle w:val="40"/>
        <w:snapToGrid w:val="0"/>
        <w:spacing w:line="260" w:lineRule="exact"/>
        <w:ind w:left="420" w:leftChars="200" w:firstLine="1050" w:firstLineChars="5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投标人同类项目实施情况一览表格式：（投标人同类项目的中标通知书或合同复印件） </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760"/>
      </w:tblGrid>
      <w:tr w14:paraId="69EA2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AF214E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36F4721">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54602487">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1D9D4AF">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25D744B">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合同金额（万元）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613881AF">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附件页码</w:t>
            </w:r>
          </w:p>
        </w:tc>
        <w:tc>
          <w:tcPr>
            <w:tcW w:w="1760" w:type="dxa"/>
            <w:vMerge w:val="restart"/>
            <w:tcBorders>
              <w:top w:val="single" w:color="auto" w:sz="4" w:space="0"/>
              <w:left w:val="single" w:color="auto" w:sz="4" w:space="0"/>
              <w:bottom w:val="single" w:color="auto" w:sz="4" w:space="0"/>
              <w:right w:val="single" w:color="auto" w:sz="4" w:space="0"/>
            </w:tcBorders>
            <w:vAlign w:val="center"/>
          </w:tcPr>
          <w:p w14:paraId="11205AAB">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采购单位联系人及</w:t>
            </w:r>
          </w:p>
          <w:p w14:paraId="69B3B060">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r>
      <w:tr w14:paraId="7919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08B524">
            <w:pPr>
              <w:widowControl/>
              <w:spacing w:line="360" w:lineRule="exact"/>
              <w:jc w:val="left"/>
              <w:rPr>
                <w:rFonts w:ascii="宋体" w:hAnsi="宋体" w:cs="宋体"/>
                <w:color w:val="000000" w:themeColor="text1"/>
                <w:szCs w:val="21"/>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39F6D56">
            <w:pPr>
              <w:widowControl/>
              <w:spacing w:line="360" w:lineRule="exact"/>
              <w:jc w:val="left"/>
              <w:rPr>
                <w:rFonts w:ascii="宋体" w:hAnsi="宋体" w:cs="宋体"/>
                <w:color w:val="000000" w:themeColor="text1"/>
                <w:szCs w:val="21"/>
                <w:highlight w:val="none"/>
                <w14:textFill>
                  <w14:solidFill>
                    <w14:schemeClr w14:val="tx1"/>
                  </w14:solidFill>
                </w14:textFill>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76F7CB7">
            <w:pPr>
              <w:widowControl/>
              <w:spacing w:line="360" w:lineRule="exact"/>
              <w:jc w:val="left"/>
              <w:rPr>
                <w:rFonts w:ascii="宋体" w:hAnsi="宋体" w:cs="宋体"/>
                <w:color w:val="000000" w:themeColor="text1"/>
                <w:szCs w:val="21"/>
                <w:highlight w:val="none"/>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587F62D">
            <w:pPr>
              <w:widowControl/>
              <w:spacing w:line="360" w:lineRule="exact"/>
              <w:jc w:val="left"/>
              <w:rPr>
                <w:rFonts w:ascii="宋体" w:hAnsi="宋体" w:cs="宋体"/>
                <w:color w:val="000000" w:themeColor="text1"/>
                <w:szCs w:val="21"/>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E577470">
            <w:pPr>
              <w:widowControl/>
              <w:spacing w:line="360" w:lineRule="exact"/>
              <w:jc w:val="left"/>
              <w:rPr>
                <w:rFonts w:ascii="宋体" w:hAnsi="宋体" w:cs="宋体"/>
                <w:color w:val="000000" w:themeColor="text1"/>
                <w:szCs w:val="2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vAlign w:val="center"/>
          </w:tcPr>
          <w:p w14:paraId="004FFA71">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6BB9E85A">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14:paraId="59087F12">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用户评价</w:t>
            </w: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087749ED">
            <w:pPr>
              <w:widowControl/>
              <w:spacing w:line="360" w:lineRule="exact"/>
              <w:jc w:val="left"/>
              <w:rPr>
                <w:rFonts w:ascii="宋体" w:hAnsi="宋体" w:cs="宋体"/>
                <w:color w:val="000000" w:themeColor="text1"/>
                <w:szCs w:val="21"/>
                <w:highlight w:val="none"/>
                <w14:textFill>
                  <w14:solidFill>
                    <w14:schemeClr w14:val="tx1"/>
                  </w14:solidFill>
                </w14:textFill>
              </w:rPr>
            </w:pPr>
          </w:p>
        </w:tc>
      </w:tr>
      <w:tr w14:paraId="37A3D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tcPr>
          <w:p w14:paraId="61F81FEC">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35E2DA24">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4591139">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B95A622">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5367D692">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46011527">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D88DC7B">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EAF0FC7">
            <w:pPr>
              <w:snapToGrid w:val="0"/>
              <w:spacing w:line="360" w:lineRule="exact"/>
              <w:jc w:val="left"/>
              <w:rPr>
                <w:rFonts w:ascii="宋体" w:hAnsi="宋体" w:cs="宋体"/>
                <w:color w:val="000000" w:themeColor="text1"/>
                <w:szCs w:val="21"/>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3AD73591">
            <w:pPr>
              <w:snapToGrid w:val="0"/>
              <w:spacing w:line="360" w:lineRule="exact"/>
              <w:jc w:val="left"/>
              <w:rPr>
                <w:rFonts w:ascii="宋体" w:hAnsi="宋体" w:cs="宋体"/>
                <w:color w:val="000000" w:themeColor="text1"/>
                <w:szCs w:val="21"/>
                <w:highlight w:val="none"/>
                <w14:textFill>
                  <w14:solidFill>
                    <w14:schemeClr w14:val="tx1"/>
                  </w14:solidFill>
                </w14:textFill>
              </w:rPr>
            </w:pPr>
          </w:p>
        </w:tc>
      </w:tr>
      <w:tr w14:paraId="259CF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2524114D">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78183EAE">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D7DA683">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91B2F4F">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7C97E4D8">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3620029B">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B50CCF7">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70E25A3">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592A7BB1">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r>
      <w:tr w14:paraId="16BBC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tcPr>
          <w:p w14:paraId="79FF9FD7">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5FFA622B">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53DC2EEA">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4898D3E">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69B6DCAC">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21430F4F">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E2A5BFC">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B95A86D">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22C57DCB">
            <w:pPr>
              <w:snapToGrid w:val="0"/>
              <w:spacing w:before="50" w:after="156" w:afterLines="50" w:line="360" w:lineRule="exact"/>
              <w:jc w:val="left"/>
              <w:rPr>
                <w:rFonts w:ascii="宋体" w:hAnsi="宋体" w:cs="宋体"/>
                <w:color w:val="000000" w:themeColor="text1"/>
                <w:szCs w:val="21"/>
                <w:highlight w:val="none"/>
                <w14:textFill>
                  <w14:solidFill>
                    <w14:schemeClr w14:val="tx1"/>
                  </w14:solidFill>
                </w14:textFill>
              </w:rPr>
            </w:pPr>
          </w:p>
        </w:tc>
      </w:tr>
    </w:tbl>
    <w:p w14:paraId="53513D07">
      <w:pPr>
        <w:pStyle w:val="40"/>
        <w:snapToGrid w:val="0"/>
        <w:spacing w:line="260" w:lineRule="exact"/>
        <w:ind w:left="97" w:leftChars="46" w:firstLine="420" w:firstLineChars="200"/>
        <w:rPr>
          <w:rFonts w:ascii="宋体" w:hAnsi="宋体" w:cs="宋体"/>
          <w:color w:val="000000" w:themeColor="text1"/>
          <w:sz w:val="21"/>
          <w:szCs w:val="21"/>
          <w:highlight w:val="none"/>
          <w14:textFill>
            <w14:solidFill>
              <w14:schemeClr w14:val="tx1"/>
            </w14:solidFill>
          </w14:textFill>
        </w:rPr>
      </w:pPr>
    </w:p>
    <w:p w14:paraId="3E2A06C0">
      <w:pPr>
        <w:pStyle w:val="15"/>
        <w:snapToGrid w:val="0"/>
        <w:spacing w:before="0" w:after="0" w:line="360" w:lineRule="exact"/>
        <w:rPr>
          <w:rFonts w:ascii="宋体" w:hAnsi="宋体" w:eastAsia="宋体" w:cs="宋体"/>
          <w:color w:val="000000" w:themeColor="text1"/>
          <w:sz w:val="21"/>
          <w:szCs w:val="21"/>
          <w:highlight w:val="none"/>
          <w14:textFill>
            <w14:solidFill>
              <w14:schemeClr w14:val="tx1"/>
            </w14:solidFill>
          </w14:textFill>
        </w:rPr>
      </w:pPr>
    </w:p>
    <w:p w14:paraId="59E066A1">
      <w:pPr>
        <w:pStyle w:val="15"/>
        <w:snapToGrid w:val="0"/>
        <w:spacing w:line="360" w:lineRule="exact"/>
        <w:rPr>
          <w:rFonts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法定代表人（负责人）或委托代理人签名：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2553CA2">
      <w:pPr>
        <w:snapToGrid w:val="0"/>
        <w:spacing w:before="50"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月    日</w:t>
      </w:r>
    </w:p>
    <w:p w14:paraId="43057923">
      <w:pPr>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4F9EC677">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（9）投标人情况介绍，投标人关于本单位债务纠纷、违法违规记录等方面的情况。</w:t>
      </w:r>
    </w:p>
    <w:p w14:paraId="088BDEAC">
      <w:pPr>
        <w:snapToGrid w:val="0"/>
        <w:spacing w:line="360" w:lineRule="exact"/>
        <w:jc w:val="left"/>
        <w:rPr>
          <w:rFonts w:ascii="宋体" w:hAnsi="宋体" w:cs="宋体"/>
          <w:b/>
          <w:color w:val="000000" w:themeColor="text1"/>
          <w:szCs w:val="21"/>
          <w:highlight w:val="none"/>
          <w14:textFill>
            <w14:solidFill>
              <w14:schemeClr w14:val="tx1"/>
            </w14:solidFill>
          </w14:textFill>
        </w:rPr>
      </w:pPr>
    </w:p>
    <w:p w14:paraId="49A9FA32">
      <w:pPr>
        <w:snapToGrid w:val="0"/>
        <w:spacing w:line="360" w:lineRule="exact"/>
        <w:ind w:firstLine="519" w:firstLineChars="24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三）、技术文件部分（格式）</w:t>
      </w:r>
    </w:p>
    <w:p w14:paraId="60E67E67">
      <w:pPr>
        <w:adjustRightInd w:val="0"/>
        <w:snapToGrid w:val="0"/>
        <w:spacing w:line="360" w:lineRule="exact"/>
        <w:ind w:firstLine="420" w:firstLineChars="200"/>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（1）服务响应表格式：</w:t>
      </w:r>
    </w:p>
    <w:p w14:paraId="649DF1AE">
      <w:pPr>
        <w:adjustRightInd w:val="0"/>
        <w:snapToGrid w:val="0"/>
        <w:spacing w:line="360" w:lineRule="exact"/>
        <w:ind w:firstLine="422" w:firstLineChars="200"/>
        <w:jc w:val="left"/>
        <w:rPr>
          <w:rFonts w:ascii="宋体" w:hAnsi="宋体" w:cs="宋体"/>
          <w:b/>
          <w:color w:val="000000" w:themeColor="text1"/>
          <w:szCs w:val="21"/>
          <w:highlight w:val="none"/>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6F4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3F8E8482">
            <w:pPr>
              <w:pStyle w:val="29"/>
              <w:spacing w:line="40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项号</w:t>
            </w:r>
          </w:p>
        </w:tc>
        <w:tc>
          <w:tcPr>
            <w:tcW w:w="3600" w:type="dxa"/>
            <w:tcBorders>
              <w:top w:val="single" w:color="auto" w:sz="4" w:space="0"/>
              <w:left w:val="single" w:color="auto" w:sz="4" w:space="0"/>
              <w:bottom w:val="single" w:color="auto" w:sz="4" w:space="0"/>
              <w:right w:val="single" w:color="auto" w:sz="4" w:space="0"/>
            </w:tcBorders>
            <w:vAlign w:val="center"/>
          </w:tcPr>
          <w:p w14:paraId="4636B86F">
            <w:pPr>
              <w:pStyle w:val="29"/>
              <w:spacing w:line="40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14:paraId="327DE7B6">
            <w:pPr>
              <w:pStyle w:val="29"/>
              <w:spacing w:line="40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14:paraId="17AD0C37">
            <w:pPr>
              <w:pStyle w:val="29"/>
              <w:spacing w:line="40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说明</w:t>
            </w:r>
          </w:p>
        </w:tc>
      </w:tr>
      <w:tr w14:paraId="77F0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6C191F54">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vAlign w:val="center"/>
          </w:tcPr>
          <w:p w14:paraId="26C9DE32">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服务期限：2026.5-2026.12，收到通知 24 小时内书面确认</w:t>
            </w:r>
          </w:p>
        </w:tc>
        <w:tc>
          <w:tcPr>
            <w:tcW w:w="3600" w:type="dxa"/>
            <w:tcBorders>
              <w:top w:val="single" w:color="auto" w:sz="4" w:space="0"/>
              <w:left w:val="single" w:color="auto" w:sz="4" w:space="0"/>
              <w:bottom w:val="single" w:color="auto" w:sz="4" w:space="0"/>
              <w:right w:val="single" w:color="auto" w:sz="4" w:space="0"/>
            </w:tcBorders>
            <w:vAlign w:val="center"/>
          </w:tcPr>
          <w:p w14:paraId="0DC02FB5">
            <w:pPr>
              <w:pStyle w:val="29"/>
              <w:spacing w:line="600" w:lineRule="exact"/>
              <w:ind w:left="5250"/>
              <w:jc w:val="center"/>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7F8D7FB4">
            <w:pPr>
              <w:pStyle w:val="29"/>
              <w:spacing w:line="600" w:lineRule="exact"/>
              <w:ind w:left="5250"/>
              <w:jc w:val="center"/>
              <w:rPr>
                <w:rFonts w:hAnsi="宋体" w:cs="宋体"/>
                <w:color w:val="000000" w:themeColor="text1"/>
                <w:kern w:val="2"/>
                <w:sz w:val="21"/>
                <w:highlight w:val="none"/>
                <w14:textFill>
                  <w14:solidFill>
                    <w14:schemeClr w14:val="tx1"/>
                  </w14:solidFill>
                </w14:textFill>
              </w:rPr>
            </w:pPr>
          </w:p>
        </w:tc>
      </w:tr>
      <w:tr w14:paraId="433B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2F3D3DA5">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vAlign w:val="center"/>
          </w:tcPr>
          <w:p w14:paraId="46A4CFB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合同生效后 30 日内提交细化实施方案，调整需提前 10 个工作日书面报备</w:t>
            </w:r>
          </w:p>
        </w:tc>
        <w:tc>
          <w:tcPr>
            <w:tcW w:w="3600" w:type="dxa"/>
            <w:tcBorders>
              <w:top w:val="single" w:color="auto" w:sz="4" w:space="0"/>
              <w:left w:val="single" w:color="auto" w:sz="4" w:space="0"/>
              <w:bottom w:val="single" w:color="auto" w:sz="4" w:space="0"/>
              <w:right w:val="single" w:color="auto" w:sz="4" w:space="0"/>
            </w:tcBorders>
          </w:tcPr>
          <w:p w14:paraId="0B7E71AC">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0EDE5D4F">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1251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725A0A2B">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vAlign w:val="center"/>
          </w:tcPr>
          <w:p w14:paraId="79532820">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合同生效后 15 日内提交安全 / 应急方案，经审核通过后实施</w:t>
            </w:r>
          </w:p>
        </w:tc>
        <w:tc>
          <w:tcPr>
            <w:tcW w:w="3600" w:type="dxa"/>
            <w:tcBorders>
              <w:top w:val="single" w:color="auto" w:sz="4" w:space="0"/>
              <w:left w:val="single" w:color="auto" w:sz="4" w:space="0"/>
              <w:bottom w:val="single" w:color="auto" w:sz="4" w:space="0"/>
              <w:right w:val="single" w:color="auto" w:sz="4" w:space="0"/>
            </w:tcBorders>
          </w:tcPr>
          <w:p w14:paraId="735E5685">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3D523D07">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7E2B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7A9EDF91">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3600" w:type="dxa"/>
            <w:tcBorders>
              <w:top w:val="single" w:color="auto" w:sz="4" w:space="0"/>
              <w:left w:val="single" w:color="auto" w:sz="4" w:space="0"/>
              <w:bottom w:val="single" w:color="auto" w:sz="4" w:space="0"/>
              <w:right w:val="single" w:color="auto" w:sz="4" w:space="0"/>
            </w:tcBorders>
            <w:vAlign w:val="center"/>
          </w:tcPr>
          <w:p w14:paraId="2A94057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合同生效后 10 日内提交项目人员名单，未经同意不得更换核心人员</w:t>
            </w:r>
          </w:p>
        </w:tc>
        <w:tc>
          <w:tcPr>
            <w:tcW w:w="3600" w:type="dxa"/>
            <w:tcBorders>
              <w:top w:val="single" w:color="auto" w:sz="4" w:space="0"/>
              <w:left w:val="single" w:color="auto" w:sz="4" w:space="0"/>
              <w:bottom w:val="single" w:color="auto" w:sz="4" w:space="0"/>
              <w:right w:val="single" w:color="auto" w:sz="4" w:space="0"/>
            </w:tcBorders>
          </w:tcPr>
          <w:p w14:paraId="40B79599">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46285482">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7E4D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569C5E2">
            <w:pPr>
              <w:pStyle w:val="29"/>
              <w:spacing w:line="240" w:lineRule="auto"/>
              <w:ind w:lef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3600" w:type="dxa"/>
            <w:tcBorders>
              <w:top w:val="single" w:color="auto" w:sz="4" w:space="0"/>
              <w:left w:val="single" w:color="auto" w:sz="4" w:space="0"/>
              <w:bottom w:val="single" w:color="auto" w:sz="4" w:space="0"/>
              <w:right w:val="single" w:color="auto" w:sz="4" w:space="0"/>
            </w:tcBorders>
            <w:vAlign w:val="center"/>
          </w:tcPr>
          <w:p w14:paraId="23AF366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首次排练前完成人员保险购买，保额≥</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/人，提交保单备案</w:t>
            </w:r>
          </w:p>
        </w:tc>
        <w:tc>
          <w:tcPr>
            <w:tcW w:w="3600" w:type="dxa"/>
            <w:tcBorders>
              <w:top w:val="single" w:color="auto" w:sz="4" w:space="0"/>
              <w:left w:val="single" w:color="auto" w:sz="4" w:space="0"/>
              <w:bottom w:val="single" w:color="auto" w:sz="4" w:space="0"/>
              <w:right w:val="single" w:color="auto" w:sz="4" w:space="0"/>
            </w:tcBorders>
          </w:tcPr>
          <w:p w14:paraId="5C21D20A">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27753645">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5320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E155DF6">
            <w:pPr>
              <w:pStyle w:val="29"/>
              <w:spacing w:line="240" w:lineRule="auto"/>
              <w:ind w:lef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3600" w:type="dxa"/>
            <w:tcBorders>
              <w:top w:val="single" w:color="auto" w:sz="4" w:space="0"/>
              <w:left w:val="single" w:color="auto" w:sz="4" w:space="0"/>
              <w:bottom w:val="single" w:color="auto" w:sz="4" w:space="0"/>
              <w:right w:val="single" w:color="auto" w:sz="4" w:space="0"/>
            </w:tcBorders>
            <w:vAlign w:val="center"/>
          </w:tcPr>
          <w:p w14:paraId="7747C806">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分包需提前 15 个工作日书面申请，经甲方同意后方可实施</w:t>
            </w:r>
          </w:p>
        </w:tc>
        <w:tc>
          <w:tcPr>
            <w:tcW w:w="3600" w:type="dxa"/>
            <w:tcBorders>
              <w:top w:val="single" w:color="auto" w:sz="4" w:space="0"/>
              <w:left w:val="single" w:color="auto" w:sz="4" w:space="0"/>
              <w:bottom w:val="single" w:color="auto" w:sz="4" w:space="0"/>
              <w:right w:val="single" w:color="auto" w:sz="4" w:space="0"/>
            </w:tcBorders>
          </w:tcPr>
          <w:p w14:paraId="0857FB9E">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193969CC">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2E9E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18ABD8A">
            <w:pPr>
              <w:pStyle w:val="29"/>
              <w:spacing w:line="240" w:lineRule="auto"/>
              <w:ind w:lef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3600" w:type="dxa"/>
            <w:tcBorders>
              <w:top w:val="single" w:color="auto" w:sz="4" w:space="0"/>
              <w:left w:val="single" w:color="auto" w:sz="4" w:space="0"/>
              <w:bottom w:val="single" w:color="auto" w:sz="4" w:space="0"/>
              <w:right w:val="single" w:color="auto" w:sz="4" w:space="0"/>
            </w:tcBorders>
            <w:vAlign w:val="center"/>
          </w:tcPr>
          <w:p w14:paraId="09DF3F3C">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知识产权归甲方独家所有，含著作权、商标权、专利权等</w:t>
            </w:r>
          </w:p>
        </w:tc>
        <w:tc>
          <w:tcPr>
            <w:tcW w:w="3600" w:type="dxa"/>
            <w:tcBorders>
              <w:top w:val="single" w:color="auto" w:sz="4" w:space="0"/>
              <w:left w:val="single" w:color="auto" w:sz="4" w:space="0"/>
              <w:bottom w:val="single" w:color="auto" w:sz="4" w:space="0"/>
              <w:right w:val="single" w:color="auto" w:sz="4" w:space="0"/>
            </w:tcBorders>
          </w:tcPr>
          <w:p w14:paraId="2B30DD38">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7B6D84A7">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795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95BD952">
            <w:pPr>
              <w:pStyle w:val="29"/>
              <w:spacing w:line="240" w:lineRule="auto"/>
              <w:ind w:lef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3600" w:type="dxa"/>
            <w:tcBorders>
              <w:top w:val="single" w:color="auto" w:sz="4" w:space="0"/>
              <w:left w:val="single" w:color="auto" w:sz="4" w:space="0"/>
              <w:bottom w:val="single" w:color="auto" w:sz="4" w:space="0"/>
              <w:right w:val="single" w:color="auto" w:sz="4" w:space="0"/>
            </w:tcBorders>
            <w:vAlign w:val="center"/>
          </w:tcPr>
          <w:p w14:paraId="41F85DF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残运会闭幕式撤场后 5 个工作日内提交验收申请，不合格 10 日内整改</w:t>
            </w:r>
          </w:p>
        </w:tc>
        <w:tc>
          <w:tcPr>
            <w:tcW w:w="3600" w:type="dxa"/>
            <w:tcBorders>
              <w:top w:val="single" w:color="auto" w:sz="4" w:space="0"/>
              <w:left w:val="single" w:color="auto" w:sz="4" w:space="0"/>
              <w:bottom w:val="single" w:color="auto" w:sz="4" w:space="0"/>
              <w:right w:val="single" w:color="auto" w:sz="4" w:space="0"/>
            </w:tcBorders>
          </w:tcPr>
          <w:p w14:paraId="0ABFC8B1">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2364FAFD">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450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4D5392A">
            <w:pPr>
              <w:pStyle w:val="29"/>
              <w:spacing w:line="240" w:lineRule="auto"/>
              <w:ind w:lef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3600" w:type="dxa"/>
            <w:tcBorders>
              <w:top w:val="single" w:color="auto" w:sz="4" w:space="0"/>
              <w:left w:val="single" w:color="auto" w:sz="4" w:space="0"/>
              <w:bottom w:val="single" w:color="auto" w:sz="4" w:space="0"/>
              <w:right w:val="single" w:color="auto" w:sz="4" w:space="0"/>
            </w:tcBorders>
            <w:vAlign w:val="center"/>
          </w:tcPr>
          <w:p w14:paraId="70C252CE">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开具增值税专用发票，甲方凭票付款</w:t>
            </w:r>
          </w:p>
        </w:tc>
        <w:tc>
          <w:tcPr>
            <w:tcW w:w="3600" w:type="dxa"/>
            <w:tcBorders>
              <w:top w:val="single" w:color="auto" w:sz="4" w:space="0"/>
              <w:left w:val="single" w:color="auto" w:sz="4" w:space="0"/>
              <w:bottom w:val="single" w:color="auto" w:sz="4" w:space="0"/>
              <w:right w:val="single" w:color="auto" w:sz="4" w:space="0"/>
            </w:tcBorders>
          </w:tcPr>
          <w:p w14:paraId="5A2EAC77">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1B54BEAC">
            <w:pPr>
              <w:pStyle w:val="29"/>
              <w:spacing w:line="600" w:lineRule="exact"/>
              <w:ind w:left="5250"/>
              <w:rPr>
                <w:rFonts w:hAnsi="宋体" w:cs="宋体"/>
                <w:color w:val="000000" w:themeColor="text1"/>
                <w:kern w:val="2"/>
                <w:sz w:val="21"/>
                <w:highlight w:val="none"/>
                <w14:textFill>
                  <w14:solidFill>
                    <w14:schemeClr w14:val="tx1"/>
                  </w14:solidFill>
                </w14:textFill>
              </w:rPr>
            </w:pPr>
          </w:p>
        </w:tc>
      </w:tr>
      <w:tr w14:paraId="1417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5E8B0F8">
            <w:pPr>
              <w:pStyle w:val="29"/>
              <w:spacing w:line="240" w:lineRule="auto"/>
              <w:ind w:lef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p>
        </w:tc>
        <w:tc>
          <w:tcPr>
            <w:tcW w:w="3600" w:type="dxa"/>
            <w:tcBorders>
              <w:top w:val="single" w:color="auto" w:sz="4" w:space="0"/>
              <w:left w:val="single" w:color="auto" w:sz="4" w:space="0"/>
              <w:bottom w:val="single" w:color="auto" w:sz="4" w:space="0"/>
              <w:right w:val="single" w:color="auto" w:sz="4" w:space="0"/>
            </w:tcBorders>
            <w:vAlign w:val="center"/>
          </w:tcPr>
          <w:p w14:paraId="76088F8E">
            <w:pPr>
              <w:keepNext w:val="0"/>
              <w:keepLines w:val="0"/>
              <w:widowControl/>
              <w:suppressLineNumbers w:val="0"/>
              <w:bidi w:val="0"/>
              <w:spacing w:before="0" w:beforeAutospacing="0" w:after="0" w:afterAutospacing="0" w:line="360" w:lineRule="atLeast"/>
              <w:ind w:left="0" w:leftChars="0" w:right="0" w:rightChars="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其他招标要求....</w:t>
            </w:r>
          </w:p>
        </w:tc>
        <w:tc>
          <w:tcPr>
            <w:tcW w:w="3600" w:type="dxa"/>
            <w:tcBorders>
              <w:top w:val="single" w:color="auto" w:sz="4" w:space="0"/>
              <w:left w:val="single" w:color="auto" w:sz="4" w:space="0"/>
              <w:bottom w:val="single" w:color="auto" w:sz="4" w:space="0"/>
              <w:right w:val="single" w:color="auto" w:sz="4" w:space="0"/>
            </w:tcBorders>
          </w:tcPr>
          <w:p w14:paraId="058E0A16">
            <w:pPr>
              <w:pStyle w:val="29"/>
              <w:spacing w:line="600" w:lineRule="exact"/>
              <w:ind w:left="5250"/>
              <w:rPr>
                <w:rFonts w:hAnsi="宋体" w:cs="宋体"/>
                <w:color w:val="000000" w:themeColor="text1"/>
                <w:kern w:val="2"/>
                <w:sz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7B3FCAC6">
            <w:pPr>
              <w:pStyle w:val="29"/>
              <w:spacing w:line="600" w:lineRule="exact"/>
              <w:ind w:left="5250"/>
              <w:rPr>
                <w:rFonts w:hAnsi="宋体" w:cs="宋体"/>
                <w:color w:val="000000" w:themeColor="text1"/>
                <w:kern w:val="2"/>
                <w:sz w:val="21"/>
                <w:highlight w:val="none"/>
                <w14:textFill>
                  <w14:solidFill>
                    <w14:schemeClr w14:val="tx1"/>
                  </w14:solidFill>
                </w14:textFill>
              </w:rPr>
            </w:pPr>
          </w:p>
        </w:tc>
      </w:tr>
    </w:tbl>
    <w:p w14:paraId="0D63806E">
      <w:pPr>
        <w:pStyle w:val="20"/>
        <w:spacing w:line="360" w:lineRule="exact"/>
        <w:ind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注：投标人应根据所提供的服务、对照招标文件要求在服务响应表中详细列明招标要求及投标所提供的服务的响应情况，并填写表格。</w:t>
      </w:r>
    </w:p>
    <w:p w14:paraId="7131E561">
      <w:pPr>
        <w:snapToGrid w:val="0"/>
        <w:spacing w:before="50" w:after="50" w:line="360" w:lineRule="exact"/>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法定代表人（负责人）或委托代理人签名</w:t>
      </w:r>
      <w:r>
        <w:rPr>
          <w:rFonts w:hint="eastAsia" w:ascii="宋体" w:hAnsi="宋体" w:cs="宋体"/>
          <w:color w:val="000000" w:themeColor="text1"/>
          <w:spacing w:val="20"/>
          <w:szCs w:val="21"/>
          <w:highlight w:val="none"/>
          <w14:textFill>
            <w14:solidFill>
              <w14:schemeClr w14:val="tx1"/>
            </w14:solidFill>
          </w14:textFill>
        </w:rPr>
        <w:t>：</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64AC44BC">
      <w:pPr>
        <w:snapToGrid w:val="0"/>
        <w:spacing w:before="50" w:after="50" w:line="360" w:lineRule="exact"/>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投标人盖章：</w:t>
      </w:r>
      <w:r>
        <w:rPr>
          <w:rFonts w:hint="eastAsia" w:ascii="宋体" w:hAnsi="宋体" w:cs="宋体"/>
          <w:color w:val="000000" w:themeColor="text1"/>
          <w:spacing w:val="20"/>
          <w:szCs w:val="21"/>
          <w:highlight w:val="none"/>
          <w:u w:val="single"/>
          <w14:textFill>
            <w14:solidFill>
              <w14:schemeClr w14:val="tx1"/>
            </w14:solidFill>
          </w14:textFill>
        </w:rPr>
        <w:t xml:space="preserve">            </w:t>
      </w:r>
      <w:r>
        <w:rPr>
          <w:rFonts w:hint="eastAsia" w:ascii="宋体" w:hAnsi="宋体" w:cs="宋体"/>
          <w:color w:val="000000" w:themeColor="text1"/>
          <w:spacing w:val="20"/>
          <w:szCs w:val="21"/>
          <w:highlight w:val="none"/>
          <w14:textFill>
            <w14:solidFill>
              <w14:schemeClr w14:val="tx1"/>
            </w14:solidFill>
          </w14:textFill>
        </w:rPr>
        <w:t xml:space="preserve">              日 期：</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1A2AA486">
      <w:pPr>
        <w:adjustRightInd w:val="0"/>
        <w:snapToGrid w:val="0"/>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服务方案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（格式自拟，必须提供）</w:t>
      </w:r>
    </w:p>
    <w:p w14:paraId="3412362F">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（3）投标人拥有主要服务设施的情况和现状（格式自拟）及项目实施人员一览表； </w:t>
      </w:r>
    </w:p>
    <w:p w14:paraId="7F277F39">
      <w:pPr>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2D4B3085">
      <w:pPr>
        <w:snapToGrid w:val="0"/>
        <w:spacing w:before="156" w:beforeLines="50" w:after="50" w:line="36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项目实施人员（主要从业人员及其技术资格）一览表</w:t>
      </w:r>
    </w:p>
    <w:p w14:paraId="3D684EF0">
      <w:pPr>
        <w:snapToGrid w:val="0"/>
        <w:spacing w:before="156" w:beforeLines="50" w:after="50" w:line="360" w:lineRule="exact"/>
        <w:jc w:val="center"/>
        <w:rPr>
          <w:rFonts w:ascii="宋体" w:hAnsi="宋体" w:cs="宋体"/>
          <w:color w:val="000000" w:themeColor="text1"/>
          <w:sz w:val="30"/>
          <w:szCs w:val="30"/>
          <w:highlight w:val="none"/>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865"/>
        <w:gridCol w:w="2060"/>
        <w:gridCol w:w="1449"/>
        <w:gridCol w:w="1988"/>
        <w:gridCol w:w="1889"/>
      </w:tblGrid>
      <w:tr w14:paraId="51CD1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14:paraId="38B351A0">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65" w:type="dxa"/>
            <w:tcBorders>
              <w:top w:val="single" w:color="auto" w:sz="4" w:space="0"/>
              <w:left w:val="single" w:color="auto" w:sz="4" w:space="0"/>
              <w:bottom w:val="single" w:color="auto" w:sz="4" w:space="0"/>
              <w:right w:val="single" w:color="auto" w:sz="4" w:space="0"/>
            </w:tcBorders>
            <w:vAlign w:val="center"/>
          </w:tcPr>
          <w:p w14:paraId="6D916ED2">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2060" w:type="dxa"/>
            <w:tcBorders>
              <w:top w:val="single" w:color="auto" w:sz="4" w:space="0"/>
              <w:left w:val="single" w:color="auto" w:sz="4" w:space="0"/>
              <w:bottom w:val="single" w:color="auto" w:sz="4" w:space="0"/>
              <w:right w:val="single" w:color="auto" w:sz="4" w:space="0"/>
            </w:tcBorders>
            <w:vAlign w:val="center"/>
          </w:tcPr>
          <w:p w14:paraId="7C0987C7">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专业技术资格</w:t>
            </w:r>
          </w:p>
        </w:tc>
        <w:tc>
          <w:tcPr>
            <w:tcW w:w="1449" w:type="dxa"/>
            <w:tcBorders>
              <w:top w:val="single" w:color="auto" w:sz="4" w:space="0"/>
              <w:left w:val="single" w:color="auto" w:sz="4" w:space="0"/>
              <w:bottom w:val="single" w:color="auto" w:sz="4" w:space="0"/>
              <w:right w:val="single" w:color="auto" w:sz="4" w:space="0"/>
            </w:tcBorders>
            <w:vAlign w:val="center"/>
          </w:tcPr>
          <w:p w14:paraId="2D7B7BBA">
            <w:pPr>
              <w:snapToGrid w:val="0"/>
              <w:spacing w:before="156" w:beforeLines="50" w:after="50"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证书编号</w:t>
            </w:r>
          </w:p>
        </w:tc>
        <w:tc>
          <w:tcPr>
            <w:tcW w:w="1988" w:type="dxa"/>
            <w:tcBorders>
              <w:top w:val="single" w:color="auto" w:sz="4" w:space="0"/>
              <w:left w:val="single" w:color="auto" w:sz="4" w:space="0"/>
              <w:bottom w:val="single" w:color="auto" w:sz="4" w:space="0"/>
              <w:right w:val="single" w:color="auto" w:sz="4" w:space="0"/>
            </w:tcBorders>
            <w:vAlign w:val="center"/>
          </w:tcPr>
          <w:p w14:paraId="7B3EB9D7">
            <w:pPr>
              <w:snapToGrid w:val="0"/>
              <w:spacing w:before="156" w:beforeLines="50" w:after="50"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参加本单位</w:t>
            </w:r>
          </w:p>
          <w:p w14:paraId="218C786D">
            <w:pPr>
              <w:snapToGrid w:val="0"/>
              <w:spacing w:before="156" w:beforeLines="50" w:after="50"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工作时间</w:t>
            </w:r>
          </w:p>
        </w:tc>
        <w:tc>
          <w:tcPr>
            <w:tcW w:w="1889" w:type="dxa"/>
            <w:tcBorders>
              <w:top w:val="single" w:color="auto" w:sz="4" w:space="0"/>
              <w:left w:val="single" w:color="auto" w:sz="4" w:space="0"/>
              <w:bottom w:val="single" w:color="auto" w:sz="4" w:space="0"/>
              <w:right w:val="single" w:color="auto" w:sz="4" w:space="0"/>
            </w:tcBorders>
            <w:vAlign w:val="center"/>
          </w:tcPr>
          <w:p w14:paraId="07A27941">
            <w:pPr>
              <w:snapToGrid w:val="0"/>
              <w:spacing w:before="156" w:beforeLines="50" w:after="50"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劳动合同编号</w:t>
            </w:r>
          </w:p>
        </w:tc>
      </w:tr>
      <w:tr w14:paraId="560C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14:paraId="54FDE063">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3408EDF8">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tcPr>
          <w:p w14:paraId="66EC6FE7">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tcPr>
          <w:p w14:paraId="58E51A88">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988" w:type="dxa"/>
            <w:tcBorders>
              <w:top w:val="single" w:color="auto" w:sz="4" w:space="0"/>
              <w:left w:val="single" w:color="auto" w:sz="4" w:space="0"/>
              <w:bottom w:val="single" w:color="auto" w:sz="4" w:space="0"/>
              <w:right w:val="single" w:color="auto" w:sz="4" w:space="0"/>
            </w:tcBorders>
          </w:tcPr>
          <w:p w14:paraId="0D229BD3">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14:paraId="5FD9F6AA">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r>
      <w:tr w14:paraId="4E96D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14:paraId="29805521">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8BFD847">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tcPr>
          <w:p w14:paraId="47A812B6">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tcPr>
          <w:p w14:paraId="1E5B9897">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988" w:type="dxa"/>
            <w:tcBorders>
              <w:top w:val="single" w:color="auto" w:sz="4" w:space="0"/>
              <w:left w:val="single" w:color="auto" w:sz="4" w:space="0"/>
              <w:bottom w:val="single" w:color="auto" w:sz="4" w:space="0"/>
              <w:right w:val="single" w:color="auto" w:sz="4" w:space="0"/>
            </w:tcBorders>
          </w:tcPr>
          <w:p w14:paraId="0D3E9AD3">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14:paraId="2508A674">
            <w:pPr>
              <w:snapToGrid w:val="0"/>
              <w:spacing w:before="156" w:beforeLines="50" w:after="50" w:line="360" w:lineRule="exact"/>
              <w:rPr>
                <w:rFonts w:ascii="宋体" w:hAnsi="宋体" w:cs="宋体"/>
                <w:color w:val="000000" w:themeColor="text1"/>
                <w:szCs w:val="21"/>
                <w:highlight w:val="none"/>
                <w14:textFill>
                  <w14:solidFill>
                    <w14:schemeClr w14:val="tx1"/>
                  </w14:solidFill>
                </w14:textFill>
              </w:rPr>
            </w:pPr>
          </w:p>
        </w:tc>
      </w:tr>
    </w:tbl>
    <w:p w14:paraId="424D5B77">
      <w:pPr>
        <w:snapToGrid w:val="0"/>
        <w:spacing w:before="50" w:after="50" w:line="360" w:lineRule="exact"/>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法定代表人（负责人）或委托代理人签名：</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2035E2D9">
      <w:pPr>
        <w:snapToGrid w:val="0"/>
        <w:spacing w:before="50" w:after="50"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投标人盖章：</w:t>
      </w:r>
      <w:r>
        <w:rPr>
          <w:rFonts w:hint="eastAsia" w:ascii="宋体" w:hAnsi="宋体" w:cs="宋体"/>
          <w:color w:val="000000" w:themeColor="text1"/>
          <w:spacing w:val="20"/>
          <w:szCs w:val="21"/>
          <w:highlight w:val="none"/>
          <w:u w:val="single"/>
          <w14:textFill>
            <w14:solidFill>
              <w14:schemeClr w14:val="tx1"/>
            </w14:solidFill>
          </w14:textFill>
        </w:rPr>
        <w:t xml:space="preserve">            </w:t>
      </w:r>
      <w:r>
        <w:rPr>
          <w:rFonts w:hint="eastAsia" w:ascii="宋体" w:hAnsi="宋体" w:cs="宋体"/>
          <w:color w:val="000000" w:themeColor="text1"/>
          <w:spacing w:val="20"/>
          <w:szCs w:val="21"/>
          <w:highlight w:val="none"/>
          <w14:textFill>
            <w14:solidFill>
              <w14:schemeClr w14:val="tx1"/>
            </w14:solidFill>
          </w14:textFill>
        </w:rPr>
        <w:t xml:space="preserve">            日 期：</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0281AF41">
      <w:pPr>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3813EE54">
      <w:pPr>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11346969">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（4）优惠条件：投标人承诺给予招标人的各种优惠条件；</w:t>
      </w:r>
    </w:p>
    <w:p w14:paraId="420F656B">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1"/>
        <w:gridCol w:w="3125"/>
        <w:gridCol w:w="1667"/>
        <w:gridCol w:w="1771"/>
        <w:gridCol w:w="1771"/>
      </w:tblGrid>
      <w:tr w14:paraId="6C5B9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6"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A6F9A5">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序号</w:t>
            </w:r>
          </w:p>
        </w:tc>
        <w:tc>
          <w:tcPr>
            <w:tcW w:w="3125" w:type="dxa"/>
            <w:tcBorders>
              <w:top w:val="single" w:color="auto" w:sz="4" w:space="0"/>
              <w:left w:val="single" w:color="auto" w:sz="4" w:space="0"/>
              <w:bottom w:val="single" w:color="auto" w:sz="2" w:space="0"/>
              <w:right w:val="single" w:color="auto" w:sz="4" w:space="0"/>
            </w:tcBorders>
            <w:vAlign w:val="center"/>
          </w:tcPr>
          <w:p w14:paraId="4C432878">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优惠内容</w:t>
            </w:r>
          </w:p>
        </w:tc>
        <w:tc>
          <w:tcPr>
            <w:tcW w:w="1667"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45BDF0EA">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单价</w:t>
            </w:r>
          </w:p>
        </w:tc>
        <w:tc>
          <w:tcPr>
            <w:tcW w:w="1771" w:type="dxa"/>
            <w:tcBorders>
              <w:top w:val="single" w:color="auto" w:sz="4" w:space="0"/>
              <w:left w:val="single" w:color="auto" w:sz="4" w:space="0"/>
              <w:bottom w:val="single" w:color="auto" w:sz="2" w:space="0"/>
              <w:right w:val="single" w:color="auto" w:sz="4" w:space="0"/>
            </w:tcBorders>
            <w:vAlign w:val="center"/>
          </w:tcPr>
          <w:p w14:paraId="73117FA8">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比投标报价优惠率</w:t>
            </w:r>
          </w:p>
        </w:tc>
        <w:tc>
          <w:tcPr>
            <w:tcW w:w="1771" w:type="dxa"/>
            <w:tcBorders>
              <w:top w:val="single" w:color="auto" w:sz="4" w:space="0"/>
              <w:left w:val="single" w:color="auto" w:sz="4" w:space="0"/>
              <w:bottom w:val="single" w:color="auto" w:sz="2" w:space="0"/>
              <w:right w:val="single" w:color="auto" w:sz="4" w:space="0"/>
            </w:tcBorders>
            <w:vAlign w:val="center"/>
          </w:tcPr>
          <w:p w14:paraId="1CBAAEAE">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比招标要求提供更优售后服务</w:t>
            </w:r>
          </w:p>
        </w:tc>
      </w:tr>
      <w:tr w14:paraId="204F4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8"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CE863BF">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3125" w:type="dxa"/>
            <w:tcBorders>
              <w:top w:val="single" w:color="auto" w:sz="2" w:space="0"/>
              <w:left w:val="single" w:color="auto" w:sz="2" w:space="0"/>
              <w:bottom w:val="single" w:color="auto" w:sz="6" w:space="0"/>
              <w:right w:val="single" w:color="auto" w:sz="4" w:space="0"/>
            </w:tcBorders>
            <w:vAlign w:val="center"/>
          </w:tcPr>
          <w:p w14:paraId="3550B3EF">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667"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A9F7F94">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771" w:type="dxa"/>
            <w:tcBorders>
              <w:top w:val="single" w:color="auto" w:sz="2" w:space="0"/>
              <w:left w:val="single" w:color="auto" w:sz="6" w:space="0"/>
              <w:bottom w:val="single" w:color="auto" w:sz="6" w:space="0"/>
              <w:right w:val="single" w:color="auto" w:sz="2" w:space="0"/>
            </w:tcBorders>
            <w:vAlign w:val="center"/>
          </w:tcPr>
          <w:p w14:paraId="5027CA15">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u w:val="single"/>
                <w14:textFill>
                  <w14:solidFill>
                    <w14:schemeClr w14:val="tx1"/>
                  </w14:solidFill>
                </w14:textFill>
              </w:rPr>
              <w:t xml:space="preserve">            </w:t>
            </w:r>
            <w:r>
              <w:rPr>
                <w:rFonts w:hint="eastAsia" w:hAnsi="宋体" w:cs="宋体"/>
                <w:color w:val="000000" w:themeColor="text1"/>
                <w:kern w:val="2"/>
                <w:sz w:val="21"/>
                <w:highlight w:val="none"/>
                <w14:textFill>
                  <w14:solidFill>
                    <w14:schemeClr w14:val="tx1"/>
                  </w14:solidFill>
                </w14:textFill>
              </w:rPr>
              <w:t>%</w:t>
            </w:r>
          </w:p>
        </w:tc>
        <w:tc>
          <w:tcPr>
            <w:tcW w:w="1771" w:type="dxa"/>
            <w:tcBorders>
              <w:top w:val="single" w:color="auto" w:sz="2" w:space="0"/>
              <w:left w:val="single" w:color="auto" w:sz="6" w:space="0"/>
              <w:bottom w:val="single" w:color="auto" w:sz="6" w:space="0"/>
              <w:right w:val="single" w:color="auto" w:sz="2" w:space="0"/>
            </w:tcBorders>
            <w:vAlign w:val="center"/>
          </w:tcPr>
          <w:p w14:paraId="6565D578">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r>
      <w:tr w14:paraId="23D17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32F7019">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3125" w:type="dxa"/>
            <w:tcBorders>
              <w:top w:val="single" w:color="auto" w:sz="6" w:space="0"/>
              <w:left w:val="single" w:color="auto" w:sz="2" w:space="0"/>
              <w:bottom w:val="single" w:color="auto" w:sz="6" w:space="0"/>
              <w:right w:val="single" w:color="auto" w:sz="4" w:space="0"/>
            </w:tcBorders>
            <w:vAlign w:val="center"/>
          </w:tcPr>
          <w:p w14:paraId="731E847F">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82BE3A0">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771" w:type="dxa"/>
            <w:tcBorders>
              <w:top w:val="single" w:color="auto" w:sz="6" w:space="0"/>
              <w:left w:val="single" w:color="auto" w:sz="6" w:space="0"/>
              <w:bottom w:val="single" w:color="auto" w:sz="6" w:space="0"/>
              <w:right w:val="single" w:color="auto" w:sz="2" w:space="0"/>
            </w:tcBorders>
            <w:vAlign w:val="center"/>
          </w:tcPr>
          <w:p w14:paraId="3645359C">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u w:val="single"/>
                <w14:textFill>
                  <w14:solidFill>
                    <w14:schemeClr w14:val="tx1"/>
                  </w14:solidFill>
                </w14:textFill>
              </w:rPr>
              <w:t xml:space="preserve">            </w:t>
            </w:r>
            <w:r>
              <w:rPr>
                <w:rFonts w:hint="eastAsia" w:hAnsi="宋体" w:cs="宋体"/>
                <w:color w:val="000000" w:themeColor="text1"/>
                <w:kern w:val="2"/>
                <w:sz w:val="21"/>
                <w:highlight w:val="none"/>
                <w14:textFill>
                  <w14:solidFill>
                    <w14:schemeClr w14:val="tx1"/>
                  </w14:solidFill>
                </w14:textFill>
              </w:rPr>
              <w:t>%</w:t>
            </w:r>
          </w:p>
        </w:tc>
        <w:tc>
          <w:tcPr>
            <w:tcW w:w="1771" w:type="dxa"/>
            <w:tcBorders>
              <w:top w:val="single" w:color="auto" w:sz="6" w:space="0"/>
              <w:left w:val="single" w:color="auto" w:sz="6" w:space="0"/>
              <w:bottom w:val="single" w:color="auto" w:sz="6" w:space="0"/>
              <w:right w:val="single" w:color="auto" w:sz="2" w:space="0"/>
            </w:tcBorders>
            <w:vAlign w:val="center"/>
          </w:tcPr>
          <w:p w14:paraId="12D5900A">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r>
      <w:tr w14:paraId="5E37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215F949">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3125" w:type="dxa"/>
            <w:tcBorders>
              <w:top w:val="single" w:color="auto" w:sz="6" w:space="0"/>
              <w:left w:val="single" w:color="auto" w:sz="2" w:space="0"/>
              <w:bottom w:val="single" w:color="auto" w:sz="6" w:space="0"/>
              <w:right w:val="single" w:color="auto" w:sz="4" w:space="0"/>
            </w:tcBorders>
            <w:vAlign w:val="center"/>
          </w:tcPr>
          <w:p w14:paraId="2217617F">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4E0830F">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c>
          <w:tcPr>
            <w:tcW w:w="1771" w:type="dxa"/>
            <w:tcBorders>
              <w:top w:val="single" w:color="auto" w:sz="6" w:space="0"/>
              <w:left w:val="single" w:color="auto" w:sz="6" w:space="0"/>
              <w:bottom w:val="single" w:color="auto" w:sz="6" w:space="0"/>
              <w:right w:val="single" w:color="auto" w:sz="2" w:space="0"/>
            </w:tcBorders>
            <w:vAlign w:val="center"/>
          </w:tcPr>
          <w:p w14:paraId="766A4189">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u w:val="single"/>
                <w14:textFill>
                  <w14:solidFill>
                    <w14:schemeClr w14:val="tx1"/>
                  </w14:solidFill>
                </w14:textFill>
              </w:rPr>
              <w:t xml:space="preserve">            </w:t>
            </w:r>
            <w:r>
              <w:rPr>
                <w:rFonts w:hint="eastAsia" w:hAnsi="宋体" w:cs="宋体"/>
                <w:color w:val="000000" w:themeColor="text1"/>
                <w:kern w:val="2"/>
                <w:sz w:val="21"/>
                <w:highlight w:val="none"/>
                <w14:textFill>
                  <w14:solidFill>
                    <w14:schemeClr w14:val="tx1"/>
                  </w14:solidFill>
                </w14:textFill>
              </w:rPr>
              <w:t>%</w:t>
            </w:r>
          </w:p>
        </w:tc>
        <w:tc>
          <w:tcPr>
            <w:tcW w:w="1771" w:type="dxa"/>
            <w:tcBorders>
              <w:top w:val="single" w:color="auto" w:sz="6" w:space="0"/>
              <w:left w:val="single" w:color="auto" w:sz="6" w:space="0"/>
              <w:bottom w:val="single" w:color="auto" w:sz="6" w:space="0"/>
              <w:right w:val="single" w:color="auto" w:sz="2" w:space="0"/>
            </w:tcBorders>
            <w:vAlign w:val="center"/>
          </w:tcPr>
          <w:p w14:paraId="369C61AB">
            <w:pPr>
              <w:pStyle w:val="29"/>
              <w:snapToGrid w:val="0"/>
              <w:spacing w:before="295" w:after="295" w:line="360" w:lineRule="exact"/>
              <w:jc w:val="center"/>
              <w:rPr>
                <w:rFonts w:hAnsi="宋体" w:cs="宋体"/>
                <w:color w:val="000000" w:themeColor="text1"/>
                <w:kern w:val="2"/>
                <w:sz w:val="21"/>
                <w:highlight w:val="none"/>
                <w14:textFill>
                  <w14:solidFill>
                    <w14:schemeClr w14:val="tx1"/>
                  </w14:solidFill>
                </w14:textFill>
              </w:rPr>
            </w:pPr>
          </w:p>
        </w:tc>
      </w:tr>
    </w:tbl>
    <w:p w14:paraId="48F46557">
      <w:pPr>
        <w:snapToGrid w:val="0"/>
        <w:spacing w:before="50" w:after="50" w:line="360" w:lineRule="exact"/>
        <w:rPr>
          <w:rFonts w:ascii="宋体" w:hAnsi="宋体" w:cs="宋体"/>
          <w:color w:val="000000" w:themeColor="text1"/>
          <w:spacing w:val="20"/>
          <w:szCs w:val="21"/>
          <w:highlight w:val="none"/>
          <w14:textFill>
            <w14:solidFill>
              <w14:schemeClr w14:val="tx1"/>
            </w14:solidFill>
          </w14:textFill>
        </w:rPr>
      </w:pPr>
    </w:p>
    <w:p w14:paraId="6417CDD0">
      <w:pPr>
        <w:snapToGrid w:val="0"/>
        <w:spacing w:before="50" w:after="50" w:line="360" w:lineRule="exact"/>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法定代表人（负责人）或委托代理人签名：</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3BE4006C">
      <w:pPr>
        <w:snapToGrid w:val="0"/>
        <w:spacing w:before="50" w:after="50"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投标人盖章：</w:t>
      </w:r>
      <w:r>
        <w:rPr>
          <w:rFonts w:hint="eastAsia" w:ascii="宋体" w:hAnsi="宋体" w:cs="宋体"/>
          <w:color w:val="000000" w:themeColor="text1"/>
          <w:spacing w:val="20"/>
          <w:szCs w:val="21"/>
          <w:highlight w:val="none"/>
          <w:u w:val="single"/>
          <w14:textFill>
            <w14:solidFill>
              <w14:schemeClr w14:val="tx1"/>
            </w14:solidFill>
          </w14:textFill>
        </w:rPr>
        <w:t xml:space="preserve">            </w:t>
      </w:r>
      <w:r>
        <w:rPr>
          <w:rFonts w:hint="eastAsia" w:ascii="宋体" w:hAnsi="宋体" w:cs="宋体"/>
          <w:color w:val="000000" w:themeColor="text1"/>
          <w:spacing w:val="20"/>
          <w:szCs w:val="21"/>
          <w:highlight w:val="none"/>
          <w14:textFill>
            <w14:solidFill>
              <w14:schemeClr w14:val="tx1"/>
            </w14:solidFill>
          </w14:textFill>
        </w:rPr>
        <w:t xml:space="preserve">            日 期：</w:t>
      </w:r>
      <w:r>
        <w:rPr>
          <w:rFonts w:hint="eastAsia" w:ascii="宋体" w:hAnsi="宋体" w:cs="宋体"/>
          <w:color w:val="000000" w:themeColor="text1"/>
          <w:spacing w:val="20"/>
          <w:szCs w:val="21"/>
          <w:highlight w:val="none"/>
          <w:u w:val="single"/>
          <w14:textFill>
            <w14:solidFill>
              <w14:schemeClr w14:val="tx1"/>
            </w14:solidFill>
          </w14:textFill>
        </w:rPr>
        <w:t xml:space="preserve">            </w:t>
      </w:r>
    </w:p>
    <w:p w14:paraId="282BA974">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（5）投标人对本项目的合理化建议和改进措施；</w:t>
      </w:r>
    </w:p>
    <w:p w14:paraId="243BA529">
      <w:pPr>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（6）投标人需要说明的其他文件和说明（格式略）；</w:t>
      </w:r>
    </w:p>
    <w:p w14:paraId="25AF919A">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74282522">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p>
    <w:p w14:paraId="57B3C19C">
      <w:pPr>
        <w:snapToGrid w:val="0"/>
        <w:spacing w:before="156" w:beforeLines="50" w:after="50"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四）报价文件部分 （格式）</w:t>
      </w:r>
    </w:p>
    <w:p w14:paraId="010550F8">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▲（1）投标函格式： </w:t>
      </w:r>
    </w:p>
    <w:p w14:paraId="5EEABA63">
      <w:pPr>
        <w:snapToGrid w:val="0"/>
        <w:spacing w:before="156" w:beforeLines="50" w:after="50" w:line="360" w:lineRule="exact"/>
        <w:jc w:val="center"/>
        <w:rPr>
          <w:rFonts w:ascii="宋体" w:hAnsi="宋体" w:cs="宋体"/>
          <w:b/>
          <w:color w:val="000000" w:themeColor="text1"/>
          <w:sz w:val="24"/>
          <w:highlight w:val="none"/>
          <w14:textFill>
            <w14:solidFill>
              <w14:schemeClr w14:val="tx1"/>
            </w14:solidFill>
          </w14:textFill>
        </w:rPr>
      </w:pPr>
    </w:p>
    <w:p w14:paraId="27D8BD3A">
      <w:pPr>
        <w:snapToGrid w:val="0"/>
        <w:spacing w:before="156" w:beforeLines="50" w:after="50" w:line="36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 标 函</w:t>
      </w:r>
    </w:p>
    <w:p w14:paraId="133623FC">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北海市政府采购中心</w:t>
      </w:r>
      <w:r>
        <w:rPr>
          <w:rFonts w:hint="eastAsia" w:ascii="宋体" w:hAnsi="宋体" w:cs="宋体"/>
          <w:color w:val="000000" w:themeColor="text1"/>
          <w:szCs w:val="21"/>
          <w:highlight w:val="none"/>
          <w14:textFill>
            <w14:solidFill>
              <w14:schemeClr w14:val="tx1"/>
            </w14:solidFill>
          </w14:textFill>
        </w:rPr>
        <w:t>：</w:t>
      </w:r>
    </w:p>
    <w:p w14:paraId="508F30B8">
      <w:pPr>
        <w:snapToGrid w:val="0"/>
        <w:spacing w:line="360" w:lineRule="exact"/>
        <w:ind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根据贵方为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项目的招标公告（项目编号：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），签字代表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（全名）经正式授权并代表投标人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（投标人名称）提交投标文件</w:t>
      </w:r>
      <w:r>
        <w:rPr>
          <w:rFonts w:hint="eastAsia" w:ascii="宋体" w:hAnsi="宋体" w:cs="宋体"/>
          <w:b/>
          <w:color w:val="000000" w:themeColor="text1"/>
          <w:szCs w:val="21"/>
          <w:highlight w:val="none"/>
          <w14:textFill>
            <w14:solidFill>
              <w14:schemeClr w14:val="tx1"/>
            </w14:solidFill>
          </w14:textFill>
        </w:rPr>
        <w:t>(其中资格文件一份；资信及商务文件、技术文件、投标报价文件一份)</w:t>
      </w:r>
      <w:r>
        <w:rPr>
          <w:rFonts w:hint="eastAsia" w:ascii="宋体" w:hAnsi="宋体" w:cs="宋体"/>
          <w:color w:val="000000" w:themeColor="text1"/>
          <w:szCs w:val="21"/>
          <w:highlight w:val="none"/>
          <w14:textFill>
            <w14:solidFill>
              <w14:schemeClr w14:val="tx1"/>
            </w14:solidFill>
          </w14:textFill>
        </w:rPr>
        <w:t>。</w:t>
      </w:r>
    </w:p>
    <w:p w14:paraId="73869D53">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据此函，签字代表宣布同意如下：</w:t>
      </w:r>
    </w:p>
    <w:p w14:paraId="7841715C">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14:paraId="2D2CCD09">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2.投标人在投标之前已经与贵方进行了充分的沟通，完全理解并接受招标文件的各项规定和要求，对招标文件的合理性、合法性不再有异议。</w:t>
      </w:r>
    </w:p>
    <w:p w14:paraId="197CC98D">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3.本投标有效期自开标日起 ______个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日（自然日）。</w:t>
      </w:r>
    </w:p>
    <w:p w14:paraId="32F38ABE">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4.如中标，本投标文件至本项目合同履行完毕止均保持有效，本投标人将按“招标文件”及政府采购法律、法规的规定履行合同责任和义务。</w:t>
      </w:r>
    </w:p>
    <w:p w14:paraId="47D818FE">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5.投标人同意按照贵方要求提供与投标有关的一切数据或资料。</w:t>
      </w:r>
    </w:p>
    <w:p w14:paraId="7D51D31E">
      <w:pPr>
        <w:snapToGrid w:val="0"/>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6.与本投标有关的一切正式往来信函请寄：</w:t>
      </w:r>
    </w:p>
    <w:p w14:paraId="73784495">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邮编：__________   电话：______________</w:t>
      </w:r>
    </w:p>
    <w:p w14:paraId="23F45B7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传真：______________投标人代表姓名 ___________  职务：</w:t>
      </w:r>
      <w:r>
        <w:rPr>
          <w:rFonts w:hint="eastAsia" w:ascii="宋体" w:hAnsi="宋体" w:cs="宋体"/>
          <w:color w:val="000000" w:themeColor="text1"/>
          <w:szCs w:val="21"/>
          <w:highlight w:val="none"/>
          <w:u w:val="single"/>
          <w14:textFill>
            <w14:solidFill>
              <w14:schemeClr w14:val="tx1"/>
            </w14:solidFill>
          </w14:textFill>
        </w:rPr>
        <w:t xml:space="preserve">            </w:t>
      </w:r>
    </w:p>
    <w:p w14:paraId="70303137">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投标人名称(公章):___________________</w:t>
      </w:r>
    </w:p>
    <w:p w14:paraId="6ACE7D0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银行帐号：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03A313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法定代表人（负责人）或委托代理人签名:___________              </w:t>
      </w:r>
    </w:p>
    <w:p w14:paraId="745BAF57">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日期:_____年___月___日</w:t>
      </w:r>
    </w:p>
    <w:p w14:paraId="0281597E">
      <w:pPr>
        <w:pStyle w:val="29"/>
        <w:snapToGrid w:val="0"/>
        <w:spacing w:before="295" w:after="295" w:line="360" w:lineRule="exact"/>
        <w:ind w:firstLine="6300" w:firstLineChars="31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(公章)</w:t>
      </w:r>
    </w:p>
    <w:p w14:paraId="3697FF88">
      <w:pPr>
        <w:pStyle w:val="29"/>
        <w:snapToGrid w:val="0"/>
        <w:spacing w:before="295" w:after="295" w:line="360" w:lineRule="exact"/>
        <w:ind w:firstLine="7200" w:firstLineChars="36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年___月___日</w:t>
      </w:r>
    </w:p>
    <w:p w14:paraId="5F38D10F">
      <w:pPr>
        <w:pStyle w:val="29"/>
        <w:snapToGrid w:val="0"/>
        <w:spacing w:before="295" w:after="295" w:line="360" w:lineRule="exact"/>
        <w:rPr>
          <w:rFonts w:hAnsi="宋体" w:cs="宋体"/>
          <w:color w:val="000000" w:themeColor="text1"/>
          <w:highlight w:val="none"/>
          <w14:textFill>
            <w14:solidFill>
              <w14:schemeClr w14:val="tx1"/>
            </w14:solidFill>
          </w14:textFill>
        </w:rPr>
      </w:pPr>
    </w:p>
    <w:p w14:paraId="2B054A05">
      <w:pPr>
        <w:rPr>
          <w:rFonts w:ascii="宋体" w:hAnsi="宋体" w:cs="宋体"/>
          <w:color w:val="000000" w:themeColor="text1"/>
          <w:highlight w:val="none"/>
          <w14:textFill>
            <w14:solidFill>
              <w14:schemeClr w14:val="tx1"/>
            </w14:solidFill>
          </w14:textFill>
        </w:rPr>
      </w:pPr>
    </w:p>
    <w:p w14:paraId="7594A65C">
      <w:pPr>
        <w:rPr>
          <w:rFonts w:ascii="宋体" w:hAnsi="宋体" w:cs="宋体"/>
          <w:color w:val="000000" w:themeColor="text1"/>
          <w:highlight w:val="none"/>
          <w14:textFill>
            <w14:solidFill>
              <w14:schemeClr w14:val="tx1"/>
            </w14:solidFill>
          </w14:textFill>
        </w:rPr>
      </w:pPr>
    </w:p>
    <w:p w14:paraId="326C0313">
      <w:pPr>
        <w:rPr>
          <w:rFonts w:ascii="宋体" w:hAnsi="宋体" w:cs="宋体"/>
          <w:color w:val="000000" w:themeColor="text1"/>
          <w:highlight w:val="none"/>
          <w14:textFill>
            <w14:solidFill>
              <w14:schemeClr w14:val="tx1"/>
            </w14:solidFill>
          </w14:textFill>
        </w:rPr>
      </w:pPr>
    </w:p>
    <w:p w14:paraId="145E3E72">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▲（2）投标报价明细表格式：</w:t>
      </w:r>
    </w:p>
    <w:p w14:paraId="2EE8618D">
      <w:pPr>
        <w:jc w:val="center"/>
        <w:rPr>
          <w:rFonts w:ascii="宋体" w:hAnsi="宋体" w:cs="宋体"/>
          <w:b/>
          <w:color w:val="000000" w:themeColor="text1"/>
          <w:sz w:val="3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 w:val="32"/>
          <w:szCs w:val="21"/>
          <w:highlight w:val="none"/>
          <w14:textFill>
            <w14:solidFill>
              <w14:schemeClr w14:val="tx1"/>
            </w14:solidFill>
          </w14:textFill>
        </w:rPr>
        <w:t>报价表（格式）</w:t>
      </w:r>
    </w:p>
    <w:p w14:paraId="2896CB56">
      <w:pPr>
        <w:spacing w:line="5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p>
    <w:p w14:paraId="4D92A04E">
      <w:pPr>
        <w:spacing w:line="5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28F838A7">
      <w:pPr>
        <w:tabs>
          <w:tab w:val="left" w:pos="3870"/>
          <w:tab w:val="left" w:pos="4085"/>
        </w:tabs>
        <w:adjustRightInd w:val="0"/>
        <w:snapToGrid w:val="0"/>
        <w:spacing w:line="360" w:lineRule="exact"/>
        <w:ind w:firstLine="7035" w:firstLineChars="33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金额单位：人民币（元）</w:t>
      </w:r>
      <w:r>
        <w:rPr>
          <w:rFonts w:hint="eastAsia" w:ascii="宋体" w:hAnsi="宋体" w:cs="宋体"/>
          <w:color w:val="000000" w:themeColor="text1"/>
          <w:szCs w:val="21"/>
          <w:highlight w:val="none"/>
          <w14:textFill>
            <w14:solidFill>
              <w14:schemeClr w14:val="tx1"/>
            </w14:solidFill>
          </w14:textFill>
        </w:rPr>
        <w:t xml:space="preserve"> </w:t>
      </w:r>
    </w:p>
    <w:p w14:paraId="6287EB23">
      <w:pPr>
        <w:spacing w:line="500" w:lineRule="exact"/>
        <w:rPr>
          <w:rFonts w:ascii="宋体" w:hAnsi="宋体" w:cs="宋体"/>
          <w:color w:val="000000" w:themeColor="text1"/>
          <w:szCs w:val="21"/>
          <w:highlight w:val="none"/>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05"/>
        <w:gridCol w:w="863"/>
        <w:gridCol w:w="863"/>
        <w:gridCol w:w="2719"/>
        <w:gridCol w:w="2004"/>
      </w:tblGrid>
      <w:tr w14:paraId="053B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61C605E">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05" w:type="dxa"/>
            <w:tcBorders>
              <w:top w:val="single" w:color="auto" w:sz="4" w:space="0"/>
              <w:left w:val="single" w:color="auto" w:sz="4" w:space="0"/>
              <w:bottom w:val="single" w:color="auto" w:sz="4" w:space="0"/>
              <w:right w:val="single" w:color="auto" w:sz="4" w:space="0"/>
            </w:tcBorders>
            <w:vAlign w:val="center"/>
          </w:tcPr>
          <w:p w14:paraId="543CFD5B">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863" w:type="dxa"/>
            <w:tcBorders>
              <w:top w:val="single" w:color="auto" w:sz="4" w:space="0"/>
              <w:left w:val="single" w:color="auto" w:sz="4" w:space="0"/>
              <w:bottom w:val="single" w:color="auto" w:sz="4" w:space="0"/>
              <w:right w:val="single" w:color="auto" w:sz="4" w:space="0"/>
            </w:tcBorders>
            <w:vAlign w:val="center"/>
          </w:tcPr>
          <w:p w14:paraId="47727871">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863" w:type="dxa"/>
            <w:tcBorders>
              <w:top w:val="single" w:color="auto" w:sz="4" w:space="0"/>
              <w:left w:val="single" w:color="auto" w:sz="4" w:space="0"/>
              <w:bottom w:val="single" w:color="auto" w:sz="4" w:space="0"/>
              <w:right w:val="single" w:color="auto" w:sz="4" w:space="0"/>
            </w:tcBorders>
            <w:vAlign w:val="center"/>
          </w:tcPr>
          <w:p w14:paraId="50EF44B5">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2719" w:type="dxa"/>
            <w:tcBorders>
              <w:top w:val="single" w:color="auto" w:sz="4" w:space="0"/>
              <w:left w:val="single" w:color="auto" w:sz="4" w:space="0"/>
              <w:bottom w:val="single" w:color="auto" w:sz="4" w:space="0"/>
              <w:right w:val="single" w:color="auto" w:sz="4" w:space="0"/>
            </w:tcBorders>
            <w:vAlign w:val="center"/>
          </w:tcPr>
          <w:p w14:paraId="3CE013E8">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  额</w:t>
            </w:r>
          </w:p>
          <w:p w14:paraId="08DB8E74">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2004" w:type="dxa"/>
            <w:tcBorders>
              <w:top w:val="single" w:color="auto" w:sz="4" w:space="0"/>
              <w:left w:val="single" w:color="auto" w:sz="4" w:space="0"/>
              <w:bottom w:val="single" w:color="auto" w:sz="4" w:space="0"/>
              <w:right w:val="single" w:color="auto" w:sz="4" w:space="0"/>
            </w:tcBorders>
            <w:vAlign w:val="center"/>
          </w:tcPr>
          <w:p w14:paraId="3F22672D">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说      明</w:t>
            </w:r>
          </w:p>
        </w:tc>
      </w:tr>
      <w:tr w14:paraId="277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2C0C6AB">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vAlign w:val="center"/>
          </w:tcPr>
          <w:p w14:paraId="13E750AE">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3833FC1F">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3BFE085E">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09B68B9A">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1552B7F0">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4A15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53E942F">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vAlign w:val="center"/>
          </w:tcPr>
          <w:p w14:paraId="116F3D98">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30C2BDF">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37D87DA">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7090E98F">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5EE347A0">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570E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1EB97FC">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vAlign w:val="center"/>
          </w:tcPr>
          <w:p w14:paraId="381AA2F4">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00FD9FC">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45CE6740">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0AE9525D">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6360655B">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7E5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185" w:type="dxa"/>
            <w:gridSpan w:val="6"/>
            <w:tcBorders>
              <w:top w:val="single" w:color="auto" w:sz="4" w:space="0"/>
              <w:left w:val="single" w:color="auto" w:sz="4" w:space="0"/>
              <w:bottom w:val="single" w:color="auto" w:sz="4" w:space="0"/>
              <w:right w:val="single" w:color="auto" w:sz="4" w:space="0"/>
            </w:tcBorders>
            <w:vAlign w:val="center"/>
          </w:tcPr>
          <w:p w14:paraId="0A3C38F2">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人民币合计金额（大写）：                                 小写金额：</w:t>
            </w:r>
          </w:p>
        </w:tc>
      </w:tr>
    </w:tbl>
    <w:p w14:paraId="1E5CE887">
      <w:pP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1.所有价格均用人民币表示，单位为元，精确到个数位</w:t>
      </w:r>
    </w:p>
    <w:p w14:paraId="4A05027C">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指完成本项目所有成本、费用的总和。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w:t>
      </w:r>
    </w:p>
    <w:p w14:paraId="5FBE4793">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p>
    <w:p w14:paraId="54CA2B03">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投标报价应为所投项目的最终报价，包括一切税费、投标人应自行增加合法运行及使用所必须但招标文件没有包含的所有有关服务、硬件设备、材料、使用授权、版权、专利等一切费用，如果投标人在中标并签署合同后，发生任何遗漏，均由中标人免费提供，甲方不再支付任何费用。</w:t>
      </w:r>
    </w:p>
    <w:p w14:paraId="2BC3182D">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5.投标人文件中至少包含暖场表演、开幕仪式、文体</w:t>
      </w:r>
      <w:r>
        <w:rPr>
          <w:rFonts w:hint="eastAsia"/>
          <w:color w:val="000000" w:themeColor="text1"/>
          <w:highlight w:val="none"/>
          <w:lang w:eastAsia="zh-CN"/>
          <w14:textFill>
            <w14:solidFill>
              <w14:schemeClr w14:val="tx1"/>
            </w14:solidFill>
          </w14:textFill>
        </w:rPr>
        <w:t>演出</w:t>
      </w:r>
      <w:r>
        <w:rPr>
          <w:rFonts w:hint="eastAsia"/>
          <w:color w:val="000000" w:themeColor="text1"/>
          <w:highlight w:val="none"/>
          <w14:textFill>
            <w14:solidFill>
              <w14:schemeClr w14:val="tx1"/>
            </w14:solidFill>
          </w14:textFill>
        </w:rPr>
        <w:t>、闭幕式等相关环节的费用，如舞美、音乐、服装、道具、特种设备、主创人员劳务费、专业演员排练演出交通食宿和补助、工作人员后勤保障等详细经费报价清单，清单应包括数量、品牌、单价等。暖场表演、开幕仪式、文体</w:t>
      </w:r>
      <w:r>
        <w:rPr>
          <w:rFonts w:hint="eastAsia"/>
          <w:color w:val="000000" w:themeColor="text1"/>
          <w:highlight w:val="none"/>
          <w:lang w:eastAsia="zh-CN"/>
          <w14:textFill>
            <w14:solidFill>
              <w14:schemeClr w14:val="tx1"/>
            </w14:solidFill>
          </w14:textFill>
        </w:rPr>
        <w:t>演出</w:t>
      </w:r>
      <w:r>
        <w:rPr>
          <w:rFonts w:hint="eastAsia"/>
          <w:color w:val="000000" w:themeColor="text1"/>
          <w:highlight w:val="none"/>
          <w14:textFill>
            <w14:solidFill>
              <w14:schemeClr w14:val="tx1"/>
            </w14:solidFill>
          </w14:textFill>
        </w:rPr>
        <w:t>、闭幕仪式经费分开列明。</w:t>
      </w:r>
    </w:p>
    <w:p w14:paraId="1BB273BF">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6.在实施方案确定后，如采购人提出为了优化舞台效果而增加相应设备和服务（包括但不限于：实施团队、参演演员及团队、视频制作、服装、化妆、道具、音乐制作、舞台搭建、现场置景、LED租赁</w:t>
      </w:r>
      <w:r>
        <w:rPr>
          <w:rFonts w:hint="eastAsia"/>
          <w:color w:val="000000" w:themeColor="text1"/>
          <w:highlight w:val="none"/>
          <w:lang w:eastAsia="zh-CN"/>
          <w14:textFill>
            <w14:solidFill>
              <w14:schemeClr w14:val="tx1"/>
            </w14:solidFill>
          </w14:textFill>
        </w:rPr>
        <w:t>、灯光租赁、音响租赁、激光投影</w:t>
      </w:r>
      <w:r>
        <w:rPr>
          <w:rFonts w:hint="eastAsia"/>
          <w:color w:val="000000" w:themeColor="text1"/>
          <w:highlight w:val="none"/>
          <w14:textFill>
            <w14:solidFill>
              <w14:schemeClr w14:val="tx1"/>
            </w14:solidFill>
          </w14:textFill>
        </w:rPr>
        <w:t>、烟花、无人机、雾森、摄影、节目单制作、后勤保障、保险、所有演职员补助及交通食宿、主席台搭建、草皮盖板铺设、场地输配电保障（双路供电由场地运营方和供电公司负责）、旗杆吹飘器、闭幕式舞台搭建、闭幕仪式流程等）要求，其所需经费均由中标方承担，采购人不额外支付任何费用。（投标人应自行考虑上述风险因素作出投标及报价）。</w:t>
      </w:r>
    </w:p>
    <w:p w14:paraId="69338F1A">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7.本项目报价不得超过预算价（最高限价）。</w:t>
      </w:r>
    </w:p>
    <w:p w14:paraId="04F52462">
      <w:pPr>
        <w:spacing w:line="50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特别提醒：投标人应根据国家收费标准并结合市场实际进行报价，总价包干。</w:t>
      </w:r>
    </w:p>
    <w:p w14:paraId="6DC8D88B">
      <w:pPr>
        <w:spacing w:line="5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highlight w:val="none"/>
          <w14:textFill>
            <w14:solidFill>
              <w14:schemeClr w14:val="tx1"/>
            </w14:solidFill>
          </w14:textFill>
        </w:rPr>
        <w:t>（负责人）</w:t>
      </w:r>
      <w:r>
        <w:rPr>
          <w:rFonts w:hint="eastAsia" w:ascii="宋体" w:hAnsi="宋体" w:cs="宋体"/>
          <w:color w:val="000000" w:themeColor="text1"/>
          <w:szCs w:val="21"/>
          <w:highlight w:val="none"/>
          <w14:textFill>
            <w14:solidFill>
              <w14:schemeClr w14:val="tx1"/>
            </w14:solidFill>
          </w14:textFill>
        </w:rPr>
        <w:t>或委托代理人签名:</w:t>
      </w:r>
      <w:r>
        <w:rPr>
          <w:rFonts w:hint="eastAsia" w:ascii="宋体" w:hAnsi="宋体" w:cs="宋体"/>
          <w:color w:val="000000" w:themeColor="text1"/>
          <w:szCs w:val="21"/>
          <w:highlight w:val="none"/>
          <w:u w:val="single"/>
          <w14:textFill>
            <w14:solidFill>
              <w14:schemeClr w14:val="tx1"/>
            </w14:solidFill>
          </w14:textFill>
        </w:rPr>
        <w:t xml:space="preserve">              </w:t>
      </w:r>
    </w:p>
    <w:p w14:paraId="15A7D59A">
      <w:pPr>
        <w:spacing w:line="5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名称（盖章）：</w:t>
      </w:r>
      <w:r>
        <w:rPr>
          <w:rFonts w:hint="eastAsia" w:ascii="宋体" w:hAnsi="宋体" w:cs="宋体"/>
          <w:color w:val="000000" w:themeColor="text1"/>
          <w:szCs w:val="21"/>
          <w:highlight w:val="none"/>
          <w:u w:val="single"/>
          <w14:textFill>
            <w14:solidFill>
              <w14:schemeClr w14:val="tx1"/>
            </w14:solidFill>
          </w14:textFill>
        </w:rPr>
        <w:t xml:space="preserve">       </w:t>
      </w:r>
    </w:p>
    <w:p w14:paraId="578528BE">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报价时间：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0748E570">
      <w:pPr>
        <w:tabs>
          <w:tab w:val="left" w:pos="3870"/>
          <w:tab w:val="left" w:pos="408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4E21A180">
      <w:pPr>
        <w:tabs>
          <w:tab w:val="left" w:pos="3870"/>
          <w:tab w:val="left" w:pos="408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（3）投标人针对报价需要说明的其他文件和说明；（格式自拟）</w:t>
      </w:r>
    </w:p>
    <w:p w14:paraId="53E10286">
      <w:pPr>
        <w:tabs>
          <w:tab w:val="left" w:pos="3870"/>
          <w:tab w:val="left" w:pos="408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p>
    <w:p w14:paraId="7267EA8E">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7F22DD11">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28DE3434">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79496260">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51D47824">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7BB5A511">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5019419B">
      <w:pPr>
        <w:tabs>
          <w:tab w:val="left" w:pos="3870"/>
          <w:tab w:val="left" w:pos="4085"/>
        </w:tabs>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p>
    <w:p w14:paraId="7CB50833">
      <w:pPr>
        <w:tabs>
          <w:tab w:val="left" w:pos="3870"/>
          <w:tab w:val="left" w:pos="408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▲（4）开标一览表格式：</w:t>
      </w:r>
    </w:p>
    <w:p w14:paraId="6FD6CF8A">
      <w:pPr>
        <w:snapToGrid w:val="0"/>
        <w:spacing w:line="600" w:lineRule="exact"/>
        <w:jc w:val="center"/>
        <w:rPr>
          <w:rFonts w:hint="eastAsia" w:ascii="宋体" w:hAnsi="宋体" w:cs="宋体"/>
          <w:color w:val="000000" w:themeColor="text1"/>
          <w:sz w:val="30"/>
          <w:szCs w:val="30"/>
          <w:highlight w:val="none"/>
          <w14:textFill>
            <w14:solidFill>
              <w14:schemeClr w14:val="tx1"/>
            </w14:solidFill>
          </w14:textFill>
        </w:rPr>
      </w:pPr>
    </w:p>
    <w:p w14:paraId="452E821E">
      <w:pPr>
        <w:snapToGrid w:val="0"/>
        <w:spacing w:line="600" w:lineRule="exact"/>
        <w:jc w:val="center"/>
        <w:rPr>
          <w:rFonts w:hint="eastAsia" w:ascii="宋体" w:hAnsi="宋体" w:cs="宋体"/>
          <w:color w:val="000000" w:themeColor="text1"/>
          <w:sz w:val="30"/>
          <w:szCs w:val="30"/>
          <w:highlight w:val="none"/>
          <w14:textFill>
            <w14:solidFill>
              <w14:schemeClr w14:val="tx1"/>
            </w14:solidFill>
          </w14:textFill>
        </w:rPr>
      </w:pPr>
    </w:p>
    <w:p w14:paraId="7E292026">
      <w:pPr>
        <w:snapToGrid w:val="0"/>
        <w:spacing w:line="600" w:lineRule="exact"/>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开标一览表</w:t>
      </w:r>
    </w:p>
    <w:p w14:paraId="1C054724">
      <w:pPr>
        <w:jc w:val="center"/>
        <w:rPr>
          <w:rFonts w:ascii="宋体" w:hAnsi="宋体" w:cs="宋体"/>
          <w:b/>
          <w:color w:val="000000" w:themeColor="text1"/>
          <w:sz w:val="3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 w:val="32"/>
          <w:szCs w:val="21"/>
          <w:highlight w:val="none"/>
          <w14:textFill>
            <w14:solidFill>
              <w14:schemeClr w14:val="tx1"/>
            </w14:solidFill>
          </w14:textFill>
        </w:rPr>
        <w:t>报价表（格式）</w:t>
      </w:r>
    </w:p>
    <w:p w14:paraId="2AC700A3">
      <w:pPr>
        <w:spacing w:line="5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p>
    <w:p w14:paraId="5E469E57">
      <w:pPr>
        <w:spacing w:line="5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2181E804">
      <w:pPr>
        <w:tabs>
          <w:tab w:val="left" w:pos="3870"/>
          <w:tab w:val="left" w:pos="4085"/>
        </w:tabs>
        <w:adjustRightInd w:val="0"/>
        <w:snapToGrid w:val="0"/>
        <w:spacing w:line="360" w:lineRule="exact"/>
        <w:ind w:firstLine="7035" w:firstLineChars="33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金额单位：人民币（元）</w:t>
      </w:r>
      <w:r>
        <w:rPr>
          <w:rFonts w:hint="eastAsia" w:ascii="宋体" w:hAnsi="宋体" w:cs="宋体"/>
          <w:color w:val="000000" w:themeColor="text1"/>
          <w:szCs w:val="21"/>
          <w:highlight w:val="none"/>
          <w14:textFill>
            <w14:solidFill>
              <w14:schemeClr w14:val="tx1"/>
            </w14:solidFill>
          </w14:textFill>
        </w:rPr>
        <w:t xml:space="preserve"> </w:t>
      </w:r>
    </w:p>
    <w:p w14:paraId="70C77D88">
      <w:pPr>
        <w:spacing w:line="500" w:lineRule="exact"/>
        <w:rPr>
          <w:rFonts w:ascii="宋体" w:hAnsi="宋体" w:cs="宋体"/>
          <w:color w:val="000000" w:themeColor="text1"/>
          <w:szCs w:val="21"/>
          <w:highlight w:val="none"/>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05"/>
        <w:gridCol w:w="863"/>
        <w:gridCol w:w="863"/>
        <w:gridCol w:w="2719"/>
        <w:gridCol w:w="2004"/>
      </w:tblGrid>
      <w:tr w14:paraId="0C5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88A542B">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05" w:type="dxa"/>
            <w:tcBorders>
              <w:top w:val="single" w:color="auto" w:sz="4" w:space="0"/>
              <w:left w:val="single" w:color="auto" w:sz="4" w:space="0"/>
              <w:bottom w:val="single" w:color="auto" w:sz="4" w:space="0"/>
              <w:right w:val="single" w:color="auto" w:sz="4" w:space="0"/>
            </w:tcBorders>
            <w:vAlign w:val="center"/>
          </w:tcPr>
          <w:p w14:paraId="304D0E02">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863" w:type="dxa"/>
            <w:tcBorders>
              <w:top w:val="single" w:color="auto" w:sz="4" w:space="0"/>
              <w:left w:val="single" w:color="auto" w:sz="4" w:space="0"/>
              <w:bottom w:val="single" w:color="auto" w:sz="4" w:space="0"/>
              <w:right w:val="single" w:color="auto" w:sz="4" w:space="0"/>
            </w:tcBorders>
            <w:vAlign w:val="center"/>
          </w:tcPr>
          <w:p w14:paraId="35883162">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863" w:type="dxa"/>
            <w:tcBorders>
              <w:top w:val="single" w:color="auto" w:sz="4" w:space="0"/>
              <w:left w:val="single" w:color="auto" w:sz="4" w:space="0"/>
              <w:bottom w:val="single" w:color="auto" w:sz="4" w:space="0"/>
              <w:right w:val="single" w:color="auto" w:sz="4" w:space="0"/>
            </w:tcBorders>
            <w:vAlign w:val="center"/>
          </w:tcPr>
          <w:p w14:paraId="6720F966">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2719" w:type="dxa"/>
            <w:tcBorders>
              <w:top w:val="single" w:color="auto" w:sz="4" w:space="0"/>
              <w:left w:val="single" w:color="auto" w:sz="4" w:space="0"/>
              <w:bottom w:val="single" w:color="auto" w:sz="4" w:space="0"/>
              <w:right w:val="single" w:color="auto" w:sz="4" w:space="0"/>
            </w:tcBorders>
            <w:vAlign w:val="center"/>
          </w:tcPr>
          <w:p w14:paraId="588FEEE9">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  额</w:t>
            </w:r>
          </w:p>
          <w:p w14:paraId="09D79BD0">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2004" w:type="dxa"/>
            <w:tcBorders>
              <w:top w:val="single" w:color="auto" w:sz="4" w:space="0"/>
              <w:left w:val="single" w:color="auto" w:sz="4" w:space="0"/>
              <w:bottom w:val="single" w:color="auto" w:sz="4" w:space="0"/>
              <w:right w:val="single" w:color="auto" w:sz="4" w:space="0"/>
            </w:tcBorders>
            <w:vAlign w:val="center"/>
          </w:tcPr>
          <w:p w14:paraId="05384DF6">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说      明</w:t>
            </w:r>
          </w:p>
        </w:tc>
      </w:tr>
      <w:tr w14:paraId="2896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CFFAA77">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vAlign w:val="center"/>
          </w:tcPr>
          <w:p w14:paraId="6B4C5635">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19E44F4">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60A3D27">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58109253">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6A2A2D49">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1B3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295699DF">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vAlign w:val="center"/>
          </w:tcPr>
          <w:p w14:paraId="2D267552">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700033E">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48BBE25">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564CE2F3">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0B05151D">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234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0269185">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vAlign w:val="center"/>
          </w:tcPr>
          <w:p w14:paraId="1EDC338C">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5F5845B">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5A964F2E">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6C174F04">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378CB995">
            <w:pPr>
              <w:snapToGrid w:val="0"/>
              <w:spacing w:line="400" w:lineRule="exact"/>
              <w:jc w:val="center"/>
              <w:rPr>
                <w:rFonts w:ascii="宋体" w:hAnsi="宋体" w:cs="宋体"/>
                <w:color w:val="000000" w:themeColor="text1"/>
                <w:szCs w:val="21"/>
                <w:highlight w:val="none"/>
                <w14:textFill>
                  <w14:solidFill>
                    <w14:schemeClr w14:val="tx1"/>
                  </w14:solidFill>
                </w14:textFill>
              </w:rPr>
            </w:pPr>
          </w:p>
        </w:tc>
      </w:tr>
      <w:tr w14:paraId="7E8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185" w:type="dxa"/>
            <w:gridSpan w:val="6"/>
            <w:tcBorders>
              <w:top w:val="single" w:color="auto" w:sz="4" w:space="0"/>
              <w:left w:val="single" w:color="auto" w:sz="4" w:space="0"/>
              <w:bottom w:val="single" w:color="auto" w:sz="4" w:space="0"/>
              <w:right w:val="single" w:color="auto" w:sz="4" w:space="0"/>
            </w:tcBorders>
            <w:vAlign w:val="center"/>
          </w:tcPr>
          <w:p w14:paraId="3F8E0AE0">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人民币合计金额（大写）：                                 小写金额：</w:t>
            </w:r>
          </w:p>
        </w:tc>
      </w:tr>
    </w:tbl>
    <w:p w14:paraId="223BF323">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所有价格均用人民币表示，单位为元，精确到个数位</w:t>
      </w:r>
    </w:p>
    <w:p w14:paraId="2F6986F3">
      <w:pPr>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w:t>
      </w:r>
      <w:r>
        <w:rPr>
          <w:rFonts w:hint="eastAsia" w:ascii="宋体" w:hAnsi="宋体" w:cs="宋体"/>
          <w:bCs/>
          <w:color w:val="000000" w:themeColor="text1"/>
          <w:highlight w:val="none"/>
          <w:lang w:val="en-US"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报价指完成本项目所有成本、费用的总和</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w:t>
      </w:r>
    </w:p>
    <w:p w14:paraId="3EA84D39">
      <w:pPr>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p>
    <w:p w14:paraId="69A47508">
      <w:pPr>
        <w:snapToGrid w:val="0"/>
        <w:spacing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4.以上报价应与“</w:t>
      </w:r>
      <w:r>
        <w:rPr>
          <w:rFonts w:hint="eastAsia" w:ascii="宋体" w:hAnsi="宋体" w:cs="宋体"/>
          <w:b/>
          <w:color w:val="000000" w:themeColor="text1"/>
          <w:szCs w:val="21"/>
          <w:highlight w:val="none"/>
          <w14:textFill>
            <w14:solidFill>
              <w14:schemeClr w14:val="tx1"/>
            </w14:solidFill>
          </w14:textFill>
        </w:rPr>
        <w:t>投标报价明细表</w:t>
      </w:r>
      <w:r>
        <w:rPr>
          <w:rFonts w:hint="eastAsia" w:ascii="宋体" w:hAnsi="宋体" w:cs="宋体"/>
          <w:color w:val="000000" w:themeColor="text1"/>
          <w:szCs w:val="21"/>
          <w:highlight w:val="none"/>
          <w14:textFill>
            <w14:solidFill>
              <w14:schemeClr w14:val="tx1"/>
            </w14:solidFill>
          </w14:textFill>
        </w:rPr>
        <w:t>”中的“投标总价”相一致。</w:t>
      </w:r>
    </w:p>
    <w:p w14:paraId="35A8C635">
      <w:pPr>
        <w:snapToGrid w:val="0"/>
        <w:spacing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5.本项目投标报价不得超过预算金额，否则作无效投标处理。</w:t>
      </w:r>
    </w:p>
    <w:p w14:paraId="75CD0208">
      <w:pPr>
        <w:spacing w:line="5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highlight w:val="none"/>
          <w14:textFill>
            <w14:solidFill>
              <w14:schemeClr w14:val="tx1"/>
            </w14:solidFill>
          </w14:textFill>
        </w:rPr>
        <w:t>（负责人）</w:t>
      </w:r>
      <w:r>
        <w:rPr>
          <w:rFonts w:hint="eastAsia" w:ascii="宋体" w:hAnsi="宋体" w:cs="宋体"/>
          <w:color w:val="000000" w:themeColor="text1"/>
          <w:szCs w:val="21"/>
          <w:highlight w:val="none"/>
          <w14:textFill>
            <w14:solidFill>
              <w14:schemeClr w14:val="tx1"/>
            </w14:solidFill>
          </w14:textFill>
        </w:rPr>
        <w:t>或委托代理人签名:</w:t>
      </w:r>
      <w:r>
        <w:rPr>
          <w:rFonts w:hint="eastAsia" w:ascii="宋体" w:hAnsi="宋体" w:cs="宋体"/>
          <w:color w:val="000000" w:themeColor="text1"/>
          <w:szCs w:val="21"/>
          <w:highlight w:val="none"/>
          <w:u w:val="single"/>
          <w14:textFill>
            <w14:solidFill>
              <w14:schemeClr w14:val="tx1"/>
            </w14:solidFill>
          </w14:textFill>
        </w:rPr>
        <w:t xml:space="preserve">              </w:t>
      </w:r>
    </w:p>
    <w:p w14:paraId="31965FBA">
      <w:pPr>
        <w:spacing w:line="5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名称（盖章）：</w:t>
      </w:r>
      <w:r>
        <w:rPr>
          <w:rFonts w:hint="eastAsia" w:ascii="宋体" w:hAnsi="宋体" w:cs="宋体"/>
          <w:color w:val="000000" w:themeColor="text1"/>
          <w:szCs w:val="21"/>
          <w:highlight w:val="none"/>
          <w:u w:val="single"/>
          <w14:textFill>
            <w14:solidFill>
              <w14:schemeClr w14:val="tx1"/>
            </w14:solidFill>
          </w14:textFill>
        </w:rPr>
        <w:t xml:space="preserve">       </w:t>
      </w:r>
    </w:p>
    <w:p w14:paraId="4AADE58F">
      <w:pPr>
        <w:spacing w:line="5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报价时间：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5C58EE19">
      <w:pPr>
        <w:pStyle w:val="317"/>
        <w:ind w:firstLine="0" w:firstLineChars="0"/>
        <w:jc w:val="center"/>
        <w:outlineLvl w:val="1"/>
        <w:rPr>
          <w:rFonts w:cs="宋体"/>
          <w:color w:val="000000" w:themeColor="text1"/>
          <w:highlight w:val="none"/>
          <w14:textFill>
            <w14:solidFill>
              <w14:schemeClr w14:val="tx1"/>
            </w14:solidFill>
          </w14:textFill>
        </w:rPr>
      </w:pPr>
    </w:p>
    <w:p w14:paraId="5A019804">
      <w:pPr>
        <w:pStyle w:val="317"/>
        <w:ind w:firstLine="0" w:firstLineChars="0"/>
        <w:jc w:val="center"/>
        <w:outlineLvl w:val="1"/>
        <w:rPr>
          <w:rFonts w:cs="宋体"/>
          <w:color w:val="000000" w:themeColor="text1"/>
          <w:highlight w:val="none"/>
          <w14:textFill>
            <w14:solidFill>
              <w14:schemeClr w14:val="tx1"/>
            </w14:solidFill>
          </w14:textFill>
        </w:rPr>
      </w:pPr>
    </w:p>
    <w:p w14:paraId="3AE9B0B9">
      <w:pPr>
        <w:pStyle w:val="317"/>
        <w:ind w:firstLine="0" w:firstLineChars="0"/>
        <w:jc w:val="center"/>
        <w:outlineLvl w:val="1"/>
        <w:rPr>
          <w:rFonts w:cs="宋体"/>
          <w:color w:val="000000" w:themeColor="text1"/>
          <w:highlight w:val="none"/>
          <w14:textFill>
            <w14:solidFill>
              <w14:schemeClr w14:val="tx1"/>
            </w14:solidFill>
          </w14:textFill>
        </w:rPr>
      </w:pPr>
    </w:p>
    <w:p w14:paraId="6FB15130">
      <w:pPr>
        <w:pStyle w:val="317"/>
        <w:ind w:firstLine="0" w:firstLineChars="0"/>
        <w:jc w:val="center"/>
        <w:outlineLvl w:val="1"/>
        <w:rPr>
          <w:rFonts w:cs="宋体"/>
          <w:color w:val="000000" w:themeColor="text1"/>
          <w:highlight w:val="none"/>
          <w14:textFill>
            <w14:solidFill>
              <w14:schemeClr w14:val="tx1"/>
            </w14:solidFill>
          </w14:textFill>
        </w:rPr>
      </w:pPr>
    </w:p>
    <w:p w14:paraId="22AA79F2">
      <w:pPr>
        <w:pStyle w:val="317"/>
        <w:ind w:firstLine="0" w:firstLineChars="0"/>
        <w:jc w:val="center"/>
        <w:outlineLvl w:val="1"/>
        <w:rPr>
          <w:rFonts w:cs="宋体"/>
          <w:color w:val="000000" w:themeColor="text1"/>
          <w:highlight w:val="none"/>
          <w14:textFill>
            <w14:solidFill>
              <w14:schemeClr w14:val="tx1"/>
            </w14:solidFill>
          </w14:textFill>
        </w:rPr>
      </w:pPr>
    </w:p>
    <w:p w14:paraId="67BE12FB">
      <w:pPr>
        <w:pStyle w:val="317"/>
        <w:ind w:firstLine="0" w:firstLineChars="0"/>
        <w:jc w:val="center"/>
        <w:outlineLvl w:val="1"/>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四、其他文书、文件格式</w:t>
      </w:r>
    </w:p>
    <w:p w14:paraId="29F9D392">
      <w:pPr>
        <w:pStyle w:val="7"/>
        <w:overflowPunct w:val="0"/>
        <w:spacing w:line="360" w:lineRule="exact"/>
        <w:rPr>
          <w:rFonts w:ascii="宋体" w:hAnsi="宋体" w:cs="宋体"/>
          <w:color w:val="000000" w:themeColor="text1"/>
          <w:spacing w:val="20"/>
          <w:sz w:val="21"/>
          <w:szCs w:val="21"/>
          <w:highlight w:val="none"/>
          <w14:textFill>
            <w14:solidFill>
              <w14:schemeClr w14:val="tx1"/>
            </w14:solidFill>
          </w14:textFill>
        </w:rPr>
      </w:pPr>
    </w:p>
    <w:p w14:paraId="54EB2221">
      <w:pPr>
        <w:snapToGrid w:val="0"/>
        <w:spacing w:line="360" w:lineRule="auto"/>
        <w:rPr>
          <w:rFonts w:ascii="宋体" w:hAnsi="宋体" w:cs="宋体"/>
          <w:color w:val="000000" w:themeColor="text1"/>
          <w:spacing w:val="20"/>
          <w:szCs w:val="21"/>
          <w:highlight w:val="none"/>
          <w14:textFill>
            <w14:solidFill>
              <w14:schemeClr w14:val="tx1"/>
            </w14:solidFill>
          </w14:textFill>
        </w:rPr>
      </w:pPr>
      <w:bookmarkStart w:id="51" w:name="OLE_LINK13"/>
      <w:bookmarkStart w:id="52" w:name="OLE_LINK14"/>
      <w:r>
        <w:rPr>
          <w:rFonts w:hint="eastAsia" w:ascii="宋体" w:hAnsi="宋体" w:cs="宋体"/>
          <w:color w:val="000000" w:themeColor="text1"/>
          <w:spacing w:val="20"/>
          <w:sz w:val="28"/>
          <w:szCs w:val="28"/>
          <w:highlight w:val="none"/>
          <w14:textFill>
            <w14:solidFill>
              <w14:schemeClr w14:val="tx1"/>
            </w14:solidFill>
          </w14:textFill>
        </w:rPr>
        <w:t>（一）中小企业声明函格式：</w:t>
      </w:r>
    </w:p>
    <w:bookmarkEnd w:id="51"/>
    <w:bookmarkEnd w:id="52"/>
    <w:p w14:paraId="53218A13">
      <w:pPr>
        <w:widowControl/>
        <w:spacing w:after="262" w:line="3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中小企业声明函（服务）</w:t>
      </w:r>
    </w:p>
    <w:p w14:paraId="6B9627E9">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Cs w:val="21"/>
          <w:highlight w:val="none"/>
          <w:u w:val="single"/>
          <w14:textFill>
            <w14:solidFill>
              <w14:schemeClr w14:val="tx1"/>
            </w14:solidFill>
          </w14:textFill>
        </w:rPr>
        <w:t>（单位名称）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i/>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B81B465">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i/>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i/>
          <w:color w:val="000000" w:themeColor="text1"/>
          <w:szCs w:val="21"/>
          <w:highlight w:val="none"/>
          <w:u w:val="single"/>
          <w14:textFill>
            <w14:solidFill>
              <w14:schemeClr w14:val="tx1"/>
            </w14:solidFill>
          </w14:textFill>
        </w:rPr>
        <w:t>其他未列明行业</w:t>
      </w:r>
      <w:r>
        <w:rPr>
          <w:rFonts w:hint="eastAsia" w:ascii="宋体" w:hAnsi="宋体" w:cs="宋体"/>
          <w:color w:val="000000" w:themeColor="text1"/>
          <w:szCs w:val="21"/>
          <w:highlight w:val="none"/>
          <w14:textFill>
            <w14:solidFill>
              <w14:schemeClr w14:val="tx1"/>
            </w14:solidFill>
          </w14:textFill>
        </w:rPr>
        <w:t>行业；承接企业为</w:t>
      </w:r>
      <w:r>
        <w:rPr>
          <w:rFonts w:hint="eastAsia" w:ascii="宋体" w:hAnsi="宋体" w:cs="宋体"/>
          <w:i/>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，从业人员________人，营业收入为_________万元，资产总额为________万元，属于</w:t>
      </w:r>
      <w:r>
        <w:rPr>
          <w:rFonts w:hint="eastAsia" w:ascii="宋体" w:hAnsi="宋体" w:cs="宋体"/>
          <w:i/>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178F80EC">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i/>
          <w:color w:val="000000" w:themeColor="text1"/>
          <w:szCs w:val="21"/>
          <w:highlight w:val="none"/>
          <w:u w:val="single"/>
          <w14:textFill>
            <w14:solidFill>
              <w14:schemeClr w14:val="tx1"/>
            </w14:solidFill>
          </w14:textFill>
        </w:rPr>
        <w:t xml:space="preserve"> （标的名称）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i/>
          <w:color w:val="000000" w:themeColor="text1"/>
          <w:szCs w:val="21"/>
          <w:highlight w:val="none"/>
          <w:u w:val="single"/>
          <w14:textFill>
            <w14:solidFill>
              <w14:schemeClr w14:val="tx1"/>
            </w14:solidFill>
          </w14:textFill>
        </w:rPr>
        <w:t>（采购文件中明确的所属行业）</w:t>
      </w:r>
      <w:r>
        <w:rPr>
          <w:rFonts w:hint="eastAsia" w:ascii="宋体" w:hAnsi="宋体" w:cs="宋体"/>
          <w:color w:val="000000" w:themeColor="text1"/>
          <w:szCs w:val="21"/>
          <w:highlight w:val="none"/>
          <w14:textFill>
            <w14:solidFill>
              <w14:schemeClr w14:val="tx1"/>
            </w14:solidFill>
          </w14:textFill>
        </w:rPr>
        <w:t>行业；承接企业为</w:t>
      </w:r>
      <w:r>
        <w:rPr>
          <w:rFonts w:hint="eastAsia" w:ascii="宋体" w:hAnsi="宋体" w:cs="宋体"/>
          <w:i/>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，从业人员________人，营业收入为_________万元，资产总额为________万元，属于</w:t>
      </w:r>
      <w:r>
        <w:rPr>
          <w:rFonts w:hint="eastAsia" w:ascii="宋体" w:hAnsi="宋体" w:cs="宋体"/>
          <w:i/>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45013FAD">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09986E2C">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DFF4BA3">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14:paraId="279D187D">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企业名称（盖章）：</w:t>
      </w:r>
    </w:p>
    <w:p w14:paraId="35DB3DDE">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    期：</w:t>
      </w:r>
    </w:p>
    <w:p w14:paraId="0B76F87D">
      <w:pPr>
        <w:widowControl/>
        <w:spacing w:line="360" w:lineRule="auto"/>
        <w:ind w:firstLine="420" w:firstLineChars="200"/>
        <w:rPr>
          <w:rFonts w:ascii="宋体" w:hAnsi="宋体" w:cs="宋体"/>
          <w:color w:val="000000" w:themeColor="text1"/>
          <w:highlight w:val="none"/>
          <w14:textFill>
            <w14:solidFill>
              <w14:schemeClr w14:val="tx1"/>
            </w14:solidFill>
          </w14:textFill>
        </w:rPr>
      </w:pPr>
    </w:p>
    <w:p w14:paraId="4916542D">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填写注意事项：</w:t>
      </w:r>
    </w:p>
    <w:p w14:paraId="27B7A5ED">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（1）从业人员、营业收入、资产总额填报上一年度数据，无上一年度数据的新成立企业可不填报。</w:t>
      </w:r>
    </w:p>
    <w:p w14:paraId="66770F50">
      <w:pPr>
        <w:widowControl/>
        <w:spacing w:line="360" w:lineRule="auto"/>
        <w:ind w:firstLine="42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（2）</w:t>
      </w:r>
      <w:r>
        <w:rPr>
          <w:rFonts w:hint="eastAsia" w:ascii="宋体" w:hAnsi="宋体" w:cs="宋体"/>
          <w:color w:val="000000" w:themeColor="text1"/>
          <w:highlight w:val="none"/>
          <w:shd w:val="clear" w:color="auto" w:fill="FFFFFF"/>
          <w:lang w:eastAsia="zh-CN"/>
          <w14:textFill>
            <w14:solidFill>
              <w14:schemeClr w14:val="tx1"/>
            </w14:solidFill>
          </w14:textFill>
        </w:rPr>
        <w:t>投标人</w:t>
      </w:r>
      <w:r>
        <w:rPr>
          <w:rFonts w:hint="eastAsia" w:ascii="宋体" w:hAnsi="宋体" w:cs="宋体"/>
          <w:color w:val="000000" w:themeColor="text1"/>
          <w:highlight w:val="none"/>
          <w:shd w:val="clear" w:color="auto" w:fill="FFFFFF"/>
          <w14:textFill>
            <w14:solidFill>
              <w14:schemeClr w14:val="tx1"/>
            </w14:solidFill>
          </w14:textFill>
        </w:rPr>
        <w:t>按照本办法规定提供声明函内容不实的，属于提供虚假材料谋取中标、成交，依照《中华人民共和国政府采购法》等国家有关规定追究相应责任。</w:t>
      </w:r>
    </w:p>
    <w:p w14:paraId="48BDA30F">
      <w:pPr>
        <w:widowControl/>
        <w:spacing w:line="360" w:lineRule="auto"/>
        <w:ind w:firstLine="420" w:firstLineChars="200"/>
        <w:rPr>
          <w:rFonts w:ascii="宋体" w:hAnsi="宋体" w:cs="宋体"/>
          <w:bCs/>
          <w:color w:val="000000" w:themeColor="text1"/>
          <w:sz w:val="32"/>
          <w:highlight w:val="none"/>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（3）政府采购监督检查、投诉处理及政府采购行政处罚中对中小企业的认定，由货物制造商或者工程、服务</w:t>
      </w:r>
      <w:r>
        <w:rPr>
          <w:rFonts w:hint="eastAsia" w:ascii="宋体" w:hAnsi="宋体" w:cs="宋体"/>
          <w:color w:val="000000" w:themeColor="text1"/>
          <w:highlight w:val="none"/>
          <w:shd w:val="clear" w:color="auto" w:fill="FFFFFF"/>
          <w:lang w:eastAsia="zh-CN"/>
          <w14:textFill>
            <w14:solidFill>
              <w14:schemeClr w14:val="tx1"/>
            </w14:solidFill>
          </w14:textFill>
        </w:rPr>
        <w:t>投标人</w:t>
      </w:r>
      <w:r>
        <w:rPr>
          <w:rFonts w:hint="eastAsia" w:ascii="宋体" w:hAnsi="宋体" w:cs="宋体"/>
          <w:color w:val="000000" w:themeColor="text1"/>
          <w:highlight w:val="none"/>
          <w:shd w:val="clear" w:color="auto" w:fill="FFFFFF"/>
          <w14:textFill>
            <w14:solidFill>
              <w14:schemeClr w14:val="tx1"/>
            </w14:solidFill>
          </w14:textFill>
        </w:rPr>
        <w:t>注册登记所在地的县级以上人民政府中小企业主管部门负责。</w:t>
      </w:r>
    </w:p>
    <w:p w14:paraId="1B2932F6">
      <w:pPr>
        <w:pStyle w:val="7"/>
        <w:overflowPunct w:val="0"/>
        <w:spacing w:line="360" w:lineRule="exact"/>
        <w:ind w:firstLine="0"/>
        <w:rPr>
          <w:rFonts w:ascii="宋体" w:hAnsi="宋体" w:cs="宋体"/>
          <w:color w:val="000000" w:themeColor="text1"/>
          <w:sz w:val="28"/>
          <w:szCs w:val="28"/>
          <w:highlight w:val="none"/>
          <w14:textFill>
            <w14:solidFill>
              <w14:schemeClr w14:val="tx1"/>
            </w14:solidFill>
          </w14:textFill>
        </w:rPr>
      </w:pPr>
    </w:p>
    <w:p w14:paraId="288783F8">
      <w:pPr>
        <w:pStyle w:val="7"/>
        <w:overflowPunct w:val="0"/>
        <w:spacing w:line="360" w:lineRule="exact"/>
        <w:ind w:firstLine="0"/>
        <w:rPr>
          <w:rFonts w:hint="eastAsia" w:ascii="宋体" w:hAnsi="宋体" w:cs="宋体"/>
          <w:color w:val="000000" w:themeColor="text1"/>
          <w:sz w:val="28"/>
          <w:szCs w:val="28"/>
          <w:highlight w:val="none"/>
          <w14:textFill>
            <w14:solidFill>
              <w14:schemeClr w14:val="tx1"/>
            </w14:solidFill>
          </w14:textFill>
        </w:rPr>
      </w:pPr>
    </w:p>
    <w:p w14:paraId="34675AE6">
      <w:pPr>
        <w:pStyle w:val="7"/>
        <w:overflowPunct w:val="0"/>
        <w:spacing w:line="360" w:lineRule="exact"/>
        <w:ind w:firstLine="0"/>
        <w:rPr>
          <w:rFonts w:hint="eastAsia" w:ascii="宋体" w:hAnsi="宋体" w:cs="宋体"/>
          <w:color w:val="000000" w:themeColor="text1"/>
          <w:sz w:val="28"/>
          <w:szCs w:val="28"/>
          <w:highlight w:val="none"/>
          <w14:textFill>
            <w14:solidFill>
              <w14:schemeClr w14:val="tx1"/>
            </w14:solidFill>
          </w14:textFill>
        </w:rPr>
      </w:pPr>
    </w:p>
    <w:p w14:paraId="62A3269E">
      <w:pPr>
        <w:pStyle w:val="7"/>
        <w:overflowPunct w:val="0"/>
        <w:spacing w:line="360" w:lineRule="exact"/>
        <w:ind w:firstLine="0"/>
        <w:rPr>
          <w:rFonts w:hint="eastAsia" w:ascii="宋体" w:hAnsi="宋体" w:cs="宋体"/>
          <w:color w:val="000000" w:themeColor="text1"/>
          <w:sz w:val="28"/>
          <w:szCs w:val="28"/>
          <w:highlight w:val="none"/>
          <w14:textFill>
            <w14:solidFill>
              <w14:schemeClr w14:val="tx1"/>
            </w14:solidFill>
          </w14:textFill>
        </w:rPr>
      </w:pPr>
    </w:p>
    <w:p w14:paraId="3087A677">
      <w:pPr>
        <w:pStyle w:val="7"/>
        <w:overflowPunct w:val="0"/>
        <w:spacing w:line="360" w:lineRule="exact"/>
        <w:ind w:firstLine="0"/>
        <w:rPr>
          <w:rFonts w:hint="eastAsia" w:ascii="宋体" w:hAnsi="宋体" w:cs="宋体"/>
          <w:color w:val="000000" w:themeColor="text1"/>
          <w:sz w:val="28"/>
          <w:szCs w:val="28"/>
          <w:highlight w:val="none"/>
          <w14:textFill>
            <w14:solidFill>
              <w14:schemeClr w14:val="tx1"/>
            </w14:solidFill>
          </w14:textFill>
        </w:rPr>
      </w:pPr>
    </w:p>
    <w:p w14:paraId="217EC600">
      <w:pPr>
        <w:pStyle w:val="7"/>
        <w:overflowPunct w:val="0"/>
        <w:spacing w:line="360" w:lineRule="exact"/>
        <w:ind w:firstLine="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（二）残疾人福利性单位声明函格式：</w:t>
      </w:r>
    </w:p>
    <w:p w14:paraId="544567C4">
      <w:pPr>
        <w:spacing w:line="560" w:lineRule="exact"/>
        <w:jc w:val="center"/>
        <w:rPr>
          <w:rFonts w:ascii="宋体" w:hAnsi="宋体" w:cs="宋体"/>
          <w:color w:val="000000" w:themeColor="text1"/>
          <w:szCs w:val="21"/>
          <w:highlight w:val="none"/>
          <w14:textFill>
            <w14:solidFill>
              <w14:schemeClr w14:val="tx1"/>
            </w14:solidFill>
          </w14:textFill>
        </w:rPr>
      </w:pPr>
    </w:p>
    <w:p w14:paraId="3D07EDC8">
      <w:pPr>
        <w:spacing w:line="560" w:lineRule="exact"/>
        <w:jc w:val="center"/>
        <w:rPr>
          <w:rFonts w:ascii="宋体" w:hAnsi="宋体" w:cs="宋体"/>
          <w:b/>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残疾人福利性单位声明函</w:t>
      </w:r>
    </w:p>
    <w:p w14:paraId="129C1727">
      <w:pPr>
        <w:spacing w:line="560" w:lineRule="exact"/>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25D217">
      <w:pPr>
        <w:spacing w:line="560" w:lineRule="exact"/>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1AA88E0F">
      <w:pPr>
        <w:spacing w:line="560" w:lineRule="exact"/>
        <w:ind w:firstLine="444" w:firstLineChars="200"/>
        <w:rPr>
          <w:rFonts w:ascii="宋体" w:hAnsi="宋体" w:cs="宋体"/>
          <w:color w:val="000000" w:themeColor="text1"/>
          <w:spacing w:val="6"/>
          <w:szCs w:val="21"/>
          <w:highlight w:val="none"/>
          <w14:textFill>
            <w14:solidFill>
              <w14:schemeClr w14:val="tx1"/>
            </w14:solidFill>
          </w14:textFill>
        </w:rPr>
      </w:pPr>
    </w:p>
    <w:p w14:paraId="62DE0520">
      <w:pPr>
        <w:spacing w:line="560" w:lineRule="exact"/>
        <w:ind w:firstLine="444" w:firstLineChars="200"/>
        <w:rPr>
          <w:rFonts w:ascii="宋体" w:hAnsi="宋体" w:cs="宋体"/>
          <w:color w:val="000000" w:themeColor="text1"/>
          <w:spacing w:val="6"/>
          <w:szCs w:val="21"/>
          <w:highlight w:val="none"/>
          <w14:textFill>
            <w14:solidFill>
              <w14:schemeClr w14:val="tx1"/>
            </w14:solidFill>
          </w14:textFill>
        </w:rPr>
      </w:pPr>
    </w:p>
    <w:p w14:paraId="406D3EF7">
      <w:pPr>
        <w:tabs>
          <w:tab w:val="left" w:pos="4860"/>
        </w:tabs>
        <w:spacing w:line="560" w:lineRule="exact"/>
        <w:ind w:right="1560" w:firstLine="444" w:firstLineChars="200"/>
        <w:jc w:val="center"/>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4563EA25">
      <w:pPr>
        <w:widowControl/>
        <w:spacing w:before="100" w:beforeAutospacing="1" w:after="100" w:afterAutospacing="1" w:line="560" w:lineRule="exact"/>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74394E92">
      <w:pPr>
        <w:widowControl/>
        <w:spacing w:line="560" w:lineRule="exact"/>
        <w:ind w:firstLine="413" w:firstLineChars="196"/>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14AD2242">
      <w:pPr>
        <w:widowControl/>
        <w:spacing w:line="560" w:lineRule="exact"/>
        <w:ind w:firstLine="413" w:firstLineChars="196"/>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中标、成交</w:t>
      </w:r>
      <w:r>
        <w:rPr>
          <w:rFonts w:hint="eastAsia" w:ascii="宋体" w:hAnsi="宋体" w:cs="宋体"/>
          <w:b/>
          <w:color w:val="000000" w:themeColor="text1"/>
          <w:kern w:val="0"/>
          <w:szCs w:val="21"/>
          <w:highlight w:val="none"/>
          <w:lang w:eastAsia="zh-CN"/>
          <w14:textFill>
            <w14:solidFill>
              <w14:schemeClr w14:val="tx1"/>
            </w14:solidFill>
          </w14:textFill>
        </w:rPr>
        <w:t>投标人</w:t>
      </w:r>
      <w:r>
        <w:rPr>
          <w:rFonts w:hint="eastAsia" w:ascii="宋体" w:hAnsi="宋体" w:cs="宋体"/>
          <w:b/>
          <w:color w:val="000000" w:themeColor="text1"/>
          <w:kern w:val="0"/>
          <w:szCs w:val="21"/>
          <w:highlight w:val="none"/>
          <w14:textFill>
            <w14:solidFill>
              <w14:schemeClr w14:val="tx1"/>
            </w14:solidFill>
          </w14:textFill>
        </w:rPr>
        <w:t>为残疾人福利性单位的，采购人或者其委托的采购代理机构应当随中标、成交结果同时公告其《残疾人福利性单位声明函》，接受社会监督。</w:t>
      </w:r>
    </w:p>
    <w:p w14:paraId="30BAE691">
      <w:pPr>
        <w:widowControl/>
        <w:spacing w:line="560" w:lineRule="exact"/>
        <w:ind w:firstLine="413" w:firstLineChars="196"/>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kern w:val="0"/>
          <w:szCs w:val="21"/>
          <w:highlight w:val="none"/>
          <w:lang w:eastAsia="zh-CN"/>
          <w14:textFill>
            <w14:solidFill>
              <w14:schemeClr w14:val="tx1"/>
            </w14:solidFill>
          </w14:textFill>
        </w:rPr>
        <w:t>投标人</w:t>
      </w:r>
      <w:r>
        <w:rPr>
          <w:rFonts w:hint="eastAsia" w:ascii="宋体" w:hAnsi="宋体" w:cs="宋体"/>
          <w:b/>
          <w:color w:val="000000" w:themeColor="text1"/>
          <w:kern w:val="0"/>
          <w:szCs w:val="21"/>
          <w:highlight w:val="none"/>
          <w14:textFill>
            <w14:solidFill>
              <w14:schemeClr w14:val="tx1"/>
            </w14:solidFill>
          </w14:textFill>
        </w:rPr>
        <w:t>提供的《残疾人福利性单位声明函》与事实不符的，依照《政府采购法》第七十七条第一款的规定追究法律责任。</w:t>
      </w:r>
    </w:p>
    <w:p w14:paraId="7F26C2E5">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F976B06">
      <w:pPr>
        <w:spacing w:line="360" w:lineRule="auto"/>
        <w:rPr>
          <w:rFonts w:ascii="宋体" w:hAnsi="宋体" w:cs="宋体"/>
          <w:b/>
          <w:color w:val="000000" w:themeColor="text1"/>
          <w:spacing w:val="6"/>
          <w:sz w:val="32"/>
          <w:szCs w:val="32"/>
          <w:highlight w:val="none"/>
          <w14:textFill>
            <w14:solidFill>
              <w14:schemeClr w14:val="tx1"/>
            </w14:solidFill>
          </w14:textFill>
        </w:rPr>
      </w:pPr>
    </w:p>
    <w:p w14:paraId="4B024967">
      <w:pPr>
        <w:spacing w:line="360" w:lineRule="auto"/>
        <w:rPr>
          <w:rFonts w:ascii="宋体" w:hAnsi="宋体" w:cs="宋体"/>
          <w:b/>
          <w:color w:val="000000" w:themeColor="text1"/>
          <w:spacing w:val="6"/>
          <w:sz w:val="32"/>
          <w:szCs w:val="32"/>
          <w:highlight w:val="none"/>
          <w14:textFill>
            <w14:solidFill>
              <w14:schemeClr w14:val="tx1"/>
            </w14:solidFill>
          </w14:textFill>
        </w:rPr>
      </w:pPr>
    </w:p>
    <w:p w14:paraId="560D002C">
      <w:pPr>
        <w:spacing w:line="360" w:lineRule="auto"/>
        <w:rPr>
          <w:rFonts w:ascii="宋体" w:hAnsi="宋体" w:cs="宋体"/>
          <w:b/>
          <w:color w:val="000000" w:themeColor="text1"/>
          <w:spacing w:val="6"/>
          <w:sz w:val="28"/>
          <w:szCs w:val="28"/>
          <w:highlight w:val="none"/>
          <w14:textFill>
            <w14:solidFill>
              <w14:schemeClr w14:val="tx1"/>
            </w14:solidFill>
          </w14:textFill>
        </w:rPr>
      </w:pPr>
    </w:p>
    <w:p w14:paraId="516BF4BF">
      <w:pPr>
        <w:spacing w:line="360" w:lineRule="auto"/>
        <w:rPr>
          <w:rFonts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（三）质疑函范本格式：</w:t>
      </w:r>
    </w:p>
    <w:p w14:paraId="118D772D">
      <w:pPr>
        <w:spacing w:line="360" w:lineRule="auto"/>
        <w:jc w:val="center"/>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质疑函范本</w:t>
      </w:r>
    </w:p>
    <w:p w14:paraId="49501E2A">
      <w:pPr>
        <w:keepNext w:val="0"/>
        <w:keepLines w:val="0"/>
        <w:pageBreakBefore w:val="0"/>
        <w:kinsoku/>
        <w:wordWrap/>
        <w:overflowPunct/>
        <w:topLinePunct w:val="0"/>
        <w:autoSpaceDE/>
        <w:autoSpaceDN/>
        <w:bidi w:val="0"/>
        <w:adjustRightInd w:val="0"/>
        <w:snapToGrid w:val="0"/>
        <w:spacing w:before="312" w:beforeLines="100" w:line="360" w:lineRule="exact"/>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一、质疑</w:t>
      </w:r>
      <w:r>
        <w:rPr>
          <w:rFonts w:hint="eastAsia" w:ascii="宋体" w:hAnsi="宋体" w:cs="宋体"/>
          <w:bCs/>
          <w:color w:val="000000" w:themeColor="text1"/>
          <w:sz w:val="21"/>
          <w:szCs w:val="21"/>
          <w:highlight w:val="none"/>
          <w:lang w:eastAsia="zh-CN"/>
          <w14:textFill>
            <w14:solidFill>
              <w14:schemeClr w14:val="tx1"/>
            </w14:solidFill>
          </w14:textFill>
        </w:rPr>
        <w:t>投标人</w:t>
      </w:r>
      <w:r>
        <w:rPr>
          <w:rFonts w:hint="eastAsia" w:ascii="宋体" w:hAnsi="宋体" w:cs="宋体"/>
          <w:bCs/>
          <w:color w:val="000000" w:themeColor="text1"/>
          <w:sz w:val="21"/>
          <w:szCs w:val="21"/>
          <w:highlight w:val="none"/>
          <w14:textFill>
            <w14:solidFill>
              <w14:schemeClr w14:val="tx1"/>
            </w14:solidFill>
          </w14:textFill>
        </w:rPr>
        <w:t>基本信息</w:t>
      </w:r>
    </w:p>
    <w:p w14:paraId="2789185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258ECB53">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u w:val="dotted"/>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邮编：</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30FC0AC3">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u w:val="dotted"/>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联系电话：</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14E3F05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授权代表：</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1CD59DE2">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联系电话：</w:t>
      </w:r>
      <w:r>
        <w:rPr>
          <w:rFonts w:hint="eastAsia" w:ascii="宋体" w:hAnsi="宋体" w:cs="宋体"/>
          <w:color w:val="000000" w:themeColor="text1"/>
          <w:sz w:val="21"/>
          <w:szCs w:val="21"/>
          <w:highlight w:val="none"/>
          <w:u w:val="dotted"/>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5B83B597">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地址： </w:t>
      </w:r>
      <w:r>
        <w:rPr>
          <w:rFonts w:hint="eastAsia" w:ascii="宋体" w:hAnsi="宋体" w:cs="宋体"/>
          <w:color w:val="000000" w:themeColor="text1"/>
          <w:sz w:val="21"/>
          <w:szCs w:val="21"/>
          <w:highlight w:val="none"/>
          <w:u w:val="dotted"/>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邮编：</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330C6069">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二、质疑项目基本情况</w:t>
      </w:r>
    </w:p>
    <w:p w14:paraId="083AB11D">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质疑项目的名称：</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40BD0382">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质疑项目的编号：</w:t>
      </w:r>
      <w:r>
        <w:rPr>
          <w:rFonts w:hint="eastAsia" w:ascii="宋体" w:hAnsi="宋体" w:cs="宋体"/>
          <w:color w:val="000000" w:themeColor="text1"/>
          <w:sz w:val="21"/>
          <w:szCs w:val="21"/>
          <w:highlight w:val="none"/>
          <w:u w:val="dotted"/>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包号：</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2A66964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采购人名称：</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1FF5E3CF">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采购文件获取日期：</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5EFCF438">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三、质疑事项具体内容</w:t>
      </w:r>
    </w:p>
    <w:p w14:paraId="34CEE837">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质疑事项1：</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1242C8F4">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事实依据：</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37A7899B">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68372E1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法律依据：</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5CB940C1">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2A1F31A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质疑事项2</w:t>
      </w:r>
    </w:p>
    <w:p w14:paraId="4FDE092A">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p w14:paraId="47A34908">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四、与质疑事项相关的质疑请求</w:t>
      </w:r>
    </w:p>
    <w:p w14:paraId="0FC528C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u w:val="dotted"/>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请求：</w:t>
      </w:r>
      <w:r>
        <w:rPr>
          <w:rFonts w:hint="eastAsia" w:ascii="宋体" w:hAnsi="宋体" w:cs="宋体"/>
          <w:color w:val="000000" w:themeColor="text1"/>
          <w:sz w:val="21"/>
          <w:szCs w:val="21"/>
          <w:highlight w:val="none"/>
          <w:u w:val="dotted"/>
          <w14:textFill>
            <w14:solidFill>
              <w14:schemeClr w14:val="tx1"/>
            </w14:solidFill>
          </w14:textFill>
        </w:rPr>
        <w:t xml:space="preserve">                                               </w:t>
      </w:r>
    </w:p>
    <w:p w14:paraId="03A35FE9">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签字(签章)：                   公章：                      </w:t>
      </w:r>
    </w:p>
    <w:p w14:paraId="7A7CFA5A">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日期：    </w:t>
      </w:r>
    </w:p>
    <w:p w14:paraId="0F6813B4">
      <w:pPr>
        <w:keepNext w:val="0"/>
        <w:keepLines w:val="0"/>
        <w:pageBreakBefore w:val="0"/>
        <w:kinsoku/>
        <w:wordWrap/>
        <w:overflowPunct/>
        <w:topLinePunct w:val="0"/>
        <w:autoSpaceDE/>
        <w:autoSpaceDN/>
        <w:bidi w:val="0"/>
        <w:spacing w:line="360" w:lineRule="exact"/>
        <w:textAlignment w:val="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质疑函制作说明：</w:t>
      </w:r>
    </w:p>
    <w:p w14:paraId="4318A49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质疑供应商</w:t>
      </w:r>
      <w:r>
        <w:rPr>
          <w:rFonts w:hint="eastAsia" w:ascii="宋体" w:hAnsi="宋体" w:cs="宋体"/>
          <w:color w:val="000000" w:themeColor="text1"/>
          <w:sz w:val="21"/>
          <w:szCs w:val="21"/>
          <w:highlight w:val="none"/>
          <w14:textFill>
            <w14:solidFill>
              <w14:schemeClr w14:val="tx1"/>
            </w14:solidFill>
          </w14:textFill>
        </w:rPr>
        <w:t>提出质疑时，应提交质疑函和必要的证明材料。</w:t>
      </w:r>
    </w:p>
    <w:p w14:paraId="43DA28A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2.质疑</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若委托代理人进行质疑的，质疑函应按要求列明“授权代表”的有关内容，并在附件中提交由质疑</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kern w:val="0"/>
          <w:sz w:val="21"/>
          <w:szCs w:val="21"/>
          <w:highlight w:val="none"/>
          <w14:textFill>
            <w14:solidFill>
              <w14:schemeClr w14:val="tx1"/>
            </w14:solidFill>
          </w14:textFill>
        </w:rPr>
        <w:t>签署的授权委托书。授权委托书应载明代理人的姓名或者名称、代理事项、具体权限、期限和相关事项。</w:t>
      </w:r>
    </w:p>
    <w:p w14:paraId="7FB1AE0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3.质疑</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若对项目的某一分包进行质疑，质疑函中应列明具体分包号。</w:t>
      </w:r>
    </w:p>
    <w:p w14:paraId="148CCBD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4.质疑函的质疑事项应具体、明确，并有必要的事实依据和法律依据。</w:t>
      </w:r>
    </w:p>
    <w:p w14:paraId="06A3815D">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5.质疑函的质疑请求应与质疑事项相关。</w:t>
      </w:r>
    </w:p>
    <w:p w14:paraId="5054BD6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6.质疑</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为自然人的，质疑函应由本人签字；质疑</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为法人或者其他组织的，质疑函应由法定代表人、主要负责人，或者其授权代表签字或者盖章，并加盖公章。</w:t>
      </w:r>
    </w:p>
    <w:p w14:paraId="500F9A28">
      <w:pPr>
        <w:spacing w:line="360" w:lineRule="auto"/>
        <w:rPr>
          <w:rFonts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（四）投诉书范本格式：</w:t>
      </w:r>
    </w:p>
    <w:p w14:paraId="2BFE8BA9">
      <w:pPr>
        <w:pStyle w:val="29"/>
        <w:snapToGrid w:val="0"/>
        <w:spacing w:line="44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政府采购</w:t>
      </w:r>
      <w:r>
        <w:rPr>
          <w:rFonts w:hint="eastAsia" w:hAnsi="宋体" w:cs="宋体"/>
          <w:b/>
          <w:bCs/>
          <w:color w:val="000000" w:themeColor="text1"/>
          <w:sz w:val="24"/>
          <w:szCs w:val="24"/>
          <w:highlight w:val="none"/>
          <w:lang w:eastAsia="zh-CN"/>
          <w14:textFill>
            <w14:solidFill>
              <w14:schemeClr w14:val="tx1"/>
            </w14:solidFill>
          </w14:textFill>
        </w:rPr>
        <w:t>投标人</w:t>
      </w:r>
      <w:r>
        <w:rPr>
          <w:rFonts w:hint="eastAsia" w:hAnsi="宋体" w:cs="宋体"/>
          <w:b/>
          <w:bCs/>
          <w:color w:val="000000" w:themeColor="text1"/>
          <w:sz w:val="24"/>
          <w:szCs w:val="24"/>
          <w:highlight w:val="none"/>
          <w14:textFill>
            <w14:solidFill>
              <w14:schemeClr w14:val="tx1"/>
            </w14:solidFill>
          </w14:textFill>
        </w:rPr>
        <w:t>投诉书范本</w:t>
      </w:r>
    </w:p>
    <w:p w14:paraId="2708B01D">
      <w:pPr>
        <w:pStyle w:val="29"/>
        <w:snapToGrid w:val="0"/>
        <w:spacing w:line="440" w:lineRule="exact"/>
        <w:jc w:val="center"/>
        <w:rPr>
          <w:rFonts w:hAnsi="宋体" w:cs="宋体"/>
          <w:b/>
          <w:bCs/>
          <w:color w:val="000000" w:themeColor="text1"/>
          <w:sz w:val="21"/>
          <w:highlight w:val="none"/>
          <w14:textFill>
            <w14:solidFill>
              <w14:schemeClr w14:val="tx1"/>
            </w14:solidFill>
          </w14:textFill>
        </w:rPr>
      </w:pPr>
    </w:p>
    <w:p w14:paraId="69A41D5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一、投诉相关主体基本情况</w:t>
      </w:r>
    </w:p>
    <w:p w14:paraId="0C536B3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投诉人：</w:t>
      </w:r>
    </w:p>
    <w:p w14:paraId="2AB01EE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邮编：</w:t>
      </w:r>
    </w:p>
    <w:p w14:paraId="0849B30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法定代表人/主要负责人：</w:t>
      </w:r>
    </w:p>
    <w:p w14:paraId="6C857FD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p w14:paraId="62F1D16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授权代表：联系电话：</w:t>
      </w:r>
    </w:p>
    <w:p w14:paraId="2F38111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邮编：</w:t>
      </w:r>
    </w:p>
    <w:p w14:paraId="4E080BB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被投诉人1：</w:t>
      </w:r>
    </w:p>
    <w:p w14:paraId="36A44CB2">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邮编：</w:t>
      </w:r>
    </w:p>
    <w:p w14:paraId="7DBC5D2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    联系电话：</w:t>
      </w:r>
    </w:p>
    <w:p w14:paraId="29CEEF2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被投诉人2</w:t>
      </w:r>
    </w:p>
    <w:p w14:paraId="53600E1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08FCE0A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w:t>
      </w:r>
    </w:p>
    <w:p w14:paraId="7915165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邮编：</w:t>
      </w:r>
    </w:p>
    <w:p w14:paraId="026D4953">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    联系电话：</w:t>
      </w:r>
    </w:p>
    <w:p w14:paraId="269CD6E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二、投诉项目基本情况</w:t>
      </w:r>
    </w:p>
    <w:p w14:paraId="752742D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p w14:paraId="2D471A2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采购项目编号：包号：</w:t>
      </w:r>
    </w:p>
    <w:p w14:paraId="2E2BDAAD">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p>
    <w:p w14:paraId="708CAC7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代理机构名称：</w:t>
      </w:r>
    </w:p>
    <w:p w14:paraId="5896E77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采购文件公告:是/否 公告期限：</w:t>
      </w:r>
    </w:p>
    <w:p w14:paraId="16F65EA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采购结果公告:是/否 公告期限：</w:t>
      </w:r>
    </w:p>
    <w:p w14:paraId="0FF4F1F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三、质疑基本情况</w:t>
      </w:r>
    </w:p>
    <w:p w14:paraId="7B9A384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投诉人于年月 日,向提出质疑，质疑事项为：</w:t>
      </w:r>
    </w:p>
    <w:p w14:paraId="7440A9C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采购人/代理机构于年月日,就质疑事项作出了答复/没有在法定期限内作出答复。</w:t>
      </w:r>
    </w:p>
    <w:p w14:paraId="0931B2F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四、投诉事项具体内容</w:t>
      </w:r>
    </w:p>
    <w:p w14:paraId="55E8023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投诉事项1：</w:t>
      </w:r>
    </w:p>
    <w:p w14:paraId="1246E03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事实依据：</w:t>
      </w:r>
    </w:p>
    <w:p w14:paraId="63F6857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法律依据：</w:t>
      </w:r>
    </w:p>
    <w:p w14:paraId="650BBB7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投诉事项2</w:t>
      </w:r>
    </w:p>
    <w:p w14:paraId="6128AB8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6757E11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五、与投诉事项相关的投诉请求</w:t>
      </w:r>
    </w:p>
    <w:p w14:paraId="7F941CC0">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请求：</w:t>
      </w:r>
    </w:p>
    <w:p w14:paraId="1D16FD5D">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签字(签章)：公章：</w:t>
      </w:r>
    </w:p>
    <w:p w14:paraId="5B89FEC7">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7B64B69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投诉书制作说明：</w:t>
      </w:r>
    </w:p>
    <w:p w14:paraId="47C4A9A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1.投诉人提起投诉时，应当提交投诉书和必要的证明材料，并按照被投诉人和与投诉事项有关的</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数量提供投诉书副本。</w:t>
      </w:r>
    </w:p>
    <w:p w14:paraId="1FB8C46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AD0ACB0">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3.投诉人若对项目的某一分包进行投诉，投诉书应列明具体分包号。</w:t>
      </w:r>
    </w:p>
    <w:p w14:paraId="6CB88B4A">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4.投诉书应简要列明质疑事项，质疑函、质疑答复等作为附件材料提供。</w:t>
      </w:r>
    </w:p>
    <w:p w14:paraId="7FF7BFF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5.投诉书的投诉事项应具体、明确，并有必要的事实依据和法律依据。</w:t>
      </w:r>
    </w:p>
    <w:p w14:paraId="36BC75C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6.投诉书的投诉请求应与投诉事项相关。</w:t>
      </w:r>
    </w:p>
    <w:p w14:paraId="5753A7F2">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25350C8">
      <w:pPr>
        <w:pStyle w:val="29"/>
        <w:snapToGrid w:val="0"/>
        <w:spacing w:line="600" w:lineRule="exact"/>
        <w:rPr>
          <w:rFonts w:hAnsi="宋体" w:cs="宋体"/>
          <w:color w:val="000000" w:themeColor="text1"/>
          <w:sz w:val="21"/>
          <w:highlight w:val="none"/>
          <w14:textFill>
            <w14:solidFill>
              <w14:schemeClr w14:val="tx1"/>
            </w14:solidFill>
          </w14:textFill>
        </w:rPr>
      </w:pPr>
    </w:p>
    <w:sectPr>
      <w:headerReference r:id="rId14" w:type="first"/>
      <w:footerReference r:id="rId16" w:type="first"/>
      <w:headerReference r:id="rId13" w:type="default"/>
      <w:footerReference r:id="rId15" w:type="default"/>
      <w:pgSz w:w="11906" w:h="16838"/>
      <w:pgMar w:top="1247" w:right="849"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809B">
    <w:pPr>
      <w:pStyle w:val="35"/>
      <w:jc w:val="center"/>
    </w:pPr>
  </w:p>
  <w:p w14:paraId="0FB50A43">
    <w:pPr>
      <w:pStyle w:val="3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99D7">
    <w:pPr>
      <w:pStyle w:val="35"/>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E46A3">
                          <w:pPr>
                            <w:pStyle w:val="35"/>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sgtgBAACzAwAADgAAAGRycy9lMm9Eb2MueG1srVPBjtMwEL0j8Q+W&#10;7zTZCq2qqOkKqB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8mXqT++xorQ7T4lxeA0Dbc3sR3Im2UMbbPqTIEZx6u7p0l01RCbTpdVytSopJCk2Hwi/eLjuA8a3&#10;CixLRs0DjS93VRzfYxxT55RUzcGtNiaP0Li/HISZPEXiPnJMVhx2wyRoB82J9NA7oDodhC+c9bQF&#10;NXe09JyZd46anBZmNsJs7GZDOEkXax45G803MS9WIoL+1SE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PpeyC2AEAALMDAAAOAAAAAAAAAAEAIAAA&#10;AB4BAABkcnMvZTJvRG9jLnhtbFBLBQYAAAAABgAGAFkBAABoBQAAAAA=&#10;">
              <v:fill on="f" focussize="0,0"/>
              <v:stroke on="f"/>
              <v:imagedata o:title=""/>
              <o:lock v:ext="edit" aspectratio="f"/>
              <v:textbox inset="0mm,0mm,0mm,0mm" style="mso-fit-shape-to-text:t;">
                <w:txbxContent>
                  <w:p w14:paraId="593E46A3">
                    <w:pPr>
                      <w:pStyle w:val="35"/>
                    </w:pPr>
                    <w:r>
                      <w:fldChar w:fldCharType="begin"/>
                    </w:r>
                    <w:r>
                      <w:instrText xml:space="preserve"> PAGE  \* MERGEFORMAT </w:instrText>
                    </w:r>
                    <w:r>
                      <w:fldChar w:fldCharType="separate"/>
                    </w:r>
                    <w:r>
                      <w:t>35</w:t>
                    </w:r>
                    <w:r>
                      <w:fldChar w:fldCharType="end"/>
                    </w:r>
                  </w:p>
                </w:txbxContent>
              </v:textbox>
            </v:shape>
          </w:pict>
        </mc:Fallback>
      </mc:AlternateContent>
    </w:r>
  </w:p>
  <w:p w14:paraId="7C4A5136">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6A1D">
    <w:pPr>
      <w:pStyle w:val="35"/>
      <w:ind w:firstLine="4770" w:firstLineChars="26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6DC0">
    <w:pPr>
      <w:pStyle w:val="35"/>
      <w:jc w:val="center"/>
    </w:pPr>
  </w:p>
  <w:p w14:paraId="15CBA500">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9F48">
    <w:pPr>
      <w:pStyle w:val="35"/>
      <w:ind w:firstLine="4770" w:firstLineChars="265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96CD">
                          <w:pPr>
                            <w:pStyle w:val="3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caJ8M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0s&#10;r7M+fYAa0+4DJqbhnR9wa2Y/oDPTHlS0+YuECMZR3dNFXTkkIvKj1XK1qjAkMDZfEJ89PA8R0nvp&#10;LclGQyOOr6jKjx8hjalzSq7m/J02pozQuH8ciJk9LPc+9pitNOyGidDOtyfk0+PkG+pw0SkxHxwK&#10;m5dkNuJs7CYj14Bwe0hYuPSTUUeoqRiOqTCaVirvweN7yXr4j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VxonwwEAAI4DAAAOAAAAAAAAAAEAIAAAAB4BAABkcnMvZTJvRG9jLnhtbFBL&#10;BQYAAAAABgAGAFkBAABTBQAAAAA=&#10;">
              <v:fill on="f" focussize="0,0"/>
              <v:stroke on="f"/>
              <v:imagedata o:title=""/>
              <o:lock v:ext="edit" aspectratio="f"/>
              <v:textbox inset="0mm,0mm,0mm,0mm" style="mso-fit-shape-to-text:t;">
                <w:txbxContent>
                  <w:p w14:paraId="788A96CD">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646B">
    <w:pPr>
      <w:pStyle w:val="3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8F23E">
                          <w:pPr>
                            <w:pStyle w:val="35"/>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sGl9cBAACz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1JzG7oSlgZ+/fzv/+HX++ZUt&#10;X6b+9B4rSrv3lBiH1zDQ1sx+JGeSPbTBpj8JYhSn7p4u3VVDZDJdWi1Xq5JCkmLzgfCLh+s+YHyj&#10;wLJk1DzQ+HJXxfEdxjF1TknVHNxpY/IIjfvLQZjJUyTuI8dkxWE3TIJ20JxID70DqtNB+MJZT1tQ&#10;c0dLz5l566jJaWFmI8zGbjaEk3Sx5pGz0byNebESEfSvDpHYZdKp9FhvYkSzzLKnvUvL8uc5Zz28&#10;tc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c7BpfXAQAAswMAAA4AAAAAAAAAAQAgAAAA&#10;HgEAAGRycy9lMm9Eb2MueG1sUEsFBgAAAAAGAAYAWQEAAGcFAAAAAA==&#10;">
              <v:fill on="f" focussize="0,0"/>
              <v:stroke on="f"/>
              <v:imagedata o:title=""/>
              <o:lock v:ext="edit" aspectratio="f"/>
              <v:textbox inset="0mm,0mm,0mm,0mm" style="mso-fit-shape-to-text:t;">
                <w:txbxContent>
                  <w:p w14:paraId="63B8F23E">
                    <w:pPr>
                      <w:pStyle w:val="35"/>
                    </w:pPr>
                    <w:r>
                      <w:fldChar w:fldCharType="begin"/>
                    </w:r>
                    <w:r>
                      <w:instrText xml:space="preserve"> PAGE  \* MERGEFORMAT </w:instrText>
                    </w:r>
                    <w:r>
                      <w:fldChar w:fldCharType="separate"/>
                    </w:r>
                    <w:r>
                      <w:t>3</w:t>
                    </w:r>
                    <w:r>
                      <w:fldChar w:fldCharType="end"/>
                    </w:r>
                  </w:p>
                </w:txbxContent>
              </v:textbox>
            </v:shape>
          </w:pict>
        </mc:Fallback>
      </mc:AlternateContent>
    </w:r>
  </w:p>
  <w:p w14:paraId="47BE082B">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9F00">
    <w:pPr>
      <w:pStyle w:val="35"/>
      <w:ind w:firstLine="4770" w:firstLineChars="26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27380">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UOjQ/XAQAAswMAAA4AAAAAAAAAAQAgAAAA&#10;HgEAAGRycy9lMm9Eb2MueG1sUEsFBgAAAAAGAAYAWQEAAGcFAAAAAA==&#10;">
              <v:fill on="f" focussize="0,0"/>
              <v:stroke on="f"/>
              <v:imagedata o:title=""/>
              <o:lock v:ext="edit" aspectratio="f"/>
              <v:textbox inset="0mm,0mm,0mm,0mm" style="mso-fit-shape-to-text:t;">
                <w:txbxContent>
                  <w:p w14:paraId="1E827380">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0199">
    <w:pPr>
      <w:pStyle w:val="35"/>
      <w:ind w:firstLine="4770" w:firstLineChars="26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B407C">
                          <w:pPr>
                            <w:pStyle w:val="35"/>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6j4dcBAACzAwAADgAAAGRycy9lMm9Eb2MueG1srVNBrtMwEN0jcQfL&#10;e5q0SK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Wt&#10;lq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Kp+o+HXAQAAswMAAA4AAAAAAAAAAQAgAAAA&#10;HgEAAGRycy9lMm9Eb2MueG1sUEsFBgAAAAAGAAYAWQEAAGcFAAAAAA==&#10;">
              <v:fill on="f" focussize="0,0"/>
              <v:stroke on="f"/>
              <v:imagedata o:title=""/>
              <o:lock v:ext="edit" aspectratio="f"/>
              <v:textbox inset="0mm,0mm,0mm,0mm" style="mso-fit-shape-to-text:t;">
                <w:txbxContent>
                  <w:p w14:paraId="641B407C">
                    <w:pPr>
                      <w:pStyle w:val="3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AF9A">
    <w:pPr>
      <w:pStyle w:val="35"/>
      <w:ind w:firstLine="4770" w:firstLineChars="26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483A1F">
                          <w:pPr>
                            <w:pStyle w:val="35"/>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BpFd/2AEAALMDAAAOAAAAAAAAAAEAIAAA&#10;AB4BAABkcnMvZTJvRG9jLnhtbFBLBQYAAAAABgAGAFkBAABoBQAAAAA=&#10;">
              <v:fill on="f" focussize="0,0"/>
              <v:stroke on="f"/>
              <v:imagedata o:title=""/>
              <o:lock v:ext="edit" aspectratio="f"/>
              <v:textbox inset="0mm,0mm,0mm,0mm" style="mso-fit-shape-to-text:t;">
                <w:txbxContent>
                  <w:p w14:paraId="68483A1F">
                    <w:pPr>
                      <w:pStyle w:val="3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85B9">
    <w:pPr>
      <w:pStyle w:val="35"/>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DCB26">
                          <w:pPr>
                            <w:pStyle w:val="35"/>
                          </w:pPr>
                          <w:r>
                            <w:fldChar w:fldCharType="begin"/>
                          </w:r>
                          <w:r>
                            <w:instrText xml:space="preserve"> PAGE  \* MERGEFORMAT </w:instrText>
                          </w:r>
                          <w:r>
                            <w:fldChar w:fldCharType="separate"/>
                          </w:r>
                          <w:r>
                            <w:t>49</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gyUFg2AEAALMDAAAOAAAAAAAAAAEAIAAA&#10;AB4BAABkcnMvZTJvRG9jLnhtbFBLBQYAAAAABgAGAFkBAABoBQAAAAA=&#10;">
              <v:fill on="f" focussize="0,0"/>
              <v:stroke on="f"/>
              <v:imagedata o:title=""/>
              <o:lock v:ext="edit" aspectratio="f"/>
              <v:textbox inset="0mm,0mm,0mm,0mm" style="mso-fit-shape-to-text:t;">
                <w:txbxContent>
                  <w:p w14:paraId="642DCB26">
                    <w:pPr>
                      <w:pStyle w:val="35"/>
                    </w:pPr>
                    <w:r>
                      <w:fldChar w:fldCharType="begin"/>
                    </w:r>
                    <w:r>
                      <w:instrText xml:space="preserve"> PAGE  \* MERGEFORMAT </w:instrText>
                    </w:r>
                    <w:r>
                      <w:fldChar w:fldCharType="separate"/>
                    </w:r>
                    <w:r>
                      <w:t>49</w:t>
                    </w:r>
                    <w:r>
                      <w:fldChar w:fldCharType="end"/>
                    </w:r>
                  </w:p>
                </w:txbxContent>
              </v:textbox>
            </v:shape>
          </w:pict>
        </mc:Fallback>
      </mc:AlternateContent>
    </w:r>
  </w:p>
  <w:p w14:paraId="5486CEB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1CDB">
    <w:pPr>
      <w:pStyle w:val="3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CC1B">
    <w:pPr>
      <w:pStyle w:val="3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C45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C3D8">
    <w:pPr>
      <w:pStyle w:val="3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3EBEB"/>
    <w:multiLevelType w:val="singleLevel"/>
    <w:tmpl w:val="AF63EBEB"/>
    <w:lvl w:ilvl="0" w:tentative="0">
      <w:start w:val="2"/>
      <w:numFmt w:val="chineseCounting"/>
      <w:suff w:val="nothing"/>
      <w:lvlText w:val="%1、"/>
      <w:lvlJc w:val="left"/>
      <w:rPr>
        <w:rFonts w:hint="eastAsia"/>
      </w:rPr>
    </w:lvl>
  </w:abstractNum>
  <w:abstractNum w:abstractNumId="1">
    <w:nsid w:val="FD1E8708"/>
    <w:multiLevelType w:val="singleLevel"/>
    <w:tmpl w:val="FD1E8708"/>
    <w:lvl w:ilvl="0" w:tentative="0">
      <w:start w:val="3"/>
      <w:numFmt w:val="decimal"/>
      <w:lvlText w:val="%1."/>
      <w:lvlJc w:val="left"/>
      <w:pPr>
        <w:tabs>
          <w:tab w:val="left" w:pos="312"/>
        </w:tabs>
      </w:pPr>
    </w:lvl>
  </w:abstractNum>
  <w:abstractNum w:abstractNumId="2">
    <w:nsid w:val="2B20E520"/>
    <w:multiLevelType w:val="singleLevel"/>
    <w:tmpl w:val="2B20E520"/>
    <w:lvl w:ilvl="0" w:tentative="0">
      <w:start w:val="1"/>
      <w:numFmt w:val="chineseCounting"/>
      <w:pStyle w:val="512"/>
      <w:suff w:val="nothing"/>
      <w:lvlText w:val="（%1）"/>
      <w:lvlJc w:val="left"/>
      <w:pPr>
        <w:ind w:left="-210" w:firstLine="420"/>
      </w:pPr>
      <w:rPr>
        <w:rFonts w:hint="eastAsia"/>
      </w:rPr>
    </w:lvl>
  </w:abstractNum>
  <w:abstractNum w:abstractNumId="3">
    <w:nsid w:val="2C7C8F3D"/>
    <w:multiLevelType w:val="singleLevel"/>
    <w:tmpl w:val="2C7C8F3D"/>
    <w:lvl w:ilvl="0" w:tentative="0">
      <w:start w:val="5"/>
      <w:numFmt w:val="decimal"/>
      <w:lvlText w:val="%1."/>
      <w:lvlJc w:val="left"/>
      <w:pPr>
        <w:tabs>
          <w:tab w:val="left" w:pos="312"/>
        </w:tabs>
      </w:pPr>
    </w:lvl>
  </w:abstractNum>
  <w:abstractNum w:abstractNumId="4">
    <w:nsid w:val="2F368A9B"/>
    <w:multiLevelType w:val="singleLevel"/>
    <w:tmpl w:val="2F368A9B"/>
    <w:lvl w:ilvl="0" w:tentative="0">
      <w:start w:val="1"/>
      <w:numFmt w:val="chineseCounting"/>
      <w:pStyle w:val="511"/>
      <w:suff w:val="nothing"/>
      <w:lvlText w:val="%1、"/>
      <w:lvlJc w:val="left"/>
      <w:pPr>
        <w:ind w:left="0" w:firstLine="420"/>
      </w:pPr>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7ABFD0ED"/>
    <w:multiLevelType w:val="singleLevel"/>
    <w:tmpl w:val="7ABFD0ED"/>
    <w:lvl w:ilvl="0" w:tentative="0">
      <w:start w:val="1"/>
      <w:numFmt w:val="chineseCounting"/>
      <w:suff w:val="space"/>
      <w:lvlText w:val="第%1部分"/>
      <w:lvlJc w:val="left"/>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TY0NjlmMjAwNDI5MjliZjdjNzhlNTQxNWNiYjUifQ=="/>
  </w:docVars>
  <w:rsids>
    <w:rsidRoot w:val="00AB5D97"/>
    <w:rsid w:val="000009C0"/>
    <w:rsid w:val="00001C9F"/>
    <w:rsid w:val="00002154"/>
    <w:rsid w:val="00002CE2"/>
    <w:rsid w:val="00002F7C"/>
    <w:rsid w:val="00003586"/>
    <w:rsid w:val="00003FE7"/>
    <w:rsid w:val="000061A9"/>
    <w:rsid w:val="000062CB"/>
    <w:rsid w:val="000066FB"/>
    <w:rsid w:val="00006943"/>
    <w:rsid w:val="00006D05"/>
    <w:rsid w:val="00007628"/>
    <w:rsid w:val="00007997"/>
    <w:rsid w:val="00007C06"/>
    <w:rsid w:val="00007CA1"/>
    <w:rsid w:val="000103E6"/>
    <w:rsid w:val="00010667"/>
    <w:rsid w:val="000108F4"/>
    <w:rsid w:val="00010D0E"/>
    <w:rsid w:val="0001298F"/>
    <w:rsid w:val="00012A0E"/>
    <w:rsid w:val="00012A62"/>
    <w:rsid w:val="00012C86"/>
    <w:rsid w:val="000135C7"/>
    <w:rsid w:val="000136BB"/>
    <w:rsid w:val="00014BDE"/>
    <w:rsid w:val="00015062"/>
    <w:rsid w:val="00015115"/>
    <w:rsid w:val="0001516F"/>
    <w:rsid w:val="00015422"/>
    <w:rsid w:val="00015E69"/>
    <w:rsid w:val="0001602B"/>
    <w:rsid w:val="00016690"/>
    <w:rsid w:val="000168BC"/>
    <w:rsid w:val="000169BB"/>
    <w:rsid w:val="00016B9D"/>
    <w:rsid w:val="00016CFF"/>
    <w:rsid w:val="000173E2"/>
    <w:rsid w:val="0001792A"/>
    <w:rsid w:val="0002017F"/>
    <w:rsid w:val="000201E9"/>
    <w:rsid w:val="000209B5"/>
    <w:rsid w:val="000212A4"/>
    <w:rsid w:val="00021367"/>
    <w:rsid w:val="00021B2D"/>
    <w:rsid w:val="00021D4B"/>
    <w:rsid w:val="00022610"/>
    <w:rsid w:val="00022BA0"/>
    <w:rsid w:val="00023A01"/>
    <w:rsid w:val="00023C03"/>
    <w:rsid w:val="00023D05"/>
    <w:rsid w:val="00023E3A"/>
    <w:rsid w:val="00024169"/>
    <w:rsid w:val="0002491C"/>
    <w:rsid w:val="00024971"/>
    <w:rsid w:val="00025202"/>
    <w:rsid w:val="000252F1"/>
    <w:rsid w:val="00025E0B"/>
    <w:rsid w:val="00025FEA"/>
    <w:rsid w:val="00026261"/>
    <w:rsid w:val="000269F3"/>
    <w:rsid w:val="00026D59"/>
    <w:rsid w:val="00027162"/>
    <w:rsid w:val="0002722D"/>
    <w:rsid w:val="00027BE0"/>
    <w:rsid w:val="00027CD2"/>
    <w:rsid w:val="000306BA"/>
    <w:rsid w:val="00030930"/>
    <w:rsid w:val="00030A33"/>
    <w:rsid w:val="0003126B"/>
    <w:rsid w:val="00031AE0"/>
    <w:rsid w:val="00031CFE"/>
    <w:rsid w:val="00032D13"/>
    <w:rsid w:val="0003306F"/>
    <w:rsid w:val="0003348F"/>
    <w:rsid w:val="00033BA2"/>
    <w:rsid w:val="00033C75"/>
    <w:rsid w:val="000341B6"/>
    <w:rsid w:val="000351C8"/>
    <w:rsid w:val="000355A3"/>
    <w:rsid w:val="00035E02"/>
    <w:rsid w:val="00036220"/>
    <w:rsid w:val="00036481"/>
    <w:rsid w:val="00037579"/>
    <w:rsid w:val="00037C0F"/>
    <w:rsid w:val="00037E1C"/>
    <w:rsid w:val="00040516"/>
    <w:rsid w:val="00040C12"/>
    <w:rsid w:val="00041408"/>
    <w:rsid w:val="000422A3"/>
    <w:rsid w:val="00042A2A"/>
    <w:rsid w:val="000439A7"/>
    <w:rsid w:val="000439FC"/>
    <w:rsid w:val="00043D71"/>
    <w:rsid w:val="00044BE6"/>
    <w:rsid w:val="00046120"/>
    <w:rsid w:val="000463F5"/>
    <w:rsid w:val="0004646C"/>
    <w:rsid w:val="000464E9"/>
    <w:rsid w:val="00046643"/>
    <w:rsid w:val="000467CD"/>
    <w:rsid w:val="00046E51"/>
    <w:rsid w:val="00046F99"/>
    <w:rsid w:val="0004778E"/>
    <w:rsid w:val="00047A17"/>
    <w:rsid w:val="00047A48"/>
    <w:rsid w:val="000501C5"/>
    <w:rsid w:val="00050895"/>
    <w:rsid w:val="00050FD5"/>
    <w:rsid w:val="0005164F"/>
    <w:rsid w:val="000519AE"/>
    <w:rsid w:val="00051BEF"/>
    <w:rsid w:val="00052142"/>
    <w:rsid w:val="0005291E"/>
    <w:rsid w:val="00052CE1"/>
    <w:rsid w:val="00052D5A"/>
    <w:rsid w:val="0005309B"/>
    <w:rsid w:val="000530BB"/>
    <w:rsid w:val="00054111"/>
    <w:rsid w:val="000541D3"/>
    <w:rsid w:val="00054468"/>
    <w:rsid w:val="00054865"/>
    <w:rsid w:val="00054F36"/>
    <w:rsid w:val="000554B5"/>
    <w:rsid w:val="00055850"/>
    <w:rsid w:val="000558DE"/>
    <w:rsid w:val="00055D1D"/>
    <w:rsid w:val="0005606B"/>
    <w:rsid w:val="00056857"/>
    <w:rsid w:val="00057118"/>
    <w:rsid w:val="000579F0"/>
    <w:rsid w:val="00057A96"/>
    <w:rsid w:val="000606E2"/>
    <w:rsid w:val="00060A9D"/>
    <w:rsid w:val="00060D6A"/>
    <w:rsid w:val="000611B1"/>
    <w:rsid w:val="000628EE"/>
    <w:rsid w:val="00062A56"/>
    <w:rsid w:val="00062A88"/>
    <w:rsid w:val="00062C7E"/>
    <w:rsid w:val="000632E7"/>
    <w:rsid w:val="0006330B"/>
    <w:rsid w:val="00063517"/>
    <w:rsid w:val="00063FD7"/>
    <w:rsid w:val="0006411E"/>
    <w:rsid w:val="000642B6"/>
    <w:rsid w:val="00064750"/>
    <w:rsid w:val="00064A8C"/>
    <w:rsid w:val="00064ACF"/>
    <w:rsid w:val="00064FF3"/>
    <w:rsid w:val="00065528"/>
    <w:rsid w:val="00065BA4"/>
    <w:rsid w:val="00066AC5"/>
    <w:rsid w:val="00066BF7"/>
    <w:rsid w:val="00067294"/>
    <w:rsid w:val="000700CC"/>
    <w:rsid w:val="00070171"/>
    <w:rsid w:val="0007025B"/>
    <w:rsid w:val="00070559"/>
    <w:rsid w:val="0007096D"/>
    <w:rsid w:val="00070EDE"/>
    <w:rsid w:val="00072235"/>
    <w:rsid w:val="00072400"/>
    <w:rsid w:val="000724C1"/>
    <w:rsid w:val="00072A3B"/>
    <w:rsid w:val="000746ED"/>
    <w:rsid w:val="00074C84"/>
    <w:rsid w:val="00075D31"/>
    <w:rsid w:val="0007631E"/>
    <w:rsid w:val="00077360"/>
    <w:rsid w:val="0007753F"/>
    <w:rsid w:val="0007760A"/>
    <w:rsid w:val="00077AF2"/>
    <w:rsid w:val="00077D96"/>
    <w:rsid w:val="00080361"/>
    <w:rsid w:val="000806A1"/>
    <w:rsid w:val="0008157C"/>
    <w:rsid w:val="00081824"/>
    <w:rsid w:val="00082481"/>
    <w:rsid w:val="000834DA"/>
    <w:rsid w:val="00083871"/>
    <w:rsid w:val="00083981"/>
    <w:rsid w:val="0008447F"/>
    <w:rsid w:val="0008451A"/>
    <w:rsid w:val="00084E98"/>
    <w:rsid w:val="00085949"/>
    <w:rsid w:val="000874F9"/>
    <w:rsid w:val="000879C3"/>
    <w:rsid w:val="00087B12"/>
    <w:rsid w:val="00087EFA"/>
    <w:rsid w:val="00090281"/>
    <w:rsid w:val="00090290"/>
    <w:rsid w:val="000907D6"/>
    <w:rsid w:val="0009174D"/>
    <w:rsid w:val="00091A15"/>
    <w:rsid w:val="00091EE2"/>
    <w:rsid w:val="000925C5"/>
    <w:rsid w:val="00093D4A"/>
    <w:rsid w:val="000940EB"/>
    <w:rsid w:val="00094739"/>
    <w:rsid w:val="00094BA7"/>
    <w:rsid w:val="00094E9C"/>
    <w:rsid w:val="000951D8"/>
    <w:rsid w:val="00095D3E"/>
    <w:rsid w:val="00095EB4"/>
    <w:rsid w:val="00095ED6"/>
    <w:rsid w:val="0009637A"/>
    <w:rsid w:val="000963BA"/>
    <w:rsid w:val="00096F23"/>
    <w:rsid w:val="000A0FFD"/>
    <w:rsid w:val="000A1498"/>
    <w:rsid w:val="000A1957"/>
    <w:rsid w:val="000A1A1A"/>
    <w:rsid w:val="000A1B91"/>
    <w:rsid w:val="000A2104"/>
    <w:rsid w:val="000A215B"/>
    <w:rsid w:val="000A2168"/>
    <w:rsid w:val="000A244A"/>
    <w:rsid w:val="000A27DA"/>
    <w:rsid w:val="000A2B4E"/>
    <w:rsid w:val="000A2C84"/>
    <w:rsid w:val="000A34CC"/>
    <w:rsid w:val="000A3E46"/>
    <w:rsid w:val="000A40CB"/>
    <w:rsid w:val="000A5BF5"/>
    <w:rsid w:val="000A5E9F"/>
    <w:rsid w:val="000A758A"/>
    <w:rsid w:val="000B005A"/>
    <w:rsid w:val="000B0625"/>
    <w:rsid w:val="000B0DC1"/>
    <w:rsid w:val="000B1110"/>
    <w:rsid w:val="000B1D9F"/>
    <w:rsid w:val="000B2275"/>
    <w:rsid w:val="000B24BF"/>
    <w:rsid w:val="000B2586"/>
    <w:rsid w:val="000B3C0B"/>
    <w:rsid w:val="000B3E12"/>
    <w:rsid w:val="000B4312"/>
    <w:rsid w:val="000B45B0"/>
    <w:rsid w:val="000B4A87"/>
    <w:rsid w:val="000B4CDD"/>
    <w:rsid w:val="000B5079"/>
    <w:rsid w:val="000B52D8"/>
    <w:rsid w:val="000B5C4F"/>
    <w:rsid w:val="000B5C8E"/>
    <w:rsid w:val="000B61C8"/>
    <w:rsid w:val="000B667E"/>
    <w:rsid w:val="000B6E18"/>
    <w:rsid w:val="000C0C07"/>
    <w:rsid w:val="000C0EE9"/>
    <w:rsid w:val="000C1416"/>
    <w:rsid w:val="000C1530"/>
    <w:rsid w:val="000C3BC0"/>
    <w:rsid w:val="000C4330"/>
    <w:rsid w:val="000C468D"/>
    <w:rsid w:val="000C4AA1"/>
    <w:rsid w:val="000C5048"/>
    <w:rsid w:val="000C5246"/>
    <w:rsid w:val="000C5393"/>
    <w:rsid w:val="000C595E"/>
    <w:rsid w:val="000C59E9"/>
    <w:rsid w:val="000C5B76"/>
    <w:rsid w:val="000C605C"/>
    <w:rsid w:val="000C6B10"/>
    <w:rsid w:val="000C78AB"/>
    <w:rsid w:val="000C7B88"/>
    <w:rsid w:val="000C7C99"/>
    <w:rsid w:val="000C7D20"/>
    <w:rsid w:val="000C7F08"/>
    <w:rsid w:val="000D05EA"/>
    <w:rsid w:val="000D06DD"/>
    <w:rsid w:val="000D098E"/>
    <w:rsid w:val="000D1356"/>
    <w:rsid w:val="000D1F66"/>
    <w:rsid w:val="000D1FA5"/>
    <w:rsid w:val="000D3C65"/>
    <w:rsid w:val="000D404C"/>
    <w:rsid w:val="000D4474"/>
    <w:rsid w:val="000D4A68"/>
    <w:rsid w:val="000D4F7D"/>
    <w:rsid w:val="000D53C1"/>
    <w:rsid w:val="000D5AF4"/>
    <w:rsid w:val="000D5BFE"/>
    <w:rsid w:val="000D67DF"/>
    <w:rsid w:val="000D6B6D"/>
    <w:rsid w:val="000D6C5E"/>
    <w:rsid w:val="000D708C"/>
    <w:rsid w:val="000D79D7"/>
    <w:rsid w:val="000E04F2"/>
    <w:rsid w:val="000E06F2"/>
    <w:rsid w:val="000E0A79"/>
    <w:rsid w:val="000E0C6E"/>
    <w:rsid w:val="000E0EA0"/>
    <w:rsid w:val="000E1355"/>
    <w:rsid w:val="000E1588"/>
    <w:rsid w:val="000E20A5"/>
    <w:rsid w:val="000E22BF"/>
    <w:rsid w:val="000E2617"/>
    <w:rsid w:val="000E3EA4"/>
    <w:rsid w:val="000E443C"/>
    <w:rsid w:val="000E4A98"/>
    <w:rsid w:val="000E4BBB"/>
    <w:rsid w:val="000E5515"/>
    <w:rsid w:val="000E56AA"/>
    <w:rsid w:val="000E5722"/>
    <w:rsid w:val="000E5A20"/>
    <w:rsid w:val="000E5BF0"/>
    <w:rsid w:val="000E6614"/>
    <w:rsid w:val="000E68AE"/>
    <w:rsid w:val="000E7924"/>
    <w:rsid w:val="000E7A00"/>
    <w:rsid w:val="000F03A3"/>
    <w:rsid w:val="000F04FB"/>
    <w:rsid w:val="000F0D3E"/>
    <w:rsid w:val="000F0F15"/>
    <w:rsid w:val="000F17C0"/>
    <w:rsid w:val="000F1A0B"/>
    <w:rsid w:val="000F1D65"/>
    <w:rsid w:val="000F22C5"/>
    <w:rsid w:val="000F293C"/>
    <w:rsid w:val="000F2CA2"/>
    <w:rsid w:val="000F3262"/>
    <w:rsid w:val="000F4B96"/>
    <w:rsid w:val="000F5075"/>
    <w:rsid w:val="000F513C"/>
    <w:rsid w:val="000F5589"/>
    <w:rsid w:val="000F5BA2"/>
    <w:rsid w:val="000F6199"/>
    <w:rsid w:val="000F6263"/>
    <w:rsid w:val="000F6BDD"/>
    <w:rsid w:val="000F6BF7"/>
    <w:rsid w:val="000F6D7D"/>
    <w:rsid w:val="000F721B"/>
    <w:rsid w:val="000F7228"/>
    <w:rsid w:val="00100289"/>
    <w:rsid w:val="0010043E"/>
    <w:rsid w:val="00100ECC"/>
    <w:rsid w:val="00100F0A"/>
    <w:rsid w:val="00101332"/>
    <w:rsid w:val="001014A6"/>
    <w:rsid w:val="00101F80"/>
    <w:rsid w:val="00102516"/>
    <w:rsid w:val="001035AD"/>
    <w:rsid w:val="00103830"/>
    <w:rsid w:val="00104740"/>
    <w:rsid w:val="0010477F"/>
    <w:rsid w:val="0010528B"/>
    <w:rsid w:val="00105336"/>
    <w:rsid w:val="0010589F"/>
    <w:rsid w:val="001067A2"/>
    <w:rsid w:val="00106A10"/>
    <w:rsid w:val="00106D89"/>
    <w:rsid w:val="00107020"/>
    <w:rsid w:val="001070A3"/>
    <w:rsid w:val="00107DFE"/>
    <w:rsid w:val="001105B6"/>
    <w:rsid w:val="00110F2D"/>
    <w:rsid w:val="00111188"/>
    <w:rsid w:val="00111A61"/>
    <w:rsid w:val="00111D21"/>
    <w:rsid w:val="00111F4C"/>
    <w:rsid w:val="00112C20"/>
    <w:rsid w:val="00112E23"/>
    <w:rsid w:val="00112F79"/>
    <w:rsid w:val="00113333"/>
    <w:rsid w:val="0011336D"/>
    <w:rsid w:val="0011340A"/>
    <w:rsid w:val="001134B4"/>
    <w:rsid w:val="00113629"/>
    <w:rsid w:val="001140BE"/>
    <w:rsid w:val="0011416F"/>
    <w:rsid w:val="00114FC8"/>
    <w:rsid w:val="001152EE"/>
    <w:rsid w:val="00115F44"/>
    <w:rsid w:val="00116207"/>
    <w:rsid w:val="0011646F"/>
    <w:rsid w:val="0011650E"/>
    <w:rsid w:val="00116EEA"/>
    <w:rsid w:val="00116EF3"/>
    <w:rsid w:val="00117088"/>
    <w:rsid w:val="00117B3D"/>
    <w:rsid w:val="00117B49"/>
    <w:rsid w:val="00120152"/>
    <w:rsid w:val="00120F41"/>
    <w:rsid w:val="001213E8"/>
    <w:rsid w:val="00121472"/>
    <w:rsid w:val="00121E32"/>
    <w:rsid w:val="001222CE"/>
    <w:rsid w:val="0012237A"/>
    <w:rsid w:val="00122E62"/>
    <w:rsid w:val="0012328D"/>
    <w:rsid w:val="00123CDB"/>
    <w:rsid w:val="0012434B"/>
    <w:rsid w:val="0012457B"/>
    <w:rsid w:val="00125375"/>
    <w:rsid w:val="00125A1F"/>
    <w:rsid w:val="00126995"/>
    <w:rsid w:val="0012768B"/>
    <w:rsid w:val="00127AF1"/>
    <w:rsid w:val="00130333"/>
    <w:rsid w:val="001304F9"/>
    <w:rsid w:val="001308DB"/>
    <w:rsid w:val="001310DE"/>
    <w:rsid w:val="001319C9"/>
    <w:rsid w:val="00131F55"/>
    <w:rsid w:val="00132334"/>
    <w:rsid w:val="00132710"/>
    <w:rsid w:val="00132894"/>
    <w:rsid w:val="00132D11"/>
    <w:rsid w:val="00132F1B"/>
    <w:rsid w:val="001332FB"/>
    <w:rsid w:val="0013349D"/>
    <w:rsid w:val="001337C9"/>
    <w:rsid w:val="001341DF"/>
    <w:rsid w:val="00134299"/>
    <w:rsid w:val="00134816"/>
    <w:rsid w:val="001348B9"/>
    <w:rsid w:val="00134BC2"/>
    <w:rsid w:val="00134E9B"/>
    <w:rsid w:val="0013532A"/>
    <w:rsid w:val="00135475"/>
    <w:rsid w:val="001355EA"/>
    <w:rsid w:val="00135F2F"/>
    <w:rsid w:val="001365B4"/>
    <w:rsid w:val="001404D2"/>
    <w:rsid w:val="00140F50"/>
    <w:rsid w:val="00141502"/>
    <w:rsid w:val="00141B80"/>
    <w:rsid w:val="00141CFB"/>
    <w:rsid w:val="00141D40"/>
    <w:rsid w:val="0014244C"/>
    <w:rsid w:val="001424B7"/>
    <w:rsid w:val="00142994"/>
    <w:rsid w:val="0014367D"/>
    <w:rsid w:val="00143881"/>
    <w:rsid w:val="00143ED5"/>
    <w:rsid w:val="001443D7"/>
    <w:rsid w:val="001445E1"/>
    <w:rsid w:val="00144957"/>
    <w:rsid w:val="0014505B"/>
    <w:rsid w:val="00145AD5"/>
    <w:rsid w:val="00145E27"/>
    <w:rsid w:val="00145F29"/>
    <w:rsid w:val="00146ECB"/>
    <w:rsid w:val="00147200"/>
    <w:rsid w:val="001473FA"/>
    <w:rsid w:val="00147400"/>
    <w:rsid w:val="001477D4"/>
    <w:rsid w:val="00147A80"/>
    <w:rsid w:val="00147B94"/>
    <w:rsid w:val="0015023F"/>
    <w:rsid w:val="001508A3"/>
    <w:rsid w:val="00150ABC"/>
    <w:rsid w:val="00150BD4"/>
    <w:rsid w:val="001512C7"/>
    <w:rsid w:val="00151492"/>
    <w:rsid w:val="0015218E"/>
    <w:rsid w:val="001521CB"/>
    <w:rsid w:val="00152656"/>
    <w:rsid w:val="00152966"/>
    <w:rsid w:val="00152C6F"/>
    <w:rsid w:val="001530C3"/>
    <w:rsid w:val="001531A9"/>
    <w:rsid w:val="00153321"/>
    <w:rsid w:val="001537AB"/>
    <w:rsid w:val="00153BAE"/>
    <w:rsid w:val="00153C66"/>
    <w:rsid w:val="00153EC2"/>
    <w:rsid w:val="00154192"/>
    <w:rsid w:val="0015454F"/>
    <w:rsid w:val="001550F9"/>
    <w:rsid w:val="001555E4"/>
    <w:rsid w:val="001557E1"/>
    <w:rsid w:val="00155B12"/>
    <w:rsid w:val="00155D31"/>
    <w:rsid w:val="00156FD9"/>
    <w:rsid w:val="00157256"/>
    <w:rsid w:val="001574A5"/>
    <w:rsid w:val="00157ACA"/>
    <w:rsid w:val="00157B42"/>
    <w:rsid w:val="00157C3B"/>
    <w:rsid w:val="00157C50"/>
    <w:rsid w:val="00157EF1"/>
    <w:rsid w:val="0016045D"/>
    <w:rsid w:val="00160EA1"/>
    <w:rsid w:val="001616ED"/>
    <w:rsid w:val="00161BDC"/>
    <w:rsid w:val="00161EA0"/>
    <w:rsid w:val="00162368"/>
    <w:rsid w:val="00163FCF"/>
    <w:rsid w:val="001642B3"/>
    <w:rsid w:val="00164875"/>
    <w:rsid w:val="001648EA"/>
    <w:rsid w:val="00164AA9"/>
    <w:rsid w:val="00164CF0"/>
    <w:rsid w:val="00164FD6"/>
    <w:rsid w:val="001651DC"/>
    <w:rsid w:val="0016534D"/>
    <w:rsid w:val="00166359"/>
    <w:rsid w:val="00166B06"/>
    <w:rsid w:val="00166E97"/>
    <w:rsid w:val="00167155"/>
    <w:rsid w:val="0016761C"/>
    <w:rsid w:val="0016799F"/>
    <w:rsid w:val="00167FD7"/>
    <w:rsid w:val="001704C8"/>
    <w:rsid w:val="0017057D"/>
    <w:rsid w:val="0017069A"/>
    <w:rsid w:val="00170B79"/>
    <w:rsid w:val="0017150A"/>
    <w:rsid w:val="001716E0"/>
    <w:rsid w:val="00171893"/>
    <w:rsid w:val="00172F04"/>
    <w:rsid w:val="001733B1"/>
    <w:rsid w:val="00174154"/>
    <w:rsid w:val="0017417D"/>
    <w:rsid w:val="0017431A"/>
    <w:rsid w:val="001749C8"/>
    <w:rsid w:val="00174D82"/>
    <w:rsid w:val="00174FBF"/>
    <w:rsid w:val="00175034"/>
    <w:rsid w:val="00175621"/>
    <w:rsid w:val="00176634"/>
    <w:rsid w:val="00177112"/>
    <w:rsid w:val="0017720C"/>
    <w:rsid w:val="001772FE"/>
    <w:rsid w:val="00177428"/>
    <w:rsid w:val="00177731"/>
    <w:rsid w:val="00177C0E"/>
    <w:rsid w:val="00177D20"/>
    <w:rsid w:val="00180611"/>
    <w:rsid w:val="001806C2"/>
    <w:rsid w:val="00180E5C"/>
    <w:rsid w:val="00180FDA"/>
    <w:rsid w:val="00181535"/>
    <w:rsid w:val="00181917"/>
    <w:rsid w:val="00181C7B"/>
    <w:rsid w:val="00182265"/>
    <w:rsid w:val="001822AB"/>
    <w:rsid w:val="0018232E"/>
    <w:rsid w:val="00182514"/>
    <w:rsid w:val="00183109"/>
    <w:rsid w:val="0018328B"/>
    <w:rsid w:val="0018402F"/>
    <w:rsid w:val="00184221"/>
    <w:rsid w:val="00184559"/>
    <w:rsid w:val="001849BE"/>
    <w:rsid w:val="0018544E"/>
    <w:rsid w:val="001858C7"/>
    <w:rsid w:val="001858DD"/>
    <w:rsid w:val="00185AA5"/>
    <w:rsid w:val="00185C7A"/>
    <w:rsid w:val="00186CBA"/>
    <w:rsid w:val="00187065"/>
    <w:rsid w:val="00187541"/>
    <w:rsid w:val="00187B50"/>
    <w:rsid w:val="00187EBC"/>
    <w:rsid w:val="00190237"/>
    <w:rsid w:val="001903E2"/>
    <w:rsid w:val="001910E5"/>
    <w:rsid w:val="00191860"/>
    <w:rsid w:val="00191F25"/>
    <w:rsid w:val="001925B8"/>
    <w:rsid w:val="00192801"/>
    <w:rsid w:val="00192ABF"/>
    <w:rsid w:val="001959CF"/>
    <w:rsid w:val="00195BFA"/>
    <w:rsid w:val="00195C25"/>
    <w:rsid w:val="00195D46"/>
    <w:rsid w:val="00196235"/>
    <w:rsid w:val="00196294"/>
    <w:rsid w:val="001962D0"/>
    <w:rsid w:val="00197179"/>
    <w:rsid w:val="00197275"/>
    <w:rsid w:val="001972CB"/>
    <w:rsid w:val="00197997"/>
    <w:rsid w:val="00197EE5"/>
    <w:rsid w:val="001A04FC"/>
    <w:rsid w:val="001A09DD"/>
    <w:rsid w:val="001A0A99"/>
    <w:rsid w:val="001A0E34"/>
    <w:rsid w:val="001A0F22"/>
    <w:rsid w:val="001A15C1"/>
    <w:rsid w:val="001A1BF7"/>
    <w:rsid w:val="001A1ECE"/>
    <w:rsid w:val="001A202A"/>
    <w:rsid w:val="001A24CC"/>
    <w:rsid w:val="001A28D3"/>
    <w:rsid w:val="001A32DD"/>
    <w:rsid w:val="001A3E7B"/>
    <w:rsid w:val="001A3F33"/>
    <w:rsid w:val="001A42F6"/>
    <w:rsid w:val="001A4AB7"/>
    <w:rsid w:val="001A4B0A"/>
    <w:rsid w:val="001A4B74"/>
    <w:rsid w:val="001A4D0A"/>
    <w:rsid w:val="001A58F9"/>
    <w:rsid w:val="001A5988"/>
    <w:rsid w:val="001A5B28"/>
    <w:rsid w:val="001A66FA"/>
    <w:rsid w:val="001A6B9D"/>
    <w:rsid w:val="001A74DB"/>
    <w:rsid w:val="001A7C9C"/>
    <w:rsid w:val="001B0E6F"/>
    <w:rsid w:val="001B0F3B"/>
    <w:rsid w:val="001B1941"/>
    <w:rsid w:val="001B2114"/>
    <w:rsid w:val="001B24EC"/>
    <w:rsid w:val="001B2C91"/>
    <w:rsid w:val="001B2E59"/>
    <w:rsid w:val="001B2F1F"/>
    <w:rsid w:val="001B30C2"/>
    <w:rsid w:val="001B3C83"/>
    <w:rsid w:val="001B45D5"/>
    <w:rsid w:val="001B48A5"/>
    <w:rsid w:val="001B6063"/>
    <w:rsid w:val="001B6111"/>
    <w:rsid w:val="001B6744"/>
    <w:rsid w:val="001B7105"/>
    <w:rsid w:val="001C0453"/>
    <w:rsid w:val="001C0455"/>
    <w:rsid w:val="001C0505"/>
    <w:rsid w:val="001C060B"/>
    <w:rsid w:val="001C0C69"/>
    <w:rsid w:val="001C109D"/>
    <w:rsid w:val="001C1511"/>
    <w:rsid w:val="001C161E"/>
    <w:rsid w:val="001C181D"/>
    <w:rsid w:val="001C1E4D"/>
    <w:rsid w:val="001C207A"/>
    <w:rsid w:val="001C2377"/>
    <w:rsid w:val="001C257A"/>
    <w:rsid w:val="001C2D73"/>
    <w:rsid w:val="001C2DC4"/>
    <w:rsid w:val="001C2F72"/>
    <w:rsid w:val="001C35DD"/>
    <w:rsid w:val="001C386C"/>
    <w:rsid w:val="001C41A3"/>
    <w:rsid w:val="001C4D94"/>
    <w:rsid w:val="001C4E6C"/>
    <w:rsid w:val="001C5060"/>
    <w:rsid w:val="001C513D"/>
    <w:rsid w:val="001C521B"/>
    <w:rsid w:val="001C54E4"/>
    <w:rsid w:val="001C594D"/>
    <w:rsid w:val="001C605A"/>
    <w:rsid w:val="001C6091"/>
    <w:rsid w:val="001C632E"/>
    <w:rsid w:val="001C67EF"/>
    <w:rsid w:val="001C6E52"/>
    <w:rsid w:val="001C6E93"/>
    <w:rsid w:val="001C7515"/>
    <w:rsid w:val="001D00E4"/>
    <w:rsid w:val="001D1D7C"/>
    <w:rsid w:val="001D1DDA"/>
    <w:rsid w:val="001D1F0E"/>
    <w:rsid w:val="001D28F4"/>
    <w:rsid w:val="001D2AB4"/>
    <w:rsid w:val="001D423D"/>
    <w:rsid w:val="001D4BC0"/>
    <w:rsid w:val="001D4D45"/>
    <w:rsid w:val="001D4FF6"/>
    <w:rsid w:val="001D52CA"/>
    <w:rsid w:val="001D6131"/>
    <w:rsid w:val="001D70FB"/>
    <w:rsid w:val="001D78E3"/>
    <w:rsid w:val="001D7F19"/>
    <w:rsid w:val="001E024C"/>
    <w:rsid w:val="001E0726"/>
    <w:rsid w:val="001E10A7"/>
    <w:rsid w:val="001E147D"/>
    <w:rsid w:val="001E1AF0"/>
    <w:rsid w:val="001E1B58"/>
    <w:rsid w:val="001E1C6A"/>
    <w:rsid w:val="001E22C2"/>
    <w:rsid w:val="001E2C48"/>
    <w:rsid w:val="001E2DDD"/>
    <w:rsid w:val="001E33CF"/>
    <w:rsid w:val="001E3EA8"/>
    <w:rsid w:val="001E3EB6"/>
    <w:rsid w:val="001E4247"/>
    <w:rsid w:val="001E49AA"/>
    <w:rsid w:val="001E4AF4"/>
    <w:rsid w:val="001E5BBB"/>
    <w:rsid w:val="001E5E7C"/>
    <w:rsid w:val="001E6ACF"/>
    <w:rsid w:val="001E7020"/>
    <w:rsid w:val="001E77AE"/>
    <w:rsid w:val="001E790C"/>
    <w:rsid w:val="001F008F"/>
    <w:rsid w:val="001F04AC"/>
    <w:rsid w:val="001F0E8E"/>
    <w:rsid w:val="001F12C2"/>
    <w:rsid w:val="001F1F6F"/>
    <w:rsid w:val="001F22C5"/>
    <w:rsid w:val="001F26B1"/>
    <w:rsid w:val="001F26B5"/>
    <w:rsid w:val="001F2E85"/>
    <w:rsid w:val="001F311A"/>
    <w:rsid w:val="001F4252"/>
    <w:rsid w:val="001F4569"/>
    <w:rsid w:val="001F45DB"/>
    <w:rsid w:val="001F4E0C"/>
    <w:rsid w:val="001F5029"/>
    <w:rsid w:val="001F513A"/>
    <w:rsid w:val="001F53A0"/>
    <w:rsid w:val="001F5E34"/>
    <w:rsid w:val="001F6011"/>
    <w:rsid w:val="001F61B8"/>
    <w:rsid w:val="001F6248"/>
    <w:rsid w:val="001F6372"/>
    <w:rsid w:val="001F6C11"/>
    <w:rsid w:val="001F6CA9"/>
    <w:rsid w:val="001F71AD"/>
    <w:rsid w:val="001F793E"/>
    <w:rsid w:val="001F7A00"/>
    <w:rsid w:val="001F7C86"/>
    <w:rsid w:val="00200C63"/>
    <w:rsid w:val="002015D6"/>
    <w:rsid w:val="002017FA"/>
    <w:rsid w:val="00201A66"/>
    <w:rsid w:val="00201FBC"/>
    <w:rsid w:val="00203074"/>
    <w:rsid w:val="002032C8"/>
    <w:rsid w:val="00203612"/>
    <w:rsid w:val="00203D5E"/>
    <w:rsid w:val="002045AF"/>
    <w:rsid w:val="002049EC"/>
    <w:rsid w:val="00204D2D"/>
    <w:rsid w:val="00205B30"/>
    <w:rsid w:val="00206703"/>
    <w:rsid w:val="00206C31"/>
    <w:rsid w:val="0020700D"/>
    <w:rsid w:val="0020754D"/>
    <w:rsid w:val="0020790C"/>
    <w:rsid w:val="00211946"/>
    <w:rsid w:val="00211F35"/>
    <w:rsid w:val="0021332E"/>
    <w:rsid w:val="0021347D"/>
    <w:rsid w:val="00213B1A"/>
    <w:rsid w:val="00213C55"/>
    <w:rsid w:val="002143FF"/>
    <w:rsid w:val="002145A4"/>
    <w:rsid w:val="00214764"/>
    <w:rsid w:val="002156F3"/>
    <w:rsid w:val="00215B59"/>
    <w:rsid w:val="00216412"/>
    <w:rsid w:val="002167E7"/>
    <w:rsid w:val="002175F6"/>
    <w:rsid w:val="002203C6"/>
    <w:rsid w:val="0022087F"/>
    <w:rsid w:val="00220A4F"/>
    <w:rsid w:val="00220AE9"/>
    <w:rsid w:val="00220D85"/>
    <w:rsid w:val="002214B7"/>
    <w:rsid w:val="002222AF"/>
    <w:rsid w:val="00223755"/>
    <w:rsid w:val="002239E5"/>
    <w:rsid w:val="00223FFB"/>
    <w:rsid w:val="00224325"/>
    <w:rsid w:val="002247CE"/>
    <w:rsid w:val="00224CA1"/>
    <w:rsid w:val="0022520E"/>
    <w:rsid w:val="0022524E"/>
    <w:rsid w:val="002252C8"/>
    <w:rsid w:val="0022546D"/>
    <w:rsid w:val="002254A4"/>
    <w:rsid w:val="00225A55"/>
    <w:rsid w:val="00226FDB"/>
    <w:rsid w:val="00227367"/>
    <w:rsid w:val="0022797E"/>
    <w:rsid w:val="002303B4"/>
    <w:rsid w:val="00230997"/>
    <w:rsid w:val="00232476"/>
    <w:rsid w:val="002328E0"/>
    <w:rsid w:val="002337AD"/>
    <w:rsid w:val="00233E19"/>
    <w:rsid w:val="002340F9"/>
    <w:rsid w:val="00235602"/>
    <w:rsid w:val="00235A63"/>
    <w:rsid w:val="00235CF3"/>
    <w:rsid w:val="002363CB"/>
    <w:rsid w:val="002364DD"/>
    <w:rsid w:val="002373C5"/>
    <w:rsid w:val="00237786"/>
    <w:rsid w:val="00240038"/>
    <w:rsid w:val="0024027D"/>
    <w:rsid w:val="0024080E"/>
    <w:rsid w:val="00240980"/>
    <w:rsid w:val="002413DF"/>
    <w:rsid w:val="002417F9"/>
    <w:rsid w:val="00241B21"/>
    <w:rsid w:val="00242373"/>
    <w:rsid w:val="002424D5"/>
    <w:rsid w:val="00242C85"/>
    <w:rsid w:val="00243065"/>
    <w:rsid w:val="0024339F"/>
    <w:rsid w:val="0024362A"/>
    <w:rsid w:val="00243AFD"/>
    <w:rsid w:val="00243CED"/>
    <w:rsid w:val="00244484"/>
    <w:rsid w:val="00244C0D"/>
    <w:rsid w:val="002460A5"/>
    <w:rsid w:val="0024631B"/>
    <w:rsid w:val="00246658"/>
    <w:rsid w:val="00246CB7"/>
    <w:rsid w:val="00247489"/>
    <w:rsid w:val="00247827"/>
    <w:rsid w:val="00247CD7"/>
    <w:rsid w:val="00250137"/>
    <w:rsid w:val="00250B7C"/>
    <w:rsid w:val="00250E79"/>
    <w:rsid w:val="00250FF9"/>
    <w:rsid w:val="00251320"/>
    <w:rsid w:val="0025142D"/>
    <w:rsid w:val="00252134"/>
    <w:rsid w:val="00253421"/>
    <w:rsid w:val="002537EE"/>
    <w:rsid w:val="00254A36"/>
    <w:rsid w:val="0025516B"/>
    <w:rsid w:val="002553B9"/>
    <w:rsid w:val="0025545C"/>
    <w:rsid w:val="002554B6"/>
    <w:rsid w:val="00255689"/>
    <w:rsid w:val="00255984"/>
    <w:rsid w:val="002559D1"/>
    <w:rsid w:val="00256227"/>
    <w:rsid w:val="00256464"/>
    <w:rsid w:val="00256529"/>
    <w:rsid w:val="00256729"/>
    <w:rsid w:val="00256B30"/>
    <w:rsid w:val="00256F04"/>
    <w:rsid w:val="002571F9"/>
    <w:rsid w:val="0026001A"/>
    <w:rsid w:val="00260041"/>
    <w:rsid w:val="00260F1A"/>
    <w:rsid w:val="00261482"/>
    <w:rsid w:val="002619E3"/>
    <w:rsid w:val="00261F9B"/>
    <w:rsid w:val="0026211A"/>
    <w:rsid w:val="002623AF"/>
    <w:rsid w:val="00262737"/>
    <w:rsid w:val="00262E65"/>
    <w:rsid w:val="002647B7"/>
    <w:rsid w:val="00264CF7"/>
    <w:rsid w:val="00265801"/>
    <w:rsid w:val="002661AC"/>
    <w:rsid w:val="002667DF"/>
    <w:rsid w:val="00266AB7"/>
    <w:rsid w:val="002675F9"/>
    <w:rsid w:val="002678A9"/>
    <w:rsid w:val="002705E1"/>
    <w:rsid w:val="00271581"/>
    <w:rsid w:val="00271655"/>
    <w:rsid w:val="00271823"/>
    <w:rsid w:val="002729B8"/>
    <w:rsid w:val="00272CDC"/>
    <w:rsid w:val="0027392E"/>
    <w:rsid w:val="00274021"/>
    <w:rsid w:val="0027467E"/>
    <w:rsid w:val="0027469D"/>
    <w:rsid w:val="00274D0D"/>
    <w:rsid w:val="00275941"/>
    <w:rsid w:val="0027652B"/>
    <w:rsid w:val="002766A3"/>
    <w:rsid w:val="002766C1"/>
    <w:rsid w:val="00276759"/>
    <w:rsid w:val="002767D2"/>
    <w:rsid w:val="0027699A"/>
    <w:rsid w:val="00276C48"/>
    <w:rsid w:val="00277054"/>
    <w:rsid w:val="00277144"/>
    <w:rsid w:val="00277291"/>
    <w:rsid w:val="002802BB"/>
    <w:rsid w:val="00280385"/>
    <w:rsid w:val="00280A3A"/>
    <w:rsid w:val="00281432"/>
    <w:rsid w:val="00282037"/>
    <w:rsid w:val="00282C39"/>
    <w:rsid w:val="002846D9"/>
    <w:rsid w:val="00284D41"/>
    <w:rsid w:val="00285460"/>
    <w:rsid w:val="00286170"/>
    <w:rsid w:val="00286355"/>
    <w:rsid w:val="002871BD"/>
    <w:rsid w:val="0028724F"/>
    <w:rsid w:val="002877B8"/>
    <w:rsid w:val="00287A3F"/>
    <w:rsid w:val="00290290"/>
    <w:rsid w:val="00291A3A"/>
    <w:rsid w:val="00291F48"/>
    <w:rsid w:val="0029227D"/>
    <w:rsid w:val="00292EDF"/>
    <w:rsid w:val="002938C0"/>
    <w:rsid w:val="002941BB"/>
    <w:rsid w:val="002941D9"/>
    <w:rsid w:val="002946A6"/>
    <w:rsid w:val="00294DE3"/>
    <w:rsid w:val="002952EF"/>
    <w:rsid w:val="00295B63"/>
    <w:rsid w:val="00295FE2"/>
    <w:rsid w:val="0029656C"/>
    <w:rsid w:val="0029680D"/>
    <w:rsid w:val="00296E52"/>
    <w:rsid w:val="00296E77"/>
    <w:rsid w:val="0029788A"/>
    <w:rsid w:val="00297C80"/>
    <w:rsid w:val="002A0058"/>
    <w:rsid w:val="002A08C3"/>
    <w:rsid w:val="002A1596"/>
    <w:rsid w:val="002A18DF"/>
    <w:rsid w:val="002A1B10"/>
    <w:rsid w:val="002A1D59"/>
    <w:rsid w:val="002A1F09"/>
    <w:rsid w:val="002A230C"/>
    <w:rsid w:val="002A23F1"/>
    <w:rsid w:val="002A2DB2"/>
    <w:rsid w:val="002A2FEE"/>
    <w:rsid w:val="002A386C"/>
    <w:rsid w:val="002A3D44"/>
    <w:rsid w:val="002A3D6B"/>
    <w:rsid w:val="002A3EE3"/>
    <w:rsid w:val="002A4BC4"/>
    <w:rsid w:val="002A4E06"/>
    <w:rsid w:val="002A557A"/>
    <w:rsid w:val="002A5986"/>
    <w:rsid w:val="002A5BD4"/>
    <w:rsid w:val="002A6F09"/>
    <w:rsid w:val="002A6FEB"/>
    <w:rsid w:val="002A7DA0"/>
    <w:rsid w:val="002A7EDF"/>
    <w:rsid w:val="002B0806"/>
    <w:rsid w:val="002B08DF"/>
    <w:rsid w:val="002B0E14"/>
    <w:rsid w:val="002B1094"/>
    <w:rsid w:val="002B10A6"/>
    <w:rsid w:val="002B16C3"/>
    <w:rsid w:val="002B1CBE"/>
    <w:rsid w:val="002B1DEA"/>
    <w:rsid w:val="002B2055"/>
    <w:rsid w:val="002B2300"/>
    <w:rsid w:val="002B23F4"/>
    <w:rsid w:val="002B27BC"/>
    <w:rsid w:val="002B3238"/>
    <w:rsid w:val="002B37CB"/>
    <w:rsid w:val="002B3CB2"/>
    <w:rsid w:val="002B418D"/>
    <w:rsid w:val="002B4AED"/>
    <w:rsid w:val="002B5336"/>
    <w:rsid w:val="002B7462"/>
    <w:rsid w:val="002B7AED"/>
    <w:rsid w:val="002B7F9F"/>
    <w:rsid w:val="002C06B9"/>
    <w:rsid w:val="002C08DD"/>
    <w:rsid w:val="002C1329"/>
    <w:rsid w:val="002C175D"/>
    <w:rsid w:val="002C1AE2"/>
    <w:rsid w:val="002C1FDF"/>
    <w:rsid w:val="002C22D2"/>
    <w:rsid w:val="002C3795"/>
    <w:rsid w:val="002C4117"/>
    <w:rsid w:val="002C4AB1"/>
    <w:rsid w:val="002C5855"/>
    <w:rsid w:val="002C5F43"/>
    <w:rsid w:val="002C6BE8"/>
    <w:rsid w:val="002C6C6D"/>
    <w:rsid w:val="002C6F0F"/>
    <w:rsid w:val="002C6F1D"/>
    <w:rsid w:val="002C7321"/>
    <w:rsid w:val="002C76BE"/>
    <w:rsid w:val="002C77A1"/>
    <w:rsid w:val="002D0BAD"/>
    <w:rsid w:val="002D1D19"/>
    <w:rsid w:val="002D1E69"/>
    <w:rsid w:val="002D2B38"/>
    <w:rsid w:val="002D2C16"/>
    <w:rsid w:val="002D307C"/>
    <w:rsid w:val="002D335A"/>
    <w:rsid w:val="002D3387"/>
    <w:rsid w:val="002D34AC"/>
    <w:rsid w:val="002D3772"/>
    <w:rsid w:val="002D468C"/>
    <w:rsid w:val="002D4CD3"/>
    <w:rsid w:val="002D5AEE"/>
    <w:rsid w:val="002D6056"/>
    <w:rsid w:val="002D698D"/>
    <w:rsid w:val="002D6EB4"/>
    <w:rsid w:val="002D7BC3"/>
    <w:rsid w:val="002D7C4D"/>
    <w:rsid w:val="002E050D"/>
    <w:rsid w:val="002E0971"/>
    <w:rsid w:val="002E0A3E"/>
    <w:rsid w:val="002E0E9F"/>
    <w:rsid w:val="002E1E3F"/>
    <w:rsid w:val="002E25FF"/>
    <w:rsid w:val="002E3355"/>
    <w:rsid w:val="002E33B8"/>
    <w:rsid w:val="002E4737"/>
    <w:rsid w:val="002E495C"/>
    <w:rsid w:val="002E4AE0"/>
    <w:rsid w:val="002E4B71"/>
    <w:rsid w:val="002E4E92"/>
    <w:rsid w:val="002E5509"/>
    <w:rsid w:val="002E57B9"/>
    <w:rsid w:val="002E5E20"/>
    <w:rsid w:val="002E6012"/>
    <w:rsid w:val="002E6AB8"/>
    <w:rsid w:val="002E71A7"/>
    <w:rsid w:val="002E73AD"/>
    <w:rsid w:val="002E7516"/>
    <w:rsid w:val="002E78B5"/>
    <w:rsid w:val="002F0353"/>
    <w:rsid w:val="002F0EBD"/>
    <w:rsid w:val="002F1266"/>
    <w:rsid w:val="002F1CF6"/>
    <w:rsid w:val="002F1F8A"/>
    <w:rsid w:val="002F2AD5"/>
    <w:rsid w:val="002F2CA8"/>
    <w:rsid w:val="002F3107"/>
    <w:rsid w:val="002F42BE"/>
    <w:rsid w:val="002F4427"/>
    <w:rsid w:val="002F455C"/>
    <w:rsid w:val="002F483D"/>
    <w:rsid w:val="002F486E"/>
    <w:rsid w:val="002F59F8"/>
    <w:rsid w:val="002F61A8"/>
    <w:rsid w:val="002F61CD"/>
    <w:rsid w:val="002F67A3"/>
    <w:rsid w:val="002F67C7"/>
    <w:rsid w:val="002F72BB"/>
    <w:rsid w:val="002F7B0E"/>
    <w:rsid w:val="002F7B70"/>
    <w:rsid w:val="002F7EB1"/>
    <w:rsid w:val="002F7F92"/>
    <w:rsid w:val="002F7FC5"/>
    <w:rsid w:val="0030059C"/>
    <w:rsid w:val="00300A6B"/>
    <w:rsid w:val="00300EEA"/>
    <w:rsid w:val="003013B0"/>
    <w:rsid w:val="003015C6"/>
    <w:rsid w:val="00301E27"/>
    <w:rsid w:val="00301FE4"/>
    <w:rsid w:val="00302184"/>
    <w:rsid w:val="00302544"/>
    <w:rsid w:val="00302D14"/>
    <w:rsid w:val="00302DEA"/>
    <w:rsid w:val="00302EE3"/>
    <w:rsid w:val="003034D4"/>
    <w:rsid w:val="003036D9"/>
    <w:rsid w:val="00303AFC"/>
    <w:rsid w:val="0030423C"/>
    <w:rsid w:val="003044A4"/>
    <w:rsid w:val="003049FB"/>
    <w:rsid w:val="00304A14"/>
    <w:rsid w:val="00304E1B"/>
    <w:rsid w:val="00305485"/>
    <w:rsid w:val="00306534"/>
    <w:rsid w:val="0030657D"/>
    <w:rsid w:val="00306E4F"/>
    <w:rsid w:val="003073CB"/>
    <w:rsid w:val="003105C9"/>
    <w:rsid w:val="00310B99"/>
    <w:rsid w:val="003112C1"/>
    <w:rsid w:val="0031161D"/>
    <w:rsid w:val="003125DB"/>
    <w:rsid w:val="00312B9A"/>
    <w:rsid w:val="00313730"/>
    <w:rsid w:val="003139A9"/>
    <w:rsid w:val="00313C3F"/>
    <w:rsid w:val="00313FDB"/>
    <w:rsid w:val="003145F8"/>
    <w:rsid w:val="00314673"/>
    <w:rsid w:val="003147B2"/>
    <w:rsid w:val="00314B14"/>
    <w:rsid w:val="00314CAF"/>
    <w:rsid w:val="00315AAC"/>
    <w:rsid w:val="00315AE4"/>
    <w:rsid w:val="003161B7"/>
    <w:rsid w:val="0031662A"/>
    <w:rsid w:val="003169F1"/>
    <w:rsid w:val="00317D5D"/>
    <w:rsid w:val="0032002F"/>
    <w:rsid w:val="00320112"/>
    <w:rsid w:val="003203A1"/>
    <w:rsid w:val="00320EAA"/>
    <w:rsid w:val="003212CB"/>
    <w:rsid w:val="0032156E"/>
    <w:rsid w:val="00321B2F"/>
    <w:rsid w:val="00322068"/>
    <w:rsid w:val="003222DB"/>
    <w:rsid w:val="00322B14"/>
    <w:rsid w:val="00323465"/>
    <w:rsid w:val="00323904"/>
    <w:rsid w:val="00323F91"/>
    <w:rsid w:val="00324384"/>
    <w:rsid w:val="00324637"/>
    <w:rsid w:val="0032494B"/>
    <w:rsid w:val="00324AE6"/>
    <w:rsid w:val="00325A96"/>
    <w:rsid w:val="00325AC4"/>
    <w:rsid w:val="00326182"/>
    <w:rsid w:val="003266DC"/>
    <w:rsid w:val="00326FAF"/>
    <w:rsid w:val="00327104"/>
    <w:rsid w:val="003279C3"/>
    <w:rsid w:val="0033078E"/>
    <w:rsid w:val="00330C6C"/>
    <w:rsid w:val="00330DB4"/>
    <w:rsid w:val="003314C3"/>
    <w:rsid w:val="0033158F"/>
    <w:rsid w:val="003319F4"/>
    <w:rsid w:val="00332042"/>
    <w:rsid w:val="00332A13"/>
    <w:rsid w:val="00332DD6"/>
    <w:rsid w:val="0033349A"/>
    <w:rsid w:val="00333AFC"/>
    <w:rsid w:val="00333E99"/>
    <w:rsid w:val="00334589"/>
    <w:rsid w:val="00334947"/>
    <w:rsid w:val="0033621A"/>
    <w:rsid w:val="003371F7"/>
    <w:rsid w:val="0033739E"/>
    <w:rsid w:val="0033759A"/>
    <w:rsid w:val="0033780E"/>
    <w:rsid w:val="00337836"/>
    <w:rsid w:val="00337AC7"/>
    <w:rsid w:val="00337EA2"/>
    <w:rsid w:val="00340274"/>
    <w:rsid w:val="003407F4"/>
    <w:rsid w:val="0034162D"/>
    <w:rsid w:val="003416AD"/>
    <w:rsid w:val="00341877"/>
    <w:rsid w:val="00341AF8"/>
    <w:rsid w:val="003423D1"/>
    <w:rsid w:val="00342522"/>
    <w:rsid w:val="003425F9"/>
    <w:rsid w:val="00342D4F"/>
    <w:rsid w:val="00343323"/>
    <w:rsid w:val="00343787"/>
    <w:rsid w:val="0034456E"/>
    <w:rsid w:val="0034457A"/>
    <w:rsid w:val="00344D65"/>
    <w:rsid w:val="00347297"/>
    <w:rsid w:val="0034729E"/>
    <w:rsid w:val="003478B0"/>
    <w:rsid w:val="00347F18"/>
    <w:rsid w:val="00347F3C"/>
    <w:rsid w:val="00350148"/>
    <w:rsid w:val="00350200"/>
    <w:rsid w:val="00350540"/>
    <w:rsid w:val="003508FD"/>
    <w:rsid w:val="00350A25"/>
    <w:rsid w:val="003510E5"/>
    <w:rsid w:val="0035185D"/>
    <w:rsid w:val="00351875"/>
    <w:rsid w:val="00351A25"/>
    <w:rsid w:val="003526FB"/>
    <w:rsid w:val="00352B95"/>
    <w:rsid w:val="00352D71"/>
    <w:rsid w:val="0035322A"/>
    <w:rsid w:val="003533F8"/>
    <w:rsid w:val="003537EB"/>
    <w:rsid w:val="00353BD0"/>
    <w:rsid w:val="0035471B"/>
    <w:rsid w:val="00354B06"/>
    <w:rsid w:val="003550DD"/>
    <w:rsid w:val="00355182"/>
    <w:rsid w:val="0035540B"/>
    <w:rsid w:val="0035593B"/>
    <w:rsid w:val="00356004"/>
    <w:rsid w:val="00356009"/>
    <w:rsid w:val="0035671D"/>
    <w:rsid w:val="00356D0E"/>
    <w:rsid w:val="0035704E"/>
    <w:rsid w:val="0035735E"/>
    <w:rsid w:val="003609D0"/>
    <w:rsid w:val="0036130B"/>
    <w:rsid w:val="003615D5"/>
    <w:rsid w:val="00361727"/>
    <w:rsid w:val="00361AB0"/>
    <w:rsid w:val="00361E60"/>
    <w:rsid w:val="00362211"/>
    <w:rsid w:val="0036457E"/>
    <w:rsid w:val="00364A24"/>
    <w:rsid w:val="00365186"/>
    <w:rsid w:val="0036542D"/>
    <w:rsid w:val="0036544E"/>
    <w:rsid w:val="00365742"/>
    <w:rsid w:val="00365AB6"/>
    <w:rsid w:val="003661C8"/>
    <w:rsid w:val="00366956"/>
    <w:rsid w:val="003670B8"/>
    <w:rsid w:val="003675F6"/>
    <w:rsid w:val="0037013F"/>
    <w:rsid w:val="003703C5"/>
    <w:rsid w:val="00370434"/>
    <w:rsid w:val="00370B38"/>
    <w:rsid w:val="00371161"/>
    <w:rsid w:val="00371A7A"/>
    <w:rsid w:val="00371F36"/>
    <w:rsid w:val="003726D1"/>
    <w:rsid w:val="00372B28"/>
    <w:rsid w:val="00372E5A"/>
    <w:rsid w:val="003730EA"/>
    <w:rsid w:val="00373B38"/>
    <w:rsid w:val="00373B4B"/>
    <w:rsid w:val="0037487B"/>
    <w:rsid w:val="003750DC"/>
    <w:rsid w:val="003750F4"/>
    <w:rsid w:val="0037552F"/>
    <w:rsid w:val="00375597"/>
    <w:rsid w:val="00375A9B"/>
    <w:rsid w:val="00375F1E"/>
    <w:rsid w:val="00375F4A"/>
    <w:rsid w:val="003763B0"/>
    <w:rsid w:val="00376502"/>
    <w:rsid w:val="00376E36"/>
    <w:rsid w:val="00376F69"/>
    <w:rsid w:val="0037711D"/>
    <w:rsid w:val="003773AB"/>
    <w:rsid w:val="003774BD"/>
    <w:rsid w:val="0037757C"/>
    <w:rsid w:val="003805B9"/>
    <w:rsid w:val="003805C4"/>
    <w:rsid w:val="00381E43"/>
    <w:rsid w:val="0038213B"/>
    <w:rsid w:val="003821CF"/>
    <w:rsid w:val="00383F80"/>
    <w:rsid w:val="00384264"/>
    <w:rsid w:val="003848E0"/>
    <w:rsid w:val="00384C25"/>
    <w:rsid w:val="003853AF"/>
    <w:rsid w:val="0038573D"/>
    <w:rsid w:val="00385B31"/>
    <w:rsid w:val="003864F1"/>
    <w:rsid w:val="00386556"/>
    <w:rsid w:val="003875C5"/>
    <w:rsid w:val="00387EE8"/>
    <w:rsid w:val="00390113"/>
    <w:rsid w:val="003902A9"/>
    <w:rsid w:val="00390674"/>
    <w:rsid w:val="00390775"/>
    <w:rsid w:val="00390BD7"/>
    <w:rsid w:val="003914A5"/>
    <w:rsid w:val="00391544"/>
    <w:rsid w:val="00391787"/>
    <w:rsid w:val="00391CB0"/>
    <w:rsid w:val="003920D2"/>
    <w:rsid w:val="00392221"/>
    <w:rsid w:val="00392338"/>
    <w:rsid w:val="00392689"/>
    <w:rsid w:val="003928E3"/>
    <w:rsid w:val="0039295C"/>
    <w:rsid w:val="0039296D"/>
    <w:rsid w:val="00392EED"/>
    <w:rsid w:val="0039306C"/>
    <w:rsid w:val="00393160"/>
    <w:rsid w:val="0039489D"/>
    <w:rsid w:val="00394A30"/>
    <w:rsid w:val="00394E8A"/>
    <w:rsid w:val="003954E8"/>
    <w:rsid w:val="00395B9E"/>
    <w:rsid w:val="00395CD7"/>
    <w:rsid w:val="00395DC8"/>
    <w:rsid w:val="00395DD6"/>
    <w:rsid w:val="00395FE0"/>
    <w:rsid w:val="00396455"/>
    <w:rsid w:val="00396C9E"/>
    <w:rsid w:val="00396E25"/>
    <w:rsid w:val="00397211"/>
    <w:rsid w:val="00397621"/>
    <w:rsid w:val="00397752"/>
    <w:rsid w:val="003978A8"/>
    <w:rsid w:val="003A06AC"/>
    <w:rsid w:val="003A0C53"/>
    <w:rsid w:val="003A11D1"/>
    <w:rsid w:val="003A13E3"/>
    <w:rsid w:val="003A1888"/>
    <w:rsid w:val="003A1BCE"/>
    <w:rsid w:val="003A1C37"/>
    <w:rsid w:val="003A1D84"/>
    <w:rsid w:val="003A1EBB"/>
    <w:rsid w:val="003A2278"/>
    <w:rsid w:val="003A310B"/>
    <w:rsid w:val="003A323D"/>
    <w:rsid w:val="003A3586"/>
    <w:rsid w:val="003A3598"/>
    <w:rsid w:val="003A36D3"/>
    <w:rsid w:val="003A37E0"/>
    <w:rsid w:val="003A3DBF"/>
    <w:rsid w:val="003A3E95"/>
    <w:rsid w:val="003A41DA"/>
    <w:rsid w:val="003A4372"/>
    <w:rsid w:val="003A47B0"/>
    <w:rsid w:val="003A49AB"/>
    <w:rsid w:val="003A4D2D"/>
    <w:rsid w:val="003A5344"/>
    <w:rsid w:val="003A5675"/>
    <w:rsid w:val="003A574B"/>
    <w:rsid w:val="003A58D0"/>
    <w:rsid w:val="003A68E6"/>
    <w:rsid w:val="003B049D"/>
    <w:rsid w:val="003B061A"/>
    <w:rsid w:val="003B0DDC"/>
    <w:rsid w:val="003B1381"/>
    <w:rsid w:val="003B1B31"/>
    <w:rsid w:val="003B1DF9"/>
    <w:rsid w:val="003B23A9"/>
    <w:rsid w:val="003B2FB1"/>
    <w:rsid w:val="003B3256"/>
    <w:rsid w:val="003B4471"/>
    <w:rsid w:val="003B4D17"/>
    <w:rsid w:val="003B5419"/>
    <w:rsid w:val="003B5462"/>
    <w:rsid w:val="003B5E8B"/>
    <w:rsid w:val="003B67D2"/>
    <w:rsid w:val="003B721A"/>
    <w:rsid w:val="003B7273"/>
    <w:rsid w:val="003B75C9"/>
    <w:rsid w:val="003B7E53"/>
    <w:rsid w:val="003C008C"/>
    <w:rsid w:val="003C0605"/>
    <w:rsid w:val="003C0652"/>
    <w:rsid w:val="003C0B96"/>
    <w:rsid w:val="003C176D"/>
    <w:rsid w:val="003C1A95"/>
    <w:rsid w:val="003C1AA5"/>
    <w:rsid w:val="003C1EB0"/>
    <w:rsid w:val="003C2401"/>
    <w:rsid w:val="003C251B"/>
    <w:rsid w:val="003C295A"/>
    <w:rsid w:val="003C2F15"/>
    <w:rsid w:val="003C2F7F"/>
    <w:rsid w:val="003C3555"/>
    <w:rsid w:val="003C3F09"/>
    <w:rsid w:val="003C65C1"/>
    <w:rsid w:val="003C69D4"/>
    <w:rsid w:val="003C6A82"/>
    <w:rsid w:val="003C6BEB"/>
    <w:rsid w:val="003C79C1"/>
    <w:rsid w:val="003C79F7"/>
    <w:rsid w:val="003C7E63"/>
    <w:rsid w:val="003D01A3"/>
    <w:rsid w:val="003D048E"/>
    <w:rsid w:val="003D060F"/>
    <w:rsid w:val="003D093C"/>
    <w:rsid w:val="003D0EBD"/>
    <w:rsid w:val="003D205A"/>
    <w:rsid w:val="003D3510"/>
    <w:rsid w:val="003D37F7"/>
    <w:rsid w:val="003D3E10"/>
    <w:rsid w:val="003D45A3"/>
    <w:rsid w:val="003D5367"/>
    <w:rsid w:val="003D5875"/>
    <w:rsid w:val="003D58BC"/>
    <w:rsid w:val="003D5FB4"/>
    <w:rsid w:val="003D6606"/>
    <w:rsid w:val="003D692A"/>
    <w:rsid w:val="003D6A74"/>
    <w:rsid w:val="003D6FC9"/>
    <w:rsid w:val="003D7250"/>
    <w:rsid w:val="003D7458"/>
    <w:rsid w:val="003D7621"/>
    <w:rsid w:val="003D7997"/>
    <w:rsid w:val="003D7AA0"/>
    <w:rsid w:val="003E0312"/>
    <w:rsid w:val="003E0C87"/>
    <w:rsid w:val="003E1C61"/>
    <w:rsid w:val="003E320B"/>
    <w:rsid w:val="003E333D"/>
    <w:rsid w:val="003E454A"/>
    <w:rsid w:val="003E4694"/>
    <w:rsid w:val="003E4EB0"/>
    <w:rsid w:val="003E505B"/>
    <w:rsid w:val="003E5B5D"/>
    <w:rsid w:val="003E6156"/>
    <w:rsid w:val="003E6334"/>
    <w:rsid w:val="003E6860"/>
    <w:rsid w:val="003E7A8D"/>
    <w:rsid w:val="003F0787"/>
    <w:rsid w:val="003F07EC"/>
    <w:rsid w:val="003F259B"/>
    <w:rsid w:val="003F27B8"/>
    <w:rsid w:val="003F2B33"/>
    <w:rsid w:val="003F2E34"/>
    <w:rsid w:val="003F494F"/>
    <w:rsid w:val="003F4ABD"/>
    <w:rsid w:val="003F4B72"/>
    <w:rsid w:val="003F4DAA"/>
    <w:rsid w:val="003F4DDF"/>
    <w:rsid w:val="003F5407"/>
    <w:rsid w:val="003F552C"/>
    <w:rsid w:val="003F65E3"/>
    <w:rsid w:val="003F6C15"/>
    <w:rsid w:val="003F72E9"/>
    <w:rsid w:val="003F7371"/>
    <w:rsid w:val="003F79A7"/>
    <w:rsid w:val="00400163"/>
    <w:rsid w:val="004002DD"/>
    <w:rsid w:val="00400972"/>
    <w:rsid w:val="004013DA"/>
    <w:rsid w:val="00401B80"/>
    <w:rsid w:val="00401CE8"/>
    <w:rsid w:val="0040256A"/>
    <w:rsid w:val="0040266F"/>
    <w:rsid w:val="0040283F"/>
    <w:rsid w:val="00402C1E"/>
    <w:rsid w:val="00403F20"/>
    <w:rsid w:val="004059E2"/>
    <w:rsid w:val="00405D90"/>
    <w:rsid w:val="004068E8"/>
    <w:rsid w:val="00406B67"/>
    <w:rsid w:val="00406E53"/>
    <w:rsid w:val="00406EF9"/>
    <w:rsid w:val="004072EE"/>
    <w:rsid w:val="0040778A"/>
    <w:rsid w:val="00410C27"/>
    <w:rsid w:val="00410FF9"/>
    <w:rsid w:val="0041124C"/>
    <w:rsid w:val="00411B06"/>
    <w:rsid w:val="00412652"/>
    <w:rsid w:val="00412776"/>
    <w:rsid w:val="00412F24"/>
    <w:rsid w:val="0041327C"/>
    <w:rsid w:val="0041332D"/>
    <w:rsid w:val="00413956"/>
    <w:rsid w:val="004141A5"/>
    <w:rsid w:val="00414378"/>
    <w:rsid w:val="00414FAE"/>
    <w:rsid w:val="00415506"/>
    <w:rsid w:val="004167C0"/>
    <w:rsid w:val="00417B10"/>
    <w:rsid w:val="004202CE"/>
    <w:rsid w:val="0042051F"/>
    <w:rsid w:val="00421BE1"/>
    <w:rsid w:val="00421D2F"/>
    <w:rsid w:val="0042364E"/>
    <w:rsid w:val="004239D7"/>
    <w:rsid w:val="00424366"/>
    <w:rsid w:val="00424491"/>
    <w:rsid w:val="004245EE"/>
    <w:rsid w:val="00424725"/>
    <w:rsid w:val="004247E7"/>
    <w:rsid w:val="00424B8F"/>
    <w:rsid w:val="00424C0A"/>
    <w:rsid w:val="00424E14"/>
    <w:rsid w:val="00425267"/>
    <w:rsid w:val="00425375"/>
    <w:rsid w:val="00425E3F"/>
    <w:rsid w:val="0042628E"/>
    <w:rsid w:val="004264E9"/>
    <w:rsid w:val="00426AB7"/>
    <w:rsid w:val="00426D8E"/>
    <w:rsid w:val="0042726A"/>
    <w:rsid w:val="00427852"/>
    <w:rsid w:val="00427E25"/>
    <w:rsid w:val="00427F47"/>
    <w:rsid w:val="004300C1"/>
    <w:rsid w:val="00430E47"/>
    <w:rsid w:val="00431201"/>
    <w:rsid w:val="0043152E"/>
    <w:rsid w:val="00431D28"/>
    <w:rsid w:val="0043267D"/>
    <w:rsid w:val="00433066"/>
    <w:rsid w:val="0043332D"/>
    <w:rsid w:val="00433B0A"/>
    <w:rsid w:val="0043414E"/>
    <w:rsid w:val="004368CA"/>
    <w:rsid w:val="00436CA4"/>
    <w:rsid w:val="00436DB0"/>
    <w:rsid w:val="00436F3C"/>
    <w:rsid w:val="00437364"/>
    <w:rsid w:val="00437D2E"/>
    <w:rsid w:val="00440364"/>
    <w:rsid w:val="004417B3"/>
    <w:rsid w:val="0044240C"/>
    <w:rsid w:val="0044271E"/>
    <w:rsid w:val="004433BB"/>
    <w:rsid w:val="00443CC3"/>
    <w:rsid w:val="00444675"/>
    <w:rsid w:val="004447C0"/>
    <w:rsid w:val="00444C23"/>
    <w:rsid w:val="00445A8C"/>
    <w:rsid w:val="004466CF"/>
    <w:rsid w:val="00446B78"/>
    <w:rsid w:val="00446F7B"/>
    <w:rsid w:val="004474DC"/>
    <w:rsid w:val="0044757C"/>
    <w:rsid w:val="00447E0B"/>
    <w:rsid w:val="00450D0C"/>
    <w:rsid w:val="004518A2"/>
    <w:rsid w:val="0045193D"/>
    <w:rsid w:val="00451E3C"/>
    <w:rsid w:val="00452331"/>
    <w:rsid w:val="00452B45"/>
    <w:rsid w:val="00452EEE"/>
    <w:rsid w:val="004532B6"/>
    <w:rsid w:val="004538DB"/>
    <w:rsid w:val="00454250"/>
    <w:rsid w:val="0045455D"/>
    <w:rsid w:val="00454653"/>
    <w:rsid w:val="004553F7"/>
    <w:rsid w:val="00455D07"/>
    <w:rsid w:val="00455D9A"/>
    <w:rsid w:val="00455EC4"/>
    <w:rsid w:val="004563D7"/>
    <w:rsid w:val="00456429"/>
    <w:rsid w:val="004565D2"/>
    <w:rsid w:val="00456E33"/>
    <w:rsid w:val="00456FAA"/>
    <w:rsid w:val="004574B3"/>
    <w:rsid w:val="00457C65"/>
    <w:rsid w:val="00457C71"/>
    <w:rsid w:val="004607AA"/>
    <w:rsid w:val="00460AA5"/>
    <w:rsid w:val="004613E0"/>
    <w:rsid w:val="00461B59"/>
    <w:rsid w:val="00461D61"/>
    <w:rsid w:val="00462CDC"/>
    <w:rsid w:val="0046304E"/>
    <w:rsid w:val="0046392E"/>
    <w:rsid w:val="00464418"/>
    <w:rsid w:val="00464B7A"/>
    <w:rsid w:val="00464EDB"/>
    <w:rsid w:val="004651D3"/>
    <w:rsid w:val="00466C30"/>
    <w:rsid w:val="00466CBC"/>
    <w:rsid w:val="00467ABF"/>
    <w:rsid w:val="00467D22"/>
    <w:rsid w:val="00467F82"/>
    <w:rsid w:val="00470547"/>
    <w:rsid w:val="004707B1"/>
    <w:rsid w:val="004718A0"/>
    <w:rsid w:val="00471B44"/>
    <w:rsid w:val="00471BE1"/>
    <w:rsid w:val="00471FDD"/>
    <w:rsid w:val="00472D7B"/>
    <w:rsid w:val="00472EBA"/>
    <w:rsid w:val="00473484"/>
    <w:rsid w:val="00473A11"/>
    <w:rsid w:val="00473BC1"/>
    <w:rsid w:val="00473BFA"/>
    <w:rsid w:val="00473CE6"/>
    <w:rsid w:val="00473DF0"/>
    <w:rsid w:val="00473E94"/>
    <w:rsid w:val="00474512"/>
    <w:rsid w:val="004746CF"/>
    <w:rsid w:val="00474DFF"/>
    <w:rsid w:val="00474F23"/>
    <w:rsid w:val="00475490"/>
    <w:rsid w:val="0047551E"/>
    <w:rsid w:val="00475DA4"/>
    <w:rsid w:val="004765DD"/>
    <w:rsid w:val="00476EBB"/>
    <w:rsid w:val="004770DD"/>
    <w:rsid w:val="00477258"/>
    <w:rsid w:val="00477794"/>
    <w:rsid w:val="00480901"/>
    <w:rsid w:val="004819A4"/>
    <w:rsid w:val="00481AF1"/>
    <w:rsid w:val="0048237D"/>
    <w:rsid w:val="004825B8"/>
    <w:rsid w:val="0048294E"/>
    <w:rsid w:val="004829BE"/>
    <w:rsid w:val="004833D5"/>
    <w:rsid w:val="004838D9"/>
    <w:rsid w:val="0048428E"/>
    <w:rsid w:val="00484801"/>
    <w:rsid w:val="0048507B"/>
    <w:rsid w:val="004853CA"/>
    <w:rsid w:val="0048565D"/>
    <w:rsid w:val="00485C84"/>
    <w:rsid w:val="00486092"/>
    <w:rsid w:val="00486685"/>
    <w:rsid w:val="00487D05"/>
    <w:rsid w:val="00490465"/>
    <w:rsid w:val="00490646"/>
    <w:rsid w:val="00490C8F"/>
    <w:rsid w:val="0049151E"/>
    <w:rsid w:val="00491CEE"/>
    <w:rsid w:val="00491F23"/>
    <w:rsid w:val="004933AE"/>
    <w:rsid w:val="004935A1"/>
    <w:rsid w:val="00493B57"/>
    <w:rsid w:val="00494C0D"/>
    <w:rsid w:val="00494C99"/>
    <w:rsid w:val="0049530E"/>
    <w:rsid w:val="00495CE3"/>
    <w:rsid w:val="00495ECB"/>
    <w:rsid w:val="0049608E"/>
    <w:rsid w:val="004962C4"/>
    <w:rsid w:val="004966A3"/>
    <w:rsid w:val="00496983"/>
    <w:rsid w:val="0049786B"/>
    <w:rsid w:val="004979C2"/>
    <w:rsid w:val="00497A6A"/>
    <w:rsid w:val="004A0948"/>
    <w:rsid w:val="004A0E06"/>
    <w:rsid w:val="004A1430"/>
    <w:rsid w:val="004A15B9"/>
    <w:rsid w:val="004A1E21"/>
    <w:rsid w:val="004A1EF7"/>
    <w:rsid w:val="004A2D31"/>
    <w:rsid w:val="004A2FB1"/>
    <w:rsid w:val="004A3382"/>
    <w:rsid w:val="004A33AA"/>
    <w:rsid w:val="004A3F57"/>
    <w:rsid w:val="004A4CB1"/>
    <w:rsid w:val="004A4F57"/>
    <w:rsid w:val="004A54DC"/>
    <w:rsid w:val="004A5BD6"/>
    <w:rsid w:val="004A5F85"/>
    <w:rsid w:val="004A668B"/>
    <w:rsid w:val="004A6703"/>
    <w:rsid w:val="004A728F"/>
    <w:rsid w:val="004A7473"/>
    <w:rsid w:val="004A77B8"/>
    <w:rsid w:val="004A7B0C"/>
    <w:rsid w:val="004A7F73"/>
    <w:rsid w:val="004B0563"/>
    <w:rsid w:val="004B0687"/>
    <w:rsid w:val="004B06B7"/>
    <w:rsid w:val="004B07FC"/>
    <w:rsid w:val="004B086C"/>
    <w:rsid w:val="004B0CE0"/>
    <w:rsid w:val="004B0D74"/>
    <w:rsid w:val="004B102C"/>
    <w:rsid w:val="004B1238"/>
    <w:rsid w:val="004B1968"/>
    <w:rsid w:val="004B2457"/>
    <w:rsid w:val="004B29B6"/>
    <w:rsid w:val="004B2A5C"/>
    <w:rsid w:val="004B2E08"/>
    <w:rsid w:val="004B32CF"/>
    <w:rsid w:val="004B3C0B"/>
    <w:rsid w:val="004B3C5A"/>
    <w:rsid w:val="004B4D63"/>
    <w:rsid w:val="004B65BB"/>
    <w:rsid w:val="004B713D"/>
    <w:rsid w:val="004C00E5"/>
    <w:rsid w:val="004C088A"/>
    <w:rsid w:val="004C0C5D"/>
    <w:rsid w:val="004C0D20"/>
    <w:rsid w:val="004C1740"/>
    <w:rsid w:val="004C1CEF"/>
    <w:rsid w:val="004C249E"/>
    <w:rsid w:val="004C25F0"/>
    <w:rsid w:val="004C2990"/>
    <w:rsid w:val="004C2A53"/>
    <w:rsid w:val="004C2D70"/>
    <w:rsid w:val="004C2FA0"/>
    <w:rsid w:val="004C311C"/>
    <w:rsid w:val="004C3B92"/>
    <w:rsid w:val="004C419C"/>
    <w:rsid w:val="004C4BD5"/>
    <w:rsid w:val="004C52D0"/>
    <w:rsid w:val="004C5395"/>
    <w:rsid w:val="004C5595"/>
    <w:rsid w:val="004C5C51"/>
    <w:rsid w:val="004C65BA"/>
    <w:rsid w:val="004C682A"/>
    <w:rsid w:val="004C692A"/>
    <w:rsid w:val="004C6C3D"/>
    <w:rsid w:val="004C6C86"/>
    <w:rsid w:val="004C6E5B"/>
    <w:rsid w:val="004C703C"/>
    <w:rsid w:val="004C7374"/>
    <w:rsid w:val="004C73E4"/>
    <w:rsid w:val="004C7683"/>
    <w:rsid w:val="004C7C17"/>
    <w:rsid w:val="004C7E46"/>
    <w:rsid w:val="004C7F26"/>
    <w:rsid w:val="004D022A"/>
    <w:rsid w:val="004D0507"/>
    <w:rsid w:val="004D065A"/>
    <w:rsid w:val="004D0A70"/>
    <w:rsid w:val="004D0B20"/>
    <w:rsid w:val="004D0EBA"/>
    <w:rsid w:val="004D10D2"/>
    <w:rsid w:val="004D10F2"/>
    <w:rsid w:val="004D1554"/>
    <w:rsid w:val="004D1707"/>
    <w:rsid w:val="004D1DA2"/>
    <w:rsid w:val="004D3735"/>
    <w:rsid w:val="004D49C6"/>
    <w:rsid w:val="004D5486"/>
    <w:rsid w:val="004D5A98"/>
    <w:rsid w:val="004D719A"/>
    <w:rsid w:val="004D758E"/>
    <w:rsid w:val="004D78AA"/>
    <w:rsid w:val="004E00F8"/>
    <w:rsid w:val="004E0401"/>
    <w:rsid w:val="004E0974"/>
    <w:rsid w:val="004E14C8"/>
    <w:rsid w:val="004E174E"/>
    <w:rsid w:val="004E1EB6"/>
    <w:rsid w:val="004E430E"/>
    <w:rsid w:val="004E4AAF"/>
    <w:rsid w:val="004E4E8B"/>
    <w:rsid w:val="004E4EC4"/>
    <w:rsid w:val="004E51AF"/>
    <w:rsid w:val="004E5707"/>
    <w:rsid w:val="004E5898"/>
    <w:rsid w:val="004E5DA2"/>
    <w:rsid w:val="004E61F3"/>
    <w:rsid w:val="004E6D44"/>
    <w:rsid w:val="004E791E"/>
    <w:rsid w:val="004E7F81"/>
    <w:rsid w:val="004F000F"/>
    <w:rsid w:val="004F02FA"/>
    <w:rsid w:val="004F03D9"/>
    <w:rsid w:val="004F1554"/>
    <w:rsid w:val="004F1687"/>
    <w:rsid w:val="004F17CD"/>
    <w:rsid w:val="004F1D53"/>
    <w:rsid w:val="004F27C1"/>
    <w:rsid w:val="004F2E3F"/>
    <w:rsid w:val="004F37DB"/>
    <w:rsid w:val="004F3844"/>
    <w:rsid w:val="004F440D"/>
    <w:rsid w:val="004F4B4F"/>
    <w:rsid w:val="004F4C20"/>
    <w:rsid w:val="004F66A8"/>
    <w:rsid w:val="004F674A"/>
    <w:rsid w:val="004F70E7"/>
    <w:rsid w:val="004F713F"/>
    <w:rsid w:val="004F75CA"/>
    <w:rsid w:val="004F769F"/>
    <w:rsid w:val="004F78F2"/>
    <w:rsid w:val="004F7A47"/>
    <w:rsid w:val="004F7BC4"/>
    <w:rsid w:val="004F7D85"/>
    <w:rsid w:val="00500CFA"/>
    <w:rsid w:val="0050131D"/>
    <w:rsid w:val="005017D7"/>
    <w:rsid w:val="00502254"/>
    <w:rsid w:val="0050227E"/>
    <w:rsid w:val="00502821"/>
    <w:rsid w:val="00502889"/>
    <w:rsid w:val="00502A89"/>
    <w:rsid w:val="005032C7"/>
    <w:rsid w:val="005034BB"/>
    <w:rsid w:val="00503675"/>
    <w:rsid w:val="00503A58"/>
    <w:rsid w:val="00504229"/>
    <w:rsid w:val="005049B1"/>
    <w:rsid w:val="005053BE"/>
    <w:rsid w:val="0050553C"/>
    <w:rsid w:val="00505E42"/>
    <w:rsid w:val="00506788"/>
    <w:rsid w:val="00506DF1"/>
    <w:rsid w:val="00510260"/>
    <w:rsid w:val="0051043E"/>
    <w:rsid w:val="00510466"/>
    <w:rsid w:val="005105F4"/>
    <w:rsid w:val="00510999"/>
    <w:rsid w:val="0051110F"/>
    <w:rsid w:val="00512139"/>
    <w:rsid w:val="00512372"/>
    <w:rsid w:val="0051325E"/>
    <w:rsid w:val="005148D4"/>
    <w:rsid w:val="00514AB3"/>
    <w:rsid w:val="00514E9A"/>
    <w:rsid w:val="005151AA"/>
    <w:rsid w:val="00515BFB"/>
    <w:rsid w:val="00515E24"/>
    <w:rsid w:val="00516558"/>
    <w:rsid w:val="005168D8"/>
    <w:rsid w:val="00516A51"/>
    <w:rsid w:val="00516C5E"/>
    <w:rsid w:val="00516C9C"/>
    <w:rsid w:val="00517D54"/>
    <w:rsid w:val="00520A8A"/>
    <w:rsid w:val="005210E9"/>
    <w:rsid w:val="005211DE"/>
    <w:rsid w:val="0052135C"/>
    <w:rsid w:val="00521EC8"/>
    <w:rsid w:val="00521F30"/>
    <w:rsid w:val="00522D32"/>
    <w:rsid w:val="005236EB"/>
    <w:rsid w:val="00523FF3"/>
    <w:rsid w:val="00524215"/>
    <w:rsid w:val="00524BD8"/>
    <w:rsid w:val="005255EF"/>
    <w:rsid w:val="00525759"/>
    <w:rsid w:val="00525B9E"/>
    <w:rsid w:val="00527031"/>
    <w:rsid w:val="005276E1"/>
    <w:rsid w:val="00527D7E"/>
    <w:rsid w:val="005300AD"/>
    <w:rsid w:val="0053040E"/>
    <w:rsid w:val="00531106"/>
    <w:rsid w:val="00531305"/>
    <w:rsid w:val="005315C1"/>
    <w:rsid w:val="005318D7"/>
    <w:rsid w:val="00531F49"/>
    <w:rsid w:val="0053225C"/>
    <w:rsid w:val="00532F44"/>
    <w:rsid w:val="0053333F"/>
    <w:rsid w:val="0053385E"/>
    <w:rsid w:val="0053402C"/>
    <w:rsid w:val="00534106"/>
    <w:rsid w:val="00534870"/>
    <w:rsid w:val="00534878"/>
    <w:rsid w:val="00534A2D"/>
    <w:rsid w:val="005351AC"/>
    <w:rsid w:val="00535542"/>
    <w:rsid w:val="0053570B"/>
    <w:rsid w:val="00535A2E"/>
    <w:rsid w:val="005362D8"/>
    <w:rsid w:val="00536308"/>
    <w:rsid w:val="0053664A"/>
    <w:rsid w:val="00536806"/>
    <w:rsid w:val="0053715C"/>
    <w:rsid w:val="00537A35"/>
    <w:rsid w:val="00537C15"/>
    <w:rsid w:val="00537F36"/>
    <w:rsid w:val="00540A33"/>
    <w:rsid w:val="005418F7"/>
    <w:rsid w:val="00541938"/>
    <w:rsid w:val="00541977"/>
    <w:rsid w:val="0054231C"/>
    <w:rsid w:val="00542910"/>
    <w:rsid w:val="00542C2F"/>
    <w:rsid w:val="00544B67"/>
    <w:rsid w:val="00544DA4"/>
    <w:rsid w:val="005450AC"/>
    <w:rsid w:val="005459D6"/>
    <w:rsid w:val="00545D1A"/>
    <w:rsid w:val="00545DF0"/>
    <w:rsid w:val="00545E99"/>
    <w:rsid w:val="005460F7"/>
    <w:rsid w:val="005461D3"/>
    <w:rsid w:val="00546209"/>
    <w:rsid w:val="0054651F"/>
    <w:rsid w:val="00546848"/>
    <w:rsid w:val="005476B3"/>
    <w:rsid w:val="00547C72"/>
    <w:rsid w:val="00550652"/>
    <w:rsid w:val="005506DD"/>
    <w:rsid w:val="005513D8"/>
    <w:rsid w:val="00551AE3"/>
    <w:rsid w:val="005540CA"/>
    <w:rsid w:val="00554204"/>
    <w:rsid w:val="005545E5"/>
    <w:rsid w:val="00554CF8"/>
    <w:rsid w:val="00555100"/>
    <w:rsid w:val="00555508"/>
    <w:rsid w:val="00555877"/>
    <w:rsid w:val="00555F2F"/>
    <w:rsid w:val="005566A6"/>
    <w:rsid w:val="0055723D"/>
    <w:rsid w:val="005576A0"/>
    <w:rsid w:val="00557D39"/>
    <w:rsid w:val="00560043"/>
    <w:rsid w:val="00560474"/>
    <w:rsid w:val="00560A15"/>
    <w:rsid w:val="00560D9E"/>
    <w:rsid w:val="0056176F"/>
    <w:rsid w:val="00561B8B"/>
    <w:rsid w:val="00562285"/>
    <w:rsid w:val="005629F4"/>
    <w:rsid w:val="00562C56"/>
    <w:rsid w:val="00563C6D"/>
    <w:rsid w:val="00563CD8"/>
    <w:rsid w:val="00563CE1"/>
    <w:rsid w:val="0056423D"/>
    <w:rsid w:val="00564F22"/>
    <w:rsid w:val="005653CA"/>
    <w:rsid w:val="00565C23"/>
    <w:rsid w:val="00565FAD"/>
    <w:rsid w:val="00565FB4"/>
    <w:rsid w:val="0056630F"/>
    <w:rsid w:val="005672B5"/>
    <w:rsid w:val="0056793D"/>
    <w:rsid w:val="0057040A"/>
    <w:rsid w:val="00571622"/>
    <w:rsid w:val="0057162B"/>
    <w:rsid w:val="00571DBD"/>
    <w:rsid w:val="00571FB6"/>
    <w:rsid w:val="00572789"/>
    <w:rsid w:val="00572D0B"/>
    <w:rsid w:val="00572D85"/>
    <w:rsid w:val="00572F6C"/>
    <w:rsid w:val="005738DD"/>
    <w:rsid w:val="0057444E"/>
    <w:rsid w:val="005749C4"/>
    <w:rsid w:val="00574BE5"/>
    <w:rsid w:val="00574CFE"/>
    <w:rsid w:val="0057551A"/>
    <w:rsid w:val="005760DE"/>
    <w:rsid w:val="005763EC"/>
    <w:rsid w:val="00577379"/>
    <w:rsid w:val="005773A8"/>
    <w:rsid w:val="0057781D"/>
    <w:rsid w:val="00577FCC"/>
    <w:rsid w:val="00580254"/>
    <w:rsid w:val="0058088C"/>
    <w:rsid w:val="00580AAC"/>
    <w:rsid w:val="00580BE4"/>
    <w:rsid w:val="005818F3"/>
    <w:rsid w:val="005819E0"/>
    <w:rsid w:val="00581F06"/>
    <w:rsid w:val="00582883"/>
    <w:rsid w:val="0058296E"/>
    <w:rsid w:val="00582B30"/>
    <w:rsid w:val="005838BE"/>
    <w:rsid w:val="00583EFC"/>
    <w:rsid w:val="005843D6"/>
    <w:rsid w:val="005849A1"/>
    <w:rsid w:val="005852CB"/>
    <w:rsid w:val="00585550"/>
    <w:rsid w:val="00586183"/>
    <w:rsid w:val="005863CF"/>
    <w:rsid w:val="00587340"/>
    <w:rsid w:val="005874FF"/>
    <w:rsid w:val="00587B89"/>
    <w:rsid w:val="00587C4B"/>
    <w:rsid w:val="00587C50"/>
    <w:rsid w:val="00587C61"/>
    <w:rsid w:val="00590605"/>
    <w:rsid w:val="00590654"/>
    <w:rsid w:val="00590A07"/>
    <w:rsid w:val="00590AA7"/>
    <w:rsid w:val="00590FC0"/>
    <w:rsid w:val="00591A2C"/>
    <w:rsid w:val="00592175"/>
    <w:rsid w:val="005926B2"/>
    <w:rsid w:val="005927BF"/>
    <w:rsid w:val="0059317F"/>
    <w:rsid w:val="005948C4"/>
    <w:rsid w:val="00594A08"/>
    <w:rsid w:val="00594FD1"/>
    <w:rsid w:val="005953E0"/>
    <w:rsid w:val="00595776"/>
    <w:rsid w:val="00595F06"/>
    <w:rsid w:val="00596038"/>
    <w:rsid w:val="00596125"/>
    <w:rsid w:val="00596375"/>
    <w:rsid w:val="00596A9F"/>
    <w:rsid w:val="00596B4D"/>
    <w:rsid w:val="00596DB0"/>
    <w:rsid w:val="00596DC5"/>
    <w:rsid w:val="00596E04"/>
    <w:rsid w:val="00597502"/>
    <w:rsid w:val="005975D2"/>
    <w:rsid w:val="00597989"/>
    <w:rsid w:val="005A06B4"/>
    <w:rsid w:val="005A0940"/>
    <w:rsid w:val="005A0A03"/>
    <w:rsid w:val="005A0B3E"/>
    <w:rsid w:val="005A0CD1"/>
    <w:rsid w:val="005A0E99"/>
    <w:rsid w:val="005A17AA"/>
    <w:rsid w:val="005A17FA"/>
    <w:rsid w:val="005A1AA6"/>
    <w:rsid w:val="005A1D2C"/>
    <w:rsid w:val="005A31D9"/>
    <w:rsid w:val="005A3421"/>
    <w:rsid w:val="005A358E"/>
    <w:rsid w:val="005A4276"/>
    <w:rsid w:val="005A4BB1"/>
    <w:rsid w:val="005A501C"/>
    <w:rsid w:val="005A52DB"/>
    <w:rsid w:val="005A59A1"/>
    <w:rsid w:val="005A6F0D"/>
    <w:rsid w:val="005A6F5E"/>
    <w:rsid w:val="005A7679"/>
    <w:rsid w:val="005A7764"/>
    <w:rsid w:val="005A7999"/>
    <w:rsid w:val="005A7BD1"/>
    <w:rsid w:val="005B0199"/>
    <w:rsid w:val="005B0315"/>
    <w:rsid w:val="005B067B"/>
    <w:rsid w:val="005B097F"/>
    <w:rsid w:val="005B18E7"/>
    <w:rsid w:val="005B1943"/>
    <w:rsid w:val="005B24E3"/>
    <w:rsid w:val="005B2624"/>
    <w:rsid w:val="005B28FC"/>
    <w:rsid w:val="005B2B72"/>
    <w:rsid w:val="005B2B79"/>
    <w:rsid w:val="005B3638"/>
    <w:rsid w:val="005B38DB"/>
    <w:rsid w:val="005B3A88"/>
    <w:rsid w:val="005B4E4B"/>
    <w:rsid w:val="005B5098"/>
    <w:rsid w:val="005B56C2"/>
    <w:rsid w:val="005B5830"/>
    <w:rsid w:val="005B586F"/>
    <w:rsid w:val="005B6174"/>
    <w:rsid w:val="005B6411"/>
    <w:rsid w:val="005B6752"/>
    <w:rsid w:val="005B6802"/>
    <w:rsid w:val="005B7140"/>
    <w:rsid w:val="005B756D"/>
    <w:rsid w:val="005B7644"/>
    <w:rsid w:val="005C0E2E"/>
    <w:rsid w:val="005C2AFB"/>
    <w:rsid w:val="005C314F"/>
    <w:rsid w:val="005C340C"/>
    <w:rsid w:val="005C3578"/>
    <w:rsid w:val="005C35E4"/>
    <w:rsid w:val="005C3B90"/>
    <w:rsid w:val="005C418B"/>
    <w:rsid w:val="005C444A"/>
    <w:rsid w:val="005C4BCA"/>
    <w:rsid w:val="005C4E68"/>
    <w:rsid w:val="005C4FB4"/>
    <w:rsid w:val="005C51CC"/>
    <w:rsid w:val="005C5ECA"/>
    <w:rsid w:val="005C5FA6"/>
    <w:rsid w:val="005C66C6"/>
    <w:rsid w:val="005C7011"/>
    <w:rsid w:val="005C723E"/>
    <w:rsid w:val="005C7938"/>
    <w:rsid w:val="005C7A4A"/>
    <w:rsid w:val="005D03C7"/>
    <w:rsid w:val="005D0601"/>
    <w:rsid w:val="005D08F4"/>
    <w:rsid w:val="005D0E67"/>
    <w:rsid w:val="005D1D34"/>
    <w:rsid w:val="005D1DEA"/>
    <w:rsid w:val="005D2A8D"/>
    <w:rsid w:val="005D2D77"/>
    <w:rsid w:val="005D2DE8"/>
    <w:rsid w:val="005D2FC0"/>
    <w:rsid w:val="005D3205"/>
    <w:rsid w:val="005D35E9"/>
    <w:rsid w:val="005D3692"/>
    <w:rsid w:val="005D36C9"/>
    <w:rsid w:val="005D3EAB"/>
    <w:rsid w:val="005D4176"/>
    <w:rsid w:val="005D41A6"/>
    <w:rsid w:val="005D563D"/>
    <w:rsid w:val="005D5992"/>
    <w:rsid w:val="005D5E2F"/>
    <w:rsid w:val="005D626C"/>
    <w:rsid w:val="005D6789"/>
    <w:rsid w:val="005D6BA1"/>
    <w:rsid w:val="005D7E70"/>
    <w:rsid w:val="005D7F66"/>
    <w:rsid w:val="005E0955"/>
    <w:rsid w:val="005E113D"/>
    <w:rsid w:val="005E1266"/>
    <w:rsid w:val="005E144F"/>
    <w:rsid w:val="005E1BC1"/>
    <w:rsid w:val="005E1CDC"/>
    <w:rsid w:val="005E1F3F"/>
    <w:rsid w:val="005E2B6B"/>
    <w:rsid w:val="005E2E1F"/>
    <w:rsid w:val="005E30F2"/>
    <w:rsid w:val="005E33B6"/>
    <w:rsid w:val="005E36A3"/>
    <w:rsid w:val="005E36CD"/>
    <w:rsid w:val="005E3CF6"/>
    <w:rsid w:val="005E3E15"/>
    <w:rsid w:val="005E4569"/>
    <w:rsid w:val="005E49F3"/>
    <w:rsid w:val="005E4D42"/>
    <w:rsid w:val="005E5114"/>
    <w:rsid w:val="005E561F"/>
    <w:rsid w:val="005E58FA"/>
    <w:rsid w:val="005E607F"/>
    <w:rsid w:val="005E6B08"/>
    <w:rsid w:val="005E7A1E"/>
    <w:rsid w:val="005E7A76"/>
    <w:rsid w:val="005E7ACF"/>
    <w:rsid w:val="005F0E76"/>
    <w:rsid w:val="005F156B"/>
    <w:rsid w:val="005F17E6"/>
    <w:rsid w:val="005F2744"/>
    <w:rsid w:val="005F2B54"/>
    <w:rsid w:val="005F2C7A"/>
    <w:rsid w:val="005F314B"/>
    <w:rsid w:val="005F32AE"/>
    <w:rsid w:val="005F3A12"/>
    <w:rsid w:val="005F4210"/>
    <w:rsid w:val="005F4B28"/>
    <w:rsid w:val="005F4E50"/>
    <w:rsid w:val="005F5016"/>
    <w:rsid w:val="005F54CC"/>
    <w:rsid w:val="005F5640"/>
    <w:rsid w:val="005F5D3B"/>
    <w:rsid w:val="005F5F2B"/>
    <w:rsid w:val="005F6182"/>
    <w:rsid w:val="005F68B5"/>
    <w:rsid w:val="005F7251"/>
    <w:rsid w:val="005F75E9"/>
    <w:rsid w:val="006009D1"/>
    <w:rsid w:val="00601250"/>
    <w:rsid w:val="006017C1"/>
    <w:rsid w:val="00601991"/>
    <w:rsid w:val="006027CA"/>
    <w:rsid w:val="00602EF3"/>
    <w:rsid w:val="006032FF"/>
    <w:rsid w:val="0060350B"/>
    <w:rsid w:val="00604013"/>
    <w:rsid w:val="006049AC"/>
    <w:rsid w:val="00604F25"/>
    <w:rsid w:val="00604FCE"/>
    <w:rsid w:val="00605254"/>
    <w:rsid w:val="00605981"/>
    <w:rsid w:val="00606981"/>
    <w:rsid w:val="006069D9"/>
    <w:rsid w:val="00606A4F"/>
    <w:rsid w:val="00606ADF"/>
    <w:rsid w:val="0060733D"/>
    <w:rsid w:val="006075FB"/>
    <w:rsid w:val="00607C89"/>
    <w:rsid w:val="006107CB"/>
    <w:rsid w:val="00612B2A"/>
    <w:rsid w:val="00612FDE"/>
    <w:rsid w:val="006131B5"/>
    <w:rsid w:val="0061331B"/>
    <w:rsid w:val="006134FE"/>
    <w:rsid w:val="00613541"/>
    <w:rsid w:val="00613664"/>
    <w:rsid w:val="0061434E"/>
    <w:rsid w:val="0061480D"/>
    <w:rsid w:val="006149F1"/>
    <w:rsid w:val="00615B5E"/>
    <w:rsid w:val="0061609F"/>
    <w:rsid w:val="00616DFA"/>
    <w:rsid w:val="00616E1A"/>
    <w:rsid w:val="00617145"/>
    <w:rsid w:val="00617851"/>
    <w:rsid w:val="0062097E"/>
    <w:rsid w:val="00620BEF"/>
    <w:rsid w:val="00620D24"/>
    <w:rsid w:val="00621C34"/>
    <w:rsid w:val="00621CA0"/>
    <w:rsid w:val="006226DB"/>
    <w:rsid w:val="006227C3"/>
    <w:rsid w:val="0062295A"/>
    <w:rsid w:val="00622F9F"/>
    <w:rsid w:val="006233F2"/>
    <w:rsid w:val="0062348B"/>
    <w:rsid w:val="0062348C"/>
    <w:rsid w:val="006249BA"/>
    <w:rsid w:val="006249CB"/>
    <w:rsid w:val="0062689D"/>
    <w:rsid w:val="00627163"/>
    <w:rsid w:val="0062728B"/>
    <w:rsid w:val="00627EC0"/>
    <w:rsid w:val="00630453"/>
    <w:rsid w:val="00630E32"/>
    <w:rsid w:val="006310BD"/>
    <w:rsid w:val="006328DE"/>
    <w:rsid w:val="00632FD7"/>
    <w:rsid w:val="0063315A"/>
    <w:rsid w:val="00633A24"/>
    <w:rsid w:val="00633BE4"/>
    <w:rsid w:val="00633DB0"/>
    <w:rsid w:val="00634430"/>
    <w:rsid w:val="00634487"/>
    <w:rsid w:val="0063473A"/>
    <w:rsid w:val="0063486D"/>
    <w:rsid w:val="006349ED"/>
    <w:rsid w:val="00634C40"/>
    <w:rsid w:val="00634EFB"/>
    <w:rsid w:val="0063550D"/>
    <w:rsid w:val="006361D9"/>
    <w:rsid w:val="00637A15"/>
    <w:rsid w:val="00640368"/>
    <w:rsid w:val="006406D7"/>
    <w:rsid w:val="00640907"/>
    <w:rsid w:val="00641691"/>
    <w:rsid w:val="00641999"/>
    <w:rsid w:val="006428AD"/>
    <w:rsid w:val="00643375"/>
    <w:rsid w:val="0064392A"/>
    <w:rsid w:val="00643F43"/>
    <w:rsid w:val="006441B8"/>
    <w:rsid w:val="006445D4"/>
    <w:rsid w:val="006450D4"/>
    <w:rsid w:val="006450F4"/>
    <w:rsid w:val="00645F5A"/>
    <w:rsid w:val="0064615B"/>
    <w:rsid w:val="0064643F"/>
    <w:rsid w:val="006464E7"/>
    <w:rsid w:val="006470C7"/>
    <w:rsid w:val="006470D1"/>
    <w:rsid w:val="006471EC"/>
    <w:rsid w:val="00647371"/>
    <w:rsid w:val="00647389"/>
    <w:rsid w:val="006504EE"/>
    <w:rsid w:val="00650593"/>
    <w:rsid w:val="00650A8E"/>
    <w:rsid w:val="00650B07"/>
    <w:rsid w:val="0065114C"/>
    <w:rsid w:val="00651253"/>
    <w:rsid w:val="00651AEE"/>
    <w:rsid w:val="0065228A"/>
    <w:rsid w:val="006529B0"/>
    <w:rsid w:val="00652F17"/>
    <w:rsid w:val="00652F7A"/>
    <w:rsid w:val="00653D86"/>
    <w:rsid w:val="00653FCF"/>
    <w:rsid w:val="00654EBF"/>
    <w:rsid w:val="00655F3F"/>
    <w:rsid w:val="00656977"/>
    <w:rsid w:val="00656E85"/>
    <w:rsid w:val="0065718C"/>
    <w:rsid w:val="0065769B"/>
    <w:rsid w:val="006603AF"/>
    <w:rsid w:val="00660FEF"/>
    <w:rsid w:val="00661981"/>
    <w:rsid w:val="00661A17"/>
    <w:rsid w:val="00662279"/>
    <w:rsid w:val="00662664"/>
    <w:rsid w:val="00663B65"/>
    <w:rsid w:val="00663FDF"/>
    <w:rsid w:val="00664048"/>
    <w:rsid w:val="00664143"/>
    <w:rsid w:val="00664281"/>
    <w:rsid w:val="00664A19"/>
    <w:rsid w:val="00665180"/>
    <w:rsid w:val="0066521D"/>
    <w:rsid w:val="00665EB7"/>
    <w:rsid w:val="00666402"/>
    <w:rsid w:val="006665C9"/>
    <w:rsid w:val="0066738F"/>
    <w:rsid w:val="00667AC5"/>
    <w:rsid w:val="00667D01"/>
    <w:rsid w:val="00667E88"/>
    <w:rsid w:val="00670F33"/>
    <w:rsid w:val="006724FB"/>
    <w:rsid w:val="006728D5"/>
    <w:rsid w:val="00672D9E"/>
    <w:rsid w:val="00673326"/>
    <w:rsid w:val="006734F6"/>
    <w:rsid w:val="00673EAC"/>
    <w:rsid w:val="0067441A"/>
    <w:rsid w:val="006744D8"/>
    <w:rsid w:val="006748D7"/>
    <w:rsid w:val="00675362"/>
    <w:rsid w:val="00675568"/>
    <w:rsid w:val="00675944"/>
    <w:rsid w:val="00675992"/>
    <w:rsid w:val="006767F2"/>
    <w:rsid w:val="0067680A"/>
    <w:rsid w:val="00676E6D"/>
    <w:rsid w:val="006777D1"/>
    <w:rsid w:val="00677DA6"/>
    <w:rsid w:val="00677EB9"/>
    <w:rsid w:val="00677F94"/>
    <w:rsid w:val="006803FD"/>
    <w:rsid w:val="0068058F"/>
    <w:rsid w:val="00680A82"/>
    <w:rsid w:val="00680BF3"/>
    <w:rsid w:val="00681883"/>
    <w:rsid w:val="00681C7D"/>
    <w:rsid w:val="006820DE"/>
    <w:rsid w:val="00682406"/>
    <w:rsid w:val="006826D6"/>
    <w:rsid w:val="006833FB"/>
    <w:rsid w:val="00683FE1"/>
    <w:rsid w:val="00684AE5"/>
    <w:rsid w:val="00684D2A"/>
    <w:rsid w:val="00685537"/>
    <w:rsid w:val="00686026"/>
    <w:rsid w:val="00686261"/>
    <w:rsid w:val="006863B1"/>
    <w:rsid w:val="006870A8"/>
    <w:rsid w:val="00687783"/>
    <w:rsid w:val="00687B36"/>
    <w:rsid w:val="00687C82"/>
    <w:rsid w:val="006905BE"/>
    <w:rsid w:val="006919E1"/>
    <w:rsid w:val="00692349"/>
    <w:rsid w:val="00692E28"/>
    <w:rsid w:val="0069364E"/>
    <w:rsid w:val="00693669"/>
    <w:rsid w:val="00693A25"/>
    <w:rsid w:val="00693B2B"/>
    <w:rsid w:val="00693B72"/>
    <w:rsid w:val="00693DA9"/>
    <w:rsid w:val="00693EF8"/>
    <w:rsid w:val="0069406B"/>
    <w:rsid w:val="00694537"/>
    <w:rsid w:val="00694DF9"/>
    <w:rsid w:val="00696240"/>
    <w:rsid w:val="00696536"/>
    <w:rsid w:val="0069677F"/>
    <w:rsid w:val="00697174"/>
    <w:rsid w:val="0069797D"/>
    <w:rsid w:val="00697D8F"/>
    <w:rsid w:val="00697EA4"/>
    <w:rsid w:val="006A11A6"/>
    <w:rsid w:val="006A172C"/>
    <w:rsid w:val="006A3037"/>
    <w:rsid w:val="006A40F5"/>
    <w:rsid w:val="006A4715"/>
    <w:rsid w:val="006A4936"/>
    <w:rsid w:val="006A4AAF"/>
    <w:rsid w:val="006A5143"/>
    <w:rsid w:val="006A5612"/>
    <w:rsid w:val="006A565C"/>
    <w:rsid w:val="006A5A24"/>
    <w:rsid w:val="006A5E64"/>
    <w:rsid w:val="006A5E96"/>
    <w:rsid w:val="006A62CE"/>
    <w:rsid w:val="006A65AA"/>
    <w:rsid w:val="006A67D6"/>
    <w:rsid w:val="006A7068"/>
    <w:rsid w:val="006A7AE3"/>
    <w:rsid w:val="006A7EAF"/>
    <w:rsid w:val="006B0B61"/>
    <w:rsid w:val="006B0F0A"/>
    <w:rsid w:val="006B132A"/>
    <w:rsid w:val="006B17F5"/>
    <w:rsid w:val="006B2387"/>
    <w:rsid w:val="006B2609"/>
    <w:rsid w:val="006B2FFD"/>
    <w:rsid w:val="006B3122"/>
    <w:rsid w:val="006B3A91"/>
    <w:rsid w:val="006B3BCE"/>
    <w:rsid w:val="006B4550"/>
    <w:rsid w:val="006B51B8"/>
    <w:rsid w:val="006B5449"/>
    <w:rsid w:val="006B5679"/>
    <w:rsid w:val="006B572D"/>
    <w:rsid w:val="006B5DF8"/>
    <w:rsid w:val="006B6502"/>
    <w:rsid w:val="006B6995"/>
    <w:rsid w:val="006B699A"/>
    <w:rsid w:val="006B6CC9"/>
    <w:rsid w:val="006B6FCD"/>
    <w:rsid w:val="006B798C"/>
    <w:rsid w:val="006B7A5F"/>
    <w:rsid w:val="006B7E8F"/>
    <w:rsid w:val="006C0217"/>
    <w:rsid w:val="006C03CA"/>
    <w:rsid w:val="006C1CD9"/>
    <w:rsid w:val="006C21DA"/>
    <w:rsid w:val="006C36D5"/>
    <w:rsid w:val="006C3C97"/>
    <w:rsid w:val="006C3D05"/>
    <w:rsid w:val="006C3F57"/>
    <w:rsid w:val="006C4215"/>
    <w:rsid w:val="006C429B"/>
    <w:rsid w:val="006C5606"/>
    <w:rsid w:val="006C5748"/>
    <w:rsid w:val="006C582B"/>
    <w:rsid w:val="006C60A7"/>
    <w:rsid w:val="006C6794"/>
    <w:rsid w:val="006C7E84"/>
    <w:rsid w:val="006C7FAA"/>
    <w:rsid w:val="006D038B"/>
    <w:rsid w:val="006D0923"/>
    <w:rsid w:val="006D0F0D"/>
    <w:rsid w:val="006D1339"/>
    <w:rsid w:val="006D1686"/>
    <w:rsid w:val="006D1B01"/>
    <w:rsid w:val="006D22D5"/>
    <w:rsid w:val="006D2F50"/>
    <w:rsid w:val="006D32C2"/>
    <w:rsid w:val="006D3535"/>
    <w:rsid w:val="006D3B0B"/>
    <w:rsid w:val="006D4469"/>
    <w:rsid w:val="006D4647"/>
    <w:rsid w:val="006D474B"/>
    <w:rsid w:val="006D4753"/>
    <w:rsid w:val="006D494B"/>
    <w:rsid w:val="006D505E"/>
    <w:rsid w:val="006D5FD2"/>
    <w:rsid w:val="006D60EC"/>
    <w:rsid w:val="006D6155"/>
    <w:rsid w:val="006D6468"/>
    <w:rsid w:val="006D73EB"/>
    <w:rsid w:val="006D78A9"/>
    <w:rsid w:val="006E05EC"/>
    <w:rsid w:val="006E061D"/>
    <w:rsid w:val="006E0704"/>
    <w:rsid w:val="006E0929"/>
    <w:rsid w:val="006E0E86"/>
    <w:rsid w:val="006E12B4"/>
    <w:rsid w:val="006E192C"/>
    <w:rsid w:val="006E1FC4"/>
    <w:rsid w:val="006E2BA8"/>
    <w:rsid w:val="006E2CB7"/>
    <w:rsid w:val="006E2F3C"/>
    <w:rsid w:val="006E34BB"/>
    <w:rsid w:val="006E39A6"/>
    <w:rsid w:val="006E3DC9"/>
    <w:rsid w:val="006E4766"/>
    <w:rsid w:val="006E5764"/>
    <w:rsid w:val="006E58E7"/>
    <w:rsid w:val="006E64F9"/>
    <w:rsid w:val="006E75C7"/>
    <w:rsid w:val="006E791D"/>
    <w:rsid w:val="006E7ACD"/>
    <w:rsid w:val="006E7E0D"/>
    <w:rsid w:val="006E7EDF"/>
    <w:rsid w:val="006F0131"/>
    <w:rsid w:val="006F0F4E"/>
    <w:rsid w:val="006F195F"/>
    <w:rsid w:val="006F1D62"/>
    <w:rsid w:val="006F240A"/>
    <w:rsid w:val="006F251B"/>
    <w:rsid w:val="006F28DD"/>
    <w:rsid w:val="006F38AE"/>
    <w:rsid w:val="006F4C9C"/>
    <w:rsid w:val="006F51B6"/>
    <w:rsid w:val="006F51D0"/>
    <w:rsid w:val="006F5294"/>
    <w:rsid w:val="006F692B"/>
    <w:rsid w:val="006F69A7"/>
    <w:rsid w:val="006F6F85"/>
    <w:rsid w:val="006F7A35"/>
    <w:rsid w:val="006F7DB3"/>
    <w:rsid w:val="006F7F81"/>
    <w:rsid w:val="00700249"/>
    <w:rsid w:val="0070039E"/>
    <w:rsid w:val="00700889"/>
    <w:rsid w:val="00700DA1"/>
    <w:rsid w:val="00701506"/>
    <w:rsid w:val="007017BC"/>
    <w:rsid w:val="00701BDE"/>
    <w:rsid w:val="00701E57"/>
    <w:rsid w:val="007029F3"/>
    <w:rsid w:val="00702C63"/>
    <w:rsid w:val="00703087"/>
    <w:rsid w:val="00703751"/>
    <w:rsid w:val="00703BE4"/>
    <w:rsid w:val="00704352"/>
    <w:rsid w:val="007049BE"/>
    <w:rsid w:val="007054C4"/>
    <w:rsid w:val="007059B7"/>
    <w:rsid w:val="00705E4C"/>
    <w:rsid w:val="00706061"/>
    <w:rsid w:val="007060F9"/>
    <w:rsid w:val="00707370"/>
    <w:rsid w:val="00707C27"/>
    <w:rsid w:val="00707D9C"/>
    <w:rsid w:val="00707DA6"/>
    <w:rsid w:val="0071010B"/>
    <w:rsid w:val="0071034C"/>
    <w:rsid w:val="007108B3"/>
    <w:rsid w:val="00711028"/>
    <w:rsid w:val="0071137D"/>
    <w:rsid w:val="0071208A"/>
    <w:rsid w:val="00712448"/>
    <w:rsid w:val="007125F3"/>
    <w:rsid w:val="007127EC"/>
    <w:rsid w:val="00712C39"/>
    <w:rsid w:val="007134EE"/>
    <w:rsid w:val="00713C20"/>
    <w:rsid w:val="00713FE8"/>
    <w:rsid w:val="007146C5"/>
    <w:rsid w:val="00714864"/>
    <w:rsid w:val="007148A5"/>
    <w:rsid w:val="00714CE8"/>
    <w:rsid w:val="00714D90"/>
    <w:rsid w:val="00714E35"/>
    <w:rsid w:val="00715487"/>
    <w:rsid w:val="00715D39"/>
    <w:rsid w:val="007163E5"/>
    <w:rsid w:val="0071644A"/>
    <w:rsid w:val="007164D7"/>
    <w:rsid w:val="007168CE"/>
    <w:rsid w:val="007169EB"/>
    <w:rsid w:val="007173E2"/>
    <w:rsid w:val="00717552"/>
    <w:rsid w:val="00717839"/>
    <w:rsid w:val="00717CA7"/>
    <w:rsid w:val="007202CF"/>
    <w:rsid w:val="0072071F"/>
    <w:rsid w:val="007210CD"/>
    <w:rsid w:val="00721676"/>
    <w:rsid w:val="00721A20"/>
    <w:rsid w:val="00721FB9"/>
    <w:rsid w:val="00722097"/>
    <w:rsid w:val="0072242F"/>
    <w:rsid w:val="00722A4C"/>
    <w:rsid w:val="00723232"/>
    <w:rsid w:val="00723260"/>
    <w:rsid w:val="007235CF"/>
    <w:rsid w:val="00723630"/>
    <w:rsid w:val="00723A0A"/>
    <w:rsid w:val="007243AF"/>
    <w:rsid w:val="00724485"/>
    <w:rsid w:val="00724BC7"/>
    <w:rsid w:val="00724F16"/>
    <w:rsid w:val="00726160"/>
    <w:rsid w:val="007263E6"/>
    <w:rsid w:val="0072642D"/>
    <w:rsid w:val="00726BD1"/>
    <w:rsid w:val="00726E4B"/>
    <w:rsid w:val="00726E8E"/>
    <w:rsid w:val="007271B3"/>
    <w:rsid w:val="007272AF"/>
    <w:rsid w:val="00727883"/>
    <w:rsid w:val="00727D3A"/>
    <w:rsid w:val="007303D9"/>
    <w:rsid w:val="00730658"/>
    <w:rsid w:val="00730901"/>
    <w:rsid w:val="007309F1"/>
    <w:rsid w:val="00730EAB"/>
    <w:rsid w:val="00731623"/>
    <w:rsid w:val="00731AA1"/>
    <w:rsid w:val="007323DC"/>
    <w:rsid w:val="007324CF"/>
    <w:rsid w:val="00732F9B"/>
    <w:rsid w:val="007336C9"/>
    <w:rsid w:val="007341E6"/>
    <w:rsid w:val="0073448E"/>
    <w:rsid w:val="00734910"/>
    <w:rsid w:val="00734C11"/>
    <w:rsid w:val="00734FC9"/>
    <w:rsid w:val="0073581F"/>
    <w:rsid w:val="00736769"/>
    <w:rsid w:val="00737B87"/>
    <w:rsid w:val="00740301"/>
    <w:rsid w:val="00740AD0"/>
    <w:rsid w:val="00740CF3"/>
    <w:rsid w:val="007410C4"/>
    <w:rsid w:val="00741527"/>
    <w:rsid w:val="007417D0"/>
    <w:rsid w:val="007418A9"/>
    <w:rsid w:val="00741B1F"/>
    <w:rsid w:val="0074204E"/>
    <w:rsid w:val="007422A5"/>
    <w:rsid w:val="0074245D"/>
    <w:rsid w:val="007429C7"/>
    <w:rsid w:val="007429D3"/>
    <w:rsid w:val="00742AD0"/>
    <w:rsid w:val="00742B97"/>
    <w:rsid w:val="00742DFA"/>
    <w:rsid w:val="007430E1"/>
    <w:rsid w:val="00743102"/>
    <w:rsid w:val="00743271"/>
    <w:rsid w:val="00743448"/>
    <w:rsid w:val="007435EC"/>
    <w:rsid w:val="007439F2"/>
    <w:rsid w:val="00743FF5"/>
    <w:rsid w:val="0074482A"/>
    <w:rsid w:val="007449E7"/>
    <w:rsid w:val="007453F0"/>
    <w:rsid w:val="0074595A"/>
    <w:rsid w:val="00745A72"/>
    <w:rsid w:val="00746177"/>
    <w:rsid w:val="007462AE"/>
    <w:rsid w:val="00746813"/>
    <w:rsid w:val="0074705D"/>
    <w:rsid w:val="0074730A"/>
    <w:rsid w:val="00747F31"/>
    <w:rsid w:val="00750EC3"/>
    <w:rsid w:val="00751071"/>
    <w:rsid w:val="00751351"/>
    <w:rsid w:val="00751A4E"/>
    <w:rsid w:val="00751E80"/>
    <w:rsid w:val="007527E9"/>
    <w:rsid w:val="007528E1"/>
    <w:rsid w:val="00752C9E"/>
    <w:rsid w:val="0075334A"/>
    <w:rsid w:val="00753D9D"/>
    <w:rsid w:val="007543E0"/>
    <w:rsid w:val="00754A8E"/>
    <w:rsid w:val="00754BD1"/>
    <w:rsid w:val="00754E0F"/>
    <w:rsid w:val="00754E61"/>
    <w:rsid w:val="00754F15"/>
    <w:rsid w:val="007552B4"/>
    <w:rsid w:val="00755BA3"/>
    <w:rsid w:val="00755EFF"/>
    <w:rsid w:val="007565BE"/>
    <w:rsid w:val="00756783"/>
    <w:rsid w:val="00756CEF"/>
    <w:rsid w:val="00756E7E"/>
    <w:rsid w:val="00757165"/>
    <w:rsid w:val="007573F2"/>
    <w:rsid w:val="00757B43"/>
    <w:rsid w:val="00757F94"/>
    <w:rsid w:val="007605C8"/>
    <w:rsid w:val="00760813"/>
    <w:rsid w:val="0076108A"/>
    <w:rsid w:val="007613AE"/>
    <w:rsid w:val="007613BF"/>
    <w:rsid w:val="007616D6"/>
    <w:rsid w:val="00762236"/>
    <w:rsid w:val="0076418F"/>
    <w:rsid w:val="00764D3E"/>
    <w:rsid w:val="0076513B"/>
    <w:rsid w:val="007658FA"/>
    <w:rsid w:val="00765AA1"/>
    <w:rsid w:val="0076628C"/>
    <w:rsid w:val="007669AE"/>
    <w:rsid w:val="00766CF7"/>
    <w:rsid w:val="00766E5F"/>
    <w:rsid w:val="00767176"/>
    <w:rsid w:val="00767361"/>
    <w:rsid w:val="00767931"/>
    <w:rsid w:val="007679A3"/>
    <w:rsid w:val="00767CBE"/>
    <w:rsid w:val="00770683"/>
    <w:rsid w:val="007707CC"/>
    <w:rsid w:val="00770D09"/>
    <w:rsid w:val="00771101"/>
    <w:rsid w:val="0077127D"/>
    <w:rsid w:val="007713F0"/>
    <w:rsid w:val="00772144"/>
    <w:rsid w:val="00772178"/>
    <w:rsid w:val="00772518"/>
    <w:rsid w:val="00773244"/>
    <w:rsid w:val="00773882"/>
    <w:rsid w:val="00773FF0"/>
    <w:rsid w:val="0077449E"/>
    <w:rsid w:val="0077565E"/>
    <w:rsid w:val="0077576D"/>
    <w:rsid w:val="007757FD"/>
    <w:rsid w:val="007777EB"/>
    <w:rsid w:val="00777865"/>
    <w:rsid w:val="00777E71"/>
    <w:rsid w:val="00780EFE"/>
    <w:rsid w:val="00781B58"/>
    <w:rsid w:val="007826EA"/>
    <w:rsid w:val="007836DE"/>
    <w:rsid w:val="007842B3"/>
    <w:rsid w:val="00784AA8"/>
    <w:rsid w:val="00784CF7"/>
    <w:rsid w:val="00784E96"/>
    <w:rsid w:val="00785017"/>
    <w:rsid w:val="0078704A"/>
    <w:rsid w:val="00787370"/>
    <w:rsid w:val="007878EA"/>
    <w:rsid w:val="00790168"/>
    <w:rsid w:val="00790610"/>
    <w:rsid w:val="0079103B"/>
    <w:rsid w:val="007912B0"/>
    <w:rsid w:val="007920DE"/>
    <w:rsid w:val="00792718"/>
    <w:rsid w:val="0079330A"/>
    <w:rsid w:val="0079345C"/>
    <w:rsid w:val="007934A6"/>
    <w:rsid w:val="0079397F"/>
    <w:rsid w:val="00793D59"/>
    <w:rsid w:val="00794174"/>
    <w:rsid w:val="00794263"/>
    <w:rsid w:val="00794AF4"/>
    <w:rsid w:val="00794B03"/>
    <w:rsid w:val="00794CB5"/>
    <w:rsid w:val="0079523D"/>
    <w:rsid w:val="00796010"/>
    <w:rsid w:val="0079689F"/>
    <w:rsid w:val="00796B4D"/>
    <w:rsid w:val="00796EEA"/>
    <w:rsid w:val="007971B7"/>
    <w:rsid w:val="00797417"/>
    <w:rsid w:val="00797E35"/>
    <w:rsid w:val="007A064E"/>
    <w:rsid w:val="007A09C6"/>
    <w:rsid w:val="007A14D2"/>
    <w:rsid w:val="007A159B"/>
    <w:rsid w:val="007A15AD"/>
    <w:rsid w:val="007A1B9E"/>
    <w:rsid w:val="007A2D8D"/>
    <w:rsid w:val="007A2EA2"/>
    <w:rsid w:val="007A2EBF"/>
    <w:rsid w:val="007A40F4"/>
    <w:rsid w:val="007A4620"/>
    <w:rsid w:val="007A4A2B"/>
    <w:rsid w:val="007A4EC3"/>
    <w:rsid w:val="007A5408"/>
    <w:rsid w:val="007A5488"/>
    <w:rsid w:val="007A56EC"/>
    <w:rsid w:val="007A6343"/>
    <w:rsid w:val="007A684A"/>
    <w:rsid w:val="007A68BB"/>
    <w:rsid w:val="007A6F8E"/>
    <w:rsid w:val="007A7155"/>
    <w:rsid w:val="007A7BB7"/>
    <w:rsid w:val="007A7DA0"/>
    <w:rsid w:val="007B01B7"/>
    <w:rsid w:val="007B0394"/>
    <w:rsid w:val="007B04CB"/>
    <w:rsid w:val="007B09F9"/>
    <w:rsid w:val="007B11DA"/>
    <w:rsid w:val="007B153C"/>
    <w:rsid w:val="007B1F69"/>
    <w:rsid w:val="007B2670"/>
    <w:rsid w:val="007B27C2"/>
    <w:rsid w:val="007B27E3"/>
    <w:rsid w:val="007B44A3"/>
    <w:rsid w:val="007B4578"/>
    <w:rsid w:val="007B4B53"/>
    <w:rsid w:val="007B5EE7"/>
    <w:rsid w:val="007C01E2"/>
    <w:rsid w:val="007C1693"/>
    <w:rsid w:val="007C1E41"/>
    <w:rsid w:val="007C1F96"/>
    <w:rsid w:val="007C2254"/>
    <w:rsid w:val="007C252E"/>
    <w:rsid w:val="007C3FBE"/>
    <w:rsid w:val="007C6370"/>
    <w:rsid w:val="007C6568"/>
    <w:rsid w:val="007C727E"/>
    <w:rsid w:val="007C76B1"/>
    <w:rsid w:val="007C795A"/>
    <w:rsid w:val="007C7E3F"/>
    <w:rsid w:val="007D0579"/>
    <w:rsid w:val="007D05AE"/>
    <w:rsid w:val="007D05B8"/>
    <w:rsid w:val="007D06B6"/>
    <w:rsid w:val="007D0F7B"/>
    <w:rsid w:val="007D127D"/>
    <w:rsid w:val="007D1353"/>
    <w:rsid w:val="007D1D0F"/>
    <w:rsid w:val="007D24B6"/>
    <w:rsid w:val="007D2C1D"/>
    <w:rsid w:val="007D2E10"/>
    <w:rsid w:val="007D30BA"/>
    <w:rsid w:val="007D3F6C"/>
    <w:rsid w:val="007D4424"/>
    <w:rsid w:val="007D467E"/>
    <w:rsid w:val="007D46C5"/>
    <w:rsid w:val="007D483E"/>
    <w:rsid w:val="007D49C1"/>
    <w:rsid w:val="007D4B9F"/>
    <w:rsid w:val="007D5CF0"/>
    <w:rsid w:val="007D6024"/>
    <w:rsid w:val="007D609D"/>
    <w:rsid w:val="007D61BA"/>
    <w:rsid w:val="007D6B95"/>
    <w:rsid w:val="007D6CD7"/>
    <w:rsid w:val="007D6E77"/>
    <w:rsid w:val="007D7091"/>
    <w:rsid w:val="007D73D6"/>
    <w:rsid w:val="007D786B"/>
    <w:rsid w:val="007D78EA"/>
    <w:rsid w:val="007D7CD4"/>
    <w:rsid w:val="007E02C4"/>
    <w:rsid w:val="007E1087"/>
    <w:rsid w:val="007E116F"/>
    <w:rsid w:val="007E1676"/>
    <w:rsid w:val="007E1741"/>
    <w:rsid w:val="007E1E2B"/>
    <w:rsid w:val="007E22B8"/>
    <w:rsid w:val="007E22DD"/>
    <w:rsid w:val="007E2421"/>
    <w:rsid w:val="007E2422"/>
    <w:rsid w:val="007E25AF"/>
    <w:rsid w:val="007E2933"/>
    <w:rsid w:val="007E3C4F"/>
    <w:rsid w:val="007E3DD3"/>
    <w:rsid w:val="007E446F"/>
    <w:rsid w:val="007E4F94"/>
    <w:rsid w:val="007E527C"/>
    <w:rsid w:val="007E5893"/>
    <w:rsid w:val="007E5D92"/>
    <w:rsid w:val="007E5E2B"/>
    <w:rsid w:val="007E6135"/>
    <w:rsid w:val="007E72FB"/>
    <w:rsid w:val="007E7806"/>
    <w:rsid w:val="007F035B"/>
    <w:rsid w:val="007F03FF"/>
    <w:rsid w:val="007F12B8"/>
    <w:rsid w:val="007F1CF6"/>
    <w:rsid w:val="007F1E36"/>
    <w:rsid w:val="007F1F87"/>
    <w:rsid w:val="007F2076"/>
    <w:rsid w:val="007F2366"/>
    <w:rsid w:val="007F2F2D"/>
    <w:rsid w:val="007F3296"/>
    <w:rsid w:val="007F4AC8"/>
    <w:rsid w:val="007F4B71"/>
    <w:rsid w:val="007F4D3E"/>
    <w:rsid w:val="007F51EC"/>
    <w:rsid w:val="007F5732"/>
    <w:rsid w:val="007F6157"/>
    <w:rsid w:val="007F6AA3"/>
    <w:rsid w:val="007F717D"/>
    <w:rsid w:val="007F7F8D"/>
    <w:rsid w:val="008002A7"/>
    <w:rsid w:val="00800333"/>
    <w:rsid w:val="008006B3"/>
    <w:rsid w:val="00800D56"/>
    <w:rsid w:val="00801190"/>
    <w:rsid w:val="00801862"/>
    <w:rsid w:val="00801FA5"/>
    <w:rsid w:val="008028E9"/>
    <w:rsid w:val="0080306B"/>
    <w:rsid w:val="008030BD"/>
    <w:rsid w:val="008034CB"/>
    <w:rsid w:val="00803699"/>
    <w:rsid w:val="00803FBF"/>
    <w:rsid w:val="00804087"/>
    <w:rsid w:val="00805B1C"/>
    <w:rsid w:val="00805F1F"/>
    <w:rsid w:val="00806370"/>
    <w:rsid w:val="00806527"/>
    <w:rsid w:val="008066D3"/>
    <w:rsid w:val="00806EF4"/>
    <w:rsid w:val="00807BF2"/>
    <w:rsid w:val="00807D1F"/>
    <w:rsid w:val="00810A8C"/>
    <w:rsid w:val="008117F5"/>
    <w:rsid w:val="00811F85"/>
    <w:rsid w:val="00813745"/>
    <w:rsid w:val="0081395D"/>
    <w:rsid w:val="00813EDF"/>
    <w:rsid w:val="0081448A"/>
    <w:rsid w:val="00815C08"/>
    <w:rsid w:val="008161F7"/>
    <w:rsid w:val="00820247"/>
    <w:rsid w:val="00820C84"/>
    <w:rsid w:val="00822248"/>
    <w:rsid w:val="00822D5F"/>
    <w:rsid w:val="00824849"/>
    <w:rsid w:val="00824AC4"/>
    <w:rsid w:val="00824AE6"/>
    <w:rsid w:val="00825B99"/>
    <w:rsid w:val="00826B4C"/>
    <w:rsid w:val="00827F60"/>
    <w:rsid w:val="00830B92"/>
    <w:rsid w:val="00830F4F"/>
    <w:rsid w:val="0083173D"/>
    <w:rsid w:val="008318F4"/>
    <w:rsid w:val="00831DD0"/>
    <w:rsid w:val="00831F94"/>
    <w:rsid w:val="00832002"/>
    <w:rsid w:val="00832657"/>
    <w:rsid w:val="00832EA4"/>
    <w:rsid w:val="00833862"/>
    <w:rsid w:val="0083399B"/>
    <w:rsid w:val="00834994"/>
    <w:rsid w:val="0083559C"/>
    <w:rsid w:val="00835927"/>
    <w:rsid w:val="00835ABD"/>
    <w:rsid w:val="00835AD5"/>
    <w:rsid w:val="00835CD2"/>
    <w:rsid w:val="00835E6E"/>
    <w:rsid w:val="0083650C"/>
    <w:rsid w:val="00836A77"/>
    <w:rsid w:val="00837726"/>
    <w:rsid w:val="00837AB4"/>
    <w:rsid w:val="00837BAF"/>
    <w:rsid w:val="0084011B"/>
    <w:rsid w:val="00840653"/>
    <w:rsid w:val="00840A6F"/>
    <w:rsid w:val="008414AA"/>
    <w:rsid w:val="00841913"/>
    <w:rsid w:val="00841F9C"/>
    <w:rsid w:val="008425C0"/>
    <w:rsid w:val="00842C35"/>
    <w:rsid w:val="00843550"/>
    <w:rsid w:val="00843C0B"/>
    <w:rsid w:val="00843C39"/>
    <w:rsid w:val="00843CF5"/>
    <w:rsid w:val="00844A18"/>
    <w:rsid w:val="008451EE"/>
    <w:rsid w:val="008452C8"/>
    <w:rsid w:val="00845A30"/>
    <w:rsid w:val="00845A6B"/>
    <w:rsid w:val="00846263"/>
    <w:rsid w:val="008462E1"/>
    <w:rsid w:val="00846FB0"/>
    <w:rsid w:val="00847808"/>
    <w:rsid w:val="00850195"/>
    <w:rsid w:val="00850306"/>
    <w:rsid w:val="008505B6"/>
    <w:rsid w:val="008513A2"/>
    <w:rsid w:val="00851851"/>
    <w:rsid w:val="00851A9D"/>
    <w:rsid w:val="00851C80"/>
    <w:rsid w:val="00851D58"/>
    <w:rsid w:val="008520ED"/>
    <w:rsid w:val="008527CA"/>
    <w:rsid w:val="008529E8"/>
    <w:rsid w:val="00852C30"/>
    <w:rsid w:val="00853746"/>
    <w:rsid w:val="008537CD"/>
    <w:rsid w:val="00853DB2"/>
    <w:rsid w:val="008548CD"/>
    <w:rsid w:val="00854B22"/>
    <w:rsid w:val="00854EA7"/>
    <w:rsid w:val="00855318"/>
    <w:rsid w:val="008554B7"/>
    <w:rsid w:val="008556C1"/>
    <w:rsid w:val="008558B3"/>
    <w:rsid w:val="00855A1F"/>
    <w:rsid w:val="00855AC1"/>
    <w:rsid w:val="008561A5"/>
    <w:rsid w:val="00856A1B"/>
    <w:rsid w:val="00857980"/>
    <w:rsid w:val="00857A2B"/>
    <w:rsid w:val="008600F1"/>
    <w:rsid w:val="008604FF"/>
    <w:rsid w:val="008606C7"/>
    <w:rsid w:val="00860BE3"/>
    <w:rsid w:val="008614BE"/>
    <w:rsid w:val="008629CD"/>
    <w:rsid w:val="00862D91"/>
    <w:rsid w:val="00862DF3"/>
    <w:rsid w:val="00864CB8"/>
    <w:rsid w:val="008650E1"/>
    <w:rsid w:val="00865442"/>
    <w:rsid w:val="0086666F"/>
    <w:rsid w:val="0086683D"/>
    <w:rsid w:val="00867780"/>
    <w:rsid w:val="00867DC1"/>
    <w:rsid w:val="0087017B"/>
    <w:rsid w:val="00870E04"/>
    <w:rsid w:val="00871191"/>
    <w:rsid w:val="008720F0"/>
    <w:rsid w:val="00872744"/>
    <w:rsid w:val="00872BBA"/>
    <w:rsid w:val="00873E01"/>
    <w:rsid w:val="00874CDA"/>
    <w:rsid w:val="008753F2"/>
    <w:rsid w:val="008759F9"/>
    <w:rsid w:val="00875D8E"/>
    <w:rsid w:val="008764E5"/>
    <w:rsid w:val="0087654E"/>
    <w:rsid w:val="00877041"/>
    <w:rsid w:val="008773B7"/>
    <w:rsid w:val="008802D3"/>
    <w:rsid w:val="008809E8"/>
    <w:rsid w:val="00880DAE"/>
    <w:rsid w:val="00881991"/>
    <w:rsid w:val="008827FE"/>
    <w:rsid w:val="00882B94"/>
    <w:rsid w:val="00882EC1"/>
    <w:rsid w:val="00883819"/>
    <w:rsid w:val="008842FD"/>
    <w:rsid w:val="00884872"/>
    <w:rsid w:val="00884B92"/>
    <w:rsid w:val="00884F85"/>
    <w:rsid w:val="008851E5"/>
    <w:rsid w:val="00885A98"/>
    <w:rsid w:val="00885C98"/>
    <w:rsid w:val="00887542"/>
    <w:rsid w:val="008876FC"/>
    <w:rsid w:val="00887AAB"/>
    <w:rsid w:val="008902C7"/>
    <w:rsid w:val="00890694"/>
    <w:rsid w:val="00890DC2"/>
    <w:rsid w:val="00891000"/>
    <w:rsid w:val="008912D0"/>
    <w:rsid w:val="00891C35"/>
    <w:rsid w:val="008934FE"/>
    <w:rsid w:val="0089377E"/>
    <w:rsid w:val="00893B7E"/>
    <w:rsid w:val="00893D7F"/>
    <w:rsid w:val="00894841"/>
    <w:rsid w:val="00894E1F"/>
    <w:rsid w:val="00894E9E"/>
    <w:rsid w:val="008953A0"/>
    <w:rsid w:val="00895D3D"/>
    <w:rsid w:val="00896244"/>
    <w:rsid w:val="008962AC"/>
    <w:rsid w:val="008963AC"/>
    <w:rsid w:val="00896591"/>
    <w:rsid w:val="00896D1B"/>
    <w:rsid w:val="00896DBA"/>
    <w:rsid w:val="008970DA"/>
    <w:rsid w:val="00897301"/>
    <w:rsid w:val="00897E78"/>
    <w:rsid w:val="008A0036"/>
    <w:rsid w:val="008A08E2"/>
    <w:rsid w:val="008A0A96"/>
    <w:rsid w:val="008A1A21"/>
    <w:rsid w:val="008A2235"/>
    <w:rsid w:val="008A2EF6"/>
    <w:rsid w:val="008A3CF7"/>
    <w:rsid w:val="008A3D37"/>
    <w:rsid w:val="008A3E14"/>
    <w:rsid w:val="008A485C"/>
    <w:rsid w:val="008A4A61"/>
    <w:rsid w:val="008A4D24"/>
    <w:rsid w:val="008A4E21"/>
    <w:rsid w:val="008A4E88"/>
    <w:rsid w:val="008A501B"/>
    <w:rsid w:val="008A57E0"/>
    <w:rsid w:val="008A5C89"/>
    <w:rsid w:val="008A5FA1"/>
    <w:rsid w:val="008A6153"/>
    <w:rsid w:val="008A615A"/>
    <w:rsid w:val="008A6E1D"/>
    <w:rsid w:val="008A7D24"/>
    <w:rsid w:val="008A7D29"/>
    <w:rsid w:val="008A7DBA"/>
    <w:rsid w:val="008B0191"/>
    <w:rsid w:val="008B0B46"/>
    <w:rsid w:val="008B12AF"/>
    <w:rsid w:val="008B1BA7"/>
    <w:rsid w:val="008B1C9E"/>
    <w:rsid w:val="008B1DDA"/>
    <w:rsid w:val="008B1FA6"/>
    <w:rsid w:val="008B2421"/>
    <w:rsid w:val="008B2BD3"/>
    <w:rsid w:val="008B2D56"/>
    <w:rsid w:val="008B2DA2"/>
    <w:rsid w:val="008B3349"/>
    <w:rsid w:val="008B33FA"/>
    <w:rsid w:val="008B3B55"/>
    <w:rsid w:val="008B3C25"/>
    <w:rsid w:val="008B44EA"/>
    <w:rsid w:val="008B4AB7"/>
    <w:rsid w:val="008B65BD"/>
    <w:rsid w:val="008B7259"/>
    <w:rsid w:val="008B7512"/>
    <w:rsid w:val="008B75AD"/>
    <w:rsid w:val="008B7811"/>
    <w:rsid w:val="008B794D"/>
    <w:rsid w:val="008B79F8"/>
    <w:rsid w:val="008B7F54"/>
    <w:rsid w:val="008C069F"/>
    <w:rsid w:val="008C0B36"/>
    <w:rsid w:val="008C0CCD"/>
    <w:rsid w:val="008C1342"/>
    <w:rsid w:val="008C15C0"/>
    <w:rsid w:val="008C167D"/>
    <w:rsid w:val="008C1BB7"/>
    <w:rsid w:val="008C1FC6"/>
    <w:rsid w:val="008C25E6"/>
    <w:rsid w:val="008C26F5"/>
    <w:rsid w:val="008C2DF7"/>
    <w:rsid w:val="008C3045"/>
    <w:rsid w:val="008C37DE"/>
    <w:rsid w:val="008C3B47"/>
    <w:rsid w:val="008C41BC"/>
    <w:rsid w:val="008C4853"/>
    <w:rsid w:val="008C4976"/>
    <w:rsid w:val="008C4D6F"/>
    <w:rsid w:val="008C4DF2"/>
    <w:rsid w:val="008C592B"/>
    <w:rsid w:val="008C5C1E"/>
    <w:rsid w:val="008C5DC6"/>
    <w:rsid w:val="008C6199"/>
    <w:rsid w:val="008C6498"/>
    <w:rsid w:val="008C654A"/>
    <w:rsid w:val="008C67CD"/>
    <w:rsid w:val="008D1300"/>
    <w:rsid w:val="008D1C8A"/>
    <w:rsid w:val="008D23FD"/>
    <w:rsid w:val="008D26A5"/>
    <w:rsid w:val="008D27A9"/>
    <w:rsid w:val="008D2DA7"/>
    <w:rsid w:val="008D30A6"/>
    <w:rsid w:val="008D321C"/>
    <w:rsid w:val="008D34C1"/>
    <w:rsid w:val="008D39BF"/>
    <w:rsid w:val="008D3A10"/>
    <w:rsid w:val="008D3DBF"/>
    <w:rsid w:val="008D421B"/>
    <w:rsid w:val="008D4253"/>
    <w:rsid w:val="008D48F7"/>
    <w:rsid w:val="008D4AE8"/>
    <w:rsid w:val="008D5057"/>
    <w:rsid w:val="008D57E5"/>
    <w:rsid w:val="008D60DE"/>
    <w:rsid w:val="008D6E2B"/>
    <w:rsid w:val="008D766E"/>
    <w:rsid w:val="008D7863"/>
    <w:rsid w:val="008D79ED"/>
    <w:rsid w:val="008E0B9E"/>
    <w:rsid w:val="008E10AC"/>
    <w:rsid w:val="008E1681"/>
    <w:rsid w:val="008E170F"/>
    <w:rsid w:val="008E24DC"/>
    <w:rsid w:val="008E4AA6"/>
    <w:rsid w:val="008E5A77"/>
    <w:rsid w:val="008E5A7A"/>
    <w:rsid w:val="008E6283"/>
    <w:rsid w:val="008E6873"/>
    <w:rsid w:val="008E6C82"/>
    <w:rsid w:val="008E7D92"/>
    <w:rsid w:val="008E7FBB"/>
    <w:rsid w:val="008F01C9"/>
    <w:rsid w:val="008F07FA"/>
    <w:rsid w:val="008F1214"/>
    <w:rsid w:val="008F15EB"/>
    <w:rsid w:val="008F16AA"/>
    <w:rsid w:val="008F1A32"/>
    <w:rsid w:val="008F21C4"/>
    <w:rsid w:val="008F233B"/>
    <w:rsid w:val="008F2BB0"/>
    <w:rsid w:val="008F2EC3"/>
    <w:rsid w:val="008F3175"/>
    <w:rsid w:val="008F342E"/>
    <w:rsid w:val="008F389D"/>
    <w:rsid w:val="008F38A4"/>
    <w:rsid w:val="008F42AA"/>
    <w:rsid w:val="008F4703"/>
    <w:rsid w:val="008F475B"/>
    <w:rsid w:val="008F4772"/>
    <w:rsid w:val="008F4B28"/>
    <w:rsid w:val="008F4B37"/>
    <w:rsid w:val="008F57FE"/>
    <w:rsid w:val="008F6236"/>
    <w:rsid w:val="008F62A0"/>
    <w:rsid w:val="008F6B7F"/>
    <w:rsid w:val="008F749A"/>
    <w:rsid w:val="008F769B"/>
    <w:rsid w:val="00900BFC"/>
    <w:rsid w:val="00900F70"/>
    <w:rsid w:val="00901082"/>
    <w:rsid w:val="00901DCF"/>
    <w:rsid w:val="009020EA"/>
    <w:rsid w:val="00902C8C"/>
    <w:rsid w:val="009036E4"/>
    <w:rsid w:val="00903750"/>
    <w:rsid w:val="00903912"/>
    <w:rsid w:val="00903C8F"/>
    <w:rsid w:val="00904001"/>
    <w:rsid w:val="0090494E"/>
    <w:rsid w:val="00905013"/>
    <w:rsid w:val="009050DD"/>
    <w:rsid w:val="0090608A"/>
    <w:rsid w:val="0090612D"/>
    <w:rsid w:val="00907387"/>
    <w:rsid w:val="009079BA"/>
    <w:rsid w:val="0091051E"/>
    <w:rsid w:val="00910C06"/>
    <w:rsid w:val="00911662"/>
    <w:rsid w:val="00911A53"/>
    <w:rsid w:val="00911A5A"/>
    <w:rsid w:val="0091361B"/>
    <w:rsid w:val="00913B7A"/>
    <w:rsid w:val="00914F6C"/>
    <w:rsid w:val="00914FF7"/>
    <w:rsid w:val="009158F6"/>
    <w:rsid w:val="00915C5D"/>
    <w:rsid w:val="00915D69"/>
    <w:rsid w:val="00915ED2"/>
    <w:rsid w:val="00916495"/>
    <w:rsid w:val="0091682B"/>
    <w:rsid w:val="00916A2E"/>
    <w:rsid w:val="00917158"/>
    <w:rsid w:val="00917789"/>
    <w:rsid w:val="0092007D"/>
    <w:rsid w:val="00920CD4"/>
    <w:rsid w:val="00920D3F"/>
    <w:rsid w:val="00922095"/>
    <w:rsid w:val="00923202"/>
    <w:rsid w:val="009243DE"/>
    <w:rsid w:val="00925251"/>
    <w:rsid w:val="00925BEF"/>
    <w:rsid w:val="00925D01"/>
    <w:rsid w:val="00926B27"/>
    <w:rsid w:val="00926DAF"/>
    <w:rsid w:val="00927666"/>
    <w:rsid w:val="00927902"/>
    <w:rsid w:val="00927F77"/>
    <w:rsid w:val="00930310"/>
    <w:rsid w:val="00930F06"/>
    <w:rsid w:val="00931A2F"/>
    <w:rsid w:val="00931B12"/>
    <w:rsid w:val="00931ECA"/>
    <w:rsid w:val="0093215B"/>
    <w:rsid w:val="009326BF"/>
    <w:rsid w:val="0093273E"/>
    <w:rsid w:val="00932CC5"/>
    <w:rsid w:val="00932E55"/>
    <w:rsid w:val="00933072"/>
    <w:rsid w:val="009331AE"/>
    <w:rsid w:val="0093355E"/>
    <w:rsid w:val="0093362C"/>
    <w:rsid w:val="00933722"/>
    <w:rsid w:val="00933B49"/>
    <w:rsid w:val="00933EFF"/>
    <w:rsid w:val="00933F48"/>
    <w:rsid w:val="00934189"/>
    <w:rsid w:val="009344FB"/>
    <w:rsid w:val="009346EF"/>
    <w:rsid w:val="0093481E"/>
    <w:rsid w:val="009348DB"/>
    <w:rsid w:val="0093562A"/>
    <w:rsid w:val="009357FD"/>
    <w:rsid w:val="00935A98"/>
    <w:rsid w:val="00935FCD"/>
    <w:rsid w:val="009360E9"/>
    <w:rsid w:val="00936729"/>
    <w:rsid w:val="00937094"/>
    <w:rsid w:val="0093794D"/>
    <w:rsid w:val="00940011"/>
    <w:rsid w:val="009400AB"/>
    <w:rsid w:val="00940429"/>
    <w:rsid w:val="009415B3"/>
    <w:rsid w:val="009415BB"/>
    <w:rsid w:val="00941861"/>
    <w:rsid w:val="00941CD7"/>
    <w:rsid w:val="009421BB"/>
    <w:rsid w:val="00942816"/>
    <w:rsid w:val="00942B78"/>
    <w:rsid w:val="00942D89"/>
    <w:rsid w:val="00943316"/>
    <w:rsid w:val="00944014"/>
    <w:rsid w:val="00944995"/>
    <w:rsid w:val="00945797"/>
    <w:rsid w:val="00945C39"/>
    <w:rsid w:val="00945CD9"/>
    <w:rsid w:val="00946BC3"/>
    <w:rsid w:val="009475C2"/>
    <w:rsid w:val="00947F96"/>
    <w:rsid w:val="00950090"/>
    <w:rsid w:val="009501B9"/>
    <w:rsid w:val="0095021D"/>
    <w:rsid w:val="00950890"/>
    <w:rsid w:val="009508F5"/>
    <w:rsid w:val="0095356E"/>
    <w:rsid w:val="00953A99"/>
    <w:rsid w:val="00953F18"/>
    <w:rsid w:val="00954990"/>
    <w:rsid w:val="00954AC2"/>
    <w:rsid w:val="0095509F"/>
    <w:rsid w:val="00955194"/>
    <w:rsid w:val="00955309"/>
    <w:rsid w:val="0095552E"/>
    <w:rsid w:val="009555F4"/>
    <w:rsid w:val="009561E1"/>
    <w:rsid w:val="009562FD"/>
    <w:rsid w:val="009565BF"/>
    <w:rsid w:val="00956799"/>
    <w:rsid w:val="009567A5"/>
    <w:rsid w:val="009575CF"/>
    <w:rsid w:val="00957D01"/>
    <w:rsid w:val="00957D76"/>
    <w:rsid w:val="00960D11"/>
    <w:rsid w:val="009629B1"/>
    <w:rsid w:val="00962FF4"/>
    <w:rsid w:val="00963F1B"/>
    <w:rsid w:val="009646C7"/>
    <w:rsid w:val="00964744"/>
    <w:rsid w:val="00964C7D"/>
    <w:rsid w:val="009650EF"/>
    <w:rsid w:val="0096516B"/>
    <w:rsid w:val="00965959"/>
    <w:rsid w:val="009667A0"/>
    <w:rsid w:val="009668E5"/>
    <w:rsid w:val="0096708B"/>
    <w:rsid w:val="0096797F"/>
    <w:rsid w:val="00970DAE"/>
    <w:rsid w:val="00971CCB"/>
    <w:rsid w:val="0097259D"/>
    <w:rsid w:val="00972656"/>
    <w:rsid w:val="00972686"/>
    <w:rsid w:val="00973174"/>
    <w:rsid w:val="009731BD"/>
    <w:rsid w:val="0097362A"/>
    <w:rsid w:val="009738F1"/>
    <w:rsid w:val="0097477E"/>
    <w:rsid w:val="00975B2F"/>
    <w:rsid w:val="0097604C"/>
    <w:rsid w:val="00976384"/>
    <w:rsid w:val="00976763"/>
    <w:rsid w:val="009767EC"/>
    <w:rsid w:val="00976FA7"/>
    <w:rsid w:val="0098004E"/>
    <w:rsid w:val="0098047C"/>
    <w:rsid w:val="00980B5F"/>
    <w:rsid w:val="00980D68"/>
    <w:rsid w:val="009818F5"/>
    <w:rsid w:val="00983152"/>
    <w:rsid w:val="009837A7"/>
    <w:rsid w:val="00984A7F"/>
    <w:rsid w:val="00984EB2"/>
    <w:rsid w:val="00984EB3"/>
    <w:rsid w:val="009851D0"/>
    <w:rsid w:val="009866CC"/>
    <w:rsid w:val="0098676B"/>
    <w:rsid w:val="00986810"/>
    <w:rsid w:val="00986BD5"/>
    <w:rsid w:val="00987081"/>
    <w:rsid w:val="009874D1"/>
    <w:rsid w:val="00987D5A"/>
    <w:rsid w:val="00987ED9"/>
    <w:rsid w:val="009901C0"/>
    <w:rsid w:val="009902F3"/>
    <w:rsid w:val="0099121F"/>
    <w:rsid w:val="00992622"/>
    <w:rsid w:val="00992C77"/>
    <w:rsid w:val="00993877"/>
    <w:rsid w:val="00993B32"/>
    <w:rsid w:val="00993CDD"/>
    <w:rsid w:val="00993F83"/>
    <w:rsid w:val="009942DC"/>
    <w:rsid w:val="00994512"/>
    <w:rsid w:val="00994830"/>
    <w:rsid w:val="00994A6D"/>
    <w:rsid w:val="00994E93"/>
    <w:rsid w:val="009952B6"/>
    <w:rsid w:val="00996550"/>
    <w:rsid w:val="00996B1D"/>
    <w:rsid w:val="009971FB"/>
    <w:rsid w:val="00997697"/>
    <w:rsid w:val="00997B9F"/>
    <w:rsid w:val="009A081B"/>
    <w:rsid w:val="009A0C6E"/>
    <w:rsid w:val="009A119B"/>
    <w:rsid w:val="009A183C"/>
    <w:rsid w:val="009A2654"/>
    <w:rsid w:val="009A3BF9"/>
    <w:rsid w:val="009A4F5E"/>
    <w:rsid w:val="009A55D3"/>
    <w:rsid w:val="009A5621"/>
    <w:rsid w:val="009A56E1"/>
    <w:rsid w:val="009A5C50"/>
    <w:rsid w:val="009A64FA"/>
    <w:rsid w:val="009A7DBD"/>
    <w:rsid w:val="009B0687"/>
    <w:rsid w:val="009B0726"/>
    <w:rsid w:val="009B1301"/>
    <w:rsid w:val="009B1C46"/>
    <w:rsid w:val="009B1E00"/>
    <w:rsid w:val="009B1ED6"/>
    <w:rsid w:val="009B20CB"/>
    <w:rsid w:val="009B2209"/>
    <w:rsid w:val="009B25B3"/>
    <w:rsid w:val="009B271D"/>
    <w:rsid w:val="009B3518"/>
    <w:rsid w:val="009B356F"/>
    <w:rsid w:val="009B3F7E"/>
    <w:rsid w:val="009B43FD"/>
    <w:rsid w:val="009B4BDD"/>
    <w:rsid w:val="009B52CA"/>
    <w:rsid w:val="009B5448"/>
    <w:rsid w:val="009B57EE"/>
    <w:rsid w:val="009B5926"/>
    <w:rsid w:val="009B5B93"/>
    <w:rsid w:val="009B5DDB"/>
    <w:rsid w:val="009B5EE6"/>
    <w:rsid w:val="009B5FFE"/>
    <w:rsid w:val="009B63CE"/>
    <w:rsid w:val="009B65D0"/>
    <w:rsid w:val="009B66A0"/>
    <w:rsid w:val="009B6786"/>
    <w:rsid w:val="009B7FBA"/>
    <w:rsid w:val="009C0373"/>
    <w:rsid w:val="009C07EF"/>
    <w:rsid w:val="009C0D0C"/>
    <w:rsid w:val="009C15EC"/>
    <w:rsid w:val="009C1933"/>
    <w:rsid w:val="009C1BB0"/>
    <w:rsid w:val="009C202E"/>
    <w:rsid w:val="009C235A"/>
    <w:rsid w:val="009C2584"/>
    <w:rsid w:val="009C2D3A"/>
    <w:rsid w:val="009C2D56"/>
    <w:rsid w:val="009C2ED4"/>
    <w:rsid w:val="009C367C"/>
    <w:rsid w:val="009C37EF"/>
    <w:rsid w:val="009C39A6"/>
    <w:rsid w:val="009C3ED2"/>
    <w:rsid w:val="009C3FCA"/>
    <w:rsid w:val="009C40E3"/>
    <w:rsid w:val="009C45BC"/>
    <w:rsid w:val="009C45E7"/>
    <w:rsid w:val="009C544A"/>
    <w:rsid w:val="009C5482"/>
    <w:rsid w:val="009C553D"/>
    <w:rsid w:val="009C5D06"/>
    <w:rsid w:val="009C5D97"/>
    <w:rsid w:val="009C5E71"/>
    <w:rsid w:val="009C6472"/>
    <w:rsid w:val="009C7558"/>
    <w:rsid w:val="009C7884"/>
    <w:rsid w:val="009C7C12"/>
    <w:rsid w:val="009C7CC8"/>
    <w:rsid w:val="009C7D08"/>
    <w:rsid w:val="009C7DF8"/>
    <w:rsid w:val="009D07AA"/>
    <w:rsid w:val="009D1154"/>
    <w:rsid w:val="009D17B3"/>
    <w:rsid w:val="009D1F8E"/>
    <w:rsid w:val="009D28CA"/>
    <w:rsid w:val="009D2D9F"/>
    <w:rsid w:val="009D33AC"/>
    <w:rsid w:val="009D34F8"/>
    <w:rsid w:val="009D36F6"/>
    <w:rsid w:val="009D380F"/>
    <w:rsid w:val="009D3D5D"/>
    <w:rsid w:val="009D4447"/>
    <w:rsid w:val="009D46FE"/>
    <w:rsid w:val="009D492D"/>
    <w:rsid w:val="009D577C"/>
    <w:rsid w:val="009D57D7"/>
    <w:rsid w:val="009D587E"/>
    <w:rsid w:val="009D58C7"/>
    <w:rsid w:val="009D5C1E"/>
    <w:rsid w:val="009D5EB9"/>
    <w:rsid w:val="009D6242"/>
    <w:rsid w:val="009D6FFC"/>
    <w:rsid w:val="009D7868"/>
    <w:rsid w:val="009D7AA2"/>
    <w:rsid w:val="009D7BE4"/>
    <w:rsid w:val="009D7C4E"/>
    <w:rsid w:val="009E0A93"/>
    <w:rsid w:val="009E1522"/>
    <w:rsid w:val="009E16CC"/>
    <w:rsid w:val="009E1F9E"/>
    <w:rsid w:val="009E26C6"/>
    <w:rsid w:val="009E42C3"/>
    <w:rsid w:val="009E43F9"/>
    <w:rsid w:val="009E4BEB"/>
    <w:rsid w:val="009E52C5"/>
    <w:rsid w:val="009E52F5"/>
    <w:rsid w:val="009E55E0"/>
    <w:rsid w:val="009E56A8"/>
    <w:rsid w:val="009E5971"/>
    <w:rsid w:val="009E5FFB"/>
    <w:rsid w:val="009E658C"/>
    <w:rsid w:val="009E7432"/>
    <w:rsid w:val="009E76C2"/>
    <w:rsid w:val="009E795D"/>
    <w:rsid w:val="009E7B48"/>
    <w:rsid w:val="009E7EA5"/>
    <w:rsid w:val="009F0067"/>
    <w:rsid w:val="009F0B7B"/>
    <w:rsid w:val="009F1126"/>
    <w:rsid w:val="009F1214"/>
    <w:rsid w:val="009F1EEA"/>
    <w:rsid w:val="009F1F85"/>
    <w:rsid w:val="009F295F"/>
    <w:rsid w:val="009F3008"/>
    <w:rsid w:val="009F3615"/>
    <w:rsid w:val="009F3F9B"/>
    <w:rsid w:val="009F4F19"/>
    <w:rsid w:val="009F52C8"/>
    <w:rsid w:val="009F5371"/>
    <w:rsid w:val="009F55FA"/>
    <w:rsid w:val="009F5699"/>
    <w:rsid w:val="009F5937"/>
    <w:rsid w:val="009F5F9F"/>
    <w:rsid w:val="009F6614"/>
    <w:rsid w:val="009F6954"/>
    <w:rsid w:val="009F6D96"/>
    <w:rsid w:val="009F73F0"/>
    <w:rsid w:val="00A00356"/>
    <w:rsid w:val="00A00458"/>
    <w:rsid w:val="00A006C7"/>
    <w:rsid w:val="00A00988"/>
    <w:rsid w:val="00A00BD2"/>
    <w:rsid w:val="00A011AC"/>
    <w:rsid w:val="00A01B50"/>
    <w:rsid w:val="00A01C11"/>
    <w:rsid w:val="00A02057"/>
    <w:rsid w:val="00A0210E"/>
    <w:rsid w:val="00A02386"/>
    <w:rsid w:val="00A025E8"/>
    <w:rsid w:val="00A02A73"/>
    <w:rsid w:val="00A02CF9"/>
    <w:rsid w:val="00A02EE2"/>
    <w:rsid w:val="00A02FD8"/>
    <w:rsid w:val="00A037BB"/>
    <w:rsid w:val="00A03C87"/>
    <w:rsid w:val="00A03E64"/>
    <w:rsid w:val="00A0452D"/>
    <w:rsid w:val="00A045BB"/>
    <w:rsid w:val="00A04C8E"/>
    <w:rsid w:val="00A04DF2"/>
    <w:rsid w:val="00A0500A"/>
    <w:rsid w:val="00A0548B"/>
    <w:rsid w:val="00A055A2"/>
    <w:rsid w:val="00A05FB9"/>
    <w:rsid w:val="00A06081"/>
    <w:rsid w:val="00A07000"/>
    <w:rsid w:val="00A07C77"/>
    <w:rsid w:val="00A1044F"/>
    <w:rsid w:val="00A10648"/>
    <w:rsid w:val="00A11851"/>
    <w:rsid w:val="00A11F89"/>
    <w:rsid w:val="00A12553"/>
    <w:rsid w:val="00A135F9"/>
    <w:rsid w:val="00A13FBB"/>
    <w:rsid w:val="00A14B89"/>
    <w:rsid w:val="00A1565F"/>
    <w:rsid w:val="00A15923"/>
    <w:rsid w:val="00A160A8"/>
    <w:rsid w:val="00A16481"/>
    <w:rsid w:val="00A16EAD"/>
    <w:rsid w:val="00A16F6F"/>
    <w:rsid w:val="00A1720C"/>
    <w:rsid w:val="00A17B12"/>
    <w:rsid w:val="00A17F1C"/>
    <w:rsid w:val="00A20190"/>
    <w:rsid w:val="00A20315"/>
    <w:rsid w:val="00A20828"/>
    <w:rsid w:val="00A2099C"/>
    <w:rsid w:val="00A20D0D"/>
    <w:rsid w:val="00A21419"/>
    <w:rsid w:val="00A2210A"/>
    <w:rsid w:val="00A22254"/>
    <w:rsid w:val="00A2225C"/>
    <w:rsid w:val="00A22654"/>
    <w:rsid w:val="00A22BDC"/>
    <w:rsid w:val="00A22DBE"/>
    <w:rsid w:val="00A231A2"/>
    <w:rsid w:val="00A23935"/>
    <w:rsid w:val="00A23AC9"/>
    <w:rsid w:val="00A23BDC"/>
    <w:rsid w:val="00A241FC"/>
    <w:rsid w:val="00A2451E"/>
    <w:rsid w:val="00A24D11"/>
    <w:rsid w:val="00A266A5"/>
    <w:rsid w:val="00A267D4"/>
    <w:rsid w:val="00A26B0D"/>
    <w:rsid w:val="00A26ECA"/>
    <w:rsid w:val="00A30011"/>
    <w:rsid w:val="00A30205"/>
    <w:rsid w:val="00A3028B"/>
    <w:rsid w:val="00A30437"/>
    <w:rsid w:val="00A304DF"/>
    <w:rsid w:val="00A3058F"/>
    <w:rsid w:val="00A3087F"/>
    <w:rsid w:val="00A30994"/>
    <w:rsid w:val="00A30B9A"/>
    <w:rsid w:val="00A31157"/>
    <w:rsid w:val="00A31B79"/>
    <w:rsid w:val="00A32C42"/>
    <w:rsid w:val="00A33F80"/>
    <w:rsid w:val="00A35689"/>
    <w:rsid w:val="00A357E5"/>
    <w:rsid w:val="00A35807"/>
    <w:rsid w:val="00A35D18"/>
    <w:rsid w:val="00A36878"/>
    <w:rsid w:val="00A401BD"/>
    <w:rsid w:val="00A407C1"/>
    <w:rsid w:val="00A40C1A"/>
    <w:rsid w:val="00A40DDA"/>
    <w:rsid w:val="00A41CBB"/>
    <w:rsid w:val="00A4271D"/>
    <w:rsid w:val="00A42DE6"/>
    <w:rsid w:val="00A4344A"/>
    <w:rsid w:val="00A43B06"/>
    <w:rsid w:val="00A43B0E"/>
    <w:rsid w:val="00A440CC"/>
    <w:rsid w:val="00A44881"/>
    <w:rsid w:val="00A449CD"/>
    <w:rsid w:val="00A44B9A"/>
    <w:rsid w:val="00A44CA8"/>
    <w:rsid w:val="00A45B35"/>
    <w:rsid w:val="00A46316"/>
    <w:rsid w:val="00A466EF"/>
    <w:rsid w:val="00A46767"/>
    <w:rsid w:val="00A47D40"/>
    <w:rsid w:val="00A50179"/>
    <w:rsid w:val="00A50646"/>
    <w:rsid w:val="00A5113C"/>
    <w:rsid w:val="00A5194D"/>
    <w:rsid w:val="00A5205A"/>
    <w:rsid w:val="00A52272"/>
    <w:rsid w:val="00A52767"/>
    <w:rsid w:val="00A52CA8"/>
    <w:rsid w:val="00A52CE5"/>
    <w:rsid w:val="00A52DD2"/>
    <w:rsid w:val="00A52FF9"/>
    <w:rsid w:val="00A536C2"/>
    <w:rsid w:val="00A5396F"/>
    <w:rsid w:val="00A53A58"/>
    <w:rsid w:val="00A5403D"/>
    <w:rsid w:val="00A542A6"/>
    <w:rsid w:val="00A547BC"/>
    <w:rsid w:val="00A55532"/>
    <w:rsid w:val="00A55A7D"/>
    <w:rsid w:val="00A55FA0"/>
    <w:rsid w:val="00A56191"/>
    <w:rsid w:val="00A56534"/>
    <w:rsid w:val="00A56B9D"/>
    <w:rsid w:val="00A575C7"/>
    <w:rsid w:val="00A576BD"/>
    <w:rsid w:val="00A5786D"/>
    <w:rsid w:val="00A6004D"/>
    <w:rsid w:val="00A600C7"/>
    <w:rsid w:val="00A601AA"/>
    <w:rsid w:val="00A60489"/>
    <w:rsid w:val="00A60858"/>
    <w:rsid w:val="00A608F8"/>
    <w:rsid w:val="00A60AA0"/>
    <w:rsid w:val="00A60C15"/>
    <w:rsid w:val="00A60EF7"/>
    <w:rsid w:val="00A6146E"/>
    <w:rsid w:val="00A615DD"/>
    <w:rsid w:val="00A61650"/>
    <w:rsid w:val="00A61E6B"/>
    <w:rsid w:val="00A625D7"/>
    <w:rsid w:val="00A62702"/>
    <w:rsid w:val="00A631AB"/>
    <w:rsid w:val="00A632CE"/>
    <w:rsid w:val="00A63326"/>
    <w:rsid w:val="00A6336D"/>
    <w:rsid w:val="00A63407"/>
    <w:rsid w:val="00A63AD3"/>
    <w:rsid w:val="00A63E8B"/>
    <w:rsid w:val="00A645C1"/>
    <w:rsid w:val="00A65767"/>
    <w:rsid w:val="00A665D0"/>
    <w:rsid w:val="00A667F3"/>
    <w:rsid w:val="00A66FA0"/>
    <w:rsid w:val="00A675F4"/>
    <w:rsid w:val="00A702CE"/>
    <w:rsid w:val="00A703E4"/>
    <w:rsid w:val="00A71014"/>
    <w:rsid w:val="00A717A2"/>
    <w:rsid w:val="00A71B30"/>
    <w:rsid w:val="00A71DB2"/>
    <w:rsid w:val="00A73801"/>
    <w:rsid w:val="00A73933"/>
    <w:rsid w:val="00A73A85"/>
    <w:rsid w:val="00A73EDA"/>
    <w:rsid w:val="00A7407A"/>
    <w:rsid w:val="00A740F6"/>
    <w:rsid w:val="00A74297"/>
    <w:rsid w:val="00A74EF7"/>
    <w:rsid w:val="00A7561B"/>
    <w:rsid w:val="00A757BC"/>
    <w:rsid w:val="00A75C5E"/>
    <w:rsid w:val="00A76768"/>
    <w:rsid w:val="00A770A2"/>
    <w:rsid w:val="00A77C7B"/>
    <w:rsid w:val="00A80013"/>
    <w:rsid w:val="00A80188"/>
    <w:rsid w:val="00A8048A"/>
    <w:rsid w:val="00A806CD"/>
    <w:rsid w:val="00A80836"/>
    <w:rsid w:val="00A8093E"/>
    <w:rsid w:val="00A80C94"/>
    <w:rsid w:val="00A812C1"/>
    <w:rsid w:val="00A81FBC"/>
    <w:rsid w:val="00A823CB"/>
    <w:rsid w:val="00A83252"/>
    <w:rsid w:val="00A83A29"/>
    <w:rsid w:val="00A83F45"/>
    <w:rsid w:val="00A8486B"/>
    <w:rsid w:val="00A84D98"/>
    <w:rsid w:val="00A854E9"/>
    <w:rsid w:val="00A8569C"/>
    <w:rsid w:val="00A85FAB"/>
    <w:rsid w:val="00A8633F"/>
    <w:rsid w:val="00A863A8"/>
    <w:rsid w:val="00A86AA8"/>
    <w:rsid w:val="00A86F79"/>
    <w:rsid w:val="00A87482"/>
    <w:rsid w:val="00A87A82"/>
    <w:rsid w:val="00A87BD4"/>
    <w:rsid w:val="00A87DCB"/>
    <w:rsid w:val="00A90DD5"/>
    <w:rsid w:val="00A90E35"/>
    <w:rsid w:val="00A90FCD"/>
    <w:rsid w:val="00A91152"/>
    <w:rsid w:val="00A9123C"/>
    <w:rsid w:val="00A915DE"/>
    <w:rsid w:val="00A920B5"/>
    <w:rsid w:val="00A92924"/>
    <w:rsid w:val="00A930CA"/>
    <w:rsid w:val="00A9347A"/>
    <w:rsid w:val="00A9375B"/>
    <w:rsid w:val="00A93800"/>
    <w:rsid w:val="00A9420C"/>
    <w:rsid w:val="00A947E6"/>
    <w:rsid w:val="00A94BC9"/>
    <w:rsid w:val="00A960AC"/>
    <w:rsid w:val="00A971E8"/>
    <w:rsid w:val="00A9795F"/>
    <w:rsid w:val="00AA0004"/>
    <w:rsid w:val="00AA0896"/>
    <w:rsid w:val="00AA0FDD"/>
    <w:rsid w:val="00AA1C71"/>
    <w:rsid w:val="00AA1E56"/>
    <w:rsid w:val="00AA239C"/>
    <w:rsid w:val="00AA2790"/>
    <w:rsid w:val="00AA37BD"/>
    <w:rsid w:val="00AA40B4"/>
    <w:rsid w:val="00AA4700"/>
    <w:rsid w:val="00AA4A1D"/>
    <w:rsid w:val="00AA4C87"/>
    <w:rsid w:val="00AA5247"/>
    <w:rsid w:val="00AA55D7"/>
    <w:rsid w:val="00AA625B"/>
    <w:rsid w:val="00AA674A"/>
    <w:rsid w:val="00AA6CA2"/>
    <w:rsid w:val="00AA76C9"/>
    <w:rsid w:val="00AA76FC"/>
    <w:rsid w:val="00AA79D2"/>
    <w:rsid w:val="00AB0276"/>
    <w:rsid w:val="00AB03B0"/>
    <w:rsid w:val="00AB13CB"/>
    <w:rsid w:val="00AB1E0D"/>
    <w:rsid w:val="00AB290A"/>
    <w:rsid w:val="00AB2F26"/>
    <w:rsid w:val="00AB35D0"/>
    <w:rsid w:val="00AB3944"/>
    <w:rsid w:val="00AB3A09"/>
    <w:rsid w:val="00AB470B"/>
    <w:rsid w:val="00AB50E5"/>
    <w:rsid w:val="00AB5D97"/>
    <w:rsid w:val="00AB5EA7"/>
    <w:rsid w:val="00AB7198"/>
    <w:rsid w:val="00AC0119"/>
    <w:rsid w:val="00AC039E"/>
    <w:rsid w:val="00AC0BEB"/>
    <w:rsid w:val="00AC235F"/>
    <w:rsid w:val="00AC2904"/>
    <w:rsid w:val="00AC3299"/>
    <w:rsid w:val="00AC34D2"/>
    <w:rsid w:val="00AC34DF"/>
    <w:rsid w:val="00AC366F"/>
    <w:rsid w:val="00AC39BF"/>
    <w:rsid w:val="00AC3A9C"/>
    <w:rsid w:val="00AC3CEC"/>
    <w:rsid w:val="00AC41E4"/>
    <w:rsid w:val="00AC524D"/>
    <w:rsid w:val="00AC530F"/>
    <w:rsid w:val="00AC559A"/>
    <w:rsid w:val="00AC5AC2"/>
    <w:rsid w:val="00AC5E3A"/>
    <w:rsid w:val="00AC613F"/>
    <w:rsid w:val="00AC658A"/>
    <w:rsid w:val="00AC6B36"/>
    <w:rsid w:val="00AC6E08"/>
    <w:rsid w:val="00AD0E09"/>
    <w:rsid w:val="00AD136D"/>
    <w:rsid w:val="00AD1493"/>
    <w:rsid w:val="00AD1B44"/>
    <w:rsid w:val="00AD20E9"/>
    <w:rsid w:val="00AD3070"/>
    <w:rsid w:val="00AD4239"/>
    <w:rsid w:val="00AD55FB"/>
    <w:rsid w:val="00AD5754"/>
    <w:rsid w:val="00AD5F58"/>
    <w:rsid w:val="00AD5F8F"/>
    <w:rsid w:val="00AD6242"/>
    <w:rsid w:val="00AD6247"/>
    <w:rsid w:val="00AD646E"/>
    <w:rsid w:val="00AE027C"/>
    <w:rsid w:val="00AE03E8"/>
    <w:rsid w:val="00AE0738"/>
    <w:rsid w:val="00AE0C5C"/>
    <w:rsid w:val="00AE0E8C"/>
    <w:rsid w:val="00AE1C01"/>
    <w:rsid w:val="00AE2E54"/>
    <w:rsid w:val="00AE33D1"/>
    <w:rsid w:val="00AE36E5"/>
    <w:rsid w:val="00AE378E"/>
    <w:rsid w:val="00AE39E4"/>
    <w:rsid w:val="00AE3AB4"/>
    <w:rsid w:val="00AE3E99"/>
    <w:rsid w:val="00AE4DEF"/>
    <w:rsid w:val="00AE4F8F"/>
    <w:rsid w:val="00AE51E8"/>
    <w:rsid w:val="00AE5763"/>
    <w:rsid w:val="00AE597E"/>
    <w:rsid w:val="00AE5E15"/>
    <w:rsid w:val="00AE63FA"/>
    <w:rsid w:val="00AE6F6B"/>
    <w:rsid w:val="00AE706E"/>
    <w:rsid w:val="00AE71D9"/>
    <w:rsid w:val="00AE77C0"/>
    <w:rsid w:val="00AF0687"/>
    <w:rsid w:val="00AF079C"/>
    <w:rsid w:val="00AF07AE"/>
    <w:rsid w:val="00AF0844"/>
    <w:rsid w:val="00AF0A1A"/>
    <w:rsid w:val="00AF1183"/>
    <w:rsid w:val="00AF15EB"/>
    <w:rsid w:val="00AF178A"/>
    <w:rsid w:val="00AF180F"/>
    <w:rsid w:val="00AF2611"/>
    <w:rsid w:val="00AF2D51"/>
    <w:rsid w:val="00AF32BD"/>
    <w:rsid w:val="00AF3F2C"/>
    <w:rsid w:val="00AF45DD"/>
    <w:rsid w:val="00AF47A3"/>
    <w:rsid w:val="00AF4E17"/>
    <w:rsid w:val="00AF5752"/>
    <w:rsid w:val="00AF58B6"/>
    <w:rsid w:val="00AF5C0C"/>
    <w:rsid w:val="00AF615D"/>
    <w:rsid w:val="00AF61B5"/>
    <w:rsid w:val="00AF647D"/>
    <w:rsid w:val="00AF6BAC"/>
    <w:rsid w:val="00AF6F27"/>
    <w:rsid w:val="00AF71B0"/>
    <w:rsid w:val="00AF73E4"/>
    <w:rsid w:val="00AF7518"/>
    <w:rsid w:val="00AF7735"/>
    <w:rsid w:val="00AF7BA2"/>
    <w:rsid w:val="00AF7C1D"/>
    <w:rsid w:val="00AF7D2E"/>
    <w:rsid w:val="00B00983"/>
    <w:rsid w:val="00B01214"/>
    <w:rsid w:val="00B0130B"/>
    <w:rsid w:val="00B0178A"/>
    <w:rsid w:val="00B01A76"/>
    <w:rsid w:val="00B01E59"/>
    <w:rsid w:val="00B02812"/>
    <w:rsid w:val="00B02E3F"/>
    <w:rsid w:val="00B02E8C"/>
    <w:rsid w:val="00B03E1E"/>
    <w:rsid w:val="00B059BC"/>
    <w:rsid w:val="00B05CAC"/>
    <w:rsid w:val="00B06772"/>
    <w:rsid w:val="00B0723B"/>
    <w:rsid w:val="00B072EF"/>
    <w:rsid w:val="00B0780D"/>
    <w:rsid w:val="00B1189B"/>
    <w:rsid w:val="00B11CD2"/>
    <w:rsid w:val="00B12CF2"/>
    <w:rsid w:val="00B137DE"/>
    <w:rsid w:val="00B14674"/>
    <w:rsid w:val="00B14F33"/>
    <w:rsid w:val="00B156AF"/>
    <w:rsid w:val="00B156F3"/>
    <w:rsid w:val="00B157C1"/>
    <w:rsid w:val="00B157DA"/>
    <w:rsid w:val="00B165B1"/>
    <w:rsid w:val="00B16BAA"/>
    <w:rsid w:val="00B16F83"/>
    <w:rsid w:val="00B17523"/>
    <w:rsid w:val="00B1777D"/>
    <w:rsid w:val="00B207D6"/>
    <w:rsid w:val="00B21533"/>
    <w:rsid w:val="00B217CE"/>
    <w:rsid w:val="00B22145"/>
    <w:rsid w:val="00B22631"/>
    <w:rsid w:val="00B232F7"/>
    <w:rsid w:val="00B23F41"/>
    <w:rsid w:val="00B2454A"/>
    <w:rsid w:val="00B245D7"/>
    <w:rsid w:val="00B247E9"/>
    <w:rsid w:val="00B24D2E"/>
    <w:rsid w:val="00B258FD"/>
    <w:rsid w:val="00B27369"/>
    <w:rsid w:val="00B27A01"/>
    <w:rsid w:val="00B27ED1"/>
    <w:rsid w:val="00B3003E"/>
    <w:rsid w:val="00B3028B"/>
    <w:rsid w:val="00B3043B"/>
    <w:rsid w:val="00B3067B"/>
    <w:rsid w:val="00B30838"/>
    <w:rsid w:val="00B31286"/>
    <w:rsid w:val="00B31A43"/>
    <w:rsid w:val="00B31FB6"/>
    <w:rsid w:val="00B32CB5"/>
    <w:rsid w:val="00B32E24"/>
    <w:rsid w:val="00B32E25"/>
    <w:rsid w:val="00B33374"/>
    <w:rsid w:val="00B33D14"/>
    <w:rsid w:val="00B33D30"/>
    <w:rsid w:val="00B33E3F"/>
    <w:rsid w:val="00B33F15"/>
    <w:rsid w:val="00B35436"/>
    <w:rsid w:val="00B362F8"/>
    <w:rsid w:val="00B364C2"/>
    <w:rsid w:val="00B3664A"/>
    <w:rsid w:val="00B36C27"/>
    <w:rsid w:val="00B36D3C"/>
    <w:rsid w:val="00B3701A"/>
    <w:rsid w:val="00B3742D"/>
    <w:rsid w:val="00B377EB"/>
    <w:rsid w:val="00B405BB"/>
    <w:rsid w:val="00B40728"/>
    <w:rsid w:val="00B41A08"/>
    <w:rsid w:val="00B41B31"/>
    <w:rsid w:val="00B41B58"/>
    <w:rsid w:val="00B41E7A"/>
    <w:rsid w:val="00B42115"/>
    <w:rsid w:val="00B421AA"/>
    <w:rsid w:val="00B4229F"/>
    <w:rsid w:val="00B42D65"/>
    <w:rsid w:val="00B42E36"/>
    <w:rsid w:val="00B43160"/>
    <w:rsid w:val="00B434DB"/>
    <w:rsid w:val="00B44448"/>
    <w:rsid w:val="00B446B9"/>
    <w:rsid w:val="00B448DB"/>
    <w:rsid w:val="00B44A82"/>
    <w:rsid w:val="00B44CEE"/>
    <w:rsid w:val="00B44EFD"/>
    <w:rsid w:val="00B4502D"/>
    <w:rsid w:val="00B45067"/>
    <w:rsid w:val="00B4519B"/>
    <w:rsid w:val="00B45395"/>
    <w:rsid w:val="00B453DD"/>
    <w:rsid w:val="00B45648"/>
    <w:rsid w:val="00B45770"/>
    <w:rsid w:val="00B465B1"/>
    <w:rsid w:val="00B46705"/>
    <w:rsid w:val="00B46C8F"/>
    <w:rsid w:val="00B46EFF"/>
    <w:rsid w:val="00B473C9"/>
    <w:rsid w:val="00B4753D"/>
    <w:rsid w:val="00B477DC"/>
    <w:rsid w:val="00B47B3E"/>
    <w:rsid w:val="00B47BA8"/>
    <w:rsid w:val="00B47C0E"/>
    <w:rsid w:val="00B50D54"/>
    <w:rsid w:val="00B52696"/>
    <w:rsid w:val="00B53336"/>
    <w:rsid w:val="00B53850"/>
    <w:rsid w:val="00B54592"/>
    <w:rsid w:val="00B5471A"/>
    <w:rsid w:val="00B5492C"/>
    <w:rsid w:val="00B54966"/>
    <w:rsid w:val="00B55900"/>
    <w:rsid w:val="00B560F0"/>
    <w:rsid w:val="00B561D0"/>
    <w:rsid w:val="00B56291"/>
    <w:rsid w:val="00B562D7"/>
    <w:rsid w:val="00B56A34"/>
    <w:rsid w:val="00B570F9"/>
    <w:rsid w:val="00B6019E"/>
    <w:rsid w:val="00B6050A"/>
    <w:rsid w:val="00B60821"/>
    <w:rsid w:val="00B60DCF"/>
    <w:rsid w:val="00B6116D"/>
    <w:rsid w:val="00B61A20"/>
    <w:rsid w:val="00B62249"/>
    <w:rsid w:val="00B62325"/>
    <w:rsid w:val="00B62832"/>
    <w:rsid w:val="00B63004"/>
    <w:rsid w:val="00B632C5"/>
    <w:rsid w:val="00B63375"/>
    <w:rsid w:val="00B63DBA"/>
    <w:rsid w:val="00B6410A"/>
    <w:rsid w:val="00B645E4"/>
    <w:rsid w:val="00B64770"/>
    <w:rsid w:val="00B64B0C"/>
    <w:rsid w:val="00B653C8"/>
    <w:rsid w:val="00B66004"/>
    <w:rsid w:val="00B6634B"/>
    <w:rsid w:val="00B66E40"/>
    <w:rsid w:val="00B70369"/>
    <w:rsid w:val="00B710A3"/>
    <w:rsid w:val="00B71485"/>
    <w:rsid w:val="00B714A5"/>
    <w:rsid w:val="00B715B1"/>
    <w:rsid w:val="00B71760"/>
    <w:rsid w:val="00B72017"/>
    <w:rsid w:val="00B724C1"/>
    <w:rsid w:val="00B732E1"/>
    <w:rsid w:val="00B73A9A"/>
    <w:rsid w:val="00B73AE0"/>
    <w:rsid w:val="00B73ED4"/>
    <w:rsid w:val="00B74272"/>
    <w:rsid w:val="00B74FF0"/>
    <w:rsid w:val="00B75E74"/>
    <w:rsid w:val="00B769BD"/>
    <w:rsid w:val="00B771E6"/>
    <w:rsid w:val="00B77969"/>
    <w:rsid w:val="00B77DB1"/>
    <w:rsid w:val="00B77E61"/>
    <w:rsid w:val="00B77F99"/>
    <w:rsid w:val="00B800F4"/>
    <w:rsid w:val="00B8024F"/>
    <w:rsid w:val="00B80452"/>
    <w:rsid w:val="00B807BF"/>
    <w:rsid w:val="00B80B76"/>
    <w:rsid w:val="00B8129D"/>
    <w:rsid w:val="00B8133C"/>
    <w:rsid w:val="00B8147C"/>
    <w:rsid w:val="00B81777"/>
    <w:rsid w:val="00B81924"/>
    <w:rsid w:val="00B8268E"/>
    <w:rsid w:val="00B828BA"/>
    <w:rsid w:val="00B82D2F"/>
    <w:rsid w:val="00B82FDB"/>
    <w:rsid w:val="00B83099"/>
    <w:rsid w:val="00B84250"/>
    <w:rsid w:val="00B842AB"/>
    <w:rsid w:val="00B84424"/>
    <w:rsid w:val="00B84AFB"/>
    <w:rsid w:val="00B85953"/>
    <w:rsid w:val="00B85A85"/>
    <w:rsid w:val="00B86282"/>
    <w:rsid w:val="00B86A68"/>
    <w:rsid w:val="00B871AC"/>
    <w:rsid w:val="00B8736D"/>
    <w:rsid w:val="00B876BE"/>
    <w:rsid w:val="00B877EE"/>
    <w:rsid w:val="00B87872"/>
    <w:rsid w:val="00B879C9"/>
    <w:rsid w:val="00B903E8"/>
    <w:rsid w:val="00B909AC"/>
    <w:rsid w:val="00B90B6D"/>
    <w:rsid w:val="00B91120"/>
    <w:rsid w:val="00B9178C"/>
    <w:rsid w:val="00B922C8"/>
    <w:rsid w:val="00B92408"/>
    <w:rsid w:val="00B9243A"/>
    <w:rsid w:val="00B92EE2"/>
    <w:rsid w:val="00B92FC8"/>
    <w:rsid w:val="00B9332E"/>
    <w:rsid w:val="00B936D8"/>
    <w:rsid w:val="00B94B73"/>
    <w:rsid w:val="00B94C72"/>
    <w:rsid w:val="00B9582C"/>
    <w:rsid w:val="00B959AD"/>
    <w:rsid w:val="00B95D04"/>
    <w:rsid w:val="00B95D7E"/>
    <w:rsid w:val="00B96B86"/>
    <w:rsid w:val="00B972E6"/>
    <w:rsid w:val="00BA000B"/>
    <w:rsid w:val="00BA04A8"/>
    <w:rsid w:val="00BA0E42"/>
    <w:rsid w:val="00BA1962"/>
    <w:rsid w:val="00BA2072"/>
    <w:rsid w:val="00BA2EC5"/>
    <w:rsid w:val="00BA4A8D"/>
    <w:rsid w:val="00BA4C5D"/>
    <w:rsid w:val="00BA558E"/>
    <w:rsid w:val="00BA5D20"/>
    <w:rsid w:val="00BA631A"/>
    <w:rsid w:val="00BA688E"/>
    <w:rsid w:val="00BA6B4E"/>
    <w:rsid w:val="00BA6BB2"/>
    <w:rsid w:val="00BA6DF6"/>
    <w:rsid w:val="00BA7640"/>
    <w:rsid w:val="00BA77A0"/>
    <w:rsid w:val="00BB001C"/>
    <w:rsid w:val="00BB019C"/>
    <w:rsid w:val="00BB0420"/>
    <w:rsid w:val="00BB0572"/>
    <w:rsid w:val="00BB0706"/>
    <w:rsid w:val="00BB085E"/>
    <w:rsid w:val="00BB0A71"/>
    <w:rsid w:val="00BB140C"/>
    <w:rsid w:val="00BB1486"/>
    <w:rsid w:val="00BB344F"/>
    <w:rsid w:val="00BB38F1"/>
    <w:rsid w:val="00BB3C1F"/>
    <w:rsid w:val="00BB45D7"/>
    <w:rsid w:val="00BB4D3D"/>
    <w:rsid w:val="00BB52C8"/>
    <w:rsid w:val="00BB57E9"/>
    <w:rsid w:val="00BB5BE5"/>
    <w:rsid w:val="00BB66F7"/>
    <w:rsid w:val="00BB70AA"/>
    <w:rsid w:val="00BB7272"/>
    <w:rsid w:val="00BB7688"/>
    <w:rsid w:val="00BB78CF"/>
    <w:rsid w:val="00BB7D9E"/>
    <w:rsid w:val="00BC026A"/>
    <w:rsid w:val="00BC03A1"/>
    <w:rsid w:val="00BC03A3"/>
    <w:rsid w:val="00BC0E37"/>
    <w:rsid w:val="00BC113A"/>
    <w:rsid w:val="00BC2158"/>
    <w:rsid w:val="00BC2232"/>
    <w:rsid w:val="00BC266B"/>
    <w:rsid w:val="00BC33CA"/>
    <w:rsid w:val="00BC39AA"/>
    <w:rsid w:val="00BC40B9"/>
    <w:rsid w:val="00BC4350"/>
    <w:rsid w:val="00BC43FC"/>
    <w:rsid w:val="00BC44D3"/>
    <w:rsid w:val="00BC4BA9"/>
    <w:rsid w:val="00BC59BB"/>
    <w:rsid w:val="00BC5B78"/>
    <w:rsid w:val="00BC62ED"/>
    <w:rsid w:val="00BC6904"/>
    <w:rsid w:val="00BC6C6B"/>
    <w:rsid w:val="00BC6E20"/>
    <w:rsid w:val="00BC6E36"/>
    <w:rsid w:val="00BC6E78"/>
    <w:rsid w:val="00BC73FD"/>
    <w:rsid w:val="00BC7428"/>
    <w:rsid w:val="00BC77EB"/>
    <w:rsid w:val="00BC7B45"/>
    <w:rsid w:val="00BD05F4"/>
    <w:rsid w:val="00BD0F34"/>
    <w:rsid w:val="00BD1987"/>
    <w:rsid w:val="00BD261B"/>
    <w:rsid w:val="00BD32C7"/>
    <w:rsid w:val="00BD35FF"/>
    <w:rsid w:val="00BD3AF4"/>
    <w:rsid w:val="00BD3FDA"/>
    <w:rsid w:val="00BD4022"/>
    <w:rsid w:val="00BD43B3"/>
    <w:rsid w:val="00BD456E"/>
    <w:rsid w:val="00BD4DA0"/>
    <w:rsid w:val="00BD5A05"/>
    <w:rsid w:val="00BD6BBF"/>
    <w:rsid w:val="00BD6F90"/>
    <w:rsid w:val="00BD7437"/>
    <w:rsid w:val="00BD79A2"/>
    <w:rsid w:val="00BD7B32"/>
    <w:rsid w:val="00BD7C42"/>
    <w:rsid w:val="00BE14DA"/>
    <w:rsid w:val="00BE1B8F"/>
    <w:rsid w:val="00BE2275"/>
    <w:rsid w:val="00BE235B"/>
    <w:rsid w:val="00BE293C"/>
    <w:rsid w:val="00BE2B8D"/>
    <w:rsid w:val="00BE3174"/>
    <w:rsid w:val="00BE389A"/>
    <w:rsid w:val="00BE3971"/>
    <w:rsid w:val="00BE4214"/>
    <w:rsid w:val="00BE44F1"/>
    <w:rsid w:val="00BE4761"/>
    <w:rsid w:val="00BE5272"/>
    <w:rsid w:val="00BE67AF"/>
    <w:rsid w:val="00BE68A1"/>
    <w:rsid w:val="00BE77F5"/>
    <w:rsid w:val="00BE7CD4"/>
    <w:rsid w:val="00BE7F07"/>
    <w:rsid w:val="00BF0433"/>
    <w:rsid w:val="00BF052F"/>
    <w:rsid w:val="00BF072C"/>
    <w:rsid w:val="00BF11F0"/>
    <w:rsid w:val="00BF145F"/>
    <w:rsid w:val="00BF16B9"/>
    <w:rsid w:val="00BF1A0D"/>
    <w:rsid w:val="00BF1BDC"/>
    <w:rsid w:val="00BF1C27"/>
    <w:rsid w:val="00BF22A1"/>
    <w:rsid w:val="00BF3014"/>
    <w:rsid w:val="00BF30E5"/>
    <w:rsid w:val="00BF35DD"/>
    <w:rsid w:val="00BF4EDC"/>
    <w:rsid w:val="00BF5150"/>
    <w:rsid w:val="00BF55F1"/>
    <w:rsid w:val="00BF5C85"/>
    <w:rsid w:val="00BF68E3"/>
    <w:rsid w:val="00BF6ADD"/>
    <w:rsid w:val="00BF6B68"/>
    <w:rsid w:val="00BF74E0"/>
    <w:rsid w:val="00BF7E6F"/>
    <w:rsid w:val="00C000D8"/>
    <w:rsid w:val="00C00953"/>
    <w:rsid w:val="00C00FCB"/>
    <w:rsid w:val="00C0180B"/>
    <w:rsid w:val="00C01A9C"/>
    <w:rsid w:val="00C02B06"/>
    <w:rsid w:val="00C032D9"/>
    <w:rsid w:val="00C037BA"/>
    <w:rsid w:val="00C039DC"/>
    <w:rsid w:val="00C04B0B"/>
    <w:rsid w:val="00C05814"/>
    <w:rsid w:val="00C05A3A"/>
    <w:rsid w:val="00C05BAA"/>
    <w:rsid w:val="00C0620F"/>
    <w:rsid w:val="00C06EAB"/>
    <w:rsid w:val="00C07044"/>
    <w:rsid w:val="00C0714E"/>
    <w:rsid w:val="00C07178"/>
    <w:rsid w:val="00C078BB"/>
    <w:rsid w:val="00C07A1A"/>
    <w:rsid w:val="00C109FC"/>
    <w:rsid w:val="00C110FF"/>
    <w:rsid w:val="00C11552"/>
    <w:rsid w:val="00C117B3"/>
    <w:rsid w:val="00C11B3C"/>
    <w:rsid w:val="00C11C99"/>
    <w:rsid w:val="00C11EE2"/>
    <w:rsid w:val="00C12336"/>
    <w:rsid w:val="00C134AE"/>
    <w:rsid w:val="00C1361B"/>
    <w:rsid w:val="00C13E59"/>
    <w:rsid w:val="00C13F70"/>
    <w:rsid w:val="00C14453"/>
    <w:rsid w:val="00C14AD5"/>
    <w:rsid w:val="00C15720"/>
    <w:rsid w:val="00C163C3"/>
    <w:rsid w:val="00C164EB"/>
    <w:rsid w:val="00C16B70"/>
    <w:rsid w:val="00C171DB"/>
    <w:rsid w:val="00C17558"/>
    <w:rsid w:val="00C1769B"/>
    <w:rsid w:val="00C17D4D"/>
    <w:rsid w:val="00C20A19"/>
    <w:rsid w:val="00C20C4F"/>
    <w:rsid w:val="00C20C9F"/>
    <w:rsid w:val="00C20FAF"/>
    <w:rsid w:val="00C21851"/>
    <w:rsid w:val="00C21962"/>
    <w:rsid w:val="00C21B71"/>
    <w:rsid w:val="00C21C95"/>
    <w:rsid w:val="00C223A0"/>
    <w:rsid w:val="00C2249F"/>
    <w:rsid w:val="00C225AF"/>
    <w:rsid w:val="00C22838"/>
    <w:rsid w:val="00C22839"/>
    <w:rsid w:val="00C22EFA"/>
    <w:rsid w:val="00C239C4"/>
    <w:rsid w:val="00C23DDE"/>
    <w:rsid w:val="00C23E81"/>
    <w:rsid w:val="00C240A8"/>
    <w:rsid w:val="00C24602"/>
    <w:rsid w:val="00C24E4D"/>
    <w:rsid w:val="00C250A4"/>
    <w:rsid w:val="00C25246"/>
    <w:rsid w:val="00C252CD"/>
    <w:rsid w:val="00C257FC"/>
    <w:rsid w:val="00C25988"/>
    <w:rsid w:val="00C26A70"/>
    <w:rsid w:val="00C273C2"/>
    <w:rsid w:val="00C27462"/>
    <w:rsid w:val="00C2767C"/>
    <w:rsid w:val="00C27DAD"/>
    <w:rsid w:val="00C30FEE"/>
    <w:rsid w:val="00C31091"/>
    <w:rsid w:val="00C31541"/>
    <w:rsid w:val="00C31E88"/>
    <w:rsid w:val="00C32069"/>
    <w:rsid w:val="00C32272"/>
    <w:rsid w:val="00C32BDC"/>
    <w:rsid w:val="00C333AD"/>
    <w:rsid w:val="00C33E4D"/>
    <w:rsid w:val="00C33F46"/>
    <w:rsid w:val="00C34FB0"/>
    <w:rsid w:val="00C35003"/>
    <w:rsid w:val="00C35172"/>
    <w:rsid w:val="00C3608E"/>
    <w:rsid w:val="00C366A9"/>
    <w:rsid w:val="00C36AB1"/>
    <w:rsid w:val="00C36E31"/>
    <w:rsid w:val="00C4047D"/>
    <w:rsid w:val="00C404FF"/>
    <w:rsid w:val="00C406D6"/>
    <w:rsid w:val="00C4096D"/>
    <w:rsid w:val="00C40A4D"/>
    <w:rsid w:val="00C41019"/>
    <w:rsid w:val="00C415A8"/>
    <w:rsid w:val="00C417FB"/>
    <w:rsid w:val="00C41AB9"/>
    <w:rsid w:val="00C41EEC"/>
    <w:rsid w:val="00C4208A"/>
    <w:rsid w:val="00C422E2"/>
    <w:rsid w:val="00C42802"/>
    <w:rsid w:val="00C4286C"/>
    <w:rsid w:val="00C42A3F"/>
    <w:rsid w:val="00C430DC"/>
    <w:rsid w:val="00C434FB"/>
    <w:rsid w:val="00C4391E"/>
    <w:rsid w:val="00C43DB7"/>
    <w:rsid w:val="00C445F3"/>
    <w:rsid w:val="00C458EB"/>
    <w:rsid w:val="00C45995"/>
    <w:rsid w:val="00C45FCE"/>
    <w:rsid w:val="00C462FD"/>
    <w:rsid w:val="00C463B0"/>
    <w:rsid w:val="00C46760"/>
    <w:rsid w:val="00C46EC3"/>
    <w:rsid w:val="00C47182"/>
    <w:rsid w:val="00C47297"/>
    <w:rsid w:val="00C479CE"/>
    <w:rsid w:val="00C5020C"/>
    <w:rsid w:val="00C5040C"/>
    <w:rsid w:val="00C50418"/>
    <w:rsid w:val="00C50562"/>
    <w:rsid w:val="00C50D57"/>
    <w:rsid w:val="00C51D49"/>
    <w:rsid w:val="00C51DAA"/>
    <w:rsid w:val="00C527C4"/>
    <w:rsid w:val="00C52B10"/>
    <w:rsid w:val="00C531A6"/>
    <w:rsid w:val="00C53482"/>
    <w:rsid w:val="00C53AF6"/>
    <w:rsid w:val="00C541FB"/>
    <w:rsid w:val="00C5458C"/>
    <w:rsid w:val="00C54ACA"/>
    <w:rsid w:val="00C55547"/>
    <w:rsid w:val="00C55A23"/>
    <w:rsid w:val="00C55ED5"/>
    <w:rsid w:val="00C560FD"/>
    <w:rsid w:val="00C56243"/>
    <w:rsid w:val="00C5649A"/>
    <w:rsid w:val="00C5725C"/>
    <w:rsid w:val="00C576F0"/>
    <w:rsid w:val="00C57E4D"/>
    <w:rsid w:val="00C57E95"/>
    <w:rsid w:val="00C611BC"/>
    <w:rsid w:val="00C6159C"/>
    <w:rsid w:val="00C61921"/>
    <w:rsid w:val="00C61E73"/>
    <w:rsid w:val="00C62524"/>
    <w:rsid w:val="00C62A0A"/>
    <w:rsid w:val="00C62C27"/>
    <w:rsid w:val="00C62E93"/>
    <w:rsid w:val="00C62EAC"/>
    <w:rsid w:val="00C632FB"/>
    <w:rsid w:val="00C636D1"/>
    <w:rsid w:val="00C638CA"/>
    <w:rsid w:val="00C64A72"/>
    <w:rsid w:val="00C653A5"/>
    <w:rsid w:val="00C657A1"/>
    <w:rsid w:val="00C664C5"/>
    <w:rsid w:val="00C665BB"/>
    <w:rsid w:val="00C66A2D"/>
    <w:rsid w:val="00C6757A"/>
    <w:rsid w:val="00C67722"/>
    <w:rsid w:val="00C67F10"/>
    <w:rsid w:val="00C70293"/>
    <w:rsid w:val="00C7058B"/>
    <w:rsid w:val="00C705DB"/>
    <w:rsid w:val="00C707BD"/>
    <w:rsid w:val="00C70BF7"/>
    <w:rsid w:val="00C70D53"/>
    <w:rsid w:val="00C7199E"/>
    <w:rsid w:val="00C71A45"/>
    <w:rsid w:val="00C71DA8"/>
    <w:rsid w:val="00C71ED7"/>
    <w:rsid w:val="00C72604"/>
    <w:rsid w:val="00C72632"/>
    <w:rsid w:val="00C726E3"/>
    <w:rsid w:val="00C7324E"/>
    <w:rsid w:val="00C74A01"/>
    <w:rsid w:val="00C74BD8"/>
    <w:rsid w:val="00C74CB5"/>
    <w:rsid w:val="00C751DF"/>
    <w:rsid w:val="00C757FC"/>
    <w:rsid w:val="00C75864"/>
    <w:rsid w:val="00C764D6"/>
    <w:rsid w:val="00C765F6"/>
    <w:rsid w:val="00C77CC9"/>
    <w:rsid w:val="00C800D8"/>
    <w:rsid w:val="00C80977"/>
    <w:rsid w:val="00C80DB1"/>
    <w:rsid w:val="00C81085"/>
    <w:rsid w:val="00C81383"/>
    <w:rsid w:val="00C813CE"/>
    <w:rsid w:val="00C8142B"/>
    <w:rsid w:val="00C814F4"/>
    <w:rsid w:val="00C8181B"/>
    <w:rsid w:val="00C818EC"/>
    <w:rsid w:val="00C81F41"/>
    <w:rsid w:val="00C82A4E"/>
    <w:rsid w:val="00C82EB2"/>
    <w:rsid w:val="00C83EFC"/>
    <w:rsid w:val="00C85E16"/>
    <w:rsid w:val="00C85FFB"/>
    <w:rsid w:val="00C8657E"/>
    <w:rsid w:val="00C8676D"/>
    <w:rsid w:val="00C867C7"/>
    <w:rsid w:val="00C86AA2"/>
    <w:rsid w:val="00C86BAE"/>
    <w:rsid w:val="00C871A8"/>
    <w:rsid w:val="00C8750E"/>
    <w:rsid w:val="00C9003C"/>
    <w:rsid w:val="00C903A1"/>
    <w:rsid w:val="00C90884"/>
    <w:rsid w:val="00C92305"/>
    <w:rsid w:val="00C924AF"/>
    <w:rsid w:val="00C929E1"/>
    <w:rsid w:val="00C93154"/>
    <w:rsid w:val="00C931C7"/>
    <w:rsid w:val="00C932D0"/>
    <w:rsid w:val="00C93AA7"/>
    <w:rsid w:val="00C93E10"/>
    <w:rsid w:val="00C94A83"/>
    <w:rsid w:val="00C95802"/>
    <w:rsid w:val="00C95947"/>
    <w:rsid w:val="00C9607A"/>
    <w:rsid w:val="00C960F8"/>
    <w:rsid w:val="00C961D7"/>
    <w:rsid w:val="00C962F2"/>
    <w:rsid w:val="00C9640E"/>
    <w:rsid w:val="00C96C31"/>
    <w:rsid w:val="00C9779E"/>
    <w:rsid w:val="00C977A4"/>
    <w:rsid w:val="00C97FEB"/>
    <w:rsid w:val="00CA0101"/>
    <w:rsid w:val="00CA078E"/>
    <w:rsid w:val="00CA0990"/>
    <w:rsid w:val="00CA0D72"/>
    <w:rsid w:val="00CA1602"/>
    <w:rsid w:val="00CA2A2D"/>
    <w:rsid w:val="00CA2C0C"/>
    <w:rsid w:val="00CA3194"/>
    <w:rsid w:val="00CA3252"/>
    <w:rsid w:val="00CA3452"/>
    <w:rsid w:val="00CA34AE"/>
    <w:rsid w:val="00CA459A"/>
    <w:rsid w:val="00CA5C7B"/>
    <w:rsid w:val="00CA5D5D"/>
    <w:rsid w:val="00CA5DAD"/>
    <w:rsid w:val="00CA60A5"/>
    <w:rsid w:val="00CA62E6"/>
    <w:rsid w:val="00CA63AB"/>
    <w:rsid w:val="00CA64F6"/>
    <w:rsid w:val="00CB01D6"/>
    <w:rsid w:val="00CB103A"/>
    <w:rsid w:val="00CB1851"/>
    <w:rsid w:val="00CB20CD"/>
    <w:rsid w:val="00CB23D2"/>
    <w:rsid w:val="00CB2672"/>
    <w:rsid w:val="00CB28E4"/>
    <w:rsid w:val="00CB2B0A"/>
    <w:rsid w:val="00CB2B2C"/>
    <w:rsid w:val="00CB2B63"/>
    <w:rsid w:val="00CB30D1"/>
    <w:rsid w:val="00CB322C"/>
    <w:rsid w:val="00CB33EA"/>
    <w:rsid w:val="00CB382E"/>
    <w:rsid w:val="00CB459A"/>
    <w:rsid w:val="00CB52DE"/>
    <w:rsid w:val="00CB5860"/>
    <w:rsid w:val="00CB5F70"/>
    <w:rsid w:val="00CB5FE5"/>
    <w:rsid w:val="00CB6CD9"/>
    <w:rsid w:val="00CB71A6"/>
    <w:rsid w:val="00CB71E3"/>
    <w:rsid w:val="00CB797E"/>
    <w:rsid w:val="00CC017D"/>
    <w:rsid w:val="00CC0921"/>
    <w:rsid w:val="00CC0A31"/>
    <w:rsid w:val="00CC1329"/>
    <w:rsid w:val="00CC18C2"/>
    <w:rsid w:val="00CC1A32"/>
    <w:rsid w:val="00CC1E97"/>
    <w:rsid w:val="00CC24BE"/>
    <w:rsid w:val="00CC252A"/>
    <w:rsid w:val="00CC2962"/>
    <w:rsid w:val="00CC2B07"/>
    <w:rsid w:val="00CC3109"/>
    <w:rsid w:val="00CC34E0"/>
    <w:rsid w:val="00CC39A2"/>
    <w:rsid w:val="00CC3B18"/>
    <w:rsid w:val="00CC41D5"/>
    <w:rsid w:val="00CC4454"/>
    <w:rsid w:val="00CC46AA"/>
    <w:rsid w:val="00CC4CD3"/>
    <w:rsid w:val="00CC50F5"/>
    <w:rsid w:val="00CC530C"/>
    <w:rsid w:val="00CC6577"/>
    <w:rsid w:val="00CC65A2"/>
    <w:rsid w:val="00CC6BE3"/>
    <w:rsid w:val="00CC7882"/>
    <w:rsid w:val="00CC7FDA"/>
    <w:rsid w:val="00CD0BC1"/>
    <w:rsid w:val="00CD0C00"/>
    <w:rsid w:val="00CD1084"/>
    <w:rsid w:val="00CD1814"/>
    <w:rsid w:val="00CD18FC"/>
    <w:rsid w:val="00CD19A9"/>
    <w:rsid w:val="00CD1B47"/>
    <w:rsid w:val="00CD1DDF"/>
    <w:rsid w:val="00CD1E15"/>
    <w:rsid w:val="00CD2B7D"/>
    <w:rsid w:val="00CD30C1"/>
    <w:rsid w:val="00CD3107"/>
    <w:rsid w:val="00CD33DE"/>
    <w:rsid w:val="00CD446F"/>
    <w:rsid w:val="00CD45BC"/>
    <w:rsid w:val="00CD4894"/>
    <w:rsid w:val="00CD4C00"/>
    <w:rsid w:val="00CD51E8"/>
    <w:rsid w:val="00CD5300"/>
    <w:rsid w:val="00CD564B"/>
    <w:rsid w:val="00CD5999"/>
    <w:rsid w:val="00CD6106"/>
    <w:rsid w:val="00CD6321"/>
    <w:rsid w:val="00CD6D35"/>
    <w:rsid w:val="00CD6FDE"/>
    <w:rsid w:val="00CD70D1"/>
    <w:rsid w:val="00CD713F"/>
    <w:rsid w:val="00CD7245"/>
    <w:rsid w:val="00CD729B"/>
    <w:rsid w:val="00CD749F"/>
    <w:rsid w:val="00CD7BD8"/>
    <w:rsid w:val="00CE05D2"/>
    <w:rsid w:val="00CE0811"/>
    <w:rsid w:val="00CE0872"/>
    <w:rsid w:val="00CE1E94"/>
    <w:rsid w:val="00CE205D"/>
    <w:rsid w:val="00CE2FD6"/>
    <w:rsid w:val="00CE30BA"/>
    <w:rsid w:val="00CE328B"/>
    <w:rsid w:val="00CE3766"/>
    <w:rsid w:val="00CE41AE"/>
    <w:rsid w:val="00CE42AB"/>
    <w:rsid w:val="00CE49A5"/>
    <w:rsid w:val="00CE5123"/>
    <w:rsid w:val="00CE5858"/>
    <w:rsid w:val="00CE5C25"/>
    <w:rsid w:val="00CE66C5"/>
    <w:rsid w:val="00CE67DB"/>
    <w:rsid w:val="00CE6B35"/>
    <w:rsid w:val="00CE771C"/>
    <w:rsid w:val="00CE7E89"/>
    <w:rsid w:val="00CF0053"/>
    <w:rsid w:val="00CF0777"/>
    <w:rsid w:val="00CF07DE"/>
    <w:rsid w:val="00CF09B9"/>
    <w:rsid w:val="00CF0B1E"/>
    <w:rsid w:val="00CF15A3"/>
    <w:rsid w:val="00CF18A8"/>
    <w:rsid w:val="00CF1FA5"/>
    <w:rsid w:val="00CF2215"/>
    <w:rsid w:val="00CF2659"/>
    <w:rsid w:val="00CF2F7E"/>
    <w:rsid w:val="00CF3263"/>
    <w:rsid w:val="00CF3677"/>
    <w:rsid w:val="00CF3A17"/>
    <w:rsid w:val="00CF4224"/>
    <w:rsid w:val="00CF42E8"/>
    <w:rsid w:val="00CF4333"/>
    <w:rsid w:val="00CF4734"/>
    <w:rsid w:val="00CF4D1E"/>
    <w:rsid w:val="00CF5A22"/>
    <w:rsid w:val="00CF5BC6"/>
    <w:rsid w:val="00CF5E87"/>
    <w:rsid w:val="00CF5F51"/>
    <w:rsid w:val="00CF644A"/>
    <w:rsid w:val="00CF6DA3"/>
    <w:rsid w:val="00D00F08"/>
    <w:rsid w:val="00D01473"/>
    <w:rsid w:val="00D01538"/>
    <w:rsid w:val="00D01567"/>
    <w:rsid w:val="00D01856"/>
    <w:rsid w:val="00D0192A"/>
    <w:rsid w:val="00D02175"/>
    <w:rsid w:val="00D02424"/>
    <w:rsid w:val="00D024B8"/>
    <w:rsid w:val="00D025C9"/>
    <w:rsid w:val="00D0284A"/>
    <w:rsid w:val="00D02F9A"/>
    <w:rsid w:val="00D033D0"/>
    <w:rsid w:val="00D037EE"/>
    <w:rsid w:val="00D03B77"/>
    <w:rsid w:val="00D063AD"/>
    <w:rsid w:val="00D06F13"/>
    <w:rsid w:val="00D10421"/>
    <w:rsid w:val="00D10550"/>
    <w:rsid w:val="00D10792"/>
    <w:rsid w:val="00D11090"/>
    <w:rsid w:val="00D1128F"/>
    <w:rsid w:val="00D11752"/>
    <w:rsid w:val="00D11C22"/>
    <w:rsid w:val="00D127E7"/>
    <w:rsid w:val="00D127FD"/>
    <w:rsid w:val="00D129C5"/>
    <w:rsid w:val="00D136C5"/>
    <w:rsid w:val="00D13A9B"/>
    <w:rsid w:val="00D149C4"/>
    <w:rsid w:val="00D14AF0"/>
    <w:rsid w:val="00D15C18"/>
    <w:rsid w:val="00D15DA1"/>
    <w:rsid w:val="00D16207"/>
    <w:rsid w:val="00D164F9"/>
    <w:rsid w:val="00D1652B"/>
    <w:rsid w:val="00D16583"/>
    <w:rsid w:val="00D1680B"/>
    <w:rsid w:val="00D16FD4"/>
    <w:rsid w:val="00D1710C"/>
    <w:rsid w:val="00D17165"/>
    <w:rsid w:val="00D17964"/>
    <w:rsid w:val="00D17C6D"/>
    <w:rsid w:val="00D213E4"/>
    <w:rsid w:val="00D21515"/>
    <w:rsid w:val="00D215E5"/>
    <w:rsid w:val="00D21824"/>
    <w:rsid w:val="00D21883"/>
    <w:rsid w:val="00D21956"/>
    <w:rsid w:val="00D21963"/>
    <w:rsid w:val="00D21AEF"/>
    <w:rsid w:val="00D21B8B"/>
    <w:rsid w:val="00D21D19"/>
    <w:rsid w:val="00D21DDF"/>
    <w:rsid w:val="00D223D6"/>
    <w:rsid w:val="00D23E32"/>
    <w:rsid w:val="00D241A4"/>
    <w:rsid w:val="00D24581"/>
    <w:rsid w:val="00D248B7"/>
    <w:rsid w:val="00D24B01"/>
    <w:rsid w:val="00D251C4"/>
    <w:rsid w:val="00D25984"/>
    <w:rsid w:val="00D25BA7"/>
    <w:rsid w:val="00D260CF"/>
    <w:rsid w:val="00D269C8"/>
    <w:rsid w:val="00D2734C"/>
    <w:rsid w:val="00D2748E"/>
    <w:rsid w:val="00D30CB7"/>
    <w:rsid w:val="00D31749"/>
    <w:rsid w:val="00D31C70"/>
    <w:rsid w:val="00D324BB"/>
    <w:rsid w:val="00D32603"/>
    <w:rsid w:val="00D330B7"/>
    <w:rsid w:val="00D33230"/>
    <w:rsid w:val="00D3386F"/>
    <w:rsid w:val="00D339AD"/>
    <w:rsid w:val="00D34045"/>
    <w:rsid w:val="00D34700"/>
    <w:rsid w:val="00D34BBA"/>
    <w:rsid w:val="00D34C72"/>
    <w:rsid w:val="00D350AD"/>
    <w:rsid w:val="00D355DD"/>
    <w:rsid w:val="00D361ED"/>
    <w:rsid w:val="00D3625F"/>
    <w:rsid w:val="00D36980"/>
    <w:rsid w:val="00D36B28"/>
    <w:rsid w:val="00D36E1E"/>
    <w:rsid w:val="00D372C0"/>
    <w:rsid w:val="00D37901"/>
    <w:rsid w:val="00D404D8"/>
    <w:rsid w:val="00D40D62"/>
    <w:rsid w:val="00D41266"/>
    <w:rsid w:val="00D412B9"/>
    <w:rsid w:val="00D41F83"/>
    <w:rsid w:val="00D426E4"/>
    <w:rsid w:val="00D43367"/>
    <w:rsid w:val="00D43D05"/>
    <w:rsid w:val="00D43E70"/>
    <w:rsid w:val="00D44702"/>
    <w:rsid w:val="00D447C5"/>
    <w:rsid w:val="00D44815"/>
    <w:rsid w:val="00D44965"/>
    <w:rsid w:val="00D44EB5"/>
    <w:rsid w:val="00D45174"/>
    <w:rsid w:val="00D457BE"/>
    <w:rsid w:val="00D45BA0"/>
    <w:rsid w:val="00D462B9"/>
    <w:rsid w:val="00D4780D"/>
    <w:rsid w:val="00D47BCE"/>
    <w:rsid w:val="00D5022F"/>
    <w:rsid w:val="00D507A9"/>
    <w:rsid w:val="00D50A23"/>
    <w:rsid w:val="00D50BC5"/>
    <w:rsid w:val="00D51534"/>
    <w:rsid w:val="00D52749"/>
    <w:rsid w:val="00D53939"/>
    <w:rsid w:val="00D53AD1"/>
    <w:rsid w:val="00D53F7E"/>
    <w:rsid w:val="00D5482A"/>
    <w:rsid w:val="00D54F52"/>
    <w:rsid w:val="00D55007"/>
    <w:rsid w:val="00D5609F"/>
    <w:rsid w:val="00D563CC"/>
    <w:rsid w:val="00D566EF"/>
    <w:rsid w:val="00D57236"/>
    <w:rsid w:val="00D5791E"/>
    <w:rsid w:val="00D57C9E"/>
    <w:rsid w:val="00D60696"/>
    <w:rsid w:val="00D60787"/>
    <w:rsid w:val="00D60A41"/>
    <w:rsid w:val="00D60C84"/>
    <w:rsid w:val="00D618B6"/>
    <w:rsid w:val="00D61F32"/>
    <w:rsid w:val="00D6231B"/>
    <w:rsid w:val="00D628A3"/>
    <w:rsid w:val="00D62DF3"/>
    <w:rsid w:val="00D6450C"/>
    <w:rsid w:val="00D6469D"/>
    <w:rsid w:val="00D64B2E"/>
    <w:rsid w:val="00D65751"/>
    <w:rsid w:val="00D65F90"/>
    <w:rsid w:val="00D66372"/>
    <w:rsid w:val="00D67F98"/>
    <w:rsid w:val="00D70833"/>
    <w:rsid w:val="00D70A9A"/>
    <w:rsid w:val="00D713DE"/>
    <w:rsid w:val="00D7178A"/>
    <w:rsid w:val="00D71C49"/>
    <w:rsid w:val="00D71F0A"/>
    <w:rsid w:val="00D722E9"/>
    <w:rsid w:val="00D72577"/>
    <w:rsid w:val="00D72829"/>
    <w:rsid w:val="00D72AF9"/>
    <w:rsid w:val="00D73494"/>
    <w:rsid w:val="00D738EC"/>
    <w:rsid w:val="00D73A48"/>
    <w:rsid w:val="00D740E6"/>
    <w:rsid w:val="00D7447E"/>
    <w:rsid w:val="00D745E6"/>
    <w:rsid w:val="00D747AA"/>
    <w:rsid w:val="00D757CA"/>
    <w:rsid w:val="00D766EC"/>
    <w:rsid w:val="00D76D39"/>
    <w:rsid w:val="00D7743A"/>
    <w:rsid w:val="00D778AA"/>
    <w:rsid w:val="00D80202"/>
    <w:rsid w:val="00D803FD"/>
    <w:rsid w:val="00D80516"/>
    <w:rsid w:val="00D80AD2"/>
    <w:rsid w:val="00D81C8B"/>
    <w:rsid w:val="00D832FA"/>
    <w:rsid w:val="00D83514"/>
    <w:rsid w:val="00D8375A"/>
    <w:rsid w:val="00D8393D"/>
    <w:rsid w:val="00D860AE"/>
    <w:rsid w:val="00D86DB8"/>
    <w:rsid w:val="00D871CD"/>
    <w:rsid w:val="00D87E4B"/>
    <w:rsid w:val="00D87EE2"/>
    <w:rsid w:val="00D87FD8"/>
    <w:rsid w:val="00D90367"/>
    <w:rsid w:val="00D909E2"/>
    <w:rsid w:val="00D90ACE"/>
    <w:rsid w:val="00D91677"/>
    <w:rsid w:val="00D91968"/>
    <w:rsid w:val="00D91D10"/>
    <w:rsid w:val="00D91F03"/>
    <w:rsid w:val="00D921F0"/>
    <w:rsid w:val="00D92929"/>
    <w:rsid w:val="00D930D6"/>
    <w:rsid w:val="00D94339"/>
    <w:rsid w:val="00D94351"/>
    <w:rsid w:val="00D94A69"/>
    <w:rsid w:val="00D94A6F"/>
    <w:rsid w:val="00D95A47"/>
    <w:rsid w:val="00D96117"/>
    <w:rsid w:val="00D96382"/>
    <w:rsid w:val="00D9668C"/>
    <w:rsid w:val="00D96CAC"/>
    <w:rsid w:val="00D9794D"/>
    <w:rsid w:val="00D97A9E"/>
    <w:rsid w:val="00D97AFE"/>
    <w:rsid w:val="00D97E37"/>
    <w:rsid w:val="00DA18FB"/>
    <w:rsid w:val="00DA1AF9"/>
    <w:rsid w:val="00DA1C8E"/>
    <w:rsid w:val="00DA1E15"/>
    <w:rsid w:val="00DA216F"/>
    <w:rsid w:val="00DA2C2D"/>
    <w:rsid w:val="00DA3071"/>
    <w:rsid w:val="00DA341D"/>
    <w:rsid w:val="00DA37CA"/>
    <w:rsid w:val="00DA4F06"/>
    <w:rsid w:val="00DA5A3E"/>
    <w:rsid w:val="00DA5CEB"/>
    <w:rsid w:val="00DA658C"/>
    <w:rsid w:val="00DA6912"/>
    <w:rsid w:val="00DA6B7D"/>
    <w:rsid w:val="00DA72D9"/>
    <w:rsid w:val="00DA797D"/>
    <w:rsid w:val="00DA7D60"/>
    <w:rsid w:val="00DB0D01"/>
    <w:rsid w:val="00DB1083"/>
    <w:rsid w:val="00DB1AF9"/>
    <w:rsid w:val="00DB333E"/>
    <w:rsid w:val="00DB33D8"/>
    <w:rsid w:val="00DB3AA3"/>
    <w:rsid w:val="00DB3DAA"/>
    <w:rsid w:val="00DB4212"/>
    <w:rsid w:val="00DB44E0"/>
    <w:rsid w:val="00DB4513"/>
    <w:rsid w:val="00DB45E9"/>
    <w:rsid w:val="00DB5695"/>
    <w:rsid w:val="00DB5D28"/>
    <w:rsid w:val="00DB664A"/>
    <w:rsid w:val="00DB66B8"/>
    <w:rsid w:val="00DB6B12"/>
    <w:rsid w:val="00DB6F8A"/>
    <w:rsid w:val="00DB7315"/>
    <w:rsid w:val="00DB75E2"/>
    <w:rsid w:val="00DB7A0B"/>
    <w:rsid w:val="00DC0583"/>
    <w:rsid w:val="00DC174C"/>
    <w:rsid w:val="00DC23D4"/>
    <w:rsid w:val="00DC24F6"/>
    <w:rsid w:val="00DC2703"/>
    <w:rsid w:val="00DC2B15"/>
    <w:rsid w:val="00DC3408"/>
    <w:rsid w:val="00DC37FA"/>
    <w:rsid w:val="00DC38D7"/>
    <w:rsid w:val="00DC4D5C"/>
    <w:rsid w:val="00DC53E3"/>
    <w:rsid w:val="00DC57F7"/>
    <w:rsid w:val="00DC5E24"/>
    <w:rsid w:val="00DC6004"/>
    <w:rsid w:val="00DC7A13"/>
    <w:rsid w:val="00DC7E0A"/>
    <w:rsid w:val="00DD0113"/>
    <w:rsid w:val="00DD0665"/>
    <w:rsid w:val="00DD1457"/>
    <w:rsid w:val="00DD1511"/>
    <w:rsid w:val="00DD1625"/>
    <w:rsid w:val="00DD2380"/>
    <w:rsid w:val="00DD2C7F"/>
    <w:rsid w:val="00DD2F36"/>
    <w:rsid w:val="00DD3270"/>
    <w:rsid w:val="00DD3354"/>
    <w:rsid w:val="00DD425F"/>
    <w:rsid w:val="00DD45D8"/>
    <w:rsid w:val="00DD558C"/>
    <w:rsid w:val="00DD595A"/>
    <w:rsid w:val="00DD5C6C"/>
    <w:rsid w:val="00DD676F"/>
    <w:rsid w:val="00DD6ECF"/>
    <w:rsid w:val="00DD77F9"/>
    <w:rsid w:val="00DE135E"/>
    <w:rsid w:val="00DE170D"/>
    <w:rsid w:val="00DE17A6"/>
    <w:rsid w:val="00DE186E"/>
    <w:rsid w:val="00DE1951"/>
    <w:rsid w:val="00DE1ECB"/>
    <w:rsid w:val="00DE231A"/>
    <w:rsid w:val="00DE2EE0"/>
    <w:rsid w:val="00DE3CD4"/>
    <w:rsid w:val="00DE44DE"/>
    <w:rsid w:val="00DE5067"/>
    <w:rsid w:val="00DE5AD4"/>
    <w:rsid w:val="00DE5ADA"/>
    <w:rsid w:val="00DE5CE4"/>
    <w:rsid w:val="00DE601F"/>
    <w:rsid w:val="00DE6122"/>
    <w:rsid w:val="00DE629D"/>
    <w:rsid w:val="00DE6408"/>
    <w:rsid w:val="00DE7563"/>
    <w:rsid w:val="00DE76D1"/>
    <w:rsid w:val="00DE7890"/>
    <w:rsid w:val="00DF0616"/>
    <w:rsid w:val="00DF0D60"/>
    <w:rsid w:val="00DF108D"/>
    <w:rsid w:val="00DF127F"/>
    <w:rsid w:val="00DF1723"/>
    <w:rsid w:val="00DF1C0C"/>
    <w:rsid w:val="00DF1C12"/>
    <w:rsid w:val="00DF23B0"/>
    <w:rsid w:val="00DF41F0"/>
    <w:rsid w:val="00DF48C8"/>
    <w:rsid w:val="00DF4D03"/>
    <w:rsid w:val="00DF5152"/>
    <w:rsid w:val="00DF5239"/>
    <w:rsid w:val="00DF535F"/>
    <w:rsid w:val="00DF56C2"/>
    <w:rsid w:val="00DF5783"/>
    <w:rsid w:val="00DF6234"/>
    <w:rsid w:val="00DF627B"/>
    <w:rsid w:val="00DF6D95"/>
    <w:rsid w:val="00DF7AFF"/>
    <w:rsid w:val="00E0003F"/>
    <w:rsid w:val="00E00B69"/>
    <w:rsid w:val="00E00D17"/>
    <w:rsid w:val="00E0137B"/>
    <w:rsid w:val="00E015BF"/>
    <w:rsid w:val="00E0250A"/>
    <w:rsid w:val="00E02BAE"/>
    <w:rsid w:val="00E02BED"/>
    <w:rsid w:val="00E0324B"/>
    <w:rsid w:val="00E03642"/>
    <w:rsid w:val="00E03703"/>
    <w:rsid w:val="00E0386B"/>
    <w:rsid w:val="00E03BFC"/>
    <w:rsid w:val="00E03FF9"/>
    <w:rsid w:val="00E0480B"/>
    <w:rsid w:val="00E04811"/>
    <w:rsid w:val="00E048BC"/>
    <w:rsid w:val="00E04CC8"/>
    <w:rsid w:val="00E04E07"/>
    <w:rsid w:val="00E05150"/>
    <w:rsid w:val="00E05E31"/>
    <w:rsid w:val="00E06003"/>
    <w:rsid w:val="00E0682F"/>
    <w:rsid w:val="00E068A7"/>
    <w:rsid w:val="00E06C27"/>
    <w:rsid w:val="00E07620"/>
    <w:rsid w:val="00E076E4"/>
    <w:rsid w:val="00E07A03"/>
    <w:rsid w:val="00E10C50"/>
    <w:rsid w:val="00E11023"/>
    <w:rsid w:val="00E110A0"/>
    <w:rsid w:val="00E11282"/>
    <w:rsid w:val="00E11424"/>
    <w:rsid w:val="00E11738"/>
    <w:rsid w:val="00E1265C"/>
    <w:rsid w:val="00E12D85"/>
    <w:rsid w:val="00E130EE"/>
    <w:rsid w:val="00E137DE"/>
    <w:rsid w:val="00E13F2C"/>
    <w:rsid w:val="00E146B2"/>
    <w:rsid w:val="00E14742"/>
    <w:rsid w:val="00E147B7"/>
    <w:rsid w:val="00E14A5C"/>
    <w:rsid w:val="00E14DB6"/>
    <w:rsid w:val="00E1568B"/>
    <w:rsid w:val="00E157E8"/>
    <w:rsid w:val="00E15B7B"/>
    <w:rsid w:val="00E16042"/>
    <w:rsid w:val="00E164D5"/>
    <w:rsid w:val="00E16530"/>
    <w:rsid w:val="00E16539"/>
    <w:rsid w:val="00E167EE"/>
    <w:rsid w:val="00E16E79"/>
    <w:rsid w:val="00E16F4B"/>
    <w:rsid w:val="00E17159"/>
    <w:rsid w:val="00E17847"/>
    <w:rsid w:val="00E17DB8"/>
    <w:rsid w:val="00E17F76"/>
    <w:rsid w:val="00E2037E"/>
    <w:rsid w:val="00E20792"/>
    <w:rsid w:val="00E207B5"/>
    <w:rsid w:val="00E20AF8"/>
    <w:rsid w:val="00E20CF5"/>
    <w:rsid w:val="00E21FEB"/>
    <w:rsid w:val="00E22503"/>
    <w:rsid w:val="00E23C8F"/>
    <w:rsid w:val="00E24EC2"/>
    <w:rsid w:val="00E255B3"/>
    <w:rsid w:val="00E256EC"/>
    <w:rsid w:val="00E25CFE"/>
    <w:rsid w:val="00E2701C"/>
    <w:rsid w:val="00E2784E"/>
    <w:rsid w:val="00E27A3B"/>
    <w:rsid w:val="00E27D9A"/>
    <w:rsid w:val="00E27FBE"/>
    <w:rsid w:val="00E30701"/>
    <w:rsid w:val="00E30908"/>
    <w:rsid w:val="00E30F7C"/>
    <w:rsid w:val="00E326FF"/>
    <w:rsid w:val="00E33383"/>
    <w:rsid w:val="00E335B1"/>
    <w:rsid w:val="00E33805"/>
    <w:rsid w:val="00E3460C"/>
    <w:rsid w:val="00E348AC"/>
    <w:rsid w:val="00E34BE8"/>
    <w:rsid w:val="00E3575D"/>
    <w:rsid w:val="00E37130"/>
    <w:rsid w:val="00E37756"/>
    <w:rsid w:val="00E377A6"/>
    <w:rsid w:val="00E3796F"/>
    <w:rsid w:val="00E407DB"/>
    <w:rsid w:val="00E4167D"/>
    <w:rsid w:val="00E419C8"/>
    <w:rsid w:val="00E41FD7"/>
    <w:rsid w:val="00E4293F"/>
    <w:rsid w:val="00E42B49"/>
    <w:rsid w:val="00E43177"/>
    <w:rsid w:val="00E44EDD"/>
    <w:rsid w:val="00E4548D"/>
    <w:rsid w:val="00E454D2"/>
    <w:rsid w:val="00E47931"/>
    <w:rsid w:val="00E47E42"/>
    <w:rsid w:val="00E50972"/>
    <w:rsid w:val="00E50BF1"/>
    <w:rsid w:val="00E50F68"/>
    <w:rsid w:val="00E510D5"/>
    <w:rsid w:val="00E515F3"/>
    <w:rsid w:val="00E51A96"/>
    <w:rsid w:val="00E52D53"/>
    <w:rsid w:val="00E52F7D"/>
    <w:rsid w:val="00E531E7"/>
    <w:rsid w:val="00E538AC"/>
    <w:rsid w:val="00E53D80"/>
    <w:rsid w:val="00E541FD"/>
    <w:rsid w:val="00E5434F"/>
    <w:rsid w:val="00E54B6D"/>
    <w:rsid w:val="00E55030"/>
    <w:rsid w:val="00E55C66"/>
    <w:rsid w:val="00E56261"/>
    <w:rsid w:val="00E5635B"/>
    <w:rsid w:val="00E56463"/>
    <w:rsid w:val="00E56749"/>
    <w:rsid w:val="00E56BAF"/>
    <w:rsid w:val="00E57033"/>
    <w:rsid w:val="00E57CBB"/>
    <w:rsid w:val="00E6006D"/>
    <w:rsid w:val="00E6049D"/>
    <w:rsid w:val="00E60816"/>
    <w:rsid w:val="00E6132D"/>
    <w:rsid w:val="00E614CF"/>
    <w:rsid w:val="00E619C8"/>
    <w:rsid w:val="00E61A6B"/>
    <w:rsid w:val="00E61D76"/>
    <w:rsid w:val="00E61F03"/>
    <w:rsid w:val="00E61F48"/>
    <w:rsid w:val="00E62165"/>
    <w:rsid w:val="00E62474"/>
    <w:rsid w:val="00E62839"/>
    <w:rsid w:val="00E6347B"/>
    <w:rsid w:val="00E6362E"/>
    <w:rsid w:val="00E63815"/>
    <w:rsid w:val="00E63B1B"/>
    <w:rsid w:val="00E63E8B"/>
    <w:rsid w:val="00E64488"/>
    <w:rsid w:val="00E64966"/>
    <w:rsid w:val="00E65321"/>
    <w:rsid w:val="00E6549B"/>
    <w:rsid w:val="00E66BA1"/>
    <w:rsid w:val="00E66F5F"/>
    <w:rsid w:val="00E671BA"/>
    <w:rsid w:val="00E675F8"/>
    <w:rsid w:val="00E67915"/>
    <w:rsid w:val="00E67FD4"/>
    <w:rsid w:val="00E70588"/>
    <w:rsid w:val="00E70704"/>
    <w:rsid w:val="00E70F95"/>
    <w:rsid w:val="00E7104B"/>
    <w:rsid w:val="00E71ADA"/>
    <w:rsid w:val="00E71D59"/>
    <w:rsid w:val="00E723A5"/>
    <w:rsid w:val="00E73388"/>
    <w:rsid w:val="00E73B12"/>
    <w:rsid w:val="00E73D3E"/>
    <w:rsid w:val="00E749FC"/>
    <w:rsid w:val="00E75363"/>
    <w:rsid w:val="00E75515"/>
    <w:rsid w:val="00E757E4"/>
    <w:rsid w:val="00E75C69"/>
    <w:rsid w:val="00E75EA1"/>
    <w:rsid w:val="00E76177"/>
    <w:rsid w:val="00E76517"/>
    <w:rsid w:val="00E7673F"/>
    <w:rsid w:val="00E769BA"/>
    <w:rsid w:val="00E76D8D"/>
    <w:rsid w:val="00E80A71"/>
    <w:rsid w:val="00E80AEF"/>
    <w:rsid w:val="00E80C4B"/>
    <w:rsid w:val="00E80E48"/>
    <w:rsid w:val="00E81877"/>
    <w:rsid w:val="00E81D0F"/>
    <w:rsid w:val="00E81DC5"/>
    <w:rsid w:val="00E81DD0"/>
    <w:rsid w:val="00E81F51"/>
    <w:rsid w:val="00E827B5"/>
    <w:rsid w:val="00E83320"/>
    <w:rsid w:val="00E83CBA"/>
    <w:rsid w:val="00E83E5B"/>
    <w:rsid w:val="00E841E1"/>
    <w:rsid w:val="00E8458C"/>
    <w:rsid w:val="00E85940"/>
    <w:rsid w:val="00E85945"/>
    <w:rsid w:val="00E85B84"/>
    <w:rsid w:val="00E864AA"/>
    <w:rsid w:val="00E866C5"/>
    <w:rsid w:val="00E868D2"/>
    <w:rsid w:val="00E87E63"/>
    <w:rsid w:val="00E90925"/>
    <w:rsid w:val="00E90D0A"/>
    <w:rsid w:val="00E931D3"/>
    <w:rsid w:val="00E93774"/>
    <w:rsid w:val="00E93E44"/>
    <w:rsid w:val="00E9457B"/>
    <w:rsid w:val="00E9473A"/>
    <w:rsid w:val="00E948CC"/>
    <w:rsid w:val="00E94A81"/>
    <w:rsid w:val="00E94ACF"/>
    <w:rsid w:val="00E95646"/>
    <w:rsid w:val="00E9575C"/>
    <w:rsid w:val="00E957AE"/>
    <w:rsid w:val="00E95E9E"/>
    <w:rsid w:val="00E962DD"/>
    <w:rsid w:val="00E96739"/>
    <w:rsid w:val="00E967BC"/>
    <w:rsid w:val="00E96D81"/>
    <w:rsid w:val="00E9702C"/>
    <w:rsid w:val="00E9707B"/>
    <w:rsid w:val="00E9788E"/>
    <w:rsid w:val="00E97F11"/>
    <w:rsid w:val="00EA0129"/>
    <w:rsid w:val="00EA0F44"/>
    <w:rsid w:val="00EA0F7C"/>
    <w:rsid w:val="00EA1B2F"/>
    <w:rsid w:val="00EA1BF7"/>
    <w:rsid w:val="00EA1E18"/>
    <w:rsid w:val="00EA2417"/>
    <w:rsid w:val="00EA2CB0"/>
    <w:rsid w:val="00EA3170"/>
    <w:rsid w:val="00EA36BE"/>
    <w:rsid w:val="00EA3BAB"/>
    <w:rsid w:val="00EA3FEC"/>
    <w:rsid w:val="00EA4065"/>
    <w:rsid w:val="00EA4FAD"/>
    <w:rsid w:val="00EA570A"/>
    <w:rsid w:val="00EA61DC"/>
    <w:rsid w:val="00EA6D60"/>
    <w:rsid w:val="00EA795C"/>
    <w:rsid w:val="00EB01D8"/>
    <w:rsid w:val="00EB0A15"/>
    <w:rsid w:val="00EB0CBC"/>
    <w:rsid w:val="00EB1705"/>
    <w:rsid w:val="00EB1FA9"/>
    <w:rsid w:val="00EB28E0"/>
    <w:rsid w:val="00EB2A85"/>
    <w:rsid w:val="00EB2A94"/>
    <w:rsid w:val="00EB2D8D"/>
    <w:rsid w:val="00EB3179"/>
    <w:rsid w:val="00EB45E1"/>
    <w:rsid w:val="00EB4659"/>
    <w:rsid w:val="00EB4B92"/>
    <w:rsid w:val="00EB4DE8"/>
    <w:rsid w:val="00EB52F8"/>
    <w:rsid w:val="00EB5A5D"/>
    <w:rsid w:val="00EB665E"/>
    <w:rsid w:val="00EB6B25"/>
    <w:rsid w:val="00EB6F68"/>
    <w:rsid w:val="00EB769D"/>
    <w:rsid w:val="00EB79EC"/>
    <w:rsid w:val="00EC0BDF"/>
    <w:rsid w:val="00EC0EA6"/>
    <w:rsid w:val="00EC0F2A"/>
    <w:rsid w:val="00EC1013"/>
    <w:rsid w:val="00EC11CE"/>
    <w:rsid w:val="00EC1AFF"/>
    <w:rsid w:val="00EC211F"/>
    <w:rsid w:val="00EC317A"/>
    <w:rsid w:val="00EC332B"/>
    <w:rsid w:val="00EC36C0"/>
    <w:rsid w:val="00EC37FA"/>
    <w:rsid w:val="00EC3903"/>
    <w:rsid w:val="00EC4641"/>
    <w:rsid w:val="00EC50E4"/>
    <w:rsid w:val="00EC57CB"/>
    <w:rsid w:val="00EC5872"/>
    <w:rsid w:val="00EC5A24"/>
    <w:rsid w:val="00EC5D80"/>
    <w:rsid w:val="00EC607A"/>
    <w:rsid w:val="00EC61A8"/>
    <w:rsid w:val="00EC6612"/>
    <w:rsid w:val="00EC7195"/>
    <w:rsid w:val="00ED03BD"/>
    <w:rsid w:val="00ED0BE9"/>
    <w:rsid w:val="00ED111E"/>
    <w:rsid w:val="00ED1494"/>
    <w:rsid w:val="00ED17BB"/>
    <w:rsid w:val="00ED19C3"/>
    <w:rsid w:val="00ED19EF"/>
    <w:rsid w:val="00ED1DE3"/>
    <w:rsid w:val="00ED1DEB"/>
    <w:rsid w:val="00ED2710"/>
    <w:rsid w:val="00ED29EE"/>
    <w:rsid w:val="00ED2F66"/>
    <w:rsid w:val="00ED30F0"/>
    <w:rsid w:val="00ED3509"/>
    <w:rsid w:val="00ED3BEF"/>
    <w:rsid w:val="00ED4255"/>
    <w:rsid w:val="00ED4688"/>
    <w:rsid w:val="00ED55A6"/>
    <w:rsid w:val="00ED5934"/>
    <w:rsid w:val="00ED5A0B"/>
    <w:rsid w:val="00ED5F8E"/>
    <w:rsid w:val="00ED6017"/>
    <w:rsid w:val="00ED60E2"/>
    <w:rsid w:val="00ED6808"/>
    <w:rsid w:val="00ED69B6"/>
    <w:rsid w:val="00ED6A49"/>
    <w:rsid w:val="00ED7A73"/>
    <w:rsid w:val="00ED7B11"/>
    <w:rsid w:val="00ED7EF5"/>
    <w:rsid w:val="00ED7FB5"/>
    <w:rsid w:val="00ED7FD0"/>
    <w:rsid w:val="00EE025D"/>
    <w:rsid w:val="00EE026C"/>
    <w:rsid w:val="00EE0559"/>
    <w:rsid w:val="00EE070B"/>
    <w:rsid w:val="00EE0718"/>
    <w:rsid w:val="00EE07BB"/>
    <w:rsid w:val="00EE0854"/>
    <w:rsid w:val="00EE0C40"/>
    <w:rsid w:val="00EE0F74"/>
    <w:rsid w:val="00EE1068"/>
    <w:rsid w:val="00EE22DE"/>
    <w:rsid w:val="00EE28ED"/>
    <w:rsid w:val="00EE301B"/>
    <w:rsid w:val="00EE3724"/>
    <w:rsid w:val="00EE42BA"/>
    <w:rsid w:val="00EE43EE"/>
    <w:rsid w:val="00EE4B0E"/>
    <w:rsid w:val="00EE52F2"/>
    <w:rsid w:val="00EE56A8"/>
    <w:rsid w:val="00EE5F52"/>
    <w:rsid w:val="00EE62FB"/>
    <w:rsid w:val="00EE638E"/>
    <w:rsid w:val="00EE6786"/>
    <w:rsid w:val="00EE76DF"/>
    <w:rsid w:val="00EE7A3B"/>
    <w:rsid w:val="00EE7CC2"/>
    <w:rsid w:val="00EF0A38"/>
    <w:rsid w:val="00EF17C0"/>
    <w:rsid w:val="00EF2DDE"/>
    <w:rsid w:val="00EF33A9"/>
    <w:rsid w:val="00EF3541"/>
    <w:rsid w:val="00EF3694"/>
    <w:rsid w:val="00EF3D0B"/>
    <w:rsid w:val="00EF5310"/>
    <w:rsid w:val="00EF6402"/>
    <w:rsid w:val="00EF7367"/>
    <w:rsid w:val="00EF736B"/>
    <w:rsid w:val="00EF7795"/>
    <w:rsid w:val="00F00315"/>
    <w:rsid w:val="00F01537"/>
    <w:rsid w:val="00F01AAD"/>
    <w:rsid w:val="00F0202E"/>
    <w:rsid w:val="00F022C4"/>
    <w:rsid w:val="00F026F8"/>
    <w:rsid w:val="00F027E9"/>
    <w:rsid w:val="00F03136"/>
    <w:rsid w:val="00F0338E"/>
    <w:rsid w:val="00F0362F"/>
    <w:rsid w:val="00F03909"/>
    <w:rsid w:val="00F03CF3"/>
    <w:rsid w:val="00F03ED7"/>
    <w:rsid w:val="00F04A44"/>
    <w:rsid w:val="00F04B72"/>
    <w:rsid w:val="00F04CA4"/>
    <w:rsid w:val="00F05B1B"/>
    <w:rsid w:val="00F05F86"/>
    <w:rsid w:val="00F06018"/>
    <w:rsid w:val="00F061D0"/>
    <w:rsid w:val="00F0648B"/>
    <w:rsid w:val="00F06EFF"/>
    <w:rsid w:val="00F07033"/>
    <w:rsid w:val="00F07D46"/>
    <w:rsid w:val="00F11381"/>
    <w:rsid w:val="00F11F27"/>
    <w:rsid w:val="00F12C48"/>
    <w:rsid w:val="00F12ECD"/>
    <w:rsid w:val="00F133BE"/>
    <w:rsid w:val="00F137C9"/>
    <w:rsid w:val="00F13E4E"/>
    <w:rsid w:val="00F141FB"/>
    <w:rsid w:val="00F14F9C"/>
    <w:rsid w:val="00F151BE"/>
    <w:rsid w:val="00F15622"/>
    <w:rsid w:val="00F15723"/>
    <w:rsid w:val="00F15B18"/>
    <w:rsid w:val="00F15EBF"/>
    <w:rsid w:val="00F1620E"/>
    <w:rsid w:val="00F16708"/>
    <w:rsid w:val="00F16C27"/>
    <w:rsid w:val="00F16E43"/>
    <w:rsid w:val="00F17322"/>
    <w:rsid w:val="00F176C6"/>
    <w:rsid w:val="00F2081D"/>
    <w:rsid w:val="00F20973"/>
    <w:rsid w:val="00F21336"/>
    <w:rsid w:val="00F2135B"/>
    <w:rsid w:val="00F21DC2"/>
    <w:rsid w:val="00F22061"/>
    <w:rsid w:val="00F2232C"/>
    <w:rsid w:val="00F22423"/>
    <w:rsid w:val="00F22485"/>
    <w:rsid w:val="00F224EF"/>
    <w:rsid w:val="00F227A2"/>
    <w:rsid w:val="00F228FF"/>
    <w:rsid w:val="00F229A8"/>
    <w:rsid w:val="00F22BD3"/>
    <w:rsid w:val="00F22C6A"/>
    <w:rsid w:val="00F22E2E"/>
    <w:rsid w:val="00F235F7"/>
    <w:rsid w:val="00F23D9E"/>
    <w:rsid w:val="00F2459E"/>
    <w:rsid w:val="00F24DB1"/>
    <w:rsid w:val="00F2510E"/>
    <w:rsid w:val="00F25382"/>
    <w:rsid w:val="00F256EF"/>
    <w:rsid w:val="00F25997"/>
    <w:rsid w:val="00F25E18"/>
    <w:rsid w:val="00F2655E"/>
    <w:rsid w:val="00F268C2"/>
    <w:rsid w:val="00F26C4E"/>
    <w:rsid w:val="00F26C75"/>
    <w:rsid w:val="00F2723D"/>
    <w:rsid w:val="00F27253"/>
    <w:rsid w:val="00F273EC"/>
    <w:rsid w:val="00F274FD"/>
    <w:rsid w:val="00F276F0"/>
    <w:rsid w:val="00F27CCB"/>
    <w:rsid w:val="00F31006"/>
    <w:rsid w:val="00F31853"/>
    <w:rsid w:val="00F322BE"/>
    <w:rsid w:val="00F32565"/>
    <w:rsid w:val="00F32CA9"/>
    <w:rsid w:val="00F32E06"/>
    <w:rsid w:val="00F33258"/>
    <w:rsid w:val="00F3325F"/>
    <w:rsid w:val="00F3374F"/>
    <w:rsid w:val="00F346DF"/>
    <w:rsid w:val="00F34BFF"/>
    <w:rsid w:val="00F352C3"/>
    <w:rsid w:val="00F35521"/>
    <w:rsid w:val="00F35A0C"/>
    <w:rsid w:val="00F367AA"/>
    <w:rsid w:val="00F368AC"/>
    <w:rsid w:val="00F369BB"/>
    <w:rsid w:val="00F36B85"/>
    <w:rsid w:val="00F37053"/>
    <w:rsid w:val="00F376CA"/>
    <w:rsid w:val="00F40659"/>
    <w:rsid w:val="00F40CF2"/>
    <w:rsid w:val="00F4112F"/>
    <w:rsid w:val="00F41E48"/>
    <w:rsid w:val="00F42541"/>
    <w:rsid w:val="00F42E13"/>
    <w:rsid w:val="00F43231"/>
    <w:rsid w:val="00F43EDE"/>
    <w:rsid w:val="00F442E7"/>
    <w:rsid w:val="00F44E2D"/>
    <w:rsid w:val="00F451F5"/>
    <w:rsid w:val="00F45A40"/>
    <w:rsid w:val="00F45A6D"/>
    <w:rsid w:val="00F460CF"/>
    <w:rsid w:val="00F462FE"/>
    <w:rsid w:val="00F46372"/>
    <w:rsid w:val="00F46B4C"/>
    <w:rsid w:val="00F46B84"/>
    <w:rsid w:val="00F47085"/>
    <w:rsid w:val="00F47544"/>
    <w:rsid w:val="00F476B0"/>
    <w:rsid w:val="00F478A7"/>
    <w:rsid w:val="00F50073"/>
    <w:rsid w:val="00F509E2"/>
    <w:rsid w:val="00F50BDE"/>
    <w:rsid w:val="00F50E05"/>
    <w:rsid w:val="00F50EBD"/>
    <w:rsid w:val="00F50ECC"/>
    <w:rsid w:val="00F51D7D"/>
    <w:rsid w:val="00F5218A"/>
    <w:rsid w:val="00F525DC"/>
    <w:rsid w:val="00F52E82"/>
    <w:rsid w:val="00F5344C"/>
    <w:rsid w:val="00F53729"/>
    <w:rsid w:val="00F53E3A"/>
    <w:rsid w:val="00F5471F"/>
    <w:rsid w:val="00F5475F"/>
    <w:rsid w:val="00F547B1"/>
    <w:rsid w:val="00F548FD"/>
    <w:rsid w:val="00F54A97"/>
    <w:rsid w:val="00F54F81"/>
    <w:rsid w:val="00F55783"/>
    <w:rsid w:val="00F557D5"/>
    <w:rsid w:val="00F559C1"/>
    <w:rsid w:val="00F56637"/>
    <w:rsid w:val="00F56E5B"/>
    <w:rsid w:val="00F573E7"/>
    <w:rsid w:val="00F5769D"/>
    <w:rsid w:val="00F57C8F"/>
    <w:rsid w:val="00F607C4"/>
    <w:rsid w:val="00F6086F"/>
    <w:rsid w:val="00F60C87"/>
    <w:rsid w:val="00F60D7F"/>
    <w:rsid w:val="00F6122D"/>
    <w:rsid w:val="00F61797"/>
    <w:rsid w:val="00F61E5E"/>
    <w:rsid w:val="00F61F52"/>
    <w:rsid w:val="00F6316B"/>
    <w:rsid w:val="00F63C40"/>
    <w:rsid w:val="00F63D55"/>
    <w:rsid w:val="00F63FD9"/>
    <w:rsid w:val="00F6471B"/>
    <w:rsid w:val="00F647E4"/>
    <w:rsid w:val="00F648DF"/>
    <w:rsid w:val="00F655D5"/>
    <w:rsid w:val="00F6579E"/>
    <w:rsid w:val="00F661A9"/>
    <w:rsid w:val="00F661C9"/>
    <w:rsid w:val="00F6660E"/>
    <w:rsid w:val="00F66C5E"/>
    <w:rsid w:val="00F66C82"/>
    <w:rsid w:val="00F67489"/>
    <w:rsid w:val="00F700F8"/>
    <w:rsid w:val="00F70386"/>
    <w:rsid w:val="00F703FF"/>
    <w:rsid w:val="00F70443"/>
    <w:rsid w:val="00F7058D"/>
    <w:rsid w:val="00F708CE"/>
    <w:rsid w:val="00F70F0D"/>
    <w:rsid w:val="00F7112F"/>
    <w:rsid w:val="00F71264"/>
    <w:rsid w:val="00F71DB7"/>
    <w:rsid w:val="00F72217"/>
    <w:rsid w:val="00F7248A"/>
    <w:rsid w:val="00F7289F"/>
    <w:rsid w:val="00F72F14"/>
    <w:rsid w:val="00F7306E"/>
    <w:rsid w:val="00F737B3"/>
    <w:rsid w:val="00F74BC1"/>
    <w:rsid w:val="00F7519E"/>
    <w:rsid w:val="00F76144"/>
    <w:rsid w:val="00F76591"/>
    <w:rsid w:val="00F766A4"/>
    <w:rsid w:val="00F76D07"/>
    <w:rsid w:val="00F773E0"/>
    <w:rsid w:val="00F777CE"/>
    <w:rsid w:val="00F8079F"/>
    <w:rsid w:val="00F8146E"/>
    <w:rsid w:val="00F814AA"/>
    <w:rsid w:val="00F814E6"/>
    <w:rsid w:val="00F81BEC"/>
    <w:rsid w:val="00F81F0A"/>
    <w:rsid w:val="00F8205C"/>
    <w:rsid w:val="00F82E87"/>
    <w:rsid w:val="00F840EA"/>
    <w:rsid w:val="00F853B8"/>
    <w:rsid w:val="00F855EB"/>
    <w:rsid w:val="00F85920"/>
    <w:rsid w:val="00F8613B"/>
    <w:rsid w:val="00F86F36"/>
    <w:rsid w:val="00F87052"/>
    <w:rsid w:val="00F90047"/>
    <w:rsid w:val="00F9041A"/>
    <w:rsid w:val="00F90437"/>
    <w:rsid w:val="00F907AA"/>
    <w:rsid w:val="00F90BFE"/>
    <w:rsid w:val="00F90E1C"/>
    <w:rsid w:val="00F920AC"/>
    <w:rsid w:val="00F92762"/>
    <w:rsid w:val="00F92CB3"/>
    <w:rsid w:val="00F93538"/>
    <w:rsid w:val="00F94137"/>
    <w:rsid w:val="00F94177"/>
    <w:rsid w:val="00F94292"/>
    <w:rsid w:val="00F94546"/>
    <w:rsid w:val="00F94D76"/>
    <w:rsid w:val="00F95053"/>
    <w:rsid w:val="00F9510D"/>
    <w:rsid w:val="00F953DA"/>
    <w:rsid w:val="00F95615"/>
    <w:rsid w:val="00F95848"/>
    <w:rsid w:val="00F95A57"/>
    <w:rsid w:val="00F9649F"/>
    <w:rsid w:val="00F96922"/>
    <w:rsid w:val="00F96EF3"/>
    <w:rsid w:val="00F97096"/>
    <w:rsid w:val="00F9735B"/>
    <w:rsid w:val="00F97756"/>
    <w:rsid w:val="00F977C6"/>
    <w:rsid w:val="00FA0286"/>
    <w:rsid w:val="00FA0583"/>
    <w:rsid w:val="00FA0862"/>
    <w:rsid w:val="00FA0A1E"/>
    <w:rsid w:val="00FA0AEE"/>
    <w:rsid w:val="00FA0F74"/>
    <w:rsid w:val="00FA1078"/>
    <w:rsid w:val="00FA1E15"/>
    <w:rsid w:val="00FA1E91"/>
    <w:rsid w:val="00FA1EB9"/>
    <w:rsid w:val="00FA1F4C"/>
    <w:rsid w:val="00FA2F8E"/>
    <w:rsid w:val="00FA34F3"/>
    <w:rsid w:val="00FA3AD9"/>
    <w:rsid w:val="00FA3E5A"/>
    <w:rsid w:val="00FA4483"/>
    <w:rsid w:val="00FA4F7F"/>
    <w:rsid w:val="00FA4FDD"/>
    <w:rsid w:val="00FA5D2C"/>
    <w:rsid w:val="00FA61C9"/>
    <w:rsid w:val="00FA61F3"/>
    <w:rsid w:val="00FA649F"/>
    <w:rsid w:val="00FA751C"/>
    <w:rsid w:val="00FA777C"/>
    <w:rsid w:val="00FA7827"/>
    <w:rsid w:val="00FB00F9"/>
    <w:rsid w:val="00FB085E"/>
    <w:rsid w:val="00FB0A2E"/>
    <w:rsid w:val="00FB0D12"/>
    <w:rsid w:val="00FB0EC3"/>
    <w:rsid w:val="00FB15EA"/>
    <w:rsid w:val="00FB1D81"/>
    <w:rsid w:val="00FB2BF6"/>
    <w:rsid w:val="00FB2EA5"/>
    <w:rsid w:val="00FB3591"/>
    <w:rsid w:val="00FB3AF1"/>
    <w:rsid w:val="00FB3F35"/>
    <w:rsid w:val="00FB438E"/>
    <w:rsid w:val="00FB43AD"/>
    <w:rsid w:val="00FB4599"/>
    <w:rsid w:val="00FB46AC"/>
    <w:rsid w:val="00FB48D3"/>
    <w:rsid w:val="00FB4A20"/>
    <w:rsid w:val="00FB4ACA"/>
    <w:rsid w:val="00FB5C17"/>
    <w:rsid w:val="00FB621B"/>
    <w:rsid w:val="00FB633A"/>
    <w:rsid w:val="00FB66AC"/>
    <w:rsid w:val="00FB674B"/>
    <w:rsid w:val="00FC09D1"/>
    <w:rsid w:val="00FC12B4"/>
    <w:rsid w:val="00FC1740"/>
    <w:rsid w:val="00FC1E64"/>
    <w:rsid w:val="00FC1F19"/>
    <w:rsid w:val="00FC2751"/>
    <w:rsid w:val="00FC2763"/>
    <w:rsid w:val="00FC296A"/>
    <w:rsid w:val="00FC2A7E"/>
    <w:rsid w:val="00FC2CE3"/>
    <w:rsid w:val="00FC32F3"/>
    <w:rsid w:val="00FC349D"/>
    <w:rsid w:val="00FC40E2"/>
    <w:rsid w:val="00FC45AF"/>
    <w:rsid w:val="00FC4AF8"/>
    <w:rsid w:val="00FC596B"/>
    <w:rsid w:val="00FC5C3C"/>
    <w:rsid w:val="00FC5CE9"/>
    <w:rsid w:val="00FC6D42"/>
    <w:rsid w:val="00FC70E8"/>
    <w:rsid w:val="00FD00B5"/>
    <w:rsid w:val="00FD02B2"/>
    <w:rsid w:val="00FD0BD4"/>
    <w:rsid w:val="00FD0CC6"/>
    <w:rsid w:val="00FD2A5E"/>
    <w:rsid w:val="00FD2CDF"/>
    <w:rsid w:val="00FD3288"/>
    <w:rsid w:val="00FD35D4"/>
    <w:rsid w:val="00FD3C9A"/>
    <w:rsid w:val="00FD420C"/>
    <w:rsid w:val="00FD4612"/>
    <w:rsid w:val="00FD4986"/>
    <w:rsid w:val="00FD522F"/>
    <w:rsid w:val="00FD6045"/>
    <w:rsid w:val="00FD65E6"/>
    <w:rsid w:val="00FD6A2A"/>
    <w:rsid w:val="00FD788E"/>
    <w:rsid w:val="00FD7949"/>
    <w:rsid w:val="00FE0AE4"/>
    <w:rsid w:val="00FE0DEB"/>
    <w:rsid w:val="00FE1843"/>
    <w:rsid w:val="00FE1B29"/>
    <w:rsid w:val="00FE277A"/>
    <w:rsid w:val="00FE341B"/>
    <w:rsid w:val="00FE3C31"/>
    <w:rsid w:val="00FE470C"/>
    <w:rsid w:val="00FE4D47"/>
    <w:rsid w:val="00FE4FD0"/>
    <w:rsid w:val="00FE54CB"/>
    <w:rsid w:val="00FE61EE"/>
    <w:rsid w:val="00FE6A95"/>
    <w:rsid w:val="00FE7BF0"/>
    <w:rsid w:val="00FE7C68"/>
    <w:rsid w:val="00FF0488"/>
    <w:rsid w:val="00FF0BE0"/>
    <w:rsid w:val="00FF0D6D"/>
    <w:rsid w:val="00FF0EAA"/>
    <w:rsid w:val="00FF1757"/>
    <w:rsid w:val="00FF2499"/>
    <w:rsid w:val="00FF2A9E"/>
    <w:rsid w:val="00FF3724"/>
    <w:rsid w:val="00FF3B82"/>
    <w:rsid w:val="00FF3B8C"/>
    <w:rsid w:val="00FF4E14"/>
    <w:rsid w:val="00FF5DF1"/>
    <w:rsid w:val="00FF6480"/>
    <w:rsid w:val="00FF65F3"/>
    <w:rsid w:val="00FF6C1E"/>
    <w:rsid w:val="00FF75A4"/>
    <w:rsid w:val="00FF7FE0"/>
    <w:rsid w:val="0141260C"/>
    <w:rsid w:val="014B4189"/>
    <w:rsid w:val="01CA0051"/>
    <w:rsid w:val="01E21124"/>
    <w:rsid w:val="02551A35"/>
    <w:rsid w:val="027B06EB"/>
    <w:rsid w:val="027D280C"/>
    <w:rsid w:val="02FB1E51"/>
    <w:rsid w:val="0316280B"/>
    <w:rsid w:val="03340204"/>
    <w:rsid w:val="038A2C9F"/>
    <w:rsid w:val="039B313E"/>
    <w:rsid w:val="03BE6A23"/>
    <w:rsid w:val="03E404A0"/>
    <w:rsid w:val="03E60B93"/>
    <w:rsid w:val="03E81CE5"/>
    <w:rsid w:val="03EE1F8E"/>
    <w:rsid w:val="04156E1B"/>
    <w:rsid w:val="04422046"/>
    <w:rsid w:val="0448506B"/>
    <w:rsid w:val="046E0B2F"/>
    <w:rsid w:val="047076D1"/>
    <w:rsid w:val="0485080C"/>
    <w:rsid w:val="04D72FD3"/>
    <w:rsid w:val="04E87616"/>
    <w:rsid w:val="053F7BF3"/>
    <w:rsid w:val="054E66A5"/>
    <w:rsid w:val="055C4F54"/>
    <w:rsid w:val="05992529"/>
    <w:rsid w:val="05B41169"/>
    <w:rsid w:val="05BC6DAC"/>
    <w:rsid w:val="05D3715B"/>
    <w:rsid w:val="06115D36"/>
    <w:rsid w:val="06593AED"/>
    <w:rsid w:val="06814669"/>
    <w:rsid w:val="06884A54"/>
    <w:rsid w:val="068A4286"/>
    <w:rsid w:val="06B50198"/>
    <w:rsid w:val="06C17106"/>
    <w:rsid w:val="06D66ACC"/>
    <w:rsid w:val="07153FE1"/>
    <w:rsid w:val="07435E13"/>
    <w:rsid w:val="074A06C9"/>
    <w:rsid w:val="07B74BC0"/>
    <w:rsid w:val="07C662B2"/>
    <w:rsid w:val="07C7376C"/>
    <w:rsid w:val="07D739D0"/>
    <w:rsid w:val="07E43A81"/>
    <w:rsid w:val="07F258AA"/>
    <w:rsid w:val="08147577"/>
    <w:rsid w:val="08685645"/>
    <w:rsid w:val="08764C2B"/>
    <w:rsid w:val="08A30705"/>
    <w:rsid w:val="08A81915"/>
    <w:rsid w:val="08F8266B"/>
    <w:rsid w:val="08F91214"/>
    <w:rsid w:val="08FE6E05"/>
    <w:rsid w:val="091510FC"/>
    <w:rsid w:val="091F0856"/>
    <w:rsid w:val="09255B5F"/>
    <w:rsid w:val="092C7EED"/>
    <w:rsid w:val="093A4248"/>
    <w:rsid w:val="09580622"/>
    <w:rsid w:val="09684FA9"/>
    <w:rsid w:val="09770269"/>
    <w:rsid w:val="098C640D"/>
    <w:rsid w:val="09F72D3A"/>
    <w:rsid w:val="0A0A1F4E"/>
    <w:rsid w:val="0A373E2E"/>
    <w:rsid w:val="0A5D434F"/>
    <w:rsid w:val="0A8269E5"/>
    <w:rsid w:val="0A856C30"/>
    <w:rsid w:val="0ABB4E7D"/>
    <w:rsid w:val="0AF04FDB"/>
    <w:rsid w:val="0B026716"/>
    <w:rsid w:val="0B0B2455"/>
    <w:rsid w:val="0B2C5D7E"/>
    <w:rsid w:val="0B490751"/>
    <w:rsid w:val="0B532434"/>
    <w:rsid w:val="0B88509C"/>
    <w:rsid w:val="0B9D1D6C"/>
    <w:rsid w:val="0B9D3538"/>
    <w:rsid w:val="0BE90467"/>
    <w:rsid w:val="0C0836D0"/>
    <w:rsid w:val="0C2A5F64"/>
    <w:rsid w:val="0C5467F8"/>
    <w:rsid w:val="0C5B27F2"/>
    <w:rsid w:val="0C653409"/>
    <w:rsid w:val="0CA559B3"/>
    <w:rsid w:val="0CF32F5D"/>
    <w:rsid w:val="0CFE5D43"/>
    <w:rsid w:val="0D074494"/>
    <w:rsid w:val="0D191E44"/>
    <w:rsid w:val="0D345EAE"/>
    <w:rsid w:val="0D3C69D9"/>
    <w:rsid w:val="0D8458C1"/>
    <w:rsid w:val="0D8F4688"/>
    <w:rsid w:val="0D986BD7"/>
    <w:rsid w:val="0DB621E2"/>
    <w:rsid w:val="0DDE4862"/>
    <w:rsid w:val="0DE111F0"/>
    <w:rsid w:val="0DE92E1F"/>
    <w:rsid w:val="0E05169A"/>
    <w:rsid w:val="0E2E2A48"/>
    <w:rsid w:val="0E706E38"/>
    <w:rsid w:val="0E83412B"/>
    <w:rsid w:val="0E8F6A24"/>
    <w:rsid w:val="0EAB0FD9"/>
    <w:rsid w:val="0F011A8C"/>
    <w:rsid w:val="0F0129AD"/>
    <w:rsid w:val="0F85759A"/>
    <w:rsid w:val="0F94272D"/>
    <w:rsid w:val="0FDD68F7"/>
    <w:rsid w:val="0FF0755C"/>
    <w:rsid w:val="102365E8"/>
    <w:rsid w:val="102C7752"/>
    <w:rsid w:val="104A3AC4"/>
    <w:rsid w:val="1061670F"/>
    <w:rsid w:val="10643D9D"/>
    <w:rsid w:val="107228FB"/>
    <w:rsid w:val="10B11E18"/>
    <w:rsid w:val="10B32D2F"/>
    <w:rsid w:val="10FC1BF5"/>
    <w:rsid w:val="11362007"/>
    <w:rsid w:val="113666B3"/>
    <w:rsid w:val="117C7A68"/>
    <w:rsid w:val="11CA6D66"/>
    <w:rsid w:val="12034ADB"/>
    <w:rsid w:val="120806FB"/>
    <w:rsid w:val="12194130"/>
    <w:rsid w:val="12477A8D"/>
    <w:rsid w:val="126E0819"/>
    <w:rsid w:val="12C32562"/>
    <w:rsid w:val="12D21F40"/>
    <w:rsid w:val="13051E53"/>
    <w:rsid w:val="13142254"/>
    <w:rsid w:val="13163C98"/>
    <w:rsid w:val="13305842"/>
    <w:rsid w:val="13497394"/>
    <w:rsid w:val="134C781A"/>
    <w:rsid w:val="138F7B26"/>
    <w:rsid w:val="1399669D"/>
    <w:rsid w:val="13A73A0D"/>
    <w:rsid w:val="13E81CF4"/>
    <w:rsid w:val="140578F4"/>
    <w:rsid w:val="14192099"/>
    <w:rsid w:val="1425541A"/>
    <w:rsid w:val="14413646"/>
    <w:rsid w:val="147E3C62"/>
    <w:rsid w:val="14BB2DA7"/>
    <w:rsid w:val="15095F69"/>
    <w:rsid w:val="1543259B"/>
    <w:rsid w:val="15495671"/>
    <w:rsid w:val="15852429"/>
    <w:rsid w:val="158E44A3"/>
    <w:rsid w:val="159B6966"/>
    <w:rsid w:val="15DF0F76"/>
    <w:rsid w:val="15F10C2B"/>
    <w:rsid w:val="160E6A31"/>
    <w:rsid w:val="161F128E"/>
    <w:rsid w:val="16225E7B"/>
    <w:rsid w:val="1623745E"/>
    <w:rsid w:val="16B03286"/>
    <w:rsid w:val="16E91D95"/>
    <w:rsid w:val="16EC1A59"/>
    <w:rsid w:val="17EF6D73"/>
    <w:rsid w:val="185A0382"/>
    <w:rsid w:val="1891312A"/>
    <w:rsid w:val="18CB677F"/>
    <w:rsid w:val="19250C48"/>
    <w:rsid w:val="194E0DA1"/>
    <w:rsid w:val="195A79ED"/>
    <w:rsid w:val="195C3218"/>
    <w:rsid w:val="19D9457F"/>
    <w:rsid w:val="19F05AEB"/>
    <w:rsid w:val="1A093C33"/>
    <w:rsid w:val="1A426A3E"/>
    <w:rsid w:val="1A6467CD"/>
    <w:rsid w:val="1A7843EF"/>
    <w:rsid w:val="1A86054B"/>
    <w:rsid w:val="1A9C0473"/>
    <w:rsid w:val="1AE35F10"/>
    <w:rsid w:val="1B1D0AE8"/>
    <w:rsid w:val="1B1E62F4"/>
    <w:rsid w:val="1B20065B"/>
    <w:rsid w:val="1B234FF4"/>
    <w:rsid w:val="1B2A3050"/>
    <w:rsid w:val="1B3432FF"/>
    <w:rsid w:val="1B4E5755"/>
    <w:rsid w:val="1B6B770A"/>
    <w:rsid w:val="1B8849C8"/>
    <w:rsid w:val="1B885FA1"/>
    <w:rsid w:val="1BCF7B5D"/>
    <w:rsid w:val="1BDD2D6F"/>
    <w:rsid w:val="1BDE48FF"/>
    <w:rsid w:val="1BF75A95"/>
    <w:rsid w:val="1BF96427"/>
    <w:rsid w:val="1C336FAD"/>
    <w:rsid w:val="1CB23151"/>
    <w:rsid w:val="1CE44B05"/>
    <w:rsid w:val="1CE87BAD"/>
    <w:rsid w:val="1D0E7E58"/>
    <w:rsid w:val="1D1154B5"/>
    <w:rsid w:val="1D3D373B"/>
    <w:rsid w:val="1D5012BE"/>
    <w:rsid w:val="1D8E1E1C"/>
    <w:rsid w:val="1DA17E5B"/>
    <w:rsid w:val="1DC6667B"/>
    <w:rsid w:val="1DE6685E"/>
    <w:rsid w:val="1DF662AF"/>
    <w:rsid w:val="1E2D23BB"/>
    <w:rsid w:val="1E346777"/>
    <w:rsid w:val="1E562DC5"/>
    <w:rsid w:val="1E7F6AF9"/>
    <w:rsid w:val="1EC43CA4"/>
    <w:rsid w:val="1EE6343F"/>
    <w:rsid w:val="1F2C38BD"/>
    <w:rsid w:val="1F74425E"/>
    <w:rsid w:val="1FB71844"/>
    <w:rsid w:val="1FCA3C35"/>
    <w:rsid w:val="1FE20FC1"/>
    <w:rsid w:val="202D73EF"/>
    <w:rsid w:val="203B00A0"/>
    <w:rsid w:val="20AC0B6E"/>
    <w:rsid w:val="210D5D91"/>
    <w:rsid w:val="21306EA4"/>
    <w:rsid w:val="21512CD2"/>
    <w:rsid w:val="216E1A6E"/>
    <w:rsid w:val="224746E2"/>
    <w:rsid w:val="225E0BBA"/>
    <w:rsid w:val="22AE1DE0"/>
    <w:rsid w:val="230610D6"/>
    <w:rsid w:val="234B7E7A"/>
    <w:rsid w:val="23842A0A"/>
    <w:rsid w:val="23DD4B71"/>
    <w:rsid w:val="23EE6873"/>
    <w:rsid w:val="240A65E4"/>
    <w:rsid w:val="240F50BD"/>
    <w:rsid w:val="245A261A"/>
    <w:rsid w:val="24E011DB"/>
    <w:rsid w:val="250234DF"/>
    <w:rsid w:val="250B25D8"/>
    <w:rsid w:val="25407828"/>
    <w:rsid w:val="255167B3"/>
    <w:rsid w:val="25562D35"/>
    <w:rsid w:val="258D66AC"/>
    <w:rsid w:val="25A07F99"/>
    <w:rsid w:val="25C73461"/>
    <w:rsid w:val="25C867F3"/>
    <w:rsid w:val="25E330C5"/>
    <w:rsid w:val="261B1094"/>
    <w:rsid w:val="261F6773"/>
    <w:rsid w:val="26886044"/>
    <w:rsid w:val="26B37986"/>
    <w:rsid w:val="26CC2D61"/>
    <w:rsid w:val="26DB2D68"/>
    <w:rsid w:val="27043F59"/>
    <w:rsid w:val="27585021"/>
    <w:rsid w:val="276C6B17"/>
    <w:rsid w:val="27811004"/>
    <w:rsid w:val="27A21D15"/>
    <w:rsid w:val="27C77343"/>
    <w:rsid w:val="283C227C"/>
    <w:rsid w:val="287A722F"/>
    <w:rsid w:val="289C4A2F"/>
    <w:rsid w:val="28C108B1"/>
    <w:rsid w:val="28C46A1B"/>
    <w:rsid w:val="28D1765D"/>
    <w:rsid w:val="296B2895"/>
    <w:rsid w:val="2973706E"/>
    <w:rsid w:val="29890311"/>
    <w:rsid w:val="299D595A"/>
    <w:rsid w:val="29C35B09"/>
    <w:rsid w:val="2A0129F6"/>
    <w:rsid w:val="2A0D0E7F"/>
    <w:rsid w:val="2A1240A6"/>
    <w:rsid w:val="2A34389F"/>
    <w:rsid w:val="2A4868D8"/>
    <w:rsid w:val="2A652D23"/>
    <w:rsid w:val="2A8775D4"/>
    <w:rsid w:val="2A9F4AAD"/>
    <w:rsid w:val="2AE73D51"/>
    <w:rsid w:val="2B2218B0"/>
    <w:rsid w:val="2B343ECC"/>
    <w:rsid w:val="2B5C2B9C"/>
    <w:rsid w:val="2B730039"/>
    <w:rsid w:val="2BA91EAE"/>
    <w:rsid w:val="2BB0461E"/>
    <w:rsid w:val="2BBD43D2"/>
    <w:rsid w:val="2BEB139E"/>
    <w:rsid w:val="2C1D3AF0"/>
    <w:rsid w:val="2C3C748E"/>
    <w:rsid w:val="2C4D7D3C"/>
    <w:rsid w:val="2C5059DA"/>
    <w:rsid w:val="2C5E4774"/>
    <w:rsid w:val="2C8E2972"/>
    <w:rsid w:val="2C913A5F"/>
    <w:rsid w:val="2C944132"/>
    <w:rsid w:val="2CAA6513"/>
    <w:rsid w:val="2CC81B6F"/>
    <w:rsid w:val="2CF32326"/>
    <w:rsid w:val="2D401482"/>
    <w:rsid w:val="2D6B4049"/>
    <w:rsid w:val="2DCF15B4"/>
    <w:rsid w:val="2E060B47"/>
    <w:rsid w:val="2E675CB6"/>
    <w:rsid w:val="2E97662E"/>
    <w:rsid w:val="2EC34221"/>
    <w:rsid w:val="2ED67FE4"/>
    <w:rsid w:val="2F030222"/>
    <w:rsid w:val="2F2A0BB8"/>
    <w:rsid w:val="2F326A92"/>
    <w:rsid w:val="2F952EB1"/>
    <w:rsid w:val="2FC65301"/>
    <w:rsid w:val="2FFB6945"/>
    <w:rsid w:val="301B203D"/>
    <w:rsid w:val="30225048"/>
    <w:rsid w:val="302F5D7D"/>
    <w:rsid w:val="307034AB"/>
    <w:rsid w:val="308F751E"/>
    <w:rsid w:val="30A02C68"/>
    <w:rsid w:val="30EF6AE6"/>
    <w:rsid w:val="30F0631C"/>
    <w:rsid w:val="31117382"/>
    <w:rsid w:val="31282E77"/>
    <w:rsid w:val="3128472F"/>
    <w:rsid w:val="317C17F7"/>
    <w:rsid w:val="31BD0A69"/>
    <w:rsid w:val="31D0139D"/>
    <w:rsid w:val="31EF5519"/>
    <w:rsid w:val="31F61910"/>
    <w:rsid w:val="32030635"/>
    <w:rsid w:val="3220082C"/>
    <w:rsid w:val="32235AB9"/>
    <w:rsid w:val="322E06A4"/>
    <w:rsid w:val="32321AB9"/>
    <w:rsid w:val="32427031"/>
    <w:rsid w:val="324B7619"/>
    <w:rsid w:val="32540E0E"/>
    <w:rsid w:val="32A62C41"/>
    <w:rsid w:val="32B466AC"/>
    <w:rsid w:val="32CF1B7E"/>
    <w:rsid w:val="32E809F5"/>
    <w:rsid w:val="32F22EDD"/>
    <w:rsid w:val="32F42B33"/>
    <w:rsid w:val="333D436A"/>
    <w:rsid w:val="33740DD2"/>
    <w:rsid w:val="337629C2"/>
    <w:rsid w:val="33836629"/>
    <w:rsid w:val="33CB4AB8"/>
    <w:rsid w:val="34402732"/>
    <w:rsid w:val="34A8376D"/>
    <w:rsid w:val="34B25AB8"/>
    <w:rsid w:val="357356CD"/>
    <w:rsid w:val="3595390E"/>
    <w:rsid w:val="35CE37DB"/>
    <w:rsid w:val="35F15E12"/>
    <w:rsid w:val="3623408C"/>
    <w:rsid w:val="364B2EA2"/>
    <w:rsid w:val="368657FE"/>
    <w:rsid w:val="369A2019"/>
    <w:rsid w:val="369A4EA6"/>
    <w:rsid w:val="36AA5BC6"/>
    <w:rsid w:val="36C319E6"/>
    <w:rsid w:val="371640F9"/>
    <w:rsid w:val="37765B89"/>
    <w:rsid w:val="377E29CE"/>
    <w:rsid w:val="37C75103"/>
    <w:rsid w:val="380713C4"/>
    <w:rsid w:val="380B70C9"/>
    <w:rsid w:val="381A2644"/>
    <w:rsid w:val="38303BA2"/>
    <w:rsid w:val="38360931"/>
    <w:rsid w:val="383D6B0A"/>
    <w:rsid w:val="385A3FC5"/>
    <w:rsid w:val="3871422B"/>
    <w:rsid w:val="38BE3AFE"/>
    <w:rsid w:val="392B1DC5"/>
    <w:rsid w:val="3934169D"/>
    <w:rsid w:val="39A20341"/>
    <w:rsid w:val="39A60397"/>
    <w:rsid w:val="39D038E2"/>
    <w:rsid w:val="3A1C391E"/>
    <w:rsid w:val="3A223197"/>
    <w:rsid w:val="3A2C2CB0"/>
    <w:rsid w:val="3A623D5C"/>
    <w:rsid w:val="3A7F2907"/>
    <w:rsid w:val="3A910196"/>
    <w:rsid w:val="3A95086A"/>
    <w:rsid w:val="3AAB09E1"/>
    <w:rsid w:val="3AB071B2"/>
    <w:rsid w:val="3AE034D3"/>
    <w:rsid w:val="3B021A6B"/>
    <w:rsid w:val="3B041427"/>
    <w:rsid w:val="3B1F059D"/>
    <w:rsid w:val="3B2D612D"/>
    <w:rsid w:val="3B376954"/>
    <w:rsid w:val="3B3B50FA"/>
    <w:rsid w:val="3B6F15F6"/>
    <w:rsid w:val="3B871DEE"/>
    <w:rsid w:val="3BD244B2"/>
    <w:rsid w:val="3BFB4B8C"/>
    <w:rsid w:val="3C0F7E93"/>
    <w:rsid w:val="3C1F1CCD"/>
    <w:rsid w:val="3C4E0FF5"/>
    <w:rsid w:val="3C545A23"/>
    <w:rsid w:val="3C6E26F4"/>
    <w:rsid w:val="3C8B3143"/>
    <w:rsid w:val="3C9764A7"/>
    <w:rsid w:val="3CF576C7"/>
    <w:rsid w:val="3CF578AF"/>
    <w:rsid w:val="3D2422AA"/>
    <w:rsid w:val="3D2B3CA1"/>
    <w:rsid w:val="3D54332A"/>
    <w:rsid w:val="3D6312F3"/>
    <w:rsid w:val="3D63681A"/>
    <w:rsid w:val="3D725AE4"/>
    <w:rsid w:val="3D823F5C"/>
    <w:rsid w:val="3D84372B"/>
    <w:rsid w:val="3DC65BE7"/>
    <w:rsid w:val="3DD03784"/>
    <w:rsid w:val="3DD119FA"/>
    <w:rsid w:val="3DE44A24"/>
    <w:rsid w:val="3DEB6749"/>
    <w:rsid w:val="3E0A4767"/>
    <w:rsid w:val="3E181764"/>
    <w:rsid w:val="3E1A3266"/>
    <w:rsid w:val="3E3A0F7B"/>
    <w:rsid w:val="3E3D2C9F"/>
    <w:rsid w:val="3E7276C4"/>
    <w:rsid w:val="3E9A0817"/>
    <w:rsid w:val="3E9C4FEB"/>
    <w:rsid w:val="3EC51C48"/>
    <w:rsid w:val="3EC76373"/>
    <w:rsid w:val="3ED33C0A"/>
    <w:rsid w:val="3F7E258B"/>
    <w:rsid w:val="3F8B5733"/>
    <w:rsid w:val="3FBC4F81"/>
    <w:rsid w:val="3FCF74C7"/>
    <w:rsid w:val="3FF7342E"/>
    <w:rsid w:val="4007721C"/>
    <w:rsid w:val="40422B4D"/>
    <w:rsid w:val="40532DCC"/>
    <w:rsid w:val="40913CF0"/>
    <w:rsid w:val="40CF68EE"/>
    <w:rsid w:val="40D51A4D"/>
    <w:rsid w:val="40F92AEB"/>
    <w:rsid w:val="411F7AC0"/>
    <w:rsid w:val="412B3317"/>
    <w:rsid w:val="41380617"/>
    <w:rsid w:val="413B49B3"/>
    <w:rsid w:val="416E5004"/>
    <w:rsid w:val="41863430"/>
    <w:rsid w:val="41F77652"/>
    <w:rsid w:val="420C5EA8"/>
    <w:rsid w:val="422E33BF"/>
    <w:rsid w:val="42640DB4"/>
    <w:rsid w:val="426F0B0E"/>
    <w:rsid w:val="42AA4FB7"/>
    <w:rsid w:val="42DF0E14"/>
    <w:rsid w:val="42F06B27"/>
    <w:rsid w:val="43320C92"/>
    <w:rsid w:val="43821F94"/>
    <w:rsid w:val="43953C9F"/>
    <w:rsid w:val="43991E2B"/>
    <w:rsid w:val="43B13FCC"/>
    <w:rsid w:val="43C442BF"/>
    <w:rsid w:val="43E40D93"/>
    <w:rsid w:val="4422224D"/>
    <w:rsid w:val="44400397"/>
    <w:rsid w:val="447B78EA"/>
    <w:rsid w:val="449C39BD"/>
    <w:rsid w:val="44DB37D7"/>
    <w:rsid w:val="45013C32"/>
    <w:rsid w:val="450A7497"/>
    <w:rsid w:val="451775D7"/>
    <w:rsid w:val="45412757"/>
    <w:rsid w:val="454C754D"/>
    <w:rsid w:val="461C75E6"/>
    <w:rsid w:val="464A2374"/>
    <w:rsid w:val="467E0039"/>
    <w:rsid w:val="46E06D54"/>
    <w:rsid w:val="470F4F38"/>
    <w:rsid w:val="4743461B"/>
    <w:rsid w:val="47747257"/>
    <w:rsid w:val="47766798"/>
    <w:rsid w:val="47771EE2"/>
    <w:rsid w:val="477D5A01"/>
    <w:rsid w:val="47804960"/>
    <w:rsid w:val="4792492B"/>
    <w:rsid w:val="47986729"/>
    <w:rsid w:val="47D137A5"/>
    <w:rsid w:val="47E54532"/>
    <w:rsid w:val="47F23719"/>
    <w:rsid w:val="48276F53"/>
    <w:rsid w:val="48546022"/>
    <w:rsid w:val="48793A17"/>
    <w:rsid w:val="48A811B2"/>
    <w:rsid w:val="48C87725"/>
    <w:rsid w:val="48EC444D"/>
    <w:rsid w:val="48F72B06"/>
    <w:rsid w:val="491C1D96"/>
    <w:rsid w:val="4920770E"/>
    <w:rsid w:val="492A22B5"/>
    <w:rsid w:val="497C6B0E"/>
    <w:rsid w:val="49825EAF"/>
    <w:rsid w:val="49933AB3"/>
    <w:rsid w:val="4A483B90"/>
    <w:rsid w:val="4A4F06B0"/>
    <w:rsid w:val="4A506F20"/>
    <w:rsid w:val="4A874CBD"/>
    <w:rsid w:val="4AA47CEF"/>
    <w:rsid w:val="4ADD7DE7"/>
    <w:rsid w:val="4AE90790"/>
    <w:rsid w:val="4AEE787E"/>
    <w:rsid w:val="4B150276"/>
    <w:rsid w:val="4B182BCD"/>
    <w:rsid w:val="4B1E2899"/>
    <w:rsid w:val="4B210E8A"/>
    <w:rsid w:val="4B517CEF"/>
    <w:rsid w:val="4B7F5EA7"/>
    <w:rsid w:val="4B976D48"/>
    <w:rsid w:val="4B9E723A"/>
    <w:rsid w:val="4BAC418D"/>
    <w:rsid w:val="4BBC7ADE"/>
    <w:rsid w:val="4C4D4A97"/>
    <w:rsid w:val="4C7059F4"/>
    <w:rsid w:val="4C8B6D4F"/>
    <w:rsid w:val="4CD36DC8"/>
    <w:rsid w:val="4CD70849"/>
    <w:rsid w:val="4D2C78F8"/>
    <w:rsid w:val="4D475D7D"/>
    <w:rsid w:val="4D5536C5"/>
    <w:rsid w:val="4D8134F9"/>
    <w:rsid w:val="4D9B2AFA"/>
    <w:rsid w:val="4DE4359B"/>
    <w:rsid w:val="4DF430BF"/>
    <w:rsid w:val="4E0823CB"/>
    <w:rsid w:val="4E0D2249"/>
    <w:rsid w:val="4E11154A"/>
    <w:rsid w:val="4E404B20"/>
    <w:rsid w:val="4E7E67D5"/>
    <w:rsid w:val="4E890D29"/>
    <w:rsid w:val="4EA6738E"/>
    <w:rsid w:val="4ED55CF0"/>
    <w:rsid w:val="4EF1548F"/>
    <w:rsid w:val="4F090633"/>
    <w:rsid w:val="4F1249D0"/>
    <w:rsid w:val="4F162507"/>
    <w:rsid w:val="4F6F61CB"/>
    <w:rsid w:val="4F7E3917"/>
    <w:rsid w:val="4F8C1667"/>
    <w:rsid w:val="4F8C4CD5"/>
    <w:rsid w:val="4F8E57DE"/>
    <w:rsid w:val="4FF9325D"/>
    <w:rsid w:val="4FFA3BCD"/>
    <w:rsid w:val="50726824"/>
    <w:rsid w:val="509739EF"/>
    <w:rsid w:val="510137EB"/>
    <w:rsid w:val="511150E9"/>
    <w:rsid w:val="51536AA5"/>
    <w:rsid w:val="51AD18DD"/>
    <w:rsid w:val="51E70702"/>
    <w:rsid w:val="51FF2A45"/>
    <w:rsid w:val="52173FBA"/>
    <w:rsid w:val="5255651D"/>
    <w:rsid w:val="529458CE"/>
    <w:rsid w:val="52990BF7"/>
    <w:rsid w:val="529A0A1E"/>
    <w:rsid w:val="52AE2277"/>
    <w:rsid w:val="52B03DC0"/>
    <w:rsid w:val="52B94A03"/>
    <w:rsid w:val="52DB152B"/>
    <w:rsid w:val="52EC62EE"/>
    <w:rsid w:val="530017D8"/>
    <w:rsid w:val="531707EC"/>
    <w:rsid w:val="53335530"/>
    <w:rsid w:val="533A3D69"/>
    <w:rsid w:val="534901D2"/>
    <w:rsid w:val="53500C19"/>
    <w:rsid w:val="536E125F"/>
    <w:rsid w:val="53D71141"/>
    <w:rsid w:val="53D71E70"/>
    <w:rsid w:val="54067A66"/>
    <w:rsid w:val="540F3590"/>
    <w:rsid w:val="54320703"/>
    <w:rsid w:val="543E4715"/>
    <w:rsid w:val="5451004C"/>
    <w:rsid w:val="54851639"/>
    <w:rsid w:val="5522484B"/>
    <w:rsid w:val="557D0569"/>
    <w:rsid w:val="5587570B"/>
    <w:rsid w:val="558A22AC"/>
    <w:rsid w:val="558E6ABB"/>
    <w:rsid w:val="55A355F9"/>
    <w:rsid w:val="55DD64A1"/>
    <w:rsid w:val="55E82A81"/>
    <w:rsid w:val="56302D26"/>
    <w:rsid w:val="56331170"/>
    <w:rsid w:val="563A6413"/>
    <w:rsid w:val="564911C2"/>
    <w:rsid w:val="56AB7E7B"/>
    <w:rsid w:val="57123B2E"/>
    <w:rsid w:val="57552B9B"/>
    <w:rsid w:val="575E21DA"/>
    <w:rsid w:val="57631A68"/>
    <w:rsid w:val="57795016"/>
    <w:rsid w:val="57887785"/>
    <w:rsid w:val="578E7BD3"/>
    <w:rsid w:val="57CB3ED8"/>
    <w:rsid w:val="57EA0264"/>
    <w:rsid w:val="5812458E"/>
    <w:rsid w:val="581E7071"/>
    <w:rsid w:val="582F5586"/>
    <w:rsid w:val="58442023"/>
    <w:rsid w:val="587A5997"/>
    <w:rsid w:val="588F4F06"/>
    <w:rsid w:val="58F87317"/>
    <w:rsid w:val="590C70E6"/>
    <w:rsid w:val="59306A4B"/>
    <w:rsid w:val="59BD00B7"/>
    <w:rsid w:val="5A032C9A"/>
    <w:rsid w:val="5A3767E8"/>
    <w:rsid w:val="5A4630A9"/>
    <w:rsid w:val="5A4B58AF"/>
    <w:rsid w:val="5A765831"/>
    <w:rsid w:val="5A7E678F"/>
    <w:rsid w:val="5AAB2FC1"/>
    <w:rsid w:val="5AD54702"/>
    <w:rsid w:val="5AFC0D72"/>
    <w:rsid w:val="5B0424EF"/>
    <w:rsid w:val="5B0B08EB"/>
    <w:rsid w:val="5B255345"/>
    <w:rsid w:val="5B2A53E5"/>
    <w:rsid w:val="5B773FA4"/>
    <w:rsid w:val="5BD40309"/>
    <w:rsid w:val="5BD64942"/>
    <w:rsid w:val="5BF57A15"/>
    <w:rsid w:val="5C0B7082"/>
    <w:rsid w:val="5C2B4A66"/>
    <w:rsid w:val="5C322AFD"/>
    <w:rsid w:val="5C446B7B"/>
    <w:rsid w:val="5C530B22"/>
    <w:rsid w:val="5C585369"/>
    <w:rsid w:val="5C5B037B"/>
    <w:rsid w:val="5CFB41A1"/>
    <w:rsid w:val="5D102374"/>
    <w:rsid w:val="5D3021F2"/>
    <w:rsid w:val="5D3530B4"/>
    <w:rsid w:val="5D672797"/>
    <w:rsid w:val="5DA0223F"/>
    <w:rsid w:val="5DAD53F7"/>
    <w:rsid w:val="5DCC7928"/>
    <w:rsid w:val="5E2F137A"/>
    <w:rsid w:val="5E461F43"/>
    <w:rsid w:val="5E5E5545"/>
    <w:rsid w:val="5E6E228D"/>
    <w:rsid w:val="5E6F35AF"/>
    <w:rsid w:val="5EBB50C7"/>
    <w:rsid w:val="5EBD2F7D"/>
    <w:rsid w:val="5EDE1B19"/>
    <w:rsid w:val="5F0E251D"/>
    <w:rsid w:val="5F2343C8"/>
    <w:rsid w:val="5F2C7FA2"/>
    <w:rsid w:val="5F302399"/>
    <w:rsid w:val="5F481876"/>
    <w:rsid w:val="5F4929A6"/>
    <w:rsid w:val="5F63756F"/>
    <w:rsid w:val="5F6A7E1E"/>
    <w:rsid w:val="5F70255B"/>
    <w:rsid w:val="5F72040A"/>
    <w:rsid w:val="5F873308"/>
    <w:rsid w:val="6005239A"/>
    <w:rsid w:val="602142BA"/>
    <w:rsid w:val="60261C49"/>
    <w:rsid w:val="604A517F"/>
    <w:rsid w:val="60952502"/>
    <w:rsid w:val="60AB5358"/>
    <w:rsid w:val="60AD60D5"/>
    <w:rsid w:val="60AE78E6"/>
    <w:rsid w:val="60CD471D"/>
    <w:rsid w:val="60DC6EB3"/>
    <w:rsid w:val="60FC1A14"/>
    <w:rsid w:val="61477354"/>
    <w:rsid w:val="61690CDF"/>
    <w:rsid w:val="61D1258B"/>
    <w:rsid w:val="61E52C2B"/>
    <w:rsid w:val="61EE7ABE"/>
    <w:rsid w:val="62AA4627"/>
    <w:rsid w:val="62C64CAB"/>
    <w:rsid w:val="62C87364"/>
    <w:rsid w:val="6347415F"/>
    <w:rsid w:val="635A292F"/>
    <w:rsid w:val="63A04A4A"/>
    <w:rsid w:val="63C73303"/>
    <w:rsid w:val="63F66130"/>
    <w:rsid w:val="64160AED"/>
    <w:rsid w:val="641A1978"/>
    <w:rsid w:val="64A06D7E"/>
    <w:rsid w:val="64AA3C02"/>
    <w:rsid w:val="64D373D5"/>
    <w:rsid w:val="64FA7EF1"/>
    <w:rsid w:val="64FF1530"/>
    <w:rsid w:val="653553E4"/>
    <w:rsid w:val="655807AC"/>
    <w:rsid w:val="66293A88"/>
    <w:rsid w:val="663040C8"/>
    <w:rsid w:val="66CE76AA"/>
    <w:rsid w:val="66DB2DEC"/>
    <w:rsid w:val="673C3B20"/>
    <w:rsid w:val="676D1C85"/>
    <w:rsid w:val="677B0B79"/>
    <w:rsid w:val="678E43D7"/>
    <w:rsid w:val="67C97B76"/>
    <w:rsid w:val="67D743F6"/>
    <w:rsid w:val="67F851A0"/>
    <w:rsid w:val="68154B28"/>
    <w:rsid w:val="68436C40"/>
    <w:rsid w:val="684A6664"/>
    <w:rsid w:val="686E2F90"/>
    <w:rsid w:val="68A70B9F"/>
    <w:rsid w:val="68F2617C"/>
    <w:rsid w:val="69125294"/>
    <w:rsid w:val="691F576F"/>
    <w:rsid w:val="69393F40"/>
    <w:rsid w:val="69463BD4"/>
    <w:rsid w:val="69601D71"/>
    <w:rsid w:val="69737906"/>
    <w:rsid w:val="697C2493"/>
    <w:rsid w:val="698860B8"/>
    <w:rsid w:val="69AC3539"/>
    <w:rsid w:val="69D06BAD"/>
    <w:rsid w:val="69ED7058"/>
    <w:rsid w:val="6A147AC8"/>
    <w:rsid w:val="6A272F10"/>
    <w:rsid w:val="6A2C6D24"/>
    <w:rsid w:val="6A3C00A1"/>
    <w:rsid w:val="6A3F268B"/>
    <w:rsid w:val="6A6B73C3"/>
    <w:rsid w:val="6A78794D"/>
    <w:rsid w:val="6A9C7821"/>
    <w:rsid w:val="6AF70951"/>
    <w:rsid w:val="6B3A3FFA"/>
    <w:rsid w:val="6B4A6F94"/>
    <w:rsid w:val="6BA501B5"/>
    <w:rsid w:val="6BBA01E1"/>
    <w:rsid w:val="6BDA7CFF"/>
    <w:rsid w:val="6BF04A9C"/>
    <w:rsid w:val="6C0877AB"/>
    <w:rsid w:val="6C0F3D11"/>
    <w:rsid w:val="6C201AF0"/>
    <w:rsid w:val="6C2A34FC"/>
    <w:rsid w:val="6C2B29D4"/>
    <w:rsid w:val="6C2F1B9C"/>
    <w:rsid w:val="6C3727C2"/>
    <w:rsid w:val="6C416227"/>
    <w:rsid w:val="6C727114"/>
    <w:rsid w:val="6C8175EB"/>
    <w:rsid w:val="6CA6349E"/>
    <w:rsid w:val="6CD6671B"/>
    <w:rsid w:val="6D0C2478"/>
    <w:rsid w:val="6D754F28"/>
    <w:rsid w:val="6D8D05FA"/>
    <w:rsid w:val="6D9335A3"/>
    <w:rsid w:val="6DCC3677"/>
    <w:rsid w:val="6DE75FE9"/>
    <w:rsid w:val="6E4858CF"/>
    <w:rsid w:val="6E8C764F"/>
    <w:rsid w:val="6EC56427"/>
    <w:rsid w:val="6EF572A8"/>
    <w:rsid w:val="6EFA463B"/>
    <w:rsid w:val="6F227D11"/>
    <w:rsid w:val="6F3203A1"/>
    <w:rsid w:val="6F8952E6"/>
    <w:rsid w:val="6FA327D2"/>
    <w:rsid w:val="6FE40F11"/>
    <w:rsid w:val="7010148B"/>
    <w:rsid w:val="70271E38"/>
    <w:rsid w:val="702D43C9"/>
    <w:rsid w:val="70632937"/>
    <w:rsid w:val="7078073D"/>
    <w:rsid w:val="71065F09"/>
    <w:rsid w:val="712A435C"/>
    <w:rsid w:val="712E1021"/>
    <w:rsid w:val="7134285C"/>
    <w:rsid w:val="716B34BC"/>
    <w:rsid w:val="717808D4"/>
    <w:rsid w:val="71AF6028"/>
    <w:rsid w:val="71B75197"/>
    <w:rsid w:val="71D97F52"/>
    <w:rsid w:val="71F62C58"/>
    <w:rsid w:val="71F91F19"/>
    <w:rsid w:val="720211C8"/>
    <w:rsid w:val="724F582C"/>
    <w:rsid w:val="7253166C"/>
    <w:rsid w:val="72647B46"/>
    <w:rsid w:val="72AC0816"/>
    <w:rsid w:val="72D42670"/>
    <w:rsid w:val="731A2D19"/>
    <w:rsid w:val="731D5DA3"/>
    <w:rsid w:val="73246070"/>
    <w:rsid w:val="735469B1"/>
    <w:rsid w:val="73657015"/>
    <w:rsid w:val="738344D6"/>
    <w:rsid w:val="73C76C0F"/>
    <w:rsid w:val="73E90B0A"/>
    <w:rsid w:val="74234FA4"/>
    <w:rsid w:val="745A6D84"/>
    <w:rsid w:val="74D15131"/>
    <w:rsid w:val="74E925F3"/>
    <w:rsid w:val="74F276CF"/>
    <w:rsid w:val="750217DB"/>
    <w:rsid w:val="7515366C"/>
    <w:rsid w:val="754E3E4C"/>
    <w:rsid w:val="755A14C0"/>
    <w:rsid w:val="757A1131"/>
    <w:rsid w:val="75895C34"/>
    <w:rsid w:val="759A3867"/>
    <w:rsid w:val="75C66DE4"/>
    <w:rsid w:val="7642621F"/>
    <w:rsid w:val="7698562C"/>
    <w:rsid w:val="769B26AD"/>
    <w:rsid w:val="770A266F"/>
    <w:rsid w:val="772124BC"/>
    <w:rsid w:val="77404C59"/>
    <w:rsid w:val="77411964"/>
    <w:rsid w:val="776B6BBF"/>
    <w:rsid w:val="7772531A"/>
    <w:rsid w:val="77B7581D"/>
    <w:rsid w:val="77BE0D98"/>
    <w:rsid w:val="77D9206F"/>
    <w:rsid w:val="77DA375C"/>
    <w:rsid w:val="77DC1B06"/>
    <w:rsid w:val="78187E7A"/>
    <w:rsid w:val="78345E13"/>
    <w:rsid w:val="7876440E"/>
    <w:rsid w:val="789372C0"/>
    <w:rsid w:val="78A5634E"/>
    <w:rsid w:val="795221A8"/>
    <w:rsid w:val="79561463"/>
    <w:rsid w:val="795C5A04"/>
    <w:rsid w:val="797A48CF"/>
    <w:rsid w:val="798E06BC"/>
    <w:rsid w:val="79D95C3C"/>
    <w:rsid w:val="79E9620E"/>
    <w:rsid w:val="7A2D5E35"/>
    <w:rsid w:val="7A343008"/>
    <w:rsid w:val="7A652575"/>
    <w:rsid w:val="7A711B09"/>
    <w:rsid w:val="7A9E089B"/>
    <w:rsid w:val="7AAB0A4C"/>
    <w:rsid w:val="7ABE4771"/>
    <w:rsid w:val="7AC44622"/>
    <w:rsid w:val="7AD7404E"/>
    <w:rsid w:val="7B03411C"/>
    <w:rsid w:val="7B1C3ABE"/>
    <w:rsid w:val="7B496D47"/>
    <w:rsid w:val="7B5A23DF"/>
    <w:rsid w:val="7B7E3DDE"/>
    <w:rsid w:val="7C2049B9"/>
    <w:rsid w:val="7C300C1D"/>
    <w:rsid w:val="7C3A1460"/>
    <w:rsid w:val="7C5B3806"/>
    <w:rsid w:val="7C910A76"/>
    <w:rsid w:val="7C9B7D23"/>
    <w:rsid w:val="7D06121F"/>
    <w:rsid w:val="7D1B5A7A"/>
    <w:rsid w:val="7D5F7950"/>
    <w:rsid w:val="7D8A509E"/>
    <w:rsid w:val="7D8D4E59"/>
    <w:rsid w:val="7D8E2B8C"/>
    <w:rsid w:val="7DCA37F5"/>
    <w:rsid w:val="7DD40070"/>
    <w:rsid w:val="7E063AC9"/>
    <w:rsid w:val="7E252092"/>
    <w:rsid w:val="7E253A92"/>
    <w:rsid w:val="7E80056C"/>
    <w:rsid w:val="7EB24E86"/>
    <w:rsid w:val="7EBD3909"/>
    <w:rsid w:val="7EC765B2"/>
    <w:rsid w:val="7F2001D7"/>
    <w:rsid w:val="7F3C24B7"/>
    <w:rsid w:val="7F4967B5"/>
    <w:rsid w:val="7F5829C9"/>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60" w:after="60" w:line="413" w:lineRule="auto"/>
      <w:outlineLvl w:val="1"/>
    </w:pPr>
    <w:rPr>
      <w:rFonts w:ascii="Arial" w:hAnsi="Arial" w:eastAsia="黑体"/>
      <w:b/>
      <w:bCs/>
      <w:kern w:val="0"/>
      <w:sz w:val="20"/>
      <w:szCs w:val="32"/>
    </w:rPr>
  </w:style>
  <w:style w:type="paragraph" w:styleId="4">
    <w:name w:val="heading 3"/>
    <w:basedOn w:val="1"/>
    <w:next w:val="1"/>
    <w:link w:val="70"/>
    <w:qFormat/>
    <w:uiPriority w:val="0"/>
    <w:pPr>
      <w:keepNext/>
      <w:keepLines/>
      <w:spacing w:line="360" w:lineRule="auto"/>
      <w:outlineLvl w:val="2"/>
    </w:pPr>
    <w:rPr>
      <w:rFonts w:eastAsia="黑体"/>
      <w:b/>
      <w:bCs/>
      <w:kern w:val="0"/>
      <w:sz w:val="20"/>
      <w:szCs w:val="32"/>
    </w:rPr>
  </w:style>
  <w:style w:type="paragraph" w:styleId="5">
    <w:name w:val="heading 4"/>
    <w:basedOn w:val="1"/>
    <w:next w:val="1"/>
    <w:link w:val="71"/>
    <w:qFormat/>
    <w:uiPriority w:val="0"/>
    <w:pPr>
      <w:keepNext/>
      <w:keepLines/>
      <w:spacing w:line="360" w:lineRule="auto"/>
      <w:outlineLvl w:val="3"/>
    </w:pPr>
    <w:rPr>
      <w:rFonts w:ascii="Arial" w:hAnsi="Arial"/>
      <w:b/>
      <w:bCs/>
      <w:kern w:val="0"/>
      <w:sz w:val="20"/>
      <w:szCs w:val="28"/>
    </w:rPr>
  </w:style>
  <w:style w:type="paragraph" w:styleId="6">
    <w:name w:val="heading 5"/>
    <w:basedOn w:val="1"/>
    <w:next w:val="7"/>
    <w:link w:val="72"/>
    <w:qFormat/>
    <w:uiPriority w:val="0"/>
    <w:pPr>
      <w:keepNext/>
      <w:keepLines/>
      <w:numPr>
        <w:ilvl w:val="4"/>
        <w:numId w:val="1"/>
      </w:numPr>
      <w:spacing w:before="280" w:after="290" w:line="376" w:lineRule="auto"/>
      <w:outlineLvl w:val="4"/>
    </w:pPr>
    <w:rPr>
      <w:b/>
      <w:kern w:val="0"/>
      <w:sz w:val="28"/>
    </w:rPr>
  </w:style>
  <w:style w:type="paragraph" w:styleId="8">
    <w:name w:val="heading 6"/>
    <w:basedOn w:val="1"/>
    <w:next w:val="7"/>
    <w:link w:val="74"/>
    <w:qFormat/>
    <w:uiPriority w:val="0"/>
    <w:pPr>
      <w:keepNext/>
      <w:keepLines/>
      <w:numPr>
        <w:ilvl w:val="5"/>
        <w:numId w:val="1"/>
      </w:numPr>
      <w:spacing w:before="240" w:after="64" w:line="320" w:lineRule="auto"/>
      <w:outlineLvl w:val="5"/>
    </w:pPr>
    <w:rPr>
      <w:rFonts w:ascii="Arial" w:hAnsi="Arial" w:eastAsia="黑体"/>
      <w:b/>
      <w:kern w:val="0"/>
      <w:sz w:val="24"/>
    </w:rPr>
  </w:style>
  <w:style w:type="paragraph" w:styleId="9">
    <w:name w:val="heading 7"/>
    <w:basedOn w:val="1"/>
    <w:next w:val="7"/>
    <w:link w:val="75"/>
    <w:qFormat/>
    <w:uiPriority w:val="0"/>
    <w:pPr>
      <w:keepNext/>
      <w:keepLines/>
      <w:numPr>
        <w:ilvl w:val="6"/>
        <w:numId w:val="1"/>
      </w:numPr>
      <w:spacing w:before="240" w:after="64" w:line="320" w:lineRule="auto"/>
      <w:outlineLvl w:val="6"/>
    </w:pPr>
    <w:rPr>
      <w:b/>
      <w:kern w:val="0"/>
      <w:sz w:val="24"/>
    </w:rPr>
  </w:style>
  <w:style w:type="paragraph" w:styleId="10">
    <w:name w:val="heading 8"/>
    <w:basedOn w:val="1"/>
    <w:next w:val="7"/>
    <w:link w:val="76"/>
    <w:qFormat/>
    <w:uiPriority w:val="0"/>
    <w:pPr>
      <w:keepNext/>
      <w:keepLines/>
      <w:numPr>
        <w:ilvl w:val="7"/>
        <w:numId w:val="1"/>
      </w:numPr>
      <w:spacing w:before="240" w:after="64" w:line="320" w:lineRule="auto"/>
      <w:outlineLvl w:val="7"/>
    </w:pPr>
    <w:rPr>
      <w:rFonts w:ascii="Arial" w:hAnsi="Arial" w:eastAsia="黑体"/>
      <w:kern w:val="0"/>
      <w:sz w:val="24"/>
    </w:rPr>
  </w:style>
  <w:style w:type="paragraph" w:styleId="11">
    <w:name w:val="heading 9"/>
    <w:basedOn w:val="1"/>
    <w:next w:val="7"/>
    <w:link w:val="77"/>
    <w:qFormat/>
    <w:uiPriority w:val="0"/>
    <w:pPr>
      <w:keepNext/>
      <w:keepLines/>
      <w:numPr>
        <w:ilvl w:val="8"/>
        <w:numId w:val="1"/>
      </w:numPr>
      <w:spacing w:before="240" w:after="64" w:line="320" w:lineRule="auto"/>
      <w:outlineLvl w:val="8"/>
    </w:pPr>
    <w:rPr>
      <w:rFonts w:ascii="Arial" w:hAnsi="Arial" w:eastAsia="黑体"/>
      <w:kern w:val="0"/>
      <w:sz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ind w:firstLine="420"/>
    </w:pPr>
    <w:rPr>
      <w:kern w:val="0"/>
      <w:sz w:val="20"/>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8"/>
    <w:semiHidden/>
    <w:qFormat/>
    <w:uiPriority w:val="0"/>
    <w:pPr>
      <w:shd w:val="clear" w:color="auto" w:fill="000080"/>
    </w:pPr>
    <w:rPr>
      <w:kern w:val="0"/>
      <w:sz w:val="20"/>
    </w:rPr>
  </w:style>
  <w:style w:type="paragraph" w:styleId="17">
    <w:name w:val="toa heading"/>
    <w:basedOn w:val="1"/>
    <w:next w:val="1"/>
    <w:unhideWhenUsed/>
    <w:qFormat/>
    <w:uiPriority w:val="0"/>
    <w:pPr>
      <w:widowControl/>
    </w:pPr>
    <w:rPr>
      <w:rFonts w:ascii="Arial" w:hAnsi="Arial"/>
      <w:sz w:val="24"/>
      <w:szCs w:val="20"/>
    </w:rPr>
  </w:style>
  <w:style w:type="paragraph" w:styleId="18">
    <w:name w:val="annotation text"/>
    <w:basedOn w:val="1"/>
    <w:link w:val="79"/>
    <w:unhideWhenUsed/>
    <w:qFormat/>
    <w:uiPriority w:val="0"/>
    <w:pPr>
      <w:jc w:val="left"/>
    </w:pPr>
    <w:rPr>
      <w:kern w:val="0"/>
      <w:sz w:val="20"/>
    </w:rPr>
  </w:style>
  <w:style w:type="paragraph" w:styleId="19">
    <w:name w:val="Salutation"/>
    <w:basedOn w:val="1"/>
    <w:next w:val="1"/>
    <w:link w:val="80"/>
    <w:qFormat/>
    <w:uiPriority w:val="0"/>
    <w:rPr>
      <w:kern w:val="0"/>
      <w:sz w:val="28"/>
    </w:rPr>
  </w:style>
  <w:style w:type="paragraph" w:styleId="20">
    <w:name w:val="Body Text 3"/>
    <w:basedOn w:val="1"/>
    <w:link w:val="81"/>
    <w:qFormat/>
    <w:uiPriority w:val="0"/>
    <w:pPr>
      <w:spacing w:line="500" w:lineRule="exact"/>
    </w:pPr>
    <w:rPr>
      <w:b/>
      <w:bCs/>
      <w:kern w:val="0"/>
      <w:sz w:val="24"/>
    </w:rPr>
  </w:style>
  <w:style w:type="paragraph" w:styleId="21">
    <w:name w:val="Body Text"/>
    <w:basedOn w:val="1"/>
    <w:next w:val="1"/>
    <w:link w:val="82"/>
    <w:qFormat/>
    <w:uiPriority w:val="99"/>
    <w:pPr>
      <w:spacing w:line="380" w:lineRule="exact"/>
    </w:pPr>
    <w:rPr>
      <w:kern w:val="0"/>
      <w:sz w:val="24"/>
    </w:rPr>
  </w:style>
  <w:style w:type="paragraph" w:styleId="22">
    <w:name w:val="Body Text Indent"/>
    <w:basedOn w:val="1"/>
    <w:link w:val="83"/>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1680" w:leftChars="800"/>
    </w:pPr>
    <w:rPr>
      <w:rFonts w:ascii="Calibri" w:hAnsi="Calibri"/>
      <w:szCs w:val="22"/>
    </w:rPr>
  </w:style>
  <w:style w:type="paragraph" w:styleId="28">
    <w:name w:val="toc 3"/>
    <w:basedOn w:val="1"/>
    <w:next w:val="1"/>
    <w:qFormat/>
    <w:uiPriority w:val="39"/>
    <w:pPr>
      <w:ind w:left="840" w:leftChars="400"/>
    </w:pPr>
  </w:style>
  <w:style w:type="paragraph" w:styleId="29">
    <w:name w:val="Plain Text"/>
    <w:basedOn w:val="1"/>
    <w:next w:val="1"/>
    <w:link w:val="84"/>
    <w:qFormat/>
    <w:uiPriority w:val="0"/>
    <w:rPr>
      <w:rFonts w:ascii="宋体" w:hAnsi="Courier New"/>
      <w:kern w:val="0"/>
      <w:sz w:val="20"/>
      <w:szCs w:val="21"/>
    </w:rPr>
  </w:style>
  <w:style w:type="paragraph" w:styleId="30">
    <w:name w:val="toc 8"/>
    <w:basedOn w:val="1"/>
    <w:next w:val="1"/>
    <w:qFormat/>
    <w:uiPriority w:val="39"/>
    <w:pPr>
      <w:ind w:left="2940" w:leftChars="1400"/>
    </w:pPr>
    <w:rPr>
      <w:rFonts w:ascii="Calibri" w:hAnsi="Calibri"/>
      <w:szCs w:val="22"/>
    </w:rPr>
  </w:style>
  <w:style w:type="paragraph" w:styleId="31">
    <w:name w:val="Date"/>
    <w:basedOn w:val="1"/>
    <w:next w:val="1"/>
    <w:link w:val="85"/>
    <w:qFormat/>
    <w:uiPriority w:val="0"/>
    <w:pPr>
      <w:ind w:left="100" w:leftChars="2500"/>
    </w:pPr>
    <w:rPr>
      <w:rFonts w:ascii="宋体" w:hAnsi="Courier New"/>
      <w:kern w:val="0"/>
      <w:sz w:val="20"/>
      <w:szCs w:val="21"/>
    </w:rPr>
  </w:style>
  <w:style w:type="paragraph" w:styleId="32">
    <w:name w:val="Body Text Indent 2"/>
    <w:basedOn w:val="1"/>
    <w:link w:val="86"/>
    <w:qFormat/>
    <w:uiPriority w:val="0"/>
    <w:pPr>
      <w:ind w:firstLine="630"/>
    </w:pPr>
    <w:rPr>
      <w:kern w:val="0"/>
      <w:sz w:val="32"/>
      <w:szCs w:val="20"/>
    </w:rPr>
  </w:style>
  <w:style w:type="paragraph" w:styleId="33">
    <w:name w:val="endnote text"/>
    <w:basedOn w:val="1"/>
    <w:link w:val="87"/>
    <w:unhideWhenUsed/>
    <w:qFormat/>
    <w:uiPriority w:val="0"/>
    <w:pPr>
      <w:snapToGrid w:val="0"/>
      <w:jc w:val="left"/>
    </w:pPr>
    <w:rPr>
      <w:rFonts w:ascii="Calibri" w:hAnsi="Calibri"/>
      <w:kern w:val="0"/>
      <w:sz w:val="20"/>
      <w:szCs w:val="20"/>
    </w:rPr>
  </w:style>
  <w:style w:type="paragraph" w:styleId="34">
    <w:name w:val="Balloon Text"/>
    <w:basedOn w:val="1"/>
    <w:link w:val="88"/>
    <w:qFormat/>
    <w:uiPriority w:val="0"/>
    <w:rPr>
      <w:kern w:val="0"/>
      <w:sz w:val="18"/>
      <w:szCs w:val="18"/>
    </w:rPr>
  </w:style>
  <w:style w:type="paragraph" w:styleId="35">
    <w:name w:val="footer"/>
    <w:basedOn w:val="1"/>
    <w:link w:val="89"/>
    <w:qFormat/>
    <w:uiPriority w:val="0"/>
    <w:pPr>
      <w:tabs>
        <w:tab w:val="center" w:pos="4153"/>
        <w:tab w:val="right" w:pos="8306"/>
      </w:tabs>
      <w:snapToGrid w:val="0"/>
      <w:jc w:val="left"/>
    </w:pPr>
    <w:rPr>
      <w:kern w:val="0"/>
      <w:sz w:val="18"/>
      <w:szCs w:val="18"/>
    </w:rPr>
  </w:style>
  <w:style w:type="paragraph" w:styleId="36">
    <w:name w:val="header"/>
    <w:basedOn w:val="1"/>
    <w:link w:val="90"/>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toc 1"/>
    <w:basedOn w:val="1"/>
    <w:next w:val="1"/>
    <w:qFormat/>
    <w:uiPriority w:val="39"/>
    <w:pPr>
      <w:tabs>
        <w:tab w:val="right" w:leader="dot" w:pos="9360"/>
      </w:tabs>
      <w:spacing w:line="600" w:lineRule="exact"/>
    </w:pPr>
    <w:rPr>
      <w:rFonts w:ascii="宋体" w:hAnsi="宋体"/>
      <w:b/>
      <w:szCs w:val="21"/>
    </w:rPr>
  </w:style>
  <w:style w:type="paragraph" w:styleId="38">
    <w:name w:val="toc 4"/>
    <w:basedOn w:val="1"/>
    <w:next w:val="1"/>
    <w:qFormat/>
    <w:uiPriority w:val="39"/>
    <w:pPr>
      <w:ind w:left="1260" w:leftChars="600"/>
    </w:pPr>
    <w:rPr>
      <w:rFonts w:ascii="Calibri" w:hAnsi="Calibri"/>
      <w:szCs w:val="22"/>
    </w:rPr>
  </w:style>
  <w:style w:type="paragraph" w:styleId="39">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2"/>
    <w:qFormat/>
    <w:uiPriority w:val="0"/>
    <w:pPr>
      <w:adjustRightInd w:val="0"/>
      <w:spacing w:line="312" w:lineRule="atLeast"/>
      <w:jc w:val="left"/>
      <w:textAlignment w:val="baseline"/>
    </w:pPr>
    <w:rPr>
      <w:kern w:val="0"/>
      <w:sz w:val="18"/>
      <w:szCs w:val="20"/>
    </w:rPr>
  </w:style>
  <w:style w:type="paragraph" w:styleId="42">
    <w:name w:val="toc 6"/>
    <w:basedOn w:val="1"/>
    <w:next w:val="1"/>
    <w:qFormat/>
    <w:uiPriority w:val="39"/>
    <w:pPr>
      <w:ind w:left="2100" w:leftChars="1000"/>
    </w:pPr>
    <w:rPr>
      <w:rFonts w:ascii="Calibri" w:hAnsi="Calibri"/>
      <w:szCs w:val="22"/>
    </w:rPr>
  </w:style>
  <w:style w:type="paragraph" w:styleId="43">
    <w:name w:val="List 5"/>
    <w:basedOn w:val="1"/>
    <w:qFormat/>
    <w:uiPriority w:val="0"/>
    <w:pPr>
      <w:ind w:left="2100" w:hanging="420"/>
    </w:pPr>
    <w:rPr>
      <w:szCs w:val="20"/>
    </w:rPr>
  </w:style>
  <w:style w:type="paragraph" w:styleId="44">
    <w:name w:val="Body Text Indent 3"/>
    <w:basedOn w:val="1"/>
    <w:link w:val="93"/>
    <w:qFormat/>
    <w:uiPriority w:val="0"/>
    <w:pPr>
      <w:spacing w:after="120"/>
      <w:ind w:left="420" w:leftChars="200"/>
    </w:pPr>
    <w:rPr>
      <w:kern w:val="0"/>
      <w:sz w:val="16"/>
      <w:szCs w:val="16"/>
    </w:rPr>
  </w:style>
  <w:style w:type="paragraph" w:styleId="45">
    <w:name w:val="table of figures"/>
    <w:basedOn w:val="1"/>
    <w:next w:val="1"/>
    <w:semiHidden/>
    <w:qFormat/>
    <w:uiPriority w:val="0"/>
    <w:pPr>
      <w:ind w:left="420" w:hanging="420"/>
      <w:jc w:val="left"/>
    </w:pPr>
    <w:rPr>
      <w:smallCaps/>
      <w:sz w:val="20"/>
      <w:szCs w:val="20"/>
    </w:rPr>
  </w:style>
  <w:style w:type="paragraph" w:styleId="46">
    <w:name w:val="toc 2"/>
    <w:basedOn w:val="1"/>
    <w:next w:val="1"/>
    <w:qFormat/>
    <w:uiPriority w:val="39"/>
    <w:pPr>
      <w:tabs>
        <w:tab w:val="right" w:leader="dot" w:pos="9360"/>
      </w:tabs>
      <w:ind w:left="420" w:leftChars="200"/>
    </w:pPr>
  </w:style>
  <w:style w:type="paragraph" w:styleId="47">
    <w:name w:val="toc 9"/>
    <w:basedOn w:val="1"/>
    <w:next w:val="1"/>
    <w:qFormat/>
    <w:uiPriority w:val="39"/>
    <w:pPr>
      <w:ind w:left="3360" w:leftChars="1600"/>
    </w:pPr>
    <w:rPr>
      <w:rFonts w:ascii="Calibri" w:hAnsi="Calibri"/>
      <w:szCs w:val="22"/>
    </w:rPr>
  </w:style>
  <w:style w:type="paragraph" w:styleId="48">
    <w:name w:val="Body Text 2"/>
    <w:basedOn w:val="1"/>
    <w:link w:val="94"/>
    <w:qFormat/>
    <w:uiPriority w:val="0"/>
    <w:pPr>
      <w:spacing w:after="120" w:line="480" w:lineRule="auto"/>
    </w:pPr>
    <w:rPr>
      <w:kern w:val="0"/>
      <w:sz w:val="20"/>
    </w:rPr>
  </w:style>
  <w:style w:type="paragraph" w:styleId="49">
    <w:name w:val="List 4"/>
    <w:basedOn w:val="1"/>
    <w:qFormat/>
    <w:uiPriority w:val="0"/>
    <w:pPr>
      <w:ind w:left="100" w:leftChars="600" w:hanging="200" w:hangingChars="200"/>
    </w:pPr>
  </w:style>
  <w:style w:type="paragraph" w:styleId="50">
    <w:name w:val="List Continue 2"/>
    <w:basedOn w:val="1"/>
    <w:qFormat/>
    <w:uiPriority w:val="0"/>
    <w:pPr>
      <w:spacing w:after="120"/>
      <w:ind w:left="840" w:leftChars="400"/>
    </w:pPr>
  </w:style>
  <w:style w:type="paragraph" w:styleId="5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index 1"/>
    <w:basedOn w:val="1"/>
    <w:next w:val="1"/>
    <w:semiHidden/>
    <w:qFormat/>
    <w:uiPriority w:val="0"/>
    <w:pPr>
      <w:spacing w:line="400" w:lineRule="exact"/>
      <w:ind w:firstLine="420" w:firstLineChars="200"/>
    </w:pPr>
    <w:rPr>
      <w:rFonts w:ascii="宋体" w:hAnsi="Courier New"/>
      <w:b/>
      <w:szCs w:val="20"/>
    </w:rPr>
  </w:style>
  <w:style w:type="paragraph" w:styleId="54">
    <w:name w:val="Title"/>
    <w:basedOn w:val="1"/>
    <w:next w:val="1"/>
    <w:link w:val="96"/>
    <w:qFormat/>
    <w:uiPriority w:val="0"/>
    <w:pPr>
      <w:spacing w:before="240" w:after="60"/>
      <w:jc w:val="center"/>
      <w:outlineLvl w:val="0"/>
    </w:pPr>
    <w:rPr>
      <w:rFonts w:ascii="Cambria" w:hAnsi="Cambria"/>
      <w:b/>
      <w:bCs/>
      <w:kern w:val="0"/>
      <w:sz w:val="32"/>
      <w:szCs w:val="32"/>
    </w:rPr>
  </w:style>
  <w:style w:type="paragraph" w:styleId="55">
    <w:name w:val="annotation subject"/>
    <w:basedOn w:val="18"/>
    <w:next w:val="18"/>
    <w:link w:val="97"/>
    <w:qFormat/>
    <w:uiPriority w:val="0"/>
    <w:rPr>
      <w:b/>
      <w:bCs/>
    </w:rPr>
  </w:style>
  <w:style w:type="paragraph" w:styleId="56">
    <w:name w:val="Body Text First Indent"/>
    <w:basedOn w:val="21"/>
    <w:next w:val="1"/>
    <w:link w:val="98"/>
    <w:qFormat/>
    <w:uiPriority w:val="0"/>
    <w:pPr>
      <w:spacing w:after="120" w:line="240" w:lineRule="auto"/>
      <w:ind w:firstLine="420" w:firstLineChars="100"/>
    </w:pPr>
    <w:rPr>
      <w:sz w:val="21"/>
    </w:rPr>
  </w:style>
  <w:style w:type="paragraph" w:styleId="57">
    <w:name w:val="Body Text First Indent 2"/>
    <w:basedOn w:val="22"/>
    <w:link w:val="99"/>
    <w:qFormat/>
    <w:uiPriority w:val="0"/>
    <w:pPr>
      <w:spacing w:after="120"/>
      <w:ind w:left="420" w:leftChars="200" w:firstLine="420" w:firstLineChars="200"/>
    </w:pPr>
    <w:rPr>
      <w:rFonts w:ascii="Times New Roman" w:eastAsia="宋体"/>
      <w:szCs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0"/>
    <w:rPr>
      <w:b/>
      <w:bCs/>
    </w:rPr>
  </w:style>
  <w:style w:type="character" w:styleId="62">
    <w:name w:val="page number"/>
    <w:qFormat/>
    <w:uiPriority w:val="0"/>
  </w:style>
  <w:style w:type="character" w:styleId="63">
    <w:name w:val="FollowedHyperlink"/>
    <w:qFormat/>
    <w:uiPriority w:val="99"/>
    <w:rPr>
      <w:color w:val="000000"/>
      <w:sz w:val="24"/>
      <w:szCs w:val="24"/>
      <w:u w:val="none"/>
    </w:rPr>
  </w:style>
  <w:style w:type="character" w:styleId="64">
    <w:name w:val="Emphasis"/>
    <w:qFormat/>
    <w:uiPriority w:val="20"/>
    <w:rPr>
      <w:i/>
      <w:iCs/>
    </w:rPr>
  </w:style>
  <w:style w:type="character" w:styleId="65">
    <w:name w:val="Hyperlink"/>
    <w:qFormat/>
    <w:uiPriority w:val="99"/>
    <w:rPr>
      <w:color w:val="000000"/>
      <w:sz w:val="24"/>
      <w:szCs w:val="24"/>
      <w:u w:val="none"/>
    </w:rPr>
  </w:style>
  <w:style w:type="character" w:styleId="66">
    <w:name w:val="HTML Code"/>
    <w:qFormat/>
    <w:uiPriority w:val="0"/>
    <w:rPr>
      <w:rFonts w:ascii="宋体" w:hAnsi="宋体" w:eastAsia="宋体" w:cs="宋体"/>
      <w:sz w:val="24"/>
      <w:szCs w:val="24"/>
    </w:rPr>
  </w:style>
  <w:style w:type="character" w:styleId="67">
    <w:name w:val="annotation reference"/>
    <w:qFormat/>
    <w:uiPriority w:val="0"/>
    <w:rPr>
      <w:sz w:val="21"/>
      <w:szCs w:val="21"/>
    </w:rPr>
  </w:style>
  <w:style w:type="character" w:customStyle="1" w:styleId="68">
    <w:name w:val="标题 1 Char"/>
    <w:link w:val="2"/>
    <w:qFormat/>
    <w:uiPriority w:val="0"/>
    <w:rPr>
      <w:rFonts w:ascii="Times New Roman" w:hAnsi="Times New Roman" w:eastAsia="宋体" w:cs="Times New Roman"/>
      <w:b/>
      <w:bCs/>
      <w:kern w:val="44"/>
      <w:sz w:val="44"/>
      <w:szCs w:val="44"/>
    </w:rPr>
  </w:style>
  <w:style w:type="character" w:customStyle="1" w:styleId="69">
    <w:name w:val="标题 2 Char"/>
    <w:link w:val="3"/>
    <w:qFormat/>
    <w:uiPriority w:val="0"/>
    <w:rPr>
      <w:rFonts w:ascii="Arial" w:hAnsi="Arial" w:eastAsia="黑体" w:cs="Times New Roman"/>
      <w:b/>
      <w:bCs/>
      <w:szCs w:val="32"/>
    </w:rPr>
  </w:style>
  <w:style w:type="character" w:customStyle="1" w:styleId="70">
    <w:name w:val="标题 3 Char1"/>
    <w:link w:val="4"/>
    <w:qFormat/>
    <w:uiPriority w:val="0"/>
    <w:rPr>
      <w:rFonts w:ascii="Times New Roman" w:hAnsi="Times New Roman" w:eastAsia="黑体" w:cs="Times New Roman"/>
      <w:b/>
      <w:bCs/>
      <w:szCs w:val="32"/>
    </w:rPr>
  </w:style>
  <w:style w:type="character" w:customStyle="1" w:styleId="71">
    <w:name w:val="标题 4 Char"/>
    <w:link w:val="5"/>
    <w:qFormat/>
    <w:uiPriority w:val="0"/>
    <w:rPr>
      <w:rFonts w:ascii="Arial" w:hAnsi="Arial" w:eastAsia="宋体" w:cs="Times New Roman"/>
      <w:b/>
      <w:bCs/>
      <w:szCs w:val="28"/>
    </w:rPr>
  </w:style>
  <w:style w:type="character" w:customStyle="1" w:styleId="72">
    <w:name w:val="标题 5 Char"/>
    <w:link w:val="6"/>
    <w:qFormat/>
    <w:uiPriority w:val="0"/>
    <w:rPr>
      <w:rFonts w:eastAsia="宋体"/>
      <w:b/>
      <w:sz w:val="28"/>
      <w:szCs w:val="24"/>
      <w:lang w:bidi="ar-SA"/>
    </w:rPr>
  </w:style>
  <w:style w:type="character" w:customStyle="1" w:styleId="73">
    <w:name w:val="正文缩进 Char"/>
    <w:link w:val="7"/>
    <w:qFormat/>
    <w:locked/>
    <w:uiPriority w:val="0"/>
    <w:rPr>
      <w:rFonts w:ascii="Times New Roman" w:hAnsi="Times New Roman" w:eastAsia="宋体" w:cs="Times New Roman"/>
      <w:szCs w:val="20"/>
    </w:rPr>
  </w:style>
  <w:style w:type="character" w:customStyle="1" w:styleId="74">
    <w:name w:val="标题 6 Char"/>
    <w:link w:val="8"/>
    <w:qFormat/>
    <w:uiPriority w:val="0"/>
    <w:rPr>
      <w:rFonts w:ascii="Arial" w:hAnsi="Arial" w:eastAsia="黑体"/>
      <w:b/>
      <w:sz w:val="24"/>
      <w:szCs w:val="24"/>
      <w:lang w:bidi="ar-SA"/>
    </w:rPr>
  </w:style>
  <w:style w:type="character" w:customStyle="1" w:styleId="75">
    <w:name w:val="标题 7 Char"/>
    <w:link w:val="9"/>
    <w:qFormat/>
    <w:uiPriority w:val="0"/>
    <w:rPr>
      <w:rFonts w:eastAsia="宋体"/>
      <w:b/>
      <w:sz w:val="24"/>
      <w:szCs w:val="24"/>
      <w:lang w:bidi="ar-SA"/>
    </w:rPr>
  </w:style>
  <w:style w:type="character" w:customStyle="1" w:styleId="76">
    <w:name w:val="标题 8 Char"/>
    <w:link w:val="10"/>
    <w:qFormat/>
    <w:uiPriority w:val="0"/>
    <w:rPr>
      <w:rFonts w:ascii="Arial" w:hAnsi="Arial" w:eastAsia="黑体"/>
      <w:sz w:val="24"/>
      <w:szCs w:val="24"/>
      <w:lang w:bidi="ar-SA"/>
    </w:rPr>
  </w:style>
  <w:style w:type="character" w:customStyle="1" w:styleId="77">
    <w:name w:val="标题 9 Char"/>
    <w:link w:val="11"/>
    <w:qFormat/>
    <w:uiPriority w:val="0"/>
    <w:rPr>
      <w:rFonts w:ascii="Arial" w:hAnsi="Arial" w:eastAsia="黑体"/>
      <w:szCs w:val="24"/>
      <w:lang w:bidi="ar-SA"/>
    </w:rPr>
  </w:style>
  <w:style w:type="character" w:customStyle="1" w:styleId="78">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79">
    <w:name w:val="批注文字 Char4"/>
    <w:link w:val="18"/>
    <w:qFormat/>
    <w:uiPriority w:val="0"/>
    <w:rPr>
      <w:rFonts w:ascii="Times New Roman" w:hAnsi="Times New Roman" w:eastAsia="宋体" w:cs="Times New Roman"/>
      <w:szCs w:val="24"/>
    </w:rPr>
  </w:style>
  <w:style w:type="character" w:customStyle="1" w:styleId="80">
    <w:name w:val="称呼 Char"/>
    <w:link w:val="19"/>
    <w:qFormat/>
    <w:uiPriority w:val="0"/>
    <w:rPr>
      <w:rFonts w:ascii="Times New Roman" w:hAnsi="Times New Roman" w:eastAsia="宋体" w:cs="Times New Roman"/>
      <w:sz w:val="28"/>
      <w:szCs w:val="24"/>
    </w:rPr>
  </w:style>
  <w:style w:type="character" w:customStyle="1" w:styleId="81">
    <w:name w:val="正文文本 3 Char"/>
    <w:link w:val="20"/>
    <w:qFormat/>
    <w:uiPriority w:val="0"/>
    <w:rPr>
      <w:rFonts w:ascii="Times New Roman" w:hAnsi="Times New Roman" w:eastAsia="宋体" w:cs="Times New Roman"/>
      <w:b/>
      <w:bCs/>
      <w:sz w:val="24"/>
      <w:szCs w:val="24"/>
    </w:rPr>
  </w:style>
  <w:style w:type="character" w:customStyle="1" w:styleId="82">
    <w:name w:val="正文文本 Char"/>
    <w:link w:val="21"/>
    <w:qFormat/>
    <w:uiPriority w:val="99"/>
    <w:rPr>
      <w:rFonts w:ascii="Times New Roman" w:hAnsi="Times New Roman" w:eastAsia="宋体" w:cs="Times New Roman"/>
      <w:sz w:val="24"/>
      <w:szCs w:val="24"/>
    </w:rPr>
  </w:style>
  <w:style w:type="character" w:customStyle="1" w:styleId="83">
    <w:name w:val="正文文本缩进 Char"/>
    <w:link w:val="22"/>
    <w:qFormat/>
    <w:uiPriority w:val="0"/>
    <w:rPr>
      <w:rFonts w:ascii="仿宋_GB2312" w:hAnsi="Times New Roman" w:eastAsia="仿宋_GB2312" w:cs="Times New Roman"/>
      <w:sz w:val="32"/>
      <w:szCs w:val="20"/>
    </w:rPr>
  </w:style>
  <w:style w:type="character" w:customStyle="1" w:styleId="84">
    <w:name w:val="纯文本 Char1"/>
    <w:link w:val="29"/>
    <w:qFormat/>
    <w:uiPriority w:val="0"/>
    <w:rPr>
      <w:rFonts w:ascii="宋体" w:hAnsi="Courier New" w:eastAsia="宋体" w:cs="Courier New"/>
      <w:szCs w:val="21"/>
    </w:rPr>
  </w:style>
  <w:style w:type="character" w:customStyle="1" w:styleId="85">
    <w:name w:val="日期 Char"/>
    <w:link w:val="31"/>
    <w:qFormat/>
    <w:uiPriority w:val="0"/>
    <w:rPr>
      <w:rFonts w:ascii="宋体" w:hAnsi="Courier New" w:eastAsia="宋体" w:cs="Courier New"/>
      <w:szCs w:val="21"/>
    </w:rPr>
  </w:style>
  <w:style w:type="character" w:customStyle="1" w:styleId="86">
    <w:name w:val="正文文本缩进 2 Char"/>
    <w:link w:val="32"/>
    <w:qFormat/>
    <w:uiPriority w:val="0"/>
    <w:rPr>
      <w:rFonts w:ascii="Times New Roman" w:hAnsi="Times New Roman" w:eastAsia="宋体" w:cs="Times New Roman"/>
      <w:sz w:val="32"/>
      <w:szCs w:val="20"/>
    </w:rPr>
  </w:style>
  <w:style w:type="character" w:customStyle="1" w:styleId="87">
    <w:name w:val="尾注文本 Char"/>
    <w:link w:val="33"/>
    <w:qFormat/>
    <w:uiPriority w:val="0"/>
    <w:rPr>
      <w:rFonts w:ascii="Calibri" w:hAnsi="Calibri" w:eastAsia="宋体" w:cs="Times New Roman"/>
    </w:rPr>
  </w:style>
  <w:style w:type="character" w:customStyle="1" w:styleId="88">
    <w:name w:val="批注框文本 Char"/>
    <w:link w:val="34"/>
    <w:qFormat/>
    <w:uiPriority w:val="0"/>
    <w:rPr>
      <w:rFonts w:ascii="Times New Roman" w:hAnsi="Times New Roman" w:eastAsia="宋体" w:cs="Times New Roman"/>
      <w:sz w:val="18"/>
      <w:szCs w:val="18"/>
    </w:rPr>
  </w:style>
  <w:style w:type="character" w:customStyle="1" w:styleId="89">
    <w:name w:val="页脚 Char"/>
    <w:link w:val="35"/>
    <w:qFormat/>
    <w:uiPriority w:val="0"/>
    <w:rPr>
      <w:rFonts w:ascii="Times New Roman" w:hAnsi="Times New Roman" w:eastAsia="宋体" w:cs="Times New Roman"/>
      <w:sz w:val="18"/>
      <w:szCs w:val="18"/>
    </w:rPr>
  </w:style>
  <w:style w:type="character" w:customStyle="1" w:styleId="90">
    <w:name w:val="页眉 Char2"/>
    <w:link w:val="36"/>
    <w:qFormat/>
    <w:uiPriority w:val="0"/>
    <w:rPr>
      <w:rFonts w:ascii="Times New Roman" w:hAnsi="Times New Roman" w:eastAsia="宋体" w:cs="Times New Roman"/>
      <w:sz w:val="18"/>
      <w:szCs w:val="18"/>
    </w:rPr>
  </w:style>
  <w:style w:type="character" w:customStyle="1" w:styleId="91">
    <w:name w:val="副标题 Char"/>
    <w:link w:val="39"/>
    <w:qFormat/>
    <w:uiPriority w:val="0"/>
    <w:rPr>
      <w:rFonts w:ascii="Cambria" w:hAnsi="Cambria" w:eastAsia="宋体" w:cs="Times New Roman"/>
      <w:b/>
      <w:bCs/>
      <w:kern w:val="28"/>
      <w:sz w:val="32"/>
      <w:szCs w:val="32"/>
    </w:rPr>
  </w:style>
  <w:style w:type="character" w:customStyle="1" w:styleId="92">
    <w:name w:val="脚注文本 Char"/>
    <w:link w:val="41"/>
    <w:qFormat/>
    <w:uiPriority w:val="0"/>
    <w:rPr>
      <w:sz w:val="18"/>
    </w:rPr>
  </w:style>
  <w:style w:type="character" w:customStyle="1" w:styleId="93">
    <w:name w:val="正文文本缩进 3 Char"/>
    <w:link w:val="44"/>
    <w:qFormat/>
    <w:uiPriority w:val="0"/>
    <w:rPr>
      <w:rFonts w:ascii="Times New Roman" w:hAnsi="Times New Roman" w:eastAsia="宋体" w:cs="Times New Roman"/>
      <w:sz w:val="16"/>
      <w:szCs w:val="16"/>
    </w:rPr>
  </w:style>
  <w:style w:type="character" w:customStyle="1" w:styleId="94">
    <w:name w:val="正文文本 2 Char"/>
    <w:link w:val="48"/>
    <w:qFormat/>
    <w:uiPriority w:val="0"/>
    <w:rPr>
      <w:rFonts w:ascii="Times New Roman" w:hAnsi="Times New Roman" w:eastAsia="宋体" w:cs="Times New Roman"/>
      <w:szCs w:val="24"/>
    </w:rPr>
  </w:style>
  <w:style w:type="character" w:customStyle="1" w:styleId="95">
    <w:name w:val="HTML 预设格式 Char"/>
    <w:link w:val="51"/>
    <w:qFormat/>
    <w:uiPriority w:val="0"/>
    <w:rPr>
      <w:rFonts w:ascii="黑体" w:hAnsi="Courier New" w:eastAsia="黑体" w:cs="Courier New"/>
      <w:kern w:val="0"/>
      <w:sz w:val="20"/>
      <w:szCs w:val="20"/>
    </w:rPr>
  </w:style>
  <w:style w:type="character" w:customStyle="1" w:styleId="96">
    <w:name w:val="标题 Char"/>
    <w:link w:val="54"/>
    <w:qFormat/>
    <w:uiPriority w:val="0"/>
    <w:rPr>
      <w:rFonts w:ascii="Cambria" w:hAnsi="Cambria"/>
      <w:b/>
      <w:bCs/>
      <w:sz w:val="32"/>
      <w:szCs w:val="32"/>
    </w:rPr>
  </w:style>
  <w:style w:type="character" w:customStyle="1" w:styleId="97">
    <w:name w:val="批注主题 Char"/>
    <w:link w:val="55"/>
    <w:qFormat/>
    <w:uiPriority w:val="0"/>
    <w:rPr>
      <w:b/>
      <w:bCs/>
      <w:szCs w:val="24"/>
    </w:rPr>
  </w:style>
  <w:style w:type="character" w:customStyle="1" w:styleId="98">
    <w:name w:val="正文首行缩进 Char"/>
    <w:link w:val="56"/>
    <w:qFormat/>
    <w:uiPriority w:val="0"/>
  </w:style>
  <w:style w:type="character" w:customStyle="1" w:styleId="99">
    <w:name w:val="正文首行缩进 2 Char"/>
    <w:link w:val="57"/>
    <w:qFormat/>
    <w:uiPriority w:val="0"/>
    <w:rPr>
      <w:rFonts w:ascii="Times New Roman" w:hAnsi="Times New Roman" w:eastAsia="宋体" w:cs="Times New Roman"/>
      <w:sz w:val="32"/>
      <w:szCs w:val="24"/>
    </w:rPr>
  </w:style>
  <w:style w:type="paragraph" w:customStyle="1" w:styleId="100">
    <w:name w:val="表格文字1151"/>
    <w:basedOn w:val="1"/>
    <w:qFormat/>
    <w:uiPriority w:val="0"/>
    <w:pPr>
      <w:spacing w:before="25" w:after="25"/>
      <w:jc w:val="left"/>
    </w:pPr>
    <w:rPr>
      <w:bCs/>
      <w:spacing w:val="10"/>
      <w:kern w:val="0"/>
      <w:sz w:val="24"/>
    </w:rPr>
  </w:style>
  <w:style w:type="paragraph" w:customStyle="1" w:styleId="101">
    <w:name w:val="表格文字1"/>
    <w:basedOn w:val="1"/>
    <w:qFormat/>
    <w:uiPriority w:val="0"/>
    <w:pPr>
      <w:spacing w:before="25" w:after="25"/>
      <w:jc w:val="left"/>
    </w:pPr>
    <w:rPr>
      <w:bCs/>
      <w:spacing w:val="10"/>
      <w:kern w:val="0"/>
      <w:sz w:val="24"/>
    </w:rPr>
  </w:style>
  <w:style w:type="paragraph" w:customStyle="1" w:styleId="102">
    <w:name w:val="Char Char Char Char Char Char211"/>
    <w:basedOn w:val="1"/>
    <w:qFormat/>
    <w:uiPriority w:val="0"/>
    <w:pPr>
      <w:widowControl/>
      <w:spacing w:after="160" w:line="240" w:lineRule="exact"/>
    </w:pPr>
    <w:rPr>
      <w:rFonts w:ascii="Arial" w:hAnsi="Arial"/>
      <w:b/>
      <w:kern w:val="0"/>
      <w:szCs w:val="20"/>
      <w:lang w:eastAsia="en-US"/>
    </w:rPr>
  </w:style>
  <w:style w:type="character" w:customStyle="1" w:styleId="103">
    <w:name w:val="标题 3 Char"/>
    <w:qFormat/>
    <w:uiPriority w:val="0"/>
    <w:rPr>
      <w:rFonts w:ascii="Times New Roman" w:hAnsi="Times New Roman" w:eastAsia="宋体" w:cs="Times New Roman"/>
      <w:b/>
      <w:bCs/>
      <w:sz w:val="32"/>
      <w:szCs w:val="32"/>
    </w:rPr>
  </w:style>
  <w:style w:type="paragraph" w:customStyle="1" w:styleId="104">
    <w:name w:val="表格文字113"/>
    <w:basedOn w:val="1"/>
    <w:qFormat/>
    <w:uiPriority w:val="0"/>
    <w:pPr>
      <w:jc w:val="left"/>
    </w:pPr>
    <w:rPr>
      <w:bCs/>
      <w:spacing w:val="10"/>
      <w:kern w:val="0"/>
    </w:rPr>
  </w:style>
  <w:style w:type="paragraph" w:customStyle="1" w:styleId="105">
    <w:name w:val="Char Char Char Char Char Char2423"/>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06">
    <w:name w:val="表格文字111"/>
    <w:basedOn w:val="1"/>
    <w:qFormat/>
    <w:uiPriority w:val="0"/>
    <w:pPr>
      <w:jc w:val="left"/>
    </w:pPr>
    <w:rPr>
      <w:bCs/>
      <w:spacing w:val="10"/>
      <w:kern w:val="0"/>
    </w:rPr>
  </w:style>
  <w:style w:type="paragraph" w:customStyle="1" w:styleId="107">
    <w:name w:val="Char Char Char Char Char Char24211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08">
    <w:name w:val="表格文字1153"/>
    <w:basedOn w:val="1"/>
    <w:qFormat/>
    <w:uiPriority w:val="0"/>
    <w:pPr>
      <w:spacing w:before="25" w:after="25"/>
      <w:jc w:val="left"/>
    </w:pPr>
    <w:rPr>
      <w:bCs/>
      <w:spacing w:val="10"/>
      <w:kern w:val="0"/>
      <w:sz w:val="24"/>
    </w:rPr>
  </w:style>
  <w:style w:type="paragraph" w:customStyle="1" w:styleId="109">
    <w:name w:val="Char Char Char Char Char Char2421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0">
    <w:name w:val="Char Char Char Char Char Char242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1">
    <w:name w:val="Char Char Char Char Char Char2111"/>
    <w:basedOn w:val="1"/>
    <w:qFormat/>
    <w:uiPriority w:val="0"/>
    <w:pPr>
      <w:widowControl/>
      <w:spacing w:after="160" w:line="240" w:lineRule="exact"/>
    </w:pPr>
    <w:rPr>
      <w:rFonts w:ascii="Arial" w:hAnsi="Arial"/>
      <w:b/>
      <w:kern w:val="0"/>
      <w:szCs w:val="20"/>
      <w:lang w:eastAsia="en-US"/>
    </w:rPr>
  </w:style>
  <w:style w:type="paragraph" w:customStyle="1" w:styleId="112">
    <w:name w:val="Char Char Char Char Char Char2112"/>
    <w:basedOn w:val="1"/>
    <w:qFormat/>
    <w:uiPriority w:val="0"/>
    <w:pPr>
      <w:widowControl/>
      <w:spacing w:after="160" w:line="240" w:lineRule="exact"/>
    </w:pPr>
    <w:rPr>
      <w:rFonts w:ascii="Arial" w:hAnsi="Arial"/>
      <w:b/>
      <w:kern w:val="0"/>
      <w:szCs w:val="20"/>
      <w:lang w:eastAsia="en-US"/>
    </w:rPr>
  </w:style>
  <w:style w:type="paragraph" w:customStyle="1" w:styleId="113">
    <w:name w:val="Char Char Char Char Char Char21"/>
    <w:basedOn w:val="1"/>
    <w:qFormat/>
    <w:uiPriority w:val="0"/>
    <w:pPr>
      <w:widowControl/>
      <w:spacing w:after="160" w:line="240" w:lineRule="exact"/>
    </w:pPr>
    <w:rPr>
      <w:rFonts w:ascii="Arial" w:hAnsi="Arial"/>
      <w:b/>
      <w:kern w:val="0"/>
      <w:szCs w:val="20"/>
      <w:lang w:eastAsia="en-US"/>
    </w:rPr>
  </w:style>
  <w:style w:type="paragraph" w:customStyle="1" w:styleId="114">
    <w:name w:val="Char Char Char Char Char Char4"/>
    <w:basedOn w:val="1"/>
    <w:qFormat/>
    <w:uiPriority w:val="0"/>
    <w:pPr>
      <w:widowControl/>
      <w:spacing w:after="160" w:line="240" w:lineRule="exact"/>
      <w:jc w:val="left"/>
    </w:pPr>
    <w:rPr>
      <w:rFonts w:ascii="Arial" w:hAnsi="Arial"/>
      <w:b/>
      <w:kern w:val="0"/>
      <w:sz w:val="24"/>
      <w:szCs w:val="20"/>
      <w:lang w:eastAsia="en-US"/>
    </w:rPr>
  </w:style>
  <w:style w:type="paragraph" w:customStyle="1" w:styleId="115">
    <w:name w:val="表格文字12"/>
    <w:basedOn w:val="1"/>
    <w:qFormat/>
    <w:uiPriority w:val="0"/>
    <w:pPr>
      <w:spacing w:before="25" w:after="25"/>
      <w:jc w:val="left"/>
    </w:pPr>
    <w:rPr>
      <w:bCs/>
      <w:spacing w:val="10"/>
      <w:kern w:val="0"/>
      <w:sz w:val="24"/>
    </w:rPr>
  </w:style>
  <w:style w:type="paragraph" w:customStyle="1" w:styleId="116">
    <w:name w:val="Char Char Char Char Char Char2422"/>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7">
    <w:name w:val="Char Char Char Char Char Char512"/>
    <w:basedOn w:val="1"/>
    <w:qFormat/>
    <w:uiPriority w:val="0"/>
    <w:pPr>
      <w:widowControl/>
      <w:spacing w:after="160" w:line="240" w:lineRule="exact"/>
      <w:jc w:val="left"/>
    </w:pPr>
    <w:rPr>
      <w:rFonts w:ascii="Arial" w:hAnsi="Arial"/>
      <w:b/>
      <w:kern w:val="0"/>
      <w:sz w:val="24"/>
      <w:szCs w:val="20"/>
      <w:lang w:eastAsia="en-US"/>
    </w:rPr>
  </w:style>
  <w:style w:type="paragraph" w:customStyle="1" w:styleId="118">
    <w:name w:val="Char Char Char Char Char Char511"/>
    <w:basedOn w:val="1"/>
    <w:qFormat/>
    <w:uiPriority w:val="0"/>
    <w:pPr>
      <w:widowControl/>
      <w:spacing w:after="160" w:line="240" w:lineRule="exact"/>
      <w:jc w:val="left"/>
    </w:pPr>
    <w:rPr>
      <w:rFonts w:ascii="Arial" w:hAnsi="Arial"/>
      <w:b/>
      <w:kern w:val="0"/>
      <w:sz w:val="24"/>
      <w:szCs w:val="20"/>
      <w:lang w:eastAsia="en-US"/>
    </w:rPr>
  </w:style>
  <w:style w:type="paragraph" w:customStyle="1" w:styleId="119">
    <w:name w:val="Char Char Char Char Char Char111"/>
    <w:basedOn w:val="1"/>
    <w:qFormat/>
    <w:uiPriority w:val="0"/>
    <w:pPr>
      <w:widowControl/>
      <w:spacing w:after="160" w:line="240" w:lineRule="exact"/>
    </w:pPr>
    <w:rPr>
      <w:rFonts w:ascii="Arial" w:hAnsi="Arial" w:eastAsia="Times New Roman"/>
      <w:b/>
      <w:kern w:val="0"/>
      <w:szCs w:val="20"/>
      <w:lang w:eastAsia="en-US"/>
    </w:rPr>
  </w:style>
  <w:style w:type="paragraph" w:customStyle="1" w:styleId="120">
    <w:name w:val="Char Char Char Char Char Char212"/>
    <w:basedOn w:val="1"/>
    <w:qFormat/>
    <w:uiPriority w:val="0"/>
    <w:pPr>
      <w:widowControl/>
      <w:spacing w:after="160" w:line="240" w:lineRule="exact"/>
    </w:pPr>
    <w:rPr>
      <w:rFonts w:ascii="Arial" w:hAnsi="Arial"/>
      <w:b/>
      <w:kern w:val="0"/>
      <w:szCs w:val="20"/>
      <w:lang w:eastAsia="en-US"/>
    </w:rPr>
  </w:style>
  <w:style w:type="paragraph" w:customStyle="1" w:styleId="121">
    <w:name w:val="Char Char Char Char Char Char11"/>
    <w:basedOn w:val="1"/>
    <w:qFormat/>
    <w:uiPriority w:val="0"/>
    <w:pPr>
      <w:widowControl/>
      <w:spacing w:after="160" w:line="240" w:lineRule="exact"/>
    </w:pPr>
    <w:rPr>
      <w:rFonts w:ascii="Arial" w:hAnsi="Arial" w:eastAsia="Times New Roman"/>
      <w:b/>
      <w:kern w:val="0"/>
      <w:szCs w:val="20"/>
      <w:lang w:eastAsia="en-US"/>
    </w:rPr>
  </w:style>
  <w:style w:type="paragraph" w:customStyle="1" w:styleId="122">
    <w:name w:val="Char Char Char Char Char Char242"/>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23">
    <w:name w:val="表格文字1152"/>
    <w:basedOn w:val="1"/>
    <w:qFormat/>
    <w:uiPriority w:val="0"/>
    <w:pPr>
      <w:spacing w:before="25" w:after="25"/>
      <w:jc w:val="left"/>
    </w:pPr>
    <w:rPr>
      <w:bCs/>
      <w:spacing w:val="10"/>
      <w:kern w:val="0"/>
      <w:sz w:val="24"/>
    </w:rPr>
  </w:style>
  <w:style w:type="paragraph" w:customStyle="1" w:styleId="124">
    <w:name w:val="表格文字11"/>
    <w:basedOn w:val="1"/>
    <w:qFormat/>
    <w:uiPriority w:val="0"/>
    <w:pPr>
      <w:jc w:val="left"/>
    </w:pPr>
    <w:rPr>
      <w:rFonts w:ascii="Calibri" w:hAnsi="Calibri"/>
      <w:bCs/>
      <w:spacing w:val="10"/>
      <w:kern w:val="0"/>
    </w:rPr>
  </w:style>
  <w:style w:type="paragraph" w:customStyle="1" w:styleId="125">
    <w:name w:val="表格文字1122"/>
    <w:basedOn w:val="1"/>
    <w:qFormat/>
    <w:uiPriority w:val="0"/>
    <w:rPr>
      <w:bCs/>
      <w:spacing w:val="10"/>
      <w:kern w:val="0"/>
    </w:rPr>
  </w:style>
  <w:style w:type="paragraph" w:customStyle="1" w:styleId="126">
    <w:name w:val="表格文字112"/>
    <w:basedOn w:val="1"/>
    <w:qFormat/>
    <w:uiPriority w:val="0"/>
    <w:rPr>
      <w:bCs/>
      <w:spacing w:val="10"/>
      <w:kern w:val="0"/>
    </w:rPr>
  </w:style>
  <w:style w:type="paragraph" w:customStyle="1" w:styleId="127">
    <w:name w:val="表格文字115"/>
    <w:basedOn w:val="1"/>
    <w:qFormat/>
    <w:uiPriority w:val="0"/>
    <w:pPr>
      <w:spacing w:before="25" w:after="25"/>
      <w:jc w:val="left"/>
    </w:pPr>
    <w:rPr>
      <w:bCs/>
      <w:spacing w:val="10"/>
      <w:kern w:val="0"/>
      <w:sz w:val="24"/>
    </w:rPr>
  </w:style>
  <w:style w:type="paragraph" w:customStyle="1" w:styleId="128">
    <w:name w:val="表格文字"/>
    <w:basedOn w:val="1"/>
    <w:qFormat/>
    <w:uiPriority w:val="0"/>
    <w:rPr>
      <w:rFonts w:ascii="Calibri" w:hAnsi="Calibri"/>
      <w:bCs/>
      <w:spacing w:val="10"/>
      <w:kern w:val="0"/>
    </w:rPr>
  </w:style>
  <w:style w:type="paragraph" w:customStyle="1" w:styleId="129">
    <w:name w:val="表格文字13"/>
    <w:basedOn w:val="1"/>
    <w:qFormat/>
    <w:uiPriority w:val="0"/>
    <w:rPr>
      <w:bCs/>
      <w:spacing w:val="10"/>
      <w:kern w:val="0"/>
    </w:rPr>
  </w:style>
  <w:style w:type="paragraph" w:customStyle="1" w:styleId="130">
    <w:name w:val="表格文字11211"/>
    <w:basedOn w:val="1"/>
    <w:qFormat/>
    <w:uiPriority w:val="0"/>
    <w:pPr>
      <w:spacing w:before="25" w:after="25"/>
      <w:jc w:val="left"/>
    </w:pPr>
    <w:rPr>
      <w:bCs/>
      <w:spacing w:val="10"/>
      <w:kern w:val="0"/>
      <w:sz w:val="24"/>
    </w:rPr>
  </w:style>
  <w:style w:type="paragraph" w:customStyle="1" w:styleId="131">
    <w:name w:val="表格文字1121"/>
    <w:basedOn w:val="1"/>
    <w:qFormat/>
    <w:uiPriority w:val="0"/>
    <w:rPr>
      <w:bCs/>
      <w:spacing w:val="10"/>
      <w:kern w:val="0"/>
    </w:rPr>
  </w:style>
  <w:style w:type="character" w:customStyle="1" w:styleId="132">
    <w:name w:val="_Style 131"/>
    <w:qFormat/>
    <w:uiPriority w:val="0"/>
    <w:rPr>
      <w:i/>
      <w:iCs/>
      <w:color w:val="808080"/>
    </w:rPr>
  </w:style>
  <w:style w:type="character" w:customStyle="1" w:styleId="133">
    <w:name w:val="1ji Char"/>
    <w:link w:val="134"/>
    <w:qFormat/>
    <w:uiPriority w:val="0"/>
    <w:rPr>
      <w:rFonts w:ascii="宋体" w:hAnsi="宋体" w:eastAsia="宋体" w:cs="Times New Roman"/>
      <w:b/>
      <w:bCs/>
      <w:kern w:val="44"/>
      <w:sz w:val="36"/>
      <w:szCs w:val="44"/>
    </w:rPr>
  </w:style>
  <w:style w:type="paragraph" w:customStyle="1" w:styleId="134">
    <w:name w:val="1ji"/>
    <w:basedOn w:val="2"/>
    <w:link w:val="133"/>
    <w:qFormat/>
    <w:uiPriority w:val="0"/>
    <w:pPr>
      <w:keepLines w:val="0"/>
      <w:widowControl/>
      <w:spacing w:before="0" w:after="0" w:line="240" w:lineRule="auto"/>
      <w:jc w:val="center"/>
    </w:pPr>
    <w:rPr>
      <w:rFonts w:ascii="宋体" w:hAnsi="宋体"/>
      <w:sz w:val="36"/>
    </w:rPr>
  </w:style>
  <w:style w:type="character" w:customStyle="1" w:styleId="135">
    <w:name w:val="批注主题 Char1"/>
    <w:qFormat/>
    <w:uiPriority w:val="0"/>
    <w:rPr>
      <w:rFonts w:ascii="Times New Roman" w:hAnsi="Times New Roman" w:eastAsia="宋体" w:cs="Times New Roman"/>
      <w:b/>
      <w:bCs/>
      <w:szCs w:val="24"/>
    </w:rPr>
  </w:style>
  <w:style w:type="character" w:customStyle="1" w:styleId="136">
    <w:name w:val="H1 Char"/>
    <w:qFormat/>
    <w:uiPriority w:val="0"/>
    <w:rPr>
      <w:rFonts w:eastAsia="宋体"/>
      <w:b/>
      <w:bCs/>
      <w:kern w:val="44"/>
      <w:sz w:val="44"/>
      <w:szCs w:val="44"/>
      <w:lang w:val="en-US" w:eastAsia="zh-CN" w:bidi="ar-SA"/>
    </w:rPr>
  </w:style>
  <w:style w:type="character" w:customStyle="1" w:styleId="137">
    <w:name w:val="Footer Char"/>
    <w:qFormat/>
    <w:uiPriority w:val="0"/>
    <w:rPr>
      <w:rFonts w:eastAsia="宋体"/>
      <w:kern w:val="2"/>
      <w:sz w:val="18"/>
      <w:szCs w:val="18"/>
      <w:lang w:val="en-US" w:eastAsia="zh-CN" w:bidi="ar-SA"/>
    </w:rPr>
  </w:style>
  <w:style w:type="character" w:customStyle="1" w:styleId="138">
    <w:name w:val="_Style 137"/>
    <w:qFormat/>
    <w:uiPriority w:val="0"/>
    <w:rPr>
      <w:b/>
      <w:bCs/>
      <w:smallCaps/>
      <w:spacing w:val="5"/>
    </w:rPr>
  </w:style>
  <w:style w:type="character" w:customStyle="1" w:styleId="139">
    <w:name w:val="Char Char20"/>
    <w:qFormat/>
    <w:uiPriority w:val="0"/>
    <w:rPr>
      <w:rFonts w:ascii="Times New Roman" w:hAnsi="Times New Roman" w:eastAsia="宋体" w:cs="Times New Roman"/>
      <w:b/>
      <w:bCs/>
      <w:sz w:val="24"/>
      <w:szCs w:val="32"/>
    </w:rPr>
  </w:style>
  <w:style w:type="character" w:customStyle="1" w:styleId="140">
    <w:name w:val="_Style 139"/>
    <w:qFormat/>
    <w:uiPriority w:val="0"/>
    <w:rPr>
      <w:b/>
      <w:bCs/>
      <w:i/>
      <w:iCs/>
      <w:color w:val="4F81BD"/>
    </w:rPr>
  </w:style>
  <w:style w:type="character" w:customStyle="1" w:styleId="141">
    <w:name w:val="Comment Text Char"/>
    <w:qFormat/>
    <w:uiPriority w:val="0"/>
    <w:rPr>
      <w:rFonts w:cs="Times New Roman"/>
      <w:sz w:val="24"/>
      <w:szCs w:val="24"/>
    </w:rPr>
  </w:style>
  <w:style w:type="character" w:customStyle="1" w:styleId="142">
    <w:name w:val="Balloon Text Char"/>
    <w:qFormat/>
    <w:uiPriority w:val="0"/>
    <w:rPr>
      <w:sz w:val="18"/>
      <w:lang w:bidi="ar-SA"/>
    </w:rPr>
  </w:style>
  <w:style w:type="character" w:customStyle="1" w:styleId="143">
    <w:name w:val="Heading 3 Char1"/>
    <w:qFormat/>
    <w:uiPriority w:val="0"/>
    <w:rPr>
      <w:rFonts w:eastAsia="宋体"/>
      <w:b/>
      <w:bCs/>
      <w:kern w:val="2"/>
      <w:sz w:val="24"/>
      <w:szCs w:val="32"/>
      <w:lang w:val="en-US" w:eastAsia="zh-CN" w:bidi="ar-SA"/>
    </w:rPr>
  </w:style>
  <w:style w:type="character" w:customStyle="1" w:styleId="144">
    <w:name w:val="Body Text Indent 2 Char"/>
    <w:qFormat/>
    <w:uiPriority w:val="0"/>
    <w:rPr>
      <w:rFonts w:eastAsia="宋体"/>
      <w:kern w:val="2"/>
      <w:sz w:val="21"/>
      <w:szCs w:val="24"/>
      <w:lang w:val="en-US" w:eastAsia="zh-CN" w:bidi="ar-SA"/>
    </w:rPr>
  </w:style>
  <w:style w:type="character" w:customStyle="1" w:styleId="145">
    <w:name w:val="普通文字 Char Char2"/>
    <w:qFormat/>
    <w:uiPriority w:val="0"/>
    <w:rPr>
      <w:rFonts w:ascii="宋体" w:hAnsi="Courier New" w:eastAsia="宋体"/>
      <w:kern w:val="2"/>
      <w:sz w:val="21"/>
      <w:lang w:val="en-US" w:eastAsia="zh-CN" w:bidi="ar-SA"/>
    </w:rPr>
  </w:style>
  <w:style w:type="character" w:customStyle="1" w:styleId="146">
    <w:name w:val="Char Char18"/>
    <w:qFormat/>
    <w:uiPriority w:val="0"/>
    <w:rPr>
      <w:rFonts w:ascii="Times New Roman" w:hAnsi="Times New Roman" w:eastAsia="宋体" w:cs="Times New Roman"/>
      <w:b/>
      <w:bCs/>
      <w:sz w:val="28"/>
      <w:szCs w:val="28"/>
    </w:rPr>
  </w:style>
  <w:style w:type="character" w:customStyle="1" w:styleId="147">
    <w:name w:val="纯文本 Char"/>
    <w:qFormat/>
    <w:uiPriority w:val="0"/>
    <w:rPr>
      <w:rFonts w:ascii="宋体" w:hAnsi="Courier New" w:eastAsia="宋体" w:cs="Courier New"/>
      <w:szCs w:val="21"/>
    </w:rPr>
  </w:style>
  <w:style w:type="character" w:customStyle="1" w:styleId="148">
    <w:name w:val="Char Char1811"/>
    <w:qFormat/>
    <w:uiPriority w:val="0"/>
    <w:rPr>
      <w:rFonts w:ascii="Arial" w:hAnsi="Arial" w:eastAsia="黑体"/>
      <w:kern w:val="2"/>
      <w:sz w:val="21"/>
      <w:szCs w:val="24"/>
      <w:lang w:val="en-US" w:eastAsia="zh-CN" w:bidi="ar-SA"/>
    </w:rPr>
  </w:style>
  <w:style w:type="character" w:customStyle="1" w:styleId="149">
    <w:name w:val="unnamed3"/>
    <w:qFormat/>
    <w:uiPriority w:val="0"/>
  </w:style>
  <w:style w:type="character" w:customStyle="1" w:styleId="150">
    <w:name w:val="Char Char23"/>
    <w:qFormat/>
    <w:uiPriority w:val="0"/>
    <w:rPr>
      <w:rFonts w:eastAsia="宋体"/>
      <w:b/>
      <w:bCs/>
      <w:kern w:val="44"/>
      <w:sz w:val="32"/>
      <w:szCs w:val="44"/>
      <w:lang w:val="en-US" w:eastAsia="zh-CN" w:bidi="ar-SA"/>
    </w:rPr>
  </w:style>
  <w:style w:type="character" w:customStyle="1" w:styleId="151">
    <w:name w:val="param-name param-explain"/>
    <w:qFormat/>
    <w:uiPriority w:val="0"/>
  </w:style>
  <w:style w:type="character" w:customStyle="1" w:styleId="152">
    <w:name w:val="gray12"/>
    <w:qFormat/>
    <w:uiPriority w:val="0"/>
  </w:style>
  <w:style w:type="character" w:customStyle="1" w:styleId="153">
    <w:name w:val="Char Char17"/>
    <w:qFormat/>
    <w:uiPriority w:val="0"/>
    <w:rPr>
      <w:rFonts w:eastAsia="黑体"/>
      <w:b/>
      <w:bCs/>
      <w:kern w:val="44"/>
      <w:sz w:val="32"/>
      <w:szCs w:val="44"/>
    </w:rPr>
  </w:style>
  <w:style w:type="character" w:customStyle="1" w:styleId="154">
    <w:name w:val="style15"/>
    <w:qFormat/>
    <w:uiPriority w:val="0"/>
  </w:style>
  <w:style w:type="character" w:customStyle="1" w:styleId="155">
    <w:name w:val="标题4 Char Char"/>
    <w:qFormat/>
    <w:uiPriority w:val="0"/>
    <w:rPr>
      <w:rFonts w:ascii="Arial" w:hAnsi="Arial"/>
      <w:b/>
      <w:bCs/>
      <w:sz w:val="24"/>
      <w:szCs w:val="32"/>
      <w:lang w:bidi="ar-SA"/>
    </w:rPr>
  </w:style>
  <w:style w:type="character" w:customStyle="1" w:styleId="156">
    <w:name w:val="param-name"/>
    <w:qFormat/>
    <w:uiPriority w:val="0"/>
  </w:style>
  <w:style w:type="character" w:customStyle="1" w:styleId="157">
    <w:name w:val="标题 Char2"/>
    <w:qFormat/>
    <w:uiPriority w:val="0"/>
    <w:rPr>
      <w:rFonts w:ascii="Cambria" w:hAnsi="Cambria" w:eastAsia="宋体" w:cs="Times New Roman"/>
      <w:b/>
      <w:bCs/>
      <w:sz w:val="32"/>
      <w:szCs w:val="32"/>
    </w:rPr>
  </w:style>
  <w:style w:type="character" w:customStyle="1" w:styleId="158">
    <w:name w:val="Char Char28"/>
    <w:qFormat/>
    <w:uiPriority w:val="0"/>
    <w:rPr>
      <w:rFonts w:eastAsia="宋体"/>
      <w:kern w:val="2"/>
      <w:sz w:val="16"/>
      <w:szCs w:val="16"/>
      <w:lang w:val="en-US" w:eastAsia="zh-CN" w:bidi="ar-SA"/>
    </w:rPr>
  </w:style>
  <w:style w:type="character" w:customStyle="1" w:styleId="159">
    <w:name w:val="Char Char22"/>
    <w:qFormat/>
    <w:uiPriority w:val="0"/>
    <w:rPr>
      <w:rFonts w:ascii="Times New Roman" w:hAnsi="Times New Roman" w:eastAsia="宋体" w:cs="Times New Roman"/>
      <w:b/>
      <w:bCs/>
      <w:kern w:val="44"/>
      <w:sz w:val="32"/>
      <w:szCs w:val="44"/>
    </w:rPr>
  </w:style>
  <w:style w:type="character" w:customStyle="1" w:styleId="160">
    <w:name w:val="f151"/>
    <w:qFormat/>
    <w:uiPriority w:val="0"/>
    <w:rPr>
      <w:sz w:val="23"/>
      <w:szCs w:val="23"/>
    </w:rPr>
  </w:style>
  <w:style w:type="character" w:customStyle="1" w:styleId="161">
    <w:name w:val="Heading 1 Char"/>
    <w:qFormat/>
    <w:uiPriority w:val="0"/>
    <w:rPr>
      <w:rFonts w:eastAsia="宋体"/>
      <w:b/>
      <w:bCs/>
      <w:kern w:val="44"/>
      <w:sz w:val="32"/>
      <w:szCs w:val="44"/>
      <w:lang w:val="en-US" w:eastAsia="zh-CN" w:bidi="ar-SA"/>
    </w:rPr>
  </w:style>
  <w:style w:type="character" w:customStyle="1" w:styleId="162">
    <w:name w:val="Char Char29"/>
    <w:qFormat/>
    <w:uiPriority w:val="0"/>
    <w:rPr>
      <w:rFonts w:ascii="宋体" w:hAnsi="Courier New" w:eastAsia="宋体" w:cs="Courier New"/>
      <w:kern w:val="2"/>
      <w:sz w:val="21"/>
      <w:szCs w:val="21"/>
      <w:lang w:val="en-US" w:eastAsia="zh-CN" w:bidi="ar-SA"/>
    </w:rPr>
  </w:style>
  <w:style w:type="character" w:customStyle="1" w:styleId="163">
    <w:name w:val="批注框文本 Char1"/>
    <w:qFormat/>
    <w:uiPriority w:val="0"/>
    <w:rPr>
      <w:rFonts w:ascii="Times New Roman" w:hAnsi="Times New Roman" w:eastAsia="宋体" w:cs="Times New Roman"/>
      <w:sz w:val="18"/>
      <w:szCs w:val="18"/>
    </w:rPr>
  </w:style>
  <w:style w:type="character" w:customStyle="1" w:styleId="164">
    <w:name w:val="明显引用 Char"/>
    <w:link w:val="165"/>
    <w:qFormat/>
    <w:uiPriority w:val="0"/>
    <w:rPr>
      <w:b/>
      <w:bCs/>
      <w:i/>
      <w:iCs/>
      <w:color w:val="4F81BD"/>
    </w:rPr>
  </w:style>
  <w:style w:type="paragraph" w:styleId="165">
    <w:name w:val="Intense Quote"/>
    <w:basedOn w:val="1"/>
    <w:next w:val="1"/>
    <w:link w:val="16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66">
    <w:name w:val="仿宋缩进2字符 Char"/>
    <w:link w:val="167"/>
    <w:qFormat/>
    <w:uiPriority w:val="0"/>
    <w:rPr>
      <w:rFonts w:ascii="仿宋" w:hAnsi="仿宋" w:eastAsia="仿宋"/>
      <w:kern w:val="2"/>
      <w:sz w:val="28"/>
      <w:szCs w:val="28"/>
    </w:rPr>
  </w:style>
  <w:style w:type="paragraph" w:customStyle="1" w:styleId="167">
    <w:name w:val="仿宋缩进2字符"/>
    <w:basedOn w:val="1"/>
    <w:link w:val="166"/>
    <w:qFormat/>
    <w:uiPriority w:val="0"/>
    <w:pPr>
      <w:spacing w:line="360" w:lineRule="auto"/>
      <w:ind w:firstLine="200" w:firstLineChars="200"/>
    </w:pPr>
    <w:rPr>
      <w:rFonts w:ascii="仿宋" w:hAnsi="仿宋" w:eastAsia="仿宋"/>
      <w:sz w:val="28"/>
      <w:szCs w:val="28"/>
    </w:rPr>
  </w:style>
  <w:style w:type="character" w:customStyle="1" w:styleId="168">
    <w:name w:val="content2"/>
    <w:qFormat/>
    <w:uiPriority w:val="0"/>
  </w:style>
  <w:style w:type="character" w:customStyle="1" w:styleId="169">
    <w:name w:val="明显引用 Char1"/>
    <w:qFormat/>
    <w:uiPriority w:val="0"/>
    <w:rPr>
      <w:rFonts w:ascii="Times New Roman" w:hAnsi="Times New Roman" w:eastAsia="宋体" w:cs="Times New Roman"/>
      <w:b/>
      <w:bCs/>
      <w:i/>
      <w:iCs/>
      <w:color w:val="4F81BD"/>
      <w:szCs w:val="24"/>
    </w:rPr>
  </w:style>
  <w:style w:type="character" w:customStyle="1" w:styleId="170">
    <w:name w:val="Char Char1711"/>
    <w:qFormat/>
    <w:uiPriority w:val="0"/>
    <w:rPr>
      <w:rFonts w:eastAsia="黑体"/>
      <w:b/>
      <w:bCs/>
      <w:kern w:val="44"/>
      <w:sz w:val="32"/>
      <w:szCs w:val="44"/>
    </w:rPr>
  </w:style>
  <w:style w:type="character" w:customStyle="1" w:styleId="171">
    <w:name w:val="style21"/>
    <w:qFormat/>
    <w:uiPriority w:val="0"/>
    <w:rPr>
      <w:sz w:val="17"/>
      <w:szCs w:val="17"/>
    </w:rPr>
  </w:style>
  <w:style w:type="character" w:customStyle="1" w:styleId="172">
    <w:name w:val="Char Char9"/>
    <w:qFormat/>
    <w:uiPriority w:val="0"/>
    <w:rPr>
      <w:rFonts w:eastAsia="宋体"/>
      <w:b/>
      <w:bCs/>
      <w:kern w:val="44"/>
      <w:sz w:val="32"/>
      <w:szCs w:val="44"/>
      <w:lang w:val="en-US" w:eastAsia="zh-CN" w:bidi="ar-SA"/>
    </w:rPr>
  </w:style>
  <w:style w:type="character" w:customStyle="1" w:styleId="173">
    <w:name w:val="apple-converted-space"/>
    <w:qFormat/>
    <w:uiPriority w:val="0"/>
  </w:style>
  <w:style w:type="character" w:customStyle="1" w:styleId="174">
    <w:name w:val="1051"/>
    <w:qFormat/>
    <w:uiPriority w:val="0"/>
    <w:rPr>
      <w:sz w:val="21"/>
      <w:szCs w:val="21"/>
    </w:rPr>
  </w:style>
  <w:style w:type="character" w:customStyle="1" w:styleId="175">
    <w:name w:val="_Style 174"/>
    <w:qFormat/>
    <w:uiPriority w:val="0"/>
    <w:rPr>
      <w:smallCaps/>
      <w:color w:val="C0504D"/>
      <w:u w:val="single"/>
    </w:rPr>
  </w:style>
  <w:style w:type="character" w:customStyle="1" w:styleId="176">
    <w:name w:val="Char Char2011"/>
    <w:qFormat/>
    <w:uiPriority w:val="0"/>
    <w:rPr>
      <w:rFonts w:eastAsia="宋体"/>
      <w:b/>
      <w:kern w:val="2"/>
      <w:sz w:val="24"/>
      <w:szCs w:val="24"/>
      <w:lang w:val="en-US" w:eastAsia="zh-CN" w:bidi="ar-SA"/>
    </w:rPr>
  </w:style>
  <w:style w:type="character" w:customStyle="1" w:styleId="177">
    <w:name w:val="st"/>
    <w:qFormat/>
    <w:uiPriority w:val="0"/>
  </w:style>
  <w:style w:type="character" w:customStyle="1" w:styleId="178">
    <w:name w:val="Char Char21"/>
    <w:qFormat/>
    <w:uiPriority w:val="0"/>
    <w:rPr>
      <w:rFonts w:ascii="Arial" w:hAnsi="Arial" w:eastAsia="黑体" w:cs="Times New Roman"/>
      <w:b/>
      <w:bCs/>
      <w:sz w:val="32"/>
      <w:szCs w:val="32"/>
    </w:rPr>
  </w:style>
  <w:style w:type="character" w:customStyle="1" w:styleId="179">
    <w:name w:val="批注文字 Char"/>
    <w:qFormat/>
    <w:uiPriority w:val="0"/>
    <w:rPr>
      <w:kern w:val="2"/>
      <w:sz w:val="21"/>
      <w:szCs w:val="24"/>
    </w:rPr>
  </w:style>
  <w:style w:type="character" w:customStyle="1" w:styleId="180">
    <w:name w:val="小标题 Char"/>
    <w:qFormat/>
    <w:uiPriority w:val="0"/>
    <w:rPr>
      <w:rFonts w:eastAsia="宋体"/>
      <w:b/>
      <w:bCs/>
      <w:kern w:val="2"/>
      <w:sz w:val="32"/>
      <w:szCs w:val="32"/>
      <w:lang w:val="en-US" w:eastAsia="zh-CN" w:bidi="ar-SA"/>
    </w:rPr>
  </w:style>
  <w:style w:type="character" w:customStyle="1" w:styleId="181">
    <w:name w:val="文档结构图 Char1"/>
    <w:qFormat/>
    <w:uiPriority w:val="0"/>
    <w:rPr>
      <w:rFonts w:ascii="宋体" w:hAnsi="Times New Roman" w:eastAsia="宋体" w:cs="Times New Roman"/>
      <w:sz w:val="18"/>
      <w:szCs w:val="18"/>
    </w:rPr>
  </w:style>
  <w:style w:type="character" w:customStyle="1" w:styleId="182">
    <w:name w:val="Char Char19"/>
    <w:qFormat/>
    <w:uiPriority w:val="0"/>
    <w:rPr>
      <w:rFonts w:ascii="Arial" w:hAnsi="Arial" w:eastAsia="黑体"/>
      <w:kern w:val="2"/>
      <w:sz w:val="24"/>
      <w:szCs w:val="24"/>
      <w:lang w:val="en-US" w:eastAsia="zh-CN" w:bidi="ar-SA"/>
    </w:rPr>
  </w:style>
  <w:style w:type="character" w:customStyle="1" w:styleId="183">
    <w:name w:val="h Char"/>
    <w:qFormat/>
    <w:uiPriority w:val="0"/>
    <w:rPr>
      <w:rFonts w:eastAsia="宋体"/>
      <w:kern w:val="2"/>
      <w:sz w:val="18"/>
      <w:szCs w:val="18"/>
      <w:lang w:val="en-US" w:eastAsia="zh-CN" w:bidi="ar-SA"/>
    </w:rPr>
  </w:style>
  <w:style w:type="character" w:customStyle="1" w:styleId="184">
    <w:name w:val="引用 Char"/>
    <w:link w:val="185"/>
    <w:qFormat/>
    <w:uiPriority w:val="0"/>
    <w:rPr>
      <w:i/>
      <w:iCs/>
      <w:color w:val="000000"/>
    </w:rPr>
  </w:style>
  <w:style w:type="paragraph" w:styleId="185">
    <w:name w:val="Quote"/>
    <w:basedOn w:val="1"/>
    <w:next w:val="1"/>
    <w:link w:val="184"/>
    <w:qFormat/>
    <w:uiPriority w:val="0"/>
    <w:rPr>
      <w:i/>
      <w:iCs/>
      <w:color w:val="000000"/>
      <w:kern w:val="0"/>
      <w:sz w:val="20"/>
      <w:szCs w:val="20"/>
    </w:rPr>
  </w:style>
  <w:style w:type="character" w:customStyle="1" w:styleId="186">
    <w:name w:val="Char Char2111"/>
    <w:qFormat/>
    <w:uiPriority w:val="0"/>
    <w:rPr>
      <w:rFonts w:ascii="Arial" w:hAnsi="Arial" w:eastAsia="黑体"/>
      <w:b/>
      <w:kern w:val="2"/>
      <w:sz w:val="24"/>
      <w:szCs w:val="24"/>
      <w:lang w:val="en-US" w:eastAsia="zh-CN" w:bidi="ar-SA"/>
    </w:rPr>
  </w:style>
  <w:style w:type="character" w:customStyle="1" w:styleId="187">
    <w:name w:val="正文文字首行缩进 Char"/>
    <w:qFormat/>
    <w:uiPriority w:val="0"/>
    <w:rPr>
      <w:rFonts w:ascii="仿宋_GB2312" w:eastAsia="仿宋_GB2312"/>
      <w:kern w:val="2"/>
      <w:sz w:val="32"/>
      <w:lang w:val="en-US" w:eastAsia="zh-CN" w:bidi="ar-SA"/>
    </w:rPr>
  </w:style>
  <w:style w:type="character" w:customStyle="1" w:styleId="188">
    <w:name w:val="引用 Char1"/>
    <w:qFormat/>
    <w:uiPriority w:val="0"/>
    <w:rPr>
      <w:rFonts w:ascii="Times New Roman" w:hAnsi="Times New Roman" w:eastAsia="宋体" w:cs="Times New Roman"/>
      <w:i/>
      <w:iCs/>
      <w:color w:val="000000"/>
      <w:szCs w:val="24"/>
    </w:rPr>
  </w:style>
  <w:style w:type="character" w:customStyle="1" w:styleId="189">
    <w:name w:val="Char Char27"/>
    <w:qFormat/>
    <w:uiPriority w:val="0"/>
    <w:rPr>
      <w:rFonts w:eastAsia="宋体"/>
      <w:b/>
      <w:bCs/>
      <w:kern w:val="44"/>
      <w:sz w:val="44"/>
      <w:szCs w:val="44"/>
      <w:lang w:val="en-US" w:eastAsia="zh-CN" w:bidi="ar-SA"/>
    </w:rPr>
  </w:style>
  <w:style w:type="character" w:customStyle="1" w:styleId="190">
    <w:name w:val="header odd Char Char"/>
    <w:qFormat/>
    <w:uiPriority w:val="0"/>
    <w:rPr>
      <w:rFonts w:ascii="宋体" w:hAnsi="Courier New" w:eastAsia="宋体"/>
      <w:kern w:val="2"/>
      <w:sz w:val="18"/>
      <w:lang w:val="en-US" w:eastAsia="zh-CN" w:bidi="ar-SA"/>
    </w:rPr>
  </w:style>
  <w:style w:type="character" w:customStyle="1" w:styleId="191">
    <w:name w:val="Comment Subject Char"/>
    <w:qFormat/>
    <w:uiPriority w:val="0"/>
    <w:rPr>
      <w:b/>
      <w:sz w:val="24"/>
      <w:lang w:bidi="ar-SA"/>
    </w:rPr>
  </w:style>
  <w:style w:type="character" w:customStyle="1" w:styleId="192">
    <w:name w:val="Char Char2311"/>
    <w:qFormat/>
    <w:uiPriority w:val="0"/>
    <w:rPr>
      <w:rFonts w:ascii="Times New Roman" w:hAnsi="Times New Roman" w:eastAsia="宋体" w:cs="Times New Roman"/>
      <w:b/>
      <w:bCs/>
      <w:kern w:val="44"/>
      <w:sz w:val="44"/>
      <w:szCs w:val="44"/>
    </w:rPr>
  </w:style>
  <w:style w:type="character" w:customStyle="1" w:styleId="193">
    <w:name w:val="H1 Char1"/>
    <w:qFormat/>
    <w:uiPriority w:val="0"/>
    <w:rPr>
      <w:rFonts w:eastAsia="宋体"/>
      <w:b/>
      <w:bCs/>
      <w:kern w:val="2"/>
      <w:sz w:val="21"/>
      <w:szCs w:val="24"/>
      <w:lang w:val="en-US" w:eastAsia="zh-CN" w:bidi="ar-SA"/>
    </w:rPr>
  </w:style>
  <w:style w:type="character" w:customStyle="1" w:styleId="194">
    <w:name w:val="Title Char"/>
    <w:qFormat/>
    <w:uiPriority w:val="0"/>
    <w:rPr>
      <w:rFonts w:ascii="Cambria" w:hAnsi="Cambria"/>
      <w:b/>
      <w:sz w:val="32"/>
      <w:lang w:bidi="ar-SA"/>
    </w:rPr>
  </w:style>
  <w:style w:type="character" w:customStyle="1" w:styleId="195">
    <w:name w:val="Char Char24"/>
    <w:qFormat/>
    <w:uiPriority w:val="0"/>
    <w:rPr>
      <w:rFonts w:ascii="Arial" w:hAnsi="Arial" w:eastAsia="黑体"/>
      <w:sz w:val="28"/>
      <w:lang w:bidi="ar-SA"/>
    </w:rPr>
  </w:style>
  <w:style w:type="character" w:customStyle="1" w:styleId="196">
    <w:name w:val="Title3 Char1"/>
    <w:qFormat/>
    <w:uiPriority w:val="0"/>
    <w:rPr>
      <w:rFonts w:eastAsia="宋体"/>
      <w:b/>
      <w:bCs/>
      <w:kern w:val="2"/>
      <w:sz w:val="32"/>
      <w:szCs w:val="32"/>
      <w:lang w:val="en-US" w:eastAsia="zh-CN" w:bidi="ar-SA"/>
    </w:rPr>
  </w:style>
  <w:style w:type="character" w:customStyle="1" w:styleId="197">
    <w:name w:val="Heading 5 Char"/>
    <w:qFormat/>
    <w:uiPriority w:val="0"/>
    <w:rPr>
      <w:rFonts w:eastAsia="宋体"/>
      <w:b/>
      <w:bCs/>
      <w:kern w:val="2"/>
      <w:sz w:val="28"/>
      <w:szCs w:val="28"/>
      <w:lang w:val="en-US" w:eastAsia="zh-CN" w:bidi="ar-SA"/>
    </w:rPr>
  </w:style>
  <w:style w:type="character" w:customStyle="1" w:styleId="198">
    <w:name w:val="llyf92"/>
    <w:qFormat/>
    <w:uiPriority w:val="0"/>
    <w:rPr>
      <w:sz w:val="18"/>
      <w:szCs w:val="18"/>
    </w:rPr>
  </w:style>
  <w:style w:type="character" w:customStyle="1" w:styleId="199">
    <w:name w:val="style31"/>
    <w:qFormat/>
    <w:uiPriority w:val="0"/>
    <w:rPr>
      <w:sz w:val="18"/>
      <w:szCs w:val="18"/>
    </w:rPr>
  </w:style>
  <w:style w:type="character" w:customStyle="1" w:styleId="200">
    <w:name w:val="Body Text Indent Char"/>
    <w:qFormat/>
    <w:uiPriority w:val="0"/>
    <w:rPr>
      <w:rFonts w:ascii="宋体" w:hAnsi="宋体" w:eastAsia="宋体"/>
      <w:kern w:val="2"/>
      <w:sz w:val="21"/>
      <w:lang w:val="en-US" w:eastAsia="zh-CN" w:bidi="ar-SA"/>
    </w:rPr>
  </w:style>
  <w:style w:type="character" w:customStyle="1" w:styleId="201">
    <w:name w:val="Char Char25"/>
    <w:qFormat/>
    <w:uiPriority w:val="0"/>
    <w:rPr>
      <w:rFonts w:eastAsia="宋体"/>
      <w:b/>
      <w:bCs/>
      <w:sz w:val="32"/>
      <w:szCs w:val="32"/>
      <w:lang w:bidi="ar-SA"/>
    </w:rPr>
  </w:style>
  <w:style w:type="character" w:customStyle="1" w:styleId="202">
    <w:name w:val="H5 Char"/>
    <w:qFormat/>
    <w:uiPriority w:val="0"/>
    <w:rPr>
      <w:rFonts w:eastAsia="宋体"/>
      <w:b/>
      <w:kern w:val="2"/>
      <w:sz w:val="28"/>
      <w:lang w:val="en-US" w:eastAsia="zh-CN" w:bidi="ar-SA"/>
    </w:rPr>
  </w:style>
  <w:style w:type="character" w:customStyle="1" w:styleId="203">
    <w:name w:val="批注文字 Char Char"/>
    <w:qFormat/>
    <w:uiPriority w:val="0"/>
    <w:rPr>
      <w:rFonts w:ascii="宋体" w:hAnsi="Times New Roman" w:eastAsia="宋体" w:cs="Times New Roman"/>
      <w:sz w:val="28"/>
      <w:szCs w:val="20"/>
    </w:rPr>
  </w:style>
  <w:style w:type="character" w:customStyle="1" w:styleId="204">
    <w:name w:val="Char Char33"/>
    <w:qFormat/>
    <w:uiPriority w:val="0"/>
    <w:rPr>
      <w:rFonts w:ascii="宋体" w:hAnsi="Courier New" w:eastAsia="宋体" w:cs="Courier New"/>
      <w:szCs w:val="21"/>
    </w:rPr>
  </w:style>
  <w:style w:type="character" w:customStyle="1" w:styleId="205">
    <w:name w:val="f141"/>
    <w:qFormat/>
    <w:uiPriority w:val="0"/>
    <w:rPr>
      <w:sz w:val="21"/>
      <w:szCs w:val="21"/>
    </w:rPr>
  </w:style>
  <w:style w:type="character" w:customStyle="1" w:styleId="206">
    <w:name w:val="Footnote Text Char"/>
    <w:qFormat/>
    <w:uiPriority w:val="0"/>
    <w:rPr>
      <w:rFonts w:eastAsia="宋体"/>
      <w:sz w:val="18"/>
      <w:lang w:val="en-US" w:eastAsia="zh-CN" w:bidi="ar-SA"/>
    </w:rPr>
  </w:style>
  <w:style w:type="character" w:customStyle="1" w:styleId="207">
    <w:name w:val="Char Char2211"/>
    <w:qFormat/>
    <w:uiPriority w:val="0"/>
    <w:rPr>
      <w:rFonts w:eastAsia="宋体"/>
      <w:b/>
      <w:kern w:val="2"/>
      <w:sz w:val="28"/>
      <w:szCs w:val="24"/>
      <w:lang w:val="en-US" w:eastAsia="zh-CN" w:bidi="ar-SA"/>
    </w:rPr>
  </w:style>
  <w:style w:type="character" w:customStyle="1" w:styleId="208">
    <w:name w:val="style51"/>
    <w:qFormat/>
    <w:uiPriority w:val="0"/>
  </w:style>
  <w:style w:type="character" w:customStyle="1" w:styleId="209">
    <w:name w:val="批注文字 Char1"/>
    <w:qFormat/>
    <w:uiPriority w:val="0"/>
    <w:rPr>
      <w:rFonts w:ascii="Times New Roman" w:hAnsi="Times New Roman" w:eastAsia="宋体" w:cs="Times New Roman"/>
      <w:szCs w:val="24"/>
    </w:rPr>
  </w:style>
  <w:style w:type="character" w:customStyle="1" w:styleId="210">
    <w:name w:val="Char Char Char Char Char"/>
    <w:qFormat/>
    <w:uiPriority w:val="0"/>
    <w:rPr>
      <w:rFonts w:eastAsia="宋体"/>
      <w:b/>
      <w:bCs/>
      <w:kern w:val="44"/>
      <w:sz w:val="44"/>
      <w:szCs w:val="44"/>
      <w:lang w:val="en-US" w:eastAsia="zh-CN" w:bidi="ar-SA"/>
    </w:rPr>
  </w:style>
  <w:style w:type="character" w:customStyle="1" w:styleId="211">
    <w:name w:val="手改 Char Char"/>
    <w:qFormat/>
    <w:uiPriority w:val="0"/>
    <w:rPr>
      <w:rFonts w:ascii="宋体" w:eastAsia="宋体"/>
      <w:sz w:val="34"/>
      <w:lang w:val="en-US" w:eastAsia="zh-CN" w:bidi="ar-SA"/>
    </w:rPr>
  </w:style>
  <w:style w:type="character" w:customStyle="1" w:styleId="212">
    <w:name w:val="标题 Char1"/>
    <w:qFormat/>
    <w:uiPriority w:val="0"/>
    <w:rPr>
      <w:rFonts w:ascii="Cambria" w:hAnsi="Cambria" w:eastAsia="宋体" w:cs="Times New Roman"/>
      <w:b/>
      <w:bCs/>
      <w:sz w:val="32"/>
      <w:szCs w:val="32"/>
    </w:rPr>
  </w:style>
  <w:style w:type="character" w:customStyle="1" w:styleId="213">
    <w:name w:val="fo Char"/>
    <w:qFormat/>
    <w:uiPriority w:val="0"/>
    <w:rPr>
      <w:rFonts w:eastAsia="宋体"/>
      <w:kern w:val="2"/>
      <w:sz w:val="18"/>
      <w:szCs w:val="18"/>
      <w:lang w:val="en-US" w:eastAsia="zh-CN" w:bidi="ar-SA"/>
    </w:rPr>
  </w:style>
  <w:style w:type="character" w:customStyle="1" w:styleId="214">
    <w:name w:val="Char Char26"/>
    <w:qFormat/>
    <w:uiPriority w:val="0"/>
    <w:rPr>
      <w:rFonts w:ascii="Arial" w:hAnsi="Arial" w:eastAsia="黑体"/>
      <w:b/>
      <w:bCs/>
      <w:sz w:val="32"/>
      <w:szCs w:val="32"/>
      <w:lang w:bidi="ar-SA"/>
    </w:rPr>
  </w:style>
  <w:style w:type="character" w:customStyle="1" w:styleId="215">
    <w:name w:val="mark"/>
    <w:qFormat/>
    <w:uiPriority w:val="0"/>
  </w:style>
  <w:style w:type="character" w:customStyle="1" w:styleId="216">
    <w:name w:val="脚注文本 Char1"/>
    <w:semiHidden/>
    <w:qFormat/>
    <w:uiPriority w:val="99"/>
    <w:rPr>
      <w:rFonts w:ascii="Times New Roman" w:hAnsi="Times New Roman" w:eastAsia="宋体" w:cs="Times New Roman"/>
      <w:sz w:val="18"/>
      <w:szCs w:val="18"/>
    </w:rPr>
  </w:style>
  <w:style w:type="character" w:customStyle="1" w:styleId="217">
    <w:name w:val="Char Char30"/>
    <w:qFormat/>
    <w:uiPriority w:val="0"/>
    <w:rPr>
      <w:rFonts w:ascii="Times New Roman" w:hAnsi="Times New Roman" w:eastAsia="宋体" w:cs="Times New Roman"/>
      <w:szCs w:val="24"/>
    </w:rPr>
  </w:style>
  <w:style w:type="character" w:customStyle="1" w:styleId="218">
    <w:name w:val="style54"/>
    <w:qFormat/>
    <w:uiPriority w:val="0"/>
  </w:style>
  <w:style w:type="character" w:customStyle="1" w:styleId="219">
    <w:name w:val="H2 Char"/>
    <w:qFormat/>
    <w:uiPriority w:val="0"/>
    <w:rPr>
      <w:rFonts w:ascii="Arial" w:hAnsi="Arial" w:eastAsia="黑体" w:cs="Times New Roman"/>
      <w:b/>
      <w:bCs/>
      <w:sz w:val="32"/>
      <w:szCs w:val="32"/>
    </w:rPr>
  </w:style>
  <w:style w:type="character" w:customStyle="1" w:styleId="220">
    <w:name w:val="font91"/>
    <w:qFormat/>
    <w:uiPriority w:val="0"/>
    <w:rPr>
      <w:rFonts w:hint="eastAsia" w:ascii="宋体" w:hAnsi="宋体" w:eastAsia="宋体" w:cs="宋体"/>
      <w:color w:val="000000"/>
      <w:sz w:val="20"/>
      <w:szCs w:val="20"/>
      <w:u w:val="none"/>
      <w:vertAlign w:val="superscript"/>
    </w:rPr>
  </w:style>
  <w:style w:type="character" w:customStyle="1" w:styleId="221">
    <w:name w:val="Report Text Char"/>
    <w:link w:val="222"/>
    <w:qFormat/>
    <w:uiPriority w:val="0"/>
    <w:rPr>
      <w:rFonts w:ascii="Arial" w:hAnsi="Arial" w:eastAsia="宋体" w:cs="Tahoma"/>
      <w:kern w:val="28"/>
      <w:sz w:val="22"/>
      <w:szCs w:val="20"/>
    </w:rPr>
  </w:style>
  <w:style w:type="paragraph" w:customStyle="1" w:styleId="222">
    <w:name w:val="Report Text"/>
    <w:basedOn w:val="1"/>
    <w:link w:val="221"/>
    <w:qFormat/>
    <w:uiPriority w:val="0"/>
    <w:pPr>
      <w:widowControl/>
      <w:spacing w:before="240" w:after="120"/>
      <w:ind w:left="1080"/>
    </w:pPr>
    <w:rPr>
      <w:rFonts w:ascii="Arial" w:hAnsi="Arial"/>
      <w:kern w:val="28"/>
      <w:sz w:val="22"/>
      <w:szCs w:val="20"/>
    </w:rPr>
  </w:style>
  <w:style w:type="character" w:customStyle="1" w:styleId="223">
    <w:name w:val="批注主题 Char2"/>
    <w:semiHidden/>
    <w:qFormat/>
    <w:uiPriority w:val="99"/>
    <w:rPr>
      <w:rFonts w:ascii="Times New Roman" w:hAnsi="Times New Roman" w:eastAsia="宋体" w:cs="Times New Roman"/>
      <w:b/>
      <w:bCs/>
      <w:szCs w:val="24"/>
    </w:rPr>
  </w:style>
  <w:style w:type="character" w:customStyle="1" w:styleId="224">
    <w:name w:val="font41"/>
    <w:qFormat/>
    <w:uiPriority w:val="0"/>
    <w:rPr>
      <w:rFonts w:hint="eastAsia" w:ascii="宋体" w:hAnsi="宋体" w:eastAsia="宋体" w:cs="宋体"/>
      <w:color w:val="000000"/>
      <w:sz w:val="20"/>
      <w:szCs w:val="20"/>
      <w:u w:val="none"/>
    </w:rPr>
  </w:style>
  <w:style w:type="character" w:customStyle="1" w:styleId="225">
    <w:name w:val="Char Char191"/>
    <w:qFormat/>
    <w:uiPriority w:val="0"/>
    <w:rPr>
      <w:rFonts w:ascii="Arial" w:hAnsi="Arial" w:eastAsia="黑体"/>
      <w:kern w:val="2"/>
      <w:sz w:val="24"/>
      <w:szCs w:val="24"/>
      <w:lang w:val="en-US" w:eastAsia="zh-CN" w:bidi="ar-SA"/>
    </w:rPr>
  </w:style>
  <w:style w:type="character" w:customStyle="1" w:styleId="226">
    <w:name w:val="批注文字 Char3"/>
    <w:qFormat/>
    <w:uiPriority w:val="0"/>
    <w:rPr>
      <w:rFonts w:eastAsia="宋体"/>
      <w:kern w:val="2"/>
      <w:sz w:val="21"/>
      <w:szCs w:val="24"/>
      <w:lang w:val="en-US" w:eastAsia="zh-CN" w:bidi="ar-SA"/>
    </w:rPr>
  </w:style>
  <w:style w:type="character" w:customStyle="1" w:styleId="227">
    <w:name w:val="font51"/>
    <w:qFormat/>
    <w:uiPriority w:val="0"/>
    <w:rPr>
      <w:rFonts w:hint="eastAsia" w:ascii="宋体" w:hAnsi="宋体" w:eastAsia="宋体" w:cs="宋体"/>
      <w:color w:val="000000"/>
      <w:sz w:val="20"/>
      <w:szCs w:val="20"/>
      <w:u w:val="none"/>
      <w:vertAlign w:val="superscript"/>
    </w:rPr>
  </w:style>
  <w:style w:type="character" w:customStyle="1" w:styleId="228">
    <w:name w:val="Char Char14"/>
    <w:qFormat/>
    <w:uiPriority w:val="0"/>
    <w:rPr>
      <w:sz w:val="18"/>
      <w:szCs w:val="18"/>
    </w:rPr>
  </w:style>
  <w:style w:type="character" w:customStyle="1" w:styleId="229">
    <w:name w:val="Document Map Char"/>
    <w:qFormat/>
    <w:uiPriority w:val="0"/>
    <w:rPr>
      <w:rFonts w:eastAsia="宋体"/>
      <w:kern w:val="2"/>
      <w:sz w:val="21"/>
      <w:szCs w:val="24"/>
      <w:lang w:val="en-US" w:eastAsia="zh-CN" w:bidi="ar-SA"/>
    </w:rPr>
  </w:style>
  <w:style w:type="character" w:customStyle="1" w:styleId="230">
    <w:name w:val="无间隔 Char Char"/>
    <w:qFormat/>
    <w:uiPriority w:val="0"/>
    <w:rPr>
      <w:rFonts w:ascii="Calibri" w:hAnsi="Calibri" w:eastAsia="宋体"/>
      <w:sz w:val="22"/>
      <w:szCs w:val="22"/>
      <w:lang w:val="en-US" w:eastAsia="zh-CN" w:bidi="ar-SA"/>
    </w:rPr>
  </w:style>
  <w:style w:type="character" w:customStyle="1" w:styleId="231">
    <w:name w:val="Date Char"/>
    <w:qFormat/>
    <w:uiPriority w:val="0"/>
    <w:rPr>
      <w:rFonts w:eastAsia="宋体"/>
      <w:kern w:val="2"/>
      <w:sz w:val="21"/>
      <w:szCs w:val="24"/>
      <w:lang w:val="en-US" w:eastAsia="zh-CN" w:bidi="ar-SA"/>
    </w:rPr>
  </w:style>
  <w:style w:type="character" w:customStyle="1" w:styleId="232">
    <w:name w:val="unnamed21"/>
    <w:qFormat/>
    <w:uiPriority w:val="0"/>
  </w:style>
  <w:style w:type="character" w:customStyle="1" w:styleId="233">
    <w:name w:val="日期 Char1"/>
    <w:qFormat/>
    <w:uiPriority w:val="0"/>
    <w:rPr>
      <w:rFonts w:ascii="Times New Roman" w:hAnsi="Times New Roman" w:eastAsia="宋体" w:cs="Times New Roman"/>
      <w:szCs w:val="24"/>
    </w:rPr>
  </w:style>
  <w:style w:type="character" w:customStyle="1" w:styleId="234">
    <w:name w:val="自定义标题一 Char"/>
    <w:link w:val="235"/>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235">
    <w:name w:val="自定义标题一"/>
    <w:basedOn w:val="2"/>
    <w:link w:val="23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36">
    <w:name w:val="Header Char"/>
    <w:qFormat/>
    <w:uiPriority w:val="0"/>
    <w:rPr>
      <w:rFonts w:eastAsia="宋体"/>
      <w:kern w:val="2"/>
      <w:sz w:val="18"/>
      <w:szCs w:val="18"/>
      <w:lang w:val="en-US" w:eastAsia="zh-CN" w:bidi="ar-SA"/>
    </w:rPr>
  </w:style>
  <w:style w:type="character" w:customStyle="1" w:styleId="237">
    <w:name w:val="Char Char181"/>
    <w:qFormat/>
    <w:uiPriority w:val="0"/>
    <w:rPr>
      <w:rFonts w:ascii="Arial" w:hAnsi="Arial" w:eastAsia="黑体"/>
      <w:kern w:val="2"/>
      <w:sz w:val="21"/>
      <w:szCs w:val="24"/>
      <w:lang w:val="en-US" w:eastAsia="zh-CN" w:bidi="ar-SA"/>
    </w:rPr>
  </w:style>
  <w:style w:type="character" w:customStyle="1" w:styleId="238">
    <w:name w:val="Char Char201"/>
    <w:qFormat/>
    <w:uiPriority w:val="0"/>
    <w:rPr>
      <w:rFonts w:eastAsia="宋体"/>
      <w:b/>
      <w:kern w:val="2"/>
      <w:sz w:val="24"/>
      <w:szCs w:val="24"/>
      <w:lang w:val="en-US" w:eastAsia="zh-CN" w:bidi="ar-SA"/>
    </w:rPr>
  </w:style>
  <w:style w:type="character" w:customStyle="1" w:styleId="239">
    <w:name w:val="标题 Char3"/>
    <w:qFormat/>
    <w:uiPriority w:val="0"/>
    <w:rPr>
      <w:rFonts w:ascii="Cambria" w:hAnsi="Cambria" w:eastAsia="宋体" w:cs="Times New Roman"/>
      <w:b/>
      <w:bCs/>
      <w:sz w:val="32"/>
      <w:szCs w:val="32"/>
    </w:rPr>
  </w:style>
  <w:style w:type="character" w:customStyle="1" w:styleId="240">
    <w:name w:val="style161"/>
    <w:qFormat/>
    <w:uiPriority w:val="0"/>
    <w:rPr>
      <w:color w:val="666666"/>
    </w:rPr>
  </w:style>
  <w:style w:type="character" w:customStyle="1" w:styleId="241">
    <w:name w:val="Char Char2"/>
    <w:qFormat/>
    <w:uiPriority w:val="0"/>
    <w:rPr>
      <w:rFonts w:ascii="宋体" w:hAnsi="Courier New" w:eastAsia="宋体"/>
      <w:kern w:val="2"/>
      <w:sz w:val="21"/>
      <w:szCs w:val="24"/>
      <w:lang w:val="en-US" w:eastAsia="zh-CN" w:bidi="ar-SA"/>
    </w:rPr>
  </w:style>
  <w:style w:type="character" w:customStyle="1" w:styleId="242">
    <w:name w:val="Char Char16"/>
    <w:qFormat/>
    <w:uiPriority w:val="0"/>
    <w:rPr>
      <w:rFonts w:ascii="Arial" w:hAnsi="Arial" w:eastAsia="宋体"/>
      <w:b/>
      <w:bCs/>
      <w:kern w:val="2"/>
      <w:sz w:val="32"/>
      <w:szCs w:val="32"/>
      <w:lang w:bidi="ar-SA"/>
    </w:rPr>
  </w:style>
  <w:style w:type="character" w:customStyle="1" w:styleId="243">
    <w:name w:val="_Style 242"/>
    <w:qFormat/>
    <w:uiPriority w:val="0"/>
    <w:rPr>
      <w:b/>
      <w:bCs/>
      <w:smallCaps/>
      <w:color w:val="C0504D"/>
      <w:spacing w:val="5"/>
      <w:u w:val="single"/>
    </w:rPr>
  </w:style>
  <w:style w:type="character" w:customStyle="1" w:styleId="244">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245">
    <w:name w:val="textcontents"/>
    <w:qFormat/>
    <w:uiPriority w:val="0"/>
    <w:rPr>
      <w:rFonts w:cs="Times New Roman"/>
    </w:rPr>
  </w:style>
  <w:style w:type="character" w:customStyle="1" w:styleId="246">
    <w:name w:val="Char Char11"/>
    <w:qFormat/>
    <w:uiPriority w:val="0"/>
    <w:rPr>
      <w:rFonts w:ascii="Times New Roman" w:hAnsi="Times New Roman" w:eastAsia="宋体" w:cs="Times New Roman"/>
      <w:sz w:val="30"/>
      <w:szCs w:val="24"/>
    </w:rPr>
  </w:style>
  <w:style w:type="character" w:customStyle="1" w:styleId="247">
    <w:name w:val="Char Char192"/>
    <w:qFormat/>
    <w:uiPriority w:val="0"/>
    <w:rPr>
      <w:rFonts w:ascii="Arial" w:hAnsi="Arial" w:eastAsia="宋体" w:cs="Times New Roman"/>
      <w:b/>
      <w:bCs/>
      <w:szCs w:val="28"/>
    </w:rPr>
  </w:style>
  <w:style w:type="character" w:customStyle="1" w:styleId="248">
    <w:name w:val="Char Char271"/>
    <w:qFormat/>
    <w:uiPriority w:val="0"/>
    <w:rPr>
      <w:rFonts w:eastAsia="宋体"/>
      <w:b/>
      <w:bCs/>
      <w:kern w:val="44"/>
      <w:sz w:val="44"/>
      <w:szCs w:val="44"/>
      <w:lang w:val="en-US" w:eastAsia="zh-CN" w:bidi="ar-SA"/>
    </w:rPr>
  </w:style>
  <w:style w:type="character" w:customStyle="1" w:styleId="249">
    <w:name w:val="正文文本 Char1"/>
    <w:qFormat/>
    <w:uiPriority w:val="0"/>
    <w:rPr>
      <w:kern w:val="2"/>
      <w:sz w:val="21"/>
      <w:szCs w:val="22"/>
    </w:rPr>
  </w:style>
  <w:style w:type="character" w:customStyle="1" w:styleId="250">
    <w:name w:val="Char Char15"/>
    <w:qFormat/>
    <w:uiPriority w:val="0"/>
    <w:rPr>
      <w:sz w:val="18"/>
      <w:szCs w:val="18"/>
    </w:rPr>
  </w:style>
  <w:style w:type="character" w:customStyle="1" w:styleId="251">
    <w:name w:val="Plain Text Char"/>
    <w:link w:val="252"/>
    <w:qFormat/>
    <w:uiPriority w:val="0"/>
    <w:rPr>
      <w:rFonts w:ascii="宋体" w:hAnsi="Courier New" w:eastAsia="宋体"/>
      <w:sz w:val="24"/>
    </w:rPr>
  </w:style>
  <w:style w:type="paragraph" w:customStyle="1" w:styleId="252">
    <w:name w:val="纯文本1"/>
    <w:basedOn w:val="1"/>
    <w:link w:val="251"/>
    <w:qFormat/>
    <w:uiPriority w:val="0"/>
    <w:rPr>
      <w:rFonts w:ascii="宋体" w:hAnsi="Courier New"/>
      <w:kern w:val="0"/>
      <w:sz w:val="24"/>
      <w:szCs w:val="20"/>
    </w:rPr>
  </w:style>
  <w:style w:type="character" w:customStyle="1" w:styleId="253">
    <w:name w:val="Char Char231"/>
    <w:qFormat/>
    <w:uiPriority w:val="0"/>
    <w:rPr>
      <w:rFonts w:ascii="Times New Roman" w:hAnsi="Times New Roman" w:eastAsia="宋体" w:cs="Times New Roman"/>
      <w:b/>
      <w:bCs/>
      <w:kern w:val="44"/>
      <w:sz w:val="44"/>
      <w:szCs w:val="44"/>
    </w:rPr>
  </w:style>
  <w:style w:type="character" w:customStyle="1" w:styleId="254">
    <w:name w:val="Heading 2 Char"/>
    <w:qFormat/>
    <w:uiPriority w:val="0"/>
    <w:rPr>
      <w:rFonts w:ascii="Arial" w:hAnsi="Arial" w:eastAsia="黑体"/>
      <w:b/>
      <w:bCs/>
      <w:kern w:val="2"/>
      <w:sz w:val="32"/>
      <w:szCs w:val="32"/>
      <w:lang w:val="en-US" w:eastAsia="zh-CN" w:bidi="ar-SA"/>
    </w:rPr>
  </w:style>
  <w:style w:type="character" w:customStyle="1" w:styleId="255">
    <w:name w:val="1ji Char Char"/>
    <w:qFormat/>
    <w:locked/>
    <w:uiPriority w:val="0"/>
    <w:rPr>
      <w:rFonts w:ascii="宋体" w:hAnsi="宋体" w:eastAsia="宋体"/>
      <w:b/>
      <w:bCs/>
      <w:kern w:val="44"/>
      <w:sz w:val="36"/>
      <w:szCs w:val="44"/>
    </w:rPr>
  </w:style>
  <w:style w:type="character" w:customStyle="1" w:styleId="256">
    <w:name w:val="Heading 3 Char"/>
    <w:qFormat/>
    <w:uiPriority w:val="0"/>
    <w:rPr>
      <w:rFonts w:cs="Times New Roman"/>
      <w:b/>
      <w:bCs/>
      <w:kern w:val="2"/>
      <w:sz w:val="32"/>
      <w:szCs w:val="32"/>
    </w:rPr>
  </w:style>
  <w:style w:type="character" w:customStyle="1" w:styleId="257">
    <w:name w:val="Char Char91"/>
    <w:qFormat/>
    <w:uiPriority w:val="0"/>
    <w:rPr>
      <w:rFonts w:eastAsia="宋体"/>
      <w:sz w:val="24"/>
      <w:lang w:bidi="ar-SA"/>
    </w:rPr>
  </w:style>
  <w:style w:type="character" w:customStyle="1" w:styleId="258">
    <w:name w:val="Comment Text Char1"/>
    <w:qFormat/>
    <w:uiPriority w:val="0"/>
    <w:rPr>
      <w:sz w:val="24"/>
      <w:lang w:bidi="ar-SA"/>
    </w:rPr>
  </w:style>
  <w:style w:type="character" w:customStyle="1" w:styleId="259">
    <w:name w:val="Char Char251"/>
    <w:qFormat/>
    <w:uiPriority w:val="0"/>
    <w:rPr>
      <w:rFonts w:eastAsia="宋体"/>
      <w:b/>
      <w:bCs/>
      <w:sz w:val="32"/>
      <w:szCs w:val="32"/>
      <w:lang w:bidi="ar-SA"/>
    </w:rPr>
  </w:style>
  <w:style w:type="character" w:customStyle="1" w:styleId="260">
    <w:name w:val="Char Char2411"/>
    <w:qFormat/>
    <w:uiPriority w:val="0"/>
    <w:rPr>
      <w:rFonts w:eastAsia="宋体"/>
      <w:b/>
      <w:bCs/>
      <w:kern w:val="44"/>
      <w:sz w:val="32"/>
      <w:szCs w:val="44"/>
      <w:lang w:val="en-US" w:eastAsia="zh-CN" w:bidi="ar-SA"/>
    </w:rPr>
  </w:style>
  <w:style w:type="character" w:customStyle="1" w:styleId="261">
    <w:name w:val="Char Char Char Char Char1"/>
    <w:qFormat/>
    <w:uiPriority w:val="0"/>
    <w:rPr>
      <w:rFonts w:eastAsia="宋体"/>
      <w:b/>
      <w:bCs/>
      <w:kern w:val="44"/>
      <w:sz w:val="44"/>
      <w:szCs w:val="44"/>
      <w:lang w:val="en-US" w:eastAsia="zh-CN" w:bidi="ar-SA"/>
    </w:rPr>
  </w:style>
  <w:style w:type="character" w:customStyle="1" w:styleId="262">
    <w:name w:val="标题5 Char Char"/>
    <w:link w:val="263"/>
    <w:qFormat/>
    <w:uiPriority w:val="0"/>
    <w:rPr>
      <w:rFonts w:ascii="Arial" w:hAnsi="Arial"/>
      <w:b/>
      <w:bCs/>
      <w:sz w:val="24"/>
      <w:szCs w:val="32"/>
    </w:rPr>
  </w:style>
  <w:style w:type="paragraph" w:customStyle="1" w:styleId="263">
    <w:name w:val="标题5"/>
    <w:basedOn w:val="4"/>
    <w:link w:val="262"/>
    <w:qFormat/>
    <w:uiPriority w:val="0"/>
    <w:pPr>
      <w:spacing w:before="260" w:after="260" w:line="413" w:lineRule="auto"/>
    </w:pPr>
    <w:rPr>
      <w:rFonts w:ascii="Arial" w:hAnsi="Arial" w:eastAsia="宋体"/>
      <w:sz w:val="24"/>
    </w:rPr>
  </w:style>
  <w:style w:type="character" w:customStyle="1" w:styleId="264">
    <w:name w:val="Char Char6"/>
    <w:qFormat/>
    <w:uiPriority w:val="0"/>
    <w:rPr>
      <w:rFonts w:eastAsia="宋体"/>
      <w:b/>
      <w:bCs/>
      <w:kern w:val="44"/>
      <w:sz w:val="32"/>
      <w:szCs w:val="44"/>
      <w:lang w:val="en-US" w:eastAsia="zh-CN" w:bidi="ar-SA"/>
    </w:rPr>
  </w:style>
  <w:style w:type="character" w:customStyle="1" w:styleId="265">
    <w:name w:val="Char Char171"/>
    <w:qFormat/>
    <w:uiPriority w:val="0"/>
    <w:rPr>
      <w:rFonts w:hint="default" w:ascii="Times New Roman" w:hAnsi="Times New Roman" w:cs="Times New Roman"/>
      <w:b/>
      <w:bCs/>
      <w:kern w:val="2"/>
      <w:sz w:val="21"/>
      <w:szCs w:val="24"/>
    </w:rPr>
  </w:style>
  <w:style w:type="character" w:customStyle="1" w:styleId="266">
    <w:name w:val="Heading 4 Char"/>
    <w:qFormat/>
    <w:uiPriority w:val="0"/>
    <w:rPr>
      <w:rFonts w:ascii="Arial" w:hAnsi="Arial" w:eastAsia="宋体"/>
      <w:b/>
      <w:bCs/>
      <w:kern w:val="2"/>
      <w:sz w:val="21"/>
      <w:szCs w:val="28"/>
      <w:lang w:val="en-US" w:eastAsia="zh-CN" w:bidi="ar-SA"/>
    </w:rPr>
  </w:style>
  <w:style w:type="character" w:customStyle="1" w:styleId="267">
    <w:name w:val="普通文字 Char Char4"/>
    <w:qFormat/>
    <w:uiPriority w:val="0"/>
    <w:rPr>
      <w:rFonts w:ascii="宋体" w:hAnsi="Courier New" w:eastAsia="宋体" w:cs="Courier New"/>
      <w:kern w:val="2"/>
      <w:sz w:val="21"/>
      <w:szCs w:val="21"/>
      <w:lang w:val="en-US" w:eastAsia="zh-CN" w:bidi="ar-SA"/>
    </w:rPr>
  </w:style>
  <w:style w:type="character" w:customStyle="1" w:styleId="268">
    <w:name w:val="Char Char211"/>
    <w:qFormat/>
    <w:uiPriority w:val="0"/>
    <w:rPr>
      <w:rFonts w:ascii="Arial" w:hAnsi="Arial" w:eastAsia="黑体"/>
      <w:b/>
      <w:kern w:val="2"/>
      <w:sz w:val="24"/>
      <w:szCs w:val="24"/>
      <w:lang w:val="en-US" w:eastAsia="zh-CN" w:bidi="ar-SA"/>
    </w:rPr>
  </w:style>
  <w:style w:type="character" w:customStyle="1" w:styleId="269">
    <w:name w:val="无间隔 Char"/>
    <w:link w:val="270"/>
    <w:qFormat/>
    <w:uiPriority w:val="0"/>
    <w:rPr>
      <w:szCs w:val="24"/>
      <w:lang w:val="en-US" w:eastAsia="zh-CN" w:bidi="ar-SA"/>
    </w:rPr>
  </w:style>
  <w:style w:type="paragraph" w:styleId="270">
    <w:name w:val="No Spacing"/>
    <w:link w:val="269"/>
    <w:qFormat/>
    <w:uiPriority w:val="1"/>
    <w:pPr>
      <w:widowControl w:val="0"/>
      <w:jc w:val="both"/>
    </w:pPr>
    <w:rPr>
      <w:rFonts w:ascii="Times New Roman" w:hAnsi="Times New Roman" w:eastAsia="宋体" w:cs="Times New Roman"/>
      <w:szCs w:val="24"/>
      <w:lang w:val="en-US" w:eastAsia="zh-CN" w:bidi="ar-SA"/>
    </w:rPr>
  </w:style>
  <w:style w:type="character" w:customStyle="1" w:styleId="271">
    <w:name w:val="p1"/>
    <w:qFormat/>
    <w:uiPriority w:val="0"/>
  </w:style>
  <w:style w:type="character" w:customStyle="1" w:styleId="272">
    <w:name w:val="列出段落 Char"/>
    <w:link w:val="273"/>
    <w:qFormat/>
    <w:uiPriority w:val="0"/>
    <w:rPr>
      <w:rFonts w:ascii="Calibri" w:hAnsi="Calibri" w:eastAsia="宋体" w:cs="Times New Roman"/>
    </w:rPr>
  </w:style>
  <w:style w:type="paragraph" w:customStyle="1" w:styleId="273">
    <w:name w:val="列出段落2"/>
    <w:basedOn w:val="1"/>
    <w:link w:val="272"/>
    <w:qFormat/>
    <w:uiPriority w:val="0"/>
    <w:pPr>
      <w:ind w:firstLine="420" w:firstLineChars="200"/>
    </w:pPr>
    <w:rPr>
      <w:rFonts w:ascii="Calibri" w:hAnsi="Calibri"/>
      <w:kern w:val="0"/>
      <w:sz w:val="20"/>
      <w:szCs w:val="20"/>
    </w:rPr>
  </w:style>
  <w:style w:type="character" w:customStyle="1" w:styleId="274">
    <w:name w:val="Body Text Char"/>
    <w:qFormat/>
    <w:locked/>
    <w:uiPriority w:val="0"/>
    <w:rPr>
      <w:rFonts w:eastAsia="宋体"/>
      <w:kern w:val="2"/>
      <w:sz w:val="24"/>
      <w:szCs w:val="24"/>
      <w:lang w:val="en-US" w:eastAsia="zh-CN" w:bidi="ar-SA"/>
    </w:rPr>
  </w:style>
  <w:style w:type="character" w:customStyle="1" w:styleId="275">
    <w:name w:val="标题 3 Char Char Char"/>
    <w:qFormat/>
    <w:locked/>
    <w:uiPriority w:val="0"/>
    <w:rPr>
      <w:rFonts w:ascii="宋体" w:hAnsi="宋体" w:eastAsia="宋体"/>
      <w:b/>
      <w:bCs/>
      <w:sz w:val="24"/>
      <w:szCs w:val="32"/>
      <w:lang w:val="en-US" w:eastAsia="zh-CN" w:bidi="ar-SA"/>
    </w:rPr>
  </w:style>
  <w:style w:type="character" w:customStyle="1" w:styleId="276">
    <w:name w:val="目录文字 Char"/>
    <w:link w:val="277"/>
    <w:qFormat/>
    <w:locked/>
    <w:uiPriority w:val="0"/>
    <w:rPr>
      <w:rFonts w:ascii="宋体" w:hAnsi="宋体" w:eastAsia="宋体" w:cs="Times New Roman"/>
      <w:kern w:val="0"/>
      <w:sz w:val="24"/>
      <w:szCs w:val="20"/>
    </w:rPr>
  </w:style>
  <w:style w:type="paragraph" w:customStyle="1" w:styleId="277">
    <w:name w:val="目录文字"/>
    <w:basedOn w:val="1"/>
    <w:link w:val="276"/>
    <w:qFormat/>
    <w:uiPriority w:val="0"/>
    <w:pPr>
      <w:widowControl/>
      <w:spacing w:line="480" w:lineRule="auto"/>
      <w:jc w:val="left"/>
    </w:pPr>
    <w:rPr>
      <w:rFonts w:ascii="宋体" w:hAnsi="宋体"/>
      <w:kern w:val="0"/>
      <w:sz w:val="24"/>
      <w:szCs w:val="20"/>
    </w:rPr>
  </w:style>
  <w:style w:type="character" w:customStyle="1" w:styleId="278">
    <w:name w:val="mark8"/>
    <w:qFormat/>
    <w:uiPriority w:val="0"/>
    <w:rPr>
      <w:b/>
      <w:bCs/>
      <w:sz w:val="21"/>
      <w:szCs w:val="21"/>
    </w:rPr>
  </w:style>
  <w:style w:type="character" w:customStyle="1" w:styleId="279">
    <w:name w:val="Para head"/>
    <w:qFormat/>
    <w:uiPriority w:val="0"/>
    <w:rPr>
      <w:rFonts w:ascii="Arial" w:hAnsi="Arial" w:eastAsia="Times New Roman"/>
      <w:sz w:val="20"/>
    </w:rPr>
  </w:style>
  <w:style w:type="character" w:customStyle="1" w:styleId="280">
    <w:name w:val="apple-style-span"/>
    <w:qFormat/>
    <w:uiPriority w:val="0"/>
  </w:style>
  <w:style w:type="character" w:customStyle="1" w:styleId="281">
    <w:name w:val="case31"/>
    <w:qFormat/>
    <w:uiPriority w:val="0"/>
    <w:rPr>
      <w:rFonts w:hint="default"/>
      <w:spacing w:val="390"/>
      <w:sz w:val="21"/>
      <w:szCs w:val="21"/>
    </w:rPr>
  </w:style>
  <w:style w:type="character" w:customStyle="1" w:styleId="282">
    <w:name w:val="Char Char261"/>
    <w:qFormat/>
    <w:uiPriority w:val="0"/>
    <w:rPr>
      <w:rFonts w:ascii="Arial" w:hAnsi="Arial" w:eastAsia="黑体"/>
      <w:b/>
      <w:bCs/>
      <w:sz w:val="32"/>
      <w:szCs w:val="32"/>
      <w:lang w:bidi="ar-SA"/>
    </w:rPr>
  </w:style>
  <w:style w:type="character" w:customStyle="1" w:styleId="283">
    <w:name w:val="062"/>
    <w:qFormat/>
    <w:uiPriority w:val="0"/>
    <w:rPr>
      <w:rFonts w:ascii="宋体" w:hAnsi="宋体"/>
      <w:b/>
      <w:bCs/>
      <w:sz w:val="32"/>
    </w:rPr>
  </w:style>
  <w:style w:type="character" w:customStyle="1" w:styleId="284">
    <w:name w:val="Char Char241"/>
    <w:qFormat/>
    <w:uiPriority w:val="0"/>
    <w:rPr>
      <w:rFonts w:ascii="Arial" w:hAnsi="Arial" w:eastAsia="黑体"/>
      <w:sz w:val="28"/>
      <w:lang w:bidi="ar-SA"/>
    </w:rPr>
  </w:style>
  <w:style w:type="character" w:customStyle="1" w:styleId="285">
    <w:name w:val="small"/>
    <w:qFormat/>
    <w:uiPriority w:val="0"/>
  </w:style>
  <w:style w:type="character" w:customStyle="1" w:styleId="286">
    <w:name w:val="Char Char331"/>
    <w:qFormat/>
    <w:uiPriority w:val="0"/>
    <w:rPr>
      <w:rFonts w:ascii="宋体" w:hAnsi="Courier New" w:eastAsia="宋体" w:cs="Courier New"/>
      <w:szCs w:val="21"/>
    </w:rPr>
  </w:style>
  <w:style w:type="character" w:customStyle="1" w:styleId="287">
    <w:name w:val="graytext1"/>
    <w:qFormat/>
    <w:uiPriority w:val="0"/>
    <w:rPr>
      <w:color w:val="666666"/>
    </w:rPr>
  </w:style>
  <w:style w:type="character" w:customStyle="1" w:styleId="288">
    <w:name w:val="Char Char221"/>
    <w:qFormat/>
    <w:uiPriority w:val="0"/>
    <w:rPr>
      <w:rFonts w:eastAsia="宋体"/>
      <w:b/>
      <w:kern w:val="2"/>
      <w:sz w:val="28"/>
      <w:szCs w:val="24"/>
      <w:lang w:val="en-US" w:eastAsia="zh-CN" w:bidi="ar-SA"/>
    </w:rPr>
  </w:style>
  <w:style w:type="character" w:customStyle="1" w:styleId="289">
    <w:name w:val="style11"/>
    <w:qFormat/>
    <w:uiPriority w:val="0"/>
    <w:rPr>
      <w:rFonts w:hint="default" w:ascii="Arial" w:hAnsi="Arial" w:cs="Arial"/>
    </w:rPr>
  </w:style>
  <w:style w:type="character" w:customStyle="1" w:styleId="290">
    <w:name w:val="Char Char12"/>
    <w:qFormat/>
    <w:uiPriority w:val="0"/>
    <w:rPr>
      <w:sz w:val="18"/>
    </w:rPr>
  </w:style>
  <w:style w:type="character" w:customStyle="1" w:styleId="291">
    <w:name w:val="white"/>
    <w:qFormat/>
    <w:uiPriority w:val="0"/>
  </w:style>
  <w:style w:type="character" w:customStyle="1" w:styleId="292">
    <w:name w:val="批注文字 Char2"/>
    <w:qFormat/>
    <w:uiPriority w:val="0"/>
    <w:rPr>
      <w:rFonts w:eastAsia="宋体"/>
      <w:kern w:val="2"/>
      <w:sz w:val="21"/>
      <w:szCs w:val="24"/>
      <w:lang w:val="en-US" w:eastAsia="zh-CN" w:bidi="ar-SA"/>
    </w:rPr>
  </w:style>
  <w:style w:type="character" w:customStyle="1" w:styleId="293">
    <w:name w:val="text11"/>
    <w:qFormat/>
    <w:uiPriority w:val="0"/>
    <w:rPr>
      <w:rFonts w:hint="default" w:ascii="Verdana" w:hAnsi="Verdana"/>
      <w:color w:val="4E4E4E"/>
      <w:sz w:val="18"/>
      <w:szCs w:val="18"/>
    </w:rPr>
  </w:style>
  <w:style w:type="character" w:customStyle="1" w:styleId="294">
    <w:name w:val="Char Char301"/>
    <w:qFormat/>
    <w:uiPriority w:val="0"/>
    <w:rPr>
      <w:rFonts w:ascii="Times New Roman" w:hAnsi="Times New Roman" w:eastAsia="宋体" w:cs="Times New Roman"/>
      <w:szCs w:val="24"/>
    </w:rPr>
  </w:style>
  <w:style w:type="character" w:customStyle="1" w:styleId="295">
    <w:name w:val="cubane_hilight1"/>
    <w:qFormat/>
    <w:uiPriority w:val="0"/>
    <w:rPr>
      <w:color w:val="CC0000"/>
    </w:rPr>
  </w:style>
  <w:style w:type="character" w:customStyle="1" w:styleId="296">
    <w:name w:val="ca-0"/>
    <w:qFormat/>
    <w:uiPriority w:val="0"/>
  </w:style>
  <w:style w:type="paragraph" w:customStyle="1" w:styleId="29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8">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299">
    <w:name w:val="Char Char4 Char Char Char Char"/>
    <w:basedOn w:val="1"/>
    <w:qFormat/>
    <w:uiPriority w:val="0"/>
    <w:pPr>
      <w:widowControl/>
      <w:spacing w:after="160" w:line="240" w:lineRule="exact"/>
      <w:jc w:val="left"/>
    </w:p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02">
    <w:name w:val="样式 标题 2 + (西文) 宋体 非加粗 居中"/>
    <w:basedOn w:val="3"/>
    <w:qFormat/>
    <w:uiPriority w:val="0"/>
    <w:pPr>
      <w:spacing w:before="260" w:after="260" w:line="416" w:lineRule="auto"/>
      <w:jc w:val="center"/>
    </w:pPr>
    <w:rPr>
      <w:rFonts w:ascii="宋体" w:hAnsi="宋体" w:cs="宋体"/>
      <w:b w:val="0"/>
      <w:bCs w:val="0"/>
      <w:spacing w:val="2"/>
      <w:sz w:val="28"/>
      <w:szCs w:val="20"/>
    </w:rPr>
  </w:style>
  <w:style w:type="paragraph" w:customStyle="1" w:styleId="303">
    <w:name w:val="样式1"/>
    <w:basedOn w:val="1"/>
    <w:next w:val="5"/>
    <w:qFormat/>
    <w:uiPriority w:val="0"/>
    <w:pPr>
      <w:spacing w:line="360" w:lineRule="auto"/>
      <w:ind w:firstLine="420" w:firstLineChars="200"/>
    </w:pPr>
    <w:rPr>
      <w:rFonts w:ascii="宋体" w:hAnsi="宋体"/>
      <w:szCs w:val="21"/>
    </w:rPr>
  </w:style>
  <w:style w:type="paragraph" w:customStyle="1" w:styleId="30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5">
    <w:name w:val="Char1 Char Char Char Char Char Char"/>
    <w:basedOn w:val="1"/>
    <w:qFormat/>
    <w:uiPriority w:val="0"/>
    <w:rPr>
      <w:rFonts w:ascii="Tahoma" w:hAnsi="Tahoma"/>
      <w:sz w:val="24"/>
      <w:szCs w:val="20"/>
    </w:rPr>
  </w:style>
  <w:style w:type="paragraph" w:customStyle="1" w:styleId="306">
    <w:name w:val="Report List"/>
    <w:basedOn w:val="1"/>
    <w:qFormat/>
    <w:uiPriority w:val="0"/>
    <w:pPr>
      <w:widowControl/>
      <w:tabs>
        <w:tab w:val="left" w:pos="1440"/>
      </w:tabs>
      <w:spacing w:before="120" w:after="120"/>
      <w:ind w:left="1440" w:hanging="360"/>
    </w:pPr>
    <w:rPr>
      <w:rFonts w:ascii="Arial" w:hAnsi="Arial" w:cs="Tahoma"/>
      <w:kern w:val="28"/>
      <w:sz w:val="22"/>
      <w:szCs w:val="20"/>
    </w:rPr>
  </w:style>
  <w:style w:type="paragraph" w:customStyle="1" w:styleId="307">
    <w:name w:val="次小点说明 Char"/>
    <w:basedOn w:val="7"/>
    <w:qFormat/>
    <w:uiPriority w:val="0"/>
    <w:pPr>
      <w:ind w:firstLine="0"/>
    </w:pPr>
    <w:rPr>
      <w:sz w:val="24"/>
      <w:szCs w:val="24"/>
    </w:rPr>
  </w:style>
  <w:style w:type="paragraph" w:customStyle="1" w:styleId="308">
    <w:name w:val="_Style 37"/>
    <w:basedOn w:val="1"/>
    <w:next w:val="1"/>
    <w:qFormat/>
    <w:uiPriority w:val="0"/>
  </w:style>
  <w:style w:type="paragraph" w:customStyle="1" w:styleId="30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0">
    <w:name w:val="默认段落字体 Para Char Char Char Char Char Char Char Char Char1 Char Char Char Char"/>
    <w:basedOn w:val="1"/>
    <w:qFormat/>
    <w:uiPriority w:val="0"/>
    <w:rPr>
      <w:rFonts w:ascii="Tahoma" w:hAnsi="Tahoma"/>
      <w:sz w:val="24"/>
      <w:szCs w:val="20"/>
    </w:rPr>
  </w:style>
  <w:style w:type="paragraph" w:customStyle="1" w:styleId="311">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31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1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4">
    <w:name w:val="正文段"/>
    <w:basedOn w:val="1"/>
    <w:qFormat/>
    <w:uiPriority w:val="0"/>
    <w:pPr>
      <w:widowControl/>
      <w:snapToGrid w:val="0"/>
      <w:spacing w:afterLines="50"/>
      <w:ind w:firstLine="200" w:firstLineChars="200"/>
    </w:pPr>
    <w:rPr>
      <w:kern w:val="0"/>
      <w:sz w:val="24"/>
      <w:szCs w:val="20"/>
    </w:rPr>
  </w:style>
  <w:style w:type="paragraph" w:customStyle="1" w:styleId="315">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16">
    <w:name w:val="Char Char Char Char Char Char Char1"/>
    <w:basedOn w:val="1"/>
    <w:qFormat/>
    <w:uiPriority w:val="0"/>
  </w:style>
  <w:style w:type="paragraph" w:customStyle="1" w:styleId="317">
    <w:name w:val="表内文字"/>
    <w:basedOn w:val="1"/>
    <w:qFormat/>
    <w:uiPriority w:val="0"/>
    <w:pPr>
      <w:snapToGrid w:val="0"/>
      <w:spacing w:line="320" w:lineRule="exact"/>
      <w:ind w:firstLine="452" w:firstLineChars="150"/>
    </w:pPr>
    <w:rPr>
      <w:rFonts w:ascii="宋体" w:hAnsi="宋体"/>
      <w:b/>
      <w:sz w:val="30"/>
      <w:szCs w:val="30"/>
    </w:rPr>
  </w:style>
  <w:style w:type="paragraph" w:customStyle="1" w:styleId="318">
    <w:name w:val="Body"/>
    <w:basedOn w:val="1"/>
    <w:qFormat/>
    <w:uiPriority w:val="0"/>
    <w:pPr>
      <w:widowControl/>
      <w:tabs>
        <w:tab w:val="left" w:pos="1980"/>
      </w:tabs>
      <w:spacing w:before="80" w:after="80" w:line="360" w:lineRule="auto"/>
      <w:jc w:val="center"/>
    </w:pPr>
    <w:rPr>
      <w:szCs w:val="21"/>
    </w:rPr>
  </w:style>
  <w:style w:type="paragraph" w:customStyle="1" w:styleId="31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Char Char Char Char Char Char Char Char Char Char Char Char Char Char Char Char1"/>
    <w:basedOn w:val="1"/>
    <w:qFormat/>
    <w:uiPriority w:val="0"/>
    <w:pPr>
      <w:tabs>
        <w:tab w:val="left" w:pos="360"/>
      </w:tabs>
      <w:spacing w:line="360" w:lineRule="auto"/>
      <w:ind w:left="482" w:firstLine="200" w:firstLineChars="200"/>
    </w:pPr>
  </w:style>
  <w:style w:type="paragraph" w:customStyle="1" w:styleId="321">
    <w:name w:val="1"/>
    <w:basedOn w:val="1"/>
    <w:next w:val="29"/>
    <w:qFormat/>
    <w:uiPriority w:val="0"/>
    <w:rPr>
      <w:rFonts w:ascii="宋体" w:hAnsi="Courier New"/>
      <w:szCs w:val="20"/>
    </w:rPr>
  </w:style>
  <w:style w:type="paragraph" w:customStyle="1" w:styleId="322">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32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324">
    <w:name w:val="Char"/>
    <w:basedOn w:val="16"/>
    <w:qFormat/>
    <w:uiPriority w:val="0"/>
    <w:pPr>
      <w:widowControl/>
      <w:ind w:firstLine="454"/>
      <w:jc w:val="left"/>
    </w:pPr>
    <w:rPr>
      <w:rFonts w:ascii="Tahoma" w:hAnsi="Tahoma" w:cs="宋体"/>
      <w:sz w:val="24"/>
      <w:szCs w:val="20"/>
    </w:rPr>
  </w:style>
  <w:style w:type="paragraph" w:customStyle="1" w:styleId="3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6">
    <w:name w:val="b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27">
    <w:name w:val="reader-word-layer reader-word-s2-3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32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3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331">
    <w:name w:val="_Style 5"/>
    <w:basedOn w:val="1"/>
    <w:qFormat/>
    <w:uiPriority w:val="0"/>
    <w:pPr>
      <w:spacing w:afterLines="25"/>
    </w:pPr>
    <w:rPr>
      <w:rFonts w:ascii="Arial" w:hAnsi="Arial"/>
    </w:rPr>
  </w:style>
  <w:style w:type="paragraph" w:customStyle="1" w:styleId="332">
    <w:name w:val="文章总标题"/>
    <w:basedOn w:val="1"/>
    <w:next w:val="333"/>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333">
    <w:name w:val="文章附标题"/>
    <w:basedOn w:val="1"/>
    <w:next w:val="2"/>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334">
    <w:name w:val="样式3"/>
    <w:basedOn w:val="21"/>
    <w:qFormat/>
    <w:uiPriority w:val="0"/>
    <w:pPr>
      <w:spacing w:after="120" w:line="360" w:lineRule="auto"/>
    </w:pPr>
    <w:rPr>
      <w:rFonts w:ascii="宋体"/>
      <w:sz w:val="21"/>
    </w:rPr>
  </w:style>
  <w:style w:type="paragraph" w:customStyle="1" w:styleId="33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6">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7">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38">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40">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41">
    <w:name w:val="Char11"/>
    <w:basedOn w:val="16"/>
    <w:qFormat/>
    <w:uiPriority w:val="0"/>
    <w:pPr>
      <w:widowControl/>
      <w:ind w:firstLine="454"/>
      <w:jc w:val="left"/>
    </w:pPr>
    <w:rPr>
      <w:rFonts w:ascii="Tahoma" w:hAnsi="Tahoma" w:cs="宋体"/>
      <w:sz w:val="24"/>
      <w:szCs w:val="20"/>
    </w:rPr>
  </w:style>
  <w:style w:type="paragraph" w:customStyle="1" w:styleId="342">
    <w:name w:val="菲页2"/>
    <w:basedOn w:val="4"/>
    <w:qFormat/>
    <w:uiPriority w:val="0"/>
    <w:pPr>
      <w:widowControl/>
      <w:tabs>
        <w:tab w:val="left" w:pos="1800"/>
      </w:tabs>
      <w:spacing w:before="120" w:after="120"/>
      <w:ind w:left="1800" w:hanging="420"/>
      <w:jc w:val="center"/>
    </w:pPr>
    <w:rPr>
      <w:rFonts w:ascii="黑体" w:hAnsi="宋体"/>
      <w:b w:val="0"/>
      <w:bCs w:val="0"/>
      <w:sz w:val="44"/>
      <w:szCs w:val="20"/>
    </w:rPr>
  </w:style>
  <w:style w:type="paragraph" w:customStyle="1" w:styleId="343">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4">
    <w:name w:val="F2"/>
    <w:basedOn w:val="1"/>
    <w:qFormat/>
    <w:uiPriority w:val="0"/>
    <w:pPr>
      <w:autoSpaceDE w:val="0"/>
      <w:autoSpaceDN w:val="0"/>
      <w:adjustRightInd w:val="0"/>
      <w:ind w:firstLine="601"/>
      <w:textAlignment w:val="baseline"/>
    </w:pPr>
    <w:rPr>
      <w:kern w:val="0"/>
      <w:sz w:val="24"/>
      <w:szCs w:val="20"/>
    </w:rPr>
  </w:style>
  <w:style w:type="paragraph" w:customStyle="1" w:styleId="345">
    <w:name w:val="_Style 35"/>
    <w:basedOn w:val="16"/>
    <w:qFormat/>
    <w:uiPriority w:val="0"/>
    <w:pPr>
      <w:widowControl/>
      <w:ind w:firstLine="454"/>
      <w:jc w:val="left"/>
    </w:pPr>
  </w:style>
  <w:style w:type="paragraph" w:customStyle="1" w:styleId="346">
    <w:name w:val="目录"/>
    <w:basedOn w:val="1"/>
    <w:qFormat/>
    <w:uiPriority w:val="0"/>
    <w:pPr>
      <w:widowControl/>
      <w:jc w:val="center"/>
    </w:pPr>
    <w:rPr>
      <w:rFonts w:ascii="宋体"/>
      <w:b/>
      <w:kern w:val="0"/>
      <w:sz w:val="36"/>
      <w:szCs w:val="20"/>
    </w:rPr>
  </w:style>
  <w:style w:type="paragraph" w:customStyle="1" w:styleId="347">
    <w:name w:val="Char3"/>
    <w:basedOn w:val="16"/>
    <w:qFormat/>
    <w:uiPriority w:val="0"/>
    <w:pPr>
      <w:widowControl/>
      <w:ind w:firstLine="454"/>
      <w:jc w:val="left"/>
    </w:pPr>
    <w:rPr>
      <w:rFonts w:ascii="Tahoma" w:hAnsi="Tahoma" w:cs="宋体"/>
      <w:sz w:val="24"/>
      <w:szCs w:val="20"/>
    </w:rPr>
  </w:style>
  <w:style w:type="paragraph" w:customStyle="1" w:styleId="348">
    <w:name w:val="纯文本2"/>
    <w:basedOn w:val="1"/>
    <w:qFormat/>
    <w:uiPriority w:val="0"/>
    <w:rPr>
      <w:rFonts w:ascii="宋体" w:hAnsi="Courier New"/>
      <w:kern w:val="0"/>
      <w:sz w:val="24"/>
      <w:szCs w:val="20"/>
    </w:rPr>
  </w:style>
  <w:style w:type="paragraph" w:customStyle="1" w:styleId="349">
    <w:name w:val="Char Char Char1"/>
    <w:basedOn w:val="16"/>
    <w:qFormat/>
    <w:uiPriority w:val="0"/>
    <w:rPr>
      <w:rFonts w:ascii="Tahoma" w:hAnsi="Tahoma"/>
      <w:sz w:val="24"/>
    </w:rPr>
  </w:style>
  <w:style w:type="paragraph" w:customStyle="1" w:styleId="350">
    <w:name w:val="Char1 Char Char Char"/>
    <w:basedOn w:val="1"/>
    <w:qFormat/>
    <w:uiPriority w:val="0"/>
    <w:rPr>
      <w:rFonts w:ascii="Tahoma" w:hAnsi="Tahoma"/>
      <w:sz w:val="24"/>
      <w:szCs w:val="20"/>
    </w:rPr>
  </w:style>
  <w:style w:type="paragraph" w:customStyle="1" w:styleId="351">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2">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353">
    <w:name w:val="Char Char1 Char Char Char Char"/>
    <w:basedOn w:val="16"/>
    <w:qFormat/>
    <w:uiPriority w:val="0"/>
    <w:rPr>
      <w:rFonts w:ascii="Tahoma" w:hAnsi="Tahoma"/>
      <w:sz w:val="24"/>
    </w:rPr>
  </w:style>
  <w:style w:type="paragraph" w:customStyle="1" w:styleId="3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6">
    <w:name w:val="Char Char4 Char Char Char Char1"/>
    <w:basedOn w:val="1"/>
    <w:qFormat/>
    <w:uiPriority w:val="0"/>
    <w:pPr>
      <w:widowControl/>
      <w:spacing w:after="160" w:line="240" w:lineRule="exact"/>
      <w:jc w:val="left"/>
    </w:pPr>
  </w:style>
  <w:style w:type="paragraph" w:customStyle="1" w:styleId="35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 Char Char Char Char Char Char"/>
    <w:basedOn w:val="1"/>
    <w:qFormat/>
    <w:uiPriority w:val="0"/>
  </w:style>
  <w:style w:type="paragraph" w:customStyle="1" w:styleId="359">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36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62">
    <w:name w:val="列出段落1"/>
    <w:basedOn w:val="1"/>
    <w:qFormat/>
    <w:uiPriority w:val="0"/>
    <w:pPr>
      <w:ind w:firstLine="420" w:firstLineChars="200"/>
    </w:pPr>
    <w:rPr>
      <w:rFonts w:ascii="Calibri" w:hAnsi="Calibri"/>
      <w:szCs w:val="22"/>
    </w:rPr>
  </w:style>
  <w:style w:type="paragraph" w:customStyle="1" w:styleId="3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样式 标题 3 + (中文) 黑体 小四 非加粗 段前: 7.8 磅 段后: 0 磅 行距: 固定值 20 磅"/>
    <w:basedOn w:val="4"/>
    <w:qFormat/>
    <w:uiPriority w:val="0"/>
    <w:pPr>
      <w:spacing w:line="400" w:lineRule="exact"/>
    </w:pPr>
    <w:rPr>
      <w:rFonts w:cs="宋体"/>
      <w:b w:val="0"/>
      <w:bCs w:val="0"/>
      <w:szCs w:val="20"/>
    </w:rPr>
  </w:style>
  <w:style w:type="paragraph" w:customStyle="1" w:styleId="365">
    <w:name w:val="Char1"/>
    <w:basedOn w:val="1"/>
    <w:qFormat/>
    <w:uiPriority w:val="0"/>
    <w:rPr>
      <w:szCs w:val="21"/>
    </w:rPr>
  </w:style>
  <w:style w:type="paragraph" w:customStyle="1" w:styleId="366">
    <w:name w:val="2-2ji"/>
    <w:basedOn w:val="3"/>
    <w:qFormat/>
    <w:uiPriority w:val="0"/>
    <w:pPr>
      <w:spacing w:before="0" w:after="0" w:line="360" w:lineRule="auto"/>
      <w:jc w:val="center"/>
    </w:pPr>
    <w:rPr>
      <w:rFonts w:ascii="宋体" w:hAnsi="宋体" w:eastAsia="宋体"/>
      <w:sz w:val="36"/>
      <w:szCs w:val="24"/>
    </w:rPr>
  </w:style>
  <w:style w:type="paragraph" w:customStyle="1" w:styleId="367">
    <w:name w:val="Char Char Char"/>
    <w:basedOn w:val="1"/>
    <w:qFormat/>
    <w:uiPriority w:val="0"/>
    <w:rPr>
      <w:rFonts w:ascii="Tahoma" w:hAnsi="Tahoma"/>
      <w:sz w:val="24"/>
      <w:szCs w:val="20"/>
    </w:rPr>
  </w:style>
  <w:style w:type="paragraph" w:customStyle="1" w:styleId="368">
    <w:name w:val="_Style 367"/>
    <w:basedOn w:val="2"/>
    <w:next w:val="1"/>
    <w:qFormat/>
    <w:uiPriority w:val="0"/>
    <w:pPr>
      <w:spacing w:line="576" w:lineRule="auto"/>
      <w:outlineLvl w:val="9"/>
    </w:pPr>
    <w:rPr>
      <w:rFonts w:ascii="Calibri" w:hAnsi="Calibri" w:eastAsia="黑体"/>
    </w:rPr>
  </w:style>
  <w:style w:type="paragraph" w:customStyle="1" w:styleId="369">
    <w:name w:val="p15"/>
    <w:basedOn w:val="1"/>
    <w:qFormat/>
    <w:uiPriority w:val="0"/>
    <w:pPr>
      <w:widowControl/>
    </w:pPr>
    <w:rPr>
      <w:rFonts w:ascii="宋体" w:hAnsi="宋体" w:cs="宋体"/>
      <w:kern w:val="0"/>
      <w:szCs w:val="21"/>
    </w:rPr>
  </w:style>
  <w:style w:type="paragraph" w:customStyle="1" w:styleId="37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71">
    <w:name w:val="Char Char Char Char Char Char Char Char Char Char Char Char Char"/>
    <w:basedOn w:val="16"/>
    <w:qFormat/>
    <w:uiPriority w:val="0"/>
    <w:rPr>
      <w:rFonts w:ascii="Tahoma" w:hAnsi="Tahoma"/>
      <w:kern w:val="2"/>
      <w:sz w:val="24"/>
    </w:rPr>
  </w:style>
  <w:style w:type="paragraph" w:customStyle="1" w:styleId="3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73">
    <w:name w:val="p0"/>
    <w:basedOn w:val="1"/>
    <w:qFormat/>
    <w:uiPriority w:val="0"/>
    <w:pPr>
      <w:widowControl/>
    </w:pPr>
    <w:rPr>
      <w:rFonts w:ascii="Calibri" w:hAnsi="Calibri" w:cs="宋体"/>
      <w:kern w:val="0"/>
      <w:szCs w:val="21"/>
    </w:rPr>
  </w:style>
  <w:style w:type="paragraph" w:customStyle="1" w:styleId="374">
    <w:name w:val="Char1 Char Char Char Char Char Char1"/>
    <w:basedOn w:val="1"/>
    <w:qFormat/>
    <w:uiPriority w:val="0"/>
    <w:rPr>
      <w:rFonts w:ascii="Tahoma" w:hAnsi="Tahoma"/>
      <w:sz w:val="24"/>
      <w:szCs w:val="20"/>
    </w:rPr>
  </w:style>
  <w:style w:type="paragraph" w:customStyle="1" w:styleId="375">
    <w:name w:val="Char Char Char Char Char Char Char Char Char"/>
    <w:basedOn w:val="1"/>
    <w:qFormat/>
    <w:uiPriority w:val="0"/>
    <w:pPr>
      <w:widowControl/>
      <w:spacing w:after="160" w:line="240" w:lineRule="exact"/>
      <w:jc w:val="left"/>
    </w:pPr>
    <w:rPr>
      <w:szCs w:val="20"/>
    </w:rPr>
  </w:style>
  <w:style w:type="paragraph" w:customStyle="1" w:styleId="3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77">
    <w:name w:val="缺省文本"/>
    <w:basedOn w:val="1"/>
    <w:qFormat/>
    <w:uiPriority w:val="0"/>
    <w:pPr>
      <w:autoSpaceDE w:val="0"/>
      <w:autoSpaceDN w:val="0"/>
      <w:adjustRightInd w:val="0"/>
      <w:spacing w:line="360" w:lineRule="auto"/>
      <w:jc w:val="left"/>
    </w:pPr>
    <w:rPr>
      <w:kern w:val="0"/>
      <w:sz w:val="24"/>
      <w:szCs w:val="20"/>
    </w:rPr>
  </w:style>
  <w:style w:type="paragraph" w:customStyle="1" w:styleId="378">
    <w:name w:val="Char Char Char Char Char Char Char2"/>
    <w:basedOn w:val="1"/>
    <w:qFormat/>
    <w:uiPriority w:val="0"/>
    <w:pPr>
      <w:widowControl/>
      <w:spacing w:after="160" w:line="240" w:lineRule="exact"/>
      <w:jc w:val="left"/>
    </w:pPr>
  </w:style>
  <w:style w:type="paragraph" w:customStyle="1" w:styleId="379">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81">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2">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383">
    <w:name w:val="_Style 382"/>
    <w:qFormat/>
    <w:uiPriority w:val="0"/>
    <w:rPr>
      <w:rFonts w:ascii="Times New Roman" w:hAnsi="Times New Roman" w:eastAsia="宋体" w:cs="Times New Roman"/>
      <w:kern w:val="2"/>
      <w:sz w:val="21"/>
      <w:szCs w:val="24"/>
      <w:lang w:val="en-US" w:eastAsia="zh-CN" w:bidi="ar-SA"/>
    </w:rPr>
  </w:style>
  <w:style w:type="paragraph" w:customStyle="1" w:styleId="384">
    <w:name w:val="p16"/>
    <w:basedOn w:val="1"/>
    <w:qFormat/>
    <w:uiPriority w:val="0"/>
    <w:pPr>
      <w:widowControl/>
    </w:pPr>
    <w:rPr>
      <w:rFonts w:ascii="宋体" w:hAnsi="宋体" w:cs="宋体"/>
      <w:kern w:val="0"/>
      <w:szCs w:val="21"/>
    </w:rPr>
  </w:style>
  <w:style w:type="paragraph" w:customStyle="1" w:styleId="385">
    <w:name w:val="Char1 Char Char Char1"/>
    <w:basedOn w:val="1"/>
    <w:qFormat/>
    <w:uiPriority w:val="0"/>
    <w:rPr>
      <w:rFonts w:ascii="Tahoma" w:hAnsi="Tahoma"/>
      <w:sz w:val="24"/>
      <w:szCs w:val="20"/>
    </w:rPr>
  </w:style>
  <w:style w:type="paragraph" w:customStyle="1" w:styleId="38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8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9">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0">
    <w:name w:val="正文文本缩进 Char Char Char Char"/>
    <w:basedOn w:val="1"/>
    <w:qFormat/>
    <w:uiPriority w:val="0"/>
    <w:pPr>
      <w:ind w:firstLine="540"/>
    </w:pPr>
    <w:rPr>
      <w:rFonts w:hint="eastAsia" w:ascii="宋体" w:hAnsi="Courier New"/>
      <w:szCs w:val="20"/>
    </w:rPr>
  </w:style>
  <w:style w:type="paragraph" w:customStyle="1" w:styleId="391">
    <w:name w:val="Char Char Char Char Char Char Char Char Char Char Char Char Char1"/>
    <w:basedOn w:val="16"/>
    <w:qFormat/>
    <w:uiPriority w:val="0"/>
    <w:rPr>
      <w:rFonts w:ascii="Tahoma" w:hAnsi="Tahoma"/>
      <w:sz w:val="24"/>
    </w:rPr>
  </w:style>
  <w:style w:type="paragraph" w:customStyle="1" w:styleId="392">
    <w:name w:val="菲页1"/>
    <w:basedOn w:val="3"/>
    <w:qFormat/>
    <w:uiPriority w:val="0"/>
    <w:pPr>
      <w:widowControl/>
      <w:spacing w:before="260" w:after="260" w:line="416" w:lineRule="auto"/>
      <w:jc w:val="center"/>
    </w:pPr>
    <w:rPr>
      <w:rFonts w:ascii="黑体" w:hAnsi="宋体" w:eastAsia="宋体"/>
      <w:b w:val="0"/>
      <w:bCs w:val="0"/>
      <w:sz w:val="52"/>
      <w:szCs w:val="20"/>
    </w:rPr>
  </w:style>
  <w:style w:type="paragraph" w:customStyle="1" w:styleId="393">
    <w:name w:val="List Paragraph1"/>
    <w:basedOn w:val="1"/>
    <w:qFormat/>
    <w:uiPriority w:val="0"/>
    <w:pPr>
      <w:ind w:firstLine="420" w:firstLineChars="200"/>
    </w:pPr>
    <w:rPr>
      <w:rFonts w:ascii="Calibri" w:hAnsi="Calibri"/>
      <w:szCs w:val="22"/>
    </w:rPr>
  </w:style>
  <w:style w:type="paragraph" w:customStyle="1" w:styleId="394">
    <w:name w:val="菲页(卷)"/>
    <w:basedOn w:val="2"/>
    <w:next w:val="389"/>
    <w:qFormat/>
    <w:uiPriority w:val="0"/>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395">
    <w:name w:val="2ji"/>
    <w:basedOn w:val="3"/>
    <w:qFormat/>
    <w:uiPriority w:val="0"/>
    <w:pPr>
      <w:adjustRightInd w:val="0"/>
      <w:spacing w:before="0" w:after="0" w:line="360" w:lineRule="auto"/>
      <w:textAlignment w:val="baseline"/>
    </w:pPr>
    <w:rPr>
      <w:rFonts w:ascii="宋体" w:hAnsi="宋体" w:eastAsia="宋体"/>
      <w:szCs w:val="21"/>
    </w:rPr>
  </w:style>
  <w:style w:type="paragraph" w:customStyle="1" w:styleId="39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8">
    <w:name w:val="tgt1"/>
    <w:basedOn w:val="1"/>
    <w:qFormat/>
    <w:uiPriority w:val="0"/>
    <w:pPr>
      <w:widowControl/>
      <w:spacing w:after="150"/>
      <w:jc w:val="left"/>
    </w:pPr>
    <w:rPr>
      <w:rFonts w:ascii="宋体" w:hAnsi="宋体" w:cs="宋体"/>
      <w:kern w:val="0"/>
      <w:sz w:val="24"/>
    </w:rPr>
  </w:style>
  <w:style w:type="paragraph" w:customStyle="1" w:styleId="399">
    <w:name w:val="正文首行缩进两字符"/>
    <w:basedOn w:val="1"/>
    <w:qFormat/>
    <w:uiPriority w:val="0"/>
    <w:pPr>
      <w:spacing w:line="360" w:lineRule="auto"/>
      <w:ind w:firstLine="200" w:firstLineChars="200"/>
    </w:pPr>
  </w:style>
  <w:style w:type="paragraph" w:customStyle="1" w:styleId="400">
    <w:name w:val="样式 首行缩进:  2 字符"/>
    <w:basedOn w:val="1"/>
    <w:qFormat/>
    <w:uiPriority w:val="0"/>
    <w:pPr>
      <w:spacing w:line="400" w:lineRule="exact"/>
      <w:ind w:firstLine="200" w:firstLineChars="200"/>
    </w:pPr>
    <w:rPr>
      <w:rFonts w:cs="宋体"/>
      <w:sz w:val="24"/>
    </w:rPr>
  </w:style>
  <w:style w:type="paragraph" w:customStyle="1" w:styleId="401">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02">
    <w:name w:val="Char Char Char Char Char Char1 Char1"/>
    <w:basedOn w:val="16"/>
    <w:qFormat/>
    <w:uiPriority w:val="0"/>
    <w:rPr>
      <w:rFonts w:ascii="Tahoma" w:hAnsi="Tahoma"/>
      <w:sz w:val="24"/>
    </w:rPr>
  </w:style>
  <w:style w:type="paragraph" w:customStyle="1" w:styleId="403">
    <w:name w:val="表格"/>
    <w:basedOn w:val="1"/>
    <w:qFormat/>
    <w:uiPriority w:val="0"/>
    <w:pPr>
      <w:spacing w:line="400" w:lineRule="exact"/>
    </w:pPr>
    <w:rPr>
      <w:sz w:val="24"/>
    </w:rPr>
  </w:style>
  <w:style w:type="paragraph" w:customStyle="1" w:styleId="4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05">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4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07">
    <w:name w:val="五号正文（标准）"/>
    <w:basedOn w:val="1"/>
    <w:qFormat/>
    <w:uiPriority w:val="0"/>
    <w:pPr>
      <w:spacing w:line="360" w:lineRule="auto"/>
      <w:ind w:right="55" w:firstLine="560" w:firstLineChars="200"/>
    </w:pPr>
    <w:rPr>
      <w:rFonts w:eastAsia="仿宋_GB2312"/>
      <w:sz w:val="28"/>
      <w:szCs w:val="20"/>
    </w:rPr>
  </w:style>
  <w:style w:type="paragraph" w:customStyle="1" w:styleId="408">
    <w:name w:val="样式 正文缩进 + 首行缩进:  2 字符 段前: 0.5 行"/>
    <w:basedOn w:val="1"/>
    <w:qFormat/>
    <w:uiPriority w:val="0"/>
    <w:pPr>
      <w:spacing w:beforeLines="50" w:line="300" w:lineRule="auto"/>
      <w:ind w:firstLine="480" w:firstLineChars="200"/>
    </w:pPr>
    <w:rPr>
      <w:rFonts w:cs="宋体"/>
      <w:szCs w:val="20"/>
    </w:rPr>
  </w:style>
  <w:style w:type="paragraph" w:customStyle="1" w:styleId="40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410">
    <w:name w:val="Char Char Char Char Char Char1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11">
    <w:name w:val="Char Char1 Char Char Char Char1"/>
    <w:basedOn w:val="16"/>
    <w:qFormat/>
    <w:uiPriority w:val="0"/>
    <w:rPr>
      <w:rFonts w:ascii="Tahoma" w:hAnsi="Tahoma"/>
      <w:sz w:val="24"/>
    </w:rPr>
  </w:style>
  <w:style w:type="paragraph" w:customStyle="1" w:styleId="412">
    <w:name w:val="默认段落字体 Para Char"/>
    <w:basedOn w:val="1"/>
    <w:qFormat/>
    <w:uiPriority w:val="0"/>
    <w:pPr>
      <w:adjustRightInd w:val="0"/>
      <w:spacing w:line="360" w:lineRule="auto"/>
    </w:pPr>
    <w:rPr>
      <w:kern w:val="0"/>
      <w:sz w:val="24"/>
      <w:szCs w:val="20"/>
    </w:rPr>
  </w:style>
  <w:style w:type="paragraph" w:styleId="413">
    <w:name w:val="List Paragraph"/>
    <w:basedOn w:val="1"/>
    <w:qFormat/>
    <w:uiPriority w:val="34"/>
    <w:pPr>
      <w:spacing w:line="360" w:lineRule="auto"/>
      <w:ind w:firstLine="420" w:firstLineChars="200"/>
    </w:pPr>
    <w:rPr>
      <w:sz w:val="28"/>
    </w:rPr>
  </w:style>
  <w:style w:type="paragraph" w:customStyle="1" w:styleId="41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15">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41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17">
    <w:name w:val="节标题"/>
    <w:basedOn w:val="1"/>
    <w:next w:val="359"/>
    <w:qFormat/>
    <w:uiPriority w:val="0"/>
    <w:pPr>
      <w:widowControl/>
      <w:spacing w:line="289" w:lineRule="atLeast"/>
      <w:jc w:val="center"/>
      <w:textAlignment w:val="baseline"/>
    </w:pPr>
    <w:rPr>
      <w:color w:val="000000"/>
      <w:kern w:val="0"/>
      <w:sz w:val="28"/>
      <w:szCs w:val="20"/>
      <w:u w:color="000000"/>
    </w:rPr>
  </w:style>
  <w:style w:type="paragraph" w:customStyle="1" w:styleId="418">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419">
    <w:name w:val="Char Char Char2"/>
    <w:basedOn w:val="16"/>
    <w:qFormat/>
    <w:uiPriority w:val="0"/>
    <w:rPr>
      <w:rFonts w:ascii="Tahoma" w:hAnsi="Tahoma"/>
      <w:kern w:val="2"/>
      <w:sz w:val="24"/>
    </w:rPr>
  </w:style>
  <w:style w:type="paragraph" w:customStyle="1" w:styleId="420">
    <w:name w:val="默认段落字体 Para Char Char Char Char Char Char Char Char Char Char"/>
    <w:basedOn w:val="1"/>
    <w:qFormat/>
    <w:uiPriority w:val="0"/>
    <w:rPr>
      <w:kern w:val="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422">
    <w:name w:val="列出段落3"/>
    <w:basedOn w:val="1"/>
    <w:qFormat/>
    <w:uiPriority w:val="0"/>
    <w:pPr>
      <w:ind w:firstLine="420" w:firstLineChars="200"/>
    </w:pPr>
    <w:rPr>
      <w:rFonts w:ascii="Calibri" w:hAnsi="Calibri"/>
      <w:szCs w:val="22"/>
    </w:rPr>
  </w:style>
  <w:style w:type="paragraph" w:customStyle="1" w:styleId="42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24">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5">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26">
    <w:name w:val="标题3"/>
    <w:basedOn w:val="4"/>
    <w:qFormat/>
    <w:uiPriority w:val="0"/>
    <w:pPr>
      <w:keepLines w:val="0"/>
      <w:widowControl/>
      <w:tabs>
        <w:tab w:val="left" w:pos="1247"/>
      </w:tabs>
      <w:spacing w:before="240" w:after="120"/>
      <w:ind w:left="1247" w:hanging="1247"/>
      <w:jc w:val="left"/>
    </w:pPr>
    <w:rPr>
      <w:rFonts w:ascii="Arial" w:hAnsi="Arial" w:eastAsia="宋体"/>
      <w:sz w:val="52"/>
      <w:szCs w:val="52"/>
    </w:rPr>
  </w:style>
  <w:style w:type="paragraph" w:customStyle="1" w:styleId="42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28">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429">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430">
    <w:name w:val="Char Char Char Char Char Char Char Char Char1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431">
    <w:name w:val="Char Char1 Char Char Char Char2"/>
    <w:basedOn w:val="16"/>
    <w:qFormat/>
    <w:uiPriority w:val="0"/>
    <w:rPr>
      <w:rFonts w:ascii="Tahoma" w:hAnsi="Tahoma"/>
      <w:kern w:val="2"/>
      <w:sz w:val="24"/>
    </w:rPr>
  </w:style>
  <w:style w:type="paragraph" w:customStyle="1" w:styleId="43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433">
    <w:name w:val="普通文字 Char Char1"/>
    <w:qFormat/>
    <w:uiPriority w:val="0"/>
    <w:rPr>
      <w:rFonts w:ascii="宋体" w:hAnsi="Courier New" w:eastAsia="宋体"/>
      <w:kern w:val="2"/>
      <w:sz w:val="21"/>
      <w:lang w:val="en-US" w:eastAsia="zh-CN" w:bidi="ar-SA"/>
    </w:rPr>
  </w:style>
  <w:style w:type="character" w:customStyle="1" w:styleId="434">
    <w:name w:val="普通文字 Char Char3"/>
    <w:qFormat/>
    <w:uiPriority w:val="0"/>
    <w:rPr>
      <w:rFonts w:ascii="宋体" w:hAnsi="Courier New" w:eastAsia="宋体"/>
      <w:szCs w:val="21"/>
      <w:lang w:bidi="ar-SA"/>
    </w:rPr>
  </w:style>
  <w:style w:type="character" w:customStyle="1" w:styleId="435">
    <w:name w:val="Char Char44"/>
    <w:qFormat/>
    <w:uiPriority w:val="0"/>
    <w:rPr>
      <w:rFonts w:ascii="Arial" w:hAnsi="Arial" w:eastAsia="黑体" w:cs="Times New Roman"/>
      <w:b/>
      <w:bCs/>
      <w:szCs w:val="32"/>
    </w:rPr>
  </w:style>
  <w:style w:type="character" w:customStyle="1" w:styleId="436">
    <w:name w:val="纯文本 Char2"/>
    <w:qFormat/>
    <w:uiPriority w:val="0"/>
    <w:rPr>
      <w:rFonts w:ascii="宋体" w:hAnsi="Courier New" w:eastAsia="宋体" w:cs="Courier New"/>
      <w:szCs w:val="21"/>
    </w:rPr>
  </w:style>
  <w:style w:type="character" w:customStyle="1" w:styleId="437">
    <w:name w:val="纯文本 字符"/>
    <w:qFormat/>
    <w:uiPriority w:val="0"/>
    <w:rPr>
      <w:rFonts w:ascii="宋体" w:hAnsi="Courier New" w:eastAsia="宋体" w:cs="Courier New"/>
      <w:szCs w:val="21"/>
    </w:rPr>
  </w:style>
  <w:style w:type="character" w:customStyle="1" w:styleId="438">
    <w:name w:val="正文文本缩进 Char1"/>
    <w:semiHidden/>
    <w:qFormat/>
    <w:uiPriority w:val="99"/>
    <w:rPr>
      <w:rFonts w:ascii="Times New Roman" w:hAnsi="Times New Roman" w:eastAsia="宋体" w:cs="Times New Roman"/>
      <w:szCs w:val="24"/>
    </w:rPr>
  </w:style>
  <w:style w:type="character" w:customStyle="1" w:styleId="439">
    <w:name w:val="页脚 Char1"/>
    <w:semiHidden/>
    <w:qFormat/>
    <w:uiPriority w:val="99"/>
    <w:rPr>
      <w:rFonts w:ascii="Times New Roman" w:hAnsi="Times New Roman" w:eastAsia="宋体" w:cs="Times New Roman"/>
      <w:sz w:val="18"/>
      <w:szCs w:val="18"/>
    </w:rPr>
  </w:style>
  <w:style w:type="character" w:customStyle="1" w:styleId="440">
    <w:name w:val="正文文本 2 Char1"/>
    <w:semiHidden/>
    <w:qFormat/>
    <w:uiPriority w:val="99"/>
    <w:rPr>
      <w:rFonts w:ascii="Times New Roman" w:hAnsi="Times New Roman" w:eastAsia="宋体" w:cs="Times New Roman"/>
      <w:szCs w:val="24"/>
    </w:rPr>
  </w:style>
  <w:style w:type="character" w:customStyle="1" w:styleId="441">
    <w:name w:val="正文文本缩进 2 Char1"/>
    <w:semiHidden/>
    <w:qFormat/>
    <w:uiPriority w:val="99"/>
    <w:rPr>
      <w:rFonts w:ascii="Times New Roman" w:hAnsi="Times New Roman" w:eastAsia="宋体" w:cs="Times New Roman"/>
      <w:szCs w:val="24"/>
    </w:rPr>
  </w:style>
  <w:style w:type="character" w:customStyle="1" w:styleId="442">
    <w:name w:val="页眉 Char1"/>
    <w:semiHidden/>
    <w:qFormat/>
    <w:uiPriority w:val="99"/>
    <w:rPr>
      <w:rFonts w:ascii="Times New Roman" w:hAnsi="Times New Roman" w:eastAsia="宋体" w:cs="Times New Roman"/>
      <w:sz w:val="18"/>
      <w:szCs w:val="18"/>
    </w:rPr>
  </w:style>
  <w:style w:type="character" w:customStyle="1" w:styleId="443">
    <w:name w:val="正文文本 3 Char1"/>
    <w:semiHidden/>
    <w:qFormat/>
    <w:uiPriority w:val="99"/>
    <w:rPr>
      <w:rFonts w:ascii="Times New Roman" w:hAnsi="Times New Roman" w:eastAsia="宋体" w:cs="Times New Roman"/>
      <w:sz w:val="16"/>
      <w:szCs w:val="16"/>
    </w:rPr>
  </w:style>
  <w:style w:type="character" w:customStyle="1" w:styleId="444">
    <w:name w:val="正文文本缩进 3 Char1"/>
    <w:semiHidden/>
    <w:qFormat/>
    <w:uiPriority w:val="99"/>
    <w:rPr>
      <w:rFonts w:ascii="Times New Roman" w:hAnsi="Times New Roman" w:eastAsia="宋体" w:cs="Times New Roman"/>
      <w:sz w:val="16"/>
      <w:szCs w:val="16"/>
    </w:rPr>
  </w:style>
  <w:style w:type="character" w:customStyle="1" w:styleId="445">
    <w:name w:val="正文首行缩进 2 Char1"/>
    <w:semiHidden/>
    <w:qFormat/>
    <w:uiPriority w:val="99"/>
  </w:style>
  <w:style w:type="character" w:customStyle="1" w:styleId="446">
    <w:name w:val="正文首行缩进 Char1"/>
    <w:semiHidden/>
    <w:qFormat/>
    <w:uiPriority w:val="99"/>
    <w:rPr>
      <w:rFonts w:ascii="Times New Roman" w:hAnsi="Times New Roman" w:eastAsia="宋体" w:cs="Times New Roman"/>
      <w:kern w:val="2"/>
      <w:sz w:val="21"/>
      <w:szCs w:val="24"/>
    </w:rPr>
  </w:style>
  <w:style w:type="character" w:customStyle="1" w:styleId="447">
    <w:name w:val="Char Char281"/>
    <w:qFormat/>
    <w:uiPriority w:val="0"/>
    <w:rPr>
      <w:rFonts w:eastAsia="宋体"/>
      <w:kern w:val="2"/>
      <w:sz w:val="16"/>
      <w:szCs w:val="16"/>
      <w:lang w:val="en-US" w:eastAsia="zh-CN" w:bidi="ar-SA"/>
    </w:rPr>
  </w:style>
  <w:style w:type="character" w:customStyle="1" w:styleId="448">
    <w:name w:val="Char Char291"/>
    <w:qFormat/>
    <w:uiPriority w:val="0"/>
    <w:rPr>
      <w:rFonts w:ascii="宋体" w:hAnsi="Courier New" w:eastAsia="宋体" w:cs="Courier New"/>
      <w:kern w:val="2"/>
      <w:sz w:val="21"/>
      <w:szCs w:val="21"/>
      <w:lang w:val="en-US" w:eastAsia="zh-CN" w:bidi="ar-SA"/>
    </w:rPr>
  </w:style>
  <w:style w:type="character" w:customStyle="1" w:styleId="449">
    <w:name w:val="副标题 Char1"/>
    <w:qFormat/>
    <w:uiPriority w:val="11"/>
    <w:rPr>
      <w:rFonts w:ascii="Cambria" w:hAnsi="Cambria" w:eastAsia="宋体" w:cs="Times New Roman"/>
      <w:b/>
      <w:bCs/>
      <w:kern w:val="28"/>
      <w:sz w:val="32"/>
      <w:szCs w:val="32"/>
    </w:rPr>
  </w:style>
  <w:style w:type="character" w:customStyle="1" w:styleId="450">
    <w:name w:val="称呼 Char1"/>
    <w:semiHidden/>
    <w:qFormat/>
    <w:uiPriority w:val="99"/>
    <w:rPr>
      <w:rFonts w:ascii="Times New Roman" w:hAnsi="Times New Roman" w:eastAsia="宋体" w:cs="Times New Roman"/>
      <w:szCs w:val="24"/>
    </w:rPr>
  </w:style>
  <w:style w:type="character" w:customStyle="1" w:styleId="451">
    <w:name w:val="HTML 预设格式 Char1"/>
    <w:semiHidden/>
    <w:qFormat/>
    <w:uiPriority w:val="99"/>
    <w:rPr>
      <w:rFonts w:ascii="Courier New" w:hAnsi="Courier New" w:eastAsia="宋体" w:cs="Courier New"/>
      <w:sz w:val="20"/>
      <w:szCs w:val="20"/>
    </w:rPr>
  </w:style>
  <w:style w:type="character" w:customStyle="1" w:styleId="452">
    <w:name w:val="尾注文本 Char1"/>
    <w:semiHidden/>
    <w:qFormat/>
    <w:uiPriority w:val="99"/>
    <w:rPr>
      <w:rFonts w:ascii="Times New Roman" w:hAnsi="Times New Roman" w:eastAsia="宋体" w:cs="Times New Roman"/>
      <w:szCs w:val="24"/>
    </w:rPr>
  </w:style>
  <w:style w:type="paragraph" w:customStyle="1" w:styleId="453">
    <w:name w:val="纯文本21"/>
    <w:basedOn w:val="1"/>
    <w:qFormat/>
    <w:uiPriority w:val="0"/>
    <w:rPr>
      <w:rFonts w:ascii="宋体" w:hAnsi="Courier New"/>
      <w:kern w:val="0"/>
      <w:sz w:val="24"/>
      <w:szCs w:val="20"/>
    </w:rPr>
  </w:style>
  <w:style w:type="table" w:customStyle="1" w:styleId="454">
    <w:name w:val="网格型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5">
    <w:name w:val="Char Char441"/>
    <w:qFormat/>
    <w:uiPriority w:val="0"/>
    <w:rPr>
      <w:rFonts w:ascii="Arial" w:hAnsi="Arial" w:eastAsia="黑体" w:cs="Times New Roman"/>
      <w:b/>
      <w:bCs/>
      <w:szCs w:val="32"/>
    </w:rPr>
  </w:style>
  <w:style w:type="paragraph" w:customStyle="1" w:styleId="456">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7">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58">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459">
    <w:name w:val="xl75"/>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xl76"/>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461">
    <w:name w:val="xl77"/>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462">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63">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65">
    <w:name w:val="xl8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6">
    <w:name w:val="xl8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4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7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_GB2312" w:hAnsi="宋体" w:eastAsia="仿宋_GB2312" w:cs="宋体"/>
      <w:kern w:val="0"/>
      <w:sz w:val="20"/>
      <w:szCs w:val="20"/>
    </w:rPr>
  </w:style>
  <w:style w:type="paragraph" w:customStyle="1" w:styleId="47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7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8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8">
    <w:name w:val="标书正文"/>
    <w:basedOn w:val="1"/>
    <w:qFormat/>
    <w:uiPriority w:val="0"/>
    <w:pPr>
      <w:adjustRightInd w:val="0"/>
      <w:snapToGrid w:val="0"/>
      <w:spacing w:line="360" w:lineRule="auto"/>
      <w:jc w:val="left"/>
    </w:pPr>
    <w:rPr>
      <w:rFonts w:ascii="Calibri" w:hAnsi="Calibri" w:cs="宋体"/>
      <w:sz w:val="24"/>
    </w:rPr>
  </w:style>
  <w:style w:type="character" w:customStyle="1" w:styleId="499">
    <w:name w:val="font31"/>
    <w:basedOn w:val="60"/>
    <w:qFormat/>
    <w:uiPriority w:val="0"/>
    <w:rPr>
      <w:rFonts w:hint="eastAsia" w:ascii="宋体" w:hAnsi="宋体" w:eastAsia="宋体" w:cs="宋体"/>
      <w:b/>
      <w:color w:val="000000"/>
      <w:sz w:val="24"/>
      <w:szCs w:val="24"/>
      <w:u w:val="none"/>
    </w:rPr>
  </w:style>
  <w:style w:type="character" w:customStyle="1" w:styleId="500">
    <w:name w:val="font81"/>
    <w:qFormat/>
    <w:uiPriority w:val="0"/>
    <w:rPr>
      <w:rFonts w:hint="default" w:ascii="Times New Roman" w:hAnsi="Times New Roman" w:cs="Times New Roman"/>
      <w:color w:val="000000"/>
      <w:sz w:val="20"/>
      <w:szCs w:val="20"/>
      <w:u w:val="none"/>
    </w:rPr>
  </w:style>
  <w:style w:type="table" w:customStyle="1" w:styleId="501">
    <w:name w:val="网格型2"/>
    <w:basedOn w:val="5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02">
    <w:name w:val="font101"/>
    <w:qFormat/>
    <w:uiPriority w:val="0"/>
    <w:rPr>
      <w:rFonts w:hint="default" w:ascii="Times New Roman" w:hAnsi="Times New Roman" w:cs="Times New Roman"/>
      <w:color w:val="000000"/>
      <w:sz w:val="20"/>
      <w:szCs w:val="20"/>
      <w:u w:val="none"/>
    </w:rPr>
  </w:style>
  <w:style w:type="character" w:customStyle="1" w:styleId="503">
    <w:name w:val="font71"/>
    <w:qFormat/>
    <w:uiPriority w:val="0"/>
    <w:rPr>
      <w:rFonts w:hint="eastAsia" w:ascii="宋体" w:hAnsi="宋体" w:eastAsia="宋体" w:cs="宋体"/>
      <w:color w:val="000000"/>
      <w:sz w:val="20"/>
      <w:szCs w:val="20"/>
      <w:u w:val="none"/>
    </w:rPr>
  </w:style>
  <w:style w:type="character" w:customStyle="1" w:styleId="504">
    <w:name w:val="font112"/>
    <w:qFormat/>
    <w:uiPriority w:val="0"/>
    <w:rPr>
      <w:rFonts w:ascii="Wingdings 2" w:hAnsi="Wingdings 2" w:eastAsia="Wingdings 2" w:cs="Wingdings 2"/>
      <w:color w:val="000000"/>
      <w:sz w:val="20"/>
      <w:szCs w:val="20"/>
      <w:u w:val="none"/>
    </w:rPr>
  </w:style>
  <w:style w:type="character" w:customStyle="1" w:styleId="505">
    <w:name w:val="纯文本 字符1"/>
    <w:qFormat/>
    <w:uiPriority w:val="0"/>
    <w:rPr>
      <w:rFonts w:ascii="宋体" w:hAnsi="Courier New" w:eastAsia="宋体" w:cs="Courier New"/>
      <w:szCs w:val="21"/>
    </w:rPr>
  </w:style>
  <w:style w:type="character" w:customStyle="1" w:styleId="506">
    <w:name w:val="页眉 Char"/>
    <w:qFormat/>
    <w:uiPriority w:val="0"/>
    <w:rPr>
      <w:rFonts w:ascii="Times New Roman" w:hAnsi="Times New Roman" w:eastAsia="宋体" w:cs="Times New Roman"/>
      <w:sz w:val="18"/>
      <w:szCs w:val="18"/>
    </w:rPr>
  </w:style>
  <w:style w:type="paragraph" w:customStyle="1" w:styleId="507">
    <w:name w:val="_Style 1"/>
    <w:basedOn w:val="1"/>
    <w:qFormat/>
    <w:uiPriority w:val="0"/>
    <w:pPr>
      <w:ind w:firstLine="420" w:firstLineChars="200"/>
    </w:pPr>
    <w:rPr>
      <w:rFonts w:ascii="Calibri" w:hAnsi="Calibri"/>
      <w:szCs w:val="22"/>
    </w:rPr>
  </w:style>
  <w:style w:type="paragraph" w:customStyle="1" w:styleId="50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9">
    <w:name w:val="font21"/>
    <w:basedOn w:val="60"/>
    <w:qFormat/>
    <w:uiPriority w:val="0"/>
    <w:rPr>
      <w:rFonts w:hint="eastAsia" w:ascii="宋体" w:hAnsi="宋体" w:eastAsia="宋体" w:cs="宋体"/>
      <w:color w:val="000000"/>
      <w:sz w:val="21"/>
      <w:szCs w:val="21"/>
      <w:u w:val="none"/>
    </w:rPr>
  </w:style>
  <w:style w:type="paragraph" w:customStyle="1" w:styleId="510">
    <w:name w:val="BodyText"/>
    <w:basedOn w:val="1"/>
    <w:next w:val="1"/>
    <w:qFormat/>
    <w:uiPriority w:val="0"/>
    <w:pPr>
      <w:textAlignment w:val="baseline"/>
    </w:pPr>
    <w:rPr>
      <w:sz w:val="32"/>
    </w:rPr>
  </w:style>
  <w:style w:type="paragraph" w:customStyle="1" w:styleId="511">
    <w:name w:val="1.2_一、……"/>
    <w:basedOn w:val="1"/>
    <w:qFormat/>
    <w:uiPriority w:val="0"/>
    <w:pPr>
      <w:keepNext/>
      <w:numPr>
        <w:ilvl w:val="0"/>
        <w:numId w:val="2"/>
      </w:numPr>
      <w:spacing w:line="560" w:lineRule="exact"/>
      <w:ind w:firstLine="640" w:firstLineChars="200"/>
    </w:pPr>
    <w:rPr>
      <w:rFonts w:ascii="黑体" w:hAnsi="黑体" w:eastAsia="黑体" w:cs="仿宋_GB2312"/>
      <w:color w:val="0C0C0C"/>
      <w:sz w:val="32"/>
      <w:szCs w:val="32"/>
    </w:rPr>
  </w:style>
  <w:style w:type="paragraph" w:customStyle="1" w:styleId="512">
    <w:name w:val="1.3_（一）……"/>
    <w:basedOn w:val="1"/>
    <w:qFormat/>
    <w:uiPriority w:val="0"/>
    <w:pPr>
      <w:keepNext/>
      <w:numPr>
        <w:ilvl w:val="0"/>
        <w:numId w:val="3"/>
      </w:numPr>
      <w:spacing w:line="560" w:lineRule="exact"/>
      <w:ind w:firstLine="643" w:firstLineChars="200"/>
    </w:pPr>
    <w:rPr>
      <w:rFonts w:ascii="楷体" w:hAnsi="楷体" w:eastAsia="楷体" w:cs="楷体"/>
      <w:b/>
      <w:bCs/>
      <w:color w:val="0C0C0C"/>
      <w:sz w:val="32"/>
      <w:szCs w:val="32"/>
    </w:rPr>
  </w:style>
  <w:style w:type="paragraph" w:customStyle="1" w:styleId="51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14">
    <w:name w:val="1.5.2_正文_仿宋"/>
    <w:basedOn w:val="1"/>
    <w:qFormat/>
    <w:uiPriority w:val="0"/>
    <w:pPr>
      <w:spacing w:line="560" w:lineRule="exact"/>
      <w:ind w:firstLine="640" w:firstLineChars="200"/>
    </w:pPr>
    <w:rPr>
      <w:rFonts w:hint="eastAsia" w:ascii="仿宋" w:hAnsi="仿宋" w:cs="仿宋"/>
      <w:color w:val="0C0C0C"/>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20139</Words>
  <Characters>21152</Characters>
  <Lines>59</Lines>
  <Paragraphs>116</Paragraphs>
  <TotalTime>1</TotalTime>
  <ScaleCrop>false</ScaleCrop>
  <LinksUpToDate>false</LinksUpToDate>
  <CharactersWithSpaces>21402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2022-12-13T02:17:00Z</dcterms:created>
  <dc:creator>User</dc:creator>
  <cp:lastModifiedBy>小黑</cp:lastModifiedBy>
  <cp:lastPrinted>2026-04-13T09:13:37Z</cp:lastPrinted>
  <dcterms:modified xsi:type="dcterms:W3CDTF">2026-04-13T10:17:30Z</dcterms:modified>
  <dc:title>北 海 市 政 府 采 购 中 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01139BA4BCDE4C008130634F94A63D11_13</vt:lpwstr>
  </property>
  <property fmtid="{D5CDD505-2E9C-101B-9397-08002B2CF9AE}" pid="4" name="KSOTemplateDocerSaveRecord">
    <vt:lpwstr>eyJoZGlkIjoiYWE0MTY0NjlmMjAwNDI5MjliZjdjNzhlNTQxNWNiYjUiLCJ1c2VySWQiOiI5NDE4NzAyMTUifQ==</vt:lpwstr>
  </property>
</Properties>
</file>