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62EBE4">
      <w:pPr>
        <w:spacing w:line="360" w:lineRule="auto"/>
        <w:jc w:val="center"/>
        <w:rPr>
          <w:rFonts w:ascii="宋体" w:hAnsi="宋体" w:cs="宋体"/>
          <w:b/>
          <w:color w:val="auto"/>
          <w:sz w:val="24"/>
          <w:highlight w:val="none"/>
        </w:rPr>
      </w:pPr>
    </w:p>
    <w:p w14:paraId="27B04FF1">
      <w:pPr>
        <w:spacing w:line="360" w:lineRule="auto"/>
        <w:jc w:val="center"/>
        <w:rPr>
          <w:rFonts w:ascii="宋体" w:hAnsi="宋体" w:cs="宋体"/>
          <w:b/>
          <w:color w:val="auto"/>
          <w:sz w:val="24"/>
          <w:highlight w:val="none"/>
        </w:rPr>
      </w:pPr>
    </w:p>
    <w:p w14:paraId="5E6C7553">
      <w:pPr>
        <w:adjustRightInd/>
        <w:spacing w:line="360" w:lineRule="auto"/>
        <w:jc w:val="center"/>
        <w:rPr>
          <w:rFonts w:ascii="宋体" w:hAnsi="宋体" w:cs="宋体"/>
          <w:b/>
          <w:color w:val="auto"/>
          <w:sz w:val="44"/>
          <w:szCs w:val="44"/>
          <w:highlight w:val="none"/>
        </w:rPr>
      </w:pPr>
    </w:p>
    <w:p w14:paraId="6CCA4047">
      <w:pPr>
        <w:spacing w:line="360" w:lineRule="auto"/>
        <w:jc w:val="center"/>
        <w:rPr>
          <w:rFonts w:ascii="宋体" w:hAnsi="宋体" w:cs="宋体"/>
          <w:b/>
          <w:color w:val="auto"/>
          <w:sz w:val="44"/>
          <w:szCs w:val="44"/>
          <w:highlight w:val="none"/>
        </w:rPr>
      </w:pPr>
    </w:p>
    <w:p w14:paraId="46049765">
      <w:pPr>
        <w:adjustRightInd/>
        <w:spacing w:line="360" w:lineRule="auto"/>
        <w:jc w:val="center"/>
        <w:rPr>
          <w:rFonts w:ascii="宋体" w:hAnsi="宋体" w:cs="宋体"/>
          <w:b/>
          <w:color w:val="auto"/>
          <w:sz w:val="48"/>
          <w:szCs w:val="48"/>
          <w:highlight w:val="none"/>
        </w:rPr>
      </w:pPr>
    </w:p>
    <w:p w14:paraId="26A352AF">
      <w:pPr>
        <w:adjustRightInd/>
        <w:spacing w:line="360" w:lineRule="auto"/>
        <w:jc w:val="center"/>
        <w:rPr>
          <w:rFonts w:hint="eastAsia" w:ascii="宋体" w:hAnsi="宋体" w:eastAsia="宋体" w:cs="宋体"/>
          <w:color w:val="auto"/>
          <w:sz w:val="48"/>
          <w:szCs w:val="48"/>
          <w:highlight w:val="none"/>
          <w:lang w:eastAsia="zh-CN"/>
        </w:rPr>
      </w:pPr>
      <w:bookmarkStart w:id="0" w:name="OLE_LINK15"/>
      <w:bookmarkStart w:id="1" w:name="OLE_LINK16"/>
      <w:r>
        <w:rPr>
          <w:rFonts w:hint="eastAsia" w:ascii="宋体" w:hAnsi="宋体" w:cs="宋体"/>
          <w:color w:val="auto"/>
          <w:sz w:val="48"/>
          <w:szCs w:val="48"/>
          <w:highlight w:val="none"/>
          <w:lang w:eastAsia="zh-CN"/>
        </w:rPr>
        <w:t>2026-2028年市直教育系统物业服务项目</w:t>
      </w:r>
    </w:p>
    <w:bookmarkEnd w:id="0"/>
    <w:bookmarkEnd w:id="1"/>
    <w:p w14:paraId="7C61CD33">
      <w:pPr>
        <w:adjustRightInd/>
        <w:spacing w:line="360" w:lineRule="auto"/>
        <w:jc w:val="center"/>
        <w:rPr>
          <w:rFonts w:ascii="宋体" w:hAnsi="宋体" w:cs="宋体"/>
          <w:color w:val="auto"/>
          <w:sz w:val="48"/>
          <w:szCs w:val="48"/>
          <w:highlight w:val="none"/>
        </w:rPr>
      </w:pPr>
      <w:r>
        <w:rPr>
          <w:rFonts w:hint="eastAsia" w:ascii="宋体" w:hAnsi="宋体" w:cs="宋体"/>
          <w:color w:val="auto"/>
          <w:sz w:val="48"/>
          <w:szCs w:val="48"/>
          <w:highlight w:val="none"/>
        </w:rPr>
        <w:t>招标文件</w:t>
      </w:r>
    </w:p>
    <w:p w14:paraId="2163EFAC">
      <w:pPr>
        <w:adjustRightInd/>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 xml:space="preserve"> （电子招投标）</w:t>
      </w:r>
    </w:p>
    <w:p w14:paraId="65C69132">
      <w:pPr>
        <w:snapToGrid w:val="0"/>
        <w:spacing w:line="360" w:lineRule="auto"/>
        <w:jc w:val="center"/>
        <w:rPr>
          <w:rFonts w:hint="eastAsia" w:ascii="宋体" w:hAnsi="宋体" w:eastAsia="宋体" w:cs="宋体"/>
          <w:color w:val="auto"/>
          <w:sz w:val="30"/>
          <w:szCs w:val="30"/>
          <w:highlight w:val="none"/>
          <w:lang w:eastAsia="zh-CN"/>
        </w:rPr>
      </w:pPr>
      <w:r>
        <w:rPr>
          <w:rFonts w:hint="eastAsia" w:ascii="宋体" w:hAnsi="宋体" w:cs="宋体"/>
          <w:color w:val="auto"/>
          <w:sz w:val="30"/>
          <w:szCs w:val="30"/>
          <w:highlight w:val="none"/>
        </w:rPr>
        <w:t>编号:</w:t>
      </w:r>
      <w:r>
        <w:rPr>
          <w:color w:val="auto"/>
          <w:highlight w:val="none"/>
        </w:rPr>
        <w:t xml:space="preserve"> </w:t>
      </w:r>
      <w:r>
        <w:rPr>
          <w:rFonts w:hint="eastAsia" w:ascii="宋体" w:hAnsi="宋体" w:cs="宋体"/>
          <w:color w:val="auto"/>
          <w:sz w:val="30"/>
          <w:szCs w:val="30"/>
          <w:highlight w:val="none"/>
          <w:lang w:eastAsia="zh-CN"/>
        </w:rPr>
        <w:t>BHZC2026-G3-990114-CGZX</w:t>
      </w:r>
    </w:p>
    <w:p w14:paraId="23F18135">
      <w:pPr>
        <w:adjustRightInd/>
        <w:spacing w:line="360" w:lineRule="auto"/>
        <w:rPr>
          <w:rFonts w:ascii="宋体" w:hAnsi="宋体" w:cs="宋体"/>
          <w:color w:val="auto"/>
          <w:sz w:val="28"/>
          <w:szCs w:val="20"/>
          <w:highlight w:val="none"/>
        </w:rPr>
      </w:pPr>
    </w:p>
    <w:p w14:paraId="0110B163">
      <w:pPr>
        <w:spacing w:line="360" w:lineRule="auto"/>
        <w:jc w:val="center"/>
        <w:rPr>
          <w:rFonts w:ascii="宋体" w:hAnsi="宋体" w:cs="宋体"/>
          <w:b/>
          <w:color w:val="auto"/>
          <w:sz w:val="44"/>
          <w:szCs w:val="44"/>
          <w:highlight w:val="none"/>
        </w:rPr>
      </w:pPr>
      <w:r>
        <w:rPr>
          <w:rFonts w:hint="eastAsia" w:ascii="宋体" w:hAnsi="宋体" w:cs="宋体"/>
          <w:b/>
          <w:color w:val="auto"/>
          <w:sz w:val="44"/>
          <w:szCs w:val="44"/>
          <w:highlight w:val="none"/>
        </w:rPr>
        <w:t xml:space="preserve"> </w:t>
      </w:r>
    </w:p>
    <w:p w14:paraId="35AC9DA9">
      <w:pPr>
        <w:spacing w:line="360" w:lineRule="auto"/>
        <w:jc w:val="center"/>
        <w:rPr>
          <w:rFonts w:ascii="宋体" w:hAnsi="宋体" w:cs="宋体"/>
          <w:b/>
          <w:color w:val="auto"/>
          <w:sz w:val="44"/>
          <w:szCs w:val="44"/>
          <w:highlight w:val="none"/>
        </w:rPr>
      </w:pPr>
    </w:p>
    <w:p w14:paraId="15836B68">
      <w:pPr>
        <w:spacing w:line="360" w:lineRule="auto"/>
        <w:jc w:val="center"/>
        <w:rPr>
          <w:rFonts w:ascii="宋体" w:hAnsi="宋体" w:cs="宋体"/>
          <w:color w:val="auto"/>
          <w:sz w:val="24"/>
          <w:highlight w:val="none"/>
        </w:rPr>
      </w:pPr>
    </w:p>
    <w:p w14:paraId="28D801B2">
      <w:pPr>
        <w:spacing w:line="360" w:lineRule="auto"/>
        <w:jc w:val="center"/>
        <w:rPr>
          <w:rFonts w:ascii="宋体" w:hAnsi="宋体" w:cs="宋体"/>
          <w:color w:val="auto"/>
          <w:sz w:val="24"/>
          <w:highlight w:val="none"/>
        </w:rPr>
      </w:pPr>
    </w:p>
    <w:p w14:paraId="6920B71D">
      <w:pPr>
        <w:spacing w:line="360" w:lineRule="auto"/>
        <w:rPr>
          <w:rFonts w:ascii="宋体" w:hAnsi="宋体" w:cs="宋体"/>
          <w:color w:val="auto"/>
          <w:sz w:val="32"/>
          <w:szCs w:val="32"/>
          <w:highlight w:val="none"/>
        </w:rPr>
      </w:pPr>
    </w:p>
    <w:p w14:paraId="3754AA00">
      <w:pPr>
        <w:snapToGrid w:val="0"/>
        <w:spacing w:line="360" w:lineRule="auto"/>
        <w:jc w:val="center"/>
        <w:rPr>
          <w:rFonts w:ascii="宋体" w:hAnsi="宋体" w:cs="宋体"/>
          <w:color w:val="auto"/>
          <w:sz w:val="32"/>
          <w:szCs w:val="32"/>
          <w:highlight w:val="none"/>
        </w:rPr>
      </w:pPr>
      <w:r>
        <w:rPr>
          <w:rFonts w:hint="eastAsia" w:ascii="宋体" w:hAnsi="宋体" w:cs="宋体"/>
          <w:color w:val="auto"/>
          <w:sz w:val="32"/>
          <w:szCs w:val="32"/>
          <w:highlight w:val="none"/>
        </w:rPr>
        <w:t xml:space="preserve">北海市教育局   </w:t>
      </w:r>
    </w:p>
    <w:p w14:paraId="553C2254">
      <w:pPr>
        <w:spacing w:line="360" w:lineRule="auto"/>
        <w:jc w:val="center"/>
        <w:rPr>
          <w:rFonts w:ascii="宋体" w:hAnsi="宋体" w:cs="宋体"/>
          <w:bCs/>
          <w:color w:val="auto"/>
          <w:sz w:val="32"/>
          <w:szCs w:val="32"/>
          <w:highlight w:val="none"/>
        </w:rPr>
      </w:pPr>
      <w:r>
        <w:rPr>
          <w:rFonts w:hint="eastAsia" w:ascii="宋体" w:hAnsi="宋体" w:cs="宋体"/>
          <w:bCs/>
          <w:color w:val="auto"/>
          <w:sz w:val="32"/>
          <w:szCs w:val="32"/>
          <w:highlight w:val="none"/>
        </w:rPr>
        <w:t xml:space="preserve">北海市政府采购中心        </w:t>
      </w:r>
    </w:p>
    <w:p w14:paraId="7887F0A6">
      <w:pPr>
        <w:snapToGrid w:val="0"/>
        <w:spacing w:line="360" w:lineRule="auto"/>
        <w:jc w:val="center"/>
        <w:rPr>
          <w:rFonts w:ascii="宋体" w:hAnsi="宋体" w:cs="宋体"/>
          <w:bCs/>
          <w:color w:val="auto"/>
          <w:sz w:val="32"/>
          <w:szCs w:val="32"/>
          <w:highlight w:val="none"/>
        </w:rPr>
      </w:pPr>
      <w:r>
        <w:rPr>
          <w:rFonts w:hint="eastAsia" w:ascii="宋体" w:hAnsi="宋体" w:cs="宋体"/>
          <w:bCs/>
          <w:color w:val="auto"/>
          <w:sz w:val="32"/>
          <w:szCs w:val="32"/>
          <w:highlight w:val="none"/>
        </w:rPr>
        <w:t>二〇二六年</w:t>
      </w:r>
      <w:r>
        <w:rPr>
          <w:rFonts w:hint="eastAsia" w:ascii="宋体" w:hAnsi="宋体" w:cs="宋体"/>
          <w:bCs/>
          <w:color w:val="auto"/>
          <w:sz w:val="32"/>
          <w:szCs w:val="32"/>
          <w:highlight w:val="none"/>
          <w:lang w:eastAsia="zh-CN"/>
        </w:rPr>
        <w:t>六月五日</w:t>
      </w:r>
    </w:p>
    <w:p w14:paraId="27A43DD0">
      <w:pPr>
        <w:spacing w:line="360" w:lineRule="auto"/>
        <w:jc w:val="center"/>
        <w:rPr>
          <w:rFonts w:ascii="宋体" w:hAnsi="宋体" w:cs="宋体"/>
          <w:color w:val="auto"/>
          <w:sz w:val="24"/>
          <w:highlight w:val="none"/>
        </w:rPr>
      </w:pPr>
      <w:r>
        <w:rPr>
          <w:rFonts w:hint="eastAsia" w:ascii="宋体" w:hAnsi="宋体" w:cs="宋体"/>
          <w:color w:val="auto"/>
          <w:sz w:val="24"/>
          <w:highlight w:val="none"/>
        </w:rPr>
        <w:br w:type="page"/>
      </w:r>
      <w:bookmarkStart w:id="2" w:name="_Hlt67893495"/>
      <w:bookmarkEnd w:id="2"/>
    </w:p>
    <w:p w14:paraId="2B91E576">
      <w:pPr>
        <w:pStyle w:val="635"/>
        <w:outlineLvl w:val="9"/>
        <w:rPr>
          <w:color w:val="auto"/>
          <w:highlight w:val="none"/>
        </w:rPr>
      </w:pPr>
    </w:p>
    <w:p w14:paraId="0E44BE2B">
      <w:pPr>
        <w:spacing w:line="360" w:lineRule="auto"/>
        <w:jc w:val="center"/>
        <w:rPr>
          <w:rFonts w:ascii="宋体" w:hAnsi="宋体" w:cs="宋体"/>
          <w:b/>
          <w:color w:val="auto"/>
          <w:sz w:val="48"/>
          <w:szCs w:val="48"/>
          <w:highlight w:val="none"/>
        </w:rPr>
      </w:pPr>
      <w:r>
        <w:rPr>
          <w:rFonts w:hint="eastAsia" w:ascii="宋体" w:hAnsi="宋体" w:cs="宋体"/>
          <w:b/>
          <w:color w:val="auto"/>
          <w:sz w:val="48"/>
          <w:szCs w:val="48"/>
          <w:highlight w:val="none"/>
        </w:rPr>
        <w:t>目  录</w:t>
      </w:r>
    </w:p>
    <w:p w14:paraId="1C8196F1">
      <w:pPr>
        <w:spacing w:line="360" w:lineRule="auto"/>
        <w:rPr>
          <w:rFonts w:ascii="宋体" w:hAnsi="宋体" w:cs="宋体"/>
          <w:color w:val="auto"/>
          <w:sz w:val="32"/>
          <w:szCs w:val="32"/>
          <w:highlight w:val="none"/>
        </w:rPr>
      </w:pPr>
    </w:p>
    <w:p w14:paraId="42A940F8">
      <w:pPr>
        <w:pStyle w:val="44"/>
        <w:tabs>
          <w:tab w:val="right" w:leader="dot" w:pos="9060"/>
        </w:tabs>
        <w:spacing w:line="360" w:lineRule="auto"/>
        <w:rPr>
          <w:rFonts w:asciiTheme="minorEastAsia" w:hAnsiTheme="minorEastAsia" w:eastAsiaTheme="minorEastAsia" w:cstheme="minorBidi"/>
          <w:color w:val="auto"/>
          <w:sz w:val="32"/>
          <w:szCs w:val="32"/>
          <w:highlight w:val="none"/>
        </w:rPr>
      </w:pPr>
      <w:bookmarkStart w:id="3" w:name="_Hlt91233176"/>
      <w:bookmarkEnd w:id="3"/>
      <w:bookmarkStart w:id="4" w:name="_Toc91899869"/>
      <w:r>
        <w:rPr>
          <w:rFonts w:cs="宋体" w:asciiTheme="minorEastAsia" w:hAnsiTheme="minorEastAsia" w:eastAsiaTheme="minorEastAsia"/>
          <w:color w:val="auto"/>
          <w:sz w:val="32"/>
          <w:szCs w:val="32"/>
          <w:highlight w:val="none"/>
        </w:rPr>
        <w:fldChar w:fldCharType="begin"/>
      </w:r>
      <w:r>
        <w:rPr>
          <w:rFonts w:cs="宋体" w:asciiTheme="minorEastAsia" w:hAnsiTheme="minorEastAsia" w:eastAsiaTheme="minorEastAsia"/>
          <w:color w:val="auto"/>
          <w:sz w:val="32"/>
          <w:szCs w:val="32"/>
          <w:highlight w:val="none"/>
        </w:rPr>
        <w:instrText xml:space="preserve"> TOC \o "1-1" \h \z \u </w:instrText>
      </w:r>
      <w:r>
        <w:rPr>
          <w:rFonts w:cs="宋体" w:asciiTheme="minorEastAsia" w:hAnsiTheme="minorEastAsia" w:eastAsiaTheme="minorEastAsia"/>
          <w:color w:val="auto"/>
          <w:sz w:val="32"/>
          <w:szCs w:val="32"/>
          <w:highlight w:val="none"/>
        </w:rPr>
        <w:fldChar w:fldCharType="separate"/>
      </w:r>
      <w:r>
        <w:rPr>
          <w:color w:val="auto"/>
          <w:highlight w:val="none"/>
        </w:rPr>
        <w:fldChar w:fldCharType="begin"/>
      </w:r>
      <w:r>
        <w:rPr>
          <w:color w:val="auto"/>
          <w:highlight w:val="none"/>
        </w:rPr>
        <w:instrText xml:space="preserve"> HYPERLINK \l "_Toc176368902" </w:instrText>
      </w:r>
      <w:r>
        <w:rPr>
          <w:color w:val="auto"/>
          <w:highlight w:val="none"/>
        </w:rPr>
        <w:fldChar w:fldCharType="separate"/>
      </w:r>
      <w:r>
        <w:rPr>
          <w:rStyle w:val="77"/>
          <w:rFonts w:hint="eastAsia" w:cs="宋体" w:asciiTheme="minorEastAsia" w:hAnsiTheme="minorEastAsia" w:eastAsiaTheme="minorEastAsia"/>
          <w:color w:val="auto"/>
          <w:sz w:val="32"/>
          <w:szCs w:val="32"/>
          <w:highlight w:val="none"/>
        </w:rPr>
        <w:t>第一部分</w:t>
      </w:r>
      <w:r>
        <w:rPr>
          <w:rStyle w:val="77"/>
          <w:rFonts w:cs="宋体" w:asciiTheme="minorEastAsia" w:hAnsiTheme="minorEastAsia" w:eastAsiaTheme="minorEastAsia"/>
          <w:color w:val="auto"/>
          <w:sz w:val="32"/>
          <w:szCs w:val="32"/>
          <w:highlight w:val="none"/>
        </w:rPr>
        <w:t xml:space="preserve"> </w:t>
      </w:r>
      <w:r>
        <w:rPr>
          <w:rStyle w:val="77"/>
          <w:rFonts w:hint="eastAsia" w:cs="宋体" w:asciiTheme="minorEastAsia" w:hAnsiTheme="minorEastAsia" w:eastAsiaTheme="minorEastAsia"/>
          <w:color w:val="auto"/>
          <w:sz w:val="32"/>
          <w:szCs w:val="32"/>
          <w:highlight w:val="none"/>
        </w:rPr>
        <w:t>招标公告</w:t>
      </w:r>
      <w:r>
        <w:rPr>
          <w:rFonts w:asciiTheme="minorEastAsia" w:hAnsiTheme="minorEastAsia" w:eastAsiaTheme="minorEastAsia"/>
          <w:color w:val="auto"/>
          <w:sz w:val="32"/>
          <w:szCs w:val="32"/>
          <w:highlight w:val="none"/>
        </w:rPr>
        <w:tab/>
      </w:r>
      <w:r>
        <w:rPr>
          <w:rFonts w:asciiTheme="minorEastAsia" w:hAnsiTheme="minorEastAsia" w:eastAsiaTheme="minorEastAsia"/>
          <w:color w:val="auto"/>
          <w:sz w:val="32"/>
          <w:szCs w:val="32"/>
          <w:highlight w:val="none"/>
        </w:rPr>
        <w:fldChar w:fldCharType="begin"/>
      </w:r>
      <w:r>
        <w:rPr>
          <w:rFonts w:asciiTheme="minorEastAsia" w:hAnsiTheme="minorEastAsia" w:eastAsiaTheme="minorEastAsia"/>
          <w:color w:val="auto"/>
          <w:sz w:val="32"/>
          <w:szCs w:val="32"/>
          <w:highlight w:val="none"/>
        </w:rPr>
        <w:instrText xml:space="preserve"> PAGEREF _Toc176368902 \h </w:instrText>
      </w:r>
      <w:r>
        <w:rPr>
          <w:rFonts w:asciiTheme="minorEastAsia" w:hAnsiTheme="minorEastAsia" w:eastAsiaTheme="minorEastAsia"/>
          <w:color w:val="auto"/>
          <w:sz w:val="32"/>
          <w:szCs w:val="32"/>
          <w:highlight w:val="none"/>
        </w:rPr>
        <w:fldChar w:fldCharType="separate"/>
      </w:r>
      <w:r>
        <w:rPr>
          <w:rFonts w:asciiTheme="minorEastAsia" w:hAnsiTheme="minorEastAsia" w:eastAsiaTheme="minorEastAsia"/>
          <w:color w:val="auto"/>
          <w:sz w:val="32"/>
          <w:szCs w:val="32"/>
          <w:highlight w:val="none"/>
        </w:rPr>
        <w:t>3</w:t>
      </w:r>
      <w:r>
        <w:rPr>
          <w:rFonts w:asciiTheme="minorEastAsia" w:hAnsiTheme="minorEastAsia" w:eastAsiaTheme="minorEastAsia"/>
          <w:color w:val="auto"/>
          <w:sz w:val="32"/>
          <w:szCs w:val="32"/>
          <w:highlight w:val="none"/>
        </w:rPr>
        <w:fldChar w:fldCharType="end"/>
      </w:r>
      <w:r>
        <w:rPr>
          <w:rFonts w:asciiTheme="minorEastAsia" w:hAnsiTheme="minorEastAsia" w:eastAsiaTheme="minorEastAsia"/>
          <w:color w:val="auto"/>
          <w:sz w:val="32"/>
          <w:szCs w:val="32"/>
          <w:highlight w:val="none"/>
        </w:rPr>
        <w:fldChar w:fldCharType="end"/>
      </w:r>
    </w:p>
    <w:p w14:paraId="27EA3CA5">
      <w:pPr>
        <w:pStyle w:val="44"/>
        <w:tabs>
          <w:tab w:val="right" w:leader="dot" w:pos="9060"/>
        </w:tabs>
        <w:spacing w:line="360" w:lineRule="auto"/>
        <w:rPr>
          <w:rFonts w:asciiTheme="minorEastAsia" w:hAnsiTheme="minorEastAsia" w:eastAsiaTheme="minorEastAsia" w:cstheme="minorBidi"/>
          <w:color w:val="auto"/>
          <w:sz w:val="32"/>
          <w:szCs w:val="32"/>
          <w:highlight w:val="none"/>
        </w:rPr>
      </w:pPr>
      <w:r>
        <w:rPr>
          <w:color w:val="auto"/>
          <w:highlight w:val="none"/>
        </w:rPr>
        <w:fldChar w:fldCharType="begin"/>
      </w:r>
      <w:r>
        <w:rPr>
          <w:color w:val="auto"/>
          <w:highlight w:val="none"/>
        </w:rPr>
        <w:instrText xml:space="preserve"> HYPERLINK \l "_Toc176368903" </w:instrText>
      </w:r>
      <w:r>
        <w:rPr>
          <w:color w:val="auto"/>
          <w:highlight w:val="none"/>
        </w:rPr>
        <w:fldChar w:fldCharType="separate"/>
      </w:r>
      <w:r>
        <w:rPr>
          <w:rStyle w:val="77"/>
          <w:rFonts w:hint="eastAsia" w:cs="宋体" w:asciiTheme="minorEastAsia" w:hAnsiTheme="minorEastAsia" w:eastAsiaTheme="minorEastAsia"/>
          <w:color w:val="auto"/>
          <w:sz w:val="32"/>
          <w:szCs w:val="32"/>
          <w:highlight w:val="none"/>
        </w:rPr>
        <w:t>第二部分</w:t>
      </w:r>
      <w:r>
        <w:rPr>
          <w:rStyle w:val="77"/>
          <w:rFonts w:cs="宋体" w:asciiTheme="minorEastAsia" w:hAnsiTheme="minorEastAsia" w:eastAsiaTheme="minorEastAsia"/>
          <w:color w:val="auto"/>
          <w:sz w:val="32"/>
          <w:szCs w:val="32"/>
          <w:highlight w:val="none"/>
        </w:rPr>
        <w:t xml:space="preserve"> </w:t>
      </w:r>
      <w:r>
        <w:rPr>
          <w:rStyle w:val="77"/>
          <w:rFonts w:hint="eastAsia" w:cs="宋体" w:asciiTheme="minorEastAsia" w:hAnsiTheme="minorEastAsia" w:eastAsiaTheme="minorEastAsia"/>
          <w:color w:val="auto"/>
          <w:sz w:val="32"/>
          <w:szCs w:val="32"/>
          <w:highlight w:val="none"/>
        </w:rPr>
        <w:t>投标人须知</w:t>
      </w:r>
      <w:r>
        <w:rPr>
          <w:rFonts w:asciiTheme="minorEastAsia" w:hAnsiTheme="minorEastAsia" w:eastAsiaTheme="minorEastAsia"/>
          <w:color w:val="auto"/>
          <w:sz w:val="32"/>
          <w:szCs w:val="32"/>
          <w:highlight w:val="none"/>
        </w:rPr>
        <w:tab/>
      </w:r>
      <w:r>
        <w:rPr>
          <w:rFonts w:asciiTheme="minorEastAsia" w:hAnsiTheme="minorEastAsia" w:eastAsiaTheme="minorEastAsia"/>
          <w:color w:val="auto"/>
          <w:sz w:val="32"/>
          <w:szCs w:val="32"/>
          <w:highlight w:val="none"/>
        </w:rPr>
        <w:fldChar w:fldCharType="begin"/>
      </w:r>
      <w:r>
        <w:rPr>
          <w:rFonts w:asciiTheme="minorEastAsia" w:hAnsiTheme="minorEastAsia" w:eastAsiaTheme="minorEastAsia"/>
          <w:color w:val="auto"/>
          <w:sz w:val="32"/>
          <w:szCs w:val="32"/>
          <w:highlight w:val="none"/>
        </w:rPr>
        <w:instrText xml:space="preserve"> PAGEREF _Toc176368903 \h </w:instrText>
      </w:r>
      <w:r>
        <w:rPr>
          <w:rFonts w:asciiTheme="minorEastAsia" w:hAnsiTheme="minorEastAsia" w:eastAsiaTheme="minorEastAsia"/>
          <w:color w:val="auto"/>
          <w:sz w:val="32"/>
          <w:szCs w:val="32"/>
          <w:highlight w:val="none"/>
        </w:rPr>
        <w:fldChar w:fldCharType="separate"/>
      </w:r>
      <w:r>
        <w:rPr>
          <w:rFonts w:asciiTheme="minorEastAsia" w:hAnsiTheme="minorEastAsia" w:eastAsiaTheme="minorEastAsia"/>
          <w:color w:val="auto"/>
          <w:sz w:val="32"/>
          <w:szCs w:val="32"/>
          <w:highlight w:val="none"/>
        </w:rPr>
        <w:t>8</w:t>
      </w:r>
      <w:r>
        <w:rPr>
          <w:rFonts w:asciiTheme="minorEastAsia" w:hAnsiTheme="minorEastAsia" w:eastAsiaTheme="minorEastAsia"/>
          <w:color w:val="auto"/>
          <w:sz w:val="32"/>
          <w:szCs w:val="32"/>
          <w:highlight w:val="none"/>
        </w:rPr>
        <w:fldChar w:fldCharType="end"/>
      </w:r>
      <w:r>
        <w:rPr>
          <w:rFonts w:asciiTheme="minorEastAsia" w:hAnsiTheme="minorEastAsia" w:eastAsiaTheme="minorEastAsia"/>
          <w:color w:val="auto"/>
          <w:sz w:val="32"/>
          <w:szCs w:val="32"/>
          <w:highlight w:val="none"/>
        </w:rPr>
        <w:fldChar w:fldCharType="end"/>
      </w:r>
    </w:p>
    <w:p w14:paraId="2F3740EA">
      <w:pPr>
        <w:pStyle w:val="44"/>
        <w:tabs>
          <w:tab w:val="right" w:leader="dot" w:pos="9060"/>
        </w:tabs>
        <w:spacing w:line="360" w:lineRule="auto"/>
        <w:rPr>
          <w:rFonts w:asciiTheme="minorEastAsia" w:hAnsiTheme="minorEastAsia" w:eastAsiaTheme="minorEastAsia" w:cstheme="minorBidi"/>
          <w:color w:val="auto"/>
          <w:sz w:val="32"/>
          <w:szCs w:val="32"/>
          <w:highlight w:val="none"/>
        </w:rPr>
      </w:pPr>
      <w:r>
        <w:rPr>
          <w:color w:val="auto"/>
          <w:highlight w:val="none"/>
        </w:rPr>
        <w:fldChar w:fldCharType="begin"/>
      </w:r>
      <w:r>
        <w:rPr>
          <w:color w:val="auto"/>
          <w:highlight w:val="none"/>
        </w:rPr>
        <w:instrText xml:space="preserve"> HYPERLINK \l "_Toc176368904" </w:instrText>
      </w:r>
      <w:r>
        <w:rPr>
          <w:color w:val="auto"/>
          <w:highlight w:val="none"/>
        </w:rPr>
        <w:fldChar w:fldCharType="separate"/>
      </w:r>
      <w:r>
        <w:rPr>
          <w:rStyle w:val="77"/>
          <w:rFonts w:hint="eastAsia" w:cs="宋体" w:asciiTheme="minorEastAsia" w:hAnsiTheme="minorEastAsia" w:eastAsiaTheme="minorEastAsia"/>
          <w:color w:val="auto"/>
          <w:sz w:val="32"/>
          <w:szCs w:val="32"/>
          <w:highlight w:val="none"/>
        </w:rPr>
        <w:t>第三部分</w:t>
      </w:r>
      <w:r>
        <w:rPr>
          <w:rStyle w:val="77"/>
          <w:rFonts w:cs="宋体" w:asciiTheme="minorEastAsia" w:hAnsiTheme="minorEastAsia" w:eastAsiaTheme="minorEastAsia"/>
          <w:color w:val="auto"/>
          <w:sz w:val="32"/>
          <w:szCs w:val="32"/>
          <w:highlight w:val="none"/>
        </w:rPr>
        <w:t xml:space="preserve"> </w:t>
      </w:r>
      <w:r>
        <w:rPr>
          <w:rStyle w:val="77"/>
          <w:rFonts w:hint="eastAsia" w:cs="宋体" w:asciiTheme="minorEastAsia" w:hAnsiTheme="minorEastAsia" w:eastAsiaTheme="minorEastAsia"/>
          <w:color w:val="auto"/>
          <w:sz w:val="32"/>
          <w:szCs w:val="32"/>
          <w:highlight w:val="none"/>
        </w:rPr>
        <w:t>采购需求</w:t>
      </w:r>
      <w:r>
        <w:rPr>
          <w:rFonts w:asciiTheme="minorEastAsia" w:hAnsiTheme="minorEastAsia" w:eastAsiaTheme="minorEastAsia"/>
          <w:color w:val="auto"/>
          <w:sz w:val="32"/>
          <w:szCs w:val="32"/>
          <w:highlight w:val="none"/>
        </w:rPr>
        <w:tab/>
      </w:r>
      <w:r>
        <w:rPr>
          <w:rFonts w:asciiTheme="minorEastAsia" w:hAnsiTheme="minorEastAsia" w:eastAsiaTheme="minorEastAsia"/>
          <w:color w:val="auto"/>
          <w:sz w:val="32"/>
          <w:szCs w:val="32"/>
          <w:highlight w:val="none"/>
        </w:rPr>
        <w:fldChar w:fldCharType="begin"/>
      </w:r>
      <w:r>
        <w:rPr>
          <w:rFonts w:asciiTheme="minorEastAsia" w:hAnsiTheme="minorEastAsia" w:eastAsiaTheme="minorEastAsia"/>
          <w:color w:val="auto"/>
          <w:sz w:val="32"/>
          <w:szCs w:val="32"/>
          <w:highlight w:val="none"/>
        </w:rPr>
        <w:instrText xml:space="preserve"> PAGEREF _Toc176368904 \h </w:instrText>
      </w:r>
      <w:r>
        <w:rPr>
          <w:rFonts w:asciiTheme="minorEastAsia" w:hAnsiTheme="minorEastAsia" w:eastAsiaTheme="minorEastAsia"/>
          <w:color w:val="auto"/>
          <w:sz w:val="32"/>
          <w:szCs w:val="32"/>
          <w:highlight w:val="none"/>
        </w:rPr>
        <w:fldChar w:fldCharType="separate"/>
      </w:r>
      <w:r>
        <w:rPr>
          <w:rFonts w:asciiTheme="minorEastAsia" w:hAnsiTheme="minorEastAsia" w:eastAsiaTheme="minorEastAsia"/>
          <w:color w:val="auto"/>
          <w:sz w:val="32"/>
          <w:szCs w:val="32"/>
          <w:highlight w:val="none"/>
        </w:rPr>
        <w:t>27</w:t>
      </w:r>
      <w:r>
        <w:rPr>
          <w:rFonts w:asciiTheme="minorEastAsia" w:hAnsiTheme="minorEastAsia" w:eastAsiaTheme="minorEastAsia"/>
          <w:color w:val="auto"/>
          <w:sz w:val="32"/>
          <w:szCs w:val="32"/>
          <w:highlight w:val="none"/>
        </w:rPr>
        <w:fldChar w:fldCharType="end"/>
      </w:r>
      <w:r>
        <w:rPr>
          <w:rFonts w:asciiTheme="minorEastAsia" w:hAnsiTheme="minorEastAsia" w:eastAsiaTheme="minorEastAsia"/>
          <w:color w:val="auto"/>
          <w:sz w:val="32"/>
          <w:szCs w:val="32"/>
          <w:highlight w:val="none"/>
        </w:rPr>
        <w:fldChar w:fldCharType="end"/>
      </w:r>
    </w:p>
    <w:p w14:paraId="5A25C566">
      <w:pPr>
        <w:pStyle w:val="44"/>
        <w:tabs>
          <w:tab w:val="right" w:leader="dot" w:pos="9060"/>
        </w:tabs>
        <w:spacing w:line="360" w:lineRule="auto"/>
        <w:rPr>
          <w:rFonts w:asciiTheme="minorEastAsia" w:hAnsiTheme="minorEastAsia" w:eastAsiaTheme="minorEastAsia" w:cstheme="minorBidi"/>
          <w:color w:val="auto"/>
          <w:sz w:val="32"/>
          <w:szCs w:val="32"/>
          <w:highlight w:val="none"/>
        </w:rPr>
      </w:pPr>
      <w:r>
        <w:rPr>
          <w:color w:val="auto"/>
          <w:highlight w:val="none"/>
        </w:rPr>
        <w:fldChar w:fldCharType="begin"/>
      </w:r>
      <w:r>
        <w:rPr>
          <w:color w:val="auto"/>
          <w:highlight w:val="none"/>
        </w:rPr>
        <w:instrText xml:space="preserve"> HYPERLINK \l "_Toc176368905" </w:instrText>
      </w:r>
      <w:r>
        <w:rPr>
          <w:color w:val="auto"/>
          <w:highlight w:val="none"/>
        </w:rPr>
        <w:fldChar w:fldCharType="separate"/>
      </w:r>
      <w:r>
        <w:rPr>
          <w:rStyle w:val="77"/>
          <w:rFonts w:hint="eastAsia" w:cs="宋体" w:asciiTheme="minorEastAsia" w:hAnsiTheme="minorEastAsia" w:eastAsiaTheme="minorEastAsia"/>
          <w:color w:val="auto"/>
          <w:sz w:val="32"/>
          <w:szCs w:val="32"/>
          <w:highlight w:val="none"/>
        </w:rPr>
        <w:t>第四部分</w:t>
      </w:r>
      <w:r>
        <w:rPr>
          <w:rStyle w:val="77"/>
          <w:rFonts w:cs="宋体" w:asciiTheme="minorEastAsia" w:hAnsiTheme="minorEastAsia" w:eastAsiaTheme="minorEastAsia"/>
          <w:color w:val="auto"/>
          <w:sz w:val="32"/>
          <w:szCs w:val="32"/>
          <w:highlight w:val="none"/>
        </w:rPr>
        <w:t xml:space="preserve"> </w:t>
      </w:r>
      <w:r>
        <w:rPr>
          <w:rStyle w:val="77"/>
          <w:rFonts w:hint="eastAsia" w:cs="宋体" w:asciiTheme="minorEastAsia" w:hAnsiTheme="minorEastAsia" w:eastAsiaTheme="minorEastAsia"/>
          <w:color w:val="auto"/>
          <w:sz w:val="32"/>
          <w:szCs w:val="32"/>
          <w:highlight w:val="none"/>
        </w:rPr>
        <w:t>评标办法</w:t>
      </w:r>
      <w:r>
        <w:rPr>
          <w:rFonts w:asciiTheme="minorEastAsia" w:hAnsiTheme="minorEastAsia" w:eastAsiaTheme="minorEastAsia"/>
          <w:color w:val="auto"/>
          <w:sz w:val="32"/>
          <w:szCs w:val="32"/>
          <w:highlight w:val="none"/>
        </w:rPr>
        <w:tab/>
      </w:r>
      <w:r>
        <w:rPr>
          <w:rFonts w:asciiTheme="minorEastAsia" w:hAnsiTheme="minorEastAsia" w:eastAsiaTheme="minorEastAsia"/>
          <w:color w:val="auto"/>
          <w:sz w:val="32"/>
          <w:szCs w:val="32"/>
          <w:highlight w:val="none"/>
        </w:rPr>
        <w:fldChar w:fldCharType="begin"/>
      </w:r>
      <w:r>
        <w:rPr>
          <w:rFonts w:asciiTheme="minorEastAsia" w:hAnsiTheme="minorEastAsia" w:eastAsiaTheme="minorEastAsia"/>
          <w:color w:val="auto"/>
          <w:sz w:val="32"/>
          <w:szCs w:val="32"/>
          <w:highlight w:val="none"/>
        </w:rPr>
        <w:instrText xml:space="preserve"> PAGEREF _Toc176368905 \h </w:instrText>
      </w:r>
      <w:r>
        <w:rPr>
          <w:rFonts w:asciiTheme="minorEastAsia" w:hAnsiTheme="minorEastAsia" w:eastAsiaTheme="minorEastAsia"/>
          <w:color w:val="auto"/>
          <w:sz w:val="32"/>
          <w:szCs w:val="32"/>
          <w:highlight w:val="none"/>
        </w:rPr>
        <w:fldChar w:fldCharType="separate"/>
      </w:r>
      <w:r>
        <w:rPr>
          <w:rFonts w:asciiTheme="minorEastAsia" w:hAnsiTheme="minorEastAsia" w:eastAsiaTheme="minorEastAsia"/>
          <w:color w:val="auto"/>
          <w:sz w:val="32"/>
          <w:szCs w:val="32"/>
          <w:highlight w:val="none"/>
        </w:rPr>
        <w:t>92</w:t>
      </w:r>
      <w:r>
        <w:rPr>
          <w:rFonts w:asciiTheme="minorEastAsia" w:hAnsiTheme="minorEastAsia" w:eastAsiaTheme="minorEastAsia"/>
          <w:color w:val="auto"/>
          <w:sz w:val="32"/>
          <w:szCs w:val="32"/>
          <w:highlight w:val="none"/>
        </w:rPr>
        <w:fldChar w:fldCharType="end"/>
      </w:r>
      <w:r>
        <w:rPr>
          <w:rFonts w:asciiTheme="minorEastAsia" w:hAnsiTheme="minorEastAsia" w:eastAsiaTheme="minorEastAsia"/>
          <w:color w:val="auto"/>
          <w:sz w:val="32"/>
          <w:szCs w:val="32"/>
          <w:highlight w:val="none"/>
        </w:rPr>
        <w:fldChar w:fldCharType="end"/>
      </w:r>
    </w:p>
    <w:p w14:paraId="720C108E">
      <w:pPr>
        <w:pStyle w:val="44"/>
        <w:tabs>
          <w:tab w:val="right" w:leader="dot" w:pos="9060"/>
        </w:tabs>
        <w:spacing w:line="360" w:lineRule="auto"/>
        <w:rPr>
          <w:rFonts w:asciiTheme="minorEastAsia" w:hAnsiTheme="minorEastAsia" w:eastAsiaTheme="minorEastAsia" w:cstheme="minorBidi"/>
          <w:color w:val="auto"/>
          <w:sz w:val="32"/>
          <w:szCs w:val="32"/>
          <w:highlight w:val="none"/>
        </w:rPr>
      </w:pPr>
      <w:r>
        <w:rPr>
          <w:color w:val="auto"/>
          <w:highlight w:val="none"/>
        </w:rPr>
        <w:fldChar w:fldCharType="begin"/>
      </w:r>
      <w:r>
        <w:rPr>
          <w:color w:val="auto"/>
          <w:highlight w:val="none"/>
        </w:rPr>
        <w:instrText xml:space="preserve"> HYPERLINK \l "_Toc176368906" </w:instrText>
      </w:r>
      <w:r>
        <w:rPr>
          <w:color w:val="auto"/>
          <w:highlight w:val="none"/>
        </w:rPr>
        <w:fldChar w:fldCharType="separate"/>
      </w:r>
      <w:r>
        <w:rPr>
          <w:rStyle w:val="77"/>
          <w:rFonts w:hint="eastAsia" w:cs="宋体" w:asciiTheme="minorEastAsia" w:hAnsiTheme="minorEastAsia" w:eastAsiaTheme="minorEastAsia"/>
          <w:color w:val="auto"/>
          <w:sz w:val="32"/>
          <w:szCs w:val="32"/>
          <w:highlight w:val="none"/>
        </w:rPr>
        <w:t>第五部分</w:t>
      </w:r>
      <w:r>
        <w:rPr>
          <w:rStyle w:val="77"/>
          <w:rFonts w:cs="宋体" w:asciiTheme="minorEastAsia" w:hAnsiTheme="minorEastAsia" w:eastAsiaTheme="minorEastAsia"/>
          <w:color w:val="auto"/>
          <w:sz w:val="32"/>
          <w:szCs w:val="32"/>
          <w:highlight w:val="none"/>
        </w:rPr>
        <w:t xml:space="preserve"> </w:t>
      </w:r>
      <w:r>
        <w:rPr>
          <w:rStyle w:val="77"/>
          <w:rFonts w:hint="eastAsia" w:cs="宋体" w:asciiTheme="minorEastAsia" w:hAnsiTheme="minorEastAsia" w:eastAsiaTheme="minorEastAsia"/>
          <w:color w:val="auto"/>
          <w:sz w:val="32"/>
          <w:szCs w:val="32"/>
          <w:highlight w:val="none"/>
        </w:rPr>
        <w:t>拟签订的合同文本</w:t>
      </w:r>
      <w:r>
        <w:rPr>
          <w:rFonts w:asciiTheme="minorEastAsia" w:hAnsiTheme="minorEastAsia" w:eastAsiaTheme="minorEastAsia"/>
          <w:color w:val="auto"/>
          <w:sz w:val="32"/>
          <w:szCs w:val="32"/>
          <w:highlight w:val="none"/>
        </w:rPr>
        <w:tab/>
      </w:r>
      <w:r>
        <w:rPr>
          <w:rFonts w:asciiTheme="minorEastAsia" w:hAnsiTheme="minorEastAsia" w:eastAsiaTheme="minorEastAsia"/>
          <w:color w:val="auto"/>
          <w:sz w:val="32"/>
          <w:szCs w:val="32"/>
          <w:highlight w:val="none"/>
        </w:rPr>
        <w:fldChar w:fldCharType="begin"/>
      </w:r>
      <w:r>
        <w:rPr>
          <w:rFonts w:asciiTheme="minorEastAsia" w:hAnsiTheme="minorEastAsia" w:eastAsiaTheme="minorEastAsia"/>
          <w:color w:val="auto"/>
          <w:sz w:val="32"/>
          <w:szCs w:val="32"/>
          <w:highlight w:val="none"/>
        </w:rPr>
        <w:instrText xml:space="preserve"> PAGEREF _Toc176368906 \h </w:instrText>
      </w:r>
      <w:r>
        <w:rPr>
          <w:rFonts w:asciiTheme="minorEastAsia" w:hAnsiTheme="minorEastAsia" w:eastAsiaTheme="minorEastAsia"/>
          <w:color w:val="auto"/>
          <w:sz w:val="32"/>
          <w:szCs w:val="32"/>
          <w:highlight w:val="none"/>
        </w:rPr>
        <w:fldChar w:fldCharType="separate"/>
      </w:r>
      <w:r>
        <w:rPr>
          <w:rFonts w:asciiTheme="minorEastAsia" w:hAnsiTheme="minorEastAsia" w:eastAsiaTheme="minorEastAsia"/>
          <w:color w:val="auto"/>
          <w:sz w:val="32"/>
          <w:szCs w:val="32"/>
          <w:highlight w:val="none"/>
        </w:rPr>
        <w:t>108</w:t>
      </w:r>
      <w:r>
        <w:rPr>
          <w:rFonts w:asciiTheme="minorEastAsia" w:hAnsiTheme="minorEastAsia" w:eastAsiaTheme="minorEastAsia"/>
          <w:color w:val="auto"/>
          <w:sz w:val="32"/>
          <w:szCs w:val="32"/>
          <w:highlight w:val="none"/>
        </w:rPr>
        <w:fldChar w:fldCharType="end"/>
      </w:r>
      <w:r>
        <w:rPr>
          <w:rFonts w:asciiTheme="minorEastAsia" w:hAnsiTheme="minorEastAsia" w:eastAsiaTheme="minorEastAsia"/>
          <w:color w:val="auto"/>
          <w:sz w:val="32"/>
          <w:szCs w:val="32"/>
          <w:highlight w:val="none"/>
        </w:rPr>
        <w:fldChar w:fldCharType="end"/>
      </w:r>
    </w:p>
    <w:p w14:paraId="43C6C254">
      <w:pPr>
        <w:pStyle w:val="44"/>
        <w:tabs>
          <w:tab w:val="right" w:leader="dot" w:pos="9060"/>
        </w:tabs>
        <w:spacing w:line="360" w:lineRule="auto"/>
        <w:rPr>
          <w:rFonts w:asciiTheme="minorEastAsia" w:hAnsiTheme="minorEastAsia" w:eastAsiaTheme="minorEastAsia" w:cstheme="minorBidi"/>
          <w:color w:val="auto"/>
          <w:sz w:val="32"/>
          <w:szCs w:val="32"/>
          <w:highlight w:val="none"/>
        </w:rPr>
      </w:pPr>
      <w:r>
        <w:rPr>
          <w:color w:val="auto"/>
          <w:highlight w:val="none"/>
        </w:rPr>
        <w:fldChar w:fldCharType="begin"/>
      </w:r>
      <w:r>
        <w:rPr>
          <w:color w:val="auto"/>
          <w:highlight w:val="none"/>
        </w:rPr>
        <w:instrText xml:space="preserve"> HYPERLINK \l "_Toc176368907" </w:instrText>
      </w:r>
      <w:r>
        <w:rPr>
          <w:color w:val="auto"/>
          <w:highlight w:val="none"/>
        </w:rPr>
        <w:fldChar w:fldCharType="separate"/>
      </w:r>
      <w:r>
        <w:rPr>
          <w:rStyle w:val="77"/>
          <w:rFonts w:hint="eastAsia" w:cs="宋体" w:asciiTheme="minorEastAsia" w:hAnsiTheme="minorEastAsia" w:eastAsiaTheme="minorEastAsia"/>
          <w:color w:val="auto"/>
          <w:sz w:val="32"/>
          <w:szCs w:val="32"/>
          <w:highlight w:val="none"/>
        </w:rPr>
        <w:t>第六部分</w:t>
      </w:r>
      <w:r>
        <w:rPr>
          <w:rStyle w:val="77"/>
          <w:rFonts w:cs="宋体" w:asciiTheme="minorEastAsia" w:hAnsiTheme="minorEastAsia" w:eastAsiaTheme="minorEastAsia"/>
          <w:color w:val="auto"/>
          <w:sz w:val="32"/>
          <w:szCs w:val="32"/>
          <w:highlight w:val="none"/>
        </w:rPr>
        <w:t xml:space="preserve"> </w:t>
      </w:r>
      <w:r>
        <w:rPr>
          <w:rStyle w:val="77"/>
          <w:rFonts w:hint="eastAsia" w:cs="宋体" w:asciiTheme="minorEastAsia" w:hAnsiTheme="minorEastAsia" w:eastAsiaTheme="minorEastAsia"/>
          <w:color w:val="auto"/>
          <w:sz w:val="32"/>
          <w:szCs w:val="32"/>
          <w:highlight w:val="none"/>
        </w:rPr>
        <w:t>应提交的有关格式范例</w:t>
      </w:r>
      <w:r>
        <w:rPr>
          <w:rFonts w:asciiTheme="minorEastAsia" w:hAnsiTheme="minorEastAsia" w:eastAsiaTheme="minorEastAsia"/>
          <w:color w:val="auto"/>
          <w:sz w:val="32"/>
          <w:szCs w:val="32"/>
          <w:highlight w:val="none"/>
        </w:rPr>
        <w:tab/>
      </w:r>
      <w:r>
        <w:rPr>
          <w:rFonts w:asciiTheme="minorEastAsia" w:hAnsiTheme="minorEastAsia" w:eastAsiaTheme="minorEastAsia"/>
          <w:color w:val="auto"/>
          <w:sz w:val="32"/>
          <w:szCs w:val="32"/>
          <w:highlight w:val="none"/>
        </w:rPr>
        <w:fldChar w:fldCharType="begin"/>
      </w:r>
      <w:r>
        <w:rPr>
          <w:rFonts w:asciiTheme="minorEastAsia" w:hAnsiTheme="minorEastAsia" w:eastAsiaTheme="minorEastAsia"/>
          <w:color w:val="auto"/>
          <w:sz w:val="32"/>
          <w:szCs w:val="32"/>
          <w:highlight w:val="none"/>
        </w:rPr>
        <w:instrText xml:space="preserve"> PAGEREF _Toc176368907 \h </w:instrText>
      </w:r>
      <w:r>
        <w:rPr>
          <w:rFonts w:asciiTheme="minorEastAsia" w:hAnsiTheme="minorEastAsia" w:eastAsiaTheme="minorEastAsia"/>
          <w:color w:val="auto"/>
          <w:sz w:val="32"/>
          <w:szCs w:val="32"/>
          <w:highlight w:val="none"/>
        </w:rPr>
        <w:fldChar w:fldCharType="separate"/>
      </w:r>
      <w:r>
        <w:rPr>
          <w:rFonts w:asciiTheme="minorEastAsia" w:hAnsiTheme="minorEastAsia" w:eastAsiaTheme="minorEastAsia"/>
          <w:color w:val="auto"/>
          <w:sz w:val="32"/>
          <w:szCs w:val="32"/>
          <w:highlight w:val="none"/>
        </w:rPr>
        <w:t>114</w:t>
      </w:r>
      <w:r>
        <w:rPr>
          <w:rFonts w:asciiTheme="minorEastAsia" w:hAnsiTheme="minorEastAsia" w:eastAsiaTheme="minorEastAsia"/>
          <w:color w:val="auto"/>
          <w:sz w:val="32"/>
          <w:szCs w:val="32"/>
          <w:highlight w:val="none"/>
        </w:rPr>
        <w:fldChar w:fldCharType="end"/>
      </w:r>
      <w:r>
        <w:rPr>
          <w:rFonts w:asciiTheme="minorEastAsia" w:hAnsiTheme="minorEastAsia" w:eastAsiaTheme="minorEastAsia"/>
          <w:color w:val="auto"/>
          <w:sz w:val="32"/>
          <w:szCs w:val="32"/>
          <w:highlight w:val="none"/>
        </w:rPr>
        <w:fldChar w:fldCharType="end"/>
      </w:r>
    </w:p>
    <w:p w14:paraId="365167F5">
      <w:pPr>
        <w:spacing w:line="360" w:lineRule="auto"/>
        <w:ind w:firstLine="732" w:firstLineChars="229"/>
        <w:rPr>
          <w:rFonts w:ascii="宋体" w:hAnsi="宋体" w:cs="宋体"/>
          <w:color w:val="auto"/>
          <w:sz w:val="24"/>
          <w:highlight w:val="none"/>
        </w:rPr>
      </w:pPr>
      <w:r>
        <w:rPr>
          <w:rFonts w:cs="宋体" w:asciiTheme="minorEastAsia" w:hAnsiTheme="minorEastAsia" w:eastAsiaTheme="minorEastAsia"/>
          <w:color w:val="auto"/>
          <w:sz w:val="32"/>
          <w:szCs w:val="32"/>
          <w:highlight w:val="none"/>
        </w:rPr>
        <w:fldChar w:fldCharType="end"/>
      </w:r>
    </w:p>
    <w:p w14:paraId="10B72003">
      <w:pPr>
        <w:spacing w:line="360" w:lineRule="auto"/>
        <w:ind w:firstLine="549" w:firstLineChars="229"/>
        <w:rPr>
          <w:rFonts w:ascii="宋体" w:hAnsi="宋体" w:cs="宋体"/>
          <w:color w:val="auto"/>
          <w:sz w:val="24"/>
          <w:highlight w:val="none"/>
        </w:rPr>
      </w:pPr>
    </w:p>
    <w:p w14:paraId="4A352160">
      <w:pPr>
        <w:spacing w:line="360" w:lineRule="auto"/>
        <w:ind w:firstLine="549" w:firstLineChars="229"/>
        <w:rPr>
          <w:rFonts w:ascii="宋体" w:hAnsi="宋体" w:cs="宋体"/>
          <w:color w:val="auto"/>
          <w:sz w:val="24"/>
          <w:highlight w:val="none"/>
        </w:rPr>
      </w:pPr>
    </w:p>
    <w:p w14:paraId="76FC9F41">
      <w:pPr>
        <w:spacing w:line="360" w:lineRule="auto"/>
        <w:ind w:firstLine="549" w:firstLineChars="229"/>
        <w:rPr>
          <w:rFonts w:ascii="宋体" w:hAnsi="宋体" w:cs="宋体"/>
          <w:color w:val="auto"/>
          <w:sz w:val="24"/>
          <w:highlight w:val="none"/>
        </w:rPr>
      </w:pPr>
    </w:p>
    <w:p w14:paraId="2733EAB2">
      <w:pPr>
        <w:spacing w:line="360" w:lineRule="auto"/>
        <w:ind w:firstLine="549" w:firstLineChars="229"/>
        <w:rPr>
          <w:rFonts w:ascii="宋体" w:hAnsi="宋体" w:cs="宋体"/>
          <w:color w:val="auto"/>
          <w:sz w:val="24"/>
          <w:highlight w:val="none"/>
        </w:rPr>
      </w:pPr>
    </w:p>
    <w:p w14:paraId="54F796B7">
      <w:pPr>
        <w:spacing w:line="360" w:lineRule="auto"/>
        <w:ind w:firstLine="549" w:firstLineChars="229"/>
        <w:rPr>
          <w:rFonts w:ascii="宋体" w:hAnsi="宋体" w:cs="宋体"/>
          <w:color w:val="auto"/>
          <w:sz w:val="24"/>
          <w:highlight w:val="none"/>
        </w:rPr>
      </w:pPr>
    </w:p>
    <w:p w14:paraId="0EB3E8B6">
      <w:pPr>
        <w:spacing w:line="360" w:lineRule="auto"/>
        <w:ind w:firstLine="549" w:firstLineChars="229"/>
        <w:rPr>
          <w:rFonts w:ascii="宋体" w:hAnsi="宋体" w:cs="宋体"/>
          <w:color w:val="auto"/>
          <w:sz w:val="24"/>
          <w:highlight w:val="none"/>
        </w:rPr>
      </w:pPr>
    </w:p>
    <w:p w14:paraId="38F4A82B">
      <w:pPr>
        <w:spacing w:line="360" w:lineRule="auto"/>
        <w:ind w:firstLine="549" w:firstLineChars="229"/>
        <w:rPr>
          <w:rFonts w:ascii="宋体" w:hAnsi="宋体" w:cs="宋体"/>
          <w:color w:val="auto"/>
          <w:sz w:val="24"/>
          <w:highlight w:val="none"/>
        </w:rPr>
      </w:pPr>
    </w:p>
    <w:p w14:paraId="473B232C">
      <w:pPr>
        <w:spacing w:line="360" w:lineRule="auto"/>
        <w:ind w:firstLine="549" w:firstLineChars="229"/>
        <w:rPr>
          <w:rFonts w:ascii="宋体" w:hAnsi="宋体" w:cs="宋体"/>
          <w:color w:val="auto"/>
          <w:sz w:val="24"/>
          <w:highlight w:val="none"/>
        </w:rPr>
      </w:pPr>
    </w:p>
    <w:p w14:paraId="165A576D">
      <w:pPr>
        <w:spacing w:line="360" w:lineRule="auto"/>
        <w:ind w:firstLine="549" w:firstLineChars="229"/>
        <w:rPr>
          <w:rFonts w:ascii="宋体" w:hAnsi="宋体" w:cs="宋体"/>
          <w:color w:val="auto"/>
          <w:sz w:val="24"/>
          <w:highlight w:val="none"/>
        </w:rPr>
      </w:pPr>
    </w:p>
    <w:p w14:paraId="57E11F1D">
      <w:pPr>
        <w:spacing w:line="360" w:lineRule="auto"/>
        <w:ind w:firstLine="549" w:firstLineChars="229"/>
        <w:rPr>
          <w:rFonts w:ascii="宋体" w:hAnsi="宋体" w:cs="宋体"/>
          <w:color w:val="auto"/>
          <w:sz w:val="24"/>
          <w:highlight w:val="none"/>
        </w:rPr>
      </w:pPr>
    </w:p>
    <w:p w14:paraId="24C2287E">
      <w:pPr>
        <w:spacing w:line="360" w:lineRule="auto"/>
        <w:ind w:firstLine="549" w:firstLineChars="229"/>
        <w:rPr>
          <w:rFonts w:ascii="宋体" w:hAnsi="宋体" w:cs="宋体"/>
          <w:color w:val="auto"/>
          <w:sz w:val="24"/>
          <w:highlight w:val="none"/>
        </w:rPr>
      </w:pPr>
    </w:p>
    <w:p w14:paraId="7C038609">
      <w:pPr>
        <w:spacing w:line="360" w:lineRule="auto"/>
        <w:ind w:firstLine="549" w:firstLineChars="229"/>
        <w:rPr>
          <w:rFonts w:ascii="宋体" w:hAnsi="宋体" w:cs="宋体"/>
          <w:color w:val="auto"/>
          <w:sz w:val="24"/>
          <w:highlight w:val="none"/>
        </w:rPr>
      </w:pPr>
    </w:p>
    <w:p w14:paraId="0AC46B1E">
      <w:pPr>
        <w:spacing w:line="360" w:lineRule="auto"/>
        <w:rPr>
          <w:rFonts w:ascii="宋体" w:hAnsi="宋体" w:cs="宋体"/>
          <w:color w:val="auto"/>
          <w:sz w:val="24"/>
          <w:highlight w:val="none"/>
        </w:rPr>
      </w:pPr>
    </w:p>
    <w:p w14:paraId="2C6732BC">
      <w:pPr>
        <w:adjustRightInd/>
        <w:spacing w:line="360" w:lineRule="auto"/>
        <w:jc w:val="center"/>
        <w:outlineLvl w:val="0"/>
        <w:rPr>
          <w:rFonts w:ascii="宋体" w:hAnsi="宋体" w:cs="宋体"/>
          <w:b/>
          <w:color w:val="auto"/>
          <w:sz w:val="36"/>
          <w:szCs w:val="20"/>
          <w:highlight w:val="none"/>
        </w:rPr>
      </w:pPr>
      <w:bookmarkStart w:id="5" w:name="第一部分"/>
      <w:r>
        <w:rPr>
          <w:rFonts w:hint="eastAsia" w:ascii="宋体" w:hAnsi="宋体" w:cs="宋体"/>
          <w:b/>
          <w:color w:val="auto"/>
          <w:sz w:val="36"/>
          <w:szCs w:val="36"/>
          <w:highlight w:val="none"/>
        </w:rPr>
        <w:br w:type="page"/>
      </w:r>
      <w:bookmarkEnd w:id="4"/>
      <w:bookmarkEnd w:id="5"/>
      <w:bookmarkStart w:id="6" w:name="_Hlt74707423"/>
      <w:bookmarkEnd w:id="6"/>
      <w:bookmarkStart w:id="7" w:name="_Hlt74649545"/>
      <w:bookmarkEnd w:id="7"/>
      <w:bookmarkStart w:id="8" w:name="_Hlt74729822"/>
      <w:bookmarkEnd w:id="8"/>
      <w:bookmarkStart w:id="9" w:name="_Hlt74728647"/>
      <w:bookmarkEnd w:id="9"/>
      <w:bookmarkStart w:id="10" w:name="_Toc176368902"/>
      <w:bookmarkStart w:id="11" w:name="第二部分"/>
      <w:bookmarkStart w:id="12" w:name="_Toc91899870"/>
      <w:bookmarkStart w:id="13" w:name="_Toc91899871"/>
      <w:r>
        <w:rPr>
          <w:rFonts w:hint="eastAsia" w:ascii="宋体" w:hAnsi="宋体" w:cs="宋体"/>
          <w:b/>
          <w:color w:val="auto"/>
          <w:sz w:val="36"/>
          <w:szCs w:val="20"/>
          <w:highlight w:val="none"/>
        </w:rPr>
        <w:t>第一部分 招标公告</w:t>
      </w:r>
      <w:bookmarkEnd w:id="10"/>
    </w:p>
    <w:p w14:paraId="2B8DDBC8">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项目概况</w:t>
      </w:r>
    </w:p>
    <w:p w14:paraId="7C2F7CBB">
      <w:pPr>
        <w:pBdr>
          <w:top w:val="single" w:color="auto" w:sz="4" w:space="1"/>
          <w:left w:val="single" w:color="auto" w:sz="4" w:space="4"/>
          <w:bottom w:val="single" w:color="auto" w:sz="4" w:space="1"/>
          <w:right w:val="single" w:color="auto" w:sz="4" w:space="4"/>
        </w:pBdr>
        <w:spacing w:line="360" w:lineRule="auto"/>
        <w:ind w:firstLine="480" w:firstLineChars="200"/>
        <w:rPr>
          <w:rFonts w:ascii="宋体" w:hAnsi="宋体" w:cs="宋体"/>
          <w:color w:val="auto"/>
          <w:sz w:val="24"/>
          <w:highlight w:val="none"/>
          <w:u w:val="single"/>
        </w:rPr>
      </w:pPr>
      <w:r>
        <w:rPr>
          <w:rFonts w:hint="eastAsia" w:ascii="宋体" w:hAnsi="宋体" w:cs="宋体"/>
          <w:color w:val="auto"/>
          <w:sz w:val="24"/>
          <w:highlight w:val="none"/>
          <w:u w:val="single"/>
          <w:lang w:eastAsia="zh-CN"/>
        </w:rPr>
        <w:t>2026-2028年市直教育系统物业服务项目</w:t>
      </w:r>
      <w:r>
        <w:rPr>
          <w:rFonts w:hint="eastAsia" w:ascii="宋体" w:hAnsi="宋体" w:cs="宋体"/>
          <w:color w:val="auto"/>
          <w:sz w:val="24"/>
          <w:highlight w:val="none"/>
        </w:rPr>
        <w:t>招标项目的潜在投标人应在广西政府采购云平台（https://www.gcy.zfcg.gxzf.gov.cn/）获取（下载）招标文件，并于</w:t>
      </w:r>
      <w:r>
        <w:rPr>
          <w:rFonts w:hint="eastAsia" w:ascii="宋体" w:hAnsi="宋体" w:cs="宋体"/>
          <w:color w:val="auto"/>
          <w:sz w:val="24"/>
          <w:highlight w:val="none"/>
          <w:lang w:eastAsia="zh-CN"/>
        </w:rPr>
        <w:t>2026年</w:t>
      </w:r>
      <w:r>
        <w:rPr>
          <w:rFonts w:hint="eastAsia" w:ascii="宋体" w:hAnsi="宋体" w:cs="宋体"/>
          <w:color w:val="auto"/>
          <w:sz w:val="24"/>
          <w:highlight w:val="none"/>
          <w:lang w:val="en-US" w:eastAsia="zh-CN"/>
        </w:rPr>
        <w:t>6月29日9</w:t>
      </w:r>
      <w:r>
        <w:rPr>
          <w:rFonts w:hint="eastAsia" w:ascii="宋体" w:hAnsi="宋体" w:cs="宋体"/>
          <w:color w:val="auto"/>
          <w:sz w:val="24"/>
          <w:highlight w:val="none"/>
        </w:rPr>
        <w:t>点</w:t>
      </w:r>
      <w:r>
        <w:rPr>
          <w:rFonts w:hint="eastAsia" w:ascii="宋体" w:hAnsi="宋体" w:cs="宋体"/>
          <w:color w:val="auto"/>
          <w:sz w:val="24"/>
          <w:highlight w:val="none"/>
          <w:lang w:val="en-US" w:eastAsia="zh-CN"/>
        </w:rPr>
        <w:t>00</w:t>
      </w:r>
      <w:r>
        <w:rPr>
          <w:rFonts w:hint="eastAsia" w:ascii="宋体" w:hAnsi="宋体" w:cs="宋体"/>
          <w:color w:val="auto"/>
          <w:sz w:val="24"/>
          <w:highlight w:val="none"/>
        </w:rPr>
        <w:t>分</w:t>
      </w:r>
      <w:r>
        <w:rPr>
          <w:rFonts w:hint="eastAsia" w:ascii="宋体" w:hAnsi="宋体" w:cs="宋体"/>
          <w:bCs/>
          <w:color w:val="auto"/>
          <w:sz w:val="24"/>
          <w:highlight w:val="none"/>
        </w:rPr>
        <w:t>00秒（北京时间）前</w:t>
      </w:r>
      <w:r>
        <w:rPr>
          <w:rFonts w:hint="eastAsia" w:ascii="宋体" w:hAnsi="宋体" w:cs="宋体"/>
          <w:color w:val="auto"/>
          <w:sz w:val="24"/>
          <w:highlight w:val="none"/>
        </w:rPr>
        <w:t>递交（上传）投标文件。</w:t>
      </w:r>
    </w:p>
    <w:p w14:paraId="2892D0EE">
      <w:pPr>
        <w:spacing w:line="360" w:lineRule="auto"/>
        <w:rPr>
          <w:rFonts w:ascii="宋体" w:hAnsi="宋体" w:cs="宋体"/>
          <w:b/>
          <w:color w:val="auto"/>
          <w:sz w:val="24"/>
          <w:highlight w:val="none"/>
        </w:rPr>
      </w:pPr>
      <w:r>
        <w:rPr>
          <w:rFonts w:hint="eastAsia" w:ascii="宋体" w:hAnsi="宋体" w:cs="宋体"/>
          <w:b/>
          <w:color w:val="auto"/>
          <w:sz w:val="24"/>
          <w:highlight w:val="none"/>
        </w:rPr>
        <w:t xml:space="preserve">一、项目基本情况                                            </w:t>
      </w:r>
    </w:p>
    <w:p w14:paraId="4684AE93">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 xml:space="preserve">    项目编号：</w:t>
      </w:r>
      <w:r>
        <w:rPr>
          <w:rFonts w:hint="eastAsia" w:ascii="宋体" w:hAnsi="宋体" w:cs="宋体"/>
          <w:color w:val="auto"/>
          <w:sz w:val="24"/>
          <w:highlight w:val="none"/>
          <w:lang w:eastAsia="zh-CN"/>
        </w:rPr>
        <w:t>BHZC2026-G3-990114-CGZX</w:t>
      </w:r>
    </w:p>
    <w:p w14:paraId="38C5A75B">
      <w:pPr>
        <w:spacing w:line="360" w:lineRule="auto"/>
        <w:rPr>
          <w:rFonts w:hint="eastAsia" w:ascii="宋体" w:hAnsi="宋体" w:eastAsia="宋体" w:cs="宋体"/>
          <w:color w:val="auto"/>
          <w:sz w:val="24"/>
          <w:highlight w:val="none"/>
          <w:lang w:eastAsia="zh-CN"/>
        </w:rPr>
      </w:pPr>
      <w:r>
        <w:rPr>
          <w:rFonts w:hint="eastAsia" w:ascii="宋体" w:hAnsi="宋体" w:cs="宋体"/>
          <w:color w:val="auto"/>
          <w:sz w:val="24"/>
          <w:highlight w:val="none"/>
        </w:rPr>
        <w:t xml:space="preserve">    项目名称：</w:t>
      </w:r>
      <w:r>
        <w:rPr>
          <w:rFonts w:hint="eastAsia" w:ascii="宋体" w:hAnsi="宋体" w:cs="宋体"/>
          <w:color w:val="auto"/>
          <w:sz w:val="24"/>
          <w:highlight w:val="none"/>
          <w:lang w:eastAsia="zh-CN"/>
        </w:rPr>
        <w:t>2026-2028年市直教育系统物业服务项目</w:t>
      </w:r>
    </w:p>
    <w:p w14:paraId="6AEB9DFB">
      <w:pPr>
        <w:snapToGrid w:val="0"/>
        <w:spacing w:line="360" w:lineRule="auto"/>
        <w:rPr>
          <w:rFonts w:hint="eastAsia" w:ascii="宋体" w:hAnsi="宋体" w:cs="宋体"/>
          <w:color w:val="auto"/>
          <w:sz w:val="24"/>
          <w:highlight w:val="none"/>
        </w:rPr>
      </w:pPr>
      <w:r>
        <w:rPr>
          <w:rFonts w:hint="eastAsia" w:ascii="宋体" w:hAnsi="宋体" w:cs="宋体"/>
          <w:color w:val="auto"/>
          <w:sz w:val="24"/>
          <w:highlight w:val="none"/>
        </w:rPr>
        <w:t xml:space="preserve">    预算金额（元）：24,311,200.00</w:t>
      </w:r>
    </w:p>
    <w:p w14:paraId="2DAD3D7D">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采购需求： </w:t>
      </w:r>
    </w:p>
    <w:p w14:paraId="285FBBA2">
      <w:pPr>
        <w:snapToGrid w:val="0"/>
        <w:spacing w:line="360" w:lineRule="auto"/>
        <w:ind w:firstLine="480" w:firstLineChars="200"/>
        <w:rPr>
          <w:rFonts w:ascii="宋体" w:hAnsi="宋体" w:cs="宋体"/>
          <w:color w:val="auto"/>
          <w:sz w:val="24"/>
          <w:highlight w:val="none"/>
        </w:rPr>
      </w:pPr>
    </w:p>
    <w:p w14:paraId="0D7CB953">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标项一</w:t>
      </w:r>
    </w:p>
    <w:p w14:paraId="210248B2">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标项名称: 物业服务1</w:t>
      </w:r>
    </w:p>
    <w:p w14:paraId="787C2E39">
      <w:pPr>
        <w:snapToGrid w:val="0"/>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数量:</w:t>
      </w:r>
      <w:r>
        <w:rPr>
          <w:rFonts w:hint="eastAsia" w:ascii="宋体" w:hAnsi="宋体" w:cs="宋体"/>
          <w:color w:val="auto"/>
          <w:sz w:val="24"/>
          <w:highlight w:val="none"/>
          <w:lang w:val="en-US" w:eastAsia="zh-CN"/>
        </w:rPr>
        <w:t>1项</w:t>
      </w:r>
    </w:p>
    <w:p w14:paraId="0E5766B1">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预算金额（元）: </w:t>
      </w:r>
      <w:r>
        <w:rPr>
          <w:rFonts w:hint="eastAsia" w:ascii="宋体" w:hAnsi="宋体" w:cs="宋体"/>
          <w:color w:val="auto"/>
          <w:sz w:val="24"/>
          <w:highlight w:val="none"/>
          <w:lang w:val="en-US" w:eastAsia="zh-CN"/>
        </w:rPr>
        <w:t>76331</w:t>
      </w:r>
      <w:r>
        <w:rPr>
          <w:rFonts w:ascii="宋体" w:hAnsi="宋体" w:cs="宋体"/>
          <w:color w:val="auto"/>
          <w:sz w:val="24"/>
          <w:highlight w:val="none"/>
        </w:rPr>
        <w:t>00</w:t>
      </w:r>
    </w:p>
    <w:p w14:paraId="1CA491C5">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简要规格描述或项目基本概况介绍、用途：</w:t>
      </w:r>
      <w:r>
        <w:rPr>
          <w:rFonts w:hint="eastAsia" w:ascii="宋体" w:hAnsi="宋体" w:cs="宋体"/>
          <w:color w:val="auto"/>
          <w:sz w:val="24"/>
          <w:highlight w:val="none"/>
          <w:lang w:eastAsia="zh-CN"/>
        </w:rPr>
        <w:t>为北海市第七幼儿园、北海市第十二中学、北海市北海中学、北海市卫生学校共</w:t>
      </w:r>
      <w:r>
        <w:rPr>
          <w:rFonts w:hint="eastAsia" w:ascii="宋体" w:hAnsi="宋体" w:cs="宋体"/>
          <w:color w:val="auto"/>
          <w:sz w:val="24"/>
          <w:highlight w:val="none"/>
          <w:lang w:val="en-US" w:eastAsia="zh-CN"/>
        </w:rPr>
        <w:t>4所学校提供</w:t>
      </w:r>
      <w:r>
        <w:rPr>
          <w:rFonts w:hint="eastAsia" w:ascii="宋体" w:hAnsi="宋体" w:cs="宋体"/>
          <w:color w:val="auto"/>
          <w:sz w:val="24"/>
          <w:highlight w:val="none"/>
          <w:lang w:eastAsia="zh-CN"/>
        </w:rPr>
        <w:t>物业服务</w:t>
      </w:r>
      <w:r>
        <w:rPr>
          <w:rFonts w:hint="eastAsia" w:ascii="宋体" w:hAnsi="宋体" w:cs="宋体"/>
          <w:color w:val="auto"/>
          <w:sz w:val="24"/>
          <w:highlight w:val="none"/>
        </w:rPr>
        <w:t>。</w:t>
      </w:r>
      <w:r>
        <w:rPr>
          <w:rFonts w:hint="eastAsia" w:ascii="宋体" w:hAnsi="宋体" w:cs="宋体"/>
          <w:color w:val="auto"/>
          <w:sz w:val="24"/>
          <w:highlight w:val="none"/>
          <w:lang w:eastAsia="zh-CN"/>
        </w:rPr>
        <w:t>具体要求和内容</w:t>
      </w:r>
      <w:r>
        <w:rPr>
          <w:rFonts w:hint="eastAsia" w:ascii="宋体" w:hAnsi="宋体" w:cs="宋体"/>
          <w:color w:val="auto"/>
          <w:sz w:val="24"/>
          <w:highlight w:val="none"/>
        </w:rPr>
        <w:t>详见招标文件。</w:t>
      </w:r>
    </w:p>
    <w:p w14:paraId="2C16B2B0">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最高限价（如有）：/</w:t>
      </w:r>
    </w:p>
    <w:p w14:paraId="14AFC4CE">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合同履约期限：自合同签订之日并开始履行之日起2年。</w:t>
      </w:r>
    </w:p>
    <w:p w14:paraId="43C64E47">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本标项（否）接受联合体投标</w:t>
      </w:r>
    </w:p>
    <w:p w14:paraId="0106044E">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备注：</w:t>
      </w:r>
    </w:p>
    <w:p w14:paraId="5454DA30">
      <w:pPr>
        <w:snapToGrid w:val="0"/>
        <w:spacing w:line="360" w:lineRule="auto"/>
        <w:ind w:firstLine="480" w:firstLineChars="200"/>
        <w:rPr>
          <w:rFonts w:ascii="宋体" w:hAnsi="宋体" w:cs="宋体"/>
          <w:color w:val="auto"/>
          <w:sz w:val="24"/>
          <w:highlight w:val="none"/>
        </w:rPr>
      </w:pPr>
    </w:p>
    <w:p w14:paraId="12D615D5">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标项二</w:t>
      </w:r>
    </w:p>
    <w:p w14:paraId="3CF791AF">
      <w:pPr>
        <w:snapToGrid w:val="0"/>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 xml:space="preserve">标项名称: </w:t>
      </w:r>
      <w:bookmarkStart w:id="14" w:name="OLE_LINK33"/>
      <w:r>
        <w:rPr>
          <w:rFonts w:hint="eastAsia" w:ascii="宋体" w:hAnsi="宋体" w:cs="宋体"/>
          <w:color w:val="auto"/>
          <w:sz w:val="24"/>
          <w:highlight w:val="none"/>
        </w:rPr>
        <w:t>物业服务</w:t>
      </w:r>
      <w:r>
        <w:rPr>
          <w:rFonts w:hint="eastAsia" w:ascii="宋体" w:hAnsi="宋体" w:cs="宋体"/>
          <w:color w:val="auto"/>
          <w:sz w:val="24"/>
          <w:highlight w:val="none"/>
          <w:lang w:val="en-US" w:eastAsia="zh-CN"/>
        </w:rPr>
        <w:t>2</w:t>
      </w:r>
    </w:p>
    <w:bookmarkEnd w:id="14"/>
    <w:p w14:paraId="5E75C2F9">
      <w:pPr>
        <w:snapToGrid w:val="0"/>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数量:</w:t>
      </w:r>
      <w:r>
        <w:rPr>
          <w:rFonts w:hint="eastAsia" w:ascii="宋体" w:hAnsi="宋体" w:cs="宋体"/>
          <w:color w:val="auto"/>
          <w:sz w:val="24"/>
          <w:highlight w:val="none"/>
          <w:lang w:val="en-US" w:eastAsia="zh-CN"/>
        </w:rPr>
        <w:t>1项</w:t>
      </w:r>
    </w:p>
    <w:p w14:paraId="1181F3D4">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预算金额（元）: </w:t>
      </w:r>
      <w:r>
        <w:rPr>
          <w:rFonts w:hint="eastAsia" w:ascii="宋体" w:hAnsi="宋体" w:cs="宋体"/>
          <w:color w:val="auto"/>
          <w:sz w:val="24"/>
          <w:highlight w:val="none"/>
          <w:lang w:val="en-US" w:eastAsia="zh-CN"/>
        </w:rPr>
        <w:t>65923</w:t>
      </w:r>
      <w:r>
        <w:rPr>
          <w:rFonts w:hint="eastAsia" w:ascii="宋体" w:hAnsi="宋体" w:cs="宋体"/>
          <w:color w:val="auto"/>
          <w:sz w:val="24"/>
          <w:highlight w:val="none"/>
        </w:rPr>
        <w:t>00</w:t>
      </w:r>
    </w:p>
    <w:p w14:paraId="1381D140">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简要规格描述或项目基本概况介绍、用途：</w:t>
      </w:r>
      <w:r>
        <w:rPr>
          <w:rFonts w:hint="eastAsia" w:ascii="宋体" w:hAnsi="宋体" w:cs="宋体"/>
          <w:color w:val="auto"/>
          <w:sz w:val="24"/>
          <w:highlight w:val="none"/>
          <w:lang w:eastAsia="zh-CN"/>
        </w:rPr>
        <w:t>为北海市第六幼儿园、北海市第二中学、北海市第六中学、北海市第十一中学、北海市中等职业技术学校共</w:t>
      </w:r>
      <w:r>
        <w:rPr>
          <w:rFonts w:hint="eastAsia" w:ascii="宋体" w:hAnsi="宋体" w:cs="宋体"/>
          <w:color w:val="auto"/>
          <w:sz w:val="24"/>
          <w:highlight w:val="none"/>
          <w:lang w:val="en-US" w:eastAsia="zh-CN"/>
        </w:rPr>
        <w:t>5所学校提供</w:t>
      </w:r>
      <w:r>
        <w:rPr>
          <w:rFonts w:hint="eastAsia" w:ascii="宋体" w:hAnsi="宋体" w:cs="宋体"/>
          <w:color w:val="auto"/>
          <w:sz w:val="24"/>
          <w:highlight w:val="none"/>
          <w:lang w:eastAsia="zh-CN"/>
        </w:rPr>
        <w:t>物业服务</w:t>
      </w:r>
      <w:r>
        <w:rPr>
          <w:rFonts w:hint="eastAsia" w:ascii="宋体" w:hAnsi="宋体" w:cs="宋体"/>
          <w:color w:val="auto"/>
          <w:sz w:val="24"/>
          <w:highlight w:val="none"/>
        </w:rPr>
        <w:t>。</w:t>
      </w:r>
      <w:r>
        <w:rPr>
          <w:rFonts w:hint="eastAsia" w:ascii="宋体" w:hAnsi="宋体" w:cs="宋体"/>
          <w:color w:val="auto"/>
          <w:sz w:val="24"/>
          <w:highlight w:val="none"/>
          <w:lang w:eastAsia="zh-CN"/>
        </w:rPr>
        <w:t>具体要求和内容</w:t>
      </w:r>
      <w:r>
        <w:rPr>
          <w:rFonts w:hint="eastAsia" w:ascii="宋体" w:hAnsi="宋体" w:cs="宋体"/>
          <w:color w:val="auto"/>
          <w:sz w:val="24"/>
          <w:highlight w:val="none"/>
        </w:rPr>
        <w:t>详见招标文件。</w:t>
      </w:r>
    </w:p>
    <w:p w14:paraId="09475E8E">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最高限价（如有）：/</w:t>
      </w:r>
    </w:p>
    <w:p w14:paraId="1E2F90BB">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合同履约期限：自合同签订之日并开始履行之日起2年。</w:t>
      </w:r>
    </w:p>
    <w:p w14:paraId="1C17DDEE">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本标项（否）接受联合体投标</w:t>
      </w:r>
    </w:p>
    <w:p w14:paraId="50A7ECB5">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备注：</w:t>
      </w:r>
    </w:p>
    <w:p w14:paraId="01C5A468">
      <w:pPr>
        <w:snapToGrid w:val="0"/>
        <w:spacing w:line="360" w:lineRule="auto"/>
        <w:ind w:firstLine="480" w:firstLineChars="200"/>
        <w:rPr>
          <w:rFonts w:ascii="宋体" w:hAnsi="宋体" w:cs="宋体"/>
          <w:color w:val="auto"/>
          <w:sz w:val="24"/>
          <w:highlight w:val="none"/>
        </w:rPr>
      </w:pPr>
    </w:p>
    <w:p w14:paraId="5825EF59">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标项三</w:t>
      </w:r>
    </w:p>
    <w:p w14:paraId="4F6635E1">
      <w:pPr>
        <w:snapToGrid w:val="0"/>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 xml:space="preserve">标项名称: </w:t>
      </w:r>
      <w:bookmarkStart w:id="15" w:name="OLE_LINK34"/>
      <w:bookmarkStart w:id="16" w:name="OLE_LINK35"/>
      <w:r>
        <w:rPr>
          <w:rFonts w:hint="eastAsia" w:ascii="宋体" w:hAnsi="宋体" w:cs="宋体"/>
          <w:color w:val="auto"/>
          <w:sz w:val="24"/>
          <w:highlight w:val="none"/>
        </w:rPr>
        <w:t>物业服务</w:t>
      </w:r>
      <w:r>
        <w:rPr>
          <w:rFonts w:hint="eastAsia" w:ascii="宋体" w:hAnsi="宋体" w:cs="宋体"/>
          <w:color w:val="auto"/>
          <w:sz w:val="24"/>
          <w:highlight w:val="none"/>
          <w:lang w:val="en-US" w:eastAsia="zh-CN"/>
        </w:rPr>
        <w:t>3</w:t>
      </w:r>
    </w:p>
    <w:bookmarkEnd w:id="15"/>
    <w:bookmarkEnd w:id="16"/>
    <w:p w14:paraId="0C593D92">
      <w:pPr>
        <w:snapToGrid w:val="0"/>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 xml:space="preserve">数量: </w:t>
      </w:r>
      <w:r>
        <w:rPr>
          <w:rFonts w:hint="eastAsia" w:ascii="宋体" w:hAnsi="宋体" w:cs="宋体"/>
          <w:color w:val="auto"/>
          <w:sz w:val="24"/>
          <w:highlight w:val="none"/>
          <w:lang w:val="en-US" w:eastAsia="zh-CN"/>
        </w:rPr>
        <w:t>1项</w:t>
      </w:r>
    </w:p>
    <w:p w14:paraId="59AF8FCC">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预算金额（元）: </w:t>
      </w:r>
      <w:r>
        <w:rPr>
          <w:rFonts w:hint="eastAsia" w:ascii="宋体" w:hAnsi="宋体" w:cs="宋体"/>
          <w:color w:val="auto"/>
          <w:sz w:val="24"/>
          <w:highlight w:val="none"/>
          <w:lang w:val="en-US" w:eastAsia="zh-CN"/>
        </w:rPr>
        <w:t>54910</w:t>
      </w:r>
      <w:r>
        <w:rPr>
          <w:rFonts w:hint="eastAsia" w:ascii="宋体" w:hAnsi="宋体" w:cs="宋体"/>
          <w:color w:val="auto"/>
          <w:sz w:val="24"/>
          <w:highlight w:val="none"/>
        </w:rPr>
        <w:t>00</w:t>
      </w:r>
    </w:p>
    <w:p w14:paraId="0C16ACAA">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简要规格描述或项目基本概况介绍、用途</w:t>
      </w:r>
      <w:r>
        <w:rPr>
          <w:rFonts w:hint="eastAsia" w:ascii="宋体" w:hAnsi="宋体" w:cs="宋体"/>
          <w:color w:val="auto"/>
          <w:sz w:val="24"/>
          <w:highlight w:val="none"/>
          <w:lang w:eastAsia="zh-CN"/>
        </w:rPr>
        <w:t>：为北海市第一幼儿园、北海市第二幼儿园、北海市第三幼儿园、北海市第一中学、北海市第五中学、北海市第八中学、北海市第十三中学、北海市特殊教育学校、北海市实验学校、北海市外国语实验学校共</w:t>
      </w:r>
      <w:r>
        <w:rPr>
          <w:rFonts w:hint="eastAsia" w:ascii="宋体" w:hAnsi="宋体" w:cs="宋体"/>
          <w:color w:val="auto"/>
          <w:sz w:val="24"/>
          <w:highlight w:val="none"/>
          <w:lang w:val="en-US" w:eastAsia="zh-CN"/>
        </w:rPr>
        <w:t>10所学校提供</w:t>
      </w:r>
      <w:r>
        <w:rPr>
          <w:rFonts w:hint="eastAsia" w:ascii="宋体" w:hAnsi="宋体" w:cs="宋体"/>
          <w:color w:val="auto"/>
          <w:sz w:val="24"/>
          <w:highlight w:val="none"/>
          <w:lang w:eastAsia="zh-CN"/>
        </w:rPr>
        <w:t>物业服务</w:t>
      </w:r>
      <w:r>
        <w:rPr>
          <w:rFonts w:hint="eastAsia" w:ascii="宋体" w:hAnsi="宋体" w:cs="宋体"/>
          <w:color w:val="auto"/>
          <w:sz w:val="24"/>
          <w:highlight w:val="none"/>
        </w:rPr>
        <w:t>。</w:t>
      </w:r>
      <w:r>
        <w:rPr>
          <w:rFonts w:hint="eastAsia" w:ascii="宋体" w:hAnsi="宋体" w:cs="宋体"/>
          <w:color w:val="auto"/>
          <w:sz w:val="24"/>
          <w:highlight w:val="none"/>
          <w:lang w:eastAsia="zh-CN"/>
        </w:rPr>
        <w:t>具体要求和内容</w:t>
      </w:r>
      <w:r>
        <w:rPr>
          <w:rFonts w:hint="eastAsia" w:ascii="宋体" w:hAnsi="宋体" w:cs="宋体"/>
          <w:color w:val="auto"/>
          <w:sz w:val="24"/>
          <w:highlight w:val="none"/>
        </w:rPr>
        <w:t>详见招标文件。</w:t>
      </w:r>
    </w:p>
    <w:p w14:paraId="3AAD68B7">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最高限价（如有）：/</w:t>
      </w:r>
    </w:p>
    <w:p w14:paraId="1986072F">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合同履约期限：自合同签订之日并开始履行之日起2年。</w:t>
      </w:r>
    </w:p>
    <w:p w14:paraId="01BC286C">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本标项（否）接受联合体投标</w:t>
      </w:r>
    </w:p>
    <w:p w14:paraId="2183FD33">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备注：</w:t>
      </w:r>
    </w:p>
    <w:p w14:paraId="4A9AD1A4">
      <w:pPr>
        <w:snapToGrid w:val="0"/>
        <w:spacing w:line="360" w:lineRule="auto"/>
        <w:ind w:firstLine="480" w:firstLineChars="200"/>
        <w:rPr>
          <w:rFonts w:ascii="宋体" w:hAnsi="宋体" w:cs="宋体"/>
          <w:color w:val="auto"/>
          <w:sz w:val="24"/>
          <w:highlight w:val="none"/>
        </w:rPr>
      </w:pPr>
    </w:p>
    <w:p w14:paraId="7BF92751">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标项四</w:t>
      </w:r>
    </w:p>
    <w:p w14:paraId="78224726">
      <w:pPr>
        <w:snapToGrid w:val="0"/>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标项名称: 物业服务</w:t>
      </w:r>
      <w:r>
        <w:rPr>
          <w:rFonts w:hint="eastAsia" w:ascii="宋体" w:hAnsi="宋体" w:cs="宋体"/>
          <w:color w:val="auto"/>
          <w:sz w:val="24"/>
          <w:highlight w:val="none"/>
          <w:lang w:val="en-US" w:eastAsia="zh-CN"/>
        </w:rPr>
        <w:t>4</w:t>
      </w:r>
    </w:p>
    <w:p w14:paraId="7D7424A4">
      <w:pPr>
        <w:snapToGrid w:val="0"/>
        <w:spacing w:line="360" w:lineRule="auto"/>
        <w:ind w:firstLine="480" w:firstLineChars="200"/>
        <w:rPr>
          <w:rFonts w:hint="eastAsia" w:ascii="宋体" w:hAnsi="宋体" w:cs="宋体"/>
          <w:color w:val="auto"/>
          <w:sz w:val="24"/>
          <w:highlight w:val="none"/>
          <w:lang w:val="en-US" w:eastAsia="zh-CN"/>
        </w:rPr>
      </w:pPr>
      <w:r>
        <w:rPr>
          <w:rFonts w:hint="eastAsia" w:ascii="宋体" w:hAnsi="宋体" w:cs="宋体"/>
          <w:color w:val="auto"/>
          <w:sz w:val="24"/>
          <w:highlight w:val="none"/>
        </w:rPr>
        <w:t xml:space="preserve">数量: </w:t>
      </w:r>
      <w:r>
        <w:rPr>
          <w:rFonts w:hint="eastAsia" w:ascii="宋体" w:hAnsi="宋体" w:cs="宋体"/>
          <w:color w:val="auto"/>
          <w:sz w:val="24"/>
          <w:highlight w:val="none"/>
          <w:lang w:val="en-US" w:eastAsia="zh-CN"/>
        </w:rPr>
        <w:t>1项</w:t>
      </w:r>
    </w:p>
    <w:p w14:paraId="4747EF73">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预算金额（元）: </w:t>
      </w:r>
      <w:r>
        <w:rPr>
          <w:rFonts w:hint="eastAsia" w:ascii="宋体" w:hAnsi="宋体" w:cs="宋体"/>
          <w:color w:val="auto"/>
          <w:sz w:val="24"/>
          <w:highlight w:val="none"/>
          <w:lang w:val="en-US" w:eastAsia="zh-CN"/>
        </w:rPr>
        <w:t>45948</w:t>
      </w:r>
      <w:r>
        <w:rPr>
          <w:rFonts w:hint="eastAsia" w:ascii="宋体" w:hAnsi="宋体" w:cs="宋体"/>
          <w:color w:val="auto"/>
          <w:sz w:val="24"/>
          <w:highlight w:val="none"/>
        </w:rPr>
        <w:t>00</w:t>
      </w:r>
    </w:p>
    <w:p w14:paraId="21241EE5">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简要规格描述或项目基本概况介绍、用途：</w:t>
      </w:r>
      <w:r>
        <w:rPr>
          <w:rFonts w:hint="eastAsia" w:ascii="宋体" w:hAnsi="宋体" w:cs="宋体"/>
          <w:color w:val="auto"/>
          <w:sz w:val="24"/>
          <w:highlight w:val="none"/>
          <w:lang w:eastAsia="zh-CN"/>
        </w:rPr>
        <w:t>为</w:t>
      </w:r>
      <w:r>
        <w:rPr>
          <w:rFonts w:hint="eastAsia" w:ascii="宋体" w:hAnsi="宋体" w:cs="宋体"/>
          <w:color w:val="auto"/>
          <w:sz w:val="24"/>
          <w:highlight w:val="none"/>
        </w:rPr>
        <w:t>北海市机关幼儿园（北海市涠洲岛幼儿园）</w:t>
      </w:r>
      <w:r>
        <w:rPr>
          <w:rFonts w:hint="eastAsia" w:ascii="宋体" w:hAnsi="宋体" w:cs="宋体"/>
          <w:color w:val="auto"/>
          <w:sz w:val="24"/>
          <w:highlight w:val="none"/>
          <w:lang w:eastAsia="zh-CN"/>
        </w:rPr>
        <w:t>、</w:t>
      </w:r>
      <w:r>
        <w:rPr>
          <w:rFonts w:hint="eastAsia" w:ascii="宋体" w:hAnsi="宋体" w:cs="宋体"/>
          <w:color w:val="auto"/>
          <w:sz w:val="24"/>
          <w:highlight w:val="none"/>
        </w:rPr>
        <w:t>北海市政府机关幼儿园</w:t>
      </w:r>
      <w:r>
        <w:rPr>
          <w:rFonts w:hint="eastAsia" w:ascii="宋体" w:hAnsi="宋体" w:cs="宋体"/>
          <w:color w:val="auto"/>
          <w:sz w:val="24"/>
          <w:highlight w:val="none"/>
          <w:lang w:eastAsia="zh-CN"/>
        </w:rPr>
        <w:t>、</w:t>
      </w:r>
      <w:r>
        <w:rPr>
          <w:rFonts w:hint="eastAsia" w:ascii="宋体" w:hAnsi="宋体" w:cs="宋体"/>
          <w:color w:val="auto"/>
          <w:sz w:val="24"/>
          <w:highlight w:val="none"/>
        </w:rPr>
        <w:t>北海市第五幼儿园</w:t>
      </w:r>
      <w:r>
        <w:rPr>
          <w:rFonts w:hint="eastAsia" w:ascii="宋体" w:hAnsi="宋体" w:cs="宋体"/>
          <w:color w:val="auto"/>
          <w:sz w:val="24"/>
          <w:highlight w:val="none"/>
          <w:lang w:eastAsia="zh-CN"/>
        </w:rPr>
        <w:t>、</w:t>
      </w:r>
      <w:r>
        <w:rPr>
          <w:rFonts w:hint="eastAsia" w:ascii="宋体" w:hAnsi="宋体" w:cs="宋体"/>
          <w:color w:val="auto"/>
          <w:sz w:val="24"/>
          <w:highlight w:val="none"/>
        </w:rPr>
        <w:t>北海市第三中学</w:t>
      </w:r>
      <w:r>
        <w:rPr>
          <w:rFonts w:hint="eastAsia" w:ascii="宋体" w:hAnsi="宋体" w:cs="宋体"/>
          <w:color w:val="auto"/>
          <w:sz w:val="24"/>
          <w:highlight w:val="none"/>
          <w:lang w:eastAsia="zh-CN"/>
        </w:rPr>
        <w:t>、</w:t>
      </w:r>
      <w:r>
        <w:rPr>
          <w:rFonts w:hint="eastAsia" w:ascii="宋体" w:hAnsi="宋体" w:cs="宋体"/>
          <w:color w:val="auto"/>
          <w:sz w:val="24"/>
          <w:highlight w:val="none"/>
        </w:rPr>
        <w:t>北海市第七中学</w:t>
      </w:r>
      <w:r>
        <w:rPr>
          <w:rFonts w:hint="eastAsia" w:ascii="宋体" w:hAnsi="宋体" w:cs="宋体"/>
          <w:color w:val="auto"/>
          <w:sz w:val="24"/>
          <w:highlight w:val="none"/>
          <w:lang w:eastAsia="zh-CN"/>
        </w:rPr>
        <w:t>、</w:t>
      </w:r>
      <w:r>
        <w:rPr>
          <w:rFonts w:hint="eastAsia" w:ascii="宋体" w:hAnsi="宋体" w:cs="宋体"/>
          <w:color w:val="auto"/>
          <w:sz w:val="24"/>
          <w:highlight w:val="none"/>
        </w:rPr>
        <w:t>北海市第九中学</w:t>
      </w:r>
      <w:r>
        <w:rPr>
          <w:rFonts w:hint="eastAsia" w:ascii="宋体" w:hAnsi="宋体" w:cs="宋体"/>
          <w:color w:val="auto"/>
          <w:sz w:val="24"/>
          <w:highlight w:val="none"/>
          <w:lang w:eastAsia="zh-CN"/>
        </w:rPr>
        <w:t>、</w:t>
      </w:r>
      <w:r>
        <w:rPr>
          <w:rFonts w:hint="eastAsia" w:ascii="宋体" w:hAnsi="宋体" w:cs="宋体"/>
          <w:color w:val="auto"/>
          <w:sz w:val="24"/>
          <w:highlight w:val="none"/>
        </w:rPr>
        <w:t>北海市第十中学</w:t>
      </w:r>
      <w:r>
        <w:rPr>
          <w:rFonts w:hint="eastAsia" w:ascii="宋体" w:hAnsi="宋体" w:cs="宋体"/>
          <w:color w:val="auto"/>
          <w:sz w:val="24"/>
          <w:highlight w:val="none"/>
          <w:lang w:eastAsia="zh-CN"/>
        </w:rPr>
        <w:t>、</w:t>
      </w:r>
      <w:r>
        <w:rPr>
          <w:rFonts w:hint="eastAsia" w:ascii="宋体" w:hAnsi="宋体" w:cs="宋体"/>
          <w:color w:val="auto"/>
          <w:sz w:val="24"/>
          <w:highlight w:val="none"/>
        </w:rPr>
        <w:t>北海市第二十六中学</w:t>
      </w:r>
      <w:r>
        <w:rPr>
          <w:rFonts w:hint="eastAsia" w:ascii="宋体" w:hAnsi="宋体" w:cs="宋体"/>
          <w:color w:val="auto"/>
          <w:sz w:val="24"/>
          <w:highlight w:val="none"/>
          <w:lang w:eastAsia="zh-CN"/>
        </w:rPr>
        <w:t>、</w:t>
      </w:r>
      <w:r>
        <w:rPr>
          <w:rFonts w:hint="eastAsia" w:ascii="宋体" w:hAnsi="宋体" w:cs="宋体"/>
          <w:color w:val="auto"/>
          <w:sz w:val="24"/>
          <w:highlight w:val="none"/>
        </w:rPr>
        <w:t>北京市第八中学北海实验学校</w:t>
      </w:r>
      <w:r>
        <w:rPr>
          <w:rFonts w:hint="eastAsia" w:ascii="宋体" w:hAnsi="宋体" w:cs="宋体"/>
          <w:color w:val="auto"/>
          <w:sz w:val="24"/>
          <w:highlight w:val="none"/>
          <w:lang w:eastAsia="zh-CN"/>
        </w:rPr>
        <w:t>、</w:t>
      </w:r>
      <w:r>
        <w:rPr>
          <w:rFonts w:hint="eastAsia" w:ascii="宋体" w:hAnsi="宋体" w:cs="宋体"/>
          <w:color w:val="auto"/>
          <w:sz w:val="24"/>
          <w:highlight w:val="none"/>
        </w:rPr>
        <w:t>北京师范大学北海实验中学</w:t>
      </w:r>
      <w:r>
        <w:rPr>
          <w:rFonts w:hint="eastAsia" w:ascii="宋体" w:hAnsi="宋体" w:cs="宋体"/>
          <w:color w:val="auto"/>
          <w:sz w:val="24"/>
          <w:highlight w:val="none"/>
          <w:lang w:eastAsia="zh-CN"/>
        </w:rPr>
        <w:t>共</w:t>
      </w:r>
      <w:r>
        <w:rPr>
          <w:rFonts w:hint="eastAsia" w:ascii="宋体" w:hAnsi="宋体" w:cs="宋体"/>
          <w:color w:val="auto"/>
          <w:sz w:val="24"/>
          <w:highlight w:val="none"/>
          <w:lang w:val="en-US" w:eastAsia="zh-CN"/>
        </w:rPr>
        <w:t>10所学校提供</w:t>
      </w:r>
      <w:r>
        <w:rPr>
          <w:rFonts w:hint="eastAsia" w:ascii="宋体" w:hAnsi="宋体" w:cs="宋体"/>
          <w:color w:val="auto"/>
          <w:sz w:val="24"/>
          <w:highlight w:val="none"/>
          <w:lang w:eastAsia="zh-CN"/>
        </w:rPr>
        <w:t>物业服务</w:t>
      </w:r>
      <w:r>
        <w:rPr>
          <w:rFonts w:hint="eastAsia" w:ascii="宋体" w:hAnsi="宋体" w:cs="宋体"/>
          <w:color w:val="auto"/>
          <w:sz w:val="24"/>
          <w:highlight w:val="none"/>
        </w:rPr>
        <w:t>。</w:t>
      </w:r>
      <w:r>
        <w:rPr>
          <w:rFonts w:hint="eastAsia" w:ascii="宋体" w:hAnsi="宋体" w:cs="宋体"/>
          <w:color w:val="auto"/>
          <w:sz w:val="24"/>
          <w:highlight w:val="none"/>
          <w:lang w:eastAsia="zh-CN"/>
        </w:rPr>
        <w:t>具体要求和内容</w:t>
      </w:r>
      <w:r>
        <w:rPr>
          <w:rFonts w:hint="eastAsia" w:ascii="宋体" w:hAnsi="宋体" w:cs="宋体"/>
          <w:color w:val="auto"/>
          <w:sz w:val="24"/>
          <w:highlight w:val="none"/>
        </w:rPr>
        <w:t>详见招标文件。</w:t>
      </w:r>
    </w:p>
    <w:p w14:paraId="35C233B4">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最高限价（如有）：/</w:t>
      </w:r>
    </w:p>
    <w:p w14:paraId="409DBBB7">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合同履约期限：自合同签订之日并开始履行之日起2年。</w:t>
      </w:r>
    </w:p>
    <w:p w14:paraId="6AD6325E">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本标项（否）接受联合体投标</w:t>
      </w:r>
    </w:p>
    <w:p w14:paraId="7A174C78">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备注：</w:t>
      </w:r>
    </w:p>
    <w:p w14:paraId="4DE0FC89">
      <w:pPr>
        <w:snapToGrid w:val="0"/>
        <w:spacing w:line="360" w:lineRule="auto"/>
        <w:ind w:firstLine="480" w:firstLineChars="200"/>
        <w:rPr>
          <w:rFonts w:ascii="宋体" w:hAnsi="宋体" w:cs="宋体"/>
          <w:color w:val="auto"/>
          <w:sz w:val="24"/>
          <w:highlight w:val="none"/>
        </w:rPr>
      </w:pPr>
    </w:p>
    <w:p w14:paraId="5557D6FF">
      <w:pPr>
        <w:snapToGrid w:val="0"/>
        <w:spacing w:line="360" w:lineRule="auto"/>
        <w:rPr>
          <w:rFonts w:hint="eastAsia" w:ascii="宋体" w:hAnsi="宋体" w:cs="宋体"/>
          <w:b/>
          <w:color w:val="auto"/>
          <w:sz w:val="24"/>
          <w:highlight w:val="none"/>
        </w:rPr>
      </w:pPr>
      <w:r>
        <w:rPr>
          <w:rFonts w:hint="eastAsia" w:ascii="宋体" w:hAnsi="宋体" w:cs="宋体"/>
          <w:b/>
          <w:color w:val="auto"/>
          <w:sz w:val="24"/>
          <w:highlight w:val="none"/>
        </w:rPr>
        <w:t>二、申请人的资格要求：</w:t>
      </w:r>
    </w:p>
    <w:p w14:paraId="20295132">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1.满足《中华人民共和国政府采购法》第二十二条规定；</w:t>
      </w:r>
    </w:p>
    <w:p w14:paraId="7B41E801">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2.落实政府采购政策需满足的资格要求：标项一、二、三、四均专门面向中小企业采购，监狱企业、残疾人福利性单位视同小型和微型企业。</w:t>
      </w:r>
    </w:p>
    <w:p w14:paraId="15F15856">
      <w:pPr>
        <w:snapToGrid w:val="0"/>
        <w:spacing w:line="360" w:lineRule="auto"/>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3.本项目的特定资格要求：</w:t>
      </w:r>
      <w:r>
        <w:rPr>
          <w:rFonts w:hint="eastAsia" w:ascii="宋体" w:hAnsi="宋体" w:cs="宋体"/>
          <w:color w:val="auto"/>
          <w:sz w:val="24"/>
          <w:highlight w:val="none"/>
          <w:lang w:eastAsia="zh-CN"/>
        </w:rPr>
        <w:t>无。</w:t>
      </w:r>
    </w:p>
    <w:p w14:paraId="6E7825AA">
      <w:pPr>
        <w:snapToGrid w:val="0"/>
        <w:spacing w:line="360" w:lineRule="auto"/>
        <w:rPr>
          <w:rFonts w:ascii="宋体" w:hAnsi="宋体" w:cs="宋体"/>
          <w:b/>
          <w:color w:val="auto"/>
          <w:sz w:val="24"/>
          <w:highlight w:val="none"/>
        </w:rPr>
      </w:pPr>
      <w:r>
        <w:rPr>
          <w:rFonts w:hint="eastAsia" w:ascii="宋体" w:hAnsi="宋体" w:cs="宋体"/>
          <w:b/>
          <w:color w:val="auto"/>
          <w:sz w:val="24"/>
          <w:highlight w:val="none"/>
        </w:rPr>
        <w:t xml:space="preserve">三、获取招标文件 </w:t>
      </w:r>
    </w:p>
    <w:p w14:paraId="069D3C4A">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时间：</w:t>
      </w:r>
      <w:r>
        <w:rPr>
          <w:rFonts w:hint="eastAsia" w:ascii="宋体" w:hAnsi="宋体" w:cs="宋体"/>
          <w:color w:val="auto"/>
          <w:sz w:val="24"/>
          <w:highlight w:val="none"/>
          <w:u w:val="single"/>
          <w:lang w:eastAsia="zh-CN"/>
        </w:rPr>
        <w:t>2026年</w:t>
      </w:r>
      <w:r>
        <w:rPr>
          <w:rFonts w:hint="eastAsia" w:ascii="宋体" w:hAnsi="宋体" w:cs="宋体"/>
          <w:color w:val="auto"/>
          <w:sz w:val="24"/>
          <w:highlight w:val="none"/>
          <w:u w:val="single"/>
          <w:lang w:val="en-US" w:eastAsia="zh-CN"/>
        </w:rPr>
        <w:t>6月5日</w:t>
      </w:r>
      <w:r>
        <w:rPr>
          <w:rFonts w:hint="eastAsia" w:ascii="宋体" w:hAnsi="宋体" w:cs="宋体"/>
          <w:color w:val="auto"/>
          <w:sz w:val="24"/>
          <w:highlight w:val="none"/>
        </w:rPr>
        <w:t>至</w:t>
      </w:r>
      <w:r>
        <w:rPr>
          <w:rFonts w:hint="eastAsia" w:ascii="宋体" w:hAnsi="宋体" w:cs="宋体"/>
          <w:color w:val="auto"/>
          <w:sz w:val="24"/>
          <w:highlight w:val="none"/>
          <w:u w:val="single"/>
          <w:lang w:eastAsia="zh-CN"/>
        </w:rPr>
        <w:t>2026年</w:t>
      </w:r>
      <w:r>
        <w:rPr>
          <w:rFonts w:hint="eastAsia" w:ascii="宋体" w:hAnsi="宋体" w:cs="宋体"/>
          <w:color w:val="auto"/>
          <w:sz w:val="24"/>
          <w:highlight w:val="none"/>
          <w:u w:val="single"/>
          <w:lang w:val="en-US" w:eastAsia="zh-CN"/>
        </w:rPr>
        <w:t>6月12日</w:t>
      </w:r>
      <w:r>
        <w:rPr>
          <w:rFonts w:hint="eastAsia" w:ascii="宋体" w:hAnsi="宋体" w:cs="宋体"/>
          <w:color w:val="auto"/>
          <w:sz w:val="24"/>
          <w:highlight w:val="none"/>
        </w:rPr>
        <w:t>，每天上午00:00至12:00 ，下午12:00至23:59（北京时间，法定节假日除外）</w:t>
      </w:r>
    </w:p>
    <w:p w14:paraId="132072D3">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地点（网址）：广西政府采购云平台（https://www.gcy.zfcg.gxzf.gov.cn/） </w:t>
      </w:r>
    </w:p>
    <w:p w14:paraId="1F251349">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方式：供应商登录广西政府采购云平台（https://www.gcy.zfcg.gxzf.gov.cn/）在线申请获取采购文件（进入“项目采购”应用，在获取采购文件菜单中选择项目，申请获取采购文件）。 </w:t>
      </w:r>
    </w:p>
    <w:p w14:paraId="32227C3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售价（元）：0</w:t>
      </w:r>
      <w:r>
        <w:rPr>
          <w:rFonts w:hint="eastAsia" w:ascii="宋体" w:hAnsi="宋体" w:cs="宋体"/>
          <w:color w:val="auto"/>
          <w:sz w:val="24"/>
          <w:highlight w:val="none"/>
        </w:rPr>
        <w:tab/>
      </w:r>
    </w:p>
    <w:p w14:paraId="219C25BB">
      <w:pPr>
        <w:spacing w:line="360" w:lineRule="auto"/>
        <w:rPr>
          <w:rFonts w:ascii="宋体" w:hAnsi="宋体" w:cs="宋体"/>
          <w:b/>
          <w:color w:val="auto"/>
          <w:sz w:val="24"/>
          <w:highlight w:val="none"/>
        </w:rPr>
      </w:pPr>
      <w:r>
        <w:rPr>
          <w:rFonts w:hint="eastAsia" w:ascii="宋体" w:hAnsi="宋体" w:cs="宋体"/>
          <w:b/>
          <w:color w:val="auto"/>
          <w:sz w:val="24"/>
          <w:highlight w:val="none"/>
        </w:rPr>
        <w:t>四、提交投标文件截止时间、开标时间和地点</w:t>
      </w:r>
    </w:p>
    <w:p w14:paraId="5593620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提交投标文件截止时间：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single"/>
          <w:lang w:eastAsia="zh-CN"/>
        </w:rPr>
        <w:t>2026年</w:t>
      </w:r>
      <w:r>
        <w:rPr>
          <w:rFonts w:hint="eastAsia" w:ascii="宋体" w:hAnsi="宋体" w:cs="宋体"/>
          <w:color w:val="auto"/>
          <w:sz w:val="24"/>
          <w:highlight w:val="none"/>
          <w:u w:val="single"/>
          <w:lang w:val="en-US" w:eastAsia="zh-CN"/>
        </w:rPr>
        <w:t>6月29日9</w:t>
      </w:r>
      <w:r>
        <w:rPr>
          <w:rFonts w:hint="eastAsia" w:ascii="宋体" w:hAnsi="宋体" w:cs="宋体"/>
          <w:color w:val="auto"/>
          <w:sz w:val="24"/>
          <w:highlight w:val="none"/>
          <w:u w:val="single"/>
        </w:rPr>
        <w:t>点</w:t>
      </w:r>
      <w:r>
        <w:rPr>
          <w:rFonts w:hint="eastAsia" w:ascii="宋体" w:hAnsi="宋体" w:cs="宋体"/>
          <w:color w:val="auto"/>
          <w:sz w:val="24"/>
          <w:highlight w:val="none"/>
          <w:u w:val="single"/>
          <w:lang w:val="en-US" w:eastAsia="zh-CN"/>
        </w:rPr>
        <w:t>00</w:t>
      </w:r>
      <w:r>
        <w:rPr>
          <w:rFonts w:hint="eastAsia" w:ascii="宋体" w:hAnsi="宋体" w:cs="宋体"/>
          <w:color w:val="auto"/>
          <w:sz w:val="24"/>
          <w:highlight w:val="none"/>
          <w:u w:val="single"/>
        </w:rPr>
        <w:t>分00秒</w:t>
      </w:r>
      <w:r>
        <w:rPr>
          <w:rFonts w:hint="eastAsia" w:ascii="宋体" w:hAnsi="宋体" w:cs="宋体"/>
          <w:bCs/>
          <w:color w:val="auto"/>
          <w:sz w:val="24"/>
          <w:highlight w:val="none"/>
          <w:u w:val="single"/>
        </w:rPr>
        <w:t xml:space="preserve"> </w:t>
      </w:r>
      <w:r>
        <w:rPr>
          <w:rFonts w:hint="eastAsia" w:ascii="宋体" w:hAnsi="宋体" w:cs="宋体"/>
          <w:color w:val="auto"/>
          <w:sz w:val="24"/>
          <w:highlight w:val="none"/>
        </w:rPr>
        <w:t>（北京时间）</w:t>
      </w:r>
    </w:p>
    <w:p w14:paraId="25F0BD9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投标地点（网址）：广西政府采购云平台（https://www.gcy.zfcg.gxzf.gov.cn/） </w:t>
      </w:r>
    </w:p>
    <w:p w14:paraId="17846EC4">
      <w:pPr>
        <w:spacing w:line="360" w:lineRule="auto"/>
        <w:ind w:firstLine="480" w:firstLineChars="200"/>
        <w:rPr>
          <w:rFonts w:ascii="宋体" w:hAnsi="宋体" w:cs="宋体"/>
          <w:bCs/>
          <w:color w:val="auto"/>
          <w:sz w:val="24"/>
          <w:highlight w:val="none"/>
          <w:u w:val="single"/>
        </w:rPr>
      </w:pPr>
      <w:r>
        <w:rPr>
          <w:rFonts w:hint="eastAsia" w:ascii="宋体" w:hAnsi="宋体" w:cs="宋体"/>
          <w:color w:val="auto"/>
          <w:sz w:val="24"/>
          <w:highlight w:val="none"/>
        </w:rPr>
        <w:t>开标时间：</w:t>
      </w:r>
      <w:r>
        <w:rPr>
          <w:rFonts w:hint="eastAsia" w:ascii="宋体" w:hAnsi="宋体" w:cs="宋体"/>
          <w:color w:val="auto"/>
          <w:sz w:val="24"/>
          <w:highlight w:val="none"/>
          <w:u w:val="single"/>
          <w:lang w:eastAsia="zh-CN"/>
        </w:rPr>
        <w:t>2026年</w:t>
      </w:r>
      <w:r>
        <w:rPr>
          <w:rFonts w:hint="eastAsia" w:ascii="宋体" w:hAnsi="宋体" w:cs="宋体"/>
          <w:color w:val="auto"/>
          <w:sz w:val="24"/>
          <w:highlight w:val="none"/>
          <w:u w:val="single"/>
          <w:lang w:val="en-US" w:eastAsia="zh-CN"/>
        </w:rPr>
        <w:t>6月29日9</w:t>
      </w:r>
      <w:r>
        <w:rPr>
          <w:rFonts w:hint="eastAsia" w:ascii="宋体" w:hAnsi="宋体" w:cs="宋体"/>
          <w:color w:val="auto"/>
          <w:sz w:val="24"/>
          <w:highlight w:val="none"/>
          <w:u w:val="single"/>
        </w:rPr>
        <w:t>点</w:t>
      </w:r>
      <w:r>
        <w:rPr>
          <w:rFonts w:hint="eastAsia" w:ascii="宋体" w:hAnsi="宋体" w:cs="宋体"/>
          <w:color w:val="auto"/>
          <w:sz w:val="24"/>
          <w:highlight w:val="none"/>
          <w:u w:val="single"/>
          <w:lang w:val="en-US" w:eastAsia="zh-CN"/>
        </w:rPr>
        <w:t>00</w:t>
      </w:r>
      <w:r>
        <w:rPr>
          <w:rFonts w:hint="eastAsia" w:ascii="宋体" w:hAnsi="宋体" w:cs="宋体"/>
          <w:color w:val="auto"/>
          <w:sz w:val="24"/>
          <w:highlight w:val="none"/>
          <w:u w:val="single"/>
        </w:rPr>
        <w:t>分00秒</w:t>
      </w:r>
      <w:r>
        <w:rPr>
          <w:rFonts w:hint="eastAsia" w:ascii="宋体" w:hAnsi="宋体" w:cs="宋体"/>
          <w:bCs/>
          <w:color w:val="auto"/>
          <w:sz w:val="24"/>
          <w:highlight w:val="none"/>
          <w:u w:val="single"/>
        </w:rPr>
        <w:t xml:space="preserve"> </w:t>
      </w:r>
    </w:p>
    <w:p w14:paraId="13272B5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开标地点（网址）：广西政府采购云平台（https://www.gcy.zfcg.gxzf.gov.cn/）</w:t>
      </w:r>
    </w:p>
    <w:p w14:paraId="36D7C301">
      <w:pPr>
        <w:spacing w:line="360" w:lineRule="auto"/>
        <w:rPr>
          <w:rFonts w:ascii="宋体" w:hAnsi="宋体" w:cs="宋体"/>
          <w:color w:val="auto"/>
          <w:sz w:val="24"/>
          <w:highlight w:val="none"/>
        </w:rPr>
      </w:pPr>
      <w:r>
        <w:rPr>
          <w:rFonts w:hint="eastAsia" w:ascii="宋体" w:hAnsi="宋体" w:cs="宋体"/>
          <w:b/>
          <w:color w:val="auto"/>
          <w:sz w:val="24"/>
          <w:highlight w:val="none"/>
        </w:rPr>
        <w:t xml:space="preserve">五、公告期限 </w:t>
      </w:r>
    </w:p>
    <w:p w14:paraId="681A4AB7">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自本公告发布之日起5个工作日。</w:t>
      </w:r>
    </w:p>
    <w:p w14:paraId="487AAB44">
      <w:pPr>
        <w:spacing w:line="360" w:lineRule="auto"/>
        <w:rPr>
          <w:rFonts w:ascii="宋体" w:hAnsi="宋体" w:cs="宋体"/>
          <w:b/>
          <w:color w:val="auto"/>
          <w:sz w:val="24"/>
          <w:highlight w:val="none"/>
        </w:rPr>
      </w:pPr>
      <w:r>
        <w:rPr>
          <w:rFonts w:hint="eastAsia" w:ascii="宋体" w:hAnsi="宋体" w:cs="宋体"/>
          <w:b/>
          <w:color w:val="auto"/>
          <w:sz w:val="24"/>
          <w:highlight w:val="none"/>
        </w:rPr>
        <w:t>六、其他补充事宜</w:t>
      </w:r>
    </w:p>
    <w:p w14:paraId="27539F9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 1.投标保证金：无。</w:t>
      </w:r>
    </w:p>
    <w:p w14:paraId="5322576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2.本项目需要落实的政府采购政策：（1）支持中小企业发展：专门面向中小企业采购。（</w:t>
      </w:r>
      <w:r>
        <w:rPr>
          <w:rFonts w:hint="eastAsia" w:ascii="宋体" w:hAnsi="宋体" w:cs="宋体"/>
          <w:color w:val="auto"/>
          <w:sz w:val="24"/>
          <w:highlight w:val="none"/>
          <w:lang w:val="en-US" w:eastAsia="zh-CN"/>
        </w:rPr>
        <w:t>2</w:t>
      </w:r>
      <w:r>
        <w:rPr>
          <w:rFonts w:hint="eastAsia" w:ascii="宋体" w:hAnsi="宋体" w:cs="宋体"/>
          <w:color w:val="auto"/>
          <w:sz w:val="24"/>
          <w:highlight w:val="none"/>
        </w:rPr>
        <w:t>）支持监狱企业、残疾人福利性单位发展：监狱企业、残疾人福利性单位视同小型和微型企业。（</w:t>
      </w:r>
      <w:r>
        <w:rPr>
          <w:rFonts w:hint="eastAsia" w:ascii="宋体" w:hAnsi="宋体" w:cs="宋体"/>
          <w:color w:val="auto"/>
          <w:sz w:val="24"/>
          <w:highlight w:val="none"/>
          <w:lang w:val="en-US" w:eastAsia="zh-CN"/>
        </w:rPr>
        <w:t>3</w:t>
      </w:r>
      <w:r>
        <w:rPr>
          <w:rFonts w:hint="eastAsia" w:ascii="宋体" w:hAnsi="宋体" w:cs="宋体"/>
          <w:color w:val="auto"/>
          <w:sz w:val="24"/>
          <w:highlight w:val="none"/>
        </w:rPr>
        <w:t>）平等对待内外资企业和符合条件的破产重整企业。</w:t>
      </w:r>
    </w:p>
    <w:p w14:paraId="675BA17A">
      <w:pPr>
        <w:spacing w:line="360" w:lineRule="auto"/>
        <w:ind w:firstLine="480" w:firstLineChars="200"/>
        <w:rPr>
          <w:color w:val="auto"/>
          <w:highlight w:val="none"/>
        </w:rPr>
      </w:pPr>
      <w:r>
        <w:rPr>
          <w:rFonts w:hint="eastAsia" w:ascii="宋体" w:hAnsi="宋体" w:cs="宋体"/>
          <w:snapToGrid w:val="0"/>
          <w:color w:val="auto"/>
          <w:kern w:val="28"/>
          <w:sz w:val="24"/>
          <w:highlight w:val="none"/>
        </w:rPr>
        <w:t>3.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供应商中标后也可在“广西政府采购云”平台申请政采贷：操作路径：登录广西政府采购云平台-金融服务中心-【融资服务】，可在热门申请中选择产品直接申请。</w:t>
      </w:r>
    </w:p>
    <w:p w14:paraId="764F77E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4.网上公告媒体查询：中国政府采购网、广西政府采购网、北海市政府采购监管网、北海市人民政府网-北海市政府采购中心网站、全国公共资源交易平台（广西•北海）。</w:t>
      </w:r>
    </w:p>
    <w:p w14:paraId="28763629">
      <w:pPr>
        <w:keepNext w:val="0"/>
        <w:keepLines w:val="0"/>
        <w:pageBreakBefore w:val="0"/>
        <w:widowControl w:val="0"/>
        <w:kinsoku/>
        <w:wordWrap w:val="0"/>
        <w:overflowPunct/>
        <w:topLinePunct w:val="0"/>
        <w:autoSpaceDE/>
        <w:autoSpaceDN/>
        <w:bidi w:val="0"/>
        <w:adjustRightInd w:val="0"/>
        <w:snapToGrid/>
        <w:spacing w:line="360" w:lineRule="auto"/>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5.本项目通过广西政府采购云平台实行在线投标响应（电子投标），为确保网上操作合法、有效和安全，磋商供应商应当在磋商截止时间前完成在“广西政府采购云平台”的身份认证，确保在电子投标过程中能够对相关数据电文进行加密和使用电子签章。使用“广西政府采购云平台电子交易客户端”需要提前申领CA数字证书，CA证书申请操作指南下载地址（网上申请方式见网址：http://www.ccgp-guangxi.gov.cn/luban/detail?parentId=66479&amp;articleId=pSO9fZ16UrkQX4GkrKyqiA==&amp;utm=luban.luban-PC-38919.1085-pc-wsg-guangxi-secondPage-front.1.2e18f760d69611ed8f2cc9701088ccbf）（广西政府采购网）或（现场办理：https://www.gxca.com.cn/detail/detail?articleId=1546808615271264258&amp;classifyId=1546335737551556610&amp;pid=1546335679795990530（广西壮族自治区数字证书认证中心）。</w:t>
      </w:r>
    </w:p>
    <w:p w14:paraId="7352568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6.各供应商通过广西政府采购云平台参与政府采购项目投标需下载使用新版客户端，新版客户端下载路径：广西政府采购网（http://zfcg.gxzf.gov.cn/）—办事服务—下载专区—广西政府采购云平台新版客户端。电子响应文件制作与投送教程请登录广西政府采购云平台“服务中心-帮助文档-项目采购-操作流程-电子招投标-政府采购项目电子交易管理操作指南-供应商”。</w:t>
      </w:r>
    </w:p>
    <w:p w14:paraId="70630FA7">
      <w:pPr>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7.本项目采用（跨省）远程异地评标。</w:t>
      </w:r>
    </w:p>
    <w:p w14:paraId="309E2887">
      <w:pPr>
        <w:pStyle w:val="2"/>
        <w:rPr>
          <w:rFonts w:hint="default" w:eastAsia="宋体"/>
          <w:highlight w:val="none"/>
          <w:lang w:val="en-US" w:eastAsia="zh-CN"/>
        </w:rPr>
      </w:pPr>
      <w:r>
        <w:rPr>
          <w:rFonts w:hint="eastAsia" w:hAnsi="宋体" w:cs="宋体"/>
          <w:color w:val="auto"/>
          <w:sz w:val="24"/>
          <w:highlight w:val="none"/>
          <w:lang w:val="en-US" w:eastAsia="zh-CN"/>
        </w:rPr>
        <w:t>8.本项目划分为1、2、3、4四个分标，实行兼投不兼中，供应商可以同时参与多个分标投标，但只能中标一个分标。评标委员会严格按照1→2→3→4的顺序依次开展评审；若某供应商在前序分标被确定为第一中标候选人，该供应商不再进入后续所有分标的详细评审及中标候选人推荐环节，在后续所有分标评审中，评标委员会直接对其作符合性审查否决处理，后续分标从剩余有效投标人（不得少于3家）中正常评审。</w:t>
      </w:r>
    </w:p>
    <w:p w14:paraId="1E96288B">
      <w:pPr>
        <w:spacing w:line="360" w:lineRule="auto"/>
        <w:rPr>
          <w:rFonts w:ascii="宋体" w:hAnsi="宋体" w:cs="宋体"/>
          <w:b/>
          <w:color w:val="auto"/>
          <w:sz w:val="24"/>
          <w:highlight w:val="none"/>
        </w:rPr>
      </w:pPr>
      <w:r>
        <w:rPr>
          <w:rFonts w:hint="eastAsia" w:ascii="宋体" w:hAnsi="宋体" w:cs="宋体"/>
          <w:b/>
          <w:color w:val="auto"/>
          <w:sz w:val="24"/>
          <w:highlight w:val="none"/>
        </w:rPr>
        <w:t>七、对本次采购提出询问，请按以下方式联系</w:t>
      </w:r>
    </w:p>
    <w:p w14:paraId="1E4B72B0">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1.采购人信息</w:t>
      </w:r>
    </w:p>
    <w:p w14:paraId="1054BC45">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名    称：北海市教育局</w:t>
      </w:r>
    </w:p>
    <w:p w14:paraId="393314B0">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地    址：北海市海城区广东南路117号</w:t>
      </w:r>
    </w:p>
    <w:p w14:paraId="6A9B8684">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项目联系人：刘小玲</w:t>
      </w:r>
      <w:r>
        <w:rPr>
          <w:rFonts w:hint="eastAsia" w:ascii="宋体" w:hAnsi="宋体" w:cs="宋体"/>
          <w:color w:val="auto"/>
          <w:sz w:val="24"/>
          <w:highlight w:val="none"/>
        </w:rPr>
        <w:tab/>
      </w:r>
    </w:p>
    <w:p w14:paraId="098A946B">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项目联系方式：0779-3200981</w:t>
      </w:r>
      <w:r>
        <w:rPr>
          <w:rFonts w:hint="eastAsia" w:ascii="宋体" w:hAnsi="宋体" w:cs="宋体"/>
          <w:color w:val="auto"/>
          <w:sz w:val="24"/>
          <w:highlight w:val="none"/>
        </w:rPr>
        <w:tab/>
      </w:r>
    </w:p>
    <w:p w14:paraId="6BE723AA">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2.采购代理机构信息            </w:t>
      </w:r>
    </w:p>
    <w:p w14:paraId="7D2825B6">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名    称：北海市政府采购中心             </w:t>
      </w:r>
    </w:p>
    <w:p w14:paraId="57AFE0F0">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地    址：北海市海城区陈文村北路7号市直机关第三办公区2号楼一层           </w:t>
      </w:r>
    </w:p>
    <w:p w14:paraId="5DBC91DA">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项目联系人(询问)：</w:t>
      </w:r>
      <w:r>
        <w:rPr>
          <w:rFonts w:hint="eastAsia" w:ascii="宋体" w:hAnsi="宋体" w:cs="宋体"/>
          <w:color w:val="auto"/>
          <w:sz w:val="24"/>
          <w:highlight w:val="none"/>
          <w:lang w:eastAsia="zh-CN"/>
        </w:rPr>
        <w:t>费慧栋、张文敏</w:t>
      </w:r>
      <w:r>
        <w:rPr>
          <w:rFonts w:hint="eastAsia" w:ascii="宋体" w:hAnsi="宋体" w:cs="宋体"/>
          <w:color w:val="auto"/>
          <w:sz w:val="24"/>
          <w:highlight w:val="none"/>
        </w:rPr>
        <w:t xml:space="preserve">            </w:t>
      </w:r>
    </w:p>
    <w:p w14:paraId="18FCA56B">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项目联系方式(询问)：0779-3056122</w:t>
      </w:r>
    </w:p>
    <w:p w14:paraId="7FFE0D49">
      <w:pPr>
        <w:snapToGrid w:val="0"/>
        <w:spacing w:line="360" w:lineRule="auto"/>
        <w:ind w:firstLine="480" w:firstLineChars="200"/>
        <w:rPr>
          <w:rFonts w:hint="eastAsia" w:ascii="宋体" w:hAnsi="宋体" w:cs="宋体"/>
          <w:color w:val="auto"/>
          <w:sz w:val="24"/>
          <w:highlight w:val="none"/>
        </w:rPr>
      </w:pPr>
    </w:p>
    <w:p w14:paraId="56064FB7">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t>若对项目采购电子交易系统操作有疑问，可登录广西政府采购云平台（https://www.gcy.zfcg.gxzf.gov.cn/），点击右侧咨询小采，获取采小蜜智能服务管家帮助，或拨打广西政府采购云平台服务热线95763获取热线服务帮助。</w:t>
      </w:r>
    </w:p>
    <w:p w14:paraId="32066EA6">
      <w:pPr>
        <w:snapToGrid w:val="0"/>
        <w:spacing w:line="360" w:lineRule="auto"/>
        <w:ind w:firstLine="480" w:firstLineChars="200"/>
        <w:rPr>
          <w:rFonts w:hint="eastAsia" w:ascii="宋体" w:hAnsi="宋体" w:cs="宋体"/>
          <w:color w:val="auto"/>
          <w:sz w:val="24"/>
          <w:highlight w:val="none"/>
        </w:rPr>
      </w:pPr>
      <w:r>
        <w:rPr>
          <w:rFonts w:hint="eastAsia" w:ascii="宋体" w:hAnsi="宋体" w:cs="宋体"/>
          <w:color w:val="auto"/>
          <w:sz w:val="24"/>
          <w:highlight w:val="none"/>
        </w:rPr>
        <w:br w:type="page"/>
      </w:r>
    </w:p>
    <w:p w14:paraId="61F79C48">
      <w:pPr>
        <w:adjustRightInd/>
        <w:spacing w:line="360" w:lineRule="auto"/>
        <w:jc w:val="center"/>
        <w:outlineLvl w:val="0"/>
        <w:rPr>
          <w:rFonts w:ascii="宋体" w:hAnsi="宋体" w:cs="宋体"/>
          <w:b/>
          <w:color w:val="auto"/>
          <w:sz w:val="36"/>
          <w:szCs w:val="20"/>
          <w:highlight w:val="none"/>
        </w:rPr>
      </w:pPr>
      <w:bookmarkStart w:id="17" w:name="_Toc176368903"/>
      <w:r>
        <w:rPr>
          <w:rFonts w:hint="eastAsia" w:ascii="宋体" w:hAnsi="宋体" w:cs="宋体"/>
          <w:b/>
          <w:color w:val="auto"/>
          <w:sz w:val="36"/>
          <w:szCs w:val="20"/>
          <w:highlight w:val="none"/>
        </w:rPr>
        <w:t>第二部分</w:t>
      </w:r>
      <w:bookmarkEnd w:id="11"/>
      <w:r>
        <w:rPr>
          <w:rFonts w:hint="eastAsia" w:ascii="宋体" w:hAnsi="宋体" w:cs="宋体"/>
          <w:b/>
          <w:color w:val="auto"/>
          <w:sz w:val="36"/>
          <w:szCs w:val="20"/>
          <w:highlight w:val="none"/>
        </w:rPr>
        <w:t xml:space="preserve"> 投标人须知</w:t>
      </w:r>
      <w:bookmarkEnd w:id="12"/>
      <w:bookmarkEnd w:id="17"/>
    </w:p>
    <w:p w14:paraId="646749F3">
      <w:pPr>
        <w:adjustRightInd/>
        <w:spacing w:line="360" w:lineRule="auto"/>
        <w:ind w:firstLine="3845" w:firstLineChars="1197"/>
        <w:outlineLvl w:val="1"/>
        <w:rPr>
          <w:rFonts w:ascii="宋体" w:hAnsi="宋体" w:cs="宋体"/>
          <w:b/>
          <w:color w:val="auto"/>
          <w:sz w:val="32"/>
          <w:szCs w:val="20"/>
          <w:highlight w:val="none"/>
        </w:rPr>
      </w:pPr>
      <w:r>
        <w:rPr>
          <w:rFonts w:hint="eastAsia" w:ascii="宋体" w:hAnsi="宋体" w:cs="宋体"/>
          <w:b/>
          <w:color w:val="auto"/>
          <w:sz w:val="32"/>
          <w:szCs w:val="20"/>
          <w:highlight w:val="none"/>
        </w:rPr>
        <w:t>前附表</w:t>
      </w:r>
    </w:p>
    <w:tbl>
      <w:tblPr>
        <w:tblStyle w:val="63"/>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28" w:type="dxa"/>
          <w:bottom w:w="0" w:type="dxa"/>
          <w:right w:w="28" w:type="dxa"/>
        </w:tblCellMar>
      </w:tblPr>
      <w:tblGrid>
        <w:gridCol w:w="629"/>
        <w:gridCol w:w="1843"/>
        <w:gridCol w:w="6095"/>
      </w:tblGrid>
      <w:tr w14:paraId="59FBD96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0" w:hRule="atLeast"/>
        </w:trPr>
        <w:tc>
          <w:tcPr>
            <w:tcW w:w="629" w:type="dxa"/>
            <w:tcBorders>
              <w:top w:val="single" w:color="auto" w:sz="4" w:space="0"/>
              <w:left w:val="single" w:color="auto" w:sz="4" w:space="0"/>
              <w:bottom w:val="single" w:color="auto" w:sz="4" w:space="0"/>
              <w:right w:val="single" w:color="auto" w:sz="4" w:space="0"/>
            </w:tcBorders>
          </w:tcPr>
          <w:p w14:paraId="6C5B6EF0">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843" w:type="dxa"/>
            <w:tcBorders>
              <w:top w:val="single" w:color="000000" w:sz="8" w:space="0"/>
              <w:left w:val="single" w:color="auto" w:sz="4" w:space="0"/>
              <w:bottom w:val="single" w:color="000000" w:sz="8" w:space="0"/>
              <w:right w:val="single" w:color="000000" w:sz="8" w:space="0"/>
            </w:tcBorders>
            <w:vAlign w:val="center"/>
          </w:tcPr>
          <w:p w14:paraId="11458572">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事项</w:t>
            </w:r>
          </w:p>
        </w:tc>
        <w:tc>
          <w:tcPr>
            <w:tcW w:w="6095" w:type="dxa"/>
            <w:tcBorders>
              <w:top w:val="single" w:color="000000" w:sz="8" w:space="0"/>
              <w:left w:val="single" w:color="000000" w:sz="2" w:space="0"/>
              <w:bottom w:val="single" w:color="000000" w:sz="8" w:space="0"/>
              <w:right w:val="single" w:color="000000" w:sz="8" w:space="0"/>
            </w:tcBorders>
            <w:vAlign w:val="center"/>
          </w:tcPr>
          <w:p w14:paraId="5FBBDC52">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本项目的特别规定</w:t>
            </w:r>
          </w:p>
        </w:tc>
      </w:tr>
      <w:tr w14:paraId="78CD74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043" w:hRule="atLeast"/>
        </w:trPr>
        <w:tc>
          <w:tcPr>
            <w:tcW w:w="629" w:type="dxa"/>
            <w:tcBorders>
              <w:top w:val="single" w:color="auto" w:sz="4" w:space="0"/>
              <w:left w:val="single" w:color="auto" w:sz="4" w:space="0"/>
              <w:bottom w:val="single" w:color="auto" w:sz="4" w:space="0"/>
              <w:right w:val="single" w:color="auto" w:sz="4" w:space="0"/>
            </w:tcBorders>
            <w:vAlign w:val="center"/>
          </w:tcPr>
          <w:p w14:paraId="56C4252B">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843" w:type="dxa"/>
            <w:tcBorders>
              <w:top w:val="single" w:color="000000" w:sz="8" w:space="0"/>
              <w:left w:val="single" w:color="auto" w:sz="4" w:space="0"/>
              <w:bottom w:val="single" w:color="000000" w:sz="8" w:space="0"/>
              <w:right w:val="single" w:color="000000" w:sz="8" w:space="0"/>
            </w:tcBorders>
            <w:vAlign w:val="center"/>
          </w:tcPr>
          <w:p w14:paraId="18DAE99D">
            <w:pPr>
              <w:snapToGrid w:val="0"/>
              <w:spacing w:line="360" w:lineRule="auto"/>
              <w:rPr>
                <w:rFonts w:ascii="宋体" w:hAnsi="宋体" w:cs="宋体"/>
                <w:b/>
                <w:color w:val="auto"/>
                <w:sz w:val="24"/>
                <w:highlight w:val="none"/>
              </w:rPr>
            </w:pPr>
            <w:r>
              <w:rPr>
                <w:rFonts w:hint="eastAsia" w:ascii="宋体" w:hAnsi="宋体" w:cs="宋体"/>
                <w:b/>
                <w:color w:val="auto"/>
                <w:sz w:val="24"/>
                <w:highlight w:val="none"/>
              </w:rPr>
              <w:t>项目属性</w:t>
            </w:r>
          </w:p>
        </w:tc>
        <w:tc>
          <w:tcPr>
            <w:tcW w:w="6095" w:type="dxa"/>
            <w:tcBorders>
              <w:top w:val="single" w:color="000000" w:sz="8" w:space="0"/>
              <w:left w:val="single" w:color="000000" w:sz="2" w:space="0"/>
              <w:bottom w:val="single" w:color="000000" w:sz="8" w:space="0"/>
              <w:right w:val="single" w:color="000000" w:sz="8" w:space="0"/>
            </w:tcBorders>
            <w:vAlign w:val="center"/>
          </w:tcPr>
          <w:p w14:paraId="5A97FD47">
            <w:pPr>
              <w:spacing w:line="360" w:lineRule="auto"/>
              <w:rPr>
                <w:rFonts w:ascii="宋体" w:hAnsi="宋体" w:cs="宋体"/>
                <w:color w:val="auto"/>
                <w:sz w:val="24"/>
                <w:highlight w:val="none"/>
              </w:rPr>
            </w:pPr>
            <w:r>
              <w:rPr>
                <w:rFonts w:hint="eastAsia" w:ascii="宋体" w:hAnsi="宋体" w:cs="宋体"/>
                <w:color w:val="auto"/>
                <w:sz w:val="24"/>
                <w:highlight w:val="none"/>
              </w:rPr>
              <w:t>服务类。</w:t>
            </w:r>
          </w:p>
        </w:tc>
      </w:tr>
      <w:tr w14:paraId="0ED017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23533979">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843" w:type="dxa"/>
            <w:tcBorders>
              <w:top w:val="single" w:color="000000" w:sz="8" w:space="0"/>
              <w:left w:val="single" w:color="auto" w:sz="4" w:space="0"/>
              <w:bottom w:val="single" w:color="000000" w:sz="8" w:space="0"/>
              <w:right w:val="single" w:color="000000" w:sz="8" w:space="0"/>
            </w:tcBorders>
            <w:vAlign w:val="center"/>
          </w:tcPr>
          <w:p w14:paraId="4523C05C">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采购标的及其对应的中小企业划分标准所属行业</w:t>
            </w:r>
          </w:p>
        </w:tc>
        <w:tc>
          <w:tcPr>
            <w:tcW w:w="6095" w:type="dxa"/>
            <w:tcBorders>
              <w:top w:val="single" w:color="000000" w:sz="8" w:space="0"/>
              <w:left w:val="single" w:color="000000" w:sz="2" w:space="0"/>
              <w:bottom w:val="single" w:color="000000" w:sz="8" w:space="0"/>
              <w:right w:val="single" w:color="000000" w:sz="8" w:space="0"/>
            </w:tcBorders>
            <w:vAlign w:val="center"/>
          </w:tcPr>
          <w:p w14:paraId="4AE58F51">
            <w:pPr>
              <w:snapToGrid w:val="0"/>
              <w:spacing w:line="360" w:lineRule="auto"/>
              <w:rPr>
                <w:rFonts w:ascii="宋体" w:hAnsi="宋体" w:cs="宋体"/>
                <w:color w:val="auto"/>
                <w:kern w:val="0"/>
                <w:sz w:val="24"/>
                <w:highlight w:val="none"/>
              </w:rPr>
            </w:pPr>
            <w:bookmarkStart w:id="18" w:name="OLE_LINK50"/>
            <w:bookmarkStart w:id="19" w:name="OLE_LINK51"/>
            <w:r>
              <w:rPr>
                <w:rFonts w:hint="eastAsia" w:ascii="宋体" w:hAnsi="宋体" w:cs="宋体"/>
                <w:color w:val="auto"/>
                <w:kern w:val="0"/>
                <w:sz w:val="24"/>
                <w:highlight w:val="none"/>
              </w:rPr>
              <w:t>标项1标的：</w:t>
            </w:r>
            <w:bookmarkEnd w:id="18"/>
            <w:bookmarkEnd w:id="19"/>
            <w:r>
              <w:rPr>
                <w:rFonts w:hint="eastAsia" w:ascii="宋体" w:hAnsi="宋体" w:cs="宋体"/>
                <w:color w:val="auto"/>
                <w:kern w:val="0"/>
                <w:sz w:val="24"/>
                <w:highlight w:val="none"/>
                <w:u w:val="single"/>
              </w:rPr>
              <w:t>物业服务</w:t>
            </w:r>
            <w:r>
              <w:rPr>
                <w:rFonts w:hint="eastAsia" w:ascii="宋体" w:hAnsi="宋体" w:cs="宋体"/>
                <w:color w:val="auto"/>
                <w:kern w:val="0"/>
                <w:sz w:val="24"/>
                <w:highlight w:val="none"/>
                <w:u w:val="single"/>
                <w:lang w:val="en-US" w:eastAsia="zh-CN"/>
              </w:rPr>
              <w:t>1</w:t>
            </w:r>
            <w:r>
              <w:rPr>
                <w:rFonts w:hint="eastAsia" w:ascii="宋体" w:hAnsi="宋体" w:cs="宋体"/>
                <w:color w:val="auto"/>
                <w:kern w:val="0"/>
                <w:sz w:val="24"/>
                <w:highlight w:val="none"/>
              </w:rPr>
              <w:t>，</w:t>
            </w:r>
            <w:bookmarkStart w:id="20" w:name="OLE_LINK53"/>
            <w:bookmarkStart w:id="21" w:name="OLE_LINK52"/>
            <w:r>
              <w:rPr>
                <w:rFonts w:hint="eastAsia" w:ascii="宋体" w:hAnsi="宋体" w:cs="宋体"/>
                <w:color w:val="auto"/>
                <w:kern w:val="0"/>
                <w:sz w:val="24"/>
                <w:highlight w:val="none"/>
              </w:rPr>
              <w:t xml:space="preserve">属于  </w:t>
            </w:r>
            <w:r>
              <w:rPr>
                <w:rFonts w:hint="eastAsia" w:ascii="宋体" w:hAnsi="宋体" w:cs="宋体"/>
                <w:color w:val="auto"/>
                <w:kern w:val="0"/>
                <w:sz w:val="24"/>
                <w:highlight w:val="none"/>
                <w:u w:val="single"/>
                <w:lang w:eastAsia="zh-CN"/>
              </w:rPr>
              <w:t>物业管理</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 xml:space="preserve"> 行业；</w:t>
            </w:r>
            <w:bookmarkEnd w:id="20"/>
            <w:bookmarkEnd w:id="21"/>
            <w:r>
              <w:rPr>
                <w:rFonts w:hint="eastAsia" w:ascii="宋体" w:hAnsi="宋体" w:cs="宋体"/>
                <w:color w:val="auto"/>
                <w:kern w:val="0"/>
                <w:sz w:val="24"/>
                <w:highlight w:val="none"/>
              </w:rPr>
              <w:t>标项2标的：</w:t>
            </w:r>
            <w:r>
              <w:rPr>
                <w:rFonts w:hint="eastAsia" w:ascii="宋体" w:hAnsi="宋体" w:cs="宋体"/>
                <w:color w:val="auto"/>
                <w:kern w:val="0"/>
                <w:sz w:val="24"/>
                <w:highlight w:val="none"/>
                <w:u w:val="single"/>
              </w:rPr>
              <w:t>物业服务</w:t>
            </w:r>
            <w:r>
              <w:rPr>
                <w:rFonts w:hint="eastAsia" w:ascii="宋体" w:hAnsi="宋体" w:cs="宋体"/>
                <w:color w:val="auto"/>
                <w:kern w:val="0"/>
                <w:sz w:val="24"/>
                <w:highlight w:val="none"/>
                <w:u w:val="single"/>
                <w:lang w:val="en-US" w:eastAsia="zh-CN"/>
              </w:rPr>
              <w:t>2</w:t>
            </w:r>
            <w:r>
              <w:rPr>
                <w:rFonts w:hint="eastAsia" w:ascii="宋体" w:hAnsi="宋体" w:cs="宋体"/>
                <w:color w:val="auto"/>
                <w:kern w:val="0"/>
                <w:sz w:val="24"/>
                <w:highlight w:val="none"/>
              </w:rPr>
              <w:t xml:space="preserve">，属于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eastAsia="zh-CN"/>
              </w:rPr>
              <w:t>物业管理</w:t>
            </w:r>
            <w:r>
              <w:rPr>
                <w:rFonts w:hint="eastAsia" w:ascii="宋体" w:hAnsi="宋体" w:cs="宋体"/>
                <w:color w:val="auto"/>
                <w:kern w:val="0"/>
                <w:sz w:val="24"/>
                <w:highlight w:val="none"/>
              </w:rPr>
              <w:t xml:space="preserve">  行业；标项3标的：</w:t>
            </w:r>
            <w:r>
              <w:rPr>
                <w:rFonts w:hint="eastAsia" w:ascii="宋体" w:hAnsi="宋体" w:cs="宋体"/>
                <w:color w:val="auto"/>
                <w:kern w:val="0"/>
                <w:sz w:val="24"/>
                <w:highlight w:val="none"/>
                <w:u w:val="single"/>
              </w:rPr>
              <w:t>物业服务</w:t>
            </w:r>
            <w:r>
              <w:rPr>
                <w:rFonts w:hint="eastAsia" w:ascii="宋体" w:hAnsi="宋体" w:cs="宋体"/>
                <w:color w:val="auto"/>
                <w:kern w:val="0"/>
                <w:sz w:val="24"/>
                <w:highlight w:val="none"/>
                <w:u w:val="single"/>
                <w:lang w:val="en-US" w:eastAsia="zh-CN"/>
              </w:rPr>
              <w:t>3</w:t>
            </w:r>
            <w:r>
              <w:rPr>
                <w:rFonts w:hint="eastAsia" w:ascii="宋体" w:hAnsi="宋体" w:cs="宋体"/>
                <w:color w:val="auto"/>
                <w:kern w:val="0"/>
                <w:sz w:val="24"/>
                <w:highlight w:val="none"/>
              </w:rPr>
              <w:t>，</w:t>
            </w:r>
            <w:bookmarkStart w:id="22" w:name="OLE_LINK54"/>
            <w:bookmarkStart w:id="23" w:name="OLE_LINK55"/>
            <w:r>
              <w:rPr>
                <w:rFonts w:hint="eastAsia" w:ascii="宋体" w:hAnsi="宋体" w:cs="宋体"/>
                <w:color w:val="auto"/>
                <w:kern w:val="0"/>
                <w:sz w:val="24"/>
                <w:highlight w:val="none"/>
              </w:rPr>
              <w:t>属</w:t>
            </w:r>
            <w:bookmarkStart w:id="24" w:name="OLE_LINK57"/>
            <w:bookmarkStart w:id="25" w:name="OLE_LINK56"/>
            <w:r>
              <w:rPr>
                <w:rFonts w:hint="eastAsia" w:ascii="宋体" w:hAnsi="宋体" w:cs="宋体"/>
                <w:color w:val="auto"/>
                <w:kern w:val="0"/>
                <w:sz w:val="24"/>
                <w:highlight w:val="none"/>
              </w:rPr>
              <w:t xml:space="preserve">于  </w:t>
            </w:r>
            <w:r>
              <w:rPr>
                <w:rFonts w:hint="eastAsia" w:ascii="宋体" w:hAnsi="宋体" w:cs="宋体"/>
                <w:color w:val="auto"/>
                <w:kern w:val="0"/>
                <w:sz w:val="24"/>
                <w:highlight w:val="none"/>
                <w:u w:val="single"/>
                <w:lang w:eastAsia="zh-CN"/>
              </w:rPr>
              <w:t>物业管理</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行业</w:t>
            </w:r>
            <w:bookmarkEnd w:id="24"/>
            <w:bookmarkEnd w:id="25"/>
            <w:r>
              <w:rPr>
                <w:rFonts w:hint="eastAsia" w:ascii="宋体" w:hAnsi="宋体" w:cs="宋体"/>
                <w:color w:val="auto"/>
                <w:kern w:val="0"/>
                <w:sz w:val="24"/>
                <w:highlight w:val="none"/>
              </w:rPr>
              <w:t>；</w:t>
            </w:r>
            <w:bookmarkEnd w:id="22"/>
            <w:bookmarkEnd w:id="23"/>
            <w:r>
              <w:rPr>
                <w:rFonts w:hint="eastAsia" w:ascii="宋体" w:hAnsi="宋体" w:cs="宋体"/>
                <w:color w:val="auto"/>
                <w:kern w:val="0"/>
                <w:sz w:val="24"/>
                <w:highlight w:val="none"/>
              </w:rPr>
              <w:t>标项4标的：</w:t>
            </w:r>
            <w:r>
              <w:rPr>
                <w:rFonts w:hint="eastAsia" w:ascii="宋体" w:hAnsi="宋体" w:cs="宋体"/>
                <w:color w:val="auto"/>
                <w:kern w:val="0"/>
                <w:sz w:val="24"/>
                <w:highlight w:val="none"/>
                <w:u w:val="single"/>
              </w:rPr>
              <w:t>物业服务</w:t>
            </w:r>
            <w:r>
              <w:rPr>
                <w:rFonts w:hint="eastAsia" w:ascii="宋体" w:hAnsi="宋体" w:cs="宋体"/>
                <w:color w:val="auto"/>
                <w:kern w:val="0"/>
                <w:sz w:val="24"/>
                <w:highlight w:val="none"/>
                <w:u w:val="single"/>
                <w:lang w:val="en-US" w:eastAsia="zh-CN"/>
              </w:rPr>
              <w:t>4</w:t>
            </w:r>
            <w:r>
              <w:rPr>
                <w:rFonts w:hint="eastAsia" w:ascii="宋体" w:hAnsi="宋体" w:cs="宋体"/>
                <w:color w:val="auto"/>
                <w:kern w:val="0"/>
                <w:sz w:val="24"/>
                <w:highlight w:val="none"/>
              </w:rPr>
              <w:t xml:space="preserve">，属于 </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u w:val="single"/>
                <w:lang w:eastAsia="zh-CN"/>
              </w:rPr>
              <w:t>物业管理</w:t>
            </w:r>
            <w:r>
              <w:rPr>
                <w:rFonts w:hint="eastAsia" w:ascii="宋体" w:hAnsi="宋体" w:cs="宋体"/>
                <w:color w:val="auto"/>
                <w:kern w:val="0"/>
                <w:sz w:val="24"/>
                <w:highlight w:val="none"/>
              </w:rPr>
              <w:t xml:space="preserve"> 行业。</w:t>
            </w:r>
          </w:p>
        </w:tc>
      </w:tr>
      <w:tr w14:paraId="24E8E3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7936E490">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3</w:t>
            </w:r>
          </w:p>
        </w:tc>
        <w:tc>
          <w:tcPr>
            <w:tcW w:w="1843" w:type="dxa"/>
            <w:tcBorders>
              <w:top w:val="single" w:color="000000" w:sz="8" w:space="0"/>
              <w:left w:val="single" w:color="auto" w:sz="4" w:space="0"/>
              <w:bottom w:val="single" w:color="000000" w:sz="8" w:space="0"/>
              <w:right w:val="single" w:color="000000" w:sz="8" w:space="0"/>
            </w:tcBorders>
            <w:vAlign w:val="center"/>
          </w:tcPr>
          <w:p w14:paraId="5585BD43">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是否允许采购进口产品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4EA2874E">
            <w:pPr>
              <w:spacing w:line="360" w:lineRule="auto"/>
              <w:rPr>
                <w:rFonts w:ascii="宋体" w:hAnsi="宋体" w:cs="宋体"/>
                <w:color w:val="auto"/>
                <w:kern w:val="0"/>
                <w:sz w:val="24"/>
                <w:highlight w:val="none"/>
              </w:rPr>
            </w:pPr>
            <w:sdt>
              <w:sdtPr>
                <w:rPr>
                  <w:rFonts w:hint="eastAsia" w:ascii="宋体" w:hAnsi="宋体" w:cs="宋体"/>
                  <w:color w:val="auto"/>
                  <w:kern w:val="0"/>
                  <w:sz w:val="24"/>
                  <w:highlight w:val="none"/>
                </w:rPr>
                <w:id w:val="-1828425707"/>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本项目不允许采购进口产品。</w:t>
            </w:r>
          </w:p>
          <w:p w14:paraId="579B5077">
            <w:pPr>
              <w:spacing w:line="360" w:lineRule="auto"/>
              <w:rPr>
                <w:rFonts w:ascii="宋体" w:hAnsi="宋体" w:cs="宋体"/>
                <w:color w:val="auto"/>
                <w:highlight w:val="none"/>
              </w:rPr>
            </w:pPr>
            <w:sdt>
              <w:sdtPr>
                <w:rPr>
                  <w:rFonts w:hint="eastAsia" w:ascii="宋体" w:hAnsi="宋体" w:cs="宋体"/>
                  <w:color w:val="auto"/>
                  <w:kern w:val="0"/>
                  <w:sz w:val="24"/>
                  <w:highlight w:val="none"/>
                </w:rPr>
                <w:id w:val="-5285282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rPr>
              <w:t>可以就</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采购进口产品。</w:t>
            </w:r>
          </w:p>
        </w:tc>
      </w:tr>
      <w:tr w14:paraId="66A835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21D560B8">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4</w:t>
            </w:r>
          </w:p>
        </w:tc>
        <w:tc>
          <w:tcPr>
            <w:tcW w:w="1843" w:type="dxa"/>
            <w:tcBorders>
              <w:top w:val="single" w:color="000000" w:sz="8" w:space="0"/>
              <w:left w:val="single" w:color="auto" w:sz="4" w:space="0"/>
              <w:bottom w:val="single" w:color="000000" w:sz="8" w:space="0"/>
              <w:right w:val="single" w:color="000000" w:sz="8" w:space="0"/>
            </w:tcBorders>
            <w:vAlign w:val="center"/>
          </w:tcPr>
          <w:p w14:paraId="1789EAB3">
            <w:pPr>
              <w:snapToGrid w:val="0"/>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分包</w:t>
            </w:r>
          </w:p>
        </w:tc>
        <w:tc>
          <w:tcPr>
            <w:tcW w:w="6095" w:type="dxa"/>
            <w:tcBorders>
              <w:top w:val="single" w:color="000000" w:sz="8" w:space="0"/>
              <w:left w:val="single" w:color="000000" w:sz="2" w:space="0"/>
              <w:bottom w:val="single" w:color="000000" w:sz="8" w:space="0"/>
              <w:right w:val="single" w:color="000000" w:sz="8" w:space="0"/>
            </w:tcBorders>
            <w:vAlign w:val="center"/>
          </w:tcPr>
          <w:p w14:paraId="74023E85">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477286927"/>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宋体" w:hAnsi="宋体" w:cs="宋体"/>
                <w:color w:val="auto"/>
                <w:kern w:val="0"/>
                <w:sz w:val="24"/>
                <w:highlight w:val="none"/>
              </w:rPr>
              <w:t xml:space="preserve"> A</w:t>
            </w:r>
            <w:r>
              <w:rPr>
                <w:rFonts w:hint="eastAsia" w:ascii="宋体" w:hAnsi="宋体" w:cs="宋体"/>
                <w:color w:val="auto"/>
                <w:sz w:val="24"/>
                <w:highlight w:val="none"/>
              </w:rPr>
              <w:t>同意将非主体、非关键性的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工作分包。</w:t>
            </w:r>
            <w:sdt>
              <w:sdtPr>
                <w:rPr>
                  <w:rFonts w:hint="eastAsia" w:ascii="宋体" w:hAnsi="宋体" w:cs="宋体"/>
                  <w:color w:val="auto"/>
                  <w:kern w:val="0"/>
                  <w:sz w:val="24"/>
                  <w:highlight w:val="none"/>
                </w:rPr>
                <w:id w:val="-1276331357"/>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 xml:space="preserve"> B</w:t>
            </w:r>
            <w:r>
              <w:rPr>
                <w:rFonts w:hint="eastAsia" w:ascii="宋体" w:hAnsi="宋体" w:cs="宋体"/>
                <w:color w:val="auto"/>
                <w:sz w:val="24"/>
                <w:highlight w:val="none"/>
              </w:rPr>
              <w:t>不同意分包。</w:t>
            </w:r>
          </w:p>
          <w:p w14:paraId="263164A1">
            <w:pPr>
              <w:spacing w:line="360" w:lineRule="auto"/>
              <w:rPr>
                <w:rFonts w:ascii="宋体" w:hAnsi="宋体" w:cs="宋体"/>
                <w:color w:val="auto"/>
                <w:sz w:val="24"/>
                <w:highlight w:val="none"/>
              </w:rPr>
            </w:pPr>
            <w:r>
              <w:rPr>
                <w:rFonts w:hint="eastAsia" w:ascii="宋体" w:hAnsi="宋体" w:cs="宋体"/>
                <w:color w:val="auto"/>
                <w:sz w:val="24"/>
                <w:highlight w:val="none"/>
              </w:rPr>
              <w:t>注：不得限制大中型企业向小微企业合理分包。</w:t>
            </w:r>
          </w:p>
        </w:tc>
      </w:tr>
      <w:tr w14:paraId="18C0878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3D884A83">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5</w:t>
            </w:r>
          </w:p>
        </w:tc>
        <w:tc>
          <w:tcPr>
            <w:tcW w:w="1843" w:type="dxa"/>
            <w:tcBorders>
              <w:top w:val="single" w:color="000000" w:sz="8" w:space="0"/>
              <w:left w:val="single" w:color="auto" w:sz="4" w:space="0"/>
              <w:bottom w:val="single" w:color="000000" w:sz="8" w:space="0"/>
              <w:right w:val="single" w:color="000000" w:sz="8" w:space="0"/>
            </w:tcBorders>
            <w:vAlign w:val="center"/>
          </w:tcPr>
          <w:p w14:paraId="2676D9A5">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开标前答疑会或现场考察</w:t>
            </w:r>
          </w:p>
        </w:tc>
        <w:tc>
          <w:tcPr>
            <w:tcW w:w="6095" w:type="dxa"/>
            <w:tcBorders>
              <w:top w:val="single" w:color="000000" w:sz="8" w:space="0"/>
              <w:left w:val="single" w:color="000000" w:sz="2" w:space="0"/>
              <w:bottom w:val="single" w:color="000000" w:sz="8" w:space="0"/>
              <w:right w:val="single" w:color="000000" w:sz="8" w:space="0"/>
            </w:tcBorders>
            <w:vAlign w:val="center"/>
          </w:tcPr>
          <w:p w14:paraId="48728175">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212966419"/>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不组织。</w:t>
            </w:r>
          </w:p>
          <w:p w14:paraId="3DA12D5C">
            <w:pPr>
              <w:spacing w:line="360" w:lineRule="auto"/>
              <w:rPr>
                <w:rFonts w:ascii="宋体" w:hAnsi="宋体" w:cs="宋体"/>
                <w:color w:val="auto"/>
                <w:sz w:val="24"/>
                <w:szCs w:val="20"/>
                <w:highlight w:val="none"/>
              </w:rPr>
            </w:pPr>
            <w:sdt>
              <w:sdtPr>
                <w:rPr>
                  <w:rFonts w:hint="eastAsia" w:ascii="宋体" w:hAnsi="宋体" w:cs="宋体"/>
                  <w:color w:val="auto"/>
                  <w:kern w:val="0"/>
                  <w:sz w:val="24"/>
                  <w:highlight w:val="none"/>
                </w:rPr>
                <w:id w:val="-99980297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rPr>
              <w:t>B组织，</w:t>
            </w:r>
            <w:r>
              <w:rPr>
                <w:rFonts w:hint="eastAsia" w:ascii="宋体" w:hAnsi="宋体" w:cs="宋体"/>
                <w:color w:val="auto"/>
                <w:sz w:val="24"/>
                <w:highlight w:val="none"/>
              </w:rPr>
              <w:t>时间：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,地点：</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，联系方式：</w:t>
            </w:r>
            <w:r>
              <w:rPr>
                <w:rFonts w:hint="eastAsia" w:ascii="宋体" w:hAnsi="宋体" w:cs="宋体"/>
                <w:color w:val="auto"/>
                <w:sz w:val="24"/>
                <w:highlight w:val="none"/>
                <w:u w:val="single"/>
              </w:rPr>
              <w:t xml:space="preserve">      </w:t>
            </w:r>
            <w:r>
              <w:rPr>
                <w:rFonts w:hint="eastAsia" w:ascii="宋体" w:hAnsi="宋体" w:cs="宋体"/>
                <w:color w:val="auto"/>
                <w:sz w:val="24"/>
                <w:szCs w:val="20"/>
                <w:highlight w:val="none"/>
              </w:rPr>
              <w:t>。</w:t>
            </w:r>
          </w:p>
        </w:tc>
      </w:tr>
      <w:tr w14:paraId="4B65DB0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2105" w:hRule="atLeast"/>
        </w:trPr>
        <w:tc>
          <w:tcPr>
            <w:tcW w:w="629" w:type="dxa"/>
            <w:tcBorders>
              <w:top w:val="single" w:color="auto" w:sz="4" w:space="0"/>
              <w:left w:val="single" w:color="auto" w:sz="4" w:space="0"/>
              <w:bottom w:val="single" w:color="auto" w:sz="4" w:space="0"/>
              <w:right w:val="single" w:color="auto" w:sz="4" w:space="0"/>
            </w:tcBorders>
            <w:vAlign w:val="center"/>
          </w:tcPr>
          <w:p w14:paraId="2B212086">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6</w:t>
            </w:r>
          </w:p>
        </w:tc>
        <w:tc>
          <w:tcPr>
            <w:tcW w:w="1843" w:type="dxa"/>
            <w:tcBorders>
              <w:top w:val="single" w:color="000000" w:sz="8" w:space="0"/>
              <w:left w:val="single" w:color="auto" w:sz="4" w:space="0"/>
              <w:bottom w:val="single" w:color="000000" w:sz="8" w:space="0"/>
              <w:right w:val="single" w:color="000000" w:sz="8" w:space="0"/>
            </w:tcBorders>
            <w:vAlign w:val="center"/>
          </w:tcPr>
          <w:p w14:paraId="0E4E6B21">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样品提供</w:t>
            </w:r>
          </w:p>
        </w:tc>
        <w:tc>
          <w:tcPr>
            <w:tcW w:w="6095" w:type="dxa"/>
            <w:tcBorders>
              <w:top w:val="single" w:color="000000" w:sz="8" w:space="0"/>
              <w:left w:val="single" w:color="000000" w:sz="2" w:space="0"/>
              <w:bottom w:val="single" w:color="000000" w:sz="8" w:space="0"/>
              <w:right w:val="single" w:color="000000" w:sz="8" w:space="0"/>
            </w:tcBorders>
            <w:vAlign w:val="center"/>
          </w:tcPr>
          <w:p w14:paraId="32FA6178">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639946486"/>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不要求提供。</w:t>
            </w:r>
          </w:p>
          <w:p w14:paraId="3AAE8BEF">
            <w:pPr>
              <w:spacing w:line="360" w:lineRule="auto"/>
              <w:rPr>
                <w:rFonts w:ascii="宋体" w:hAnsi="宋体" w:cs="宋体"/>
                <w:color w:val="auto"/>
                <w:kern w:val="0"/>
                <w:sz w:val="24"/>
                <w:highlight w:val="none"/>
              </w:rPr>
            </w:pPr>
            <w:sdt>
              <w:sdtPr>
                <w:rPr>
                  <w:rFonts w:hint="eastAsia" w:ascii="宋体" w:hAnsi="宋体" w:cs="宋体"/>
                  <w:color w:val="auto"/>
                  <w:kern w:val="0"/>
                  <w:sz w:val="24"/>
                  <w:highlight w:val="none"/>
                </w:rPr>
                <w:id w:val="1026831988"/>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szCs w:val="24"/>
                    <w:highlight w:val="none"/>
                    <w:lang w:val="en-US" w:eastAsia="zh-CN" w:bidi="ar-SA"/>
                  </w:rPr>
                  <w:t>☐</w:t>
                </w:r>
              </w:sdtContent>
            </w:sdt>
            <w:r>
              <w:rPr>
                <w:rFonts w:hint="eastAsia" w:ascii="宋体" w:hAnsi="宋体" w:cs="宋体"/>
                <w:color w:val="auto"/>
                <w:kern w:val="0"/>
                <w:sz w:val="24"/>
                <w:highlight w:val="none"/>
              </w:rPr>
              <w:t>B要求提供，</w:t>
            </w:r>
          </w:p>
          <w:p w14:paraId="58942C31">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w:t>
            </w:r>
            <w:r>
              <w:rPr>
                <w:rFonts w:hint="eastAsia" w:ascii="宋体" w:hAnsi="宋体" w:cs="宋体"/>
                <w:snapToGrid w:val="0"/>
                <w:color w:val="auto"/>
                <w:kern w:val="28"/>
                <w:sz w:val="24"/>
                <w:highlight w:val="none"/>
              </w:rPr>
              <w:t>样品：</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14:paraId="394F8556">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（2）</w:t>
            </w:r>
            <w:r>
              <w:rPr>
                <w:rFonts w:hint="eastAsia" w:ascii="宋体" w:hAnsi="宋体" w:cs="宋体"/>
                <w:snapToGrid w:val="0"/>
                <w:color w:val="auto"/>
                <w:kern w:val="28"/>
                <w:sz w:val="24"/>
                <w:highlight w:val="none"/>
              </w:rPr>
              <w:t>样品制作的标准和要求：</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14:paraId="08A4C1B9">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（3）样品的评审方法以及评审标准</w:t>
            </w:r>
            <w:r>
              <w:rPr>
                <w:rFonts w:hint="eastAsia" w:ascii="宋体" w:hAnsi="宋体" w:cs="宋体"/>
                <w:snapToGrid w:val="0"/>
                <w:color w:val="auto"/>
                <w:kern w:val="28"/>
                <w:sz w:val="24"/>
                <w:highlight w:val="none"/>
              </w:rPr>
              <w:t>：详见</w:t>
            </w:r>
            <w:r>
              <w:rPr>
                <w:rFonts w:hint="eastAsia" w:ascii="宋体" w:hAnsi="宋体" w:cs="宋体"/>
                <w:color w:val="auto"/>
                <w:sz w:val="24"/>
                <w:highlight w:val="none"/>
                <w:u w:val="single"/>
              </w:rPr>
              <w:t>评标办法</w:t>
            </w:r>
            <w:r>
              <w:rPr>
                <w:rFonts w:hint="eastAsia" w:ascii="宋体" w:hAnsi="宋体" w:cs="宋体"/>
                <w:color w:val="auto"/>
                <w:kern w:val="0"/>
                <w:sz w:val="24"/>
                <w:highlight w:val="none"/>
              </w:rPr>
              <w:t>；</w:t>
            </w:r>
          </w:p>
          <w:p w14:paraId="693E382C">
            <w:pPr>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（4）是否需要随样品提交检测报告：</w:t>
            </w:r>
            <w:sdt>
              <w:sdtPr>
                <w:rPr>
                  <w:rFonts w:hint="eastAsia" w:ascii="宋体" w:hAnsi="宋体" w:cs="宋体"/>
                  <w:color w:val="auto"/>
                  <w:kern w:val="0"/>
                  <w:sz w:val="24"/>
                  <w:highlight w:val="none"/>
                </w:rPr>
                <w:id w:val="130342145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Gothic" w:hAnsi="MS Gothic" w:eastAsia="MS Gothic" w:cs="宋体"/>
                    <w:color w:val="auto"/>
                    <w:kern w:val="0"/>
                    <w:sz w:val="24"/>
                    <w:highlight w:val="none"/>
                  </w:rPr>
                  <w:t>☐</w:t>
                </w:r>
              </w:sdtContent>
            </w:sdt>
            <w:r>
              <w:rPr>
                <w:rFonts w:hint="eastAsia" w:ascii="宋体" w:hAnsi="宋体" w:cs="宋体"/>
                <w:color w:val="auto"/>
                <w:kern w:val="0"/>
                <w:sz w:val="24"/>
                <w:highlight w:val="none"/>
              </w:rPr>
              <w:t>否；</w:t>
            </w:r>
            <w:sdt>
              <w:sdtPr>
                <w:rPr>
                  <w:rFonts w:hint="eastAsia" w:ascii="宋体" w:hAnsi="宋体" w:cs="宋体"/>
                  <w:color w:val="auto"/>
                  <w:kern w:val="0"/>
                  <w:sz w:val="24"/>
                  <w:highlight w:val="none"/>
                </w:rPr>
                <w:id w:val="1621728433"/>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rPr>
              <w:t>是，检测机构的要求</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；检测内容</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w:t>
            </w:r>
          </w:p>
          <w:p w14:paraId="2F99E228">
            <w:pPr>
              <w:spacing w:line="360" w:lineRule="auto"/>
              <w:rPr>
                <w:rFonts w:ascii="宋体" w:hAnsi="宋体" w:cs="宋体"/>
                <w:color w:val="auto"/>
                <w:sz w:val="24"/>
                <w:highlight w:val="none"/>
              </w:rPr>
            </w:pPr>
            <w:r>
              <w:rPr>
                <w:rFonts w:hint="eastAsia" w:ascii="宋体" w:hAnsi="宋体" w:cs="宋体"/>
                <w:color w:val="auto"/>
                <w:sz w:val="24"/>
                <w:highlight w:val="none"/>
              </w:rPr>
              <w:t>（5）提供样品的时间：</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；地点：</w:t>
            </w:r>
            <w:r>
              <w:rPr>
                <w:rFonts w:hint="eastAsia" w:ascii="宋体" w:hAnsi="宋体" w:cs="宋体"/>
                <w:color w:val="auto"/>
                <w:sz w:val="24"/>
                <w:highlight w:val="none"/>
                <w:u w:val="single"/>
              </w:rPr>
              <w:t xml:space="preserve">    </w:t>
            </w:r>
            <w:r>
              <w:rPr>
                <w:rFonts w:hint="eastAsia" w:ascii="宋体" w:hAnsi="宋体" w:cs="宋体"/>
                <w:color w:val="auto"/>
                <w:kern w:val="0"/>
                <w:sz w:val="24"/>
                <w:highlight w:val="none"/>
              </w:rPr>
              <w:t>；联系人</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28"/>
                <w:sz w:val="24"/>
                <w:highlight w:val="none"/>
              </w:rPr>
              <w:t>联系电话：</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。请投标人在上述时间内提供样品并按规定位置安装完毕。超过截止时间的，采购人或采购代理机构将不予接收，并将清场并封闭样品现场。</w:t>
            </w:r>
          </w:p>
          <w:p w14:paraId="5AEA13EC">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 (6)采购活动结束后，对于未中标人提供的样品，采购人、采购代理机构将通知未中标人在规定的时间内取回，逾期未取回的，采购人、采购代理机构不负保管义务；对于中标人提供的样品，采购人将进行保管、封存，并作为履约验收的参考。</w:t>
            </w:r>
          </w:p>
          <w:p w14:paraId="5F5BCD3A">
            <w:pPr>
              <w:spacing w:line="360" w:lineRule="auto"/>
              <w:rPr>
                <w:rFonts w:ascii="宋体" w:hAnsi="宋体" w:cs="宋体"/>
                <w:b/>
                <w:color w:val="auto"/>
                <w:sz w:val="24"/>
                <w:highlight w:val="none"/>
              </w:rPr>
            </w:pPr>
            <w:r>
              <w:rPr>
                <w:rFonts w:hint="eastAsia" w:ascii="宋体" w:hAnsi="宋体" w:cs="宋体"/>
                <w:color w:val="auto"/>
                <w:sz w:val="24"/>
                <w:highlight w:val="none"/>
              </w:rPr>
              <w:t>（7）制作、运输、安装和保管样品所发生的一切费用由投标人自理。</w:t>
            </w:r>
          </w:p>
        </w:tc>
      </w:tr>
      <w:tr w14:paraId="77AD25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535" w:hRule="atLeast"/>
        </w:trPr>
        <w:tc>
          <w:tcPr>
            <w:tcW w:w="629" w:type="dxa"/>
            <w:tcBorders>
              <w:top w:val="single" w:color="auto" w:sz="4" w:space="0"/>
              <w:left w:val="single" w:color="auto" w:sz="4" w:space="0"/>
              <w:bottom w:val="single" w:color="auto" w:sz="4" w:space="0"/>
              <w:right w:val="single" w:color="auto" w:sz="4" w:space="0"/>
            </w:tcBorders>
            <w:vAlign w:val="center"/>
          </w:tcPr>
          <w:p w14:paraId="4465BED3">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7</w:t>
            </w:r>
          </w:p>
        </w:tc>
        <w:tc>
          <w:tcPr>
            <w:tcW w:w="1843" w:type="dxa"/>
            <w:tcBorders>
              <w:top w:val="single" w:color="000000" w:sz="8" w:space="0"/>
              <w:left w:val="single" w:color="auto" w:sz="4" w:space="0"/>
              <w:bottom w:val="single" w:color="000000" w:sz="8" w:space="0"/>
              <w:right w:val="single" w:color="000000" w:sz="8" w:space="0"/>
            </w:tcBorders>
            <w:vAlign w:val="center"/>
          </w:tcPr>
          <w:p w14:paraId="110DAFC0">
            <w:pPr>
              <w:snapToGrid w:val="0"/>
              <w:spacing w:line="360" w:lineRule="auto"/>
              <w:jc w:val="center"/>
              <w:rPr>
                <w:rFonts w:ascii="宋体" w:hAnsi="宋体" w:cs="宋体"/>
                <w:bCs/>
                <w:color w:val="auto"/>
                <w:sz w:val="24"/>
                <w:highlight w:val="none"/>
              </w:rPr>
            </w:pPr>
            <w:r>
              <w:rPr>
                <w:rFonts w:hint="eastAsia" w:ascii="宋体" w:hAnsi="宋体" w:cs="宋体"/>
                <w:b/>
                <w:color w:val="auto"/>
                <w:sz w:val="24"/>
                <w:highlight w:val="none"/>
              </w:rPr>
              <w:t>方案讲解演示</w:t>
            </w:r>
          </w:p>
        </w:tc>
        <w:tc>
          <w:tcPr>
            <w:tcW w:w="6095" w:type="dxa"/>
            <w:tcBorders>
              <w:top w:val="single" w:color="000000" w:sz="8" w:space="0"/>
              <w:left w:val="single" w:color="000000" w:sz="2" w:space="0"/>
              <w:bottom w:val="single" w:color="000000" w:sz="8" w:space="0"/>
              <w:right w:val="single" w:color="000000" w:sz="8" w:space="0"/>
            </w:tcBorders>
            <w:vAlign w:val="center"/>
          </w:tcPr>
          <w:p w14:paraId="1FAEA352">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859348549"/>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不组织。</w:t>
            </w:r>
          </w:p>
          <w:p w14:paraId="14300942">
            <w:pPr>
              <w:spacing w:line="360" w:lineRule="auto"/>
              <w:rPr>
                <w:rFonts w:ascii="宋体" w:hAnsi="宋体" w:cs="宋体"/>
                <w:color w:val="auto"/>
                <w:kern w:val="0"/>
                <w:sz w:val="24"/>
                <w:highlight w:val="none"/>
              </w:rPr>
            </w:pPr>
            <w:sdt>
              <w:sdtPr>
                <w:rPr>
                  <w:rFonts w:hint="eastAsia" w:ascii="宋体" w:hAnsi="宋体" w:cs="宋体"/>
                  <w:color w:val="auto"/>
                  <w:kern w:val="0"/>
                  <w:sz w:val="24"/>
                  <w:highlight w:val="none"/>
                </w:rPr>
                <w:id w:val="1174071719"/>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t>☐</w:t>
                </w:r>
              </w:sdtContent>
            </w:sdt>
            <w:r>
              <w:rPr>
                <w:rFonts w:hint="eastAsia" w:ascii="宋体" w:hAnsi="宋体" w:cs="宋体"/>
                <w:color w:val="auto"/>
                <w:kern w:val="0"/>
                <w:sz w:val="24"/>
                <w:highlight w:val="none"/>
              </w:rPr>
              <w:t>B组织。</w:t>
            </w:r>
          </w:p>
          <w:p w14:paraId="3EAE58D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（1）在评标时安排每个投标人进行方案讲解演示。每个投标人时间不超过</w:t>
            </w:r>
            <w:r>
              <w:rPr>
                <w:rFonts w:hint="eastAsia" w:ascii="宋体" w:hAnsi="宋体" w:cs="宋体"/>
                <w:color w:val="auto"/>
                <w:kern w:val="0"/>
                <w:sz w:val="24"/>
                <w:highlight w:val="none"/>
                <w:u w:val="single"/>
              </w:rPr>
              <w:t>20（编制时可根据项目情况进行调整）</w:t>
            </w:r>
            <w:r>
              <w:rPr>
                <w:rFonts w:hint="eastAsia" w:ascii="宋体" w:hAnsi="宋体" w:cs="宋体"/>
                <w:color w:val="auto"/>
                <w:kern w:val="0"/>
                <w:sz w:val="24"/>
                <w:highlight w:val="none"/>
              </w:rPr>
              <w:t>分钟，讲解次序以投标文件解密时间先后次序为准，讲解演示人员不超过</w:t>
            </w:r>
            <w:r>
              <w:rPr>
                <w:rFonts w:hint="eastAsia" w:ascii="宋体" w:hAnsi="宋体" w:cs="宋体"/>
                <w:color w:val="auto"/>
                <w:kern w:val="0"/>
                <w:sz w:val="24"/>
                <w:highlight w:val="none"/>
                <w:u w:val="single"/>
              </w:rPr>
              <w:t>3（编制时可根据项目情况进行调整）</w:t>
            </w:r>
            <w:r>
              <w:rPr>
                <w:rFonts w:hint="eastAsia" w:ascii="宋体" w:hAnsi="宋体" w:cs="宋体"/>
                <w:color w:val="auto"/>
                <w:kern w:val="0"/>
                <w:sz w:val="24"/>
                <w:highlight w:val="none"/>
              </w:rPr>
              <w:t>人。讲解演示结束后按要求解答评标委员会提问。</w:t>
            </w:r>
          </w:p>
          <w:p w14:paraId="68EBA982">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（2）方案讲解演示可选择以下其中一种方式：</w:t>
            </w:r>
          </w:p>
          <w:p w14:paraId="72C54FA1">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方式一：广西政府采购云平台在线讲解演示。广西政府采购云平台在线讲解需投标人根据广西政府采购云平台操作要求做好准备工作，提前完善软硬件配置环境。</w:t>
            </w:r>
          </w:p>
          <w:p w14:paraId="709878FE">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方式二：评审现场讲解演示。现场讲解地点为</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，讲解演示所用电脑等设备由投标人自备。现场讲解演示人员进场时提供讲解人员名单（加盖公章或授权代表签名）及身份证明，否则不得讲解演示。</w:t>
            </w:r>
          </w:p>
          <w:p w14:paraId="39F3A98C">
            <w:pPr>
              <w:snapToGrid w:val="0"/>
              <w:spacing w:line="360" w:lineRule="auto"/>
              <w:rPr>
                <w:rFonts w:ascii="宋体" w:hAnsi="宋体" w:cs="宋体"/>
                <w:b/>
                <w:color w:val="auto"/>
                <w:kern w:val="0"/>
                <w:sz w:val="24"/>
                <w:highlight w:val="none"/>
                <w:lang w:val="zh-CN"/>
              </w:rPr>
            </w:pPr>
            <w:r>
              <w:rPr>
                <w:rFonts w:hint="eastAsia" w:ascii="宋体" w:hAnsi="宋体" w:cs="宋体"/>
                <w:color w:val="auto"/>
                <w:kern w:val="0"/>
                <w:sz w:val="24"/>
                <w:highlight w:val="none"/>
              </w:rPr>
              <w:t>注：因投标人自身原因导致无法演示或者演示效果不理想的，责任自负。因平台原因导致本项目方案讲解演示环节无法顺利开展，按照相关规定执行。</w:t>
            </w:r>
          </w:p>
        </w:tc>
      </w:tr>
      <w:tr w14:paraId="5B74B3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461" w:hRule="atLeast"/>
        </w:trPr>
        <w:tc>
          <w:tcPr>
            <w:tcW w:w="629" w:type="dxa"/>
            <w:vMerge w:val="restart"/>
            <w:tcBorders>
              <w:top w:val="single" w:color="auto" w:sz="4" w:space="0"/>
              <w:left w:val="single" w:color="auto" w:sz="4" w:space="0"/>
              <w:right w:val="single" w:color="auto" w:sz="4" w:space="0"/>
            </w:tcBorders>
            <w:vAlign w:val="center"/>
          </w:tcPr>
          <w:p w14:paraId="4F20023F">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8</w:t>
            </w:r>
          </w:p>
        </w:tc>
        <w:tc>
          <w:tcPr>
            <w:tcW w:w="1843" w:type="dxa"/>
            <w:vMerge w:val="restart"/>
            <w:tcBorders>
              <w:top w:val="single" w:color="000000" w:sz="8" w:space="0"/>
              <w:left w:val="single" w:color="auto" w:sz="4" w:space="0"/>
              <w:right w:val="single" w:color="000000" w:sz="8" w:space="0"/>
            </w:tcBorders>
            <w:vAlign w:val="center"/>
          </w:tcPr>
          <w:p w14:paraId="5F22799C">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投标人应当提供的资格、资信证明文件</w:t>
            </w:r>
          </w:p>
        </w:tc>
        <w:tc>
          <w:tcPr>
            <w:tcW w:w="6095" w:type="dxa"/>
            <w:tcBorders>
              <w:top w:val="single" w:color="000000" w:sz="8" w:space="0"/>
              <w:left w:val="single" w:color="000000" w:sz="2" w:space="0"/>
              <w:bottom w:val="single" w:color="auto" w:sz="4" w:space="0"/>
              <w:right w:val="single" w:color="000000" w:sz="8" w:space="0"/>
            </w:tcBorders>
            <w:vAlign w:val="center"/>
          </w:tcPr>
          <w:p w14:paraId="540CB401">
            <w:pPr>
              <w:spacing w:line="360" w:lineRule="auto"/>
              <w:rPr>
                <w:rFonts w:ascii="宋体" w:hAnsi="宋体" w:cs="宋体"/>
                <w:color w:val="auto"/>
                <w:sz w:val="24"/>
                <w:highlight w:val="none"/>
              </w:rPr>
            </w:pPr>
            <w:r>
              <w:rPr>
                <w:rFonts w:hint="eastAsia" w:ascii="宋体" w:hAnsi="宋体" w:cs="宋体"/>
                <w:color w:val="auto"/>
                <w:sz w:val="24"/>
                <w:highlight w:val="none"/>
              </w:rPr>
              <w:t>（1）资格证明文件：见招标文件第二部分11.1。</w:t>
            </w:r>
          </w:p>
          <w:p w14:paraId="55228866">
            <w:pPr>
              <w:spacing w:line="360" w:lineRule="auto"/>
              <w:rPr>
                <w:rFonts w:ascii="宋体" w:hAnsi="宋体" w:cs="宋体"/>
                <w:snapToGrid w:val="0"/>
                <w:color w:val="auto"/>
                <w:kern w:val="0"/>
                <w:szCs w:val="21"/>
                <w:highlight w:val="none"/>
              </w:rPr>
            </w:pPr>
            <w:r>
              <w:rPr>
                <w:rFonts w:hint="eastAsia" w:ascii="宋体" w:hAnsi="宋体" w:cs="宋体"/>
                <w:color w:val="auto"/>
                <w:kern w:val="0"/>
                <w:sz w:val="24"/>
                <w:highlight w:val="none"/>
                <w:lang w:val="zh-CN"/>
              </w:rPr>
              <w:t>投标人未提供有效的资格证明文件的，视为投标人不具备招标文件中规定的资格要求，投标无效。</w:t>
            </w:r>
          </w:p>
        </w:tc>
      </w:tr>
      <w:tr w14:paraId="5BA0BE9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754" w:hRule="atLeast"/>
        </w:trPr>
        <w:tc>
          <w:tcPr>
            <w:tcW w:w="629" w:type="dxa"/>
            <w:vMerge w:val="continue"/>
            <w:tcBorders>
              <w:left w:val="single" w:color="auto" w:sz="4" w:space="0"/>
              <w:bottom w:val="single" w:color="auto" w:sz="4" w:space="0"/>
              <w:right w:val="single" w:color="auto" w:sz="4" w:space="0"/>
            </w:tcBorders>
            <w:vAlign w:val="center"/>
          </w:tcPr>
          <w:p w14:paraId="0B55D7EA">
            <w:pPr>
              <w:snapToGrid w:val="0"/>
              <w:spacing w:line="360" w:lineRule="auto"/>
              <w:jc w:val="center"/>
              <w:rPr>
                <w:rFonts w:ascii="宋体" w:hAnsi="宋体" w:cs="宋体"/>
                <w:color w:val="auto"/>
                <w:sz w:val="24"/>
                <w:highlight w:val="none"/>
              </w:rPr>
            </w:pPr>
          </w:p>
        </w:tc>
        <w:tc>
          <w:tcPr>
            <w:tcW w:w="1843" w:type="dxa"/>
            <w:vMerge w:val="continue"/>
            <w:tcBorders>
              <w:left w:val="single" w:color="auto" w:sz="4" w:space="0"/>
              <w:bottom w:val="single" w:color="000000" w:sz="8" w:space="0"/>
              <w:right w:val="single" w:color="000000" w:sz="8" w:space="0"/>
            </w:tcBorders>
            <w:vAlign w:val="center"/>
          </w:tcPr>
          <w:p w14:paraId="264BF666">
            <w:pPr>
              <w:snapToGrid w:val="0"/>
              <w:spacing w:line="360" w:lineRule="auto"/>
              <w:jc w:val="center"/>
              <w:rPr>
                <w:rFonts w:ascii="宋体" w:hAnsi="宋体" w:cs="宋体"/>
                <w:b/>
                <w:color w:val="auto"/>
                <w:sz w:val="24"/>
                <w:highlight w:val="none"/>
              </w:rPr>
            </w:pPr>
          </w:p>
        </w:tc>
        <w:tc>
          <w:tcPr>
            <w:tcW w:w="6095" w:type="dxa"/>
            <w:tcBorders>
              <w:top w:val="single" w:color="auto" w:sz="4" w:space="0"/>
              <w:left w:val="single" w:color="000000" w:sz="2" w:space="0"/>
              <w:bottom w:val="single" w:color="000000" w:sz="8" w:space="0"/>
              <w:right w:val="single" w:color="000000" w:sz="8" w:space="0"/>
            </w:tcBorders>
            <w:vAlign w:val="center"/>
          </w:tcPr>
          <w:p w14:paraId="16F2E8A0">
            <w:pPr>
              <w:spacing w:line="360" w:lineRule="auto"/>
              <w:rPr>
                <w:rFonts w:ascii="宋体" w:hAnsi="宋体" w:cs="宋体"/>
                <w:color w:val="auto"/>
                <w:sz w:val="24"/>
                <w:highlight w:val="none"/>
              </w:rPr>
            </w:pPr>
            <w:r>
              <w:rPr>
                <w:rFonts w:hint="eastAsia" w:ascii="宋体" w:hAnsi="宋体" w:cs="宋体"/>
                <w:color w:val="auto"/>
                <w:sz w:val="24"/>
                <w:highlight w:val="none"/>
              </w:rPr>
              <w:t>（2）资信证明文件：根据招标文件第三部分采购需求及第四部分评标标准的要求提供。</w:t>
            </w:r>
          </w:p>
        </w:tc>
      </w:tr>
      <w:tr w14:paraId="5F5D51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1BC3BA45">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9</w:t>
            </w:r>
          </w:p>
        </w:tc>
        <w:tc>
          <w:tcPr>
            <w:tcW w:w="1843" w:type="dxa"/>
            <w:tcBorders>
              <w:top w:val="single" w:color="000000" w:sz="8" w:space="0"/>
              <w:left w:val="single" w:color="000000" w:sz="2" w:space="0"/>
              <w:bottom w:val="single" w:color="000000" w:sz="8" w:space="0"/>
              <w:right w:val="single" w:color="000000" w:sz="8" w:space="0"/>
            </w:tcBorders>
            <w:vAlign w:val="center"/>
          </w:tcPr>
          <w:p w14:paraId="57E31D33">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节能产品、环境标志产品</w:t>
            </w:r>
          </w:p>
        </w:tc>
        <w:tc>
          <w:tcPr>
            <w:tcW w:w="6095" w:type="dxa"/>
            <w:tcBorders>
              <w:top w:val="single" w:color="000000" w:sz="8" w:space="0"/>
              <w:left w:val="single" w:color="000000" w:sz="2" w:space="0"/>
              <w:bottom w:val="single" w:color="000000" w:sz="8" w:space="0"/>
              <w:right w:val="single" w:color="000000" w:sz="8" w:space="0"/>
            </w:tcBorders>
            <w:vAlign w:val="center"/>
          </w:tcPr>
          <w:p w14:paraId="3BF014E8">
            <w:pPr>
              <w:snapToGrid w:val="0"/>
              <w:spacing w:line="360" w:lineRule="auto"/>
              <w:rPr>
                <w:rFonts w:ascii="宋体" w:hAnsi="宋体" w:cs="宋体"/>
                <w:color w:val="auto"/>
                <w:highlight w:val="none"/>
              </w:rPr>
            </w:pPr>
            <w:r>
              <w:rPr>
                <w:rFonts w:hint="eastAsia" w:ascii="宋体" w:hAnsi="宋体" w:cs="宋体"/>
                <w:color w:val="auto"/>
                <w:kern w:val="0"/>
                <w:sz w:val="24"/>
                <w:highlight w:val="none"/>
              </w:rPr>
              <w:t>采购人拟采购的产品属于品目清单范围的，采购人及其委托的采购代理机构将依据国家确定的认证机构出具的、处于有效期之内的节能产品、环境标志产品认证证书，对获得证书的产品实施政府优先采购或强制采购。</w:t>
            </w:r>
          </w:p>
        </w:tc>
      </w:tr>
      <w:tr w14:paraId="35F0DD1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86"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68BD150F">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10</w:t>
            </w:r>
          </w:p>
        </w:tc>
        <w:tc>
          <w:tcPr>
            <w:tcW w:w="1843" w:type="dxa"/>
            <w:tcBorders>
              <w:top w:val="single" w:color="000000" w:sz="8" w:space="0"/>
              <w:left w:val="single" w:color="000000" w:sz="2" w:space="0"/>
              <w:bottom w:val="single" w:color="000000" w:sz="8" w:space="0"/>
              <w:right w:val="single" w:color="000000" w:sz="8" w:space="0"/>
            </w:tcBorders>
            <w:vAlign w:val="center"/>
          </w:tcPr>
          <w:p w14:paraId="39413EDE">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报价要求</w:t>
            </w:r>
          </w:p>
        </w:tc>
        <w:tc>
          <w:tcPr>
            <w:tcW w:w="6095" w:type="dxa"/>
            <w:tcBorders>
              <w:top w:val="single" w:color="000000" w:sz="8" w:space="0"/>
              <w:left w:val="single" w:color="000000" w:sz="2" w:space="0"/>
              <w:bottom w:val="single" w:color="000000" w:sz="8" w:space="0"/>
              <w:right w:val="single" w:color="000000" w:sz="8" w:space="0"/>
            </w:tcBorders>
            <w:vAlign w:val="center"/>
          </w:tcPr>
          <w:p w14:paraId="7466B018">
            <w:pPr>
              <w:snapToGrid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有关本项目实施所需的所有费用（含税费）均计入报价。</w:t>
            </w:r>
            <w:r>
              <w:rPr>
                <w:rFonts w:hint="eastAsia" w:ascii="宋体" w:hAnsi="宋体" w:cs="宋体"/>
                <w:bCs/>
                <w:color w:val="auto"/>
                <w:kern w:val="0"/>
                <w:sz w:val="24"/>
                <w:highlight w:val="none"/>
                <w:lang w:val="zh-CN"/>
              </w:rPr>
              <w:t>投标文件</w:t>
            </w:r>
            <w:r>
              <w:rPr>
                <w:rFonts w:hint="eastAsia" w:ascii="宋体" w:hAnsi="宋体" w:cs="宋体"/>
                <w:bCs/>
                <w:color w:val="auto"/>
                <w:sz w:val="24"/>
                <w:highlight w:val="none"/>
              </w:rPr>
              <w:t>开标一览表（报价表）是报价的唯一载体，如投标人在政府采购云平台填写的投标报价与投标文件报价文件中开标一览表（报价表）不一致的，以报价文件中开标一览表（报价表）为准。</w:t>
            </w:r>
            <w:r>
              <w:rPr>
                <w:rFonts w:hint="eastAsia" w:ascii="宋体" w:hAnsi="宋体" w:cs="宋体"/>
                <w:color w:val="auto"/>
                <w:kern w:val="0"/>
                <w:sz w:val="24"/>
                <w:highlight w:val="none"/>
                <w:lang w:val="zh-CN"/>
              </w:rPr>
              <w:t>投标文件中价格全部采用人民币报价。招标文件未列明，而投标人认为必需的费用也需列入报价。</w:t>
            </w:r>
          </w:p>
          <w:p w14:paraId="538DE07F">
            <w:pPr>
              <w:snapToGrid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投标报价出现下列情形的，投标无效：</w:t>
            </w:r>
          </w:p>
          <w:p w14:paraId="394C3F85">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投标文件出现不是唯一的、有选择性投标报价的；</w:t>
            </w:r>
          </w:p>
          <w:p w14:paraId="30119B6A">
            <w:pPr>
              <w:snapToGrid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投标报价超过招标文件中规定的预算金额或者最高限价的;</w:t>
            </w:r>
          </w:p>
          <w:p w14:paraId="07DAC4EA">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投标报价属于招标文件规定的政府采购异常低价情形之一，且投标人不能提供书面说明、证明材料，或者提供的书面说明、证明材料不能证明其报价合理性的</w:t>
            </w:r>
            <w:r>
              <w:rPr>
                <w:rFonts w:hint="eastAsia" w:ascii="宋体" w:hAnsi="宋体" w:cs="宋体"/>
                <w:color w:val="auto"/>
                <w:sz w:val="24"/>
                <w:szCs w:val="21"/>
                <w:highlight w:val="none"/>
              </w:rPr>
              <w:t>;</w:t>
            </w:r>
          </w:p>
          <w:p w14:paraId="78223292">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投标人对根据修正原则修正后的报价不确认的</w:t>
            </w:r>
            <w:r>
              <w:rPr>
                <w:rFonts w:hint="eastAsia" w:ascii="宋体" w:hAnsi="宋体" w:cs="宋体"/>
                <w:color w:val="auto"/>
                <w:sz w:val="24"/>
                <w:highlight w:val="none"/>
              </w:rPr>
              <w:t>。</w:t>
            </w:r>
          </w:p>
        </w:tc>
      </w:tr>
      <w:tr w14:paraId="2DE784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3498" w:hRule="atLeast"/>
        </w:trPr>
        <w:tc>
          <w:tcPr>
            <w:tcW w:w="629" w:type="dxa"/>
            <w:tcBorders>
              <w:top w:val="single" w:color="auto" w:sz="4" w:space="0"/>
              <w:left w:val="single" w:color="000000" w:sz="8" w:space="0"/>
              <w:right w:val="single" w:color="000000" w:sz="2" w:space="0"/>
            </w:tcBorders>
            <w:vAlign w:val="center"/>
          </w:tcPr>
          <w:p w14:paraId="6FD74F7D">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11</w:t>
            </w:r>
          </w:p>
        </w:tc>
        <w:tc>
          <w:tcPr>
            <w:tcW w:w="1843" w:type="dxa"/>
            <w:tcBorders>
              <w:top w:val="single" w:color="000000" w:sz="8" w:space="0"/>
              <w:left w:val="single" w:color="000000" w:sz="2" w:space="0"/>
              <w:right w:val="single" w:color="000000" w:sz="8" w:space="0"/>
            </w:tcBorders>
            <w:vAlign w:val="center"/>
          </w:tcPr>
          <w:p w14:paraId="0926855E">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中小企业信用融资</w:t>
            </w:r>
          </w:p>
        </w:tc>
        <w:tc>
          <w:tcPr>
            <w:tcW w:w="6095" w:type="dxa"/>
            <w:tcBorders>
              <w:top w:val="single" w:color="000000" w:sz="8" w:space="0"/>
              <w:left w:val="single" w:color="000000" w:sz="2" w:space="0"/>
              <w:right w:val="single" w:color="000000" w:sz="8" w:space="0"/>
            </w:tcBorders>
            <w:vAlign w:val="center"/>
          </w:tcPr>
          <w:p w14:paraId="059CE523">
            <w:pPr>
              <w:spacing w:line="360" w:lineRule="auto"/>
              <w:ind w:firstLine="480" w:firstLineChars="200"/>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为支持和促进中小企业发展，进一步发挥政府采购政策功能，北海市财政局与北海市工业和信息化局共同出台了《关于贯彻落实政府采购领域促进中小企业发展措施的通知》，供应商若有融资意向，详见《关于贯彻落实政府采购领域促进中小企业发展措施的通知》，或登录北海市政府采购中心网站自助查询。</w:t>
            </w:r>
          </w:p>
          <w:p w14:paraId="188B5E9E">
            <w:pPr>
              <w:spacing w:line="360" w:lineRule="auto"/>
              <w:ind w:firstLine="480" w:firstLineChars="200"/>
              <w:rPr>
                <w:rFonts w:ascii="宋体" w:hAnsi="宋体" w:cs="宋体"/>
                <w:color w:val="auto"/>
                <w:sz w:val="24"/>
                <w:highlight w:val="none"/>
              </w:rPr>
            </w:pPr>
            <w:r>
              <w:rPr>
                <w:rFonts w:hint="eastAsia" w:ascii="宋体" w:hAnsi="宋体" w:cs="宋体"/>
                <w:snapToGrid w:val="0"/>
                <w:color w:val="auto"/>
                <w:kern w:val="28"/>
                <w:sz w:val="24"/>
                <w:highlight w:val="none"/>
              </w:rPr>
              <w:t>供应商中标后也可在“广西政府采购云”平台申请政采贷：操作路径：登录广西政府采购云平台-金融服务中心-【融资服务】，可在热门申请中选择产品直接申请。</w:t>
            </w:r>
          </w:p>
        </w:tc>
      </w:tr>
      <w:tr w14:paraId="1C3D0C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1734" w:hRule="atLeast"/>
        </w:trPr>
        <w:tc>
          <w:tcPr>
            <w:tcW w:w="629" w:type="dxa"/>
            <w:tcBorders>
              <w:top w:val="single" w:color="auto" w:sz="4" w:space="0"/>
              <w:left w:val="single" w:color="000000" w:sz="8" w:space="0"/>
              <w:bottom w:val="single" w:color="auto" w:sz="4" w:space="0"/>
              <w:right w:val="single" w:color="000000" w:sz="2" w:space="0"/>
            </w:tcBorders>
            <w:vAlign w:val="center"/>
          </w:tcPr>
          <w:p w14:paraId="159FDAC3">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12</w:t>
            </w:r>
          </w:p>
        </w:tc>
        <w:tc>
          <w:tcPr>
            <w:tcW w:w="1843" w:type="dxa"/>
            <w:tcBorders>
              <w:top w:val="single" w:color="000000" w:sz="8" w:space="0"/>
              <w:left w:val="single" w:color="000000" w:sz="2" w:space="0"/>
              <w:bottom w:val="single" w:color="000000" w:sz="8" w:space="0"/>
              <w:right w:val="single" w:color="000000" w:sz="8" w:space="0"/>
            </w:tcBorders>
            <w:vAlign w:val="center"/>
          </w:tcPr>
          <w:p w14:paraId="56B73ECC">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 xml:space="preserve">备份投标文件送达地点和签收人员 </w:t>
            </w:r>
          </w:p>
        </w:tc>
        <w:tc>
          <w:tcPr>
            <w:tcW w:w="6095" w:type="dxa"/>
            <w:tcBorders>
              <w:top w:val="single" w:color="000000" w:sz="8" w:space="0"/>
              <w:left w:val="single" w:color="000000" w:sz="2" w:space="0"/>
              <w:bottom w:val="single" w:color="000000" w:sz="8" w:space="0"/>
              <w:right w:val="single" w:color="000000" w:sz="8" w:space="0"/>
            </w:tcBorders>
            <w:vAlign w:val="center"/>
          </w:tcPr>
          <w:p w14:paraId="56E4E9C5">
            <w:pPr>
              <w:spacing w:line="360" w:lineRule="auto"/>
              <w:rPr>
                <w:rFonts w:ascii="宋体" w:hAnsi="宋体" w:cs="宋体"/>
                <w:color w:val="auto"/>
                <w:sz w:val="24"/>
                <w:highlight w:val="none"/>
              </w:rPr>
            </w:pPr>
            <w:sdt>
              <w:sdtPr>
                <w:rPr>
                  <w:rFonts w:hint="eastAsia" w:ascii="宋体" w:hAnsi="宋体" w:cs="宋体"/>
                  <w:color w:val="auto"/>
                  <w:kern w:val="0"/>
                  <w:sz w:val="24"/>
                  <w:highlight w:val="none"/>
                </w:rPr>
                <w:id w:val="1297724926"/>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A</w:t>
            </w:r>
            <w:r>
              <w:rPr>
                <w:rFonts w:hint="eastAsia" w:ascii="宋体" w:hAnsi="宋体" w:cs="宋体"/>
                <w:color w:val="auto"/>
                <w:sz w:val="24"/>
                <w:highlight w:val="none"/>
              </w:rPr>
              <w:t>不接受。</w:t>
            </w:r>
          </w:p>
          <w:p w14:paraId="07843C49">
            <w:pPr>
              <w:pStyle w:val="34"/>
              <w:spacing w:line="360" w:lineRule="auto"/>
              <w:rPr>
                <w:rFonts w:hAnsi="宋体" w:cs="宋体"/>
                <w:color w:val="auto"/>
                <w:kern w:val="28"/>
                <w:sz w:val="24"/>
                <w:highlight w:val="none"/>
              </w:rPr>
            </w:pPr>
            <w:sdt>
              <w:sdtPr>
                <w:rPr>
                  <w:rFonts w:hint="eastAsia" w:hAnsi="宋体" w:cs="宋体"/>
                  <w:color w:val="auto"/>
                  <w:kern w:val="0"/>
                  <w:sz w:val="24"/>
                  <w:highlight w:val="none"/>
                </w:rPr>
                <w:id w:val="1206604863"/>
                <w14:checkbox>
                  <w14:checked w14:val="0"/>
                  <w14:checkedState w14:val="00FE" w14:font="Wingdings"/>
                  <w14:uncheckedState w14:val="2610" w14:font="MS Gothic"/>
                </w14:checkbox>
              </w:sdtPr>
              <w:sdtEndPr>
                <w:rPr>
                  <w:rFonts w:hint="eastAsia" w:hAnsi="宋体" w:cs="宋体"/>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hAnsi="宋体" w:cs="宋体"/>
                <w:color w:val="auto"/>
                <w:kern w:val="0"/>
                <w:sz w:val="24"/>
                <w:highlight w:val="none"/>
              </w:rPr>
              <w:t>B</w:t>
            </w:r>
            <w:r>
              <w:rPr>
                <w:rFonts w:hint="eastAsia" w:hAnsi="宋体" w:cs="宋体"/>
                <w:color w:val="auto"/>
                <w:sz w:val="24"/>
                <w:highlight w:val="none"/>
              </w:rPr>
              <w:t>接受</w:t>
            </w:r>
            <w:r>
              <w:rPr>
                <w:rFonts w:hint="eastAsia" w:hAnsi="宋体" w:cs="宋体"/>
                <w:color w:val="auto"/>
                <w:kern w:val="0"/>
                <w:sz w:val="24"/>
                <w:highlight w:val="none"/>
              </w:rPr>
              <w:t>：</w:t>
            </w:r>
            <w:r>
              <w:rPr>
                <w:rFonts w:hint="eastAsia" w:hAnsi="宋体" w:cs="宋体"/>
                <w:color w:val="auto"/>
                <w:kern w:val="28"/>
                <w:sz w:val="24"/>
                <w:highlight w:val="none"/>
              </w:rPr>
              <w:t>备份投标文件送达地点：</w:t>
            </w:r>
            <w:r>
              <w:rPr>
                <w:rFonts w:hint="eastAsia" w:hAnsi="宋体" w:cs="宋体"/>
                <w:color w:val="auto"/>
                <w:sz w:val="24"/>
                <w:highlight w:val="none"/>
                <w:u w:val="single"/>
              </w:rPr>
              <w:t xml:space="preserve">         </w:t>
            </w:r>
            <w:r>
              <w:rPr>
                <w:rFonts w:hint="eastAsia" w:hAnsi="宋体" w:cs="宋体"/>
                <w:color w:val="auto"/>
                <w:kern w:val="28"/>
                <w:sz w:val="24"/>
                <w:highlight w:val="none"/>
              </w:rPr>
              <w:t>；备份投标文件签收人员联系电话：</w:t>
            </w:r>
            <w:r>
              <w:rPr>
                <w:rFonts w:hint="eastAsia" w:hAnsi="宋体" w:cs="宋体"/>
                <w:color w:val="auto"/>
                <w:sz w:val="24"/>
                <w:highlight w:val="none"/>
                <w:u w:val="single"/>
              </w:rPr>
              <w:t xml:space="preserve">        </w:t>
            </w:r>
            <w:r>
              <w:rPr>
                <w:rFonts w:hint="eastAsia" w:hAnsi="宋体" w:cs="宋体"/>
                <w:color w:val="auto"/>
                <w:sz w:val="24"/>
                <w:highlight w:val="none"/>
              </w:rPr>
              <w:t>。</w:t>
            </w:r>
            <w:r>
              <w:rPr>
                <w:rFonts w:hint="eastAsia" w:hAnsi="宋体" w:cs="宋体"/>
                <w:b/>
                <w:color w:val="auto"/>
                <w:sz w:val="24"/>
                <w:highlight w:val="none"/>
              </w:rPr>
              <w:t>采购人、采购代理机构不强制或变相强制投标人提交备份投标文件。</w:t>
            </w:r>
          </w:p>
        </w:tc>
      </w:tr>
      <w:tr w14:paraId="3C0E54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trPr>
        <w:tc>
          <w:tcPr>
            <w:tcW w:w="629" w:type="dxa"/>
            <w:vMerge w:val="restart"/>
            <w:tcBorders>
              <w:top w:val="single" w:color="auto" w:sz="4" w:space="0"/>
              <w:left w:val="single" w:color="000000" w:sz="8" w:space="0"/>
              <w:right w:val="single" w:color="000000" w:sz="2" w:space="0"/>
            </w:tcBorders>
            <w:vAlign w:val="center"/>
          </w:tcPr>
          <w:p w14:paraId="7A888298">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13</w:t>
            </w:r>
          </w:p>
        </w:tc>
        <w:tc>
          <w:tcPr>
            <w:tcW w:w="1843" w:type="dxa"/>
            <w:vMerge w:val="restart"/>
            <w:tcBorders>
              <w:top w:val="single" w:color="000000" w:sz="8" w:space="0"/>
              <w:left w:val="single" w:color="000000" w:sz="2" w:space="0"/>
              <w:right w:val="single" w:color="000000" w:sz="8" w:space="0"/>
            </w:tcBorders>
            <w:vAlign w:val="center"/>
          </w:tcPr>
          <w:p w14:paraId="49A1D569">
            <w:pPr>
              <w:snapToGrid w:val="0"/>
              <w:spacing w:line="360" w:lineRule="auto"/>
              <w:jc w:val="center"/>
              <w:rPr>
                <w:rFonts w:ascii="宋体" w:hAnsi="宋体" w:cs="宋体"/>
                <w:b/>
                <w:color w:val="auto"/>
                <w:sz w:val="24"/>
                <w:highlight w:val="none"/>
              </w:rPr>
            </w:pPr>
            <w:r>
              <w:rPr>
                <w:rFonts w:hint="eastAsia" w:cs="仿宋_GB2312" w:asciiTheme="minorEastAsia" w:hAnsiTheme="minorEastAsia" w:eastAsiaTheme="minorEastAsia"/>
                <w:b/>
                <w:color w:val="auto"/>
                <w:sz w:val="24"/>
                <w:highlight w:val="none"/>
              </w:rPr>
              <w:t>特别说明</w:t>
            </w:r>
          </w:p>
        </w:tc>
        <w:tc>
          <w:tcPr>
            <w:tcW w:w="6095" w:type="dxa"/>
            <w:tcBorders>
              <w:top w:val="single" w:color="000000" w:sz="8" w:space="0"/>
              <w:left w:val="single" w:color="000000" w:sz="2" w:space="0"/>
              <w:bottom w:val="single" w:color="000000" w:sz="8" w:space="0"/>
              <w:right w:val="single" w:color="000000" w:sz="8" w:space="0"/>
            </w:tcBorders>
            <w:vAlign w:val="center"/>
          </w:tcPr>
          <w:p w14:paraId="1F47EE26">
            <w:pPr>
              <w:spacing w:line="360" w:lineRule="auto"/>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联合体投标的，联合体各方分别提供与联合体协议中规定的分工内容相应的业绩证明材料，业绩数量以提供材料较少的一方为准。</w:t>
            </w:r>
          </w:p>
        </w:tc>
      </w:tr>
      <w:tr w14:paraId="1A1C8E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935" w:hRule="atLeast"/>
        </w:trPr>
        <w:tc>
          <w:tcPr>
            <w:tcW w:w="629" w:type="dxa"/>
            <w:vMerge w:val="continue"/>
            <w:tcBorders>
              <w:left w:val="single" w:color="000000" w:sz="8" w:space="0"/>
              <w:bottom w:val="single" w:color="auto" w:sz="4" w:space="0"/>
              <w:right w:val="single" w:color="000000" w:sz="2" w:space="0"/>
            </w:tcBorders>
            <w:vAlign w:val="center"/>
          </w:tcPr>
          <w:p w14:paraId="1472328F">
            <w:pPr>
              <w:snapToGrid w:val="0"/>
              <w:spacing w:line="360" w:lineRule="auto"/>
              <w:jc w:val="center"/>
              <w:rPr>
                <w:rFonts w:ascii="宋体" w:hAnsi="宋体" w:cs="宋体"/>
                <w:color w:val="auto"/>
                <w:sz w:val="24"/>
                <w:highlight w:val="none"/>
              </w:rPr>
            </w:pPr>
          </w:p>
        </w:tc>
        <w:tc>
          <w:tcPr>
            <w:tcW w:w="1843" w:type="dxa"/>
            <w:vMerge w:val="continue"/>
            <w:tcBorders>
              <w:left w:val="single" w:color="000000" w:sz="2" w:space="0"/>
              <w:bottom w:val="single" w:color="auto" w:sz="4" w:space="0"/>
              <w:right w:val="single" w:color="000000" w:sz="8" w:space="0"/>
            </w:tcBorders>
            <w:vAlign w:val="center"/>
          </w:tcPr>
          <w:p w14:paraId="7F30A721">
            <w:pPr>
              <w:snapToGrid w:val="0"/>
              <w:spacing w:line="360" w:lineRule="auto"/>
              <w:jc w:val="center"/>
              <w:rPr>
                <w:rFonts w:ascii="宋体" w:hAnsi="宋体" w:cs="宋体"/>
                <w:b/>
                <w:color w:val="auto"/>
                <w:sz w:val="24"/>
                <w:highlight w:val="none"/>
              </w:rPr>
            </w:pPr>
          </w:p>
        </w:tc>
        <w:tc>
          <w:tcPr>
            <w:tcW w:w="6095" w:type="dxa"/>
            <w:tcBorders>
              <w:top w:val="single" w:color="000000" w:sz="8" w:space="0"/>
              <w:left w:val="single" w:color="000000" w:sz="2" w:space="0"/>
              <w:bottom w:val="single" w:color="auto" w:sz="4" w:space="0"/>
              <w:right w:val="single" w:color="000000" w:sz="8" w:space="0"/>
            </w:tcBorders>
            <w:vAlign w:val="center"/>
          </w:tcPr>
          <w:p w14:paraId="0E1A555C">
            <w:pPr>
              <w:spacing w:line="360" w:lineRule="auto"/>
              <w:rPr>
                <w:rFonts w:ascii="宋体" w:hAnsi="宋体" w:cs="宋体"/>
                <w:snapToGrid w:val="0"/>
                <w:color w:val="auto"/>
                <w:kern w:val="28"/>
                <w:sz w:val="24"/>
                <w:highlight w:val="none"/>
              </w:rPr>
            </w:pPr>
            <w:sdt>
              <w:sdtPr>
                <w:rPr>
                  <w:rFonts w:hint="eastAsia" w:cs="Arial" w:asciiTheme="minorEastAsia" w:hAnsiTheme="minorEastAsia" w:eastAsiaTheme="minorEastAsia"/>
                  <w:color w:val="auto"/>
                  <w:kern w:val="0"/>
                  <w:sz w:val="24"/>
                  <w:highlight w:val="none"/>
                </w:rPr>
                <w:id w:val="-1816336663"/>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snapToGrid w:val="0"/>
                <w:color w:val="auto"/>
                <w:kern w:val="28"/>
                <w:sz w:val="24"/>
                <w:highlight w:val="none"/>
              </w:rPr>
              <w:t>联合体投标的，联合体各方均需按招标文件第四部分评标标准要求提供资信证明文件，否则视为不符合相关要求。</w:t>
            </w:r>
          </w:p>
          <w:p w14:paraId="7D74EE0A">
            <w:pPr>
              <w:spacing w:line="360" w:lineRule="auto"/>
              <w:rPr>
                <w:rFonts w:ascii="宋体" w:hAnsi="宋体" w:cs="宋体"/>
                <w:snapToGrid w:val="0"/>
                <w:color w:val="auto"/>
                <w:kern w:val="28"/>
                <w:sz w:val="24"/>
                <w:highlight w:val="none"/>
              </w:rPr>
            </w:pPr>
            <w:sdt>
              <w:sdtPr>
                <w:rPr>
                  <w:rFonts w:hint="eastAsia" w:cs="Arial" w:asciiTheme="minorEastAsia" w:hAnsiTheme="minorEastAsia" w:eastAsiaTheme="minorEastAsia"/>
                  <w:color w:val="auto"/>
                  <w:kern w:val="0"/>
                  <w:sz w:val="24"/>
                  <w:highlight w:val="none"/>
                </w:rPr>
                <w:id w:val="-232311894"/>
                <w14:checkbox>
                  <w14:checked w14:val="0"/>
                  <w14:checkedState w14:val="00FE" w14:font="Wingdings"/>
                  <w14:uncheckedState w14:val="2610" w14:font="MS Gothic"/>
                </w14:checkbox>
              </w:sdtPr>
              <w:sdtEndPr>
                <w:rPr>
                  <w:rFonts w:hint="eastAsia" w:cs="Arial" w:asciiTheme="minorEastAsia" w:hAnsiTheme="minorEastAsia" w:eastAsiaTheme="minorEastAsia"/>
                  <w:color w:val="auto"/>
                  <w:kern w:val="0"/>
                  <w:sz w:val="24"/>
                  <w:highlight w:val="none"/>
                </w:rPr>
              </w:sdtEndPr>
              <w:sdtContent>
                <w:r>
                  <w:rPr>
                    <w:rFonts w:hint="eastAsia" w:ascii="MS Gothic" w:hAnsi="MS Gothic" w:eastAsia="MS Gothic" w:cs="Arial"/>
                    <w:color w:val="auto"/>
                    <w:kern w:val="0"/>
                    <w:sz w:val="24"/>
                    <w:highlight w:val="none"/>
                  </w:rPr>
                  <w:t>☐</w:t>
                </w:r>
              </w:sdtContent>
            </w:sdt>
            <w:r>
              <w:rPr>
                <w:rFonts w:hint="eastAsia" w:ascii="宋体" w:hAnsi="宋体" w:cs="宋体"/>
                <w:snapToGrid w:val="0"/>
                <w:color w:val="auto"/>
                <w:kern w:val="28"/>
                <w:sz w:val="24"/>
                <w:highlight w:val="none"/>
              </w:rPr>
              <w:t>联合体投标的，联合体中有一方或者联合体成员根据分工按招标文件第四部分评标标准要求提供资信证明文件的，视为符合了相关要求。</w:t>
            </w:r>
          </w:p>
        </w:tc>
      </w:tr>
      <w:tr w14:paraId="1715C0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28" w:type="dxa"/>
            <w:bottom w:w="0" w:type="dxa"/>
            <w:right w:w="28" w:type="dxa"/>
          </w:tblCellMar>
        </w:tblPrEx>
        <w:trPr>
          <w:trHeight w:val="671" w:hRule="atLeast"/>
        </w:trPr>
        <w:tc>
          <w:tcPr>
            <w:tcW w:w="629" w:type="dxa"/>
            <w:tcBorders>
              <w:top w:val="single" w:color="auto" w:sz="4" w:space="0"/>
              <w:left w:val="single" w:color="auto" w:sz="4" w:space="0"/>
              <w:bottom w:val="single" w:color="auto" w:sz="4" w:space="0"/>
              <w:right w:val="single" w:color="auto" w:sz="4" w:space="0"/>
            </w:tcBorders>
            <w:vAlign w:val="center"/>
          </w:tcPr>
          <w:p w14:paraId="7EB266A8">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14</w:t>
            </w:r>
          </w:p>
        </w:tc>
        <w:tc>
          <w:tcPr>
            <w:tcW w:w="1843" w:type="dxa"/>
            <w:tcBorders>
              <w:top w:val="single" w:color="auto" w:sz="4" w:space="0"/>
              <w:left w:val="single" w:color="auto" w:sz="4" w:space="0"/>
              <w:bottom w:val="single" w:color="auto" w:sz="4" w:space="0"/>
              <w:right w:val="single" w:color="auto" w:sz="4" w:space="0"/>
            </w:tcBorders>
            <w:vAlign w:val="center"/>
          </w:tcPr>
          <w:p w14:paraId="3DFD88A4">
            <w:pPr>
              <w:snapToGrid w:val="0"/>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解释权</w:t>
            </w:r>
          </w:p>
        </w:tc>
        <w:tc>
          <w:tcPr>
            <w:tcW w:w="6095" w:type="dxa"/>
            <w:tcBorders>
              <w:top w:val="single" w:color="auto" w:sz="4" w:space="0"/>
              <w:left w:val="single" w:color="auto" w:sz="4" w:space="0"/>
              <w:bottom w:val="single" w:color="auto" w:sz="4" w:space="0"/>
              <w:right w:val="single" w:color="auto" w:sz="4" w:space="0"/>
            </w:tcBorders>
            <w:vAlign w:val="center"/>
          </w:tcPr>
          <w:p w14:paraId="28F0FEEB">
            <w:pPr>
              <w:spacing w:line="360" w:lineRule="auto"/>
              <w:rPr>
                <w:rFonts w:cs="Arial" w:asciiTheme="minorEastAsia" w:hAnsiTheme="minorEastAsia" w:eastAsiaTheme="minorEastAsia"/>
                <w:color w:val="auto"/>
                <w:kern w:val="0"/>
                <w:sz w:val="24"/>
                <w:highlight w:val="none"/>
              </w:rPr>
            </w:pPr>
            <w:r>
              <w:rPr>
                <w:rFonts w:hint="eastAsia" w:cs="Arial" w:asciiTheme="minorEastAsia" w:hAnsiTheme="minorEastAsia" w:eastAsiaTheme="minorEastAsia"/>
                <w:color w:val="auto"/>
                <w:kern w:val="0"/>
                <w:sz w:val="24"/>
                <w:highlight w:val="none"/>
              </w:rPr>
              <w:t>本招标文件解释权属采购人及代理机构。</w:t>
            </w:r>
          </w:p>
        </w:tc>
      </w:tr>
    </w:tbl>
    <w:p w14:paraId="7B0366F0">
      <w:pPr>
        <w:snapToGrid w:val="0"/>
        <w:spacing w:line="360" w:lineRule="auto"/>
        <w:jc w:val="center"/>
        <w:rPr>
          <w:rFonts w:ascii="宋体" w:hAnsi="宋体" w:cs="宋体"/>
          <w:b/>
          <w:color w:val="auto"/>
          <w:sz w:val="32"/>
          <w:szCs w:val="20"/>
          <w:highlight w:val="none"/>
        </w:rPr>
      </w:pPr>
    </w:p>
    <w:bookmarkEnd w:id="13"/>
    <w:p w14:paraId="73401FD7">
      <w:pPr>
        <w:adjustRightInd/>
        <w:spacing w:line="360" w:lineRule="auto"/>
        <w:ind w:firstLine="3845" w:firstLineChars="1197"/>
        <w:outlineLvl w:val="1"/>
        <w:rPr>
          <w:rFonts w:ascii="宋体" w:hAnsi="宋体" w:cs="宋体"/>
          <w:b/>
          <w:color w:val="auto"/>
          <w:sz w:val="32"/>
          <w:szCs w:val="20"/>
          <w:highlight w:val="none"/>
        </w:rPr>
      </w:pPr>
      <w:bookmarkStart w:id="26" w:name="第三部分"/>
      <w:bookmarkStart w:id="27" w:name="_Toc164416483"/>
      <w:r>
        <w:rPr>
          <w:rFonts w:hint="eastAsia" w:ascii="宋体" w:hAnsi="宋体" w:cs="宋体"/>
          <w:b/>
          <w:color w:val="auto"/>
          <w:sz w:val="32"/>
          <w:szCs w:val="20"/>
          <w:highlight w:val="none"/>
        </w:rPr>
        <w:t>一、总则</w:t>
      </w:r>
    </w:p>
    <w:p w14:paraId="6C3E427D">
      <w:pPr>
        <w:snapToGrid w:val="0"/>
        <w:spacing w:line="360" w:lineRule="auto"/>
        <w:ind w:firstLine="361" w:firstLineChars="150"/>
        <w:jc w:val="left"/>
        <w:rPr>
          <w:rFonts w:ascii="宋体" w:hAnsi="宋体" w:cs="宋体"/>
          <w:b/>
          <w:color w:val="auto"/>
          <w:sz w:val="24"/>
          <w:highlight w:val="none"/>
        </w:rPr>
      </w:pPr>
      <w:r>
        <w:rPr>
          <w:rFonts w:hint="eastAsia" w:ascii="宋体" w:hAnsi="宋体" w:cs="宋体"/>
          <w:b/>
          <w:color w:val="auto"/>
          <w:sz w:val="24"/>
          <w:highlight w:val="none"/>
        </w:rPr>
        <w:t>1. 适用范围</w:t>
      </w:r>
    </w:p>
    <w:p w14:paraId="047CE266">
      <w:pPr>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本招标文件适用于该项目的招标、投标、开标、资格审查及信用信息查询、评标、定标、合同、验收等行为（法律、法规另有规定的，从其规定）。</w:t>
      </w:r>
    </w:p>
    <w:p w14:paraId="73799976">
      <w:pPr>
        <w:adjustRightInd/>
        <w:spacing w:line="360" w:lineRule="auto"/>
        <w:rPr>
          <w:rFonts w:ascii="宋体" w:hAnsi="宋体" w:cs="宋体"/>
          <w:b/>
          <w:color w:val="auto"/>
          <w:sz w:val="24"/>
          <w:highlight w:val="none"/>
        </w:rPr>
      </w:pPr>
      <w:r>
        <w:rPr>
          <w:rFonts w:hint="eastAsia" w:ascii="宋体" w:hAnsi="宋体" w:cs="宋体"/>
          <w:b/>
          <w:color w:val="auto"/>
          <w:sz w:val="24"/>
          <w:highlight w:val="none"/>
        </w:rPr>
        <w:t xml:space="preserve">   2.定义</w:t>
      </w:r>
    </w:p>
    <w:p w14:paraId="4D1864FE">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2.1 “采购人”系指招标公告中载明的本项目的采购人。</w:t>
      </w:r>
    </w:p>
    <w:p w14:paraId="5E20DE9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2.2 “采购代理机构”系指招标公告中载明的本项目的采购代理机构。</w:t>
      </w:r>
    </w:p>
    <w:p w14:paraId="62FF201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2.3 “投标人”系指是指响应招标、参加投标竞争的法人、其他组织或者自然人。</w:t>
      </w:r>
    </w:p>
    <w:p w14:paraId="0040674C">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2.4 “法定代表人（负责人）”系指法人企业的法定负责人，或其他组织为法律、行政法规规定代表单位行使职权的主要负责人，或自然人本人。</w:t>
      </w:r>
    </w:p>
    <w:p w14:paraId="040BB85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2.5“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09CA4D7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文件所涉及的法定代表人（负责人）或其委托代理人签名的内容，可以是供应商的法定代表人（负责人）或其委托代理人的电子签名；如果供应商没有法定代表人（负责人）或其委托代理人的电子签名，供应商也可以线下签名或盖姓名章后扫描上传。电子投标文件加盖公章部分均采用CA签章。</w:t>
      </w:r>
    </w:p>
    <w:p w14:paraId="717B3C0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2.6“电子交易平台”系指本项目政府采购活动所依托的广西政府采购云平台（https://www.gcy.zfcg.gxzf.gov.cn/）。</w:t>
      </w:r>
    </w:p>
    <w:p w14:paraId="510B00A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2.7 “▲” 系指实质性要求条款，“</w:t>
      </w:r>
      <w:r>
        <w:rPr>
          <w:rFonts w:hint="eastAsia" w:ascii="宋体" w:hAnsi="宋体" w:cs="宋体"/>
          <w:color w:val="auto"/>
          <w:kern w:val="0"/>
          <w:sz w:val="24"/>
          <w:highlight w:val="none"/>
        </w:rPr>
        <w:sym w:font="Wingdings" w:char="F0FE"/>
      </w:r>
      <w:r>
        <w:rPr>
          <w:rFonts w:ascii="宋体" w:hAnsi="宋体" w:cs="宋体"/>
          <w:color w:val="auto"/>
          <w:kern w:val="0"/>
          <w:sz w:val="24"/>
          <w:highlight w:val="none"/>
        </w:rPr>
        <w:t>”</w:t>
      </w:r>
      <w:r>
        <w:rPr>
          <w:rFonts w:hint="eastAsia" w:ascii="宋体" w:hAnsi="宋体" w:cs="宋体"/>
          <w:color w:val="auto"/>
          <w:sz w:val="24"/>
          <w:highlight w:val="none"/>
        </w:rPr>
        <w:t>系指适用本项目的要求，“</w:t>
      </w:r>
      <w:r>
        <w:rPr>
          <w:rFonts w:hint="eastAsia" w:ascii="宋体" w:hAnsi="宋体" w:cs="宋体"/>
          <w:color w:val="auto"/>
          <w:kern w:val="0"/>
          <w:sz w:val="24"/>
          <w:highlight w:val="none"/>
        </w:rPr>
        <w:t>□</w:t>
      </w:r>
      <w:r>
        <w:rPr>
          <w:rFonts w:ascii="宋体" w:hAnsi="宋体" w:cs="宋体"/>
          <w:color w:val="auto"/>
          <w:kern w:val="0"/>
          <w:sz w:val="24"/>
          <w:highlight w:val="none"/>
        </w:rPr>
        <w:t>”</w:t>
      </w:r>
      <w:r>
        <w:rPr>
          <w:rFonts w:hint="eastAsia" w:ascii="宋体" w:hAnsi="宋体" w:cs="宋体"/>
          <w:color w:val="auto"/>
          <w:sz w:val="24"/>
          <w:highlight w:val="none"/>
        </w:rPr>
        <w:t>系指不适用本项目的要求。</w:t>
      </w:r>
    </w:p>
    <w:p w14:paraId="1504AB44">
      <w:pPr>
        <w:spacing w:line="360" w:lineRule="auto"/>
        <w:ind w:firstLine="241" w:firstLineChars="100"/>
        <w:rPr>
          <w:rFonts w:ascii="宋体" w:hAnsi="宋体" w:cs="宋体"/>
          <w:b/>
          <w:color w:val="auto"/>
          <w:sz w:val="24"/>
          <w:highlight w:val="none"/>
        </w:rPr>
      </w:pPr>
      <w:r>
        <w:rPr>
          <w:rFonts w:hint="eastAsia" w:ascii="宋体" w:hAnsi="宋体" w:cs="宋体"/>
          <w:b/>
          <w:color w:val="auto"/>
          <w:sz w:val="24"/>
          <w:highlight w:val="none"/>
        </w:rPr>
        <w:t>3.</w:t>
      </w:r>
      <w:r>
        <w:rPr>
          <w:rFonts w:hint="eastAsia" w:ascii="宋体" w:hAnsi="宋体" w:cs="宋体"/>
          <w:color w:val="auto"/>
          <w:highlight w:val="none"/>
        </w:rPr>
        <w:t xml:space="preserve"> </w:t>
      </w:r>
      <w:r>
        <w:rPr>
          <w:rFonts w:hint="eastAsia" w:ascii="宋体" w:hAnsi="宋体" w:cs="宋体"/>
          <w:b/>
          <w:color w:val="auto"/>
          <w:sz w:val="24"/>
          <w:highlight w:val="none"/>
        </w:rPr>
        <w:t>采购项目需要落实的政府采购政策</w:t>
      </w:r>
    </w:p>
    <w:p w14:paraId="40B59B4A">
      <w:pPr>
        <w:spacing w:line="360" w:lineRule="auto"/>
        <w:ind w:firstLine="240" w:firstLineChars="100"/>
        <w:rPr>
          <w:rFonts w:ascii="宋体" w:hAnsi="宋体" w:cs="宋体"/>
          <w:color w:val="auto"/>
          <w:sz w:val="24"/>
          <w:highlight w:val="none"/>
        </w:rPr>
      </w:pPr>
      <w:r>
        <w:rPr>
          <w:rFonts w:hint="eastAsia" w:ascii="宋体" w:hAnsi="宋体" w:cs="宋体"/>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代理机构不会对其加以限制，仍将按照公平竞争原则实施采购）；</w:t>
      </w:r>
      <w:r>
        <w:rPr>
          <w:rFonts w:hint="eastAsia" w:ascii="宋体" w:hAnsi="宋体" w:cs="宋体"/>
          <w:color w:val="auto"/>
          <w:kern w:val="0"/>
          <w:sz w:val="24"/>
          <w:highlight w:val="none"/>
        </w:rPr>
        <w:t>优先采购向我国企业转让技术、与我国企业签订消化吸收再创新方案的供应商的进口产品</w:t>
      </w:r>
      <w:r>
        <w:rPr>
          <w:rFonts w:hint="eastAsia" w:ascii="宋体" w:hAnsi="宋体" w:cs="宋体"/>
          <w:color w:val="auto"/>
          <w:sz w:val="24"/>
          <w:highlight w:val="none"/>
        </w:rPr>
        <w:t>。</w:t>
      </w:r>
    </w:p>
    <w:p w14:paraId="79952F74">
      <w:pPr>
        <w:spacing w:line="360" w:lineRule="auto"/>
        <w:ind w:firstLine="480" w:firstLineChars="200"/>
        <w:rPr>
          <w:rFonts w:ascii="宋体" w:hAnsi="宋体" w:cs="宋体"/>
          <w:color w:val="auto"/>
          <w:sz w:val="24"/>
          <w:highlight w:val="none"/>
        </w:rPr>
      </w:pPr>
      <w:bookmarkStart w:id="28" w:name="OLE_LINK4"/>
      <w:bookmarkStart w:id="29" w:name="OLE_LINK3"/>
      <w:r>
        <w:rPr>
          <w:rFonts w:hint="eastAsia" w:ascii="宋体" w:hAnsi="宋体" w:cs="宋体"/>
          <w:color w:val="auto"/>
          <w:sz w:val="24"/>
          <w:highlight w:val="none"/>
        </w:rPr>
        <w:t>3.2 实施本国产品标准及相关政策</w:t>
      </w:r>
    </w:p>
    <w:p w14:paraId="6604E3C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3.2.1 本国产品应当符合以下条件：（一）在中国境内生产；（二）在中国境内生产的组件成本占比达到规定比例；（三）特定产品的关键组件、关键工序符合相关要求。</w:t>
      </w:r>
    </w:p>
    <w:p w14:paraId="13D51E0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3.2.2 本国产品标准的适用范围：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0EABAD03">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3.2.3 对本国产品的支持政策：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478BC06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0270253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3.2.4 供应商应提供的证明文件：供应商拟享受该政策的，应当对其提供的产品出具《关于符合本国产品标准的声明函》（样式见附件8）或财政部会同有关部门规定的有关证明文件。出具符合要求的《声明函》或有关证明文件的，该产品视为本国产品，采购人、采购代理机构不得再要求供应商提供其他证明材料。供应商提供虚假《声明函》、虚假证明文件谋取中标、成交的，依照《中华人民共和国政府采购法》等法律法规规定追究相应责任。供应商未出具《关于符合本国产品标准的声明函》或财政部会同有关部门规定的有关证明文件的，该产品视为非本国产品，不能享受价格扣除。</w:t>
      </w:r>
    </w:p>
    <w:p w14:paraId="0B13CB9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样式见附件9）。</w:t>
      </w:r>
    </w:p>
    <w:p w14:paraId="2BDE85E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3.2.5对于未预留份额专门面向中小企业采购的采购项目，以及预留份额项目中的非预留部分采购包，供应商提供的产品同时满足《国务院办公厅关于在政府采购中实施本国产品标准及相关政策的通知》（国办发〔2025〕34号）和《政府采购促进中小企业发展管理办法》（财库〔2020〕46号）有关规定的，在原报价基础上叠加享受本国产品价格扣除和小微企业产品价格扣除政策。</w:t>
      </w:r>
    </w:p>
    <w:p w14:paraId="739046C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3.2.6中标供应商提供的《声明函》或有关证明文件应当随成交结果同时公告。其他未尽事宜按照《国务院办公厅关于在政府采购中实施本国产品标准及相关政策的通知》（国办发〔2025〕34号）执行。</w:t>
      </w:r>
    </w:p>
    <w:bookmarkEnd w:id="28"/>
    <w:bookmarkEnd w:id="29"/>
    <w:p w14:paraId="520BF178">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 支持绿色发展</w:t>
      </w:r>
    </w:p>
    <w:p w14:paraId="00D56234">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采购人拟采购的产品属于政府强制采购的节能产品品目清单范围的，投标人相应的投标产品未获得国家确定的认证机构出具的、处于有效期之内的节能产品认证证书的，投标无效。</w:t>
      </w:r>
    </w:p>
    <w:p w14:paraId="4FDFE710">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4.2.2 纳入政府采购管理的修缮、装修类项目采购建材的，鼓励采购单位将绿色建材性能、指标等作为实质性条件纳入采购文件和合同，具体性能指标要求参考相关绿色建材政府采购需求标准。</w:t>
      </w:r>
    </w:p>
    <w:p w14:paraId="3E9BD18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3.3.3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bookmarkStart w:id="30" w:name="_Hlk107568539"/>
      <w:r>
        <w:rPr>
          <w:rFonts w:hint="eastAsia" w:ascii="宋体" w:hAnsi="宋体" w:cs="宋体"/>
          <w:color w:val="auto"/>
          <w:sz w:val="24"/>
          <w:highlight w:val="none"/>
        </w:rPr>
        <w:t>鼓励采购单位优先采购秸秆环保板材等资源综合利用产品。鼓励采购单位优先采购绿色物流配送服务、提供新能源交通工具的租赁服务。</w:t>
      </w:r>
    </w:p>
    <w:p w14:paraId="10E2EAF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3.3.4 鼓励供应商在参加政府采购过程中开展绿色设计、选择绿色材料、打造绿色制造工艺、开展绿色运输、做好废弃产品回收处理，实现产品全周期的绿色环保。鼓励采购单位对其提高预付款比例、免收履约保证金。</w:t>
      </w:r>
      <w:bookmarkEnd w:id="30"/>
    </w:p>
    <w:p w14:paraId="1D55D10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3.4支持中小企业发展</w:t>
      </w:r>
    </w:p>
    <w:p w14:paraId="7218369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3.4.1中小企业，是指在中华人民共和国境内依法设立，依据国务院批准的中小企业划分标准确定的中型企业、小型企业和微型企业，但与大企业的负责人为同一人，或者与大企业存在直接控股、管理关系的除外。</w:t>
      </w:r>
    </w:p>
    <w:p w14:paraId="5381C12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符合中小企业划分标准的个体工商户，在政府采购活动中视同中小企业。</w:t>
      </w:r>
    </w:p>
    <w:p w14:paraId="1FD54B4A">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bCs/>
          <w:color w:val="auto"/>
          <w:sz w:val="24"/>
          <w:highlight w:val="none"/>
        </w:rPr>
        <w:t>3</w:t>
      </w:r>
      <w:r>
        <w:rPr>
          <w:rFonts w:ascii="宋体" w:hAnsi="宋体" w:cs="宋体"/>
          <w:bCs/>
          <w:color w:val="auto"/>
          <w:sz w:val="24"/>
          <w:highlight w:val="none"/>
        </w:rPr>
        <w:t>.</w:t>
      </w:r>
      <w:r>
        <w:rPr>
          <w:rFonts w:hint="eastAsia" w:ascii="宋体" w:hAnsi="宋体" w:cs="宋体"/>
          <w:bCs/>
          <w:color w:val="auto"/>
          <w:sz w:val="24"/>
          <w:highlight w:val="none"/>
        </w:rPr>
        <w:t>4</w:t>
      </w:r>
      <w:r>
        <w:rPr>
          <w:rFonts w:ascii="宋体" w:hAnsi="宋体" w:cs="宋体"/>
          <w:bCs/>
          <w:color w:val="auto"/>
          <w:sz w:val="24"/>
          <w:highlight w:val="none"/>
        </w:rPr>
        <w:t>.2</w:t>
      </w:r>
      <w:r>
        <w:rPr>
          <w:rFonts w:hint="eastAsia" w:ascii="宋体" w:hAnsi="宋体" w:cs="宋体"/>
          <w:color w:val="auto"/>
          <w:kern w:val="0"/>
          <w:sz w:val="24"/>
          <w:highlight w:val="none"/>
        </w:rPr>
        <w:t>在政府采购活动中，投标人提供的货物符合下列情形的，享受中小企业扶持政策：在货物采购项目中，货物由中小企业制造，即货物由中小企业生产且使用该中小企业商号或者注册商标；在货物采购项目中，投标人提供的货物既有中小企业制造货物，也有大型企业制造货物的，不享受中小企业扶持政策。</w:t>
      </w:r>
    </w:p>
    <w:p w14:paraId="107EBB5D">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以联合体形式参加政府采购活动，联合体各方均为中小企业的，联合体视同中小企业。其中，联合体各方均为小微企业的，联合体视同小微企业。</w:t>
      </w:r>
    </w:p>
    <w:p w14:paraId="25F8E569">
      <w:pPr>
        <w:spacing w:line="360" w:lineRule="auto"/>
        <w:ind w:firstLine="480" w:firstLineChars="200"/>
        <w:rPr>
          <w:rFonts w:cs="宋体" w:asciiTheme="minorEastAsia" w:hAnsiTheme="minorEastAsia" w:eastAsiaTheme="minorEastAsia"/>
          <w:color w:val="auto"/>
          <w:sz w:val="24"/>
          <w:highlight w:val="none"/>
        </w:rPr>
      </w:pPr>
      <w:r>
        <w:rPr>
          <w:rFonts w:hint="eastAsia" w:ascii="宋体" w:hAnsi="宋体" w:cs="宋体"/>
          <w:color w:val="auto"/>
          <w:sz w:val="24"/>
          <w:highlight w:val="none"/>
        </w:rPr>
        <w:t>3.4.3对于未预留份额专门面向中小企业采购的政府采购项目，以及预留份额政府采购项目中的非预留部分标项，对小型和微型企业的投标报价给予</w:t>
      </w:r>
      <w:r>
        <w:rPr>
          <w:rFonts w:ascii="宋体" w:hAnsi="宋体" w:cs="宋体"/>
          <w:color w:val="auto"/>
          <w:sz w:val="24"/>
          <w:highlight w:val="none"/>
        </w:rPr>
        <w:t>20</w:t>
      </w:r>
      <w:r>
        <w:rPr>
          <w:rFonts w:hint="eastAsia" w:ascii="宋体" w:hAnsi="宋体" w:cs="宋体"/>
          <w:color w:val="auto"/>
          <w:sz w:val="24"/>
          <w:highlight w:val="none"/>
        </w:rPr>
        <w:t>%的扣除，用扣除后的价格参与评审。接受大中型企业与小微企业组成联合体或者允许大中型企业向一家或者多家小微企业分包的政府采购项目，对于</w:t>
      </w:r>
      <w:bookmarkStart w:id="31" w:name="_Hlk101132181"/>
      <w:r>
        <w:rPr>
          <w:rFonts w:hint="eastAsia" w:ascii="宋体" w:hAnsi="宋体" w:cs="宋体"/>
          <w:color w:val="auto"/>
          <w:sz w:val="24"/>
          <w:highlight w:val="none"/>
        </w:rPr>
        <w:t>联合协议或者分包意向协议约定小微企业的合同份额占到合同总金额30%以上的</w:t>
      </w:r>
      <w:bookmarkEnd w:id="31"/>
      <w:r>
        <w:rPr>
          <w:rFonts w:hint="eastAsia" w:ascii="宋体" w:hAnsi="宋体" w:cs="宋体"/>
          <w:color w:val="auto"/>
          <w:sz w:val="24"/>
          <w:highlight w:val="none"/>
        </w:rPr>
        <w:t>，对联合体或者大中型企业的报价给予</w:t>
      </w:r>
      <w:r>
        <w:rPr>
          <w:rFonts w:ascii="宋体" w:hAnsi="宋体" w:cs="宋体"/>
          <w:color w:val="auto"/>
          <w:sz w:val="24"/>
          <w:highlight w:val="none"/>
        </w:rPr>
        <w:t>6</w:t>
      </w:r>
      <w:r>
        <w:rPr>
          <w:rFonts w:hint="eastAsia" w:ascii="宋体" w:hAnsi="宋体" w:cs="宋体"/>
          <w:color w:val="auto"/>
          <w:sz w:val="24"/>
          <w:highlight w:val="none"/>
        </w:rPr>
        <w:t>%的扣除，用扣除后的价格参加评审。组成联合体或者接受分包的小微企业与联合体内其他企业、分包企业之间存在直接控股、管理关系的，不享受价格扣除优惠政策。专门</w:t>
      </w:r>
      <w:r>
        <w:rPr>
          <w:rFonts w:hint="eastAsia" w:cs="宋体" w:asciiTheme="minorEastAsia" w:hAnsiTheme="minorEastAsia" w:eastAsiaTheme="minorEastAsia"/>
          <w:color w:val="auto"/>
          <w:sz w:val="24"/>
          <w:highlight w:val="none"/>
        </w:rPr>
        <w:t>面向中小企业采购的政府采购项目或者采购包不再执行价格扣除政策。</w:t>
      </w:r>
    </w:p>
    <w:p w14:paraId="7D06B99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3.4.4符合《关于促进残疾人就业政府采购政策的通知》（财库〔2017〕141号）规定的条件并提供《残疾人福利性单位声明函》（附件1）的残疾人福利性单位视同小型、微型企业；</w:t>
      </w:r>
    </w:p>
    <w:p w14:paraId="4A8107D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3.4.5符合《关于政府采购支持监狱企业发展有关问题的通知》（财库[2014]68号）规定的监狱企业并提供由省级以上监狱管理局、戒毒管理局（含新疆生产建设兵团）出具的属于监狱企业证明文件的，视同为小型、微型企业。</w:t>
      </w:r>
    </w:p>
    <w:p w14:paraId="67ABFE1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3.4.6可享受中小企业扶持政策的投标人应按照招标文件格式要求提供《中小企业声明函》，投标人提供的《中小企业声明函》与实际情况不符的，不享受中小企业扶持政策。声明内容不实的，属于提供虚假材料谋取中标、成交的，依法承担法律责任。</w:t>
      </w:r>
    </w:p>
    <w:p w14:paraId="18C66F7A">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3.4.7中小企业享受扶持政策获得政府采购合同的，小微企业不得将合同分包给大中型企业，中型企业不得将合同分包给大型企业。</w:t>
      </w:r>
    </w:p>
    <w:p w14:paraId="7DCCF112">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w:t>
      </w:r>
      <w:r>
        <w:rPr>
          <w:rFonts w:hint="eastAsia" w:ascii="宋体" w:hAnsi="宋体" w:cs="宋体"/>
          <w:bCs/>
          <w:color w:val="auto"/>
          <w:sz w:val="24"/>
          <w:highlight w:val="none"/>
        </w:rPr>
        <w:t>支持创新发展</w:t>
      </w:r>
    </w:p>
    <w:p w14:paraId="1E11F6D7">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3.5.1 采购人优先采购被认定为首台套产品和“制造精品”的自主创新产品。</w:t>
      </w:r>
    </w:p>
    <w:p w14:paraId="4A7EC04A">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3.5.2首台套产品被纳入《首台套产品推广应用指导目录》之日起</w:t>
      </w:r>
      <w:r>
        <w:rPr>
          <w:rFonts w:ascii="宋体" w:hAnsi="宋体" w:cs="宋体"/>
          <w:color w:val="auto"/>
          <w:sz w:val="24"/>
          <w:highlight w:val="none"/>
        </w:rPr>
        <w:t>3</w:t>
      </w:r>
      <w:r>
        <w:rPr>
          <w:rFonts w:hint="eastAsia" w:ascii="宋体" w:hAnsi="宋体" w:cs="宋体"/>
          <w:color w:val="auto"/>
          <w:sz w:val="24"/>
          <w:highlight w:val="none"/>
        </w:rPr>
        <w:t>年内，以及产品核心技术高于国内领先水平，并具有明晰自主知识产权的“制造精品”产品，自认定之日起2年内视同已具备相应销售业绩，参加政府采购活动时业绩分值为满分。</w:t>
      </w:r>
    </w:p>
    <w:p w14:paraId="7A79FBEB">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3.6平等对待内外资企业</w:t>
      </w:r>
    </w:p>
    <w:p w14:paraId="77CD1F55">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政府采购依法对内外资企业在中国境内生产的产品（包括提供的服务）平等对待，不论其供应商是内资还是外资企业，均应依法保障其平等参与政府采购活动的权利。不得以所有制形式、组织形式、股权结构、投资者国别、产品品牌以及其他不合理的条件对供应商予以限定。平等对待内外资企业，切实保障企业公平竞争，平等维护企业的合法利益。</w:t>
      </w:r>
    </w:p>
    <w:p w14:paraId="18C6A28D">
      <w:pPr>
        <w:pStyle w:val="83"/>
        <w:rPr>
          <w:bCs/>
          <w:color w:val="auto"/>
          <w:highlight w:val="none"/>
        </w:rPr>
      </w:pPr>
      <w:r>
        <w:rPr>
          <w:rFonts w:hint="eastAsia"/>
          <w:color w:val="auto"/>
          <w:highlight w:val="none"/>
        </w:rPr>
        <w:t>3.7平等对待符合条件的破产重整企业</w:t>
      </w:r>
    </w:p>
    <w:p w14:paraId="7CF3D9EF">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平等对待符合条件的破产重整企业，切实保障企业公平竞争，平等维护企业的合法利益。</w:t>
      </w:r>
    </w:p>
    <w:p w14:paraId="3D584ACC">
      <w:pPr>
        <w:spacing w:line="360" w:lineRule="auto"/>
        <w:ind w:firstLine="241" w:firstLineChars="100"/>
        <w:rPr>
          <w:rFonts w:ascii="宋体" w:hAnsi="宋体" w:cs="宋体"/>
          <w:b/>
          <w:color w:val="auto"/>
          <w:sz w:val="24"/>
          <w:highlight w:val="none"/>
        </w:rPr>
      </w:pPr>
      <w:r>
        <w:rPr>
          <w:rFonts w:hint="eastAsia" w:ascii="宋体" w:hAnsi="宋体" w:cs="宋体"/>
          <w:b/>
          <w:color w:val="auto"/>
          <w:sz w:val="24"/>
          <w:highlight w:val="none"/>
        </w:rPr>
        <w:t>4. 询问、质疑、投诉</w:t>
      </w:r>
    </w:p>
    <w:p w14:paraId="3517DEAF">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4.1在线询问、质疑、投诉。</w:t>
      </w:r>
    </w:p>
    <w:p w14:paraId="1332E6ED">
      <w:pPr>
        <w:spacing w:line="360" w:lineRule="auto"/>
        <w:ind w:firstLine="480" w:firstLineChars="200"/>
        <w:rPr>
          <w:rFonts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lang w:val="zh-CN"/>
        </w:rPr>
        <w:t>根据《北海市财政局  北海市政府采购中心关于启用政府采购在线询问、质疑、投诉功能的通知》（北财采〔2022〕23号）文件要求，鼓励供应商在线提起询问、质疑、投诉，路径为：供应商可通过北海“广西政府采购云”平台进入“项目采购-询问质疑投诉”栏目在线提起询问、质疑，对质疑答复不满意或者未收到答复的可以向监督部门在线提起投诉。内外资企业在政府采购活动中，凡认为采购文件、采购过程、中标结果使自身权益受到损害的，均可依照相关规定提起质疑和投诉。</w:t>
      </w:r>
    </w:p>
    <w:p w14:paraId="1160F9BE">
      <w:pPr>
        <w:spacing w:line="360" w:lineRule="auto"/>
        <w:ind w:firstLine="480" w:firstLineChars="200"/>
        <w:rPr>
          <w:rFonts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lang w:val="zh-CN"/>
        </w:rPr>
        <w:t>询问联系部门：北海市政府采购中心采购二科，联系电话：0779-3056122，地址：北海市海城区陈文村北路7号市直机关第三办公区2号楼一层。</w:t>
      </w:r>
    </w:p>
    <w:p w14:paraId="53884FD1">
      <w:pPr>
        <w:spacing w:line="360" w:lineRule="auto"/>
        <w:ind w:firstLine="480" w:firstLineChars="200"/>
        <w:rPr>
          <w:rFonts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lang w:val="zh-CN"/>
        </w:rPr>
        <w:t xml:space="preserve">质疑联系部门：北海市政府采购中心监督科，联系电话：0779-3960826，地址：北海市海城区陈文村北路7号市直机关第三办公区2号楼一层。 </w:t>
      </w:r>
    </w:p>
    <w:p w14:paraId="2E7AFCA0">
      <w:pPr>
        <w:spacing w:line="360" w:lineRule="auto"/>
        <w:ind w:firstLine="480" w:firstLineChars="200"/>
        <w:rPr>
          <w:rFonts w:asciiTheme="minorEastAsia" w:hAnsiTheme="minorEastAsia" w:eastAsiaTheme="minorEastAsia"/>
          <w:color w:val="auto"/>
          <w:sz w:val="24"/>
          <w:highlight w:val="none"/>
          <w:lang w:val="zh-CN"/>
        </w:rPr>
      </w:pPr>
      <w:r>
        <w:rPr>
          <w:rFonts w:hint="eastAsia" w:asciiTheme="minorEastAsia" w:hAnsiTheme="minorEastAsia" w:eastAsiaTheme="minorEastAsia"/>
          <w:color w:val="auto"/>
          <w:sz w:val="24"/>
          <w:highlight w:val="none"/>
          <w:lang w:val="zh-CN"/>
        </w:rPr>
        <w:t>投诉联系部门：北海市财政局，联系电话：</w:t>
      </w:r>
      <w:r>
        <w:rPr>
          <w:rFonts w:asciiTheme="minorEastAsia" w:hAnsiTheme="minorEastAsia" w:eastAsiaTheme="minorEastAsia"/>
          <w:color w:val="auto"/>
          <w:sz w:val="24"/>
          <w:highlight w:val="none"/>
          <w:lang w:val="zh-CN"/>
        </w:rPr>
        <w:t>0779-3063975</w:t>
      </w:r>
      <w:r>
        <w:rPr>
          <w:rFonts w:hint="eastAsia" w:asciiTheme="minorEastAsia" w:hAnsiTheme="minorEastAsia" w:eastAsiaTheme="minorEastAsia"/>
          <w:color w:val="auto"/>
          <w:sz w:val="24"/>
          <w:highlight w:val="none"/>
          <w:lang w:val="zh-CN"/>
        </w:rPr>
        <w:t>，地址：北海市海城区北部湾西路19号。</w:t>
      </w:r>
    </w:p>
    <w:p w14:paraId="142E8676">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4.2供应商询问</w:t>
      </w:r>
    </w:p>
    <w:p w14:paraId="5C01A077">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7A30030E">
      <w:pPr>
        <w:autoSpaceDE w:val="0"/>
        <w:autoSpaceDN w:val="0"/>
        <w:spacing w:line="360" w:lineRule="auto"/>
        <w:ind w:firstLine="240" w:firstLineChars="1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4.3供应商质疑</w:t>
      </w:r>
    </w:p>
    <w:p w14:paraId="4C105BC4">
      <w:pPr>
        <w:pStyle w:val="34"/>
        <w:spacing w:line="360" w:lineRule="auto"/>
        <w:ind w:firstLine="480" w:firstLineChars="200"/>
        <w:rPr>
          <w:rFonts w:hAnsi="宋体" w:cs="宋体"/>
          <w:color w:val="auto"/>
          <w:sz w:val="24"/>
          <w:highlight w:val="none"/>
        </w:rPr>
      </w:pPr>
      <w:r>
        <w:rPr>
          <w:rFonts w:hint="eastAsia" w:hAnsi="宋体" w:cs="宋体"/>
          <w:color w:val="auto"/>
          <w:kern w:val="0"/>
          <w:sz w:val="24"/>
          <w:highlight w:val="none"/>
          <w:lang w:val="zh-CN"/>
        </w:rPr>
        <w:t>4.3</w:t>
      </w:r>
      <w:r>
        <w:rPr>
          <w:rFonts w:hint="eastAsia" w:hAnsi="宋体" w:cs="宋体"/>
          <w:color w:val="auto"/>
          <w:sz w:val="24"/>
          <w:highlight w:val="none"/>
        </w:rPr>
        <w:t>.1提出质疑的供应商应当是参与所质疑项目采购活动的供应商。潜在供应商已依法获取其可质疑的招标文件的，可以对该文件提出质疑。</w:t>
      </w:r>
    </w:p>
    <w:p w14:paraId="0A3DB67B">
      <w:pPr>
        <w:pStyle w:val="34"/>
        <w:spacing w:line="360" w:lineRule="auto"/>
        <w:ind w:firstLine="480" w:firstLineChars="200"/>
        <w:rPr>
          <w:rFonts w:hAnsi="宋体" w:cs="宋体"/>
          <w:color w:val="auto"/>
          <w:sz w:val="24"/>
          <w:highlight w:val="none"/>
        </w:rPr>
      </w:pPr>
      <w:r>
        <w:rPr>
          <w:rFonts w:hint="eastAsia" w:hAnsi="宋体" w:cs="宋体"/>
          <w:color w:val="auto"/>
          <w:kern w:val="0"/>
          <w:sz w:val="24"/>
          <w:highlight w:val="none"/>
          <w:lang w:val="zh-CN"/>
        </w:rPr>
        <w:t>4.3</w:t>
      </w:r>
      <w:r>
        <w:rPr>
          <w:rFonts w:hint="eastAsia" w:hAnsi="宋体" w:cs="宋体"/>
          <w:color w:val="auto"/>
          <w:sz w:val="24"/>
          <w:highlight w:val="none"/>
        </w:rPr>
        <w:t>.2供应商认为招标文件、采购过程和中标结果使自己的权益受到损害的，可以在知道或者应知其权益受到损害之日起七个工作日内，以书面形式向采购人或者采购代理机构提出质疑，否则，采购人或者采购代理机构不予受理：</w:t>
      </w:r>
    </w:p>
    <w:p w14:paraId="20D03950">
      <w:pPr>
        <w:pStyle w:val="2"/>
        <w:spacing w:line="360" w:lineRule="auto"/>
        <w:ind w:firstLine="480" w:firstLineChars="200"/>
        <w:rPr>
          <w:rFonts w:hAnsi="宋体" w:cs="宋体"/>
          <w:snapToGrid/>
          <w:color w:val="auto"/>
          <w:kern w:val="2"/>
          <w:sz w:val="24"/>
          <w:highlight w:val="none"/>
        </w:rPr>
      </w:pPr>
      <w:r>
        <w:rPr>
          <w:rFonts w:hint="eastAsia" w:hAnsi="宋体" w:cs="宋体"/>
          <w:snapToGrid/>
          <w:color w:val="auto"/>
          <w:kern w:val="2"/>
          <w:sz w:val="24"/>
          <w:highlight w:val="none"/>
        </w:rPr>
        <w:t>4.3.2.1对招标文件提出质疑的，质疑期限为供应商获得招标文件之日或者招标文件公告期限届满之日起计算。</w:t>
      </w:r>
    </w:p>
    <w:p w14:paraId="1365B7AA">
      <w:pPr>
        <w:pStyle w:val="34"/>
        <w:spacing w:line="360" w:lineRule="auto"/>
        <w:ind w:left="479" w:leftChars="228"/>
        <w:rPr>
          <w:rFonts w:hAnsi="宋体" w:cs="宋体"/>
          <w:color w:val="auto"/>
          <w:sz w:val="24"/>
          <w:highlight w:val="none"/>
        </w:rPr>
      </w:pPr>
      <w:r>
        <w:rPr>
          <w:rFonts w:hint="eastAsia" w:hAnsi="宋体" w:cs="宋体"/>
          <w:color w:val="auto"/>
          <w:sz w:val="24"/>
          <w:highlight w:val="none"/>
        </w:rPr>
        <w:t>4.3.2.2对采购过程提出质疑的，质疑期限为各采购程序环节结束之日起计算。4.3.2.3对采购结果提出质疑的，质疑期限自采购结果公告期限届满之日起计算。</w:t>
      </w:r>
    </w:p>
    <w:p w14:paraId="2BC89C5A">
      <w:pPr>
        <w:pStyle w:val="34"/>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w:t>
      </w:r>
      <w:r>
        <w:rPr>
          <w:rFonts w:hint="eastAsia" w:hAnsi="宋体" w:cs="宋体"/>
          <w:color w:val="auto"/>
          <w:sz w:val="24"/>
          <w:highlight w:val="none"/>
        </w:rPr>
        <w:t>供应商提出质疑应当提交质疑函和必要的证明材料。质疑函应当包括下列内容：</w:t>
      </w:r>
    </w:p>
    <w:p w14:paraId="33C32804">
      <w:pPr>
        <w:pStyle w:val="34"/>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4.3.3.1供应商的姓名或者名称、地址、邮编、联系人及联系电话；</w:t>
      </w:r>
    </w:p>
    <w:p w14:paraId="77451B18">
      <w:pPr>
        <w:pStyle w:val="34"/>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4.3.3.2质疑项目的名称、编号；</w:t>
      </w:r>
    </w:p>
    <w:p w14:paraId="55127179">
      <w:pPr>
        <w:pStyle w:val="34"/>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4.3.3.3具体、明确的质疑事项和与质疑事项相关的请求；</w:t>
      </w:r>
    </w:p>
    <w:p w14:paraId="1D203AFA">
      <w:pPr>
        <w:pStyle w:val="34"/>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4.3.3.4事实依据；</w:t>
      </w:r>
    </w:p>
    <w:p w14:paraId="097E94FA">
      <w:pPr>
        <w:pStyle w:val="34"/>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4.3.3.5必要的法律依据；</w:t>
      </w:r>
    </w:p>
    <w:p w14:paraId="24B277FB">
      <w:pPr>
        <w:pStyle w:val="34"/>
        <w:spacing w:line="360" w:lineRule="auto"/>
        <w:ind w:firstLine="480" w:firstLineChars="200"/>
        <w:rPr>
          <w:rFonts w:hAnsi="宋体" w:cs="宋体"/>
          <w:color w:val="auto"/>
          <w:kern w:val="0"/>
          <w:sz w:val="24"/>
          <w:highlight w:val="none"/>
          <w:lang w:val="zh-CN"/>
        </w:rPr>
      </w:pPr>
      <w:r>
        <w:rPr>
          <w:rFonts w:hint="eastAsia" w:hAnsi="宋体" w:cs="宋体"/>
          <w:color w:val="auto"/>
          <w:kern w:val="0"/>
          <w:sz w:val="24"/>
          <w:highlight w:val="none"/>
          <w:lang w:val="zh-CN"/>
        </w:rPr>
        <w:t>4.3.3.6提出质疑的日期。</w:t>
      </w:r>
    </w:p>
    <w:p w14:paraId="01A95B0F">
      <w:pPr>
        <w:pStyle w:val="887"/>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供应商提交的质疑函需一式三份。供应商为自然人的，应当由本人签字；供应商为法人或者其他组织的，应当由法定代表人、主要负责人，或者其授权代表签字或者盖章，并加盖公章。</w:t>
      </w:r>
    </w:p>
    <w:p w14:paraId="3D24BFDE">
      <w:pPr>
        <w:pStyle w:val="887"/>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质疑函范本及制作说明详见附件2。</w:t>
      </w:r>
    </w:p>
    <w:p w14:paraId="3456E216">
      <w:pPr>
        <w:pStyle w:val="887"/>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4.3.4对同一采购程序环节的质疑，供应商须在法定质疑期内一次性提出。</w:t>
      </w:r>
    </w:p>
    <w:p w14:paraId="6AC2277B">
      <w:pPr>
        <w:pStyle w:val="887"/>
        <w:shd w:val="clear" w:color="auto" w:fill="FFFFFF"/>
        <w:snapToGrid w:val="0"/>
        <w:spacing w:before="0" w:beforeAutospacing="0" w:after="0" w:afterAutospacing="0" w:line="360" w:lineRule="auto"/>
        <w:ind w:firstLine="480" w:firstLineChars="200"/>
        <w:contextualSpacing/>
        <w:rPr>
          <w:color w:val="auto"/>
          <w:highlight w:val="none"/>
        </w:rPr>
      </w:pPr>
      <w:r>
        <w:rPr>
          <w:rFonts w:hint="eastAsia"/>
          <w:color w:val="auto"/>
          <w:highlight w:val="none"/>
          <w:lang w:val="zh-CN"/>
        </w:rPr>
        <w:t>4.3</w:t>
      </w:r>
      <w:r>
        <w:rPr>
          <w:rFonts w:hint="eastAsia"/>
          <w:color w:val="auto"/>
          <w:highlight w:val="none"/>
        </w:rPr>
        <w:t>.5采购人或者采购代理机构应当在收到供应商的书面质疑后七个工作日内作出答复，并以书面形式通知质疑供应商和其他与质疑处理结果有利害关系的政府采购当事人，但答复的内容不得涉及商业秘密。采购人或者采购代理机构应当质疑回复后5个工作日内，在广西政府采购网公开质疑答复，答复内容应当完整。</w:t>
      </w:r>
    </w:p>
    <w:p w14:paraId="21F2B3A0">
      <w:pPr>
        <w:pStyle w:val="34"/>
        <w:spacing w:line="360" w:lineRule="auto"/>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4.3.6根据采购人与采购代理机构签订的采购委托协议，质疑答复责任主体如下：</w:t>
      </w:r>
      <w:r>
        <w:rPr>
          <w:rFonts w:asciiTheme="minorEastAsia" w:hAnsiTheme="minorEastAsia" w:eastAsiaTheme="minorEastAsia"/>
          <w:color w:val="auto"/>
          <w:sz w:val="24"/>
          <w:highlight w:val="none"/>
        </w:rPr>
        <w:t xml:space="preserve"> </w:t>
      </w:r>
    </w:p>
    <w:p w14:paraId="3E7BBDE6">
      <w:pPr>
        <w:widowControl/>
        <w:adjustRightInd/>
        <w:spacing w:line="360" w:lineRule="auto"/>
        <w:jc w:val="center"/>
        <w:rPr>
          <w:rFonts w:asciiTheme="minorEastAsia" w:hAnsiTheme="minorEastAsia" w:eastAsiaTheme="minorEastAsia"/>
          <w:b/>
          <w:color w:val="auto"/>
          <w:sz w:val="28"/>
          <w:szCs w:val="28"/>
          <w:highlight w:val="none"/>
        </w:rPr>
      </w:pPr>
      <w:r>
        <w:rPr>
          <w:rFonts w:hint="eastAsia" w:asciiTheme="minorEastAsia" w:hAnsiTheme="minorEastAsia" w:eastAsiaTheme="minorEastAsia"/>
          <w:b/>
          <w:color w:val="auto"/>
          <w:sz w:val="28"/>
          <w:szCs w:val="28"/>
          <w:highlight w:val="none"/>
        </w:rPr>
        <w:t>质疑答复责任主体一览表</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18"/>
        <w:gridCol w:w="4536"/>
        <w:gridCol w:w="2232"/>
      </w:tblGrid>
      <w:tr w14:paraId="5668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54" w:type="dxa"/>
            <w:gridSpan w:val="2"/>
            <w:tcBorders>
              <w:top w:val="single" w:color="auto" w:sz="4" w:space="0"/>
              <w:left w:val="single" w:color="auto" w:sz="4" w:space="0"/>
              <w:bottom w:val="single" w:color="auto" w:sz="4" w:space="0"/>
              <w:right w:val="single" w:color="auto" w:sz="4" w:space="0"/>
            </w:tcBorders>
            <w:vAlign w:val="center"/>
          </w:tcPr>
          <w:p w14:paraId="45711574">
            <w:pPr>
              <w:pStyle w:val="34"/>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质疑内容</w:t>
            </w:r>
          </w:p>
        </w:tc>
        <w:tc>
          <w:tcPr>
            <w:tcW w:w="2232" w:type="dxa"/>
            <w:tcBorders>
              <w:top w:val="single" w:color="auto" w:sz="4" w:space="0"/>
              <w:left w:val="single" w:color="auto" w:sz="4" w:space="0"/>
              <w:bottom w:val="single" w:color="auto" w:sz="4" w:space="0"/>
              <w:right w:val="single" w:color="auto" w:sz="4" w:space="0"/>
            </w:tcBorders>
            <w:vAlign w:val="center"/>
          </w:tcPr>
          <w:p w14:paraId="62600AC5">
            <w:pPr>
              <w:pStyle w:val="34"/>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质疑答复责任主体</w:t>
            </w:r>
          </w:p>
        </w:tc>
      </w:tr>
      <w:tr w14:paraId="4C2C1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restart"/>
            <w:tcBorders>
              <w:top w:val="single" w:color="auto" w:sz="4" w:space="0"/>
              <w:left w:val="single" w:color="auto" w:sz="4" w:space="0"/>
              <w:bottom w:val="single" w:color="auto" w:sz="4" w:space="0"/>
              <w:right w:val="single" w:color="auto" w:sz="4" w:space="0"/>
            </w:tcBorders>
            <w:vAlign w:val="center"/>
          </w:tcPr>
          <w:p w14:paraId="4740C01D">
            <w:pPr>
              <w:pStyle w:val="34"/>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对采购文件提出质疑</w:t>
            </w:r>
          </w:p>
        </w:tc>
        <w:tc>
          <w:tcPr>
            <w:tcW w:w="4536" w:type="dxa"/>
            <w:tcBorders>
              <w:top w:val="single" w:color="auto" w:sz="4" w:space="0"/>
              <w:left w:val="single" w:color="auto" w:sz="4" w:space="0"/>
              <w:bottom w:val="single" w:color="auto" w:sz="4" w:space="0"/>
              <w:right w:val="single" w:color="auto" w:sz="4" w:space="0"/>
            </w:tcBorders>
            <w:vAlign w:val="center"/>
          </w:tcPr>
          <w:p w14:paraId="6D8E9CAA">
            <w:pPr>
              <w:pStyle w:val="34"/>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对采购文件中特定资格条件、采购需求、评审办法、评审标准提出的质疑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521E1B53">
            <w:pPr>
              <w:pStyle w:val="34"/>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7AFB85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45E2FFF4">
            <w:pPr>
              <w:widowControl/>
              <w:adjustRightInd/>
              <w:spacing w:line="360" w:lineRule="auto"/>
              <w:jc w:val="left"/>
              <w:rPr>
                <w:rFonts w:asciiTheme="minorEastAsia" w:hAnsiTheme="minorEastAsia" w:eastAsiaTheme="minorEastAsia"/>
                <w:color w:val="auto"/>
                <w:sz w:val="24"/>
                <w:szCs w:val="20"/>
                <w:highlight w:val="none"/>
              </w:rPr>
            </w:pPr>
          </w:p>
        </w:tc>
        <w:tc>
          <w:tcPr>
            <w:tcW w:w="4536" w:type="dxa"/>
            <w:tcBorders>
              <w:top w:val="single" w:color="auto" w:sz="4" w:space="0"/>
              <w:left w:val="single" w:color="auto" w:sz="4" w:space="0"/>
              <w:bottom w:val="single" w:color="auto" w:sz="4" w:space="0"/>
              <w:right w:val="single" w:color="auto" w:sz="4" w:space="0"/>
            </w:tcBorders>
            <w:vAlign w:val="center"/>
          </w:tcPr>
          <w:p w14:paraId="21A249F2">
            <w:pPr>
              <w:pStyle w:val="34"/>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对采购文件中其他内容提出的质疑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7DBE6D44">
            <w:pPr>
              <w:pStyle w:val="34"/>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491F1E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vMerge w:val="restart"/>
            <w:tcBorders>
              <w:top w:val="single" w:color="auto" w:sz="4" w:space="0"/>
              <w:left w:val="single" w:color="auto" w:sz="4" w:space="0"/>
              <w:bottom w:val="single" w:color="auto" w:sz="4" w:space="0"/>
              <w:right w:val="single" w:color="auto" w:sz="4" w:space="0"/>
            </w:tcBorders>
            <w:vAlign w:val="center"/>
          </w:tcPr>
          <w:p w14:paraId="46C5D273">
            <w:pPr>
              <w:pStyle w:val="34"/>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对采购过程提出质疑</w:t>
            </w:r>
          </w:p>
        </w:tc>
        <w:tc>
          <w:tcPr>
            <w:tcW w:w="4536" w:type="dxa"/>
            <w:tcBorders>
              <w:top w:val="single" w:color="auto" w:sz="4" w:space="0"/>
              <w:left w:val="single" w:color="auto" w:sz="4" w:space="0"/>
              <w:bottom w:val="single" w:color="auto" w:sz="4" w:space="0"/>
              <w:right w:val="single" w:color="auto" w:sz="4" w:space="0"/>
            </w:tcBorders>
            <w:vAlign w:val="center"/>
          </w:tcPr>
          <w:p w14:paraId="712F4A70">
            <w:pPr>
              <w:pStyle w:val="34"/>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有关现场考察或开启响应文件前答疑会事项提出的质疑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0EFA0DB8">
            <w:pPr>
              <w:pStyle w:val="34"/>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采购人</w:t>
            </w:r>
          </w:p>
        </w:tc>
      </w:tr>
      <w:tr w14:paraId="48E8D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0" w:type="auto"/>
            <w:vMerge w:val="continue"/>
            <w:tcBorders>
              <w:top w:val="single" w:color="auto" w:sz="4" w:space="0"/>
              <w:left w:val="single" w:color="auto" w:sz="4" w:space="0"/>
              <w:bottom w:val="single" w:color="auto" w:sz="4" w:space="0"/>
              <w:right w:val="single" w:color="auto" w:sz="4" w:space="0"/>
            </w:tcBorders>
            <w:vAlign w:val="center"/>
          </w:tcPr>
          <w:p w14:paraId="2464F5FF">
            <w:pPr>
              <w:widowControl/>
              <w:adjustRightInd/>
              <w:spacing w:line="360" w:lineRule="auto"/>
              <w:jc w:val="left"/>
              <w:rPr>
                <w:rFonts w:asciiTheme="minorEastAsia" w:hAnsiTheme="minorEastAsia" w:eastAsiaTheme="minorEastAsia"/>
                <w:color w:val="auto"/>
                <w:sz w:val="24"/>
                <w:szCs w:val="20"/>
                <w:highlight w:val="none"/>
              </w:rPr>
            </w:pPr>
          </w:p>
        </w:tc>
        <w:tc>
          <w:tcPr>
            <w:tcW w:w="4536" w:type="dxa"/>
            <w:tcBorders>
              <w:top w:val="single" w:color="auto" w:sz="4" w:space="0"/>
              <w:left w:val="single" w:color="auto" w:sz="4" w:space="0"/>
              <w:bottom w:val="single" w:color="auto" w:sz="4" w:space="0"/>
              <w:right w:val="single" w:color="auto" w:sz="4" w:space="0"/>
            </w:tcBorders>
            <w:vAlign w:val="center"/>
          </w:tcPr>
          <w:p w14:paraId="3FE335E8">
            <w:pPr>
              <w:pStyle w:val="34"/>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对采购过程中其它事项提出的质疑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7397A502">
            <w:pPr>
              <w:pStyle w:val="34"/>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r w14:paraId="3B12E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518" w:type="dxa"/>
            <w:tcBorders>
              <w:top w:val="single" w:color="auto" w:sz="4" w:space="0"/>
              <w:left w:val="single" w:color="auto" w:sz="4" w:space="0"/>
              <w:bottom w:val="single" w:color="auto" w:sz="4" w:space="0"/>
              <w:right w:val="single" w:color="auto" w:sz="4" w:space="0"/>
            </w:tcBorders>
            <w:vAlign w:val="center"/>
          </w:tcPr>
          <w:p w14:paraId="23E1556B">
            <w:pPr>
              <w:pStyle w:val="34"/>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对采购结果提出质疑</w:t>
            </w:r>
          </w:p>
        </w:tc>
        <w:tc>
          <w:tcPr>
            <w:tcW w:w="4536" w:type="dxa"/>
            <w:tcBorders>
              <w:top w:val="single" w:color="auto" w:sz="4" w:space="0"/>
              <w:left w:val="single" w:color="auto" w:sz="4" w:space="0"/>
              <w:bottom w:val="single" w:color="auto" w:sz="4" w:space="0"/>
              <w:right w:val="single" w:color="auto" w:sz="4" w:space="0"/>
            </w:tcBorders>
            <w:vAlign w:val="center"/>
          </w:tcPr>
          <w:p w14:paraId="21B94414">
            <w:pPr>
              <w:pStyle w:val="34"/>
              <w:spacing w:line="360" w:lineRule="auto"/>
              <w:jc w:val="lef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对采购结果提出的质疑</w:t>
            </w:r>
          </w:p>
        </w:tc>
        <w:tc>
          <w:tcPr>
            <w:tcW w:w="2232" w:type="dxa"/>
            <w:tcBorders>
              <w:top w:val="single" w:color="auto" w:sz="4" w:space="0"/>
              <w:left w:val="single" w:color="auto" w:sz="4" w:space="0"/>
              <w:bottom w:val="single" w:color="auto" w:sz="4" w:space="0"/>
              <w:right w:val="single" w:color="auto" w:sz="4" w:space="0"/>
            </w:tcBorders>
            <w:vAlign w:val="center"/>
          </w:tcPr>
          <w:p w14:paraId="66BAFEAD">
            <w:pPr>
              <w:pStyle w:val="34"/>
              <w:spacing w:line="360" w:lineRule="auto"/>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采购代理机构</w:t>
            </w:r>
          </w:p>
        </w:tc>
      </w:tr>
    </w:tbl>
    <w:p w14:paraId="33AD8537">
      <w:pPr>
        <w:pStyle w:val="887"/>
        <w:shd w:val="clear" w:color="auto" w:fill="FFFFFF"/>
        <w:snapToGrid w:val="0"/>
        <w:spacing w:before="0" w:beforeAutospacing="0" w:after="0" w:afterAutospacing="0" w:line="360" w:lineRule="auto"/>
        <w:ind w:firstLine="480" w:firstLineChars="200"/>
        <w:contextualSpacing/>
        <w:rPr>
          <w:color w:val="auto"/>
          <w:highlight w:val="none"/>
          <w:lang w:val="zh-CN"/>
        </w:rPr>
      </w:pPr>
      <w:r>
        <w:rPr>
          <w:rFonts w:hint="eastAsia"/>
          <w:color w:val="auto"/>
          <w:highlight w:val="none"/>
          <w:lang w:val="zh-CN"/>
        </w:rPr>
        <w:t>注：</w:t>
      </w:r>
      <w:r>
        <w:rPr>
          <w:rFonts w:hint="eastAsia" w:asciiTheme="minorEastAsia" w:hAnsiTheme="minorEastAsia" w:eastAsiaTheme="minorEastAsia"/>
          <w:color w:val="auto"/>
          <w:highlight w:val="none"/>
        </w:rPr>
        <w:t>采购人或代理机构或应当协助质疑答复责任主体及时答复</w:t>
      </w:r>
      <w:r>
        <w:rPr>
          <w:rFonts w:hint="eastAsia"/>
          <w:color w:val="auto"/>
          <w:highlight w:val="none"/>
        </w:rPr>
        <w:t>供应商的书面质疑。</w:t>
      </w:r>
    </w:p>
    <w:p w14:paraId="6C9D658E">
      <w:pPr>
        <w:pStyle w:val="887"/>
        <w:shd w:val="clear" w:color="auto" w:fill="FFFFFF"/>
        <w:snapToGrid w:val="0"/>
        <w:spacing w:before="0" w:beforeAutospacing="0" w:after="0" w:afterAutospacing="0" w:line="360" w:lineRule="auto"/>
        <w:ind w:firstLine="480" w:firstLineChars="200"/>
        <w:contextualSpacing/>
        <w:rPr>
          <w:color w:val="auto"/>
          <w:highlight w:val="none"/>
        </w:rPr>
      </w:pPr>
      <w:r>
        <w:rPr>
          <w:rFonts w:hint="eastAsia"/>
          <w:color w:val="auto"/>
          <w:highlight w:val="none"/>
          <w:lang w:val="zh-CN"/>
        </w:rPr>
        <w:t>4.3</w:t>
      </w:r>
      <w:r>
        <w:rPr>
          <w:rFonts w:hint="eastAsia"/>
          <w:color w:val="auto"/>
          <w:highlight w:val="none"/>
        </w:rPr>
        <w:t>.7询问或者质疑事项可能影响采购结果的，采购人应当暂停签订合同，已经签订合同的，应当中止履行合同。</w:t>
      </w:r>
    </w:p>
    <w:p w14:paraId="3BDD99B0">
      <w:pPr>
        <w:pStyle w:val="887"/>
        <w:shd w:val="clear" w:color="auto" w:fill="FFFFFF"/>
        <w:snapToGrid w:val="0"/>
        <w:spacing w:after="240" w:afterAutospacing="0" w:line="360" w:lineRule="auto"/>
        <w:ind w:firstLine="480" w:firstLineChars="200"/>
        <w:contextualSpacing/>
        <w:rPr>
          <w:color w:val="auto"/>
          <w:highlight w:val="none"/>
          <w:lang w:val="zh-CN"/>
        </w:rPr>
      </w:pPr>
      <w:r>
        <w:rPr>
          <w:rFonts w:hint="eastAsia"/>
          <w:color w:val="auto"/>
          <w:highlight w:val="none"/>
          <w:lang w:val="zh-CN"/>
        </w:rPr>
        <w:t>4.4供应商投诉</w:t>
      </w:r>
    </w:p>
    <w:p w14:paraId="43B13584">
      <w:pPr>
        <w:pStyle w:val="887"/>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4.4.1质疑供应商对采购人、采购代理机构的答复不满意或者采购人、采购代理机构未在规定的时间内作出答复的，可以在答复期满后十五个工作日内向同级政府采购监督管理部门提出投诉。</w:t>
      </w:r>
    </w:p>
    <w:p w14:paraId="210BE3E0">
      <w:pPr>
        <w:pStyle w:val="887"/>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4.4.</w:t>
      </w:r>
      <w:r>
        <w:rPr>
          <w:rFonts w:hint="eastAsia"/>
          <w:color w:val="auto"/>
          <w:highlight w:val="none"/>
          <w:lang w:val="zh-CN"/>
        </w:rPr>
        <w:t>2</w:t>
      </w:r>
      <w:r>
        <w:rPr>
          <w:rFonts w:hint="eastAsia"/>
          <w:color w:val="auto"/>
          <w:highlight w:val="none"/>
        </w:rPr>
        <w:t>供应商投诉的事项不得超出已质疑事项的范围，基于质疑答复内容提出的投诉事项除外。</w:t>
      </w:r>
    </w:p>
    <w:p w14:paraId="3F5F1356">
      <w:pPr>
        <w:pStyle w:val="887"/>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4.4.3供应商投诉应当有明确的请求和必要的证明材料。</w:t>
      </w:r>
    </w:p>
    <w:p w14:paraId="1F5ED009">
      <w:pPr>
        <w:pStyle w:val="887"/>
        <w:shd w:val="clear" w:color="auto" w:fill="FFFFFF"/>
        <w:snapToGrid w:val="0"/>
        <w:spacing w:after="240" w:afterAutospacing="0" w:line="360" w:lineRule="auto"/>
        <w:ind w:firstLine="480" w:firstLineChars="200"/>
        <w:contextualSpacing/>
        <w:rPr>
          <w:color w:val="auto"/>
          <w:highlight w:val="none"/>
        </w:rPr>
      </w:pPr>
      <w:r>
        <w:rPr>
          <w:rFonts w:hint="eastAsia"/>
          <w:color w:val="auto"/>
          <w:highlight w:val="none"/>
        </w:rPr>
        <w:t>4.4.4以联合体形式参加政府采购活动的，其投诉应当由组成联合体的所有供应商共同提出。</w:t>
      </w:r>
    </w:p>
    <w:p w14:paraId="7F022776">
      <w:pPr>
        <w:pStyle w:val="887"/>
        <w:shd w:val="clear" w:color="auto" w:fill="FFFFFF"/>
        <w:snapToGrid w:val="0"/>
        <w:spacing w:after="240" w:afterAutospacing="0" w:line="360" w:lineRule="auto"/>
        <w:ind w:firstLine="400"/>
        <w:contextualSpacing/>
        <w:rPr>
          <w:color w:val="auto"/>
          <w:highlight w:val="none"/>
        </w:rPr>
      </w:pPr>
    </w:p>
    <w:p w14:paraId="28A8DC08">
      <w:pPr>
        <w:pStyle w:val="129"/>
        <w:snapToGrid w:val="0"/>
        <w:spacing w:before="0"/>
        <w:ind w:firstLine="360"/>
        <w:rPr>
          <w:rFonts w:ascii="宋体" w:hAnsi="宋体" w:cs="宋体"/>
          <w:color w:val="auto"/>
          <w:sz w:val="18"/>
          <w:szCs w:val="18"/>
          <w:highlight w:val="none"/>
        </w:rPr>
      </w:pPr>
    </w:p>
    <w:p w14:paraId="129ED03B">
      <w:pPr>
        <w:adjustRightInd/>
        <w:spacing w:line="360" w:lineRule="auto"/>
        <w:jc w:val="center"/>
        <w:outlineLvl w:val="1"/>
        <w:rPr>
          <w:rFonts w:ascii="宋体" w:hAnsi="宋体" w:cs="宋体"/>
          <w:b/>
          <w:color w:val="auto"/>
          <w:sz w:val="32"/>
          <w:szCs w:val="20"/>
          <w:highlight w:val="none"/>
        </w:rPr>
      </w:pPr>
      <w:r>
        <w:rPr>
          <w:rFonts w:hint="eastAsia" w:ascii="宋体" w:hAnsi="宋体" w:cs="宋体"/>
          <w:b/>
          <w:color w:val="auto"/>
          <w:sz w:val="32"/>
          <w:szCs w:val="20"/>
          <w:highlight w:val="none"/>
        </w:rPr>
        <w:t>二、招标文件的构成、澄清、修改</w:t>
      </w:r>
    </w:p>
    <w:p w14:paraId="5522470A">
      <w:pPr>
        <w:pStyle w:val="34"/>
        <w:spacing w:line="360" w:lineRule="auto"/>
        <w:rPr>
          <w:rFonts w:hAnsi="宋体" w:cs="宋体"/>
          <w:b/>
          <w:color w:val="auto"/>
          <w:sz w:val="24"/>
          <w:szCs w:val="24"/>
          <w:highlight w:val="none"/>
        </w:rPr>
      </w:pPr>
      <w:r>
        <w:rPr>
          <w:rFonts w:hint="eastAsia" w:hAnsi="宋体" w:cs="宋体"/>
          <w:b/>
          <w:color w:val="auto"/>
          <w:sz w:val="24"/>
          <w:szCs w:val="24"/>
          <w:highlight w:val="none"/>
        </w:rPr>
        <w:t>5．招标文件的构成</w:t>
      </w:r>
    </w:p>
    <w:p w14:paraId="25657819">
      <w:pPr>
        <w:pStyle w:val="34"/>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 招标文件包括下列文件及附件：</w:t>
      </w:r>
    </w:p>
    <w:p w14:paraId="214982DF">
      <w:pPr>
        <w:pStyle w:val="34"/>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5.1.1招标公告；</w:t>
      </w:r>
    </w:p>
    <w:p w14:paraId="32E07507">
      <w:pPr>
        <w:pStyle w:val="34"/>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5.1.2投标人须知；</w:t>
      </w:r>
    </w:p>
    <w:p w14:paraId="3B96174A">
      <w:pPr>
        <w:pStyle w:val="34"/>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5.1.3采购需求；</w:t>
      </w:r>
    </w:p>
    <w:p w14:paraId="68088156">
      <w:pPr>
        <w:pStyle w:val="34"/>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5.1.4评标办法；</w:t>
      </w:r>
    </w:p>
    <w:p w14:paraId="5C153261">
      <w:pPr>
        <w:pStyle w:val="34"/>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5.1.5拟签订的合同文本；</w:t>
      </w:r>
    </w:p>
    <w:p w14:paraId="11D089EC">
      <w:pPr>
        <w:pStyle w:val="34"/>
        <w:tabs>
          <w:tab w:val="left" w:pos="840"/>
        </w:tabs>
        <w:spacing w:line="360" w:lineRule="auto"/>
        <w:ind w:firstLine="480" w:firstLineChars="200"/>
        <w:rPr>
          <w:rFonts w:hAnsi="宋体" w:cs="宋体"/>
          <w:color w:val="auto"/>
          <w:sz w:val="24"/>
          <w:szCs w:val="24"/>
          <w:highlight w:val="none"/>
        </w:rPr>
      </w:pPr>
      <w:r>
        <w:rPr>
          <w:rFonts w:hint="eastAsia" w:hAnsi="宋体" w:cs="宋体"/>
          <w:color w:val="auto"/>
          <w:sz w:val="24"/>
          <w:highlight w:val="none"/>
        </w:rPr>
        <w:t>5.1.6</w:t>
      </w:r>
      <w:r>
        <w:rPr>
          <w:rFonts w:hint="eastAsia" w:hAnsi="宋体" w:cs="宋体"/>
          <w:color w:val="auto"/>
          <w:sz w:val="24"/>
          <w:szCs w:val="24"/>
          <w:highlight w:val="none"/>
        </w:rPr>
        <w:t>应提交的有关格式范例。</w:t>
      </w:r>
    </w:p>
    <w:p w14:paraId="61B8ED0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5.2与本项目有关的</w:t>
      </w:r>
      <w:r>
        <w:rPr>
          <w:rFonts w:hint="eastAsia" w:ascii="宋体" w:hAnsi="宋体" w:cs="宋体"/>
          <w:bCs/>
          <w:color w:val="auto"/>
          <w:sz w:val="24"/>
          <w:highlight w:val="none"/>
        </w:rPr>
        <w:t>澄清或者修改的内容为招标文件的组成部分</w:t>
      </w:r>
      <w:r>
        <w:rPr>
          <w:rFonts w:hint="eastAsia" w:ascii="宋体" w:hAnsi="宋体" w:cs="宋体"/>
          <w:color w:val="auto"/>
          <w:sz w:val="24"/>
          <w:highlight w:val="none"/>
        </w:rPr>
        <w:t>。</w:t>
      </w:r>
    </w:p>
    <w:p w14:paraId="5D0EAE17">
      <w:pPr>
        <w:pStyle w:val="34"/>
        <w:spacing w:line="360" w:lineRule="auto"/>
        <w:rPr>
          <w:rFonts w:hAnsi="宋体" w:cs="宋体"/>
          <w:b/>
          <w:color w:val="auto"/>
          <w:sz w:val="24"/>
          <w:szCs w:val="24"/>
          <w:highlight w:val="none"/>
        </w:rPr>
      </w:pPr>
      <w:r>
        <w:rPr>
          <w:rFonts w:hint="eastAsia" w:hAnsi="宋体" w:cs="宋体"/>
          <w:b/>
          <w:color w:val="auto"/>
          <w:sz w:val="24"/>
          <w:szCs w:val="24"/>
          <w:highlight w:val="none"/>
        </w:rPr>
        <w:t>6. 招标文件的澄清、修改</w:t>
      </w:r>
    </w:p>
    <w:p w14:paraId="2133CE7F">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6.1已获取招标文件的潜在投标人，若有问题需要澄清，应于投标截止时间前，以书面形式向采购代理机构提出。</w:t>
      </w:r>
    </w:p>
    <w:p w14:paraId="359BCE16">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6.2 采购代理机构对招标文件进行澄清或修改的，将同时通过电子交易平台通知已获取招标文件的潜在投标人。依法应当公告的，将按规定公告，同时视情况延长投标截止时间和开标时间。该澄清或者修改的内容为招标文件的组成部分。</w:t>
      </w:r>
    </w:p>
    <w:p w14:paraId="5AC46D86">
      <w:pPr>
        <w:pStyle w:val="24"/>
        <w:rPr>
          <w:rFonts w:hAnsi="宋体" w:cs="宋体"/>
          <w:color w:val="auto"/>
          <w:sz w:val="18"/>
          <w:szCs w:val="18"/>
          <w:highlight w:val="none"/>
          <w:lang w:val="en-US"/>
        </w:rPr>
      </w:pPr>
      <w:r>
        <w:rPr>
          <w:rFonts w:hint="eastAsia" w:hAnsi="宋体" w:cs="宋体"/>
          <w:color w:val="auto"/>
          <w:szCs w:val="24"/>
          <w:highlight w:val="none"/>
          <w:lang w:val="en-US"/>
        </w:rPr>
        <w:t xml:space="preserve">    </w:t>
      </w:r>
    </w:p>
    <w:p w14:paraId="1C631410">
      <w:pPr>
        <w:adjustRightInd/>
        <w:spacing w:line="360" w:lineRule="auto"/>
        <w:jc w:val="center"/>
        <w:outlineLvl w:val="1"/>
        <w:rPr>
          <w:rFonts w:ascii="宋体" w:hAnsi="宋体" w:cs="宋体"/>
          <w:b/>
          <w:color w:val="auto"/>
          <w:sz w:val="30"/>
          <w:szCs w:val="20"/>
          <w:highlight w:val="none"/>
        </w:rPr>
      </w:pPr>
      <w:r>
        <w:rPr>
          <w:rFonts w:hint="eastAsia" w:ascii="宋体" w:hAnsi="宋体" w:cs="宋体"/>
          <w:b/>
          <w:color w:val="auto"/>
          <w:sz w:val="30"/>
          <w:szCs w:val="20"/>
          <w:highlight w:val="none"/>
        </w:rPr>
        <w:t>三、投标</w:t>
      </w:r>
    </w:p>
    <w:p w14:paraId="697E4BBD">
      <w:pPr>
        <w:pStyle w:val="34"/>
        <w:spacing w:line="360" w:lineRule="auto"/>
        <w:rPr>
          <w:rFonts w:hAnsi="宋体" w:cs="宋体"/>
          <w:b/>
          <w:color w:val="auto"/>
          <w:sz w:val="24"/>
          <w:szCs w:val="24"/>
          <w:highlight w:val="none"/>
        </w:rPr>
      </w:pPr>
      <w:r>
        <w:rPr>
          <w:rFonts w:hint="eastAsia" w:hAnsi="宋体" w:cs="宋体"/>
          <w:b/>
          <w:color w:val="auto"/>
          <w:sz w:val="24"/>
          <w:szCs w:val="24"/>
          <w:highlight w:val="none"/>
        </w:rPr>
        <w:t>7. 招标文件的获取</w:t>
      </w:r>
    </w:p>
    <w:p w14:paraId="711D828C">
      <w:pPr>
        <w:spacing w:line="360" w:lineRule="auto"/>
        <w:ind w:firstLine="480" w:firstLineChars="200"/>
        <w:rPr>
          <w:rFonts w:ascii="宋体" w:hAnsi="宋体" w:cs="宋体"/>
          <w:snapToGrid w:val="0"/>
          <w:color w:val="auto"/>
          <w:kern w:val="28"/>
          <w:sz w:val="24"/>
          <w:highlight w:val="none"/>
        </w:rPr>
      </w:pPr>
      <w:r>
        <w:rPr>
          <w:rFonts w:hint="eastAsia" w:ascii="宋体" w:hAnsi="宋体" w:cs="宋体"/>
          <w:snapToGrid w:val="0"/>
          <w:color w:val="auto"/>
          <w:kern w:val="28"/>
          <w:sz w:val="24"/>
          <w:highlight w:val="none"/>
        </w:rPr>
        <w:t>详见招标公告中获取招标文件的时间期限、地点、方式及招标文件售价。</w:t>
      </w:r>
    </w:p>
    <w:p w14:paraId="5220269F">
      <w:pPr>
        <w:pStyle w:val="34"/>
        <w:spacing w:line="360" w:lineRule="auto"/>
        <w:rPr>
          <w:rFonts w:hAnsi="宋体" w:cs="宋体"/>
          <w:b/>
          <w:color w:val="auto"/>
          <w:sz w:val="24"/>
          <w:szCs w:val="24"/>
          <w:highlight w:val="none"/>
        </w:rPr>
      </w:pPr>
      <w:r>
        <w:rPr>
          <w:rFonts w:hint="eastAsia" w:hAnsi="宋体" w:cs="宋体"/>
          <w:b/>
          <w:color w:val="auto"/>
          <w:sz w:val="24"/>
          <w:szCs w:val="24"/>
          <w:highlight w:val="none"/>
        </w:rPr>
        <w:t>8.开标前答疑会或现场考察</w:t>
      </w:r>
    </w:p>
    <w:p w14:paraId="0BFC94C4">
      <w:pPr>
        <w:pStyle w:val="34"/>
        <w:spacing w:line="360" w:lineRule="auto"/>
        <w:ind w:firstLine="480" w:firstLineChars="200"/>
        <w:rPr>
          <w:rFonts w:hAnsi="宋体" w:cs="宋体"/>
          <w:color w:val="auto"/>
          <w:sz w:val="24"/>
          <w:szCs w:val="24"/>
          <w:highlight w:val="none"/>
        </w:rPr>
      </w:pPr>
      <w:r>
        <w:rPr>
          <w:rFonts w:hint="eastAsia" w:hAnsi="宋体" w:cs="宋体"/>
          <w:color w:val="auto"/>
          <w:sz w:val="24"/>
          <w:szCs w:val="24"/>
          <w:highlight w:val="none"/>
        </w:rPr>
        <w:t>采购人组织潜在投标人现场考察或者召开开标前答疑会的，潜在投标人按第二部分投标人须知前附表的规定参加现场考察或者开标前答疑会。</w:t>
      </w:r>
    </w:p>
    <w:p w14:paraId="5C9ED9F9">
      <w:pPr>
        <w:pStyle w:val="34"/>
        <w:spacing w:line="360" w:lineRule="auto"/>
        <w:rPr>
          <w:rFonts w:hAnsi="宋体" w:cs="宋体"/>
          <w:b/>
          <w:color w:val="auto"/>
          <w:szCs w:val="24"/>
          <w:highlight w:val="none"/>
        </w:rPr>
      </w:pPr>
      <w:r>
        <w:rPr>
          <w:rFonts w:hint="eastAsia" w:hAnsi="宋体" w:cs="宋体"/>
          <w:b/>
          <w:color w:val="auto"/>
          <w:kern w:val="28"/>
          <w:sz w:val="24"/>
          <w:szCs w:val="24"/>
          <w:highlight w:val="none"/>
        </w:rPr>
        <w:t>9.投标保证金</w:t>
      </w:r>
    </w:p>
    <w:p w14:paraId="30255204">
      <w:pPr>
        <w:pStyle w:val="34"/>
        <w:spacing w:line="360" w:lineRule="auto"/>
        <w:ind w:firstLine="480" w:firstLineChars="200"/>
        <w:rPr>
          <w:rFonts w:hint="eastAsia" w:hAnsi="宋体" w:cs="宋体"/>
          <w:color w:val="auto"/>
          <w:sz w:val="24"/>
          <w:highlight w:val="none"/>
          <w:lang w:eastAsia="zh-CN"/>
        </w:rPr>
      </w:pPr>
      <w:r>
        <w:rPr>
          <w:rFonts w:hint="eastAsia" w:hAnsi="宋体" w:cs="宋体"/>
          <w:color w:val="auto"/>
          <w:sz w:val="24"/>
          <w:highlight w:val="none"/>
          <w:lang w:eastAsia="zh-CN"/>
        </w:rPr>
        <w:t>本项目不收取。</w:t>
      </w:r>
    </w:p>
    <w:p w14:paraId="37B8D8AA">
      <w:pPr>
        <w:pStyle w:val="34"/>
        <w:spacing w:line="360" w:lineRule="auto"/>
        <w:rPr>
          <w:rFonts w:hAnsi="宋体" w:cs="宋体"/>
          <w:b/>
          <w:color w:val="auto"/>
          <w:sz w:val="24"/>
          <w:szCs w:val="24"/>
          <w:highlight w:val="none"/>
        </w:rPr>
      </w:pPr>
      <w:r>
        <w:rPr>
          <w:rFonts w:hint="eastAsia" w:hAnsi="宋体" w:cs="宋体"/>
          <w:b/>
          <w:color w:val="auto"/>
          <w:sz w:val="24"/>
          <w:szCs w:val="24"/>
          <w:highlight w:val="none"/>
        </w:rPr>
        <w:t>10. 投标文件的语言</w:t>
      </w:r>
    </w:p>
    <w:p w14:paraId="687955A4">
      <w:pPr>
        <w:autoSpaceDE w:val="0"/>
        <w:autoSpaceDN w:val="0"/>
        <w:spacing w:line="360" w:lineRule="auto"/>
        <w:ind w:firstLine="480" w:firstLineChars="200"/>
        <w:rPr>
          <w:rFonts w:ascii="宋体" w:hAnsi="宋体" w:cs="宋体"/>
          <w:color w:val="auto"/>
          <w:sz w:val="24"/>
          <w:highlight w:val="none"/>
          <w:lang w:val="zh-CN"/>
        </w:rPr>
      </w:pPr>
      <w:r>
        <w:rPr>
          <w:rFonts w:hint="eastAsia" w:ascii="宋体" w:hAnsi="宋体" w:cs="宋体"/>
          <w:color w:val="auto"/>
          <w:sz w:val="24"/>
          <w:highlight w:val="none"/>
        </w:rPr>
        <w:t>投标文件及投标人与采购有关的来往通知、函件和文件均应使用中文。</w:t>
      </w:r>
    </w:p>
    <w:p w14:paraId="6A50C9DA">
      <w:pPr>
        <w:pStyle w:val="34"/>
        <w:spacing w:line="360" w:lineRule="auto"/>
        <w:rPr>
          <w:rFonts w:hAnsi="宋体" w:cs="宋体"/>
          <w:b/>
          <w:color w:val="auto"/>
          <w:sz w:val="24"/>
          <w:szCs w:val="24"/>
          <w:highlight w:val="none"/>
        </w:rPr>
      </w:pPr>
      <w:r>
        <w:rPr>
          <w:rFonts w:hint="eastAsia" w:hAnsi="宋体" w:cs="宋体"/>
          <w:b/>
          <w:color w:val="auto"/>
          <w:sz w:val="24"/>
          <w:szCs w:val="24"/>
          <w:highlight w:val="none"/>
        </w:rPr>
        <w:t>11. 投标文件的组成（标注“▲”为实质性要求，供应商必须提供，否则投标无效。相关格式见招标文件第六部分）</w:t>
      </w:r>
    </w:p>
    <w:p w14:paraId="1090DF08">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11.1</w:t>
      </w:r>
      <w:r>
        <w:rPr>
          <w:rFonts w:hint="eastAsia" w:ascii="宋体" w:hAnsi="宋体" w:cs="宋体"/>
          <w:b/>
          <w:color w:val="auto"/>
          <w:sz w:val="24"/>
          <w:highlight w:val="none"/>
        </w:rPr>
        <w:t>资格文件</w:t>
      </w:r>
      <w:r>
        <w:rPr>
          <w:rFonts w:hint="eastAsia" w:ascii="宋体" w:hAnsi="宋体" w:cs="宋体"/>
          <w:color w:val="auto"/>
          <w:sz w:val="24"/>
          <w:highlight w:val="none"/>
        </w:rPr>
        <w:t>：</w:t>
      </w:r>
    </w:p>
    <w:p w14:paraId="42083822">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11.1.1符合参加政府采购活动应当具备的一般条件的承诺函；</w:t>
      </w:r>
    </w:p>
    <w:p w14:paraId="660F6DF7">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ascii="宋体" w:hAnsi="宋体" w:cs="宋体"/>
          <w:color w:val="auto"/>
          <w:sz w:val="24"/>
          <w:highlight w:val="none"/>
        </w:rPr>
        <w:t>1.1.2</w:t>
      </w:r>
      <w:r>
        <w:rPr>
          <w:rFonts w:hint="eastAsia" w:ascii="宋体" w:hAnsi="宋体" w:cs="宋体"/>
          <w:snapToGrid w:val="0"/>
          <w:color w:val="auto"/>
          <w:kern w:val="28"/>
          <w:sz w:val="24"/>
          <w:szCs w:val="20"/>
          <w:highlight w:val="none"/>
        </w:rPr>
        <w:t>联合协议（如果有)；</w:t>
      </w:r>
    </w:p>
    <w:p w14:paraId="29822C0F">
      <w:pPr>
        <w:pStyle w:val="34"/>
        <w:spacing w:line="360" w:lineRule="auto"/>
        <w:ind w:firstLine="482" w:firstLineChars="200"/>
        <w:rPr>
          <w:rFonts w:cs="仿宋_GB2312" w:asciiTheme="minorEastAsia" w:hAnsiTheme="minorEastAsia" w:eastAsiaTheme="minorEastAsia"/>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11.1.</w:t>
      </w:r>
      <w:r>
        <w:rPr>
          <w:rFonts w:ascii="宋体" w:hAnsi="宋体" w:cs="宋体"/>
          <w:color w:val="auto"/>
          <w:sz w:val="24"/>
          <w:highlight w:val="none"/>
        </w:rPr>
        <w:t>3</w:t>
      </w:r>
      <w:r>
        <w:rPr>
          <w:rFonts w:hint="eastAsia" w:ascii="宋体" w:hAnsi="宋体" w:cs="宋体"/>
          <w:color w:val="auto"/>
          <w:sz w:val="24"/>
          <w:highlight w:val="none"/>
        </w:rPr>
        <w:t>落实政府采购政策需满足的资格要求</w:t>
      </w:r>
      <w:r>
        <w:rPr>
          <w:rFonts w:hint="eastAsia" w:hAnsi="宋体" w:cs="宋体"/>
          <w:color w:val="auto"/>
          <w:sz w:val="24"/>
          <w:highlight w:val="none"/>
          <w:lang w:eastAsia="zh-CN"/>
        </w:rPr>
        <w:t>：</w:t>
      </w:r>
      <w:r>
        <w:rPr>
          <w:rFonts w:hint="eastAsia" w:cs="宋体" w:asciiTheme="minorEastAsia" w:hAnsiTheme="minorEastAsia" w:eastAsiaTheme="minorEastAsia"/>
          <w:snapToGrid w:val="0"/>
          <w:color w:val="auto"/>
          <w:kern w:val="28"/>
          <w:sz w:val="24"/>
          <w:highlight w:val="none"/>
          <w:lang w:eastAsia="zh-CN"/>
        </w:rPr>
        <w:t>专门面向中小企业采购，供应商须提供《中小企业声明函》</w:t>
      </w:r>
      <w:r>
        <w:rPr>
          <w:rFonts w:hint="eastAsia" w:cs="宋体" w:asciiTheme="minorEastAsia" w:hAnsiTheme="minorEastAsia" w:eastAsiaTheme="minorEastAsia"/>
          <w:snapToGrid w:val="0"/>
          <w:color w:val="auto"/>
          <w:kern w:val="28"/>
          <w:sz w:val="24"/>
          <w:highlight w:val="none"/>
        </w:rPr>
        <w:t>；</w:t>
      </w:r>
    </w:p>
    <w:p w14:paraId="2B4EA829">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11.1.</w:t>
      </w:r>
      <w:r>
        <w:rPr>
          <w:rFonts w:ascii="宋体" w:hAnsi="宋体" w:cs="宋体"/>
          <w:color w:val="auto"/>
          <w:sz w:val="24"/>
          <w:highlight w:val="none"/>
        </w:rPr>
        <w:t>4</w:t>
      </w:r>
      <w:r>
        <w:rPr>
          <w:rFonts w:hint="eastAsia" w:ascii="宋体" w:hAnsi="宋体" w:cs="宋体"/>
          <w:color w:val="auto"/>
          <w:sz w:val="24"/>
          <w:highlight w:val="none"/>
        </w:rPr>
        <w:t>本项目的特定资格要求</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4ED85B34">
      <w:pPr>
        <w:snapToGrid w:val="0"/>
        <w:spacing w:line="360" w:lineRule="auto"/>
        <w:ind w:firstLine="482" w:firstLineChars="200"/>
        <w:rPr>
          <w:rFonts w:ascii="宋体" w:hAnsi="宋体" w:cs="宋体"/>
          <w:b/>
          <w:color w:val="auto"/>
          <w:sz w:val="24"/>
          <w:highlight w:val="none"/>
          <w:lang w:val="zh-CN"/>
        </w:rPr>
      </w:pPr>
      <w:r>
        <w:rPr>
          <w:rFonts w:hint="eastAsia" w:ascii="宋体" w:hAnsi="宋体" w:cs="宋体"/>
          <w:b/>
          <w:color w:val="auto"/>
          <w:sz w:val="24"/>
          <w:highlight w:val="none"/>
          <w:lang w:val="zh-CN"/>
        </w:rPr>
        <w:t>11.</w:t>
      </w:r>
      <w:r>
        <w:rPr>
          <w:rFonts w:hint="eastAsia" w:ascii="宋体" w:hAnsi="宋体" w:cs="宋体"/>
          <w:b/>
          <w:color w:val="auto"/>
          <w:sz w:val="24"/>
          <w:highlight w:val="none"/>
        </w:rPr>
        <w:t>2</w:t>
      </w:r>
      <w:r>
        <w:rPr>
          <w:rFonts w:hint="eastAsia" w:ascii="宋体" w:hAnsi="宋体" w:cs="宋体"/>
          <w:b/>
          <w:color w:val="auto"/>
          <w:sz w:val="24"/>
          <w:highlight w:val="none"/>
          <w:lang w:val="zh-CN"/>
        </w:rPr>
        <w:t xml:space="preserve">  </w:t>
      </w:r>
      <w:r>
        <w:rPr>
          <w:rFonts w:hint="eastAsia" w:ascii="宋体" w:hAnsi="宋体" w:cs="宋体"/>
          <w:b/>
          <w:color w:val="auto"/>
          <w:sz w:val="24"/>
          <w:highlight w:val="none"/>
        </w:rPr>
        <w:t>商务技术</w:t>
      </w:r>
      <w:r>
        <w:rPr>
          <w:rFonts w:hint="eastAsia" w:ascii="宋体" w:hAnsi="宋体" w:cs="宋体"/>
          <w:b/>
          <w:color w:val="auto"/>
          <w:sz w:val="24"/>
          <w:highlight w:val="none"/>
          <w:lang w:val="zh-CN"/>
        </w:rPr>
        <w:t>文件：</w:t>
      </w:r>
    </w:p>
    <w:p w14:paraId="7604D698">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11.2.1投标函；</w:t>
      </w:r>
      <w:r>
        <w:rPr>
          <w:rFonts w:hint="eastAsia" w:ascii="宋体" w:hAnsi="宋体" w:cs="宋体"/>
          <w:color w:val="auto"/>
          <w:sz w:val="24"/>
          <w:highlight w:val="none"/>
          <w:lang w:val="zh-CN"/>
        </w:rPr>
        <w:t xml:space="preserve"> </w:t>
      </w:r>
    </w:p>
    <w:p w14:paraId="3CB2F905">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11.2.2授权委托书或法定代表人（单位负责人、自然人本人）身份证明；</w:t>
      </w:r>
    </w:p>
    <w:p w14:paraId="261C07A7">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1DF169D1">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4</w:t>
      </w:r>
      <w:r>
        <w:rPr>
          <w:rFonts w:hint="eastAsia" w:ascii="宋体" w:hAnsi="宋体" w:cs="宋体"/>
          <w:color w:val="auto"/>
          <w:sz w:val="24"/>
          <w:highlight w:val="none"/>
        </w:rPr>
        <w:t>符合性审查资料</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0F6D1582">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3BF25D3C">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11.2.</w:t>
      </w:r>
      <w:r>
        <w:rPr>
          <w:rFonts w:ascii="宋体" w:hAnsi="宋体" w:cs="宋体"/>
          <w:color w:val="auto"/>
          <w:sz w:val="24"/>
          <w:highlight w:val="none"/>
        </w:rPr>
        <w:t>6</w:t>
      </w:r>
      <w:r>
        <w:rPr>
          <w:rFonts w:hint="eastAsia" w:ascii="宋体" w:hAnsi="宋体" w:cs="宋体"/>
          <w:color w:val="auto"/>
          <w:sz w:val="24"/>
          <w:highlight w:val="none"/>
        </w:rPr>
        <w:t>投标标的清单</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1FBDB9A3">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11.2.</w:t>
      </w:r>
      <w:r>
        <w:rPr>
          <w:rFonts w:ascii="宋体" w:hAnsi="宋体" w:cs="宋体"/>
          <w:color w:val="auto"/>
          <w:sz w:val="24"/>
          <w:highlight w:val="none"/>
        </w:rPr>
        <w:t>7</w:t>
      </w:r>
      <w:r>
        <w:rPr>
          <w:rFonts w:hint="eastAsia" w:ascii="宋体" w:hAnsi="宋体" w:cs="宋体"/>
          <w:color w:val="auto"/>
          <w:sz w:val="24"/>
          <w:highlight w:val="none"/>
        </w:rPr>
        <w:t>商务技术偏离表；</w:t>
      </w:r>
    </w:p>
    <w:p w14:paraId="11D6E116">
      <w:pPr>
        <w:snapToGrid w:val="0"/>
        <w:spacing w:line="360" w:lineRule="auto"/>
        <w:ind w:firstLine="482" w:firstLineChars="200"/>
        <w:rPr>
          <w:rFonts w:ascii="宋体" w:hAnsi="宋体" w:cs="宋体"/>
          <w:color w:val="auto"/>
          <w:sz w:val="24"/>
          <w:highlight w:val="none"/>
          <w:lang w:val="zh-CN"/>
        </w:rPr>
      </w:pPr>
      <w:r>
        <w:rPr>
          <w:rFonts w:hint="eastAsia" w:hAnsi="宋体" w:cs="宋体"/>
          <w:b/>
          <w:color w:val="auto"/>
          <w:sz w:val="24"/>
          <w:highlight w:val="none"/>
        </w:rPr>
        <w:t>▲</w:t>
      </w:r>
      <w:r>
        <w:rPr>
          <w:rFonts w:hint="eastAsia" w:ascii="宋体" w:hAnsi="宋体" w:cs="宋体"/>
          <w:color w:val="auto"/>
          <w:sz w:val="24"/>
          <w:highlight w:val="none"/>
          <w:lang w:val="zh-CN"/>
        </w:rPr>
        <w:t>11.</w:t>
      </w: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p>
    <w:p w14:paraId="7CB4A638">
      <w:pPr>
        <w:pStyle w:val="83"/>
        <w:rPr>
          <w:color w:val="auto"/>
          <w:highlight w:val="none"/>
        </w:rPr>
      </w:pPr>
      <w:r>
        <w:rPr>
          <w:rFonts w:hint="eastAsia" w:cs="宋体"/>
          <w:b/>
          <w:color w:val="auto"/>
          <w:szCs w:val="24"/>
          <w:highlight w:val="none"/>
        </w:rPr>
        <w:t>▲</w:t>
      </w:r>
      <w:r>
        <w:rPr>
          <w:rFonts w:hint="eastAsia"/>
          <w:color w:val="auto"/>
          <w:highlight w:val="none"/>
        </w:rPr>
        <w:t>11.2.9承诺函；</w:t>
      </w:r>
    </w:p>
    <w:p w14:paraId="0483182E">
      <w:pPr>
        <w:pStyle w:val="83"/>
        <w:rPr>
          <w:color w:val="auto"/>
          <w:highlight w:val="none"/>
        </w:rPr>
      </w:pPr>
      <w:r>
        <w:rPr>
          <w:rFonts w:hint="eastAsia"/>
          <w:color w:val="auto"/>
          <w:highlight w:val="none"/>
        </w:rPr>
        <w:t>11.2.10技术解决方案</w:t>
      </w:r>
      <w:r>
        <w:rPr>
          <w:rFonts w:hint="eastAsia" w:cs="宋体"/>
          <w:snapToGrid w:val="0"/>
          <w:color w:val="auto"/>
          <w:kern w:val="28"/>
          <w:highlight w:val="none"/>
        </w:rPr>
        <w:t>（如果有)</w:t>
      </w:r>
      <w:r>
        <w:rPr>
          <w:rFonts w:hint="eastAsia"/>
          <w:color w:val="auto"/>
          <w:highlight w:val="none"/>
        </w:rPr>
        <w:t>。可以是针对本项目的完整技术解决方案和实施方案；详细阐述项目方案的实现思路及关键技术；符合本项目对当前和未来发展的要求；以及对功能设计和实施计划的建议；</w:t>
      </w:r>
    </w:p>
    <w:p w14:paraId="6A20DE90">
      <w:pPr>
        <w:pStyle w:val="83"/>
        <w:rPr>
          <w:color w:val="auto"/>
          <w:highlight w:val="none"/>
        </w:rPr>
      </w:pPr>
      <w:r>
        <w:rPr>
          <w:rFonts w:hint="eastAsia" w:cs="宋体"/>
          <w:b/>
          <w:color w:val="auto"/>
          <w:szCs w:val="24"/>
          <w:highlight w:val="none"/>
        </w:rPr>
        <w:t>▲</w:t>
      </w:r>
      <w:r>
        <w:rPr>
          <w:rFonts w:hint="eastAsia"/>
          <w:color w:val="auto"/>
          <w:highlight w:val="none"/>
        </w:rPr>
        <w:t>11.2.11组织实施方案。可以是本项目详细工作实施组织方案，包括(但不限于)以下内容：组织机构、工作时间进度表、工作程序和步骤、管理和协调方法、关键步骤的思路和要点；</w:t>
      </w:r>
    </w:p>
    <w:p w14:paraId="73EF0415">
      <w:pPr>
        <w:pStyle w:val="83"/>
        <w:rPr>
          <w:color w:val="auto"/>
          <w:highlight w:val="none"/>
        </w:rPr>
      </w:pPr>
      <w:r>
        <w:rPr>
          <w:rFonts w:hint="eastAsia"/>
          <w:color w:val="auto"/>
          <w:highlight w:val="none"/>
        </w:rPr>
        <w:t>11.2.12售后服务方案</w:t>
      </w:r>
      <w:r>
        <w:rPr>
          <w:rFonts w:hint="eastAsia" w:cs="宋体"/>
          <w:snapToGrid w:val="0"/>
          <w:color w:val="auto"/>
          <w:kern w:val="28"/>
          <w:highlight w:val="none"/>
        </w:rPr>
        <w:t>（如果有)</w:t>
      </w:r>
      <w:r>
        <w:rPr>
          <w:rFonts w:hint="eastAsia"/>
          <w:color w:val="auto"/>
          <w:highlight w:val="none"/>
        </w:rPr>
        <w:t>。可以是项目验收之后的维护方案；针对本项目的维护方案，包括本地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009D6EF3">
      <w:pPr>
        <w:snapToGrid w:val="0"/>
        <w:spacing w:line="360" w:lineRule="auto"/>
        <w:ind w:firstLine="482" w:firstLineChars="200"/>
        <w:rPr>
          <w:rFonts w:ascii="宋体" w:hAnsi="宋体" w:cs="宋体"/>
          <w:b/>
          <w:color w:val="auto"/>
          <w:sz w:val="24"/>
          <w:highlight w:val="none"/>
          <w:u w:val="single"/>
          <w:lang w:val="zh-CN"/>
        </w:rPr>
      </w:pPr>
      <w:r>
        <w:rPr>
          <w:rFonts w:hint="eastAsia" w:ascii="宋体" w:hAnsi="宋体" w:cs="宋体"/>
          <w:b/>
          <w:color w:val="auto"/>
          <w:kern w:val="0"/>
          <w:sz w:val="24"/>
          <w:highlight w:val="none"/>
          <w:lang w:val="zh-CN"/>
        </w:rPr>
        <w:t>11.</w:t>
      </w:r>
      <w:r>
        <w:rPr>
          <w:rFonts w:hint="eastAsia" w:ascii="宋体" w:hAnsi="宋体" w:cs="宋体"/>
          <w:b/>
          <w:color w:val="auto"/>
          <w:kern w:val="0"/>
          <w:sz w:val="24"/>
          <w:highlight w:val="none"/>
        </w:rPr>
        <w:t>3</w:t>
      </w:r>
      <w:r>
        <w:rPr>
          <w:rFonts w:hint="eastAsia" w:ascii="宋体" w:hAnsi="宋体" w:cs="宋体"/>
          <w:b/>
          <w:color w:val="auto"/>
          <w:sz w:val="24"/>
          <w:highlight w:val="none"/>
        </w:rPr>
        <w:t xml:space="preserve">报价文件： </w:t>
      </w:r>
    </w:p>
    <w:p w14:paraId="44CF1B0C">
      <w:pPr>
        <w:snapToGrid w:val="0"/>
        <w:spacing w:line="360" w:lineRule="auto"/>
        <w:ind w:firstLine="482" w:firstLineChars="200"/>
        <w:rPr>
          <w:rFonts w:ascii="宋体" w:hAnsi="宋体" w:cs="宋体"/>
          <w:color w:val="auto"/>
          <w:sz w:val="24"/>
          <w:highlight w:val="none"/>
        </w:rPr>
      </w:pPr>
      <w:r>
        <w:rPr>
          <w:rFonts w:hint="eastAsia" w:hAnsi="宋体" w:cs="宋体"/>
          <w:b/>
          <w:color w:val="auto"/>
          <w:sz w:val="24"/>
          <w:highlight w:val="none"/>
        </w:rPr>
        <w:t>▲</w:t>
      </w:r>
      <w:r>
        <w:rPr>
          <w:rFonts w:hint="eastAsia" w:ascii="宋体" w:hAnsi="宋体" w:cs="宋体"/>
          <w:color w:val="auto"/>
          <w:sz w:val="24"/>
          <w:highlight w:val="none"/>
        </w:rPr>
        <w:t>11.3.1开标一览表（报价表）；</w:t>
      </w:r>
    </w:p>
    <w:p w14:paraId="5C6B59A2">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▲11.3.2中小企业声明函；</w:t>
      </w:r>
    </w:p>
    <w:p w14:paraId="7EB0C618">
      <w:pPr>
        <w:snapToGrid w:val="0"/>
        <w:spacing w:line="360" w:lineRule="auto"/>
        <w:ind w:firstLine="480" w:firstLineChars="200"/>
        <w:rPr>
          <w:rFonts w:ascii="宋体" w:hAnsi="宋体" w:cs="宋体"/>
          <w:color w:val="auto"/>
          <w:sz w:val="24"/>
          <w:highlight w:val="none"/>
        </w:rPr>
      </w:pPr>
      <w:bookmarkStart w:id="32" w:name="OLE_LINK6"/>
      <w:bookmarkStart w:id="33" w:name="OLE_LINK5"/>
      <w:r>
        <w:rPr>
          <w:rFonts w:hint="eastAsia" w:ascii="宋体" w:hAnsi="宋体" w:cs="宋体"/>
          <w:color w:val="auto"/>
          <w:sz w:val="24"/>
          <w:highlight w:val="none"/>
        </w:rPr>
        <w:t>11.3.3关于符合本国产品标准的声明函</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 xml:space="preserve"> ；</w:t>
      </w:r>
    </w:p>
    <w:p w14:paraId="5014D89B">
      <w:pPr>
        <w:snapToGrid w:val="0"/>
        <w:spacing w:line="360" w:lineRule="auto"/>
        <w:ind w:firstLine="480" w:firstLineChars="200"/>
        <w:rPr>
          <w:color w:val="auto"/>
          <w:highlight w:val="none"/>
        </w:rPr>
      </w:pPr>
      <w:r>
        <w:rPr>
          <w:rFonts w:hint="eastAsia" w:ascii="宋体" w:hAnsi="宋体" w:cs="宋体"/>
          <w:color w:val="auto"/>
          <w:sz w:val="24"/>
          <w:highlight w:val="none"/>
        </w:rPr>
        <w:t>11.3.4关于符合本国产品标准的产品成本之和占所提供的全部产品成本之和的比例达到80%以上的声明函</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bookmarkEnd w:id="32"/>
    <w:bookmarkEnd w:id="33"/>
    <w:p w14:paraId="60ADFEA3">
      <w:pPr>
        <w:spacing w:line="360" w:lineRule="auto"/>
        <w:ind w:firstLine="482" w:firstLineChars="200"/>
        <w:rPr>
          <w:rFonts w:ascii="宋体" w:hAnsi="宋体" w:cs="宋体"/>
          <w:b/>
          <w:color w:val="auto"/>
          <w:sz w:val="24"/>
          <w:highlight w:val="none"/>
        </w:rPr>
      </w:pPr>
      <w:r>
        <w:rPr>
          <w:rFonts w:hint="eastAsia" w:ascii="宋体" w:hAnsi="宋体" w:cs="宋体"/>
          <w:b/>
          <w:color w:val="auto"/>
          <w:sz w:val="24"/>
          <w:highlight w:val="none"/>
        </w:rPr>
        <w:t>投标文件含有采购人不能接受的附加条件的，投标无效；</w:t>
      </w:r>
    </w:p>
    <w:p w14:paraId="4F05900B">
      <w:pPr>
        <w:spacing w:line="360" w:lineRule="auto"/>
        <w:ind w:firstLine="482" w:firstLineChars="200"/>
        <w:rPr>
          <w:rFonts w:ascii="宋体" w:hAnsi="宋体" w:cs="宋体"/>
          <w:b/>
          <w:color w:val="auto"/>
          <w:sz w:val="24"/>
          <w:szCs w:val="21"/>
          <w:highlight w:val="none"/>
        </w:rPr>
      </w:pPr>
      <w:r>
        <w:rPr>
          <w:rFonts w:hint="eastAsia" w:ascii="宋体" w:hAnsi="宋体" w:cs="宋体"/>
          <w:b/>
          <w:color w:val="auto"/>
          <w:sz w:val="24"/>
          <w:highlight w:val="none"/>
        </w:rPr>
        <w:t>投标人提供虚假材料投标的，投标无效。</w:t>
      </w:r>
    </w:p>
    <w:p w14:paraId="64F9B220">
      <w:pPr>
        <w:pStyle w:val="129"/>
        <w:snapToGrid w:val="0"/>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12</w:t>
      </w:r>
      <w:r>
        <w:rPr>
          <w:rFonts w:hint="eastAsia" w:ascii="宋体" w:hAnsi="宋体" w:cs="宋体"/>
          <w:b/>
          <w:color w:val="auto"/>
          <w:kern w:val="0"/>
          <w:szCs w:val="24"/>
          <w:highlight w:val="none"/>
          <w:lang w:val="zh-CN"/>
        </w:rPr>
        <w:t xml:space="preserve">. </w:t>
      </w:r>
      <w:r>
        <w:rPr>
          <w:rFonts w:hint="eastAsia" w:ascii="宋体" w:hAnsi="宋体" w:cs="宋体"/>
          <w:b/>
          <w:color w:val="auto"/>
          <w:szCs w:val="24"/>
          <w:highlight w:val="none"/>
        </w:rPr>
        <w:t>投标文件的编制</w:t>
      </w:r>
    </w:p>
    <w:p w14:paraId="743FD23C">
      <w:pPr>
        <w:spacing w:line="360" w:lineRule="auto"/>
        <w:ind w:firstLine="480" w:firstLineChars="200"/>
        <w:rPr>
          <w:rFonts w:ascii="宋体" w:hAnsi="宋体" w:cs="宋体"/>
          <w:b/>
          <w:color w:val="auto"/>
          <w:sz w:val="24"/>
          <w:highlight w:val="none"/>
        </w:rPr>
      </w:pPr>
      <w:r>
        <w:rPr>
          <w:rFonts w:hint="eastAsia" w:ascii="宋体" w:hAnsi="宋体" w:cs="宋体"/>
          <w:color w:val="auto"/>
          <w:kern w:val="0"/>
          <w:sz w:val="24"/>
          <w:highlight w:val="none"/>
          <w:lang w:val="zh-CN"/>
        </w:rPr>
        <w:t>12.1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5E18455D">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12.2投标人进行电子投标应安装客户端软件—“广西政府采购云平台电子交易客户端”，并按照招标文件和电子交易平台的要求编制并加密投标文件。投标人未按规定加密的投标文件，电子交易平台将拒收并提示。</w:t>
      </w:r>
    </w:p>
    <w:p w14:paraId="5E2130ED">
      <w:pPr>
        <w:spacing w:line="360" w:lineRule="auto"/>
        <w:ind w:firstLine="480" w:firstLineChars="2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12.3使用“广西政府采购云平台电子交易客户端”需要提前申领CA数字证书，申领流程请自行前往“</w:t>
      </w:r>
      <w:r>
        <w:rPr>
          <w:rFonts w:hint="eastAsia" w:ascii="宋体" w:hAnsi="宋体" w:cs="宋体"/>
          <w:color w:val="auto"/>
          <w:sz w:val="24"/>
          <w:highlight w:val="none"/>
        </w:rPr>
        <w:t>广西政府采购网（http://zfcg.gxzf.gov.cn/）—办事服务—下载专区</w:t>
      </w:r>
      <w:r>
        <w:rPr>
          <w:rFonts w:hint="eastAsia" w:ascii="宋体" w:hAnsi="宋体" w:cs="宋体"/>
          <w:color w:val="auto"/>
          <w:kern w:val="0"/>
          <w:sz w:val="24"/>
          <w:highlight w:val="none"/>
          <w:lang w:val="zh-CN"/>
        </w:rPr>
        <w:t>”进行查阅。</w:t>
      </w:r>
    </w:p>
    <w:p w14:paraId="52C3D79B">
      <w:pPr>
        <w:snapToGrid w:val="0"/>
        <w:spacing w:line="360" w:lineRule="auto"/>
        <w:rPr>
          <w:rFonts w:ascii="宋体" w:hAnsi="宋体" w:cs="宋体"/>
          <w:b/>
          <w:color w:val="auto"/>
          <w:sz w:val="24"/>
          <w:highlight w:val="none"/>
        </w:rPr>
      </w:pPr>
      <w:r>
        <w:rPr>
          <w:rFonts w:hint="eastAsia" w:ascii="宋体" w:hAnsi="宋体" w:cs="宋体"/>
          <w:b/>
          <w:color w:val="auto"/>
          <w:sz w:val="24"/>
          <w:highlight w:val="none"/>
        </w:rPr>
        <w:t>13.投标文件的签署、盖章</w:t>
      </w:r>
    </w:p>
    <w:p w14:paraId="0DDE9290">
      <w:pPr>
        <w:pStyle w:val="129"/>
        <w:snapToGrid w:val="0"/>
        <w:spacing w:before="0"/>
        <w:ind w:firstLine="480"/>
        <w:rPr>
          <w:rFonts w:ascii="宋体" w:hAnsi="宋体" w:cs="宋体"/>
          <w:b/>
          <w:color w:val="auto"/>
          <w:highlight w:val="none"/>
        </w:rPr>
      </w:pPr>
      <w:r>
        <w:rPr>
          <w:rFonts w:hint="eastAsia" w:ascii="宋体" w:hAnsi="宋体" w:cs="宋体"/>
          <w:color w:val="auto"/>
          <w:szCs w:val="24"/>
          <w:highlight w:val="none"/>
        </w:rPr>
        <w:t>13.1投标文件按照招标文件第六部分格式要</w:t>
      </w:r>
      <w:r>
        <w:rPr>
          <w:rFonts w:hint="eastAsia" w:ascii="宋体" w:hAnsi="宋体" w:cs="宋体"/>
          <w:color w:val="auto"/>
          <w:highlight w:val="none"/>
        </w:rPr>
        <w:t>求进行签署、盖章。</w:t>
      </w:r>
      <w:r>
        <w:rPr>
          <w:rFonts w:hint="eastAsia" w:ascii="宋体" w:hAnsi="宋体" w:cs="宋体"/>
          <w:b/>
          <w:color w:val="auto"/>
          <w:highlight w:val="none"/>
        </w:rPr>
        <w:t>▲投标人的投标文件未按照招标文件要求签署、盖章的，其投标无效</w:t>
      </w:r>
      <w:r>
        <w:rPr>
          <w:rFonts w:hint="eastAsia" w:ascii="宋体" w:hAnsi="宋体" w:cs="宋体"/>
          <w:color w:val="auto"/>
          <w:szCs w:val="24"/>
          <w:highlight w:val="none"/>
        </w:rPr>
        <w:t>。</w:t>
      </w:r>
    </w:p>
    <w:p w14:paraId="04C04592">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13.2为确保网上操作合法、有效和安全，投标人应当在投标截止时间前完成在“广西政府采购云平台”的身份认证，确保在电子投标过程中能够对相关数据电文进行加密和使用电子签名。</w:t>
      </w:r>
    </w:p>
    <w:p w14:paraId="57214BD3">
      <w:pPr>
        <w:pStyle w:val="129"/>
        <w:snapToGrid w:val="0"/>
        <w:spacing w:before="0"/>
        <w:ind w:firstLine="480"/>
        <w:rPr>
          <w:rFonts w:ascii="宋体" w:hAnsi="宋体" w:cs="宋体"/>
          <w:color w:val="auto"/>
          <w:szCs w:val="24"/>
          <w:highlight w:val="none"/>
        </w:rPr>
      </w:pPr>
      <w:r>
        <w:rPr>
          <w:rFonts w:hint="eastAsia" w:ascii="宋体" w:hAnsi="宋体" w:cs="宋体"/>
          <w:color w:val="auto"/>
          <w:highlight w:val="none"/>
        </w:rPr>
        <w:t>13.3招标文件对投标文件签署、盖章的要求适用于电子签名、CA签章以及招标文件明确允许的其他方式。</w:t>
      </w:r>
    </w:p>
    <w:p w14:paraId="2C919D96">
      <w:pPr>
        <w:pStyle w:val="129"/>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14. 投标文件的提交、补充、修改、撤回</w:t>
      </w:r>
    </w:p>
    <w:p w14:paraId="475D9837">
      <w:pPr>
        <w:pStyle w:val="129"/>
        <w:spacing w:before="0"/>
        <w:ind w:firstLine="480"/>
        <w:rPr>
          <w:rFonts w:ascii="宋体" w:hAnsi="宋体" w:cs="宋体"/>
          <w:color w:val="auto"/>
          <w:szCs w:val="24"/>
          <w:highlight w:val="none"/>
        </w:rPr>
      </w:pPr>
      <w:r>
        <w:rPr>
          <w:rFonts w:hint="eastAsia" w:ascii="宋体" w:hAnsi="宋体" w:cs="宋体"/>
          <w:color w:val="auto"/>
          <w:szCs w:val="24"/>
          <w:highlight w:val="none"/>
        </w:rPr>
        <w:t>14.1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592F9D27">
      <w:pPr>
        <w:pStyle w:val="129"/>
        <w:spacing w:before="0"/>
        <w:ind w:firstLine="480"/>
        <w:rPr>
          <w:rFonts w:ascii="宋体" w:hAnsi="宋体" w:cs="宋体"/>
          <w:color w:val="auto"/>
          <w:szCs w:val="24"/>
          <w:highlight w:val="none"/>
        </w:rPr>
      </w:pPr>
      <w:r>
        <w:rPr>
          <w:rFonts w:hint="eastAsia" w:ascii="宋体" w:hAnsi="宋体" w:cs="宋体"/>
          <w:color w:val="auto"/>
          <w:szCs w:val="24"/>
          <w:highlight w:val="none"/>
        </w:rPr>
        <w:t>14.2电子交易平台收到投标文件，将妥善保存并即时向供应商发出确认回执通知。在投标截止时间前，除供应商补充、修改或者撤回投标文件外，任何单位和个人不得解密或提取投标文件。</w:t>
      </w:r>
    </w:p>
    <w:p w14:paraId="414D2E14">
      <w:pPr>
        <w:pStyle w:val="129"/>
        <w:spacing w:before="0"/>
        <w:ind w:firstLine="480"/>
        <w:rPr>
          <w:rFonts w:ascii="宋体" w:hAnsi="宋体" w:cs="宋体"/>
          <w:color w:val="auto"/>
          <w:szCs w:val="24"/>
          <w:highlight w:val="none"/>
        </w:rPr>
      </w:pPr>
      <w:r>
        <w:rPr>
          <w:rFonts w:hint="eastAsia" w:ascii="宋体" w:hAnsi="宋体" w:cs="宋体"/>
          <w:color w:val="auto"/>
          <w:szCs w:val="24"/>
          <w:highlight w:val="none"/>
        </w:rPr>
        <w:t>14.3采购人、采购代理机构可以视情况延长投标文件提交的截止时间。在上述情况下，采购代理机构与投标人以前在投标截止期方面的全部权利、责任和义务，将适用于延长至新的投标截止期。</w:t>
      </w:r>
    </w:p>
    <w:p w14:paraId="33B62C45">
      <w:pPr>
        <w:pStyle w:val="34"/>
        <w:spacing w:line="360" w:lineRule="auto"/>
        <w:rPr>
          <w:rFonts w:hAnsi="宋体" w:cs="宋体"/>
          <w:b/>
          <w:color w:val="auto"/>
          <w:sz w:val="24"/>
          <w:szCs w:val="24"/>
          <w:highlight w:val="none"/>
        </w:rPr>
      </w:pPr>
      <w:r>
        <w:rPr>
          <w:rFonts w:hint="eastAsia" w:hAnsi="宋体" w:cs="宋体"/>
          <w:b/>
          <w:color w:val="auto"/>
          <w:sz w:val="24"/>
          <w:szCs w:val="24"/>
          <w:highlight w:val="none"/>
        </w:rPr>
        <w:t>15.备份投标文件</w:t>
      </w:r>
    </w:p>
    <w:p w14:paraId="0903044B">
      <w:pPr>
        <w:ind w:firstLine="480" w:firstLineChars="200"/>
        <w:rPr>
          <w:rFonts w:hAnsi="宋体" w:cs="宋体"/>
          <w:b/>
          <w:color w:val="auto"/>
          <w:sz w:val="24"/>
          <w:szCs w:val="24"/>
          <w:highlight w:val="none"/>
        </w:rPr>
      </w:pPr>
      <w:r>
        <w:rPr>
          <w:rFonts w:hint="eastAsia" w:hAnsi="宋体" w:cs="宋体"/>
          <w:color w:val="auto"/>
          <w:sz w:val="24"/>
          <w:szCs w:val="24"/>
          <w:highlight w:val="none"/>
        </w:rPr>
        <w:t xml:space="preserve"> </w:t>
      </w:r>
      <w:r>
        <w:rPr>
          <w:rFonts w:hint="eastAsia" w:hAnsi="宋体" w:cs="宋体"/>
          <w:color w:val="auto"/>
          <w:sz w:val="24"/>
          <w:highlight w:val="none"/>
        </w:rPr>
        <w:t xml:space="preserve"> </w:t>
      </w:r>
      <w:r>
        <w:rPr>
          <w:rFonts w:hint="eastAsia" w:ascii="宋体" w:hAnsi="宋体" w:cs="宋体"/>
          <w:color w:val="auto"/>
          <w:sz w:val="24"/>
          <w:highlight w:val="none"/>
        </w:rPr>
        <w:t>本项目不提交。</w:t>
      </w:r>
    </w:p>
    <w:p w14:paraId="49D46822">
      <w:pPr>
        <w:pStyle w:val="129"/>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16.投标文件的无效处理</w:t>
      </w:r>
    </w:p>
    <w:p w14:paraId="0DD734D4">
      <w:pPr>
        <w:pStyle w:val="26"/>
        <w:spacing w:line="360" w:lineRule="auto"/>
        <w:ind w:firstLine="360" w:firstLineChars="150"/>
        <w:rPr>
          <w:rFonts w:cs="宋体"/>
          <w:color w:val="auto"/>
          <w:szCs w:val="21"/>
          <w:highlight w:val="none"/>
        </w:rPr>
      </w:pPr>
      <w:r>
        <w:rPr>
          <w:rFonts w:hint="eastAsia" w:cs="宋体"/>
          <w:color w:val="auto"/>
          <w:szCs w:val="21"/>
          <w:highlight w:val="none"/>
        </w:rPr>
        <w:t>有招标文件第四部分</w:t>
      </w:r>
      <w:r>
        <w:rPr>
          <w:rFonts w:cs="宋体"/>
          <w:color w:val="auto"/>
          <w:szCs w:val="21"/>
          <w:highlight w:val="none"/>
        </w:rPr>
        <w:t>4.2规定</w:t>
      </w:r>
      <w:r>
        <w:rPr>
          <w:rFonts w:hint="eastAsia" w:cs="宋体"/>
          <w:color w:val="auto"/>
          <w:szCs w:val="21"/>
          <w:highlight w:val="none"/>
        </w:rPr>
        <w:t>的情形之一的，投标无效：</w:t>
      </w:r>
    </w:p>
    <w:p w14:paraId="6077AF28">
      <w:pPr>
        <w:pStyle w:val="129"/>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17.投标有效期</w:t>
      </w:r>
    </w:p>
    <w:p w14:paraId="0ACEF91F">
      <w:pPr>
        <w:spacing w:line="360" w:lineRule="auto"/>
        <w:ind w:firstLine="480" w:firstLineChars="200"/>
        <w:rPr>
          <w:rFonts w:ascii="宋体" w:hAnsi="宋体" w:cs="宋体"/>
          <w:b/>
          <w:color w:val="auto"/>
          <w:sz w:val="24"/>
          <w:szCs w:val="21"/>
          <w:highlight w:val="none"/>
        </w:rPr>
      </w:pPr>
      <w:r>
        <w:rPr>
          <w:rFonts w:hint="eastAsia" w:ascii="宋体" w:hAnsi="宋体" w:cs="宋体"/>
          <w:color w:val="auto"/>
          <w:sz w:val="24"/>
          <w:szCs w:val="20"/>
          <w:highlight w:val="none"/>
        </w:rPr>
        <w:t>17.1投标有效期为从提交投标文件的截止之日起60天。▲</w:t>
      </w:r>
      <w:r>
        <w:rPr>
          <w:rFonts w:hint="eastAsia" w:ascii="宋体" w:hAnsi="宋体" w:cs="宋体"/>
          <w:b/>
          <w:color w:val="auto"/>
          <w:sz w:val="24"/>
          <w:szCs w:val="20"/>
          <w:highlight w:val="none"/>
        </w:rPr>
        <w:t>投标人的投标文件中承</w:t>
      </w:r>
      <w:r>
        <w:rPr>
          <w:rFonts w:hint="eastAsia" w:ascii="宋体" w:hAnsi="宋体" w:cs="宋体"/>
          <w:b/>
          <w:color w:val="auto"/>
          <w:sz w:val="24"/>
          <w:szCs w:val="21"/>
          <w:highlight w:val="none"/>
        </w:rPr>
        <w:t>诺的投标有效期少于招标文件中载明的投标有效期的，投标无效。</w:t>
      </w:r>
    </w:p>
    <w:p w14:paraId="3F6583A2">
      <w:pPr>
        <w:pStyle w:val="129"/>
        <w:spacing w:before="0"/>
        <w:ind w:firstLine="480"/>
        <w:rPr>
          <w:rFonts w:ascii="宋体" w:hAnsi="宋体" w:cs="宋体"/>
          <w:color w:val="auto"/>
          <w:highlight w:val="none"/>
        </w:rPr>
      </w:pPr>
      <w:r>
        <w:rPr>
          <w:rFonts w:hint="eastAsia" w:ascii="宋体" w:hAnsi="宋体" w:cs="宋体"/>
          <w:color w:val="auto"/>
          <w:highlight w:val="none"/>
        </w:rPr>
        <w:t>17.2投标文件合格投递后，自投标截止日期起，在投标有效期内有效。</w:t>
      </w:r>
    </w:p>
    <w:p w14:paraId="72E47B83">
      <w:pPr>
        <w:pStyle w:val="129"/>
        <w:spacing w:before="0"/>
        <w:ind w:firstLine="480"/>
        <w:rPr>
          <w:rFonts w:ascii="宋体" w:hAnsi="宋体" w:cs="宋体"/>
          <w:color w:val="auto"/>
          <w:highlight w:val="none"/>
        </w:rPr>
      </w:pPr>
      <w:r>
        <w:rPr>
          <w:rFonts w:hint="eastAsia" w:ascii="宋体" w:hAnsi="宋体" w:cs="宋体"/>
          <w:color w:val="auto"/>
          <w:highlight w:val="none"/>
        </w:rPr>
        <w:t>17.3在原定投标有效期满之前，如果出现特殊情况，采购人或采购代理机构可以以书面形式通知所有投标人延长投标有效期。投标人同意延长的，不得要求或被允许修改其投标文件，投标人拒绝延长的，其投标无效。</w:t>
      </w:r>
    </w:p>
    <w:p w14:paraId="310F4376">
      <w:pPr>
        <w:pStyle w:val="129"/>
        <w:spacing w:before="0"/>
        <w:ind w:firstLine="643"/>
        <w:rPr>
          <w:rFonts w:ascii="宋体" w:hAnsi="宋体" w:cs="宋体"/>
          <w:b/>
          <w:color w:val="auto"/>
          <w:sz w:val="32"/>
          <w:highlight w:val="none"/>
        </w:rPr>
      </w:pPr>
    </w:p>
    <w:p w14:paraId="36DDA8B0">
      <w:pPr>
        <w:pStyle w:val="129"/>
        <w:spacing w:before="0"/>
        <w:ind w:firstLine="1928" w:firstLineChars="600"/>
        <w:outlineLvl w:val="1"/>
        <w:rPr>
          <w:rFonts w:ascii="宋体" w:hAnsi="宋体" w:cs="宋体"/>
          <w:b/>
          <w:color w:val="auto"/>
          <w:sz w:val="32"/>
          <w:highlight w:val="none"/>
        </w:rPr>
      </w:pPr>
      <w:r>
        <w:rPr>
          <w:rFonts w:hint="eastAsia" w:ascii="宋体" w:hAnsi="宋体" w:cs="宋体"/>
          <w:b/>
          <w:color w:val="auto"/>
          <w:sz w:val="32"/>
          <w:highlight w:val="none"/>
        </w:rPr>
        <w:t>四、开标、资格审查与信用信息查询</w:t>
      </w:r>
    </w:p>
    <w:p w14:paraId="64BAEF72">
      <w:pPr>
        <w:pStyle w:val="555"/>
        <w:spacing w:before="0" w:line="360" w:lineRule="auto"/>
        <w:ind w:left="0" w:firstLine="241" w:firstLineChars="100"/>
        <w:contextualSpacing/>
        <w:rPr>
          <w:rFonts w:ascii="宋体" w:hAnsi="宋体" w:cs="宋体"/>
          <w:color w:val="auto"/>
          <w:sz w:val="24"/>
          <w:highlight w:val="none"/>
        </w:rPr>
      </w:pPr>
      <w:r>
        <w:rPr>
          <w:rFonts w:hint="eastAsia" w:ascii="宋体" w:hAnsi="宋体" w:cs="宋体"/>
          <w:b/>
          <w:color w:val="auto"/>
          <w:sz w:val="24"/>
          <w:szCs w:val="24"/>
          <w:highlight w:val="none"/>
        </w:rPr>
        <w:t>18.开标</w:t>
      </w:r>
      <w:r>
        <w:rPr>
          <w:rFonts w:hint="eastAsia" w:ascii="宋体" w:hAnsi="宋体" w:cs="宋体"/>
          <w:color w:val="auto"/>
          <w:sz w:val="24"/>
          <w:highlight w:val="none"/>
        </w:rPr>
        <w:t xml:space="preserve"> </w:t>
      </w:r>
    </w:p>
    <w:p w14:paraId="034DA7DB">
      <w:pPr>
        <w:pStyle w:val="555"/>
        <w:spacing w:before="0" w:line="360" w:lineRule="auto"/>
        <w:ind w:left="0" w:firstLine="480" w:firstLineChars="200"/>
        <w:contextualSpacing/>
        <w:rPr>
          <w:rFonts w:ascii="宋体" w:hAnsi="宋体" w:cs="宋体"/>
          <w:color w:val="auto"/>
          <w:sz w:val="24"/>
          <w:highlight w:val="none"/>
        </w:rPr>
      </w:pPr>
      <w:r>
        <w:rPr>
          <w:rFonts w:hint="eastAsia" w:ascii="宋体" w:hAnsi="宋体" w:cs="宋体"/>
          <w:color w:val="auto"/>
          <w:sz w:val="24"/>
          <w:highlight w:val="none"/>
        </w:rPr>
        <w:t>18.1采购代理机构按照招标文件规定的时间通过电子交易平台组织开标，所有投标人均应当准时在线参加。投标人不足3家的，不得开标。</w:t>
      </w:r>
    </w:p>
    <w:p w14:paraId="79D0BBD2">
      <w:pPr>
        <w:pStyle w:val="555"/>
        <w:spacing w:before="0" w:line="360" w:lineRule="auto"/>
        <w:ind w:left="0" w:firstLine="240" w:firstLineChars="100"/>
        <w:contextualSpacing/>
        <w:rPr>
          <w:rFonts w:ascii="宋体" w:hAnsi="宋体" w:cs="宋体"/>
          <w:color w:val="auto"/>
          <w:sz w:val="24"/>
          <w:highlight w:val="none"/>
        </w:rPr>
      </w:pPr>
      <w:r>
        <w:rPr>
          <w:rFonts w:hint="eastAsia" w:ascii="宋体" w:hAnsi="宋体" w:cs="宋体"/>
          <w:color w:val="auto"/>
          <w:sz w:val="24"/>
          <w:highlight w:val="none"/>
        </w:rPr>
        <w:t>　18.2开标时，电子交易平台按开标时间自动提取所有投标文件。采购代理机构依托电子交易平台发起开始解密指令，投标人按照平台提示和招标文件的规定在半小时内完成在线解密。</w:t>
      </w:r>
    </w:p>
    <w:p w14:paraId="57588BF2">
      <w:pPr>
        <w:pStyle w:val="555"/>
        <w:spacing w:before="0" w:line="360" w:lineRule="auto"/>
        <w:ind w:left="0" w:firstLine="240" w:firstLineChars="100"/>
        <w:contextualSpacing/>
        <w:rPr>
          <w:rFonts w:ascii="宋体" w:hAnsi="宋体" w:cs="宋体"/>
          <w:b/>
          <w:color w:val="auto"/>
          <w:sz w:val="24"/>
          <w:highlight w:val="none"/>
        </w:rPr>
      </w:pPr>
      <w:r>
        <w:rPr>
          <w:rFonts w:hint="eastAsia" w:ascii="宋体" w:hAnsi="宋体" w:cs="宋体"/>
          <w:color w:val="auto"/>
          <w:sz w:val="24"/>
          <w:highlight w:val="none"/>
        </w:rPr>
        <w:t>　18.3</w:t>
      </w:r>
      <w:r>
        <w:rPr>
          <w:rFonts w:hint="eastAsia" w:ascii="宋体" w:hAnsi="宋体" w:cs="宋体"/>
          <w:b/>
          <w:color w:val="auto"/>
          <w:sz w:val="24"/>
          <w:highlight w:val="none"/>
        </w:rPr>
        <w:t>投标文件未按时解密，投标人提供了备份投标文件的，以备份投标文件作为依据，否则视为投标文件撤回。投标文件已按时解密的，备份投标文件自动失效。</w:t>
      </w:r>
    </w:p>
    <w:p w14:paraId="61EBE27F">
      <w:pPr>
        <w:widowControl/>
        <w:spacing w:line="360" w:lineRule="auto"/>
        <w:jc w:val="left"/>
        <w:rPr>
          <w:rFonts w:ascii="宋体" w:hAnsi="宋体" w:cs="宋体"/>
          <w:b/>
          <w:color w:val="auto"/>
          <w:sz w:val="24"/>
          <w:szCs w:val="20"/>
          <w:highlight w:val="none"/>
        </w:rPr>
      </w:pPr>
      <w:r>
        <w:rPr>
          <w:rFonts w:hint="eastAsia" w:ascii="宋体" w:hAnsi="宋体" w:cs="宋体"/>
          <w:b/>
          <w:color w:val="auto"/>
          <w:sz w:val="24"/>
          <w:szCs w:val="20"/>
          <w:highlight w:val="none"/>
        </w:rPr>
        <w:t>　19、资格审查</w:t>
      </w:r>
    </w:p>
    <w:p w14:paraId="3805E640">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rPr>
        <w:t>19.1</w:t>
      </w:r>
      <w:r>
        <w:rPr>
          <w:rFonts w:hint="eastAsia" w:ascii="宋体" w:hAnsi="宋体" w:cs="宋体"/>
          <w:color w:val="auto"/>
          <w:sz w:val="24"/>
          <w:highlight w:val="none"/>
        </w:rPr>
        <w:t>采购人或采购代理机构依据法律法规和招标文件的规定，对投标人的资格进行审查。</w:t>
      </w:r>
    </w:p>
    <w:p w14:paraId="67834E26">
      <w:pPr>
        <w:pStyle w:val="129"/>
        <w:spacing w:before="0"/>
        <w:ind w:firstLine="480"/>
        <w:rPr>
          <w:rFonts w:ascii="宋体" w:hAnsi="宋体" w:cs="宋体"/>
          <w:color w:val="auto"/>
          <w:highlight w:val="none"/>
        </w:rPr>
      </w:pPr>
      <w:r>
        <w:rPr>
          <w:rFonts w:hint="eastAsia" w:ascii="宋体" w:hAnsi="宋体" w:cs="宋体"/>
          <w:color w:val="auto"/>
          <w:kern w:val="0"/>
          <w:szCs w:val="24"/>
          <w:highlight w:val="none"/>
        </w:rPr>
        <w:t>19.2投标人未按照招标文件要求提供与</w:t>
      </w:r>
      <w:r>
        <w:rPr>
          <w:rFonts w:hint="eastAsia" w:ascii="宋体" w:hAnsi="宋体" w:cs="宋体"/>
          <w:color w:val="auto"/>
          <w:highlight w:val="none"/>
        </w:rPr>
        <w:t>资格条件相应的</w:t>
      </w:r>
      <w:r>
        <w:rPr>
          <w:rFonts w:hint="eastAsia" w:ascii="宋体" w:hAnsi="宋体" w:cs="宋体"/>
          <w:color w:val="auto"/>
          <w:kern w:val="0"/>
          <w:szCs w:val="24"/>
          <w:highlight w:val="none"/>
        </w:rPr>
        <w:t>有效资格证明材料的，视为</w:t>
      </w:r>
      <w:r>
        <w:rPr>
          <w:rFonts w:hint="eastAsia" w:ascii="宋体" w:hAnsi="宋体" w:cs="宋体"/>
          <w:color w:val="auto"/>
          <w:highlight w:val="none"/>
        </w:rPr>
        <w:t>投标人不具备招标文件中规定的资格要求，其投标无效。</w:t>
      </w:r>
    </w:p>
    <w:p w14:paraId="7077D4CE">
      <w:pPr>
        <w:pStyle w:val="129"/>
        <w:spacing w:before="0"/>
        <w:ind w:firstLine="480"/>
        <w:rPr>
          <w:rFonts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highlight w:val="none"/>
        </w:rPr>
        <w:t>3对未通过资格审查的投标人，采购人或采购代理机构告知其未通过的原因。</w:t>
      </w:r>
    </w:p>
    <w:p w14:paraId="7C272112">
      <w:pPr>
        <w:pStyle w:val="129"/>
        <w:spacing w:before="0"/>
        <w:ind w:firstLine="480"/>
        <w:rPr>
          <w:rFonts w:ascii="宋体" w:hAnsi="宋体" w:cs="宋体"/>
          <w:color w:val="auto"/>
          <w:highlight w:val="none"/>
        </w:rPr>
      </w:pPr>
      <w:r>
        <w:rPr>
          <w:rFonts w:hint="eastAsia" w:ascii="宋体" w:hAnsi="宋体" w:cs="宋体"/>
          <w:color w:val="auto"/>
          <w:kern w:val="0"/>
          <w:szCs w:val="24"/>
          <w:highlight w:val="none"/>
        </w:rPr>
        <w:t>19.</w:t>
      </w:r>
      <w:r>
        <w:rPr>
          <w:rFonts w:hint="eastAsia" w:ascii="宋体" w:hAnsi="宋体" w:cs="宋体"/>
          <w:color w:val="auto"/>
          <w:highlight w:val="none"/>
        </w:rPr>
        <w:t>4合格投标人不足3家的，不再评标。</w:t>
      </w:r>
    </w:p>
    <w:p w14:paraId="47FAE4A0">
      <w:pPr>
        <w:pStyle w:val="129"/>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20、信用信息查询</w:t>
      </w:r>
    </w:p>
    <w:p w14:paraId="24F095FC">
      <w:pPr>
        <w:pStyle w:val="129"/>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20.1信用信息查询渠道及截止时间：采购人或采购代理机构将在资格审查时通过“信用中国”网站(www.creditchina.gov.cn)、中国政府采购网(www.ccgp.gov.cn)渠道查询投标人接受资格时的信用记录。</w:t>
      </w:r>
    </w:p>
    <w:p w14:paraId="55958DA0">
      <w:pPr>
        <w:pStyle w:val="129"/>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20.2信用信息查询记录和证据留存的具体方式：现场查询的投标人的信用记录、查询结果经确认后将与采购文件一起存档。</w:t>
      </w:r>
    </w:p>
    <w:p w14:paraId="5E58BF42">
      <w:pPr>
        <w:pStyle w:val="129"/>
        <w:spacing w:before="0"/>
        <w:ind w:firstLine="495" w:firstLineChars="0"/>
        <w:rPr>
          <w:rFonts w:ascii="宋体" w:hAnsi="宋体" w:cs="宋体"/>
          <w:color w:val="auto"/>
          <w:kern w:val="0"/>
          <w:szCs w:val="24"/>
          <w:highlight w:val="none"/>
        </w:rPr>
      </w:pPr>
      <w:r>
        <w:rPr>
          <w:rFonts w:hint="eastAsia" w:ascii="宋体" w:hAnsi="宋体" w:cs="宋体"/>
          <w:color w:val="auto"/>
          <w:kern w:val="0"/>
          <w:szCs w:val="24"/>
          <w:highlight w:val="none"/>
        </w:rPr>
        <w:t>20.3信用信息的使用规则：经查询列入失信被执行人名单、重大税收违法案件当事人名单、政府采购严重违法失信行为记录名单的投标人将被拒绝参与政府采购活动。</w:t>
      </w:r>
    </w:p>
    <w:p w14:paraId="62B2F441">
      <w:pPr>
        <w:pStyle w:val="129"/>
        <w:spacing w:before="0"/>
        <w:ind w:firstLine="480"/>
        <w:rPr>
          <w:rFonts w:ascii="宋体" w:hAnsi="宋体" w:cs="宋体"/>
          <w:color w:val="auto"/>
          <w:highlight w:val="none"/>
        </w:rPr>
      </w:pPr>
      <w:r>
        <w:rPr>
          <w:rFonts w:hint="eastAsia" w:ascii="宋体" w:hAnsi="宋体" w:cs="宋体"/>
          <w:color w:val="auto"/>
          <w:kern w:val="0"/>
          <w:szCs w:val="24"/>
          <w:highlight w:val="none"/>
        </w:rPr>
        <w:t>20.4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r>
        <w:rPr>
          <w:rFonts w:hint="eastAsia" w:ascii="宋体" w:hAnsi="宋体" w:cs="宋体"/>
          <w:color w:val="auto"/>
          <w:highlight w:val="none"/>
        </w:rPr>
        <w:t>。</w:t>
      </w:r>
    </w:p>
    <w:p w14:paraId="0538674F">
      <w:pPr>
        <w:pStyle w:val="129"/>
        <w:spacing w:before="0"/>
        <w:ind w:firstLine="0" w:firstLineChars="0"/>
        <w:rPr>
          <w:rFonts w:ascii="宋体" w:hAnsi="宋体" w:cs="宋体"/>
          <w:color w:val="auto"/>
          <w:kern w:val="0"/>
          <w:szCs w:val="24"/>
          <w:highlight w:val="none"/>
        </w:rPr>
      </w:pPr>
    </w:p>
    <w:p w14:paraId="6FF6F078">
      <w:pPr>
        <w:snapToGrid w:val="0"/>
        <w:spacing w:line="360" w:lineRule="auto"/>
        <w:jc w:val="center"/>
        <w:outlineLvl w:val="1"/>
        <w:rPr>
          <w:rFonts w:ascii="宋体" w:hAnsi="宋体" w:cs="宋体"/>
          <w:b/>
          <w:color w:val="auto"/>
          <w:sz w:val="36"/>
          <w:szCs w:val="36"/>
          <w:highlight w:val="none"/>
        </w:rPr>
      </w:pPr>
      <w:r>
        <w:rPr>
          <w:rFonts w:hint="eastAsia" w:ascii="宋体" w:hAnsi="宋体" w:cs="宋体"/>
          <w:b/>
          <w:color w:val="auto"/>
          <w:sz w:val="36"/>
          <w:szCs w:val="36"/>
          <w:highlight w:val="none"/>
        </w:rPr>
        <w:t>五、评标</w:t>
      </w:r>
    </w:p>
    <w:p w14:paraId="746E88D8">
      <w:pPr>
        <w:spacing w:line="360" w:lineRule="auto"/>
        <w:rPr>
          <w:rFonts w:ascii="宋体" w:hAnsi="宋体" w:cs="宋体"/>
          <w:b/>
          <w:color w:val="auto"/>
          <w:sz w:val="24"/>
          <w:highlight w:val="none"/>
        </w:rPr>
      </w:pPr>
      <w:bookmarkStart w:id="34" w:name="_Toc91899903"/>
      <w:r>
        <w:rPr>
          <w:rFonts w:hint="eastAsia" w:ascii="宋体" w:hAnsi="宋体" w:cs="宋体"/>
          <w:b/>
          <w:color w:val="auto"/>
          <w:sz w:val="24"/>
          <w:highlight w:val="none"/>
        </w:rPr>
        <w:t>21.评标</w:t>
      </w:r>
    </w:p>
    <w:p w14:paraId="6CEBC9E8">
      <w:pPr>
        <w:pStyle w:val="83"/>
        <w:rPr>
          <w:color w:val="auto"/>
          <w:highlight w:val="none"/>
        </w:rPr>
      </w:pPr>
      <w:r>
        <w:rPr>
          <w:rFonts w:hint="eastAsia"/>
          <w:color w:val="auto"/>
          <w:highlight w:val="none"/>
        </w:rPr>
        <w:t>21.1本招标采购项目的评标委员会由采购人代表和评审专家组成，成员人数应当为5人以上单数，其中评审专家不得少于成员总数的三分之二。采购项目符合下列情形之一的，评标委员会成员人数应当为7人以上单数：（一）采购预算金额在1000万元以上；（二）技术复杂；（三）社会影响较大。</w:t>
      </w:r>
    </w:p>
    <w:p w14:paraId="7F1155A6">
      <w:pPr>
        <w:spacing w:line="360" w:lineRule="auto"/>
        <w:ind w:firstLine="482" w:firstLineChars="200"/>
        <w:rPr>
          <w:rFonts w:cs="宋体" w:asciiTheme="minorEastAsia" w:hAnsiTheme="minorEastAsia" w:eastAsiaTheme="minorEastAsia"/>
          <w:b/>
          <w:color w:val="auto"/>
          <w:sz w:val="24"/>
          <w:highlight w:val="none"/>
        </w:rPr>
      </w:pPr>
      <w:r>
        <w:rPr>
          <w:rFonts w:hint="eastAsia" w:ascii="宋体" w:hAnsi="宋体" w:cs="宋体"/>
          <w:b/>
          <w:color w:val="auto"/>
          <w:sz w:val="24"/>
          <w:highlight w:val="none"/>
        </w:rPr>
        <w:t>21.2</w:t>
      </w:r>
      <w:r>
        <w:rPr>
          <w:rFonts w:hint="eastAsia" w:cs="宋体" w:asciiTheme="minorEastAsia" w:hAnsiTheme="minorEastAsia" w:eastAsiaTheme="minorEastAsia"/>
          <w:color w:val="auto"/>
          <w:sz w:val="24"/>
          <w:highlight w:val="none"/>
        </w:rPr>
        <w:t>评标委员会将根据招标文件和有关规定，履行评标工作职责，并按照评标方法及评分标准，全面衡量各投标人对招标文件的响应情况。对实质上响应招标文件的投标人，按照评审因素的量化指标排出推荐中标的投标人的先后顺序，并按顺序提出授标建议。</w:t>
      </w:r>
      <w:r>
        <w:rPr>
          <w:rFonts w:hint="eastAsia" w:cs="宋体" w:asciiTheme="minorEastAsia" w:hAnsiTheme="minorEastAsia" w:eastAsiaTheme="minorEastAsia"/>
          <w:b/>
          <w:color w:val="auto"/>
          <w:sz w:val="24"/>
          <w:highlight w:val="none"/>
        </w:rPr>
        <w:t>详见招标文件第四部分评标办法。</w:t>
      </w:r>
    </w:p>
    <w:p w14:paraId="4DF17688">
      <w:pPr>
        <w:spacing w:line="360" w:lineRule="auto"/>
        <w:rPr>
          <w:rFonts w:ascii="宋体" w:hAnsi="宋体" w:cs="宋体"/>
          <w:b/>
          <w:color w:val="auto"/>
          <w:sz w:val="24"/>
          <w:highlight w:val="none"/>
        </w:rPr>
      </w:pPr>
    </w:p>
    <w:p w14:paraId="0499BFC9">
      <w:pPr>
        <w:snapToGrid w:val="0"/>
        <w:spacing w:line="360" w:lineRule="auto"/>
        <w:jc w:val="center"/>
        <w:outlineLvl w:val="1"/>
        <w:rPr>
          <w:rFonts w:ascii="宋体" w:hAnsi="宋体" w:cs="宋体"/>
          <w:b/>
          <w:color w:val="auto"/>
          <w:sz w:val="36"/>
          <w:szCs w:val="36"/>
          <w:highlight w:val="none"/>
        </w:rPr>
      </w:pPr>
      <w:r>
        <w:rPr>
          <w:rFonts w:hint="eastAsia" w:ascii="宋体" w:hAnsi="宋体" w:cs="宋体"/>
          <w:b/>
          <w:color w:val="auto"/>
          <w:sz w:val="36"/>
          <w:szCs w:val="36"/>
          <w:highlight w:val="none"/>
        </w:rPr>
        <w:t>六、定 标</w:t>
      </w:r>
    </w:p>
    <w:p w14:paraId="397D344D">
      <w:pPr>
        <w:pStyle w:val="26"/>
        <w:spacing w:line="360" w:lineRule="auto"/>
        <w:ind w:left="479" w:hanging="479" w:hangingChars="199"/>
        <w:rPr>
          <w:rFonts w:cs="宋体"/>
          <w:b/>
          <w:color w:val="auto"/>
          <w:highlight w:val="none"/>
        </w:rPr>
      </w:pPr>
      <w:r>
        <w:rPr>
          <w:rFonts w:hint="eastAsia" w:cs="宋体"/>
          <w:b/>
          <w:color w:val="auto"/>
          <w:highlight w:val="none"/>
        </w:rPr>
        <w:t>22. 确定中标供应商</w:t>
      </w:r>
    </w:p>
    <w:p w14:paraId="3690ED15">
      <w:pPr>
        <w:pStyle w:val="129"/>
        <w:snapToGrid w:val="0"/>
        <w:spacing w:before="0"/>
        <w:ind w:firstLine="480"/>
        <w:rPr>
          <w:rFonts w:ascii="宋体" w:hAnsi="宋体" w:cs="宋体"/>
          <w:b/>
          <w:color w:val="auto"/>
          <w:szCs w:val="24"/>
          <w:highlight w:val="none"/>
        </w:rPr>
      </w:pPr>
      <w:r>
        <w:rPr>
          <w:rFonts w:hint="eastAsia" w:ascii="宋体" w:hAnsi="宋体" w:cs="宋体"/>
          <w:color w:val="auto"/>
          <w:szCs w:val="24"/>
          <w:highlight w:val="none"/>
        </w:rPr>
        <w:t>政府采购项目实行全流程电子化，评审报告送交、采购结果确定和结果公告均在线完成。为进一步提升采购结果确定效率，采购代理机构应当依法及时将评审报告在线送交采购人。采购单位应当自收到评审报告之日起5个工作日内在线确定中标供应商。中标通知书和中标结果公告应当在规定时间内同时发出。</w:t>
      </w:r>
    </w:p>
    <w:p w14:paraId="67CFDD0D">
      <w:pPr>
        <w:pStyle w:val="129"/>
        <w:snapToGrid w:val="0"/>
        <w:spacing w:before="0"/>
        <w:ind w:firstLine="0" w:firstLineChars="0"/>
        <w:rPr>
          <w:rFonts w:ascii="宋体" w:hAnsi="宋体" w:cs="宋体"/>
          <w:b/>
          <w:color w:val="auto"/>
          <w:szCs w:val="24"/>
          <w:highlight w:val="none"/>
        </w:rPr>
      </w:pPr>
      <w:r>
        <w:rPr>
          <w:rFonts w:hint="eastAsia" w:ascii="宋体" w:hAnsi="宋体" w:cs="宋体"/>
          <w:b/>
          <w:color w:val="auto"/>
          <w:szCs w:val="24"/>
          <w:highlight w:val="none"/>
        </w:rPr>
        <w:t>23. 中标通知与中标结果公告</w:t>
      </w:r>
    </w:p>
    <w:p w14:paraId="145B291B">
      <w:pPr>
        <w:widowControl/>
        <w:shd w:val="clear" w:color="auto" w:fill="FFFFFF"/>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23.1自中标人确定之日起2个工作日内，采购代理机构通过电子交易平台向中标人发出中标通知书，同时编制发布采购结果公告。采购代理机构也可以以纸质形式进行中标通知。</w:t>
      </w:r>
    </w:p>
    <w:p w14:paraId="0ABFB04F">
      <w:pPr>
        <w:widowControl/>
        <w:shd w:val="clear" w:color="auto" w:fill="FFFFFF"/>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23.2中标结果公告内容包括采购人及其委托的采购代理机构的名称、地址、联系方式，项目名称和项目编号，中标人名称、地址和中标金额，主要中标标的的名称、规格型号、数量、单价、服务要求，开标记录、评审专家抽取规则、未中标情况说明、中标公告期限以及评审专家名单。项目采购采用最低评标价法的，公告中标结果时应当同时公告因落实政府采购政策等原因进行价格扣除后中标供应商和未中标供应商的评审报价及排名；项目采购采用综合评分法的，公告中标结果时应当同时公告中标供应商和未中标供应商的评审总得分及排名。鼓励发布中标结果公告时加大评审过程公开力度，但发布内容不得涉及国家秘密和商业秘密。</w:t>
      </w:r>
    </w:p>
    <w:p w14:paraId="6794824A">
      <w:pPr>
        <w:widowControl/>
        <w:shd w:val="clear" w:color="auto" w:fill="FFFFFF"/>
        <w:spacing w:line="360" w:lineRule="auto"/>
        <w:ind w:firstLine="480"/>
        <w:jc w:val="left"/>
        <w:rPr>
          <w:rFonts w:ascii="宋体" w:hAnsi="宋体" w:cs="宋体"/>
          <w:color w:val="auto"/>
          <w:sz w:val="24"/>
          <w:highlight w:val="none"/>
        </w:rPr>
      </w:pPr>
      <w:r>
        <w:rPr>
          <w:rFonts w:hint="eastAsia" w:ascii="宋体" w:hAnsi="宋体" w:cs="宋体"/>
          <w:color w:val="auto"/>
          <w:sz w:val="24"/>
          <w:highlight w:val="none"/>
        </w:rPr>
        <w:t>23.3公告期限为1个工作日。</w:t>
      </w:r>
    </w:p>
    <w:p w14:paraId="2AEF4BC4">
      <w:pPr>
        <w:snapToGrid w:val="0"/>
        <w:spacing w:line="360" w:lineRule="auto"/>
        <w:ind w:left="120" w:leftChars="57" w:firstLine="482" w:firstLineChars="150"/>
        <w:jc w:val="center"/>
        <w:rPr>
          <w:rFonts w:ascii="宋体" w:hAnsi="宋体" w:cs="宋体"/>
          <w:b/>
          <w:color w:val="auto"/>
          <w:sz w:val="32"/>
          <w:highlight w:val="none"/>
        </w:rPr>
      </w:pPr>
    </w:p>
    <w:p w14:paraId="32570F86">
      <w:pPr>
        <w:snapToGrid w:val="0"/>
        <w:spacing w:line="360" w:lineRule="auto"/>
        <w:ind w:left="120" w:leftChars="57" w:firstLine="482" w:firstLineChars="150"/>
        <w:jc w:val="center"/>
        <w:outlineLvl w:val="1"/>
        <w:rPr>
          <w:rFonts w:ascii="宋体" w:hAnsi="宋体" w:cs="宋体"/>
          <w:b/>
          <w:color w:val="auto"/>
          <w:sz w:val="32"/>
          <w:highlight w:val="none"/>
        </w:rPr>
      </w:pPr>
      <w:r>
        <w:rPr>
          <w:rFonts w:hint="eastAsia" w:ascii="宋体" w:hAnsi="宋体" w:cs="宋体"/>
          <w:b/>
          <w:color w:val="auto"/>
          <w:sz w:val="32"/>
          <w:highlight w:val="none"/>
        </w:rPr>
        <w:t>七、合同授予</w:t>
      </w:r>
    </w:p>
    <w:p w14:paraId="7D511166">
      <w:pPr>
        <w:pStyle w:val="26"/>
        <w:spacing w:line="360" w:lineRule="auto"/>
        <w:ind w:left="479" w:hanging="479" w:hangingChars="199"/>
        <w:rPr>
          <w:rFonts w:cs="宋体"/>
          <w:b/>
          <w:color w:val="auto"/>
          <w:highlight w:val="none"/>
        </w:rPr>
      </w:pPr>
      <w:r>
        <w:rPr>
          <w:rFonts w:hint="eastAsia" w:cs="宋体"/>
          <w:b/>
          <w:color w:val="auto"/>
          <w:highlight w:val="none"/>
        </w:rPr>
        <w:t xml:space="preserve">24. </w:t>
      </w:r>
      <w:r>
        <w:rPr>
          <w:rFonts w:hint="eastAsia" w:cs="宋体"/>
          <w:color w:val="auto"/>
          <w:highlight w:val="none"/>
        </w:rPr>
        <w:t>合同主要条款详见第五部分拟签订的合同文本。</w:t>
      </w:r>
    </w:p>
    <w:p w14:paraId="43FA4CAE">
      <w:pPr>
        <w:pStyle w:val="26"/>
        <w:spacing w:line="360" w:lineRule="auto"/>
        <w:ind w:left="479" w:hanging="479" w:hangingChars="199"/>
        <w:rPr>
          <w:rFonts w:cs="宋体"/>
          <w:b/>
          <w:color w:val="auto"/>
          <w:highlight w:val="none"/>
        </w:rPr>
      </w:pPr>
      <w:r>
        <w:rPr>
          <w:rFonts w:hint="eastAsia" w:cs="宋体"/>
          <w:b/>
          <w:color w:val="auto"/>
          <w:highlight w:val="none"/>
        </w:rPr>
        <w:t>25. 合同的签订</w:t>
      </w:r>
    </w:p>
    <w:p w14:paraId="38C66C5C">
      <w:pPr>
        <w:widowControl/>
        <w:shd w:val="clear" w:color="auto" w:fill="FFFFFF"/>
        <w:spacing w:line="360" w:lineRule="auto"/>
        <w:ind w:firstLine="480"/>
        <w:jc w:val="left"/>
        <w:rPr>
          <w:rFonts w:ascii="宋体" w:hAnsi="宋体" w:cs="宋体"/>
          <w:color w:val="auto"/>
          <w:kern w:val="0"/>
          <w:sz w:val="24"/>
          <w:highlight w:val="none"/>
        </w:rPr>
      </w:pPr>
      <w:r>
        <w:rPr>
          <w:rFonts w:hint="eastAsia" w:ascii="宋体" w:hAnsi="宋体" w:cs="宋体"/>
          <w:color w:val="auto"/>
          <w:sz w:val="24"/>
          <w:highlight w:val="none"/>
        </w:rPr>
        <w:t>25.1</w:t>
      </w:r>
      <w:r>
        <w:rPr>
          <w:rFonts w:hint="eastAsia" w:ascii="宋体" w:hAnsi="宋体" w:cs="宋体"/>
          <w:color w:val="auto"/>
          <w:kern w:val="0"/>
          <w:sz w:val="24"/>
          <w:highlight w:val="none"/>
        </w:rPr>
        <w:t>采购人与中标供应商应当自中标通知书发出之日起25日内，按照采购文件确定的事项签订政府采购电子合同，具备条件的项目应缩短合同签订时间至8个工作日内。采购人因不可抗力原因延迟签订电子合同的，应当自不可抗力事由消除之日起5个工作日内完成合同签订事宜。鼓励采购人通过完善内部流程进一步缩短电子合同签订期限。</w:t>
      </w:r>
    </w:p>
    <w:p w14:paraId="66D80186">
      <w:pPr>
        <w:pStyle w:val="129"/>
        <w:snapToGrid w:val="0"/>
        <w:spacing w:before="0"/>
        <w:ind w:firstLine="480"/>
        <w:rPr>
          <w:rFonts w:ascii="宋体" w:hAnsi="宋体" w:cs="宋体"/>
          <w:color w:val="auto"/>
          <w:kern w:val="0"/>
          <w:highlight w:val="none"/>
        </w:rPr>
      </w:pPr>
      <w:r>
        <w:rPr>
          <w:rFonts w:hint="eastAsia" w:ascii="宋体" w:hAnsi="宋体" w:cs="宋体"/>
          <w:color w:val="auto"/>
          <w:kern w:val="0"/>
          <w:highlight w:val="none"/>
          <w:lang w:val="zh-CN"/>
        </w:rPr>
        <w:t>25.2中标人按规定的日期、时间、地点，由法定代表人或其授权代表与采购人代表签订合同。如中标人为联合体的，由联合体成员各方法定代表人或其授权代表与采购人代表签订合同。</w:t>
      </w:r>
    </w:p>
    <w:p w14:paraId="035E0778">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25.3如签订合同并生效后，供应商无故拒绝或延期，除按照合同条款处理外，列入不良行为记录一次，并给予通报。</w:t>
      </w:r>
    </w:p>
    <w:p w14:paraId="2C68020C">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25.4中标供应商拒绝与采购人签订合同的，采购人可以按照评审报告推荐的中标候选人名单排序，确定下一候选人为中标供应商，也可以重新开展政府采购活动。</w:t>
      </w:r>
    </w:p>
    <w:p w14:paraId="161A95D5">
      <w:pPr>
        <w:pStyle w:val="129"/>
        <w:snapToGrid w:val="0"/>
        <w:spacing w:before="0" w:after="120"/>
        <w:ind w:firstLine="480"/>
        <w:rPr>
          <w:rFonts w:ascii="宋体" w:hAnsi="宋体" w:cs="宋体"/>
          <w:color w:val="auto"/>
          <w:highlight w:val="none"/>
        </w:rPr>
      </w:pPr>
      <w:r>
        <w:rPr>
          <w:rFonts w:hint="eastAsia" w:ascii="宋体" w:hAnsi="宋体" w:cs="宋体"/>
          <w:color w:val="auto"/>
          <w:highlight w:val="none"/>
        </w:rPr>
        <w:t>25.5采购合同由采购人与中标供应商根据招标文件、投标文件等内容通过政府采购电子交易平台在线签订，自动备案。</w:t>
      </w:r>
    </w:p>
    <w:p w14:paraId="50F6D68D">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25.6政采贷</w:t>
      </w:r>
    </w:p>
    <w:p w14:paraId="0D8AABE3">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政府采购合同信用融资（以下简称“政采贷”），是指金融机构以政府采购中小微企业信用审查和政府采购信誉为基础，按优于一般企业的贷款程序和利率，依托政府采购合同或信用评估，直接向申请贷款的中小微企业发放无财产抵押贷款，或由北海市小微企业融资担保有限公司提供贷款担保的一种融资模式。办理的基本流程如下：</w:t>
      </w:r>
    </w:p>
    <w:p w14:paraId="2F7F653C">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一）融资申请。有融资需求的供应商取得《中标通知书》后，在签订采购合同前，向贷款金融机构递交融资申请表。中标供应商可以根据贷款需求等实际情况选择是否需要北海市小微企业融资担保有限公司提供担保增信，如需要提供担保增信则同时向北海市小微企业融资担保有限公司递交融资申请表。</w:t>
      </w:r>
    </w:p>
    <w:p w14:paraId="75C0361D">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二）资料审查。贷款金融机构查看有融资需求供应商有关资料，进行贷前独立评审，决定是否提供融资或融资担保。双方达成融资意向后，确定融资方案和回款账户，供应商与采购单位签订《政府采购合同》，并将金融机构监管账户设定为合同收款账户。其中，需北海市小微企业融资担保有限公司提供担保增信的，还需北海市小微企业融资担保有限公司进行保前独立评审。</w:t>
      </w:r>
    </w:p>
    <w:p w14:paraId="18525E48">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三）签订贷款协议。无需北海市小微企业融资担保有限公司提供担保增信的，贷款金融机构查看采购合同信息，确认账户无误后，与供应商签订贷款协议。需要北海市小微企业融资担保有限公司提供担保增信的，由其与贷款金融机构查看采购合同信息，确认账户无误后，贷款金融机构与供应商签订贷款协议、北海市小微企业融资担保有限公司与供应商签订委托担保合同。</w:t>
      </w:r>
    </w:p>
    <w:p w14:paraId="0CE692A5">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（四）贷款发放。贷款金融机构根据贷款协议向供应商发放贷款。</w:t>
      </w:r>
    </w:p>
    <w:p w14:paraId="084FAAE7">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（五）按期还款。供应商获得贷款后应自觉履行政府采购合同，合同履行完毕后，采购单位根据合同约定时间和账户信息，严格按照财政资金管理的相关规定，及时将资金支付到采购合同收款账户。</w:t>
      </w:r>
    </w:p>
    <w:p w14:paraId="58B0CEAC">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（六）业务终止。贷款偿清后，贷款金融机构或北海市小微企业融资担保有限公司及时办理应收账款质押注销登记，业务终止。</w:t>
      </w:r>
    </w:p>
    <w:p w14:paraId="226B72DC">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注：相关合作银行的具体操作流程详见北海市政府采购中心首页“政采贷”板块。</w:t>
      </w:r>
    </w:p>
    <w:p w14:paraId="528958A8">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对于列入《政府采购信用白名单》的供应商，在获取“政采贷”流水贷产品时给予更高的授信额度，在申请“政采贷”合同贷产品时，可享受较低的贷款利率，同时信用白名单供应商获得信贷时长进一步缩短。</w:t>
      </w:r>
    </w:p>
    <w:p w14:paraId="14D86761">
      <w:pPr>
        <w:autoSpaceDE w:val="0"/>
        <w:autoSpaceDN w:val="0"/>
        <w:adjustRightInd/>
        <w:snapToGrid w:val="0"/>
        <w:spacing w:line="360" w:lineRule="auto"/>
        <w:ind w:firstLine="480" w:firstLineChars="200"/>
        <w:textAlignment w:val="bottom"/>
        <w:rPr>
          <w:rFonts w:ascii="宋体" w:hAnsi="宋体" w:cs="宋体"/>
          <w:color w:val="auto"/>
          <w:sz w:val="24"/>
          <w:szCs w:val="20"/>
          <w:highlight w:val="none"/>
        </w:rPr>
      </w:pPr>
      <w:r>
        <w:rPr>
          <w:rFonts w:hint="eastAsia" w:ascii="宋体" w:hAnsi="宋体" w:cs="宋体"/>
          <w:color w:val="auto"/>
          <w:sz w:val="24"/>
          <w:szCs w:val="20"/>
          <w:highlight w:val="none"/>
        </w:rPr>
        <w:t>供应商中标后可在“广西政府采购云”平台申请政采贷：操作路径：登录广西政府采购云平台-金融服务中心-【融资服务】，可在热门申请中选择产品直接申请。详见如下：</w:t>
      </w:r>
    </w:p>
    <w:p w14:paraId="796D459A">
      <w:pPr>
        <w:pStyle w:val="83"/>
        <w:rPr>
          <w:color w:val="auto"/>
          <w:highlight w:val="none"/>
        </w:rPr>
      </w:pPr>
      <w:r>
        <w:rPr>
          <w:rFonts w:hint="eastAsia"/>
          <w:color w:val="auto"/>
          <w:highlight w:val="none"/>
        </w:rPr>
        <w:t>1.有贷款需求的供应商可以访问“广西政府采购云平台-金融服务-融资服务”栏目办理有关业务（链接：</w:t>
      </w:r>
      <w:r>
        <w:rPr>
          <w:color w:val="auto"/>
          <w:highlight w:val="none"/>
        </w:rPr>
        <w:fldChar w:fldCharType="begin"/>
      </w:r>
      <w:r>
        <w:rPr>
          <w:color w:val="auto"/>
          <w:highlight w:val="none"/>
        </w:rPr>
        <w:instrText xml:space="preserve"> HYPERLINK "https://jinrong.gcy.zfcg.gxzf.gov.cn/finance/loan/gx" </w:instrText>
      </w:r>
      <w:r>
        <w:rPr>
          <w:color w:val="auto"/>
          <w:highlight w:val="none"/>
        </w:rPr>
        <w:fldChar w:fldCharType="separate"/>
      </w:r>
      <w:r>
        <w:rPr>
          <w:rStyle w:val="77"/>
          <w:rFonts w:ascii="宋体" w:hAnsi="宋体" w:eastAsia="宋体" w:cs="Times New Roman"/>
          <w:snapToGrid/>
          <w:color w:val="auto"/>
          <w:sz w:val="24"/>
          <w:szCs w:val="20"/>
          <w:highlight w:val="none"/>
        </w:rPr>
        <w:t>https://jinrong.gcy.zfcg.gxzf.gov.cn/finance/loan/gx</w:t>
      </w:r>
      <w:r>
        <w:rPr>
          <w:rStyle w:val="77"/>
          <w:rFonts w:ascii="宋体" w:hAnsi="宋体" w:eastAsia="宋体" w:cs="Times New Roman"/>
          <w:snapToGrid/>
          <w:color w:val="auto"/>
          <w:sz w:val="24"/>
          <w:szCs w:val="20"/>
          <w:highlight w:val="none"/>
        </w:rPr>
        <w:fldChar w:fldCharType="end"/>
      </w:r>
      <w:r>
        <w:rPr>
          <w:rFonts w:hint="eastAsia"/>
          <w:color w:val="auto"/>
          <w:highlight w:val="none"/>
        </w:rPr>
        <w:t>）</w:t>
      </w:r>
    </w:p>
    <w:p w14:paraId="2E9DB9A1">
      <w:pPr>
        <w:pStyle w:val="83"/>
        <w:rPr>
          <w:color w:val="auto"/>
          <w:highlight w:val="none"/>
        </w:rPr>
      </w:pPr>
      <w:r>
        <w:rPr>
          <w:rFonts w:hint="eastAsia"/>
          <w:color w:val="auto"/>
          <w:highlight w:val="none"/>
        </w:rPr>
        <w:t>2.合作银行咨询办理</w:t>
      </w:r>
    </w:p>
    <w:tbl>
      <w:tblPr>
        <w:tblStyle w:val="6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42"/>
        <w:gridCol w:w="1134"/>
        <w:gridCol w:w="1701"/>
        <w:gridCol w:w="993"/>
        <w:gridCol w:w="850"/>
        <w:gridCol w:w="3366"/>
      </w:tblGrid>
      <w:tr w14:paraId="40E8D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FA435EA">
            <w:pPr>
              <w:pStyle w:val="83"/>
              <w:ind w:firstLine="0"/>
              <w:jc w:val="center"/>
              <w:rPr>
                <w:color w:val="auto"/>
                <w:highlight w:val="none"/>
              </w:rPr>
            </w:pPr>
            <w:r>
              <w:rPr>
                <w:rFonts w:hint="eastAsia"/>
                <w:color w:val="auto"/>
                <w:highlight w:val="none"/>
              </w:rPr>
              <w:t>银行名称</w:t>
            </w:r>
          </w:p>
        </w:tc>
        <w:tc>
          <w:tcPr>
            <w:tcW w:w="1134" w:type="dxa"/>
            <w:vAlign w:val="center"/>
          </w:tcPr>
          <w:p w14:paraId="54507CAC">
            <w:pPr>
              <w:pStyle w:val="83"/>
              <w:ind w:firstLine="0"/>
              <w:jc w:val="center"/>
              <w:rPr>
                <w:color w:val="auto"/>
                <w:highlight w:val="none"/>
              </w:rPr>
            </w:pPr>
            <w:r>
              <w:rPr>
                <w:rFonts w:hint="eastAsia"/>
                <w:color w:val="auto"/>
                <w:highlight w:val="none"/>
              </w:rPr>
              <w:t>联系电话</w:t>
            </w:r>
          </w:p>
        </w:tc>
        <w:tc>
          <w:tcPr>
            <w:tcW w:w="1701" w:type="dxa"/>
            <w:vAlign w:val="center"/>
          </w:tcPr>
          <w:p w14:paraId="2C8D3231">
            <w:pPr>
              <w:pStyle w:val="83"/>
              <w:ind w:firstLine="0"/>
              <w:jc w:val="center"/>
              <w:rPr>
                <w:color w:val="auto"/>
                <w:highlight w:val="none"/>
              </w:rPr>
            </w:pPr>
            <w:r>
              <w:rPr>
                <w:rFonts w:hint="eastAsia"/>
                <w:color w:val="auto"/>
                <w:highlight w:val="none"/>
              </w:rPr>
              <w:t>最高授信金额</w:t>
            </w:r>
          </w:p>
        </w:tc>
        <w:tc>
          <w:tcPr>
            <w:tcW w:w="993" w:type="dxa"/>
            <w:vAlign w:val="center"/>
          </w:tcPr>
          <w:p w14:paraId="4D0ECFCC">
            <w:pPr>
              <w:pStyle w:val="83"/>
              <w:ind w:firstLine="0"/>
              <w:jc w:val="center"/>
              <w:rPr>
                <w:color w:val="auto"/>
                <w:highlight w:val="none"/>
              </w:rPr>
            </w:pPr>
            <w:r>
              <w:rPr>
                <w:rFonts w:hint="eastAsia"/>
                <w:color w:val="auto"/>
                <w:highlight w:val="none"/>
              </w:rPr>
              <w:t>最长授信期限</w:t>
            </w:r>
          </w:p>
        </w:tc>
        <w:tc>
          <w:tcPr>
            <w:tcW w:w="850" w:type="dxa"/>
            <w:vAlign w:val="center"/>
          </w:tcPr>
          <w:p w14:paraId="76420526">
            <w:pPr>
              <w:pStyle w:val="83"/>
              <w:ind w:firstLine="0"/>
              <w:jc w:val="center"/>
              <w:rPr>
                <w:color w:val="auto"/>
                <w:highlight w:val="none"/>
              </w:rPr>
            </w:pPr>
            <w:r>
              <w:rPr>
                <w:rFonts w:hint="eastAsia"/>
                <w:color w:val="auto"/>
                <w:highlight w:val="none"/>
              </w:rPr>
              <w:t>最低利率</w:t>
            </w:r>
          </w:p>
        </w:tc>
        <w:tc>
          <w:tcPr>
            <w:tcW w:w="3366" w:type="dxa"/>
            <w:vAlign w:val="center"/>
          </w:tcPr>
          <w:p w14:paraId="78BD25A7">
            <w:pPr>
              <w:pStyle w:val="83"/>
              <w:ind w:firstLine="0"/>
              <w:jc w:val="center"/>
              <w:rPr>
                <w:color w:val="auto"/>
                <w:highlight w:val="none"/>
              </w:rPr>
            </w:pPr>
            <w:r>
              <w:rPr>
                <w:rFonts w:hint="eastAsia"/>
                <w:color w:val="auto"/>
                <w:highlight w:val="none"/>
              </w:rPr>
              <w:t>流程简介</w:t>
            </w:r>
          </w:p>
        </w:tc>
      </w:tr>
      <w:tr w14:paraId="2B248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69044C0D">
            <w:pPr>
              <w:pStyle w:val="83"/>
              <w:ind w:firstLine="0"/>
              <w:jc w:val="center"/>
              <w:rPr>
                <w:color w:val="auto"/>
                <w:highlight w:val="none"/>
              </w:rPr>
            </w:pPr>
            <w:r>
              <w:rPr>
                <w:rFonts w:hint="eastAsia"/>
                <w:color w:val="auto"/>
                <w:highlight w:val="none"/>
              </w:rPr>
              <w:t>建设银行</w:t>
            </w:r>
          </w:p>
        </w:tc>
        <w:tc>
          <w:tcPr>
            <w:tcW w:w="1134" w:type="dxa"/>
            <w:vAlign w:val="center"/>
          </w:tcPr>
          <w:p w14:paraId="304EFF50">
            <w:pPr>
              <w:pStyle w:val="83"/>
              <w:ind w:firstLine="0"/>
              <w:jc w:val="center"/>
              <w:rPr>
                <w:color w:val="auto"/>
                <w:highlight w:val="none"/>
              </w:rPr>
            </w:pPr>
            <w:r>
              <w:rPr>
                <w:rFonts w:hint="eastAsia"/>
                <w:color w:val="auto"/>
                <w:highlight w:val="none"/>
              </w:rPr>
              <w:t>13077729988</w:t>
            </w:r>
          </w:p>
        </w:tc>
        <w:tc>
          <w:tcPr>
            <w:tcW w:w="1701" w:type="dxa"/>
            <w:vAlign w:val="center"/>
          </w:tcPr>
          <w:p w14:paraId="3569FDA4">
            <w:pPr>
              <w:pStyle w:val="83"/>
              <w:ind w:firstLine="0"/>
              <w:rPr>
                <w:color w:val="auto"/>
                <w:highlight w:val="none"/>
              </w:rPr>
            </w:pPr>
            <w:r>
              <w:rPr>
                <w:rFonts w:hint="eastAsia"/>
                <w:color w:val="auto"/>
                <w:highlight w:val="none"/>
              </w:rPr>
              <w:t>最高3千万</w:t>
            </w:r>
          </w:p>
        </w:tc>
        <w:tc>
          <w:tcPr>
            <w:tcW w:w="993" w:type="dxa"/>
            <w:vAlign w:val="center"/>
          </w:tcPr>
          <w:p w14:paraId="003C2F36">
            <w:pPr>
              <w:pStyle w:val="83"/>
              <w:ind w:firstLine="0"/>
              <w:jc w:val="center"/>
              <w:rPr>
                <w:color w:val="auto"/>
                <w:highlight w:val="none"/>
              </w:rPr>
            </w:pPr>
            <w:r>
              <w:rPr>
                <w:rFonts w:hint="eastAsia"/>
                <w:color w:val="auto"/>
                <w:highlight w:val="none"/>
              </w:rPr>
              <w:t>1年</w:t>
            </w:r>
          </w:p>
        </w:tc>
        <w:tc>
          <w:tcPr>
            <w:tcW w:w="850" w:type="dxa"/>
            <w:vAlign w:val="center"/>
          </w:tcPr>
          <w:p w14:paraId="2A0DD006">
            <w:pPr>
              <w:pStyle w:val="83"/>
              <w:ind w:firstLine="0"/>
              <w:jc w:val="center"/>
              <w:rPr>
                <w:color w:val="auto"/>
                <w:highlight w:val="none"/>
              </w:rPr>
            </w:pPr>
            <w:r>
              <w:rPr>
                <w:rFonts w:hint="eastAsia"/>
                <w:color w:val="auto"/>
                <w:highlight w:val="none"/>
              </w:rPr>
              <w:t>4%</w:t>
            </w:r>
          </w:p>
        </w:tc>
        <w:tc>
          <w:tcPr>
            <w:tcW w:w="3366" w:type="dxa"/>
            <w:vAlign w:val="center"/>
          </w:tcPr>
          <w:p w14:paraId="5CB3811A">
            <w:pPr>
              <w:pStyle w:val="83"/>
              <w:ind w:firstLine="0"/>
              <w:rPr>
                <w:color w:val="auto"/>
                <w:highlight w:val="none"/>
              </w:rPr>
            </w:pPr>
            <w:r>
              <w:rPr>
                <w:rFonts w:hint="eastAsia"/>
                <w:color w:val="auto"/>
                <w:highlight w:val="none"/>
              </w:rPr>
              <w:t>开设账号，线下提供申请材料，进入贷款审批流程，贷款审批通过后可自主用款，银行官方网银可自主还款。</w:t>
            </w:r>
          </w:p>
        </w:tc>
      </w:tr>
      <w:tr w14:paraId="6FB49F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54C62BC6">
            <w:pPr>
              <w:pStyle w:val="83"/>
              <w:ind w:firstLine="0"/>
              <w:jc w:val="center"/>
              <w:rPr>
                <w:color w:val="auto"/>
                <w:highlight w:val="none"/>
              </w:rPr>
            </w:pPr>
            <w:r>
              <w:rPr>
                <w:rFonts w:hint="eastAsia"/>
                <w:color w:val="auto"/>
                <w:highlight w:val="none"/>
              </w:rPr>
              <w:t>中国银行</w:t>
            </w:r>
          </w:p>
        </w:tc>
        <w:tc>
          <w:tcPr>
            <w:tcW w:w="1134" w:type="dxa"/>
            <w:vAlign w:val="center"/>
          </w:tcPr>
          <w:p w14:paraId="4FE2C36F">
            <w:pPr>
              <w:pStyle w:val="83"/>
              <w:ind w:firstLine="0"/>
              <w:jc w:val="center"/>
              <w:rPr>
                <w:color w:val="auto"/>
                <w:highlight w:val="none"/>
              </w:rPr>
            </w:pPr>
            <w:r>
              <w:rPr>
                <w:rFonts w:hint="eastAsia"/>
                <w:color w:val="auto"/>
                <w:highlight w:val="none"/>
              </w:rPr>
              <w:t>0779-3997084</w:t>
            </w:r>
          </w:p>
        </w:tc>
        <w:tc>
          <w:tcPr>
            <w:tcW w:w="1701" w:type="dxa"/>
            <w:vAlign w:val="center"/>
          </w:tcPr>
          <w:p w14:paraId="310FAB49">
            <w:pPr>
              <w:pStyle w:val="83"/>
              <w:ind w:firstLine="0"/>
              <w:rPr>
                <w:color w:val="auto"/>
                <w:highlight w:val="none"/>
              </w:rPr>
            </w:pPr>
            <w:r>
              <w:rPr>
                <w:rFonts w:hint="eastAsia"/>
                <w:color w:val="auto"/>
                <w:highlight w:val="none"/>
              </w:rPr>
              <w:t>最高1千万</w:t>
            </w:r>
          </w:p>
        </w:tc>
        <w:tc>
          <w:tcPr>
            <w:tcW w:w="993" w:type="dxa"/>
            <w:vAlign w:val="center"/>
          </w:tcPr>
          <w:p w14:paraId="73202C1B">
            <w:pPr>
              <w:pStyle w:val="83"/>
              <w:ind w:firstLine="0"/>
              <w:jc w:val="center"/>
              <w:rPr>
                <w:color w:val="auto"/>
                <w:highlight w:val="none"/>
              </w:rPr>
            </w:pPr>
            <w:r>
              <w:rPr>
                <w:rFonts w:hint="eastAsia"/>
                <w:color w:val="auto"/>
                <w:highlight w:val="none"/>
              </w:rPr>
              <w:t>3年</w:t>
            </w:r>
          </w:p>
        </w:tc>
        <w:tc>
          <w:tcPr>
            <w:tcW w:w="850" w:type="dxa"/>
            <w:vAlign w:val="center"/>
          </w:tcPr>
          <w:p w14:paraId="1150EFDC">
            <w:pPr>
              <w:pStyle w:val="83"/>
              <w:ind w:firstLine="0"/>
              <w:jc w:val="center"/>
              <w:rPr>
                <w:color w:val="auto"/>
                <w:highlight w:val="none"/>
              </w:rPr>
            </w:pPr>
            <w:r>
              <w:rPr>
                <w:rFonts w:hint="eastAsia"/>
                <w:color w:val="auto"/>
                <w:highlight w:val="none"/>
              </w:rPr>
              <w:t>1.93%</w:t>
            </w:r>
          </w:p>
        </w:tc>
        <w:tc>
          <w:tcPr>
            <w:tcW w:w="3366" w:type="dxa"/>
            <w:vAlign w:val="center"/>
          </w:tcPr>
          <w:p w14:paraId="4E37D823">
            <w:pPr>
              <w:pStyle w:val="83"/>
              <w:ind w:firstLine="0"/>
              <w:rPr>
                <w:color w:val="auto"/>
                <w:highlight w:val="none"/>
              </w:rPr>
            </w:pPr>
            <w:r>
              <w:rPr>
                <w:rFonts w:hint="eastAsia"/>
                <w:color w:val="auto"/>
                <w:highlight w:val="none"/>
              </w:rPr>
              <w:t>在银行开户，线上申请，上传所需材料，等待审批，审批通过后可直接在手机银行提款。</w:t>
            </w:r>
          </w:p>
        </w:tc>
      </w:tr>
      <w:tr w14:paraId="47A0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1230A44">
            <w:pPr>
              <w:pStyle w:val="83"/>
              <w:ind w:firstLine="0"/>
              <w:jc w:val="center"/>
              <w:rPr>
                <w:color w:val="auto"/>
                <w:highlight w:val="none"/>
              </w:rPr>
            </w:pPr>
            <w:r>
              <w:rPr>
                <w:rFonts w:hint="eastAsia"/>
                <w:color w:val="auto"/>
                <w:highlight w:val="none"/>
              </w:rPr>
              <w:t>兴业银行</w:t>
            </w:r>
          </w:p>
        </w:tc>
        <w:tc>
          <w:tcPr>
            <w:tcW w:w="1134" w:type="dxa"/>
            <w:vAlign w:val="center"/>
          </w:tcPr>
          <w:p w14:paraId="29BB3993">
            <w:pPr>
              <w:pStyle w:val="83"/>
              <w:ind w:firstLine="0"/>
              <w:jc w:val="center"/>
              <w:rPr>
                <w:color w:val="auto"/>
                <w:highlight w:val="none"/>
              </w:rPr>
            </w:pPr>
            <w:r>
              <w:rPr>
                <w:rFonts w:hint="eastAsia"/>
                <w:color w:val="auto"/>
                <w:highlight w:val="none"/>
              </w:rPr>
              <w:t>0779-3158330</w:t>
            </w:r>
          </w:p>
        </w:tc>
        <w:tc>
          <w:tcPr>
            <w:tcW w:w="1701" w:type="dxa"/>
            <w:vAlign w:val="center"/>
          </w:tcPr>
          <w:p w14:paraId="0302E573">
            <w:pPr>
              <w:pStyle w:val="83"/>
              <w:ind w:firstLine="0"/>
              <w:rPr>
                <w:color w:val="auto"/>
                <w:highlight w:val="none"/>
              </w:rPr>
            </w:pPr>
            <w:r>
              <w:rPr>
                <w:rFonts w:hint="eastAsia"/>
                <w:color w:val="auto"/>
                <w:highlight w:val="none"/>
              </w:rPr>
              <w:t>最高1千万（单笔提款金额达合同金额70%）</w:t>
            </w:r>
          </w:p>
        </w:tc>
        <w:tc>
          <w:tcPr>
            <w:tcW w:w="993" w:type="dxa"/>
            <w:vAlign w:val="center"/>
          </w:tcPr>
          <w:p w14:paraId="3C606B44">
            <w:pPr>
              <w:pStyle w:val="83"/>
              <w:ind w:firstLine="0"/>
              <w:jc w:val="center"/>
              <w:rPr>
                <w:color w:val="auto"/>
                <w:highlight w:val="none"/>
              </w:rPr>
            </w:pPr>
            <w:r>
              <w:rPr>
                <w:rFonts w:hint="eastAsia"/>
                <w:color w:val="auto"/>
                <w:highlight w:val="none"/>
              </w:rPr>
              <w:t>1年</w:t>
            </w:r>
          </w:p>
        </w:tc>
        <w:tc>
          <w:tcPr>
            <w:tcW w:w="850" w:type="dxa"/>
            <w:vAlign w:val="center"/>
          </w:tcPr>
          <w:p w14:paraId="451519DB">
            <w:pPr>
              <w:pStyle w:val="83"/>
              <w:ind w:firstLine="0"/>
              <w:jc w:val="center"/>
              <w:rPr>
                <w:color w:val="auto"/>
                <w:highlight w:val="none"/>
              </w:rPr>
            </w:pPr>
            <w:r>
              <w:rPr>
                <w:rFonts w:hint="eastAsia"/>
                <w:color w:val="auto"/>
                <w:highlight w:val="none"/>
              </w:rPr>
              <w:t>3.70%</w:t>
            </w:r>
          </w:p>
        </w:tc>
        <w:tc>
          <w:tcPr>
            <w:tcW w:w="3366" w:type="dxa"/>
            <w:vAlign w:val="center"/>
          </w:tcPr>
          <w:p w14:paraId="70425565">
            <w:pPr>
              <w:pStyle w:val="83"/>
              <w:ind w:firstLine="0"/>
              <w:rPr>
                <w:color w:val="auto"/>
                <w:highlight w:val="none"/>
              </w:rPr>
            </w:pPr>
            <w:r>
              <w:rPr>
                <w:rFonts w:hint="eastAsia"/>
                <w:color w:val="auto"/>
                <w:highlight w:val="none"/>
              </w:rPr>
              <w:t>全流程线上，初次申请开立账户，提供营业执照、采购合同、信用材料等，申请复审，签订合同，提交单笔贷款使用需求，贷款到账后受托使用。</w:t>
            </w:r>
          </w:p>
        </w:tc>
      </w:tr>
      <w:tr w14:paraId="29018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A66F73A">
            <w:pPr>
              <w:pStyle w:val="83"/>
              <w:ind w:firstLine="0"/>
              <w:jc w:val="center"/>
              <w:rPr>
                <w:color w:val="auto"/>
                <w:highlight w:val="none"/>
              </w:rPr>
            </w:pPr>
            <w:r>
              <w:rPr>
                <w:rFonts w:hint="eastAsia"/>
                <w:color w:val="auto"/>
                <w:highlight w:val="none"/>
              </w:rPr>
              <w:t>工商银行</w:t>
            </w:r>
          </w:p>
        </w:tc>
        <w:tc>
          <w:tcPr>
            <w:tcW w:w="1134" w:type="dxa"/>
            <w:vAlign w:val="center"/>
          </w:tcPr>
          <w:p w14:paraId="5058D163">
            <w:pPr>
              <w:pStyle w:val="83"/>
              <w:ind w:firstLine="0"/>
              <w:jc w:val="center"/>
              <w:rPr>
                <w:color w:val="auto"/>
                <w:highlight w:val="none"/>
              </w:rPr>
            </w:pPr>
            <w:r>
              <w:rPr>
                <w:rFonts w:hint="eastAsia"/>
                <w:color w:val="auto"/>
                <w:highlight w:val="none"/>
              </w:rPr>
              <w:t>0779-3050645</w:t>
            </w:r>
          </w:p>
        </w:tc>
        <w:tc>
          <w:tcPr>
            <w:tcW w:w="1701" w:type="dxa"/>
            <w:vAlign w:val="center"/>
          </w:tcPr>
          <w:p w14:paraId="6DC1D820">
            <w:pPr>
              <w:pStyle w:val="83"/>
              <w:ind w:firstLine="0"/>
              <w:rPr>
                <w:color w:val="auto"/>
                <w:highlight w:val="none"/>
              </w:rPr>
            </w:pPr>
            <w:r>
              <w:rPr>
                <w:rFonts w:hint="eastAsia"/>
                <w:color w:val="auto"/>
                <w:highlight w:val="none"/>
              </w:rPr>
              <w:t>最高1千万且不超过合同金额70%</w:t>
            </w:r>
          </w:p>
        </w:tc>
        <w:tc>
          <w:tcPr>
            <w:tcW w:w="993" w:type="dxa"/>
            <w:vAlign w:val="center"/>
          </w:tcPr>
          <w:p w14:paraId="35A55BEF">
            <w:pPr>
              <w:pStyle w:val="83"/>
              <w:ind w:firstLine="0"/>
              <w:jc w:val="center"/>
              <w:rPr>
                <w:color w:val="auto"/>
                <w:highlight w:val="none"/>
              </w:rPr>
            </w:pPr>
            <w:r>
              <w:rPr>
                <w:rFonts w:hint="eastAsia"/>
                <w:color w:val="auto"/>
                <w:highlight w:val="none"/>
              </w:rPr>
              <w:t>货物类1年</w:t>
            </w:r>
          </w:p>
          <w:p w14:paraId="10B34BFF">
            <w:pPr>
              <w:pStyle w:val="83"/>
              <w:ind w:firstLine="0"/>
              <w:jc w:val="center"/>
              <w:rPr>
                <w:color w:val="auto"/>
                <w:highlight w:val="none"/>
              </w:rPr>
            </w:pPr>
            <w:r>
              <w:rPr>
                <w:rFonts w:hint="eastAsia"/>
                <w:color w:val="auto"/>
                <w:highlight w:val="none"/>
              </w:rPr>
              <w:t>服务类3年</w:t>
            </w:r>
          </w:p>
          <w:p w14:paraId="0AB7440B">
            <w:pPr>
              <w:pStyle w:val="83"/>
              <w:ind w:firstLine="0"/>
              <w:jc w:val="center"/>
              <w:rPr>
                <w:color w:val="auto"/>
                <w:highlight w:val="none"/>
              </w:rPr>
            </w:pPr>
            <w:r>
              <w:rPr>
                <w:rFonts w:hint="eastAsia"/>
                <w:color w:val="auto"/>
                <w:highlight w:val="none"/>
              </w:rPr>
              <w:t>工程类5年</w:t>
            </w:r>
          </w:p>
        </w:tc>
        <w:tc>
          <w:tcPr>
            <w:tcW w:w="850" w:type="dxa"/>
            <w:vAlign w:val="center"/>
          </w:tcPr>
          <w:p w14:paraId="28F1A19C">
            <w:pPr>
              <w:pStyle w:val="83"/>
              <w:ind w:firstLine="0"/>
              <w:jc w:val="center"/>
              <w:rPr>
                <w:color w:val="auto"/>
                <w:highlight w:val="none"/>
              </w:rPr>
            </w:pPr>
            <w:r>
              <w:rPr>
                <w:rFonts w:hint="eastAsia"/>
                <w:color w:val="auto"/>
                <w:highlight w:val="none"/>
              </w:rPr>
              <w:t>3.45%</w:t>
            </w:r>
          </w:p>
        </w:tc>
        <w:tc>
          <w:tcPr>
            <w:tcW w:w="3366" w:type="dxa"/>
            <w:vAlign w:val="center"/>
          </w:tcPr>
          <w:p w14:paraId="5C6F2951">
            <w:pPr>
              <w:pStyle w:val="83"/>
              <w:ind w:firstLine="0"/>
              <w:rPr>
                <w:color w:val="auto"/>
                <w:highlight w:val="none"/>
              </w:rPr>
            </w:pPr>
            <w:r>
              <w:rPr>
                <w:rFonts w:hint="eastAsia"/>
                <w:color w:val="auto"/>
                <w:highlight w:val="none"/>
              </w:rPr>
              <w:t>为中征系统白名单企业，提供相关要求材料，内部审批后放款自主借还。</w:t>
            </w:r>
          </w:p>
        </w:tc>
      </w:tr>
      <w:tr w14:paraId="04892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492451F1">
            <w:pPr>
              <w:pStyle w:val="83"/>
              <w:ind w:firstLine="0"/>
              <w:jc w:val="center"/>
              <w:rPr>
                <w:color w:val="auto"/>
                <w:highlight w:val="none"/>
              </w:rPr>
            </w:pPr>
            <w:r>
              <w:rPr>
                <w:rFonts w:hint="eastAsia"/>
                <w:color w:val="auto"/>
                <w:highlight w:val="none"/>
              </w:rPr>
              <w:t>国民村镇银行</w:t>
            </w:r>
          </w:p>
        </w:tc>
        <w:tc>
          <w:tcPr>
            <w:tcW w:w="1134" w:type="dxa"/>
            <w:vAlign w:val="center"/>
          </w:tcPr>
          <w:p w14:paraId="665754F7">
            <w:pPr>
              <w:pStyle w:val="83"/>
              <w:ind w:firstLine="0"/>
              <w:jc w:val="center"/>
              <w:rPr>
                <w:color w:val="auto"/>
                <w:highlight w:val="none"/>
              </w:rPr>
            </w:pPr>
            <w:r>
              <w:rPr>
                <w:rFonts w:hint="eastAsia"/>
                <w:color w:val="auto"/>
                <w:highlight w:val="none"/>
              </w:rPr>
              <w:t>0779-2668801</w:t>
            </w:r>
          </w:p>
        </w:tc>
        <w:tc>
          <w:tcPr>
            <w:tcW w:w="1701" w:type="dxa"/>
            <w:vAlign w:val="center"/>
          </w:tcPr>
          <w:p w14:paraId="09B01A0B">
            <w:pPr>
              <w:pStyle w:val="83"/>
              <w:ind w:firstLine="0"/>
              <w:rPr>
                <w:color w:val="auto"/>
                <w:highlight w:val="none"/>
              </w:rPr>
            </w:pPr>
            <w:r>
              <w:rPr>
                <w:rFonts w:hint="eastAsia"/>
                <w:color w:val="auto"/>
                <w:highlight w:val="none"/>
              </w:rPr>
              <w:t>最高500万</w:t>
            </w:r>
          </w:p>
        </w:tc>
        <w:tc>
          <w:tcPr>
            <w:tcW w:w="993" w:type="dxa"/>
            <w:vAlign w:val="center"/>
          </w:tcPr>
          <w:p w14:paraId="7A62A7CA">
            <w:pPr>
              <w:pStyle w:val="83"/>
              <w:ind w:firstLine="0"/>
              <w:jc w:val="center"/>
              <w:rPr>
                <w:color w:val="auto"/>
                <w:highlight w:val="none"/>
              </w:rPr>
            </w:pPr>
            <w:r>
              <w:rPr>
                <w:rFonts w:hint="eastAsia"/>
                <w:color w:val="auto"/>
                <w:highlight w:val="none"/>
              </w:rPr>
              <w:t>5年</w:t>
            </w:r>
          </w:p>
        </w:tc>
        <w:tc>
          <w:tcPr>
            <w:tcW w:w="850" w:type="dxa"/>
            <w:vAlign w:val="center"/>
          </w:tcPr>
          <w:p w14:paraId="570EA9CE">
            <w:pPr>
              <w:pStyle w:val="83"/>
              <w:ind w:firstLine="0"/>
              <w:jc w:val="center"/>
              <w:rPr>
                <w:color w:val="auto"/>
                <w:highlight w:val="none"/>
              </w:rPr>
            </w:pPr>
            <w:r>
              <w:rPr>
                <w:rFonts w:hint="eastAsia"/>
                <w:color w:val="auto"/>
                <w:highlight w:val="none"/>
              </w:rPr>
              <w:t>2.80%</w:t>
            </w:r>
          </w:p>
        </w:tc>
        <w:tc>
          <w:tcPr>
            <w:tcW w:w="3366" w:type="dxa"/>
            <w:vAlign w:val="center"/>
          </w:tcPr>
          <w:p w14:paraId="70738780">
            <w:pPr>
              <w:pStyle w:val="83"/>
              <w:ind w:firstLine="0"/>
              <w:rPr>
                <w:color w:val="auto"/>
                <w:highlight w:val="none"/>
              </w:rPr>
            </w:pPr>
            <w:r>
              <w:rPr>
                <w:rFonts w:hint="eastAsia"/>
                <w:color w:val="auto"/>
                <w:highlight w:val="none"/>
              </w:rPr>
              <w:t>银行开户，线下申请并提供材料，信用良好企业最快1天获批即可提款</w:t>
            </w:r>
          </w:p>
        </w:tc>
      </w:tr>
      <w:tr w14:paraId="14B1C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34DB89A5">
            <w:pPr>
              <w:pStyle w:val="83"/>
              <w:ind w:firstLine="0"/>
              <w:jc w:val="center"/>
              <w:rPr>
                <w:color w:val="auto"/>
                <w:highlight w:val="none"/>
              </w:rPr>
            </w:pPr>
            <w:r>
              <w:rPr>
                <w:rFonts w:hint="eastAsia"/>
                <w:color w:val="auto"/>
                <w:highlight w:val="none"/>
              </w:rPr>
              <w:t>桂林银行</w:t>
            </w:r>
          </w:p>
        </w:tc>
        <w:tc>
          <w:tcPr>
            <w:tcW w:w="1134" w:type="dxa"/>
            <w:vAlign w:val="center"/>
          </w:tcPr>
          <w:p w14:paraId="315FF833">
            <w:pPr>
              <w:pStyle w:val="83"/>
              <w:ind w:firstLine="0"/>
              <w:jc w:val="center"/>
              <w:rPr>
                <w:color w:val="auto"/>
                <w:highlight w:val="none"/>
              </w:rPr>
            </w:pPr>
            <w:r>
              <w:rPr>
                <w:rFonts w:hint="eastAsia"/>
                <w:color w:val="auto"/>
                <w:highlight w:val="none"/>
              </w:rPr>
              <w:t>18577993959</w:t>
            </w:r>
          </w:p>
        </w:tc>
        <w:tc>
          <w:tcPr>
            <w:tcW w:w="1701" w:type="dxa"/>
            <w:vAlign w:val="center"/>
          </w:tcPr>
          <w:p w14:paraId="3AB42787">
            <w:pPr>
              <w:pStyle w:val="83"/>
              <w:ind w:firstLine="0"/>
              <w:rPr>
                <w:color w:val="auto"/>
                <w:highlight w:val="none"/>
              </w:rPr>
            </w:pPr>
            <w:r>
              <w:rPr>
                <w:rFonts w:hint="eastAsia"/>
                <w:color w:val="auto"/>
                <w:highlight w:val="none"/>
              </w:rPr>
              <w:t>最高1千万</w:t>
            </w:r>
          </w:p>
        </w:tc>
        <w:tc>
          <w:tcPr>
            <w:tcW w:w="993" w:type="dxa"/>
            <w:vAlign w:val="center"/>
          </w:tcPr>
          <w:p w14:paraId="3B79948E">
            <w:pPr>
              <w:pStyle w:val="83"/>
              <w:ind w:firstLine="0"/>
              <w:jc w:val="center"/>
              <w:rPr>
                <w:color w:val="auto"/>
                <w:highlight w:val="none"/>
              </w:rPr>
            </w:pPr>
            <w:r>
              <w:rPr>
                <w:rFonts w:hint="eastAsia"/>
                <w:color w:val="auto"/>
                <w:highlight w:val="none"/>
              </w:rPr>
              <w:t>1年</w:t>
            </w:r>
          </w:p>
        </w:tc>
        <w:tc>
          <w:tcPr>
            <w:tcW w:w="850" w:type="dxa"/>
            <w:vAlign w:val="center"/>
          </w:tcPr>
          <w:p w14:paraId="62F1BDA4">
            <w:pPr>
              <w:pStyle w:val="83"/>
              <w:ind w:firstLine="0"/>
              <w:jc w:val="center"/>
              <w:rPr>
                <w:color w:val="auto"/>
                <w:highlight w:val="none"/>
              </w:rPr>
            </w:pPr>
            <w:r>
              <w:rPr>
                <w:rFonts w:hint="eastAsia"/>
                <w:color w:val="auto"/>
                <w:highlight w:val="none"/>
              </w:rPr>
              <w:t>3.45%</w:t>
            </w:r>
          </w:p>
        </w:tc>
        <w:tc>
          <w:tcPr>
            <w:tcW w:w="3366" w:type="dxa"/>
            <w:vAlign w:val="center"/>
          </w:tcPr>
          <w:p w14:paraId="35E10F1B">
            <w:pPr>
              <w:pStyle w:val="83"/>
              <w:ind w:firstLine="0"/>
              <w:rPr>
                <w:color w:val="auto"/>
                <w:highlight w:val="none"/>
              </w:rPr>
            </w:pPr>
            <w:r>
              <w:rPr>
                <w:rFonts w:hint="eastAsia"/>
                <w:color w:val="auto"/>
                <w:highlight w:val="none"/>
              </w:rPr>
              <w:t>线下申请，材料齐全最快1周内即可放款。</w:t>
            </w:r>
          </w:p>
        </w:tc>
      </w:tr>
      <w:tr w14:paraId="2070C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42" w:type="dxa"/>
            <w:vAlign w:val="center"/>
          </w:tcPr>
          <w:p w14:paraId="7196480F">
            <w:pPr>
              <w:pStyle w:val="83"/>
              <w:ind w:firstLine="0"/>
              <w:jc w:val="center"/>
              <w:rPr>
                <w:color w:val="auto"/>
                <w:highlight w:val="none"/>
              </w:rPr>
            </w:pPr>
            <w:r>
              <w:rPr>
                <w:rFonts w:hint="eastAsia"/>
                <w:color w:val="auto"/>
                <w:highlight w:val="none"/>
              </w:rPr>
              <w:t>中小微商务服务公司</w:t>
            </w:r>
          </w:p>
        </w:tc>
        <w:tc>
          <w:tcPr>
            <w:tcW w:w="1134" w:type="dxa"/>
            <w:vAlign w:val="center"/>
          </w:tcPr>
          <w:p w14:paraId="6D23FA26">
            <w:pPr>
              <w:pStyle w:val="83"/>
              <w:ind w:firstLine="0"/>
              <w:jc w:val="center"/>
              <w:rPr>
                <w:color w:val="auto"/>
                <w:highlight w:val="none"/>
              </w:rPr>
            </w:pPr>
            <w:r>
              <w:rPr>
                <w:rFonts w:hint="eastAsia"/>
                <w:color w:val="auto"/>
                <w:highlight w:val="none"/>
              </w:rPr>
              <w:t>19907799988</w:t>
            </w:r>
          </w:p>
        </w:tc>
        <w:tc>
          <w:tcPr>
            <w:tcW w:w="1701" w:type="dxa"/>
            <w:vAlign w:val="center"/>
          </w:tcPr>
          <w:p w14:paraId="4A5ED827">
            <w:pPr>
              <w:pStyle w:val="83"/>
              <w:ind w:firstLine="0"/>
              <w:rPr>
                <w:color w:val="auto"/>
                <w:highlight w:val="none"/>
              </w:rPr>
            </w:pPr>
          </w:p>
        </w:tc>
        <w:tc>
          <w:tcPr>
            <w:tcW w:w="993" w:type="dxa"/>
            <w:vAlign w:val="center"/>
          </w:tcPr>
          <w:p w14:paraId="710BE896">
            <w:pPr>
              <w:pStyle w:val="83"/>
              <w:ind w:firstLine="0"/>
              <w:jc w:val="center"/>
              <w:rPr>
                <w:color w:val="auto"/>
                <w:highlight w:val="none"/>
              </w:rPr>
            </w:pPr>
          </w:p>
        </w:tc>
        <w:tc>
          <w:tcPr>
            <w:tcW w:w="850" w:type="dxa"/>
            <w:vAlign w:val="center"/>
          </w:tcPr>
          <w:p w14:paraId="052ED569">
            <w:pPr>
              <w:pStyle w:val="83"/>
              <w:ind w:firstLine="0"/>
              <w:jc w:val="center"/>
              <w:rPr>
                <w:color w:val="auto"/>
                <w:highlight w:val="none"/>
              </w:rPr>
            </w:pPr>
          </w:p>
        </w:tc>
        <w:tc>
          <w:tcPr>
            <w:tcW w:w="3366" w:type="dxa"/>
            <w:vAlign w:val="center"/>
          </w:tcPr>
          <w:p w14:paraId="6EDFA367">
            <w:pPr>
              <w:pStyle w:val="83"/>
              <w:ind w:firstLine="0"/>
              <w:rPr>
                <w:color w:val="auto"/>
                <w:highlight w:val="none"/>
              </w:rPr>
            </w:pPr>
            <w:r>
              <w:rPr>
                <w:rFonts w:hint="eastAsia"/>
                <w:color w:val="auto"/>
                <w:highlight w:val="none"/>
              </w:rPr>
              <w:t>具体业务可电话咨询。</w:t>
            </w:r>
          </w:p>
        </w:tc>
      </w:tr>
    </w:tbl>
    <w:p w14:paraId="6D1B7181">
      <w:pPr>
        <w:pStyle w:val="83"/>
        <w:rPr>
          <w:color w:val="auto"/>
          <w:highlight w:val="none"/>
        </w:rPr>
      </w:pPr>
      <w:r>
        <w:rPr>
          <w:rFonts w:hint="eastAsia"/>
          <w:color w:val="auto"/>
          <w:highlight w:val="none"/>
        </w:rPr>
        <w:t>注：表中联系电话、授信金额、授信期限、最低利率等信息可能动态更新，仅供参考，具体以办理时相关银行公布的为准。</w:t>
      </w:r>
    </w:p>
    <w:p w14:paraId="67DE94DD">
      <w:pPr>
        <w:pStyle w:val="26"/>
        <w:spacing w:line="360" w:lineRule="auto"/>
        <w:ind w:left="479" w:hanging="479" w:hangingChars="199"/>
        <w:rPr>
          <w:rFonts w:cs="宋体"/>
          <w:b/>
          <w:color w:val="auto"/>
          <w:highlight w:val="none"/>
        </w:rPr>
      </w:pPr>
      <w:r>
        <w:rPr>
          <w:rFonts w:hint="eastAsia" w:cs="宋体"/>
          <w:b/>
          <w:color w:val="auto"/>
          <w:highlight w:val="none"/>
        </w:rPr>
        <w:t>26. 履约保证金</w:t>
      </w:r>
    </w:p>
    <w:p w14:paraId="1257A4EC">
      <w:pPr>
        <w:pStyle w:val="34"/>
        <w:spacing w:line="360" w:lineRule="auto"/>
        <w:ind w:firstLine="472" w:firstLineChars="196"/>
        <w:rPr>
          <w:color w:val="auto"/>
          <w:highlight w:val="none"/>
        </w:rPr>
      </w:pPr>
      <w:r>
        <w:rPr>
          <w:rFonts w:hint="eastAsia" w:hAnsi="宋体" w:cs="宋体"/>
          <w:b/>
          <w:color w:val="auto"/>
          <w:kern w:val="28"/>
          <w:sz w:val="24"/>
          <w:szCs w:val="24"/>
          <w:highlight w:val="none"/>
        </w:rPr>
        <w:t>本项目不收取履约保证金。</w:t>
      </w:r>
    </w:p>
    <w:p w14:paraId="50F623F6">
      <w:pPr>
        <w:pStyle w:val="26"/>
        <w:spacing w:line="360" w:lineRule="auto"/>
        <w:ind w:left="479" w:hanging="479" w:hangingChars="199"/>
        <w:rPr>
          <w:rFonts w:cs="宋体"/>
          <w:b/>
          <w:color w:val="auto"/>
          <w:highlight w:val="none"/>
        </w:rPr>
      </w:pPr>
      <w:r>
        <w:rPr>
          <w:rFonts w:cs="宋体"/>
          <w:b/>
          <w:color w:val="auto"/>
          <w:highlight w:val="none"/>
        </w:rPr>
        <w:t>27.预付款</w:t>
      </w:r>
    </w:p>
    <w:p w14:paraId="362C1E54">
      <w:pPr>
        <w:adjustRightInd/>
        <w:spacing w:line="360" w:lineRule="auto"/>
        <w:ind w:firstLine="482" w:firstLineChars="200"/>
        <w:rPr>
          <w:rFonts w:hint="eastAsia" w:ascii="宋体" w:hAnsi="宋体" w:eastAsia="宋体" w:cs="宋体"/>
          <w:b/>
          <w:color w:val="auto"/>
          <w:kern w:val="28"/>
          <w:sz w:val="24"/>
          <w:szCs w:val="24"/>
          <w:highlight w:val="none"/>
        </w:rPr>
      </w:pPr>
      <w:r>
        <w:rPr>
          <w:rFonts w:hint="eastAsia" w:ascii="宋体" w:hAnsi="宋体" w:eastAsia="宋体" w:cs="宋体"/>
          <w:b/>
          <w:color w:val="auto"/>
          <w:kern w:val="28"/>
          <w:sz w:val="24"/>
          <w:szCs w:val="24"/>
          <w:highlight w:val="none"/>
        </w:rPr>
        <w:t>自合同签订后且中标单位服务人员进场（进场时间以各服务单位具体要求为准）、财政资金到位后，预付合同总金额的10%;剩余款项按季度平均支付，每季度第一个月支付上季度服务费。</w:t>
      </w:r>
    </w:p>
    <w:p w14:paraId="489071CE">
      <w:pPr>
        <w:adjustRightInd/>
        <w:spacing w:line="360" w:lineRule="auto"/>
        <w:ind w:firstLine="480" w:firstLineChars="200"/>
        <w:rPr>
          <w:color w:val="auto"/>
          <w:highlight w:val="none"/>
        </w:rPr>
      </w:pPr>
      <w:r>
        <w:rPr>
          <w:rFonts w:hint="eastAsia" w:ascii="宋体" w:hAnsi="宋体"/>
          <w:color w:val="auto"/>
          <w:sz w:val="24"/>
          <w:highlight w:val="none"/>
        </w:rPr>
        <w:t>供应商可登录广西政府采购云平台前台大厅选择金融服务</w:t>
      </w:r>
      <w:r>
        <w:rPr>
          <w:rFonts w:ascii="宋体" w:hAnsi="宋体"/>
          <w:color w:val="auto"/>
          <w:sz w:val="24"/>
          <w:highlight w:val="none"/>
        </w:rPr>
        <w:t xml:space="preserve"> - </w:t>
      </w:r>
      <w:r>
        <w:rPr>
          <w:rFonts w:hint="eastAsia" w:ascii="宋体" w:hAnsi="宋体"/>
          <w:color w:val="auto"/>
          <w:sz w:val="24"/>
          <w:highlight w:val="none"/>
        </w:rPr>
        <w:t>【保函保险服务】出具预付款保函，具体步骤：选择产品—填写供应商信息—选择中标项目—确认信息—等待保险</w:t>
      </w:r>
      <w:r>
        <w:rPr>
          <w:rFonts w:ascii="宋体" w:hAnsi="宋体"/>
          <w:color w:val="auto"/>
          <w:sz w:val="24"/>
          <w:highlight w:val="none"/>
        </w:rPr>
        <w:t>/保函受理—确认保单—支付保费—成功出单。广西政府采购云平台</w:t>
      </w:r>
      <w:r>
        <w:rPr>
          <w:rFonts w:hint="eastAsia" w:ascii="宋体" w:hAnsi="宋体"/>
          <w:color w:val="auto"/>
          <w:sz w:val="24"/>
          <w:highlight w:val="none"/>
        </w:rPr>
        <w:t>金融专线</w:t>
      </w:r>
      <w:r>
        <w:rPr>
          <w:rFonts w:ascii="宋体" w:hAnsi="宋体"/>
          <w:color w:val="auto"/>
          <w:sz w:val="24"/>
          <w:highlight w:val="none"/>
        </w:rPr>
        <w:t>400-903-9583。</w:t>
      </w:r>
    </w:p>
    <w:p w14:paraId="6756DF65">
      <w:pPr>
        <w:rPr>
          <w:color w:val="auto"/>
          <w:highlight w:val="none"/>
        </w:rPr>
      </w:pPr>
    </w:p>
    <w:p w14:paraId="436DB477">
      <w:pPr>
        <w:snapToGrid w:val="0"/>
        <w:spacing w:line="360" w:lineRule="auto"/>
        <w:ind w:firstLine="3357" w:firstLineChars="1045"/>
        <w:rPr>
          <w:rFonts w:ascii="宋体" w:hAnsi="宋体" w:cs="宋体"/>
          <w:b/>
          <w:color w:val="auto"/>
          <w:sz w:val="32"/>
          <w:highlight w:val="none"/>
        </w:rPr>
      </w:pPr>
    </w:p>
    <w:p w14:paraId="3673D486">
      <w:pPr>
        <w:snapToGrid w:val="0"/>
        <w:spacing w:line="360" w:lineRule="auto"/>
        <w:ind w:firstLine="3357" w:firstLineChars="1045"/>
        <w:outlineLvl w:val="1"/>
        <w:rPr>
          <w:rFonts w:ascii="宋体" w:hAnsi="宋体" w:cs="宋体"/>
          <w:b/>
          <w:color w:val="auto"/>
          <w:sz w:val="24"/>
          <w:highlight w:val="none"/>
        </w:rPr>
      </w:pPr>
      <w:r>
        <w:rPr>
          <w:rFonts w:hint="eastAsia" w:ascii="宋体" w:hAnsi="宋体" w:cs="宋体"/>
          <w:b/>
          <w:color w:val="auto"/>
          <w:sz w:val="32"/>
          <w:highlight w:val="none"/>
        </w:rPr>
        <w:t>八、电子交易活动的中止</w:t>
      </w:r>
    </w:p>
    <w:p w14:paraId="78459171">
      <w:pPr>
        <w:pStyle w:val="129"/>
        <w:snapToGrid w:val="0"/>
        <w:spacing w:before="0"/>
        <w:ind w:firstLine="0" w:firstLineChars="0"/>
        <w:rPr>
          <w:rFonts w:ascii="宋体" w:hAnsi="宋体" w:cs="宋体"/>
          <w:color w:val="auto"/>
          <w:highlight w:val="none"/>
        </w:rPr>
      </w:pPr>
      <w:r>
        <w:rPr>
          <w:rFonts w:ascii="宋体" w:hAnsi="宋体" w:cs="宋体"/>
          <w:b/>
          <w:bCs/>
          <w:color w:val="auto"/>
          <w:highlight w:val="none"/>
        </w:rPr>
        <w:t>2</w:t>
      </w:r>
      <w:r>
        <w:rPr>
          <w:rFonts w:ascii="宋体" w:hAnsi="宋体" w:cs="宋体"/>
          <w:b/>
          <w:bCs/>
          <w:color w:val="auto"/>
          <w:szCs w:val="24"/>
          <w:highlight w:val="none"/>
        </w:rPr>
        <w:t>8</w:t>
      </w:r>
      <w:r>
        <w:rPr>
          <w:rFonts w:hint="eastAsia" w:ascii="宋体" w:hAnsi="宋体" w:cs="宋体"/>
          <w:b/>
          <w:color w:val="auto"/>
          <w:szCs w:val="24"/>
          <w:highlight w:val="none"/>
        </w:rPr>
        <w:t>. 电子交易活动的中止。</w:t>
      </w:r>
      <w:r>
        <w:rPr>
          <w:rFonts w:hint="eastAsia" w:ascii="宋体" w:hAnsi="宋体" w:cs="宋体"/>
          <w:color w:val="auto"/>
          <w:highlight w:val="none"/>
        </w:rPr>
        <w:t>采购过程中出现以下情形，导致电子交易平台无法正常运行，或者无法保证电子交易的公平、公正和安全时，采购代理机构可中止电子交易活动：</w:t>
      </w:r>
    </w:p>
    <w:p w14:paraId="1D2CAA37">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 xml:space="preserve">28.1电子交易平台发生故障而无法登录访问的； </w:t>
      </w:r>
    </w:p>
    <w:p w14:paraId="4C38773B">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28.2电子交易平台应用或数据库出现错误，不能进行正常操作的；</w:t>
      </w:r>
    </w:p>
    <w:p w14:paraId="26DF31BB">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28.3电子交易平台发现严重安全漏洞，有潜在泄密危险的；</w:t>
      </w:r>
    </w:p>
    <w:p w14:paraId="28BB42A9">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 xml:space="preserve">28.4病毒发作导致不能进行正常操作的； </w:t>
      </w:r>
    </w:p>
    <w:p w14:paraId="0AE7BFDB">
      <w:pPr>
        <w:pStyle w:val="129"/>
        <w:snapToGrid w:val="0"/>
        <w:spacing w:before="0"/>
        <w:ind w:firstLine="480"/>
        <w:rPr>
          <w:rFonts w:ascii="宋体" w:hAnsi="宋体" w:cs="宋体"/>
          <w:color w:val="auto"/>
          <w:highlight w:val="none"/>
        </w:rPr>
      </w:pPr>
      <w:r>
        <w:rPr>
          <w:rFonts w:hint="eastAsia" w:ascii="宋体" w:hAnsi="宋体" w:cs="宋体"/>
          <w:color w:val="auto"/>
          <w:highlight w:val="none"/>
        </w:rPr>
        <w:t>28.5其他无法保证电子交易的公平、公正和安全的情况。</w:t>
      </w:r>
    </w:p>
    <w:p w14:paraId="06222477">
      <w:pPr>
        <w:pStyle w:val="129"/>
        <w:snapToGrid w:val="0"/>
        <w:spacing w:before="0"/>
        <w:ind w:firstLine="0" w:firstLineChars="0"/>
        <w:rPr>
          <w:rFonts w:ascii="宋体" w:hAnsi="宋体" w:cs="宋体"/>
          <w:color w:val="auto"/>
          <w:highlight w:val="none"/>
        </w:rPr>
      </w:pPr>
      <w:r>
        <w:rPr>
          <w:rFonts w:hint="eastAsia" w:ascii="宋体" w:hAnsi="宋体" w:cs="宋体"/>
          <w:color w:val="auto"/>
          <w:highlight w:val="none"/>
        </w:rPr>
        <w:t xml:space="preserve"> 29.出现以上情形，不影响采购公平、公正性的，采购组织机构可以待上述情形消除后继续组织电子交易活动，也可以决定某些环节以纸质形式进行；影响或可能影响采购公平、公正性的，应当重新采购。</w:t>
      </w:r>
    </w:p>
    <w:p w14:paraId="5AD46B7A">
      <w:pPr>
        <w:tabs>
          <w:tab w:val="left" w:pos="0"/>
        </w:tabs>
        <w:spacing w:line="360" w:lineRule="auto"/>
        <w:ind w:firstLine="480"/>
        <w:rPr>
          <w:rFonts w:ascii="宋体" w:hAnsi="宋体" w:cs="宋体"/>
          <w:color w:val="auto"/>
          <w:sz w:val="24"/>
          <w:highlight w:val="none"/>
        </w:rPr>
      </w:pPr>
    </w:p>
    <w:p w14:paraId="58A1B791">
      <w:pPr>
        <w:snapToGrid w:val="0"/>
        <w:spacing w:line="360" w:lineRule="auto"/>
        <w:ind w:left="120" w:leftChars="57" w:firstLine="482" w:firstLineChars="150"/>
        <w:jc w:val="center"/>
        <w:outlineLvl w:val="1"/>
        <w:rPr>
          <w:rFonts w:ascii="宋体" w:hAnsi="宋体" w:cs="宋体"/>
          <w:b/>
          <w:color w:val="auto"/>
          <w:sz w:val="32"/>
          <w:highlight w:val="none"/>
        </w:rPr>
      </w:pPr>
      <w:r>
        <w:rPr>
          <w:rFonts w:hint="eastAsia" w:ascii="宋体" w:hAnsi="宋体" w:cs="宋体"/>
          <w:b/>
          <w:color w:val="auto"/>
          <w:sz w:val="32"/>
          <w:highlight w:val="none"/>
        </w:rPr>
        <w:t>九、验收</w:t>
      </w:r>
    </w:p>
    <w:p w14:paraId="30D8FF45">
      <w:pPr>
        <w:pStyle w:val="26"/>
        <w:spacing w:line="360" w:lineRule="auto"/>
        <w:ind w:firstLine="0" w:firstLineChars="0"/>
        <w:rPr>
          <w:rFonts w:cs="宋体"/>
          <w:b/>
          <w:color w:val="auto"/>
          <w:highlight w:val="none"/>
        </w:rPr>
      </w:pPr>
      <w:r>
        <w:rPr>
          <w:rFonts w:hint="eastAsia" w:cs="宋体"/>
          <w:b/>
          <w:color w:val="auto"/>
          <w:highlight w:val="none"/>
        </w:rPr>
        <w:t>30.验收</w:t>
      </w:r>
    </w:p>
    <w:p w14:paraId="515AAC43">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30.1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7F2FF099">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30.2采购人可以邀请参加本项目的其他投标人或者第三方机构参与验收。参与验收的投标人或者第三方机构的意见作为验收书的参考资料一并存档。</w:t>
      </w:r>
    </w:p>
    <w:p w14:paraId="7EBAC4E3">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30.3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31ABD254">
      <w:pPr>
        <w:tabs>
          <w:tab w:val="left" w:pos="0"/>
        </w:tabs>
        <w:spacing w:line="360" w:lineRule="auto"/>
        <w:ind w:firstLine="480"/>
        <w:rPr>
          <w:rFonts w:ascii="宋体" w:hAnsi="宋体" w:cs="宋体"/>
          <w:color w:val="auto"/>
          <w:kern w:val="0"/>
          <w:sz w:val="24"/>
          <w:highlight w:val="none"/>
        </w:rPr>
      </w:pPr>
      <w:r>
        <w:rPr>
          <w:rFonts w:hint="eastAsia" w:ascii="宋体" w:hAnsi="宋体" w:cs="宋体"/>
          <w:color w:val="auto"/>
          <w:kern w:val="0"/>
          <w:sz w:val="24"/>
          <w:highlight w:val="none"/>
        </w:rPr>
        <w:t>30.4验收合格的项目，采购人将根据采购合同的约定及时向供应商支付采购资金、退还履约保证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3C8AEBCC">
      <w:pPr>
        <w:tabs>
          <w:tab w:val="left" w:pos="0"/>
        </w:tabs>
        <w:spacing w:line="360" w:lineRule="auto"/>
        <w:ind w:firstLine="480"/>
        <w:rPr>
          <w:rFonts w:ascii="宋体" w:hAnsi="宋体" w:cs="宋体"/>
          <w:color w:val="auto"/>
          <w:kern w:val="0"/>
          <w:sz w:val="24"/>
          <w:highlight w:val="none"/>
        </w:rPr>
      </w:pPr>
    </w:p>
    <w:p w14:paraId="0AEC6562">
      <w:pPr>
        <w:snapToGrid w:val="0"/>
        <w:spacing w:line="360" w:lineRule="auto"/>
        <w:ind w:left="120" w:leftChars="57" w:firstLine="482" w:firstLineChars="150"/>
        <w:jc w:val="center"/>
        <w:outlineLvl w:val="1"/>
        <w:rPr>
          <w:rFonts w:ascii="宋体" w:hAnsi="宋体" w:cs="宋体"/>
          <w:b/>
          <w:color w:val="auto"/>
          <w:sz w:val="32"/>
          <w:highlight w:val="none"/>
        </w:rPr>
      </w:pPr>
      <w:r>
        <w:rPr>
          <w:rFonts w:hint="eastAsia" w:ascii="宋体" w:hAnsi="宋体" w:cs="宋体"/>
          <w:b/>
          <w:color w:val="auto"/>
          <w:sz w:val="32"/>
          <w:highlight w:val="none"/>
        </w:rPr>
        <w:t>十、代理费用的收取标准和方式</w:t>
      </w:r>
    </w:p>
    <w:bookmarkEnd w:id="26"/>
    <w:bookmarkEnd w:id="27"/>
    <w:bookmarkEnd w:id="34"/>
    <w:p w14:paraId="17371DFB">
      <w:pPr>
        <w:snapToGrid w:val="0"/>
        <w:spacing w:line="360" w:lineRule="auto"/>
        <w:ind w:firstLine="422" w:firstLineChars="200"/>
        <w:rPr>
          <w:rFonts w:hint="eastAsia" w:cs="宋体"/>
          <w:b/>
          <w:color w:val="auto"/>
          <w:highlight w:val="none"/>
        </w:rPr>
      </w:pPr>
      <w:bookmarkStart w:id="35" w:name="_Toc176368904"/>
      <w:bookmarkStart w:id="36" w:name="第四部分"/>
      <w:r>
        <w:rPr>
          <w:rFonts w:hint="eastAsia" w:cs="宋体"/>
          <w:b/>
          <w:color w:val="auto"/>
          <w:highlight w:val="none"/>
        </w:rPr>
        <w:t>本项目不收取。</w:t>
      </w:r>
    </w:p>
    <w:p w14:paraId="301F69F6">
      <w:pPr>
        <w:pStyle w:val="4"/>
        <w:rPr>
          <w:rFonts w:hint="eastAsia" w:cs="宋体"/>
          <w:b/>
          <w:color w:val="auto"/>
          <w:highlight w:val="none"/>
        </w:rPr>
      </w:pPr>
    </w:p>
    <w:p w14:paraId="7F88D08A">
      <w:pPr>
        <w:rPr>
          <w:rFonts w:hint="eastAsia" w:cs="宋体"/>
          <w:b/>
          <w:color w:val="auto"/>
          <w:highlight w:val="none"/>
        </w:rPr>
      </w:pPr>
    </w:p>
    <w:p w14:paraId="46CD2557">
      <w:pPr>
        <w:spacing w:line="360" w:lineRule="auto"/>
        <w:jc w:val="center"/>
        <w:outlineLvl w:val="0"/>
        <w:rPr>
          <w:rFonts w:ascii="宋体" w:hAnsi="宋体" w:cs="宋体"/>
          <w:b/>
          <w:color w:val="auto"/>
          <w:sz w:val="36"/>
          <w:szCs w:val="36"/>
          <w:highlight w:val="none"/>
        </w:rPr>
      </w:pPr>
      <w:r>
        <w:rPr>
          <w:rFonts w:hint="eastAsia" w:ascii="宋体" w:hAnsi="宋体" w:cs="宋体"/>
          <w:b/>
          <w:color w:val="auto"/>
          <w:sz w:val="36"/>
          <w:szCs w:val="36"/>
          <w:highlight w:val="none"/>
        </w:rPr>
        <w:t>第三部分 采购需求</w:t>
      </w:r>
      <w:bookmarkEnd w:id="35"/>
    </w:p>
    <w:p w14:paraId="074E0B51">
      <w:pPr>
        <w:pBdr>
          <w:bottom w:val="single" w:color="auto" w:sz="6" w:space="1"/>
        </w:pBdr>
        <w:tabs>
          <w:tab w:val="center" w:pos="4153"/>
          <w:tab w:val="right" w:pos="8306"/>
        </w:tabs>
        <w:adjustRightInd/>
        <w:snapToGrid w:val="0"/>
        <w:jc w:val="center"/>
        <w:rPr>
          <w:color w:val="auto"/>
          <w:sz w:val="18"/>
          <w:szCs w:val="18"/>
          <w:highlight w:val="none"/>
        </w:rPr>
      </w:pPr>
    </w:p>
    <w:p w14:paraId="00262C05">
      <w:pPr>
        <w:pStyle w:val="513"/>
        <w:spacing w:line="440" w:lineRule="exact"/>
        <w:ind w:firstLine="402"/>
        <w:jc w:val="center"/>
        <w:outlineLvl w:val="1"/>
        <w:rPr>
          <w:rFonts w:hint="eastAsia" w:ascii="Times New Roman" w:hAnsi="Times New Roman" w:eastAsia="宋体" w:cs="Times New Roman"/>
          <w:b/>
          <w:bCs/>
          <w:snapToGrid w:val="0"/>
          <w:color w:val="auto"/>
          <w:spacing w:val="0"/>
          <w:kern w:val="2"/>
          <w:sz w:val="36"/>
          <w:szCs w:val="36"/>
          <w:highlight w:val="none"/>
          <w:lang w:val="en-US" w:eastAsia="zh-CN" w:bidi="ar-SA"/>
        </w:rPr>
      </w:pPr>
    </w:p>
    <w:p w14:paraId="6ECCBB5E">
      <w:pPr>
        <w:pStyle w:val="513"/>
        <w:spacing w:line="440" w:lineRule="exact"/>
        <w:ind w:firstLine="402"/>
        <w:jc w:val="center"/>
        <w:outlineLvl w:val="1"/>
        <w:rPr>
          <w:rFonts w:hint="default" w:ascii="Times New Roman" w:hAnsi="Times New Roman" w:eastAsia="宋体" w:cs="Times New Roman"/>
          <w:b/>
          <w:bCs/>
          <w:snapToGrid w:val="0"/>
          <w:color w:val="auto"/>
          <w:spacing w:val="0"/>
          <w:kern w:val="2"/>
          <w:sz w:val="36"/>
          <w:szCs w:val="36"/>
          <w:highlight w:val="none"/>
          <w:lang w:val="en-US" w:eastAsia="zh-CN" w:bidi="ar-SA"/>
        </w:rPr>
      </w:pPr>
      <w:r>
        <w:rPr>
          <w:rFonts w:hint="eastAsia" w:ascii="Times New Roman" w:hAnsi="Times New Roman" w:eastAsia="宋体" w:cs="Times New Roman"/>
          <w:b/>
          <w:bCs/>
          <w:snapToGrid w:val="0"/>
          <w:color w:val="auto"/>
          <w:spacing w:val="0"/>
          <w:kern w:val="2"/>
          <w:sz w:val="36"/>
          <w:szCs w:val="36"/>
          <w:highlight w:val="none"/>
          <w:lang w:val="en-US" w:eastAsia="zh-CN" w:bidi="ar-SA"/>
        </w:rPr>
        <w:t>标项一：物业服务1</w:t>
      </w:r>
    </w:p>
    <w:p w14:paraId="775ACEC3">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说明：</w:t>
      </w:r>
    </w:p>
    <w:p w14:paraId="17E4E582">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1.本项目的政府采购预算控制价为人民币7633100元，高于预算控制价的报价将视为无效投标。</w:t>
      </w:r>
    </w:p>
    <w:p w14:paraId="6FB04D56">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采购需求中标注“★”的内容必须满足或者优于，否则投标无效。</w:t>
      </w:r>
    </w:p>
    <w:p w14:paraId="69B030FD">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3.根据《关于印发中小企业划型标准规定的通知》（工信部联企业</w:t>
      </w:r>
      <w:r>
        <w:rPr>
          <w:rFonts w:hint="eastAsia" w:ascii="宋体" w:hAnsi="宋体" w:cs="Book Antiqua"/>
          <w:color w:val="auto"/>
          <w:szCs w:val="21"/>
          <w:highlight w:val="none"/>
        </w:rPr>
        <w:t>〔2011〕</w:t>
      </w:r>
      <w:r>
        <w:rPr>
          <w:rFonts w:hint="eastAsia" w:ascii="宋体" w:hAnsi="宋体" w:cs="宋体"/>
          <w:color w:val="auto"/>
          <w:szCs w:val="21"/>
          <w:highlight w:val="none"/>
        </w:rPr>
        <w:t>300号）规定的划分标准，本项目采购所有标的对应的中小企业划分标准所属行业为：</w:t>
      </w:r>
      <w:r>
        <w:rPr>
          <w:rFonts w:hint="eastAsia" w:ascii="宋体" w:hAnsi="宋体" w:cs="Book Antiqua"/>
          <w:b/>
          <w:color w:val="auto"/>
          <w:szCs w:val="21"/>
          <w:highlight w:val="none"/>
          <w:lang w:eastAsia="zh-CN"/>
        </w:rPr>
        <w:t>物业管理</w:t>
      </w:r>
      <w:r>
        <w:rPr>
          <w:rFonts w:hint="eastAsia" w:ascii="宋体" w:hAnsi="宋体" w:cs="宋体"/>
          <w:color w:val="auto"/>
          <w:szCs w:val="21"/>
          <w:highlight w:val="none"/>
        </w:rPr>
        <w:t>。</w:t>
      </w:r>
    </w:p>
    <w:p w14:paraId="03FDF724">
      <w:pPr>
        <w:spacing w:line="440" w:lineRule="exact"/>
        <w:ind w:firstLine="420" w:firstLineChars="200"/>
        <w:jc w:val="left"/>
        <w:rPr>
          <w:rFonts w:hint="eastAsia" w:ascii="宋体" w:hAnsi="宋体" w:cs="宋体"/>
          <w:bCs/>
          <w:color w:val="auto"/>
          <w:szCs w:val="21"/>
          <w:highlight w:val="none"/>
        </w:rPr>
      </w:pPr>
    </w:p>
    <w:tbl>
      <w:tblPr>
        <w:tblStyle w:val="64"/>
        <w:tblW w:w="98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58"/>
        <w:gridCol w:w="8486"/>
      </w:tblGrid>
      <w:tr w14:paraId="53F6E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44" w:type="dxa"/>
            <w:gridSpan w:val="2"/>
            <w:shd w:val="clear" w:color="auto" w:fill="auto"/>
            <w:vAlign w:val="center"/>
          </w:tcPr>
          <w:p w14:paraId="62DA9924">
            <w:pPr>
              <w:spacing w:line="440" w:lineRule="exact"/>
              <w:jc w:val="left"/>
              <w:rPr>
                <w:rFonts w:hint="default" w:ascii="Times New Roman" w:hAnsi="Times New Roman" w:cs="Times New Roman"/>
                <w:color w:val="auto"/>
                <w:highlight w:val="none"/>
                <w:lang w:val="en-US" w:eastAsia="zh-CN"/>
              </w:rPr>
            </w:pPr>
            <w:r>
              <w:rPr>
                <w:rFonts w:hint="eastAsia" w:ascii="Times New Roman" w:hAnsi="Times New Roman" w:eastAsia="宋体" w:cs="Times New Roman"/>
                <w:b/>
                <w:bCs/>
                <w:snapToGrid w:val="0"/>
                <w:color w:val="auto"/>
                <w:kern w:val="2"/>
                <w:sz w:val="24"/>
                <w:szCs w:val="24"/>
                <w:highlight w:val="none"/>
                <w:lang w:val="en-US" w:eastAsia="zh-CN" w:bidi="ar-SA"/>
              </w:rPr>
              <w:t>★   技术要求</w:t>
            </w:r>
          </w:p>
        </w:tc>
      </w:tr>
      <w:tr w14:paraId="4338B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44" w:type="dxa"/>
            <w:gridSpan w:val="2"/>
            <w:shd w:val="clear" w:color="auto" w:fill="auto"/>
            <w:vAlign w:val="center"/>
          </w:tcPr>
          <w:p w14:paraId="5ED8C4BE">
            <w:pPr>
              <w:pStyle w:val="24"/>
              <w:keepNext w:val="0"/>
              <w:keepLines w:val="0"/>
              <w:pageBreakBefore w:val="0"/>
              <w:widowControl w:val="0"/>
              <w:kinsoku/>
              <w:overflowPunct/>
              <w:topLinePunct w:val="0"/>
              <w:autoSpaceDE/>
              <w:autoSpaceDN/>
              <w:bidi w:val="0"/>
              <w:snapToGrid/>
              <w:spacing w:line="500" w:lineRule="exact"/>
              <w:textAlignment w:val="auto"/>
              <w:rPr>
                <w:rFonts w:hint="eastAsia" w:ascii="Times New Roman" w:hAnsi="Times New Roman" w:cs="Times New Roman"/>
                <w:b/>
                <w:bCs/>
                <w:color w:val="auto"/>
                <w:highlight w:val="none"/>
                <w:lang w:val="en-US" w:eastAsia="zh-CN"/>
              </w:rPr>
            </w:pPr>
            <w:r>
              <w:rPr>
                <w:rFonts w:hint="default" w:ascii="Times New Roman" w:hAnsi="Times New Roman" w:eastAsia="宋体" w:cs="Times New Roman"/>
                <w:b/>
                <w:bCs/>
                <w:color w:val="auto"/>
                <w:sz w:val="24"/>
                <w:szCs w:val="24"/>
                <w:highlight w:val="none"/>
                <w:lang w:val="en-US" w:eastAsia="zh-CN"/>
              </w:rPr>
              <w:t>人员需求</w:t>
            </w:r>
          </w:p>
        </w:tc>
      </w:tr>
      <w:tr w14:paraId="3DE64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44" w:type="dxa"/>
            <w:gridSpan w:val="2"/>
            <w:shd w:val="clear" w:color="auto" w:fill="auto"/>
            <w:vAlign w:val="center"/>
          </w:tcPr>
          <w:tbl>
            <w:tblPr>
              <w:tblStyle w:val="64"/>
              <w:tblW w:w="843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1952"/>
              <w:gridCol w:w="2102"/>
              <w:gridCol w:w="1967"/>
              <w:gridCol w:w="1744"/>
            </w:tblGrid>
            <w:tr w14:paraId="6828FE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jc w:val="center"/>
              </w:trPr>
              <w:tc>
                <w:tcPr>
                  <w:tcW w:w="673" w:type="dxa"/>
                  <w:vAlign w:val="center"/>
                </w:tcPr>
                <w:p w14:paraId="76FFEBC7">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序号</w:t>
                  </w:r>
                </w:p>
              </w:tc>
              <w:tc>
                <w:tcPr>
                  <w:tcW w:w="1952" w:type="dxa"/>
                  <w:vAlign w:val="center"/>
                </w:tcPr>
                <w:p w14:paraId="0C5E145D">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服务单位</w:t>
                  </w:r>
                </w:p>
              </w:tc>
              <w:tc>
                <w:tcPr>
                  <w:tcW w:w="2102" w:type="dxa"/>
                  <w:vAlign w:val="center"/>
                </w:tcPr>
                <w:p w14:paraId="2DFBC518">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人员类别</w:t>
                  </w:r>
                </w:p>
              </w:tc>
              <w:tc>
                <w:tcPr>
                  <w:tcW w:w="1967" w:type="dxa"/>
                  <w:vAlign w:val="center"/>
                </w:tcPr>
                <w:p w14:paraId="33EE58DA">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配备人数</w:t>
                  </w:r>
                </w:p>
              </w:tc>
              <w:tc>
                <w:tcPr>
                  <w:tcW w:w="1744" w:type="dxa"/>
                  <w:vAlign w:val="center"/>
                </w:tcPr>
                <w:p w14:paraId="61723276">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最高限价</w:t>
                  </w:r>
                </w:p>
                <w:p w14:paraId="5351A4EF">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（万元）</w:t>
                  </w:r>
                </w:p>
              </w:tc>
            </w:tr>
            <w:tr w14:paraId="734EE4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53575657">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w:t>
                  </w:r>
                </w:p>
              </w:tc>
              <w:tc>
                <w:tcPr>
                  <w:tcW w:w="1952" w:type="dxa"/>
                  <w:vMerge w:val="restart"/>
                  <w:vAlign w:val="center"/>
                </w:tcPr>
                <w:p w14:paraId="5FD95930">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北海市第七幼儿园</w:t>
                  </w:r>
                </w:p>
              </w:tc>
              <w:tc>
                <w:tcPr>
                  <w:tcW w:w="2102" w:type="dxa"/>
                  <w:vAlign w:val="center"/>
                </w:tcPr>
                <w:p w14:paraId="390A1B8F">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水电工</w:t>
                  </w:r>
                </w:p>
              </w:tc>
              <w:tc>
                <w:tcPr>
                  <w:tcW w:w="1967" w:type="dxa"/>
                  <w:vAlign w:val="center"/>
                </w:tcPr>
                <w:p w14:paraId="11BA7744">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w:t>
                  </w:r>
                </w:p>
              </w:tc>
              <w:tc>
                <w:tcPr>
                  <w:tcW w:w="1744" w:type="dxa"/>
                  <w:vMerge w:val="restart"/>
                  <w:vAlign w:val="center"/>
                </w:tcPr>
                <w:p w14:paraId="331A1867">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b w:val="0"/>
                      <w:bCs/>
                      <w:color w:val="auto"/>
                      <w:sz w:val="21"/>
                      <w:szCs w:val="21"/>
                      <w:highlight w:val="none"/>
                      <w:lang w:val="en-US" w:eastAsia="zh-CN"/>
                    </w:rPr>
                    <w:t>28.28</w:t>
                  </w:r>
                </w:p>
              </w:tc>
            </w:tr>
            <w:tr w14:paraId="702098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2903D0AD">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952" w:type="dxa"/>
                  <w:vMerge w:val="continue"/>
                  <w:vAlign w:val="center"/>
                </w:tcPr>
                <w:p w14:paraId="5B9AA9C9">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2102" w:type="dxa"/>
                  <w:vAlign w:val="center"/>
                </w:tcPr>
                <w:p w14:paraId="6252316C">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保洁员</w:t>
                  </w:r>
                </w:p>
              </w:tc>
              <w:tc>
                <w:tcPr>
                  <w:tcW w:w="1967" w:type="dxa"/>
                  <w:vAlign w:val="center"/>
                </w:tcPr>
                <w:p w14:paraId="27DF2C27">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w:t>
                  </w:r>
                </w:p>
              </w:tc>
              <w:tc>
                <w:tcPr>
                  <w:tcW w:w="1744" w:type="dxa"/>
                  <w:vMerge w:val="continue"/>
                  <w:vAlign w:val="center"/>
                </w:tcPr>
                <w:p w14:paraId="693D690E">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r>
            <w:tr w14:paraId="56B99A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141560BD">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952" w:type="dxa"/>
                  <w:vMerge w:val="continue"/>
                  <w:vAlign w:val="center"/>
                </w:tcPr>
                <w:p w14:paraId="45197F99">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2102" w:type="dxa"/>
                  <w:vAlign w:val="center"/>
                </w:tcPr>
                <w:p w14:paraId="6C6A0130">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绿化员</w:t>
                  </w:r>
                </w:p>
              </w:tc>
              <w:tc>
                <w:tcPr>
                  <w:tcW w:w="1967" w:type="dxa"/>
                  <w:vAlign w:val="center"/>
                </w:tcPr>
                <w:p w14:paraId="6D3BCCE9">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w:t>
                  </w:r>
                </w:p>
              </w:tc>
              <w:tc>
                <w:tcPr>
                  <w:tcW w:w="1744" w:type="dxa"/>
                  <w:vMerge w:val="continue"/>
                  <w:vAlign w:val="center"/>
                </w:tcPr>
                <w:p w14:paraId="5A3AA41F">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r>
            <w:tr w14:paraId="7472B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Align w:val="center"/>
                </w:tcPr>
                <w:p w14:paraId="43BFAE1A">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w:t>
                  </w:r>
                </w:p>
              </w:tc>
              <w:tc>
                <w:tcPr>
                  <w:tcW w:w="1952" w:type="dxa"/>
                  <w:vAlign w:val="center"/>
                </w:tcPr>
                <w:p w14:paraId="6EFA9354">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北海市第十二中学</w:t>
                  </w:r>
                </w:p>
              </w:tc>
              <w:tc>
                <w:tcPr>
                  <w:tcW w:w="2102" w:type="dxa"/>
                  <w:shd w:val="clear" w:color="auto" w:fill="auto"/>
                  <w:vAlign w:val="center"/>
                </w:tcPr>
                <w:p w14:paraId="434D0ADD">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保洁员</w:t>
                  </w:r>
                </w:p>
              </w:tc>
              <w:tc>
                <w:tcPr>
                  <w:tcW w:w="1967" w:type="dxa"/>
                  <w:vAlign w:val="center"/>
                </w:tcPr>
                <w:p w14:paraId="52635BFC">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4</w:t>
                  </w:r>
                </w:p>
              </w:tc>
              <w:tc>
                <w:tcPr>
                  <w:tcW w:w="1744" w:type="dxa"/>
                  <w:vAlign w:val="center"/>
                </w:tcPr>
                <w:p w14:paraId="42F84334">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b w:val="0"/>
                      <w:bCs/>
                      <w:color w:val="auto"/>
                      <w:sz w:val="21"/>
                      <w:szCs w:val="21"/>
                      <w:highlight w:val="none"/>
                      <w:lang w:val="en-US" w:eastAsia="zh-CN"/>
                    </w:rPr>
                    <w:t>35.11</w:t>
                  </w:r>
                </w:p>
              </w:tc>
            </w:tr>
            <w:tr w14:paraId="2EFE9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1D33E589">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w:t>
                  </w:r>
                </w:p>
              </w:tc>
              <w:tc>
                <w:tcPr>
                  <w:tcW w:w="1952" w:type="dxa"/>
                  <w:vMerge w:val="restart"/>
                  <w:vAlign w:val="center"/>
                </w:tcPr>
                <w:p w14:paraId="2C688C2E">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北海市北海中学</w:t>
                  </w:r>
                </w:p>
              </w:tc>
              <w:tc>
                <w:tcPr>
                  <w:tcW w:w="2102" w:type="dxa"/>
                  <w:vAlign w:val="center"/>
                </w:tcPr>
                <w:p w14:paraId="27ED9331">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水电工</w:t>
                  </w:r>
                </w:p>
              </w:tc>
              <w:tc>
                <w:tcPr>
                  <w:tcW w:w="1967" w:type="dxa"/>
                  <w:vAlign w:val="center"/>
                </w:tcPr>
                <w:p w14:paraId="0D8C4F5E">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w:t>
                  </w:r>
                </w:p>
              </w:tc>
              <w:tc>
                <w:tcPr>
                  <w:tcW w:w="1744" w:type="dxa"/>
                  <w:vMerge w:val="restart"/>
                  <w:vAlign w:val="center"/>
                </w:tcPr>
                <w:p w14:paraId="525506F2">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b w:val="0"/>
                      <w:bCs/>
                      <w:color w:val="auto"/>
                      <w:sz w:val="21"/>
                      <w:szCs w:val="21"/>
                      <w:highlight w:val="none"/>
                      <w:lang w:val="en-US" w:eastAsia="zh-CN"/>
                    </w:rPr>
                    <w:t>242.85</w:t>
                  </w:r>
                </w:p>
              </w:tc>
            </w:tr>
            <w:tr w14:paraId="567005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323595D5">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952" w:type="dxa"/>
                  <w:vMerge w:val="continue"/>
                  <w:vAlign w:val="center"/>
                </w:tcPr>
                <w:p w14:paraId="77118FA8">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2102" w:type="dxa"/>
                  <w:vAlign w:val="center"/>
                </w:tcPr>
                <w:p w14:paraId="0BE973A4">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保洁员</w:t>
                  </w:r>
                </w:p>
              </w:tc>
              <w:tc>
                <w:tcPr>
                  <w:tcW w:w="1967" w:type="dxa"/>
                  <w:vAlign w:val="center"/>
                </w:tcPr>
                <w:p w14:paraId="68087958">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16</w:t>
                  </w:r>
                </w:p>
              </w:tc>
              <w:tc>
                <w:tcPr>
                  <w:tcW w:w="1744" w:type="dxa"/>
                  <w:vMerge w:val="continue"/>
                  <w:vAlign w:val="center"/>
                </w:tcPr>
                <w:p w14:paraId="1C5BA857">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r>
            <w:tr w14:paraId="471BB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1971BBE6">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952" w:type="dxa"/>
                  <w:vMerge w:val="continue"/>
                  <w:vAlign w:val="center"/>
                </w:tcPr>
                <w:p w14:paraId="5F6687EE">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2102" w:type="dxa"/>
                  <w:vAlign w:val="center"/>
                </w:tcPr>
                <w:p w14:paraId="40AA09C7">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绿化员</w:t>
                  </w:r>
                </w:p>
              </w:tc>
              <w:tc>
                <w:tcPr>
                  <w:tcW w:w="1967" w:type="dxa"/>
                  <w:vAlign w:val="center"/>
                </w:tcPr>
                <w:p w14:paraId="45760751">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9</w:t>
                  </w:r>
                </w:p>
              </w:tc>
              <w:tc>
                <w:tcPr>
                  <w:tcW w:w="1744" w:type="dxa"/>
                  <w:vMerge w:val="continue"/>
                  <w:vAlign w:val="center"/>
                </w:tcPr>
                <w:p w14:paraId="3F831E10">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r>
            <w:tr w14:paraId="3825A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06A1F170">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4</w:t>
                  </w:r>
                </w:p>
              </w:tc>
              <w:tc>
                <w:tcPr>
                  <w:tcW w:w="1952" w:type="dxa"/>
                  <w:vMerge w:val="restart"/>
                  <w:vAlign w:val="center"/>
                </w:tcPr>
                <w:p w14:paraId="2488706F">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lang w:val="en-US" w:eastAsia="zh-CN"/>
                    </w:rPr>
                    <w:t>北海市卫生学校</w:t>
                  </w:r>
                </w:p>
              </w:tc>
              <w:tc>
                <w:tcPr>
                  <w:tcW w:w="2102" w:type="dxa"/>
                  <w:vAlign w:val="center"/>
                </w:tcPr>
                <w:p w14:paraId="2C847136">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lang w:val="en-US" w:eastAsia="zh-CN"/>
                    </w:rPr>
                    <w:t>宿管员</w:t>
                  </w:r>
                </w:p>
              </w:tc>
              <w:tc>
                <w:tcPr>
                  <w:tcW w:w="1967" w:type="dxa"/>
                  <w:vMerge w:val="restart"/>
                  <w:vAlign w:val="center"/>
                </w:tcPr>
                <w:p w14:paraId="1BBFEB59">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ascii="Times New Roman" w:hAnsi="Times New Roman" w:cs="Times New Roman"/>
                      <w:color w:val="auto"/>
                      <w:sz w:val="21"/>
                      <w:szCs w:val="21"/>
                      <w:highlight w:val="none"/>
                      <w:vertAlign w:val="baseline"/>
                      <w:lang w:val="en-US" w:eastAsia="zh-CN"/>
                    </w:rPr>
                    <w:t>详见本项第二部分北海市卫生学校物业服务中具体人员配备要求</w:t>
                  </w:r>
                </w:p>
              </w:tc>
              <w:tc>
                <w:tcPr>
                  <w:tcW w:w="1744" w:type="dxa"/>
                  <w:vMerge w:val="restart"/>
                  <w:shd w:val="clear" w:color="auto" w:fill="auto"/>
                  <w:vAlign w:val="center"/>
                </w:tcPr>
                <w:p w14:paraId="40120AE4">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eastAsia="仿宋_GB2312" w:cs="Times New Roman"/>
                      <w:b w:val="0"/>
                      <w:bCs/>
                      <w:color w:val="auto"/>
                      <w:kern w:val="2"/>
                      <w:sz w:val="21"/>
                      <w:szCs w:val="21"/>
                      <w:highlight w:val="none"/>
                      <w:lang w:val="en-US" w:eastAsia="zh-CN" w:bidi="ar-SA"/>
                    </w:rPr>
                  </w:pPr>
                  <w:r>
                    <w:rPr>
                      <w:rFonts w:hint="default" w:ascii="Times New Roman" w:hAnsi="Times New Roman" w:cs="Times New Roman"/>
                      <w:b w:val="0"/>
                      <w:bCs/>
                      <w:color w:val="auto"/>
                      <w:sz w:val="21"/>
                      <w:szCs w:val="21"/>
                      <w:highlight w:val="none"/>
                      <w:lang w:val="en-US" w:eastAsia="zh-CN"/>
                    </w:rPr>
                    <w:t>457.07</w:t>
                  </w:r>
                </w:p>
              </w:tc>
            </w:tr>
            <w:tr w14:paraId="41822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756161A6">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952" w:type="dxa"/>
                  <w:vMerge w:val="continue"/>
                  <w:vAlign w:val="center"/>
                </w:tcPr>
                <w:p w14:paraId="57252475">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2102" w:type="dxa"/>
                  <w:vAlign w:val="center"/>
                </w:tcPr>
                <w:p w14:paraId="61301ECF">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lang w:val="en-US" w:eastAsia="zh-CN"/>
                    </w:rPr>
                    <w:t>水电工</w:t>
                  </w:r>
                </w:p>
              </w:tc>
              <w:tc>
                <w:tcPr>
                  <w:tcW w:w="1967" w:type="dxa"/>
                  <w:vMerge w:val="continue"/>
                  <w:vAlign w:val="center"/>
                </w:tcPr>
                <w:p w14:paraId="323B24B6">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744" w:type="dxa"/>
                  <w:vMerge w:val="continue"/>
                  <w:vAlign w:val="center"/>
                </w:tcPr>
                <w:p w14:paraId="4BE3BD61">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r>
            <w:tr w14:paraId="3B7755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185929BD">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952" w:type="dxa"/>
                  <w:vMerge w:val="continue"/>
                  <w:vAlign w:val="center"/>
                </w:tcPr>
                <w:p w14:paraId="5113BD41">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2102" w:type="dxa"/>
                  <w:vAlign w:val="center"/>
                </w:tcPr>
                <w:p w14:paraId="040AB84D">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lang w:val="en-US" w:eastAsia="zh-CN"/>
                    </w:rPr>
                    <w:t>绿化员</w:t>
                  </w:r>
                </w:p>
              </w:tc>
              <w:tc>
                <w:tcPr>
                  <w:tcW w:w="1967" w:type="dxa"/>
                  <w:vMerge w:val="continue"/>
                  <w:vAlign w:val="center"/>
                </w:tcPr>
                <w:p w14:paraId="19874AA9">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744" w:type="dxa"/>
                  <w:vMerge w:val="continue"/>
                  <w:vAlign w:val="center"/>
                </w:tcPr>
                <w:p w14:paraId="255C4919">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r>
            <w:tr w14:paraId="1A412A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5A02AC27">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952" w:type="dxa"/>
                  <w:vMerge w:val="continue"/>
                  <w:vAlign w:val="center"/>
                </w:tcPr>
                <w:p w14:paraId="676B5E86">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2102" w:type="dxa"/>
                  <w:vAlign w:val="center"/>
                </w:tcPr>
                <w:p w14:paraId="5722DCB2">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仿宋_GB2312" w:cs="Times New Roman"/>
                      <w:b w:val="0"/>
                      <w:bCs/>
                      <w:color w:val="auto"/>
                      <w:sz w:val="21"/>
                      <w:szCs w:val="21"/>
                      <w:highlight w:val="none"/>
                      <w:lang w:val="en-US" w:eastAsia="zh-CN"/>
                    </w:rPr>
                    <w:t>保洁员</w:t>
                  </w:r>
                </w:p>
              </w:tc>
              <w:tc>
                <w:tcPr>
                  <w:tcW w:w="1967" w:type="dxa"/>
                  <w:vMerge w:val="continue"/>
                  <w:vAlign w:val="center"/>
                </w:tcPr>
                <w:p w14:paraId="553D4503">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c>
                <w:tcPr>
                  <w:tcW w:w="1744" w:type="dxa"/>
                  <w:vMerge w:val="continue"/>
                  <w:vAlign w:val="center"/>
                </w:tcPr>
                <w:p w14:paraId="5F3513EB">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r>
          </w:tbl>
          <w:p w14:paraId="64AF7B06">
            <w:pPr>
              <w:pStyle w:val="24"/>
              <w:keepNext w:val="0"/>
              <w:keepLines w:val="0"/>
              <w:pageBreakBefore w:val="0"/>
              <w:widowControl w:val="0"/>
              <w:kinsoku/>
              <w:overflowPunct/>
              <w:topLinePunct w:val="0"/>
              <w:autoSpaceDE/>
              <w:autoSpaceDN/>
              <w:bidi w:val="0"/>
              <w:snapToGrid/>
              <w:spacing w:line="500" w:lineRule="exact"/>
              <w:textAlignment w:val="auto"/>
              <w:rPr>
                <w:rFonts w:hint="eastAsia" w:ascii="Times New Roman" w:hAnsi="Times New Roman" w:cs="Times New Roman"/>
                <w:b/>
                <w:bCs/>
                <w:color w:val="auto"/>
                <w:highlight w:val="none"/>
                <w:lang w:val="en-US" w:eastAsia="zh-CN"/>
              </w:rPr>
            </w:pPr>
          </w:p>
        </w:tc>
      </w:tr>
      <w:tr w14:paraId="5642C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44" w:type="dxa"/>
            <w:gridSpan w:val="2"/>
            <w:shd w:val="clear" w:color="auto" w:fill="auto"/>
            <w:vAlign w:val="center"/>
          </w:tcPr>
          <w:p w14:paraId="7EAB4060">
            <w:pPr>
              <w:pStyle w:val="24"/>
              <w:keepNext w:val="0"/>
              <w:keepLines w:val="0"/>
              <w:pageBreakBefore w:val="0"/>
              <w:widowControl w:val="0"/>
              <w:kinsoku/>
              <w:overflowPunct/>
              <w:topLinePunct w:val="0"/>
              <w:autoSpaceDE/>
              <w:autoSpaceDN/>
              <w:bidi w:val="0"/>
              <w:snapToGrid/>
              <w:spacing w:line="500" w:lineRule="exact"/>
              <w:textAlignment w:val="auto"/>
              <w:rPr>
                <w:rFonts w:hint="default" w:ascii="Times New Roman" w:hAnsi="Times New Roman" w:cs="Times New Roman"/>
                <w:b/>
                <w:bCs/>
                <w:color w:val="auto"/>
                <w:highlight w:val="none"/>
                <w:lang w:val="en-US" w:eastAsia="zh-CN"/>
              </w:rPr>
            </w:pPr>
            <w:r>
              <w:rPr>
                <w:rFonts w:hint="eastAsia" w:ascii="Times New Roman" w:hAnsi="Times New Roman" w:cs="Times New Roman"/>
                <w:b/>
                <w:bCs/>
                <w:color w:val="auto"/>
                <w:highlight w:val="none"/>
                <w:lang w:val="en-US" w:eastAsia="zh-CN"/>
              </w:rPr>
              <w:t>第一部分 北海市第七幼儿园、北海市第十二中学和北海市北海中学物业服务</w:t>
            </w:r>
          </w:p>
        </w:tc>
      </w:tr>
      <w:tr w14:paraId="29DFCD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44" w:type="dxa"/>
            <w:gridSpan w:val="2"/>
            <w:vMerge w:val="restart"/>
            <w:shd w:val="clear" w:color="auto" w:fill="auto"/>
            <w:vAlign w:val="center"/>
          </w:tcPr>
          <w:p w14:paraId="6B2D17CD">
            <w:pPr>
              <w:pStyle w:val="24"/>
              <w:keepNext w:val="0"/>
              <w:keepLines w:val="0"/>
              <w:pageBreakBefore w:val="0"/>
              <w:widowControl w:val="0"/>
              <w:kinsoku/>
              <w:wordWrap/>
              <w:overflowPunct/>
              <w:topLinePunct w:val="0"/>
              <w:autoSpaceDE/>
              <w:autoSpaceDN/>
              <w:bidi w:val="0"/>
              <w:snapToGrid/>
              <w:spacing w:line="440" w:lineRule="exact"/>
              <w:ind w:left="0" w:leftChars="0" w:firstLine="0" w:firstLineChars="0"/>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一、服务范围和内容</w:t>
            </w:r>
          </w:p>
          <w:p w14:paraId="7376D64D">
            <w:pPr>
              <w:pStyle w:val="24"/>
              <w:keepNext w:val="0"/>
              <w:keepLines w:val="0"/>
              <w:pageBreakBefore w:val="0"/>
              <w:widowControl w:val="0"/>
              <w:kinsoku/>
              <w:wordWrap/>
              <w:overflowPunct/>
              <w:topLinePunct w:val="0"/>
              <w:autoSpaceDE/>
              <w:autoSpaceDN/>
              <w:bidi w:val="0"/>
              <w:adjustRightInd w:val="0"/>
              <w:snapToGrid/>
              <w:spacing w:line="440" w:lineRule="exact"/>
              <w:ind w:left="0" w:leftChars="0" w:firstLine="0" w:firstLineChars="0"/>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（一）服务范围</w:t>
            </w:r>
          </w:p>
          <w:p w14:paraId="032FBFFA">
            <w:pPr>
              <w:pStyle w:val="24"/>
              <w:keepNext w:val="0"/>
              <w:keepLines w:val="0"/>
              <w:pageBreakBefore w:val="0"/>
              <w:widowControl w:val="0"/>
              <w:kinsoku/>
              <w:wordWrap/>
              <w:overflowPunct/>
              <w:topLinePunct w:val="0"/>
              <w:autoSpaceDE/>
              <w:autoSpaceDN/>
              <w:bidi w:val="0"/>
              <w:adjustRightInd w:val="0"/>
              <w:snapToGrid/>
              <w:spacing w:line="440" w:lineRule="exact"/>
              <w:ind w:left="0" w:leftChars="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highlight w:val="none"/>
                <w:lang w:val="en-US" w:eastAsia="zh-CN"/>
              </w:rPr>
              <w:t>为派驻学校校园全域（包括所有建筑物、公共场所）</w:t>
            </w:r>
            <w:r>
              <w:rPr>
                <w:rFonts w:hint="default" w:ascii="Times New Roman" w:hAnsi="Times New Roman" w:cs="Times New Roman"/>
                <w:color w:val="auto"/>
                <w:sz w:val="24"/>
                <w:szCs w:val="24"/>
                <w:highlight w:val="none"/>
                <w:lang w:val="en-US" w:eastAsia="zh-CN"/>
              </w:rPr>
              <w:t>提供物业服务，负责</w:t>
            </w:r>
            <w:r>
              <w:rPr>
                <w:rFonts w:hint="default" w:ascii="Times New Roman" w:hAnsi="Times New Roman" w:cs="Times New Roman"/>
                <w:color w:val="auto"/>
                <w:sz w:val="24"/>
                <w:highlight w:val="none"/>
              </w:rPr>
              <w:t>学校卫生保洁、绿化维护管理和</w:t>
            </w:r>
            <w:r>
              <w:rPr>
                <w:rFonts w:hint="default" w:ascii="Times New Roman" w:hAnsi="Times New Roman" w:cs="Times New Roman"/>
                <w:color w:val="auto"/>
                <w:sz w:val="24"/>
                <w:szCs w:val="24"/>
                <w:highlight w:val="none"/>
                <w:lang w:val="en-US" w:eastAsia="zh-CN"/>
              </w:rPr>
              <w:t>日常维修等服务。</w:t>
            </w:r>
          </w:p>
          <w:p w14:paraId="5EED84B5">
            <w:pPr>
              <w:pStyle w:val="24"/>
              <w:keepNext w:val="0"/>
              <w:keepLines w:val="0"/>
              <w:pageBreakBefore w:val="0"/>
              <w:widowControl w:val="0"/>
              <w:kinsoku/>
              <w:wordWrap/>
              <w:overflowPunct/>
              <w:topLinePunct w:val="0"/>
              <w:autoSpaceDE/>
              <w:autoSpaceDN/>
              <w:bidi w:val="0"/>
              <w:adjustRightInd w:val="0"/>
              <w:snapToGrid/>
              <w:spacing w:line="440" w:lineRule="exact"/>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（二）服务内容</w:t>
            </w:r>
          </w:p>
          <w:p w14:paraId="41021502">
            <w:pPr>
              <w:pStyle w:val="24"/>
              <w:keepNext w:val="0"/>
              <w:keepLines w:val="0"/>
              <w:pageBreakBefore w:val="0"/>
              <w:widowControl w:val="0"/>
              <w:kinsoku/>
              <w:wordWrap/>
              <w:overflowPunct/>
              <w:topLinePunct w:val="0"/>
              <w:autoSpaceDE/>
              <w:autoSpaceDN/>
              <w:bidi w:val="0"/>
              <w:adjustRightInd w:val="0"/>
              <w:snapToGrid/>
              <w:spacing w:line="440" w:lineRule="exact"/>
              <w:ind w:left="0" w:leftChars="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 校园内物业负责公共路面、卫生间、校领导办公室等所有公共卫生区域的卫生清洁、垃圾收集、卫生间简单管道疏通等清洁保洁服务；</w:t>
            </w:r>
          </w:p>
          <w:p w14:paraId="3D2D8DD0">
            <w:pPr>
              <w:pStyle w:val="24"/>
              <w:keepNext w:val="0"/>
              <w:keepLines w:val="0"/>
              <w:pageBreakBefore w:val="0"/>
              <w:widowControl w:val="0"/>
              <w:kinsoku/>
              <w:wordWrap/>
              <w:overflowPunct/>
              <w:topLinePunct w:val="0"/>
              <w:autoSpaceDE/>
              <w:autoSpaceDN/>
              <w:bidi w:val="0"/>
              <w:adjustRightInd w:val="0"/>
              <w:snapToGrid/>
              <w:spacing w:line="440" w:lineRule="exact"/>
              <w:ind w:left="0" w:leftChars="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2. 校区内公共绿地、花木、建筑小品的养护管理；</w:t>
            </w:r>
          </w:p>
          <w:p w14:paraId="46929F26">
            <w:pPr>
              <w:pStyle w:val="24"/>
              <w:keepNext w:val="0"/>
              <w:keepLines w:val="0"/>
              <w:pageBreakBefore w:val="0"/>
              <w:widowControl w:val="0"/>
              <w:kinsoku/>
              <w:wordWrap/>
              <w:overflowPunct/>
              <w:topLinePunct w:val="0"/>
              <w:autoSpaceDE/>
              <w:autoSpaceDN/>
              <w:bidi w:val="0"/>
              <w:adjustRightInd w:val="0"/>
              <w:snapToGrid/>
              <w:spacing w:line="440" w:lineRule="exact"/>
              <w:ind w:left="0" w:leftChars="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3. 校内学生宿舍的管理服务；</w:t>
            </w:r>
          </w:p>
          <w:p w14:paraId="36B479D2">
            <w:pPr>
              <w:pStyle w:val="24"/>
              <w:keepNext w:val="0"/>
              <w:keepLines w:val="0"/>
              <w:pageBreakBefore w:val="0"/>
              <w:widowControl w:val="0"/>
              <w:kinsoku/>
              <w:wordWrap/>
              <w:overflowPunct/>
              <w:topLinePunct w:val="0"/>
              <w:autoSpaceDE/>
              <w:autoSpaceDN/>
              <w:bidi w:val="0"/>
              <w:adjustRightInd w:val="0"/>
              <w:snapToGrid/>
              <w:spacing w:line="440" w:lineRule="exact"/>
              <w:ind w:left="0" w:leftChars="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4. 水电维修管理、协助学校完成设施设备维修保养；积极完成校方安排的其他临时工作任务。</w:t>
            </w:r>
          </w:p>
          <w:p w14:paraId="77BD16DF">
            <w:pPr>
              <w:pStyle w:val="24"/>
              <w:keepNext w:val="0"/>
              <w:keepLines w:val="0"/>
              <w:pageBreakBefore w:val="0"/>
              <w:widowControl w:val="0"/>
              <w:kinsoku/>
              <w:wordWrap/>
              <w:overflowPunct/>
              <w:topLinePunct w:val="0"/>
              <w:autoSpaceDE/>
              <w:autoSpaceDN/>
              <w:bidi w:val="0"/>
              <w:snapToGrid/>
              <w:spacing w:line="440" w:lineRule="exact"/>
              <w:ind w:left="0" w:leftChars="0" w:firstLine="0" w:firstLineChars="0"/>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二、服务要求</w:t>
            </w:r>
          </w:p>
          <w:p w14:paraId="4B65297F">
            <w:pPr>
              <w:pStyle w:val="24"/>
              <w:keepNext w:val="0"/>
              <w:keepLines w:val="0"/>
              <w:pageBreakBefore w:val="0"/>
              <w:widowControl w:val="0"/>
              <w:kinsoku/>
              <w:wordWrap/>
              <w:overflowPunct/>
              <w:topLinePunct w:val="0"/>
              <w:autoSpaceDE/>
              <w:autoSpaceDN/>
              <w:bidi w:val="0"/>
              <w:snapToGrid/>
              <w:spacing w:line="440" w:lineRule="exact"/>
              <w:ind w:left="0" w:leftChars="0" w:firstLine="0" w:firstLineChars="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（一）总体服务要求</w:t>
            </w:r>
          </w:p>
          <w:p w14:paraId="4C31F177">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highlight w:val="none"/>
                <w:lang w:val="en-US" w:eastAsia="zh-CN"/>
              </w:rPr>
              <w:t>1．各派驻学校服务用工人数不少于该校区所需人数（详见人员需求表）</w:t>
            </w:r>
            <w:r>
              <w:rPr>
                <w:rFonts w:hint="default" w:ascii="Times New Roman" w:hAnsi="Times New Roman" w:cs="Times New Roman"/>
                <w:color w:val="auto"/>
                <w:sz w:val="24"/>
                <w:szCs w:val="24"/>
                <w:highlight w:val="none"/>
                <w:lang w:val="en-US" w:eastAsia="zh-CN"/>
              </w:rPr>
              <w:t>。</w:t>
            </w:r>
          </w:p>
          <w:p w14:paraId="1CA4D9AD">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2. </w:t>
            </w:r>
            <w:r>
              <w:rPr>
                <w:rFonts w:hint="eastAsia" w:ascii="Times New Roman" w:hAnsi="Times New Roman" w:cs="Times New Roman"/>
                <w:color w:val="auto"/>
                <w:highlight w:val="none"/>
                <w:lang w:val="en-US" w:eastAsia="zh-CN"/>
              </w:rPr>
              <w:t>供应商必须为所有上岗人员依法购买社会保险（包括养老保险、医疗保险、失业保险、工伤保险、生育保险），并承诺为本项目派驻全体服务人员统一购买雇主责任险或人身意外保险（二选一）。其中雇主责任险身故伤残责任保额不低于20万元/人、医疗费用责任保额不低于2万元/人；如选择人身意外保险，保额标准不低于同等水平</w:t>
            </w:r>
            <w:r>
              <w:rPr>
                <w:rFonts w:hint="default" w:ascii="Times New Roman" w:hAnsi="Times New Roman" w:cs="Times New Roman"/>
                <w:color w:val="auto"/>
                <w:highlight w:val="none"/>
                <w:lang w:val="en-US" w:eastAsia="zh-CN"/>
              </w:rPr>
              <w:t>。</w:t>
            </w:r>
          </w:p>
          <w:p w14:paraId="0C67C24C">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 女员工年龄在18-50岁，男员工年龄在18-58 岁。</w:t>
            </w:r>
          </w:p>
          <w:p w14:paraId="0FB375FE">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 上岗人员在工作期间发生员工工伤及意外伤害事故以及涉及用工方面的劳务纠纷和劳动事故全部由</w:t>
            </w:r>
            <w:r>
              <w:rPr>
                <w:rFonts w:hint="eastAsia" w:ascii="Times New Roman" w:hAnsi="Times New Roman" w:cs="Times New Roman"/>
                <w:color w:val="auto"/>
                <w:highlight w:val="none"/>
                <w:lang w:val="en-US" w:eastAsia="zh-CN"/>
              </w:rPr>
              <w:t>供应商</w:t>
            </w:r>
            <w:r>
              <w:rPr>
                <w:rFonts w:hint="default" w:ascii="Times New Roman" w:hAnsi="Times New Roman" w:cs="Times New Roman"/>
                <w:color w:val="auto"/>
                <w:highlight w:val="none"/>
                <w:lang w:val="en-US" w:eastAsia="zh-CN"/>
              </w:rPr>
              <w:t>承担责任。</w:t>
            </w:r>
          </w:p>
          <w:p w14:paraId="383939EF">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5. 服务费涵盖基本工资、社会保险、物业服务费、税费等费用。</w:t>
            </w:r>
          </w:p>
          <w:p w14:paraId="4AAC879A">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6. </w:t>
            </w:r>
            <w:r>
              <w:rPr>
                <w:rFonts w:hint="eastAsia" w:ascii="Times New Roman" w:hAnsi="Times New Roman" w:cs="Times New Roman"/>
                <w:color w:val="auto"/>
                <w:highlight w:val="none"/>
                <w:lang w:val="en-US" w:eastAsia="zh-CN"/>
              </w:rPr>
              <w:t>供应商</w:t>
            </w:r>
            <w:r>
              <w:rPr>
                <w:rFonts w:hint="default" w:ascii="Times New Roman" w:hAnsi="Times New Roman" w:cs="Times New Roman"/>
                <w:color w:val="auto"/>
                <w:highlight w:val="none"/>
                <w:lang w:val="en-US" w:eastAsia="zh-CN"/>
              </w:rPr>
              <w:t>必须每月按时足额发放员工工资，不得以任何理由拖欠员工工资，确保及时足额支付。</w:t>
            </w:r>
          </w:p>
          <w:p w14:paraId="48F9D6C4">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7. </w:t>
            </w:r>
            <w:r>
              <w:rPr>
                <w:rFonts w:hint="eastAsia" w:ascii="Times New Roman" w:hAnsi="Times New Roman" w:cs="Times New Roman"/>
                <w:color w:val="auto"/>
                <w:highlight w:val="none"/>
                <w:lang w:val="en-US" w:eastAsia="zh-CN"/>
              </w:rPr>
              <w:t>供应商</w:t>
            </w:r>
            <w:r>
              <w:rPr>
                <w:rFonts w:hint="default" w:ascii="Times New Roman" w:hAnsi="Times New Roman" w:cs="Times New Roman"/>
                <w:color w:val="auto"/>
                <w:highlight w:val="none"/>
                <w:lang w:val="en-US" w:eastAsia="zh-CN"/>
              </w:rPr>
              <w:t>需有物业服务方案，质量管理、档案管理等制度。</w:t>
            </w:r>
          </w:p>
          <w:p w14:paraId="32F3F68F">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8. 物业服务人员统一着装，行为规范，服务主动热情。</w:t>
            </w:r>
          </w:p>
          <w:p w14:paraId="778FD2FD">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9. </w:t>
            </w:r>
            <w:r>
              <w:rPr>
                <w:rFonts w:hint="eastAsia" w:ascii="Times New Roman" w:hAnsi="Times New Roman" w:cs="Times New Roman"/>
                <w:color w:val="auto"/>
                <w:highlight w:val="none"/>
                <w:lang w:val="en-US" w:eastAsia="zh-CN"/>
              </w:rPr>
              <w:t>供应商</w:t>
            </w:r>
            <w:r>
              <w:rPr>
                <w:rFonts w:hint="default" w:ascii="Times New Roman" w:hAnsi="Times New Roman" w:cs="Times New Roman"/>
                <w:color w:val="auto"/>
                <w:highlight w:val="none"/>
                <w:lang w:val="en-US" w:eastAsia="zh-CN"/>
              </w:rPr>
              <w:t>须为所有上岗人员统一配备工服、水鞋、雨衣等劳动保护用品，并为电工、绿化、水泥工等岗位人员配备安全帽，且督促其在作业期间规范佩戴。相关费用已包含在服务费中，采购人有权对此进行监督与考核。</w:t>
            </w:r>
          </w:p>
          <w:p w14:paraId="3527F1A0">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10. </w:t>
            </w:r>
            <w:r>
              <w:rPr>
                <w:rFonts w:hint="eastAsia" w:ascii="Times New Roman" w:hAnsi="Times New Roman" w:cs="Times New Roman"/>
                <w:color w:val="auto"/>
                <w:highlight w:val="none"/>
                <w:lang w:val="en-US" w:eastAsia="zh-CN"/>
              </w:rPr>
              <w:t>供应商</w:t>
            </w:r>
            <w:r>
              <w:rPr>
                <w:rFonts w:hint="default" w:ascii="Times New Roman" w:hAnsi="Times New Roman" w:cs="Times New Roman"/>
                <w:color w:val="auto"/>
                <w:highlight w:val="none"/>
                <w:lang w:val="en-US" w:eastAsia="zh-CN"/>
              </w:rPr>
              <w:t>须严格遵守采购人资产与废弃物管理规定。所有上岗人员在日常工作中，不得捡拾、收集、私占校内产生的各类可回收废弃物（如纸皮、水瓶、废弃金属、塑料等）并带离校园出售或个人牟利。维修更换产生的废旧设施、材料、零部件等均属采购人资产，</w:t>
            </w:r>
            <w:r>
              <w:rPr>
                <w:rFonts w:hint="eastAsia" w:ascii="Times New Roman" w:hAnsi="Times New Roman" w:cs="Times New Roman"/>
                <w:color w:val="auto"/>
                <w:highlight w:val="none"/>
                <w:lang w:val="en-US" w:eastAsia="zh-CN"/>
              </w:rPr>
              <w:t>供应商</w:t>
            </w:r>
            <w:r>
              <w:rPr>
                <w:rFonts w:hint="default" w:ascii="Times New Roman" w:hAnsi="Times New Roman" w:cs="Times New Roman"/>
                <w:color w:val="auto"/>
                <w:highlight w:val="none"/>
                <w:lang w:val="en-US" w:eastAsia="zh-CN"/>
              </w:rPr>
              <w:t>须集中存放、登记，并按学校要求进行统一处置，不得擅自处理或变卖。</w:t>
            </w:r>
            <w:r>
              <w:rPr>
                <w:rFonts w:hint="eastAsia" w:ascii="Times New Roman" w:hAnsi="Times New Roman" w:cs="Times New Roman"/>
                <w:color w:val="auto"/>
                <w:highlight w:val="none"/>
                <w:lang w:val="en-US" w:eastAsia="zh-CN"/>
              </w:rPr>
              <w:t>供应商</w:t>
            </w:r>
            <w:r>
              <w:rPr>
                <w:rFonts w:hint="default" w:ascii="Times New Roman" w:hAnsi="Times New Roman" w:cs="Times New Roman"/>
                <w:color w:val="auto"/>
                <w:highlight w:val="none"/>
                <w:lang w:val="en-US" w:eastAsia="zh-CN"/>
              </w:rPr>
              <w:t>有责任对所属员工进行教育与管理，确保本要求得到有效执行。如有违反，采购人将视情节在月度服务质量考核中扣分，并有权要求供应商对相关人员进行严肃处理；造成学校资产损失的，</w:t>
            </w:r>
            <w:r>
              <w:rPr>
                <w:rFonts w:hint="eastAsia" w:ascii="Times New Roman" w:hAnsi="Times New Roman" w:cs="Times New Roman"/>
                <w:color w:val="auto"/>
                <w:highlight w:val="none"/>
                <w:lang w:val="en-US" w:eastAsia="zh-CN"/>
              </w:rPr>
              <w:t>供应商</w:t>
            </w:r>
            <w:r>
              <w:rPr>
                <w:rFonts w:hint="default" w:ascii="Times New Roman" w:hAnsi="Times New Roman" w:cs="Times New Roman"/>
                <w:color w:val="auto"/>
                <w:highlight w:val="none"/>
                <w:lang w:val="en-US" w:eastAsia="zh-CN"/>
              </w:rPr>
              <w:t>承担相应赔偿责任。</w:t>
            </w:r>
          </w:p>
          <w:p w14:paraId="7B599A27">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11. </w:t>
            </w:r>
            <w:r>
              <w:rPr>
                <w:rFonts w:hint="eastAsia" w:ascii="Times New Roman" w:hAnsi="Times New Roman" w:cs="Times New Roman"/>
                <w:color w:val="auto"/>
                <w:highlight w:val="none"/>
                <w:lang w:val="en-US" w:eastAsia="zh-CN"/>
              </w:rPr>
              <w:t>供应商</w:t>
            </w:r>
            <w:r>
              <w:rPr>
                <w:rFonts w:hint="default" w:ascii="Times New Roman" w:hAnsi="Times New Roman" w:cs="Times New Roman"/>
                <w:color w:val="auto"/>
                <w:highlight w:val="none"/>
                <w:lang w:val="en-US" w:eastAsia="zh-CN"/>
              </w:rPr>
              <w:t>每季度接受采购人服务质量考核，考核由采购人或校方采取日常巡查、随机抽查、专项检查相结合的方式进行。服务费以考核得分等级支付，支付比例如下：得分≥90分：支付当季应付服务费的100%；80分≤得分&lt;90分：支付当季应付服务费的95%；70 分≤得分&lt;80分：支付当季应付服务费的90%；得分&lt;70分：支付当季应付服务费的85%。得分低于70分或连续两季度低于80分，采购人或校方有权发出警告，要求限期整改，未能完成整改的采购人有权终止合同。</w:t>
            </w:r>
            <w:r>
              <w:rPr>
                <w:rFonts w:hint="eastAsia" w:ascii="Times New Roman" w:hAnsi="Times New Roman" w:cs="Times New Roman"/>
                <w:color w:val="auto"/>
                <w:highlight w:val="none"/>
                <w:lang w:val="en-US" w:eastAsia="zh-CN"/>
              </w:rPr>
              <w:t>（考核标准详见《附件：考核标准》）</w:t>
            </w:r>
          </w:p>
          <w:p w14:paraId="4CA5B87F">
            <w:pPr>
              <w:pStyle w:val="24"/>
              <w:keepNext w:val="0"/>
              <w:keepLines w:val="0"/>
              <w:pageBreakBefore w:val="0"/>
              <w:widowControl w:val="0"/>
              <w:kinsoku/>
              <w:wordWrap/>
              <w:overflowPunct/>
              <w:topLinePunct w:val="0"/>
              <w:autoSpaceDE/>
              <w:autoSpaceDN/>
              <w:bidi w:val="0"/>
              <w:snapToGrid/>
              <w:spacing w:line="440" w:lineRule="exact"/>
              <w:ind w:left="0" w:leftChars="0" w:firstLine="0" w:firstLineChars="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（二）具体工作要求</w:t>
            </w:r>
          </w:p>
          <w:p w14:paraId="13D25A9D">
            <w:pPr>
              <w:pStyle w:val="24"/>
              <w:keepNext w:val="0"/>
              <w:keepLines w:val="0"/>
              <w:pageBreakBefore w:val="0"/>
              <w:widowControl w:val="0"/>
              <w:kinsoku/>
              <w:wordWrap/>
              <w:overflowPunct/>
              <w:topLinePunct w:val="0"/>
              <w:autoSpaceDE/>
              <w:autoSpaceDN/>
              <w:bidi w:val="0"/>
              <w:snapToGrid/>
              <w:spacing w:line="440" w:lineRule="exact"/>
              <w:ind w:left="0" w:leftChars="0"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1. 保洁员的卫生保洁服务</w:t>
            </w:r>
          </w:p>
          <w:p w14:paraId="0BAE4593">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（1）服务原则</w:t>
            </w:r>
          </w:p>
          <w:p w14:paraId="3F5D61CC">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坚持“教学零干扰”作业，所有清洁、消毒、通风工作须安排于上课前、下课后或非教学高峰时段进行，确保正常教学秩序。</w:t>
            </w:r>
          </w:p>
          <w:p w14:paraId="2BB311EF">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（2）服务范围</w:t>
            </w:r>
          </w:p>
          <w:p w14:paraId="58A764B3">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涵盖校内各类建筑及公共区域，具体包括：</w:t>
            </w:r>
          </w:p>
          <w:p w14:paraId="4C1F5AB5">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①楼宇内部：教学楼、实训楼、办公楼等楼宇的各楼层卫生间、走廊、楼梯，学生食堂、厕所、楼梯等。</w:t>
            </w:r>
          </w:p>
          <w:p w14:paraId="629F709E">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②功能场所：行政办公室、教研组办公室、会议室、报告厅、图书馆、大礼堂、电梯等。</w:t>
            </w:r>
          </w:p>
          <w:p w14:paraId="1D18A913">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③公共区域：公共教室、运动场所、校内广场、道路、停车场、绿化带、垃圾桶、垃圾池、宣传栏、标识牌等。</w:t>
            </w:r>
          </w:p>
          <w:p w14:paraId="5BB5DC4D">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④专项清洁：路面灯具、不锈钢饰品、宣传栏、校牌、标示牌、楼梯栏杆、护栏、雨篷、3米以下玻璃的日常保洁（3米以上高空部位玻璃幕墙清洗的，由中标人组织进行，涉及的费用由校方另行支付）。</w:t>
            </w:r>
          </w:p>
          <w:p w14:paraId="79639BB1">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（3）作业频次与标准</w:t>
            </w:r>
          </w:p>
          <w:p w14:paraId="1194E41D">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①日常保洁：合理安排保洁人员工作区域。每日上、下午各进行一次保洁，所有区域全天候循环保洁，做到随脏随清。</w:t>
            </w:r>
          </w:p>
          <w:p w14:paraId="26B5D2DA">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②清洁通风：每日对楼宇内部、功能场所及通道等区域进行清洁并通风，并定期消毒。</w:t>
            </w:r>
          </w:p>
          <w:p w14:paraId="55E8F46C">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③垃圾管理：每日对食堂厨余垃圾进行收集清运放到指定地方。每日对校内垃圾及时收集、中转、清运并清理垃圾池（涉及环境部门垃圾清运及处理费用由校方负责）。</w:t>
            </w:r>
          </w:p>
          <w:p w14:paraId="4D3ACCE0">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（4）清洁质量要求：</w:t>
            </w:r>
          </w:p>
          <w:p w14:paraId="46344D7A">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①地面无垃圾、杂物、污渍、积水，公共场所无明显泥沙、污垢，每100㎡内纸屑不超过2片、无大于1cm石子。</w:t>
            </w:r>
          </w:p>
          <w:p w14:paraId="6AF67542">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②墙面无浮灰、蛛网、污迹；玻璃光洁无痕，灯具无尘无虫。</w:t>
            </w:r>
          </w:p>
          <w:p w14:paraId="2CD8FD4F">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③卫生间无异味，便器无黄渍，天花、墙角清洁。</w:t>
            </w:r>
          </w:p>
          <w:p w14:paraId="0901FA99">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④垃圾箱清运及时，清运率100%；垃圾桶外表干净、无满溢，周边无污垢、积水、异味。</w:t>
            </w:r>
          </w:p>
          <w:p w14:paraId="194C6B5F">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⑤排水沟无淤积，校园无卫生死角。</w:t>
            </w:r>
          </w:p>
          <w:p w14:paraId="46CC33E9">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（5）其他服务要求</w:t>
            </w:r>
          </w:p>
          <w:p w14:paraId="23CDE049">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①卫生防疫：根据校方安排，定期开展灭蚊、灭蝇、灭蚁、灭蟑、灭鼠等卫生防疫工作（药品由校方另行提供）。</w:t>
            </w:r>
          </w:p>
          <w:p w14:paraId="0743357A">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②协助学校做好疫情防控、创城等与物业服务相关的工作</w:t>
            </w:r>
          </w:p>
          <w:p w14:paraId="356063D6">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③临时任务配合：积极配合学校大型活动、检查等临时性活动卫生保洁工作。</w:t>
            </w:r>
          </w:p>
          <w:p w14:paraId="29A439D9">
            <w:pPr>
              <w:pStyle w:val="24"/>
              <w:keepNext w:val="0"/>
              <w:keepLines w:val="0"/>
              <w:pageBreakBefore w:val="0"/>
              <w:widowControl w:val="0"/>
              <w:kinsoku/>
              <w:wordWrap/>
              <w:overflowPunct/>
              <w:topLinePunct w:val="0"/>
              <w:autoSpaceDE/>
              <w:autoSpaceDN/>
              <w:bidi w:val="0"/>
              <w:snapToGrid/>
              <w:spacing w:line="440" w:lineRule="exact"/>
              <w:ind w:left="0" w:leftChars="0"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2. 绿化员的绿化维护服务</w:t>
            </w:r>
          </w:p>
          <w:p w14:paraId="0C2479FF">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（1）总体养护目标</w:t>
            </w:r>
          </w:p>
          <w:p w14:paraId="538724A0">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确保校园绿化景观“三季有花，四季常青”，植株生长健壮、形态美观。负责学校大型活动及重大节日的花卉布置工作。</w:t>
            </w:r>
          </w:p>
          <w:p w14:paraId="3EDC7B79">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（2）日常养护工作项目与标准</w:t>
            </w:r>
          </w:p>
          <w:p w14:paraId="1C5D4B55">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①浇水：草地灌木每周至少浇两次（具体视天气情况）。做到保持植物良好长势，杜绝因为缺水出现枯萎等现象。</w:t>
            </w:r>
          </w:p>
          <w:p w14:paraId="1BAC0386">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②施肥：平均2-3次/年。做到施肥均匀、充足、适度、保证绿化植物强壮、枝叶茂盛。</w:t>
            </w:r>
          </w:p>
          <w:p w14:paraId="27BC1D04">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③修剪整形：草地8-10次/年，灌木6-8次/年（根据长势状况而定），乔木修剪2-4次/年。做到草的高度一致，整齐美观。乔、灌木：植物主枝分布均匀；绿篱整齐一致。</w:t>
            </w:r>
          </w:p>
          <w:p w14:paraId="1DA009BE">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④病虫害防治：草地、灌木、乔木及时防治。视病害发生情况适时喷药，使用国家规定的绿色环保农药。</w:t>
            </w:r>
          </w:p>
          <w:p w14:paraId="4ABC3F2A">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⑤病虫草松土：每月除杂草一遍，雨后杂草严重者每周一遍。做到花丛下无杂草，树盘内无杂草，花木丛中不允许有高于花木的杂草，草坪上不允许有开花杂草。</w:t>
            </w:r>
          </w:p>
          <w:p w14:paraId="575FC821">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⑥清理绿化垃圾：修剪下来的树枝和杂草要当天清运，不准就地焚烧。做到有专人跟踪保洁。</w:t>
            </w:r>
          </w:p>
          <w:p w14:paraId="27DE8575">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⑦防风防汛：灾前积极预防，对树木加固，灾后及时清除倒树断枝、疏通道路、清理垃圾。做到尽快恢复原状、不能影响学校正常工作。</w:t>
            </w:r>
          </w:p>
          <w:p w14:paraId="60C4C578">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（3）整体质量要求</w:t>
            </w:r>
          </w:p>
          <w:p w14:paraId="2EF69426">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按不同季节对花卉苗木的养护要求进行养护，并做到：</w:t>
            </w:r>
          </w:p>
          <w:p w14:paraId="5D6B2F90">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①树灌木完整，长势茂盛，无枯枝死杈，无病虫害，树木无钉枪捆绑。</w:t>
            </w:r>
          </w:p>
          <w:p w14:paraId="1DC255BA">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②绿篱、绿地整洁无杂草、杂物、物料堆放。</w:t>
            </w:r>
          </w:p>
          <w:p w14:paraId="38265010">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③绿化设施完好率不低于98%。</w:t>
            </w:r>
          </w:p>
          <w:p w14:paraId="46E094A0">
            <w:pPr>
              <w:pStyle w:val="24"/>
              <w:keepNext w:val="0"/>
              <w:keepLines w:val="0"/>
              <w:pageBreakBefore w:val="0"/>
              <w:widowControl w:val="0"/>
              <w:kinsoku/>
              <w:wordWrap/>
              <w:overflowPunct/>
              <w:topLinePunct w:val="0"/>
              <w:autoSpaceDE/>
              <w:autoSpaceDN/>
              <w:bidi w:val="0"/>
              <w:snapToGrid/>
              <w:spacing w:line="440" w:lineRule="exact"/>
              <w:ind w:left="0" w:leftChars="0"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3. 水电工的日常维修服务</w:t>
            </w:r>
          </w:p>
          <w:p w14:paraId="278DD627">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（1）维修服务原则</w:t>
            </w:r>
          </w:p>
          <w:p w14:paraId="5C42C63E">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应遵循“经济节约、修旧利废”的原则。对于损坏的设施设备及物品，应首先评估其维修可行性及成本。凡通过维修可以恢复正常使用功能、且维修成本低于更换成本的，必须优先进行维修处理，不得无故建议或要求更换。若确需更换，必须向采购人提交书面说明，并经采购人确认同意后，方可进行更换。</w:t>
            </w:r>
          </w:p>
          <w:p w14:paraId="01BC9B6F">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（2）日常巡检制度</w:t>
            </w:r>
          </w:p>
          <w:p w14:paraId="1D06C923">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建立巡视制度，每日上、下午各进行一次全面巡检并记录，覆盖以下系统：</w:t>
            </w:r>
          </w:p>
          <w:p w14:paraId="137FACEC">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①排水排污：检查管道畅通情况，及时清理杂物（化粪池沉积物的抽吸、清掏由中标人负责实施及联络工作，相关费用由学校另行负责）。</w:t>
            </w:r>
          </w:p>
          <w:p w14:paraId="30B222AF">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②公共照明：检查学校路灯及楼梯照明是否正常，发现故障及时修复，并早晚巡检及时关闭无照明需要的电灯，避免浪费电力。</w:t>
            </w:r>
          </w:p>
          <w:p w14:paraId="63A0CEE0">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③公共设施：检查有无损毁公共设施，包括门窗、家具、室内照明、水电管线等，发现损坏立即维修；如属人为破坏情况需制止并上报。</w:t>
            </w:r>
          </w:p>
          <w:p w14:paraId="40F62402">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④管线安全：检查各类水、电、气等管线有无破损、断裂、锈蚀，一经发现立即进行维修并做好记录，保证各类管道电线正常使用。</w:t>
            </w:r>
          </w:p>
          <w:p w14:paraId="105D9A4C">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⑤配电设施：保持电缆沟（竖井）无水渍、杂物、鼠害、配电箱外观干燥完好、整洁、运行正常。</w:t>
            </w:r>
          </w:p>
          <w:p w14:paraId="470FF810">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⑥节能管理：杜绝“长明灯、长流水”及“跑冒滴漏”现象。</w:t>
            </w:r>
          </w:p>
          <w:p w14:paraId="3674DFBD">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（3）维修维护内容</w:t>
            </w:r>
          </w:p>
          <w:p w14:paraId="60FC8E69">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①公共区域：维修教学楼、办公楼等场所的门窗、桌椅、照明、给排水、电器及户外设施（道路、宣传栏等）。</w:t>
            </w:r>
          </w:p>
          <w:p w14:paraId="451BD112">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②宿舍区域：维修宿舍内家具、门窗锁具、水电设施（灯具插座、龙头、淋浴器等），并保障热水系统正常运行。</w:t>
            </w:r>
          </w:p>
          <w:p w14:paraId="29FACF03">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③响应要求：影响教学的公共区域故障及宿舍区紧急报修（如断电、漏水），须优先按应急流程处理。</w:t>
            </w:r>
          </w:p>
          <w:p w14:paraId="76C50144">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（4）应急与值班制度</w:t>
            </w:r>
          </w:p>
          <w:p w14:paraId="7DB28EB7">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①水电工24小时值班，随时响应。</w:t>
            </w:r>
          </w:p>
          <w:p w14:paraId="0951344B">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②向校方提供紧急联络名录，确保信息畅通。</w:t>
            </w:r>
          </w:p>
          <w:p w14:paraId="64ACFA1A">
            <w:pPr>
              <w:pStyle w:val="24"/>
              <w:keepNext w:val="0"/>
              <w:keepLines w:val="0"/>
              <w:pageBreakBefore w:val="0"/>
              <w:widowControl w:val="0"/>
              <w:kinsoku/>
              <w:wordWrap/>
              <w:overflowPunct/>
              <w:topLinePunct w:val="0"/>
              <w:autoSpaceDE/>
              <w:autoSpaceDN/>
              <w:bidi w:val="0"/>
              <w:snapToGrid/>
              <w:spacing w:line="440" w:lineRule="exact"/>
              <w:ind w:left="0" w:leftChars="0" w:firstLine="0" w:firstLineChars="0"/>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三、岗位配置要求及素质要求</w:t>
            </w:r>
          </w:p>
          <w:p w14:paraId="11191ED7">
            <w:pPr>
              <w:pStyle w:val="24"/>
              <w:keepNext w:val="0"/>
              <w:keepLines w:val="0"/>
              <w:pageBreakBefore w:val="0"/>
              <w:widowControl w:val="0"/>
              <w:kinsoku/>
              <w:wordWrap/>
              <w:overflowPunct/>
              <w:topLinePunct w:val="0"/>
              <w:autoSpaceDE/>
              <w:autoSpaceDN/>
              <w:bidi w:val="0"/>
              <w:snapToGrid/>
              <w:spacing w:line="440" w:lineRule="exact"/>
              <w:ind w:left="0" w:leftChars="0" w:firstLine="0" w:firstLineChars="0"/>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（一）岗位人员配置</w:t>
            </w:r>
          </w:p>
          <w:p w14:paraId="7B12944B">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1.</w:t>
            </w:r>
            <w:r>
              <w:rPr>
                <w:rFonts w:hint="eastAsia" w:ascii="Times New Roman" w:hAnsi="Times New Roman" w:cs="Times New Roman"/>
                <w:b w:val="0"/>
                <w:bCs w:val="0"/>
                <w:color w:val="auto"/>
                <w:sz w:val="24"/>
                <w:szCs w:val="24"/>
                <w:highlight w:val="none"/>
                <w:lang w:val="en-US" w:eastAsia="zh-CN"/>
              </w:rPr>
              <w:t>供应商</w:t>
            </w:r>
            <w:r>
              <w:rPr>
                <w:rFonts w:hint="default" w:ascii="Times New Roman" w:hAnsi="Times New Roman" w:cs="Times New Roman"/>
                <w:b w:val="0"/>
                <w:bCs w:val="0"/>
                <w:color w:val="auto"/>
                <w:sz w:val="24"/>
                <w:szCs w:val="24"/>
                <w:highlight w:val="none"/>
                <w:lang w:val="en-US" w:eastAsia="zh-CN"/>
              </w:rPr>
              <w:t>必须按各派驻校区的对要求，对各个岗位不同时段的人员数量和岗位要求配备相应物业服务人员，并保证实际到岗。</w:t>
            </w:r>
            <w:r>
              <w:rPr>
                <w:rFonts w:hint="eastAsia" w:ascii="Times New Roman" w:hAnsi="Times New Roman" w:cs="Times New Roman"/>
                <w:b w:val="0"/>
                <w:bCs w:val="0"/>
                <w:color w:val="auto"/>
                <w:sz w:val="24"/>
                <w:szCs w:val="24"/>
                <w:highlight w:val="none"/>
                <w:lang w:val="en-US" w:eastAsia="zh-CN"/>
              </w:rPr>
              <w:t>供应商</w:t>
            </w:r>
            <w:r>
              <w:rPr>
                <w:rFonts w:hint="default" w:ascii="Times New Roman" w:hAnsi="Times New Roman" w:cs="Times New Roman"/>
                <w:b w:val="0"/>
                <w:bCs w:val="0"/>
                <w:color w:val="auto"/>
                <w:sz w:val="24"/>
                <w:szCs w:val="24"/>
                <w:highlight w:val="none"/>
                <w:lang w:val="en-US" w:eastAsia="zh-CN"/>
              </w:rPr>
              <w:t>在组织、安排工作时，应符合国家相关法规，维护物业服务人员的正当权益。</w:t>
            </w:r>
            <w:r>
              <w:rPr>
                <w:rFonts w:hint="eastAsia" w:ascii="Times New Roman" w:hAnsi="Times New Roman" w:cs="Times New Roman"/>
                <w:b w:val="0"/>
                <w:bCs w:val="0"/>
                <w:color w:val="auto"/>
                <w:sz w:val="24"/>
                <w:szCs w:val="24"/>
                <w:highlight w:val="none"/>
                <w:lang w:val="en-US" w:eastAsia="zh-CN"/>
              </w:rPr>
              <w:t>供应商</w:t>
            </w:r>
            <w:r>
              <w:rPr>
                <w:rFonts w:hint="default" w:ascii="Times New Roman" w:hAnsi="Times New Roman" w:cs="Times New Roman"/>
                <w:b w:val="0"/>
                <w:bCs w:val="0"/>
                <w:color w:val="auto"/>
                <w:sz w:val="24"/>
                <w:szCs w:val="24"/>
                <w:highlight w:val="none"/>
                <w:lang w:val="en-US" w:eastAsia="zh-CN"/>
              </w:rPr>
              <w:t>对其用工行为承担一切法律责任。</w:t>
            </w:r>
          </w:p>
          <w:p w14:paraId="7110A95C">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color w:val="auto"/>
                <w:highlight w:val="none"/>
                <w:lang w:val="en-US" w:eastAsia="zh-CN"/>
              </w:rPr>
              <w:t>2.拟</w:t>
            </w:r>
            <w:r>
              <w:rPr>
                <w:rFonts w:hint="default" w:ascii="Times New Roman" w:hAnsi="Times New Roman" w:cs="Times New Roman"/>
                <w:b w:val="0"/>
                <w:bCs w:val="0"/>
                <w:color w:val="auto"/>
                <w:sz w:val="24"/>
                <w:szCs w:val="24"/>
                <w:highlight w:val="none"/>
                <w:lang w:val="en-US" w:eastAsia="zh-CN"/>
              </w:rPr>
              <w:t>派物业人员</w:t>
            </w:r>
            <w:r>
              <w:rPr>
                <w:rFonts w:hint="default" w:ascii="Times New Roman" w:hAnsi="Times New Roman" w:cs="Times New Roman"/>
                <w:color w:val="auto"/>
                <w:highlight w:val="none"/>
                <w:lang w:val="en-US" w:eastAsia="zh-CN"/>
              </w:rPr>
              <w:t>身体健康，视力正常，无传染性、肝、肾、心脏、心血管等严重疾病，无不良社会记录等，提供正规医院健康证明，年龄58岁以下（女员工年龄在18-50岁，男员工年龄在18-58岁）。</w:t>
            </w:r>
          </w:p>
          <w:p w14:paraId="09F80829">
            <w:pPr>
              <w:pStyle w:val="24"/>
              <w:keepNext w:val="0"/>
              <w:keepLines w:val="0"/>
              <w:pageBreakBefore w:val="0"/>
              <w:widowControl w:val="0"/>
              <w:kinsoku/>
              <w:wordWrap/>
              <w:overflowPunct/>
              <w:topLinePunct w:val="0"/>
              <w:autoSpaceDE/>
              <w:autoSpaceDN/>
              <w:bidi w:val="0"/>
              <w:snapToGrid/>
              <w:spacing w:line="440" w:lineRule="exact"/>
              <w:ind w:left="0" w:leftChars="0" w:firstLine="0" w:firstLineChars="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（二）岗位时间安排</w:t>
            </w:r>
          </w:p>
          <w:p w14:paraId="73720128">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1. 水电工：上午7:30-12:00，下午14:30-18:00。</w:t>
            </w:r>
          </w:p>
          <w:p w14:paraId="269EBD74">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2. 保洁员：上午7:30-12:00，下午14:30-18:00。</w:t>
            </w:r>
          </w:p>
          <w:p w14:paraId="1D6DAE62">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3. 绿化员：上午7:30-12:00，下午14:30-18:00。</w:t>
            </w:r>
          </w:p>
          <w:p w14:paraId="15385098">
            <w:pPr>
              <w:pStyle w:val="24"/>
              <w:keepNext w:val="0"/>
              <w:keepLines w:val="0"/>
              <w:pageBreakBefore w:val="0"/>
              <w:widowControl w:val="0"/>
              <w:kinsoku/>
              <w:wordWrap/>
              <w:overflowPunct/>
              <w:topLinePunct w:val="0"/>
              <w:autoSpaceDE/>
              <w:autoSpaceDN/>
              <w:bidi w:val="0"/>
              <w:snapToGrid/>
              <w:spacing w:line="440" w:lineRule="exact"/>
              <w:ind w:left="0" w:leftChars="0"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（注：如所服务单位有特殊要求，具体安排由相关单位自行安排）</w:t>
            </w:r>
          </w:p>
          <w:p w14:paraId="50BAAFDA">
            <w:pPr>
              <w:pStyle w:val="24"/>
              <w:keepNext w:val="0"/>
              <w:keepLines w:val="0"/>
              <w:pageBreakBefore w:val="0"/>
              <w:widowControl w:val="0"/>
              <w:kinsoku/>
              <w:wordWrap/>
              <w:overflowPunct/>
              <w:topLinePunct w:val="0"/>
              <w:autoSpaceDE/>
              <w:autoSpaceDN/>
              <w:bidi w:val="0"/>
              <w:snapToGrid/>
              <w:spacing w:line="440" w:lineRule="exact"/>
              <w:ind w:left="0" w:leftChars="0"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（二）岗位素质要求</w:t>
            </w:r>
          </w:p>
          <w:p w14:paraId="557BBC4D">
            <w:pPr>
              <w:pStyle w:val="24"/>
              <w:keepNext w:val="0"/>
              <w:keepLines w:val="0"/>
              <w:pageBreakBefore w:val="0"/>
              <w:widowControl w:val="0"/>
              <w:kinsoku/>
              <w:wordWrap/>
              <w:overflowPunct/>
              <w:topLinePunct w:val="0"/>
              <w:autoSpaceDE/>
              <w:autoSpaceDN/>
              <w:bidi w:val="0"/>
              <w:snapToGrid/>
              <w:spacing w:line="440" w:lineRule="exact"/>
              <w:ind w:left="0" w:leftChars="0"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1. 职业道德规范</w:t>
            </w:r>
          </w:p>
          <w:p w14:paraId="60AD63A5">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（1）敬业爱岗，恪尽职守：勤奋务实，积极投入本职工作，热爱岗位并乐于奉献。</w:t>
            </w:r>
          </w:p>
          <w:p w14:paraId="38821796">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（2）遵纪守法，严守规章：自觉遵守国家法律法规，严格执行公司及校方各项规章制度与劳动纪律。</w:t>
            </w:r>
          </w:p>
          <w:p w14:paraId="28822284">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（3）勤学善思，提升技能：主动学习相关知识，持续提升业务能力与服务水准。</w:t>
            </w:r>
          </w:p>
          <w:p w14:paraId="3114BF85">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（4）廉洁奉公，维护声誉：爱护公共财产，不以权谋私，自觉维护公司与学校的利益及形象。</w:t>
            </w:r>
          </w:p>
          <w:p w14:paraId="3AA649E0">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（5）勤俭节约，节能降耗：树立节约意识，在日常工作中践行节约能源、爱惜物资。</w:t>
            </w:r>
          </w:p>
          <w:p w14:paraId="36489EFB">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（6）团结协作，和谐共事：严于律己，宽以待人，妥善处理个人与集体、同事间关系，具备良好的团队协作精神。</w:t>
            </w:r>
          </w:p>
          <w:p w14:paraId="3D6A422D">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（7）严守秘密，谨言慎行：未经授权，不得对外泄露或传播学校的任何信息与资料。</w:t>
            </w:r>
          </w:p>
          <w:p w14:paraId="1F8C532C">
            <w:pPr>
              <w:pStyle w:val="24"/>
              <w:keepNext w:val="0"/>
              <w:keepLines w:val="0"/>
              <w:pageBreakBefore w:val="0"/>
              <w:widowControl w:val="0"/>
              <w:kinsoku/>
              <w:wordWrap/>
              <w:overflowPunct/>
              <w:topLinePunct w:val="0"/>
              <w:autoSpaceDE/>
              <w:autoSpaceDN/>
              <w:bidi w:val="0"/>
              <w:snapToGrid/>
              <w:spacing w:line="440" w:lineRule="exact"/>
              <w:ind w:left="0" w:leftChars="0"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2. 服务意识规范</w:t>
            </w:r>
          </w:p>
          <w:p w14:paraId="346FA28C">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（1）文明礼貌，举止得体：使用规范用语，谈吐文雅，保持衣着整洁，举止大方端庄。</w:t>
            </w:r>
          </w:p>
          <w:p w14:paraId="1CE8D8AD">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（2）主动热情，真诚服务：以积极热情的态度面对师生，主动识别服务需求，乐于为师生解决实际困难，常面带微笑，态度谦和。</w:t>
            </w:r>
          </w:p>
          <w:p w14:paraId="28741D79">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（3）耐心周到，细致入微：服务过程中保持耐心，不厌其烦，虚心听取师生意见，细致解答疑问，力求提供全面、满意的服务。</w:t>
            </w:r>
          </w:p>
          <w:p w14:paraId="5E359F92">
            <w:pPr>
              <w:pStyle w:val="24"/>
              <w:keepNext w:val="0"/>
              <w:keepLines w:val="0"/>
              <w:pageBreakBefore w:val="0"/>
              <w:widowControl w:val="0"/>
              <w:kinsoku/>
              <w:wordWrap/>
              <w:overflowPunct/>
              <w:topLinePunct w:val="0"/>
              <w:autoSpaceDE/>
              <w:autoSpaceDN/>
              <w:bidi w:val="0"/>
              <w:snapToGrid/>
              <w:spacing w:line="440" w:lineRule="exact"/>
              <w:ind w:left="0" w:leftChars="0"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3. 仪容仪表规范</w:t>
            </w:r>
          </w:p>
          <w:p w14:paraId="30091317">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（1）保持个人卫生，着装统一、整洁，工作证应端正佩戴于左胸前。</w:t>
            </w:r>
          </w:p>
          <w:p w14:paraId="3ED289BD">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（2）工作时间内不得穿短裤、背心、拖鞋等不规范着装进入工作区域。</w:t>
            </w:r>
          </w:p>
          <w:p w14:paraId="5AE24AC3">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（3）男员工：发长不掩耳、不遮领，每日剃须；保持指甲清洁，不留长指甲；衣着纽扣扣齐，领带紧束（大箭头下端以垂至皮带扣处为准），衬衣下摆应束于裤内。</w:t>
            </w:r>
          </w:p>
          <w:p w14:paraId="0109038B">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（4）女员工：发长不过肩，发型简洁大方，不染怪异发色；不留长指甲，不涂染艳丽指甲油；妆容朴素淡雅，不浓妆艳抹；不穿着黑色或带花纹的丝袜。</w:t>
            </w:r>
          </w:p>
          <w:p w14:paraId="73D1FFF0">
            <w:pPr>
              <w:pStyle w:val="24"/>
              <w:keepNext w:val="0"/>
              <w:keepLines w:val="0"/>
              <w:pageBreakBefore w:val="0"/>
              <w:widowControl w:val="0"/>
              <w:kinsoku/>
              <w:wordWrap/>
              <w:overflowPunct/>
              <w:topLinePunct w:val="0"/>
              <w:autoSpaceDE/>
              <w:autoSpaceDN/>
              <w:bidi w:val="0"/>
              <w:snapToGrid/>
              <w:spacing w:line="440" w:lineRule="exact"/>
              <w:ind w:left="0" w:leftChars="0"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（三）岗位工作职责要求</w:t>
            </w:r>
          </w:p>
          <w:p w14:paraId="0CF51EA2">
            <w:pPr>
              <w:pStyle w:val="24"/>
              <w:keepNext w:val="0"/>
              <w:keepLines w:val="0"/>
              <w:pageBreakBefore w:val="0"/>
              <w:widowControl w:val="0"/>
              <w:kinsoku/>
              <w:wordWrap/>
              <w:overflowPunct/>
              <w:topLinePunct w:val="0"/>
              <w:autoSpaceDE/>
              <w:autoSpaceDN/>
              <w:bidi w:val="0"/>
              <w:snapToGrid/>
              <w:spacing w:line="440" w:lineRule="exact"/>
              <w:ind w:left="0" w:leftChars="0"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1. 水电工</w:t>
            </w:r>
          </w:p>
          <w:p w14:paraId="18A5E777">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（1）水电综合维修：</w:t>
            </w:r>
          </w:p>
          <w:p w14:paraId="7EB8E434">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① 熟悉并遵守相关法规及各项规章制度，熟练掌握应急预案。</w:t>
            </w:r>
          </w:p>
          <w:p w14:paraId="155C79F5">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微软雅黑" w:cs="Times New Roman"/>
                <w:color w:val="auto"/>
                <w:sz w:val="24"/>
                <w:szCs w:val="24"/>
                <w:highlight w:val="none"/>
                <w:lang w:val="en-US" w:eastAsia="zh-CN"/>
              </w:rPr>
              <w:t xml:space="preserve">② </w:t>
            </w:r>
            <w:r>
              <w:rPr>
                <w:rFonts w:hint="default" w:ascii="Times New Roman" w:hAnsi="Times New Roman" w:cs="Times New Roman"/>
                <w:color w:val="auto"/>
                <w:highlight w:val="none"/>
                <w:lang w:val="en-US" w:eastAsia="zh-CN"/>
              </w:rPr>
              <w:t>持证上岗，定期培训。</w:t>
            </w:r>
          </w:p>
          <w:p w14:paraId="6CD0BA9B">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24"/>
                <w:szCs w:val="24"/>
                <w:highlight w:val="none"/>
                <w:lang w:val="en-US" w:eastAsia="zh-CN"/>
              </w:rPr>
              <w:t xml:space="preserve">③ </w:t>
            </w:r>
            <w:r>
              <w:rPr>
                <w:rFonts w:hint="default" w:ascii="Times New Roman" w:hAnsi="Times New Roman" w:cs="Times New Roman"/>
                <w:color w:val="auto"/>
                <w:highlight w:val="none"/>
                <w:lang w:val="en-US" w:eastAsia="zh-CN"/>
              </w:rPr>
              <w:t>熟悉辖区内水电线路、开关等设施设备功能及分布情况。熟练掌握相关维修技能，严格执行操作规程。</w:t>
            </w:r>
          </w:p>
          <w:p w14:paraId="71BDF39B">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微软雅黑" w:cs="Times New Roman"/>
                <w:color w:val="auto"/>
                <w:highlight w:val="none"/>
              </w:rPr>
              <w:t>④</w:t>
            </w:r>
            <w:r>
              <w:rPr>
                <w:rFonts w:hint="default" w:ascii="Times New Roman" w:hAnsi="Times New Roman" w:eastAsia="微软雅黑"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定时巡检水电线路等设施设备，填写记录，保持完好运行，发现问题时，应准确判断，及时处理。</w:t>
            </w:r>
          </w:p>
          <w:p w14:paraId="5E79A517">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微软雅黑" w:cs="Times New Roman"/>
                <w:color w:val="auto"/>
                <w:highlight w:val="none"/>
              </w:rPr>
              <w:t>⑤</w:t>
            </w:r>
            <w:r>
              <w:rPr>
                <w:rFonts w:hint="default" w:ascii="Times New Roman" w:hAnsi="Times New Roman" w:eastAsia="微软雅黑"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接到报修后60分钟内到达现场，维修合格率达100%。水电抢修不过夜。</w:t>
            </w:r>
          </w:p>
          <w:p w14:paraId="6BC3388E">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微软雅黑" w:cs="Times New Roman"/>
                <w:color w:val="auto"/>
                <w:highlight w:val="none"/>
              </w:rPr>
              <w:t>⑥</w:t>
            </w:r>
            <w:r>
              <w:rPr>
                <w:rFonts w:hint="default" w:ascii="Times New Roman" w:hAnsi="Times New Roman" w:eastAsia="微软雅黑"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供配电室及室外变台、箱变、低压配电室双人巡检维护。</w:t>
            </w:r>
          </w:p>
          <w:p w14:paraId="0CB92BA5">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微软雅黑" w:cs="Times New Roman"/>
                <w:color w:val="auto"/>
                <w:highlight w:val="none"/>
              </w:rPr>
              <w:t>⑦</w:t>
            </w:r>
            <w:r>
              <w:rPr>
                <w:rFonts w:hint="default" w:ascii="Times New Roman" w:hAnsi="Times New Roman" w:eastAsia="微软雅黑"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停送电操作，应填写相关工作票，做好安全组织，按规范程序操作。</w:t>
            </w:r>
          </w:p>
          <w:p w14:paraId="55F01B38">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微软雅黑" w:cs="Times New Roman"/>
                <w:color w:val="auto"/>
                <w:highlight w:val="none"/>
              </w:rPr>
              <w:t>⑧</w:t>
            </w:r>
            <w:r>
              <w:rPr>
                <w:rFonts w:hint="default" w:ascii="Times New Roman" w:hAnsi="Times New Roman" w:eastAsia="微软雅黑"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定期检查避雷、接地设施完好性，定期进行相关试验。</w:t>
            </w:r>
          </w:p>
          <w:p w14:paraId="5BD60B29">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微软雅黑" w:cs="Times New Roman"/>
                <w:color w:val="auto"/>
                <w:highlight w:val="none"/>
              </w:rPr>
              <w:t>⑨</w:t>
            </w:r>
            <w:r>
              <w:rPr>
                <w:rFonts w:hint="default" w:ascii="Times New Roman" w:hAnsi="Times New Roman" w:eastAsia="微软雅黑"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按规范要求，配置安全防护设施，定时清扫设备及配电室卫生。</w:t>
            </w:r>
          </w:p>
          <w:p w14:paraId="22542C6D">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微软雅黑" w:cs="Times New Roman"/>
                <w:color w:val="auto"/>
                <w:highlight w:val="none"/>
              </w:rPr>
              <w:t>⑩</w:t>
            </w:r>
            <w:r>
              <w:rPr>
                <w:rFonts w:hint="default" w:ascii="Times New Roman" w:hAnsi="Times New Roman" w:eastAsia="微软雅黑"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制定并组织实施设备维保计划。</w:t>
            </w:r>
          </w:p>
          <w:p w14:paraId="37BE46B8">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（2）公共设施小型维修：</w:t>
            </w:r>
          </w:p>
          <w:p w14:paraId="3439D105">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微软雅黑" w:cs="Times New Roman"/>
                <w:color w:val="auto"/>
                <w:highlight w:val="none"/>
              </w:rPr>
              <w:t>①</w:t>
            </w:r>
            <w:r>
              <w:rPr>
                <w:rFonts w:hint="default" w:ascii="Times New Roman" w:hAnsi="Times New Roman" w:eastAsia="微软雅黑"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熟悉并遵守相关法规及各项规章制度，熟练掌握应急预案。</w:t>
            </w:r>
          </w:p>
          <w:p w14:paraId="74C776BF">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微软雅黑" w:cs="Times New Roman"/>
                <w:color w:val="auto"/>
                <w:highlight w:val="none"/>
              </w:rPr>
              <w:t>②</w:t>
            </w:r>
            <w:r>
              <w:rPr>
                <w:rFonts w:hint="default" w:ascii="Times New Roman" w:hAnsi="Times New Roman" w:eastAsia="微软雅黑"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定期培训，特种作业必须持证上岗。</w:t>
            </w:r>
          </w:p>
          <w:p w14:paraId="6446CAC2">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微软雅黑" w:cs="Times New Roman"/>
                <w:color w:val="auto"/>
                <w:highlight w:val="none"/>
              </w:rPr>
              <w:t>③</w:t>
            </w:r>
            <w:r>
              <w:rPr>
                <w:rFonts w:hint="default" w:ascii="Times New Roman" w:hAnsi="Times New Roman" w:eastAsia="微软雅黑"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辖区内建筑设施维修，包括：房屋、门窗、学生宿舍门锁家具、道路、广场、管井、化粪池、景观小品等设施。</w:t>
            </w:r>
          </w:p>
          <w:p w14:paraId="7B5BC54C">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微软雅黑" w:cs="Times New Roman"/>
                <w:color w:val="auto"/>
                <w:highlight w:val="none"/>
              </w:rPr>
              <w:t>④</w:t>
            </w:r>
            <w:r>
              <w:rPr>
                <w:rFonts w:hint="default" w:ascii="Times New Roman" w:hAnsi="Times New Roman" w:eastAsia="微软雅黑"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定时巡检，填写记录，保持设施完好，发现问题时，应准确判断，及时处理。</w:t>
            </w:r>
          </w:p>
          <w:p w14:paraId="70A0C0DB">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⑤接到报修后60分钟内到达现场，维修合格率达100%。</w:t>
            </w:r>
          </w:p>
          <w:p w14:paraId="4E9DB409">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⑥常备配件类维修，自接到报修后应当日修复。</w:t>
            </w:r>
          </w:p>
          <w:p w14:paraId="31E641D3">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⑦外购配件及土建类维修，自接到报修之日起应3日内修复。</w:t>
            </w:r>
          </w:p>
          <w:p w14:paraId="5906D767">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Yu Gothic UI Light" w:cs="Times New Roman"/>
                <w:color w:val="auto"/>
                <w:highlight w:val="none"/>
                <w:lang w:val="en-US" w:eastAsia="zh-CN"/>
              </w:rPr>
              <w:t>⑧</w:t>
            </w:r>
            <w:r>
              <w:rPr>
                <w:rFonts w:hint="default" w:ascii="Times New Roman" w:hAnsi="Times New Roman" w:cs="Times New Roman"/>
                <w:color w:val="auto"/>
                <w:highlight w:val="none"/>
                <w:lang w:val="en-US" w:eastAsia="zh-CN"/>
              </w:rPr>
              <w:t>雨季做好本职防汛工作，排查有关隐患。</w:t>
            </w:r>
          </w:p>
          <w:p w14:paraId="39C9A197">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Yu Gothic UI Light" w:cs="Times New Roman"/>
                <w:color w:val="auto"/>
                <w:highlight w:val="none"/>
                <w:lang w:val="en-US" w:eastAsia="zh-CN"/>
              </w:rPr>
              <w:t>➈</w:t>
            </w:r>
            <w:r>
              <w:rPr>
                <w:rFonts w:hint="default" w:ascii="Times New Roman" w:hAnsi="Times New Roman" w:cs="Times New Roman"/>
                <w:color w:val="auto"/>
                <w:highlight w:val="none"/>
                <w:lang w:val="en-US" w:eastAsia="zh-CN"/>
              </w:rPr>
              <w:t>提出专项修缮建议。</w:t>
            </w:r>
          </w:p>
          <w:p w14:paraId="0D224441">
            <w:pPr>
              <w:pStyle w:val="24"/>
              <w:keepNext w:val="0"/>
              <w:keepLines w:val="0"/>
              <w:pageBreakBefore w:val="0"/>
              <w:widowControl w:val="0"/>
              <w:kinsoku/>
              <w:wordWrap/>
              <w:overflowPunct/>
              <w:topLinePunct w:val="0"/>
              <w:autoSpaceDE/>
              <w:autoSpaceDN/>
              <w:bidi w:val="0"/>
              <w:snapToGrid/>
              <w:spacing w:line="440" w:lineRule="exact"/>
              <w:ind w:left="0" w:leftChars="0"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2. 保洁员</w:t>
            </w:r>
          </w:p>
          <w:p w14:paraId="6951E070">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（1）熟悉并遵守相关法规及各项规章制度。保洁服务讲求文明礼貌。</w:t>
            </w:r>
          </w:p>
          <w:p w14:paraId="7BA0BD3D">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（2）以下公共区域的设施设备要保持整洁：墙壁、门窗、玻璃、照明、地墙面、楼梯、扶手、水房、卫生间、天花板、标识牌、消防、水暖电气、电梯、宣传栏等。</w:t>
            </w:r>
          </w:p>
          <w:p w14:paraId="5783B661">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（3）公共卫生间要保持空气清新、洁具明亮，无异味、无积水、无污垢。</w:t>
            </w:r>
          </w:p>
          <w:p w14:paraId="74DDF0FF">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（4）楼宇周边，要保持环境整洁、各种车辆整齐有序。</w:t>
            </w:r>
          </w:p>
          <w:p w14:paraId="1EA22DC2">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（5）雨、雪天气时，负责清扫责任区的积水和积雪。</w:t>
            </w:r>
          </w:p>
          <w:p w14:paraId="394BEC62">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（6）捡拾遗失物品应登记备案、完好交还失主。</w:t>
            </w:r>
          </w:p>
          <w:p w14:paraId="4E3880DD">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（7）发现火情、治安事件、嫌疑人员、可疑现象、水暖跑冒、燃气泄漏等紧急情况，应及时上报并协助处理。</w:t>
            </w:r>
          </w:p>
          <w:p w14:paraId="7737FFE8">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 绿化员</w:t>
            </w:r>
          </w:p>
          <w:p w14:paraId="41C3B6BF">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（1）熟悉并遵守相关法规及各项规章制度，熟练掌握应急预案。</w:t>
            </w:r>
          </w:p>
          <w:p w14:paraId="4A477D47">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（2）熟悉花草树木名称、习性和养护，定期进行培训。</w:t>
            </w:r>
          </w:p>
          <w:p w14:paraId="4175952B">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（3）做好辖区乔灌草等植物的修剪、施肥、浇水、除草等工作，保持植物生长状态良好，形状美观。</w:t>
            </w:r>
          </w:p>
          <w:p w14:paraId="7FBCAD46">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（4）有效利用生物、化学、物理方法防控病虫害。</w:t>
            </w:r>
          </w:p>
          <w:p w14:paraId="07A6D0C0">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（5）熟练使用、维护园林机械设备和喷灌设施。</w:t>
            </w:r>
          </w:p>
          <w:p w14:paraId="32E44ADB">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（6）熟练掌握种植、移植技术。</w:t>
            </w:r>
          </w:p>
          <w:p w14:paraId="71C7B295">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（7）保持绿地整洁无杂物、无污染物。</w:t>
            </w:r>
          </w:p>
          <w:p w14:paraId="42DD8B35">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（8）按规范要求，有效维护古树健康生长。</w:t>
            </w:r>
          </w:p>
          <w:p w14:paraId="1C8AAB51">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（9）做好防范植物倒伏隐患排查工作。</w:t>
            </w:r>
          </w:p>
          <w:p w14:paraId="116E9CC3">
            <w:pPr>
              <w:pStyle w:val="24"/>
              <w:keepNext w:val="0"/>
              <w:keepLines w:val="0"/>
              <w:pageBreakBefore w:val="0"/>
              <w:widowControl w:val="0"/>
              <w:kinsoku/>
              <w:wordWrap/>
              <w:overflowPunct/>
              <w:topLinePunct w:val="0"/>
              <w:autoSpaceDE/>
              <w:autoSpaceDN/>
              <w:bidi w:val="0"/>
              <w:snapToGrid/>
              <w:spacing w:line="440" w:lineRule="exact"/>
              <w:ind w:left="0" w:leftChars="0"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四、档案管理要求</w:t>
            </w:r>
          </w:p>
          <w:p w14:paraId="4BB1F4B6">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default" w:ascii="Times New Roman" w:hAnsi="Times New Roman" w:eastAsia="仿宋_GB2312" w:cs="Times New Roman"/>
                <w:color w:val="auto"/>
                <w:kern w:val="2"/>
                <w:sz w:val="24"/>
                <w:highlight w:val="none"/>
                <w:lang w:val="en-US" w:eastAsia="zh-CN" w:bidi="ar-SA"/>
              </w:rPr>
            </w:pPr>
            <w:r>
              <w:rPr>
                <w:rFonts w:hint="eastAsia" w:ascii="Times New Roman" w:hAnsi="Times New Roman" w:cs="Times New Roman"/>
                <w:color w:val="auto"/>
                <w:highlight w:val="none"/>
                <w:lang w:val="en-US" w:eastAsia="zh-CN"/>
              </w:rPr>
              <w:t>供应商</w:t>
            </w:r>
            <w:r>
              <w:rPr>
                <w:rFonts w:hint="default" w:ascii="Times New Roman" w:hAnsi="Times New Roman" w:cs="Times New Roman"/>
                <w:color w:val="auto"/>
                <w:highlight w:val="none"/>
                <w:lang w:val="en-US" w:eastAsia="zh-CN"/>
              </w:rPr>
              <w:t>须建立并妥善保管包括但不限于：员工档案与培训记录、日常巡检与维修日志、设备设施保养台账、考核记录、消杀记录、宿舍管理值班与检查记录等全套物业管理档案，供学校随时抽查。</w:t>
            </w:r>
          </w:p>
        </w:tc>
      </w:tr>
      <w:tr w14:paraId="2645E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44" w:type="dxa"/>
            <w:gridSpan w:val="2"/>
            <w:vMerge w:val="continue"/>
            <w:shd w:val="clear" w:color="auto" w:fill="auto"/>
            <w:vAlign w:val="center"/>
          </w:tcPr>
          <w:p w14:paraId="64007758">
            <w:pPr>
              <w:pStyle w:val="24"/>
              <w:keepNext w:val="0"/>
              <w:keepLines w:val="0"/>
              <w:pageBreakBefore w:val="0"/>
              <w:widowControl w:val="0"/>
              <w:kinsoku/>
              <w:overflowPunct/>
              <w:topLinePunct w:val="0"/>
              <w:autoSpaceDE/>
              <w:autoSpaceDN/>
              <w:bidi w:val="0"/>
              <w:snapToGrid/>
              <w:spacing w:line="500" w:lineRule="exact"/>
              <w:ind w:left="0" w:leftChars="0" w:firstLine="480" w:firstLineChars="200"/>
              <w:textAlignment w:val="auto"/>
              <w:rPr>
                <w:rFonts w:hint="default" w:ascii="Times New Roman" w:hAnsi="Times New Roman" w:eastAsia="仿宋_GB2312" w:cs="Times New Roman"/>
                <w:color w:val="auto"/>
                <w:kern w:val="2"/>
                <w:sz w:val="24"/>
                <w:highlight w:val="none"/>
                <w:lang w:val="en-US" w:eastAsia="zh-CN" w:bidi="ar-SA"/>
              </w:rPr>
            </w:pPr>
          </w:p>
        </w:tc>
      </w:tr>
      <w:tr w14:paraId="4C0A76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44" w:type="dxa"/>
            <w:gridSpan w:val="2"/>
            <w:vMerge w:val="continue"/>
            <w:shd w:val="clear" w:color="auto" w:fill="auto"/>
            <w:vAlign w:val="center"/>
          </w:tcPr>
          <w:p w14:paraId="73E2067F">
            <w:pPr>
              <w:pStyle w:val="24"/>
              <w:keepNext w:val="0"/>
              <w:keepLines w:val="0"/>
              <w:pageBreakBefore w:val="0"/>
              <w:widowControl w:val="0"/>
              <w:kinsoku/>
              <w:overflowPunct/>
              <w:topLinePunct w:val="0"/>
              <w:autoSpaceDE/>
              <w:autoSpaceDN/>
              <w:bidi w:val="0"/>
              <w:snapToGrid/>
              <w:spacing w:line="500" w:lineRule="exact"/>
              <w:ind w:left="0" w:leftChars="0" w:firstLine="480" w:firstLineChars="200"/>
              <w:textAlignment w:val="auto"/>
              <w:rPr>
                <w:rFonts w:hint="default" w:ascii="Times New Roman" w:hAnsi="Times New Roman" w:eastAsia="仿宋_GB2312" w:cs="Times New Roman"/>
                <w:color w:val="auto"/>
                <w:kern w:val="2"/>
                <w:sz w:val="24"/>
                <w:highlight w:val="none"/>
                <w:lang w:val="en-US" w:eastAsia="zh-CN" w:bidi="ar-SA"/>
              </w:rPr>
            </w:pPr>
          </w:p>
        </w:tc>
      </w:tr>
      <w:tr w14:paraId="55633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844" w:type="dxa"/>
            <w:gridSpan w:val="2"/>
            <w:shd w:val="clear" w:color="auto" w:fill="auto"/>
            <w:vAlign w:val="center"/>
          </w:tcPr>
          <w:p w14:paraId="52FCD556">
            <w:pPr>
              <w:pStyle w:val="24"/>
              <w:keepNext w:val="0"/>
              <w:keepLines w:val="0"/>
              <w:pageBreakBefore w:val="0"/>
              <w:widowControl w:val="0"/>
              <w:kinsoku/>
              <w:wordWrap/>
              <w:overflowPunct/>
              <w:topLinePunct w:val="0"/>
              <w:autoSpaceDE/>
              <w:autoSpaceDN/>
              <w:bidi w:val="0"/>
              <w:snapToGrid/>
              <w:spacing w:line="380" w:lineRule="exac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第二部分 北海市卫生学校物业服务</w:t>
            </w:r>
          </w:p>
        </w:tc>
      </w:tr>
      <w:tr w14:paraId="2F93B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44" w:type="dxa"/>
            <w:gridSpan w:val="2"/>
            <w:shd w:val="clear" w:color="auto" w:fill="auto"/>
            <w:vAlign w:val="center"/>
          </w:tcPr>
          <w:p w14:paraId="0F9A3BCE">
            <w:pPr>
              <w:pStyle w:val="24"/>
              <w:keepNext w:val="0"/>
              <w:keepLines w:val="0"/>
              <w:pageBreakBefore w:val="0"/>
              <w:widowControl w:val="0"/>
              <w:kinsoku/>
              <w:wordWrap/>
              <w:overflowPunct/>
              <w:topLinePunct w:val="0"/>
              <w:autoSpaceDE/>
              <w:autoSpaceDN/>
              <w:bidi w:val="0"/>
              <w:snapToGrid/>
              <w:spacing w:line="42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一、服务范围和内容</w:t>
            </w:r>
          </w:p>
          <w:p w14:paraId="39FC6456">
            <w:pPr>
              <w:pStyle w:val="24"/>
              <w:keepNext w:val="0"/>
              <w:keepLines w:val="0"/>
              <w:pageBreakBefore w:val="0"/>
              <w:widowControl w:val="0"/>
              <w:kinsoku/>
              <w:wordWrap/>
              <w:overflowPunct/>
              <w:topLinePunct w:val="0"/>
              <w:autoSpaceDE/>
              <w:autoSpaceDN/>
              <w:bidi w:val="0"/>
              <w:snapToGrid/>
              <w:spacing w:line="42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（一）服务范围</w:t>
            </w:r>
          </w:p>
          <w:p w14:paraId="2784DDAD">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为派驻学校校园全域（包括所有建筑物、公共场所）提供物业服务，负责</w:t>
            </w:r>
            <w:r>
              <w:rPr>
                <w:rFonts w:hint="eastAsia" w:ascii="宋体" w:hAnsi="宋体" w:eastAsia="宋体" w:cs="宋体"/>
                <w:color w:val="auto"/>
                <w:sz w:val="24"/>
                <w:szCs w:val="24"/>
                <w:highlight w:val="none"/>
              </w:rPr>
              <w:t>学校卫生保洁、绿化维护管理</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日常维修</w:t>
            </w:r>
            <w:r>
              <w:rPr>
                <w:rFonts w:hint="eastAsia" w:ascii="宋体" w:hAnsi="宋体" w:eastAsia="宋体" w:cs="宋体"/>
                <w:color w:val="auto"/>
                <w:sz w:val="24"/>
                <w:szCs w:val="24"/>
                <w:highlight w:val="none"/>
              </w:rPr>
              <w:t>和</w:t>
            </w:r>
            <w:r>
              <w:rPr>
                <w:rFonts w:hint="eastAsia" w:ascii="宋体" w:hAnsi="宋体" w:eastAsia="宋体" w:cs="宋体"/>
                <w:color w:val="auto"/>
                <w:sz w:val="24"/>
                <w:szCs w:val="24"/>
                <w:highlight w:val="none"/>
                <w:lang w:val="en-US" w:eastAsia="zh-CN"/>
              </w:rPr>
              <w:t>学生宿舍管理等服务。</w:t>
            </w:r>
          </w:p>
          <w:p w14:paraId="63A8E9C2">
            <w:pPr>
              <w:pStyle w:val="24"/>
              <w:keepNext w:val="0"/>
              <w:keepLines w:val="0"/>
              <w:pageBreakBefore w:val="0"/>
              <w:widowControl w:val="0"/>
              <w:kinsoku/>
              <w:wordWrap/>
              <w:overflowPunct/>
              <w:topLinePunct w:val="0"/>
              <w:autoSpaceDE/>
              <w:autoSpaceDN/>
              <w:bidi w:val="0"/>
              <w:snapToGrid/>
              <w:spacing w:line="42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（二）服务内容</w:t>
            </w:r>
          </w:p>
          <w:p w14:paraId="0FC09667">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 校园内物业负责公共路面、卫生间、教学及行政办公室等所有公共卫生区域的卫生清洁、垃圾收集、卫生间简单管道疏通等清洁保洁服务；</w:t>
            </w:r>
          </w:p>
          <w:p w14:paraId="407DC3BC">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 校区内公共绿地、花木、建筑小品的养护管理；</w:t>
            </w:r>
          </w:p>
          <w:p w14:paraId="77A92008">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 校内学生宿舍的管理服务；</w:t>
            </w:r>
          </w:p>
          <w:p w14:paraId="31C491C2">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 水电维修管理、协助学校完成设施设备维修保养；积极完成校方安排的其他临时工作任务。</w:t>
            </w:r>
          </w:p>
          <w:p w14:paraId="6601F0FB">
            <w:pPr>
              <w:pStyle w:val="24"/>
              <w:keepNext w:val="0"/>
              <w:keepLines w:val="0"/>
              <w:pageBreakBefore w:val="0"/>
              <w:widowControl w:val="0"/>
              <w:kinsoku/>
              <w:wordWrap/>
              <w:overflowPunct/>
              <w:topLinePunct w:val="0"/>
              <w:autoSpaceDE/>
              <w:autoSpaceDN/>
              <w:bidi w:val="0"/>
              <w:snapToGrid/>
              <w:spacing w:line="42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二、服务要求</w:t>
            </w:r>
          </w:p>
          <w:p w14:paraId="0DC3D8ED">
            <w:pPr>
              <w:pStyle w:val="24"/>
              <w:keepNext w:val="0"/>
              <w:keepLines w:val="0"/>
              <w:pageBreakBefore w:val="0"/>
              <w:widowControl w:val="0"/>
              <w:kinsoku/>
              <w:wordWrap/>
              <w:overflowPunct/>
              <w:topLinePunct w:val="0"/>
              <w:autoSpaceDE/>
              <w:autoSpaceDN/>
              <w:bidi w:val="0"/>
              <w:snapToGrid/>
              <w:spacing w:line="42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（一）总体服务要求</w:t>
            </w:r>
          </w:p>
          <w:p w14:paraId="3311757A">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1．服务用工人数正常班不少于 55 人，假期班不少于26人。具体安排如下：</w:t>
            </w:r>
          </w:p>
          <w:tbl>
            <w:tblPr>
              <w:tblStyle w:val="64"/>
              <w:tblW w:w="76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5"/>
              <w:gridCol w:w="2454"/>
              <w:gridCol w:w="2612"/>
            </w:tblGrid>
            <w:tr w14:paraId="1799CA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2625" w:type="dxa"/>
                  <w:vAlign w:val="center"/>
                </w:tcPr>
                <w:p w14:paraId="0BA53AF6">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班期</w:t>
                  </w:r>
                </w:p>
              </w:tc>
              <w:tc>
                <w:tcPr>
                  <w:tcW w:w="2454" w:type="dxa"/>
                  <w:vAlign w:val="center"/>
                </w:tcPr>
                <w:p w14:paraId="557A07EA">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人员类别</w:t>
                  </w:r>
                </w:p>
              </w:tc>
              <w:tc>
                <w:tcPr>
                  <w:tcW w:w="2612" w:type="dxa"/>
                  <w:vAlign w:val="center"/>
                </w:tcPr>
                <w:p w14:paraId="0AC2040B">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配备人数</w:t>
                  </w:r>
                </w:p>
              </w:tc>
            </w:tr>
            <w:tr w14:paraId="01CD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625" w:type="dxa"/>
                  <w:vMerge w:val="restart"/>
                  <w:vAlign w:val="center"/>
                </w:tcPr>
                <w:p w14:paraId="0EC04D15">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2026-2027年度正常班</w:t>
                  </w:r>
                </w:p>
                <w:p w14:paraId="34A459D0">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（11个月）</w:t>
                  </w:r>
                </w:p>
              </w:tc>
              <w:tc>
                <w:tcPr>
                  <w:tcW w:w="2454" w:type="dxa"/>
                  <w:vAlign w:val="center"/>
                </w:tcPr>
                <w:p w14:paraId="43A504B4">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水电工</w:t>
                  </w:r>
                </w:p>
              </w:tc>
              <w:tc>
                <w:tcPr>
                  <w:tcW w:w="2612" w:type="dxa"/>
                  <w:vAlign w:val="center"/>
                </w:tcPr>
                <w:p w14:paraId="6764DEB4">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6</w:t>
                  </w:r>
                </w:p>
              </w:tc>
            </w:tr>
            <w:tr w14:paraId="013F7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625" w:type="dxa"/>
                  <w:vMerge w:val="continue"/>
                  <w:vAlign w:val="center"/>
                </w:tcPr>
                <w:p w14:paraId="32AB354E">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454" w:type="dxa"/>
                  <w:vAlign w:val="center"/>
                </w:tcPr>
                <w:p w14:paraId="22D69914">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保洁员</w:t>
                  </w:r>
                </w:p>
              </w:tc>
              <w:tc>
                <w:tcPr>
                  <w:tcW w:w="2612" w:type="dxa"/>
                  <w:vAlign w:val="center"/>
                </w:tcPr>
                <w:p w14:paraId="4357D416">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17</w:t>
                  </w:r>
                </w:p>
              </w:tc>
            </w:tr>
            <w:tr w14:paraId="22198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625" w:type="dxa"/>
                  <w:vMerge w:val="continue"/>
                  <w:vAlign w:val="center"/>
                </w:tcPr>
                <w:p w14:paraId="6F541188">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454" w:type="dxa"/>
                  <w:vAlign w:val="center"/>
                </w:tcPr>
                <w:p w14:paraId="20CB6A2C">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绿化员</w:t>
                  </w:r>
                </w:p>
              </w:tc>
              <w:tc>
                <w:tcPr>
                  <w:tcW w:w="2612" w:type="dxa"/>
                  <w:vAlign w:val="center"/>
                </w:tcPr>
                <w:p w14:paraId="72B14520">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w:t>
                  </w:r>
                </w:p>
              </w:tc>
            </w:tr>
            <w:tr w14:paraId="5F4D72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2625" w:type="dxa"/>
                  <w:vMerge w:val="continue"/>
                  <w:vAlign w:val="center"/>
                </w:tcPr>
                <w:p w14:paraId="1E7A2525">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454" w:type="dxa"/>
                  <w:vAlign w:val="center"/>
                </w:tcPr>
                <w:p w14:paraId="0BBEF5C4">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宿管员</w:t>
                  </w:r>
                </w:p>
              </w:tc>
              <w:tc>
                <w:tcPr>
                  <w:tcW w:w="2612" w:type="dxa"/>
                  <w:vAlign w:val="center"/>
                </w:tcPr>
                <w:p w14:paraId="530A0C64">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27</w:t>
                  </w:r>
                </w:p>
              </w:tc>
            </w:tr>
            <w:tr w14:paraId="6DB59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625" w:type="dxa"/>
                  <w:vMerge w:val="continue"/>
                  <w:vAlign w:val="center"/>
                </w:tcPr>
                <w:p w14:paraId="23E63B79">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454" w:type="dxa"/>
                  <w:vAlign w:val="center"/>
                </w:tcPr>
                <w:p w14:paraId="312B205E">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合计</w:t>
                  </w:r>
                </w:p>
              </w:tc>
              <w:tc>
                <w:tcPr>
                  <w:tcW w:w="2612" w:type="dxa"/>
                  <w:vAlign w:val="center"/>
                </w:tcPr>
                <w:p w14:paraId="0F692A87">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55</w:t>
                  </w:r>
                </w:p>
              </w:tc>
            </w:tr>
            <w:tr w14:paraId="118C8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625" w:type="dxa"/>
                  <w:vMerge w:val="restart"/>
                  <w:vAlign w:val="center"/>
                </w:tcPr>
                <w:p w14:paraId="33CF3E40">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2026-2027年度假期班</w:t>
                  </w:r>
                </w:p>
                <w:p w14:paraId="60D7A98D">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（1.2个月）</w:t>
                  </w:r>
                </w:p>
              </w:tc>
              <w:tc>
                <w:tcPr>
                  <w:tcW w:w="2454" w:type="dxa"/>
                  <w:shd w:val="clear" w:color="auto" w:fill="auto"/>
                  <w:vAlign w:val="center"/>
                </w:tcPr>
                <w:p w14:paraId="5967B4E0">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水电工</w:t>
                  </w:r>
                </w:p>
              </w:tc>
              <w:tc>
                <w:tcPr>
                  <w:tcW w:w="2612" w:type="dxa"/>
                  <w:vAlign w:val="center"/>
                </w:tcPr>
                <w:p w14:paraId="3F348943">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6</w:t>
                  </w:r>
                </w:p>
              </w:tc>
            </w:tr>
            <w:tr w14:paraId="0EB9F6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625" w:type="dxa"/>
                  <w:vMerge w:val="continue"/>
                  <w:vAlign w:val="center"/>
                </w:tcPr>
                <w:p w14:paraId="5513FC58">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454" w:type="dxa"/>
                  <w:vAlign w:val="center"/>
                </w:tcPr>
                <w:p w14:paraId="24CEF006">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保洁员</w:t>
                  </w:r>
                </w:p>
              </w:tc>
              <w:tc>
                <w:tcPr>
                  <w:tcW w:w="2612" w:type="dxa"/>
                  <w:vAlign w:val="center"/>
                </w:tcPr>
                <w:p w14:paraId="586BA143">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10</w:t>
                  </w:r>
                </w:p>
              </w:tc>
            </w:tr>
            <w:tr w14:paraId="2B6F2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625" w:type="dxa"/>
                  <w:vMerge w:val="continue"/>
                  <w:vAlign w:val="center"/>
                </w:tcPr>
                <w:p w14:paraId="1D805163">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454" w:type="dxa"/>
                  <w:vAlign w:val="center"/>
                </w:tcPr>
                <w:p w14:paraId="65F45C7C">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绿化员</w:t>
                  </w:r>
                </w:p>
              </w:tc>
              <w:tc>
                <w:tcPr>
                  <w:tcW w:w="2612" w:type="dxa"/>
                  <w:vAlign w:val="center"/>
                </w:tcPr>
                <w:p w14:paraId="26670C2C">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w:t>
                  </w:r>
                </w:p>
              </w:tc>
            </w:tr>
            <w:tr w14:paraId="16832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625" w:type="dxa"/>
                  <w:vMerge w:val="continue"/>
                  <w:vAlign w:val="center"/>
                </w:tcPr>
                <w:p w14:paraId="67DA47F9">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454" w:type="dxa"/>
                  <w:vAlign w:val="center"/>
                </w:tcPr>
                <w:p w14:paraId="58E31423">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宿管员</w:t>
                  </w:r>
                </w:p>
              </w:tc>
              <w:tc>
                <w:tcPr>
                  <w:tcW w:w="2612" w:type="dxa"/>
                  <w:vAlign w:val="center"/>
                </w:tcPr>
                <w:p w14:paraId="2BBB9DF6">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w:t>
                  </w:r>
                </w:p>
              </w:tc>
            </w:tr>
            <w:tr w14:paraId="21DE4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625" w:type="dxa"/>
                  <w:vMerge w:val="continue"/>
                  <w:vAlign w:val="center"/>
                </w:tcPr>
                <w:p w14:paraId="1E775D81">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454" w:type="dxa"/>
                  <w:vAlign w:val="center"/>
                </w:tcPr>
                <w:p w14:paraId="4DD66F1A">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合计</w:t>
                  </w:r>
                </w:p>
              </w:tc>
              <w:tc>
                <w:tcPr>
                  <w:tcW w:w="2612" w:type="dxa"/>
                  <w:vAlign w:val="center"/>
                </w:tcPr>
                <w:p w14:paraId="7440B9D7">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26</w:t>
                  </w:r>
                </w:p>
              </w:tc>
            </w:tr>
            <w:tr w14:paraId="5A86D7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625" w:type="dxa"/>
                  <w:vMerge w:val="restart"/>
                  <w:shd w:val="clear" w:color="auto" w:fill="auto"/>
                  <w:vAlign w:val="center"/>
                </w:tcPr>
                <w:p w14:paraId="4786EE87">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2027-2028年度正常班</w:t>
                  </w:r>
                </w:p>
                <w:p w14:paraId="58EA3E3A">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（11个月）</w:t>
                  </w:r>
                </w:p>
              </w:tc>
              <w:tc>
                <w:tcPr>
                  <w:tcW w:w="2454" w:type="dxa"/>
                  <w:vAlign w:val="center"/>
                </w:tcPr>
                <w:p w14:paraId="364A9A4A">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水电工</w:t>
                  </w:r>
                </w:p>
              </w:tc>
              <w:tc>
                <w:tcPr>
                  <w:tcW w:w="2612" w:type="dxa"/>
                  <w:vAlign w:val="center"/>
                </w:tcPr>
                <w:p w14:paraId="28722AFD">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6</w:t>
                  </w:r>
                </w:p>
              </w:tc>
            </w:tr>
            <w:tr w14:paraId="3B4223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625" w:type="dxa"/>
                  <w:vMerge w:val="continue"/>
                  <w:vAlign w:val="center"/>
                </w:tcPr>
                <w:p w14:paraId="0935375B">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454" w:type="dxa"/>
                  <w:vAlign w:val="center"/>
                </w:tcPr>
                <w:p w14:paraId="71B205CF">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保洁员</w:t>
                  </w:r>
                </w:p>
              </w:tc>
              <w:tc>
                <w:tcPr>
                  <w:tcW w:w="2612" w:type="dxa"/>
                  <w:vAlign w:val="center"/>
                </w:tcPr>
                <w:p w14:paraId="599761A7">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17</w:t>
                  </w:r>
                </w:p>
              </w:tc>
            </w:tr>
            <w:tr w14:paraId="6490A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625" w:type="dxa"/>
                  <w:vMerge w:val="continue"/>
                  <w:vAlign w:val="center"/>
                </w:tcPr>
                <w:p w14:paraId="3D8663F2">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454" w:type="dxa"/>
                  <w:vAlign w:val="center"/>
                </w:tcPr>
                <w:p w14:paraId="455E34F4">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绿化员</w:t>
                  </w:r>
                </w:p>
              </w:tc>
              <w:tc>
                <w:tcPr>
                  <w:tcW w:w="2612" w:type="dxa"/>
                  <w:vAlign w:val="center"/>
                </w:tcPr>
                <w:p w14:paraId="0313B821">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w:t>
                  </w:r>
                </w:p>
              </w:tc>
            </w:tr>
            <w:tr w14:paraId="676C7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625" w:type="dxa"/>
                  <w:vMerge w:val="continue"/>
                  <w:vAlign w:val="center"/>
                </w:tcPr>
                <w:p w14:paraId="457C887B">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454" w:type="dxa"/>
                  <w:vAlign w:val="center"/>
                </w:tcPr>
                <w:p w14:paraId="35D1D9E0">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宿管员</w:t>
                  </w:r>
                </w:p>
              </w:tc>
              <w:tc>
                <w:tcPr>
                  <w:tcW w:w="2612" w:type="dxa"/>
                  <w:vAlign w:val="center"/>
                </w:tcPr>
                <w:p w14:paraId="18CA6C9B">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27</w:t>
                  </w:r>
                </w:p>
              </w:tc>
            </w:tr>
            <w:tr w14:paraId="6C567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625" w:type="dxa"/>
                  <w:vMerge w:val="continue"/>
                  <w:vAlign w:val="center"/>
                </w:tcPr>
                <w:p w14:paraId="23899E9C">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454" w:type="dxa"/>
                  <w:vAlign w:val="center"/>
                </w:tcPr>
                <w:p w14:paraId="22C2DAE7">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合计</w:t>
                  </w:r>
                </w:p>
              </w:tc>
              <w:tc>
                <w:tcPr>
                  <w:tcW w:w="2612" w:type="dxa"/>
                  <w:vAlign w:val="center"/>
                </w:tcPr>
                <w:p w14:paraId="20D510C1">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55</w:t>
                  </w:r>
                </w:p>
              </w:tc>
            </w:tr>
            <w:tr w14:paraId="6E7F1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625" w:type="dxa"/>
                  <w:vMerge w:val="restart"/>
                  <w:vAlign w:val="center"/>
                </w:tcPr>
                <w:p w14:paraId="28F5AC7A">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2027-2028年度假期班</w:t>
                  </w:r>
                </w:p>
                <w:p w14:paraId="1E399519">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kern w:val="2"/>
                      <w:sz w:val="24"/>
                      <w:szCs w:val="24"/>
                      <w:highlight w:val="none"/>
                      <w:vertAlign w:val="baseline"/>
                      <w:lang w:val="en-US" w:eastAsia="zh-CN" w:bidi="ar-SA"/>
                    </w:rPr>
                  </w:pPr>
                  <w:r>
                    <w:rPr>
                      <w:rFonts w:hint="eastAsia" w:ascii="宋体" w:hAnsi="宋体" w:eastAsia="宋体" w:cs="宋体"/>
                      <w:color w:val="auto"/>
                      <w:sz w:val="24"/>
                      <w:szCs w:val="24"/>
                      <w:highlight w:val="none"/>
                      <w:vertAlign w:val="baseline"/>
                      <w:lang w:val="en-US" w:eastAsia="zh-CN"/>
                    </w:rPr>
                    <w:t>（1个月）</w:t>
                  </w:r>
                </w:p>
              </w:tc>
              <w:tc>
                <w:tcPr>
                  <w:tcW w:w="2454" w:type="dxa"/>
                  <w:vAlign w:val="center"/>
                </w:tcPr>
                <w:p w14:paraId="027C935C">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水电工</w:t>
                  </w:r>
                </w:p>
              </w:tc>
              <w:tc>
                <w:tcPr>
                  <w:tcW w:w="2612" w:type="dxa"/>
                </w:tcPr>
                <w:p w14:paraId="74BEFB27">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6</w:t>
                  </w:r>
                </w:p>
              </w:tc>
            </w:tr>
            <w:tr w14:paraId="2510D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625" w:type="dxa"/>
                  <w:vMerge w:val="continue"/>
                </w:tcPr>
                <w:p w14:paraId="697B809B">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454" w:type="dxa"/>
                  <w:vAlign w:val="center"/>
                </w:tcPr>
                <w:p w14:paraId="57A45E32">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保洁员</w:t>
                  </w:r>
                </w:p>
              </w:tc>
              <w:tc>
                <w:tcPr>
                  <w:tcW w:w="2612" w:type="dxa"/>
                </w:tcPr>
                <w:p w14:paraId="73819791">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10</w:t>
                  </w:r>
                </w:p>
              </w:tc>
            </w:tr>
            <w:tr w14:paraId="2FDD5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625" w:type="dxa"/>
                  <w:vMerge w:val="continue"/>
                </w:tcPr>
                <w:p w14:paraId="59A16019">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454" w:type="dxa"/>
                  <w:vAlign w:val="center"/>
                </w:tcPr>
                <w:p w14:paraId="18EE8509">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绿化员</w:t>
                  </w:r>
                </w:p>
              </w:tc>
              <w:tc>
                <w:tcPr>
                  <w:tcW w:w="2612" w:type="dxa"/>
                </w:tcPr>
                <w:p w14:paraId="444ACA93">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w:t>
                  </w:r>
                </w:p>
              </w:tc>
            </w:tr>
            <w:tr w14:paraId="438F5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625" w:type="dxa"/>
                  <w:vMerge w:val="continue"/>
                </w:tcPr>
                <w:p w14:paraId="29CFD887">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454" w:type="dxa"/>
                  <w:vAlign w:val="center"/>
                </w:tcPr>
                <w:p w14:paraId="69FC0F5D">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宿管员</w:t>
                  </w:r>
                </w:p>
              </w:tc>
              <w:tc>
                <w:tcPr>
                  <w:tcW w:w="2612" w:type="dxa"/>
                </w:tcPr>
                <w:p w14:paraId="5A3F3C91">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w:t>
                  </w:r>
                </w:p>
              </w:tc>
            </w:tr>
            <w:tr w14:paraId="61794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2625" w:type="dxa"/>
                  <w:vMerge w:val="continue"/>
                </w:tcPr>
                <w:p w14:paraId="7F0DD023">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454" w:type="dxa"/>
                  <w:vAlign w:val="center"/>
                </w:tcPr>
                <w:p w14:paraId="21CB62F1">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合计</w:t>
                  </w:r>
                </w:p>
              </w:tc>
              <w:tc>
                <w:tcPr>
                  <w:tcW w:w="2612" w:type="dxa"/>
                </w:tcPr>
                <w:p w14:paraId="28DF3D28">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26</w:t>
                  </w:r>
                </w:p>
              </w:tc>
            </w:tr>
          </w:tbl>
          <w:p w14:paraId="2FD4C978">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 </w:t>
            </w:r>
            <w:r>
              <w:rPr>
                <w:rFonts w:hint="eastAsia" w:hAnsi="宋体" w:cs="宋体"/>
                <w:color w:val="auto"/>
                <w:sz w:val="24"/>
                <w:szCs w:val="24"/>
                <w:highlight w:val="none"/>
                <w:lang w:val="en-US" w:eastAsia="zh-CN"/>
              </w:rPr>
              <w:t>供应商必须为所有上岗人员依法购买社会保险（包括养老保险、医疗保险、失业保险、工伤保险、生育保险），并承诺为本项目派驻全体服务人员统一购买雇主责任险或人身意外保险（二选一）。其中雇主责任险身故伤残责任保额不低于20万元/人、医疗费用责任保额不低于2万元/人；如选择人身意外保险，保额标准不低于同等水平</w:t>
            </w:r>
            <w:r>
              <w:rPr>
                <w:rFonts w:hint="eastAsia" w:ascii="宋体" w:hAnsi="宋体" w:eastAsia="宋体" w:cs="宋体"/>
                <w:color w:val="auto"/>
                <w:sz w:val="24"/>
                <w:szCs w:val="24"/>
                <w:highlight w:val="none"/>
                <w:lang w:val="en-US" w:eastAsia="zh-CN"/>
              </w:rPr>
              <w:t>。</w:t>
            </w:r>
          </w:p>
          <w:p w14:paraId="5F55B963">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 女员工年龄在18-50岁，男员工年龄在18-58 岁。</w:t>
            </w:r>
          </w:p>
          <w:p w14:paraId="230BCC13">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 上岗人员在工作期间发生员工工伤及意外伤害事故以及涉及用工方面的劳务纠纷和劳动事故全部由</w:t>
            </w: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承担责任。</w:t>
            </w:r>
          </w:p>
          <w:p w14:paraId="17621549">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 服务费涵盖基本工资、社会保险、物业服务费、税费等费用。</w:t>
            </w:r>
          </w:p>
          <w:p w14:paraId="3399C002">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6. </w:t>
            </w: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必须每月按时足额发放员工工资，不得以任何理由拖欠员工工资，确保及时足额支付。</w:t>
            </w:r>
          </w:p>
          <w:p w14:paraId="534A9340">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7. </w:t>
            </w: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需有物业服务方案，质量管理、档案管理等制度。</w:t>
            </w:r>
          </w:p>
          <w:p w14:paraId="2C045670">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 物业服务人员统一着装，行为规范，服务主动热情。</w:t>
            </w:r>
          </w:p>
          <w:p w14:paraId="2F7FF185">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9. </w:t>
            </w: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须为所有上岗人员统一配备工服、水鞋、雨衣等劳动保护用品，并为电工、绿化、水泥工等岗位人员配备安全帽，且督促其在作业期间规范佩戴。相关费用已包含在服务费中，采购人有权对此进行监督与考核。</w:t>
            </w:r>
          </w:p>
          <w:p w14:paraId="0456CEFD">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10. </w:t>
            </w: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须严格遵守采购人资产与废弃物管理规定。所有上岗人员在日常工作中，不得捡拾、收集、私占校内产生的各类可回收废弃物（如纸皮、水瓶、废弃金属、塑料等）并带离校园出售或个人牟利。维修更换产生的废旧设施、材料、零部件等均属采购人资产，供应商须集中存放、登记，并按学校要求进行统一处置，不得擅自处理或变卖。供应商有责任对所属员工进行教育与管理，确保本要求得到有效执行。如有违反，采购人将视情节在月度服务质量考核中扣分，并有权要求供应商对相关人员进行严肃处理；造成学校资产损失的，供应商承担相应赔偿责任。</w:t>
            </w:r>
          </w:p>
          <w:p w14:paraId="29476AEB">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11. </w:t>
            </w: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每季度接受采购人服务质量考核，考核由采购人或校方采取日常巡查、随机抽查、专项检查相结合的方式进行。服务费以考核得分等级支付，支付比例如下：得分≥90分：支付当季应付服务费的100%；80分≤得分&lt;90分：支付当季应付服务费的95%；70 分≤得分&lt;80分：支付当季应付服务费的90%；得分&lt;70分：支付当季应付服务费的85%。得分低于70分或连续两季度低于80分，采购人或校方有权发出警告，要求限期整改，未能完成整改的采购人有权终止合同。（考核标准详见《附件：考核标准》）</w:t>
            </w:r>
          </w:p>
          <w:p w14:paraId="626E9FDB">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p>
          <w:p w14:paraId="163C0E69">
            <w:pPr>
              <w:pStyle w:val="24"/>
              <w:keepNext w:val="0"/>
              <w:keepLines w:val="0"/>
              <w:pageBreakBefore w:val="0"/>
              <w:widowControl w:val="0"/>
              <w:kinsoku/>
              <w:wordWrap/>
              <w:overflowPunct/>
              <w:topLinePunct w:val="0"/>
              <w:autoSpaceDE/>
              <w:autoSpaceDN/>
              <w:bidi w:val="0"/>
              <w:snapToGrid/>
              <w:spacing w:line="42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（二）具体工作要求</w:t>
            </w:r>
          </w:p>
          <w:p w14:paraId="6C69DAEB">
            <w:pPr>
              <w:pStyle w:val="24"/>
              <w:keepNext w:val="0"/>
              <w:keepLines w:val="0"/>
              <w:pageBreakBefore w:val="0"/>
              <w:widowControl w:val="0"/>
              <w:kinsoku/>
              <w:wordWrap/>
              <w:overflowPunct/>
              <w:topLinePunct w:val="0"/>
              <w:autoSpaceDE/>
              <w:autoSpaceDN/>
              <w:bidi w:val="0"/>
              <w:snapToGrid/>
              <w:spacing w:line="42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 保洁员的卫生保洁服务</w:t>
            </w:r>
          </w:p>
          <w:p w14:paraId="7CF1B7EB">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（1）服务原则</w:t>
            </w:r>
          </w:p>
          <w:p w14:paraId="0E290B84">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坚持“教学零干扰”作业，所有清洁、消毒、通风工作须安排于上课前、下课后或非教学高峰时段进行，确保正常教学秩序。</w:t>
            </w:r>
          </w:p>
          <w:p w14:paraId="5D62A1F1">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（2）服务范围</w:t>
            </w:r>
          </w:p>
          <w:p w14:paraId="23504C56">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涵盖校内各类建筑及公共区域，具体包括：</w:t>
            </w:r>
          </w:p>
          <w:p w14:paraId="07CC5EC3">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①楼宇内部：楼宇内部：教学楼①②栋、实训楼①②③栋、综合楼A、B 座、公租房①②栋、教师公寓 12 栋的各楼层卫生间、走廊、楼梯，学生食堂 1 至 3 楼就餐区、厕所、楼梯等。</w:t>
            </w:r>
          </w:p>
          <w:p w14:paraId="1DA9E76B">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②功能场所：行政办公室、教研组办公室、会议室、报告厅、图书馆、大礼堂、电梯等。</w:t>
            </w:r>
          </w:p>
          <w:p w14:paraId="7B234599">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③公共区域：公共教室、运动场所、校内广场、道路、停车场、绿化带、垃圾桶、垃圾池、宣传栏、标识牌等。</w:t>
            </w:r>
          </w:p>
          <w:p w14:paraId="35D0B31D">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④专项清洁：路面灯具、不锈钢饰品、宣传栏、校牌、标示牌、楼梯栏杆、护栏、雨篷、3米以下玻璃的日常保洁（3米以上高空部位玻璃幕墙清洗的，由中标人组织进行，涉及的费用由校方另行支付）。</w:t>
            </w:r>
          </w:p>
          <w:p w14:paraId="0989E561">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（3）作业频次与标准</w:t>
            </w:r>
          </w:p>
          <w:p w14:paraId="029A1F20">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①日常保洁：学生食堂就餐区、厕所、楼梯等每日早、中、晚均需保洁，其他区域（包括公共大教室）每日上、下午各进行一次保洁，所有区域全天候循环保洁，做到随脏随清。</w:t>
            </w:r>
          </w:p>
          <w:p w14:paraId="6EE7BCA1">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②清洁通风：每日对楼宇内部、功能场所及通道等区域进行清洁并通风，并定期消毒。</w:t>
            </w:r>
          </w:p>
          <w:p w14:paraId="4DC5E082">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③垃圾管理：每日对食堂厨余垃圾进行收集清运放到指定地方。每日对校内垃圾及时收集、中转、清运并清理垃圾池（涉及环境部门垃圾清运及处理费用由校方负责）。</w:t>
            </w:r>
          </w:p>
          <w:p w14:paraId="5EBB809D">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（4）清洁质量要求：</w:t>
            </w:r>
          </w:p>
          <w:p w14:paraId="237052E4">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①地面无垃圾、杂物、污渍、积水，公共场所无明显泥沙、污垢，每100㎡内纸屑不超过2片、无大于1cm石子。</w:t>
            </w:r>
          </w:p>
          <w:p w14:paraId="4D6BE92A">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②墙面无浮灰、蛛网、污迹；玻璃光洁无痕，灯具无尘无虫。</w:t>
            </w:r>
          </w:p>
          <w:p w14:paraId="35738B6F">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③卫生间无异味，便器无黄渍，天花、墙角清洁。</w:t>
            </w:r>
          </w:p>
          <w:p w14:paraId="7BB6C39F">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④垃圾箱清运及时，清运率100%；垃圾桶外表干净、无满溢，周边无污垢、积水、异味。</w:t>
            </w:r>
          </w:p>
          <w:p w14:paraId="054C1628">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⑤排水沟无淤积，校园无卫生死角。</w:t>
            </w:r>
          </w:p>
          <w:p w14:paraId="3693D241">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⑥食堂就餐区地面无油渍、无食物残渣堆积，餐桌椅清洁无污渍，残食回收台周边整洁、无堵塞。</w:t>
            </w:r>
          </w:p>
          <w:p w14:paraId="264C711F">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（5）其他服务要求</w:t>
            </w:r>
          </w:p>
          <w:p w14:paraId="1450E281">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①卫生防疫：根据校方安排，定期开展灭蚊、灭蝇、灭蚁、灭蟑、灭鼠等卫生防疫工作（药品由校方另行提供）。</w:t>
            </w:r>
          </w:p>
          <w:p w14:paraId="172C057E">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②协助学校做好疫情防控、创城等与物业服务相关的工作</w:t>
            </w:r>
          </w:p>
          <w:p w14:paraId="440131C6">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③临时任务配合：积极配合学校大型活动、检查等临时性活动卫生保洁工作。</w:t>
            </w:r>
          </w:p>
          <w:p w14:paraId="19560328">
            <w:pPr>
              <w:pStyle w:val="24"/>
              <w:keepNext w:val="0"/>
              <w:keepLines w:val="0"/>
              <w:pageBreakBefore w:val="0"/>
              <w:widowControl w:val="0"/>
              <w:kinsoku/>
              <w:wordWrap/>
              <w:overflowPunct/>
              <w:topLinePunct w:val="0"/>
              <w:autoSpaceDE/>
              <w:autoSpaceDN/>
              <w:bidi w:val="0"/>
              <w:snapToGrid/>
              <w:spacing w:line="42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 绿化员的绿化维护服务</w:t>
            </w:r>
          </w:p>
          <w:p w14:paraId="79C262F8">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（1）总体养护目标</w:t>
            </w:r>
          </w:p>
          <w:p w14:paraId="5BBA03BB">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确保校园绿化景观“三季有花，四季常青”，植株生长健壮、形态美观。负责学校大型活动及重大节日的花卉布置工作。</w:t>
            </w:r>
          </w:p>
          <w:p w14:paraId="5D5DE949">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（2）日常养护工作项目与标准</w:t>
            </w:r>
          </w:p>
          <w:p w14:paraId="5924AAAD">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①浇水：草地灌木每周至少浇两次（具体视天气情况）。做到保持植物良好长势，杜绝因为缺水出现枯萎等现象。</w:t>
            </w:r>
          </w:p>
          <w:p w14:paraId="3FBE1E4B">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②施肥：平均2-3次/年。做到施肥均匀、充足、适度、保证绿化植物强壮、枝叶茂盛。</w:t>
            </w:r>
          </w:p>
          <w:p w14:paraId="7D7F9F38">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③修剪整形：草地8-10次/年，灌木6-8次/年（根据长势状况而定），乔木修剪2-4次/年。做到草的高度一致，整齐美观。乔、灌木：植物主枝分布均匀；绿篱整齐一致。</w:t>
            </w:r>
          </w:p>
          <w:p w14:paraId="4FEBA667">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④病虫害防治：草地、灌木、乔木及时防治。视病害发生情况适时喷药，使用国家规定的绿色环保农药。</w:t>
            </w:r>
          </w:p>
          <w:p w14:paraId="30B1827A">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⑤病虫草松土：每月除杂草一遍，雨后杂草严重者每周一遍。做到花丛下无杂草，树盘内无杂草，花木丛中不允许有高于花木的杂草，草坪上不允许有开花杂草。</w:t>
            </w:r>
          </w:p>
          <w:p w14:paraId="24B56515">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⑥清理绿化垃圾：修剪下来的树枝和杂草要当天清运，不准就地焚烧。做到有专人跟踪保洁。</w:t>
            </w:r>
          </w:p>
          <w:p w14:paraId="0264C04B">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⑦防风防汛：灾前积极预防，对树木加固，灾后及时清除倒树断枝、疏通道路、清理垃圾。做到尽快恢复原状、不能影响学校正常工作。</w:t>
            </w:r>
          </w:p>
          <w:p w14:paraId="4AFB09C3">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（3）整体质量要求</w:t>
            </w:r>
          </w:p>
          <w:p w14:paraId="4BFB1F99">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按不同季节对花卉苗木的养护要求进行养护，并做到：</w:t>
            </w:r>
          </w:p>
          <w:p w14:paraId="3DBB29DA">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①树灌木完整，长势茂盛，无枯枝死杈，无病虫害，树木无钉枪捆绑。</w:t>
            </w:r>
          </w:p>
          <w:p w14:paraId="56788622">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②绿篱、绿地整洁无杂草、杂物、物料堆放。</w:t>
            </w:r>
          </w:p>
          <w:p w14:paraId="79515BA6">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③绿化设施完好率不低于98%。</w:t>
            </w:r>
          </w:p>
          <w:p w14:paraId="06AA4DEA">
            <w:pPr>
              <w:pStyle w:val="24"/>
              <w:keepNext w:val="0"/>
              <w:keepLines w:val="0"/>
              <w:pageBreakBefore w:val="0"/>
              <w:widowControl w:val="0"/>
              <w:kinsoku/>
              <w:wordWrap/>
              <w:overflowPunct/>
              <w:topLinePunct w:val="0"/>
              <w:autoSpaceDE/>
              <w:autoSpaceDN/>
              <w:bidi w:val="0"/>
              <w:snapToGrid/>
              <w:spacing w:line="42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 水电工的日常维修服务</w:t>
            </w:r>
          </w:p>
          <w:p w14:paraId="0FB68792">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（1）维修服务原则</w:t>
            </w:r>
          </w:p>
          <w:p w14:paraId="3546023E">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应遵循“经济节约、修旧利废”的原则。对于损坏的设施设备及物品，应首先评估其维修可行性及成本。凡通过维修可以恢复正常使用功能、且维修成本低于更换成本的，必须优先进行维修处理，不得无故建议或要求更换。若确需更换，必须向采购人提交书面说明，并经采购人确认同意后，方可进行更换。</w:t>
            </w:r>
          </w:p>
          <w:p w14:paraId="49900A1E">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（2）日常巡检制度</w:t>
            </w:r>
          </w:p>
          <w:p w14:paraId="4FAA0B31">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建立巡视制度，每日上、下午各进行一次全面巡检并记录，覆盖以下系统：</w:t>
            </w:r>
          </w:p>
          <w:p w14:paraId="03240EBA">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①排水排污：检查管道畅通情况，及时清理杂物（化粪池沉积物的抽吸、清掏由中标人负责实施及联络工作，相关费用由学校另行负责）。</w:t>
            </w:r>
          </w:p>
          <w:p w14:paraId="20D32481">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②公共照明：检查学校路灯及楼梯照明是否正常，发现故障及时修复，并早晚巡检及时关闭无照明需要的电灯，避免浪费电力。</w:t>
            </w:r>
          </w:p>
          <w:p w14:paraId="393AF6CF">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③公共设施：检查有无损毁公共设施，包括门窗、家具、室内照明、水电管线等，发现损坏立即维修；如属人为破坏情况需制止并上报。</w:t>
            </w:r>
          </w:p>
          <w:p w14:paraId="0A8812DB">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④管线安全：检查各类水、电、气等管线有无破损、断裂、锈蚀，一经发现立即进行维修并做好记录，保证各类管道电线正常使用。</w:t>
            </w:r>
          </w:p>
          <w:p w14:paraId="0F5B7EF6">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⑤配电设施：保持电缆沟（竖井）无水渍、杂物、鼠害、配电箱外观干燥完好、整洁、运行正常。</w:t>
            </w:r>
          </w:p>
          <w:p w14:paraId="49A759F1">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⑥节能管理：杜绝“长明灯、长流水”及“跑冒滴漏”现象。</w:t>
            </w:r>
          </w:p>
          <w:p w14:paraId="58FFF835">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（3）维修维护内容</w:t>
            </w:r>
          </w:p>
          <w:p w14:paraId="37873844">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①公共区域：维修教学楼、办公楼等场所的门窗、桌椅、照明、给排水、电器及户外设施（道路、宣传栏等）。</w:t>
            </w:r>
          </w:p>
          <w:p w14:paraId="25AEC0A4">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②宿舍区域：维修宿舍内家具、门窗锁具、水电设施（灯具插座、龙头、淋浴器等），并保障热水系统正常运行。</w:t>
            </w:r>
          </w:p>
          <w:p w14:paraId="7AC1DE56">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③响应要求：影响教学的公共区域故障及宿舍区紧急报修（如断电、漏水），须优先按应急流程处理。</w:t>
            </w:r>
          </w:p>
          <w:p w14:paraId="2D3DC5BF">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（4）应急与值班制度</w:t>
            </w:r>
          </w:p>
          <w:p w14:paraId="491AACA3">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①水电工24小时值班，随时响应。</w:t>
            </w:r>
          </w:p>
          <w:p w14:paraId="351371D3">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②向校方提供紧急联络名录，确保信息畅通。</w:t>
            </w:r>
          </w:p>
          <w:p w14:paraId="613B4D17">
            <w:pPr>
              <w:pStyle w:val="24"/>
              <w:keepNext w:val="0"/>
              <w:keepLines w:val="0"/>
              <w:pageBreakBefore w:val="0"/>
              <w:widowControl w:val="0"/>
              <w:kinsoku/>
              <w:wordWrap/>
              <w:overflowPunct/>
              <w:topLinePunct w:val="0"/>
              <w:autoSpaceDE/>
              <w:autoSpaceDN/>
              <w:bidi w:val="0"/>
              <w:snapToGrid/>
              <w:spacing w:line="420" w:lineRule="exact"/>
              <w:ind w:left="0" w:leftChars="0" w:firstLine="482" w:firstLineChars="200"/>
              <w:textAlignment w:val="auto"/>
              <w:rPr>
                <w:rFonts w:hint="eastAsia" w:ascii="宋体" w:hAnsi="宋体" w:eastAsia="宋体" w:cs="宋体"/>
                <w:b/>
                <w:bCs/>
                <w:color w:val="auto"/>
                <w:sz w:val="24"/>
                <w:szCs w:val="24"/>
                <w:highlight w:val="none"/>
                <w:vertAlign w:val="baseline"/>
                <w:lang w:val="en-US" w:eastAsia="zh-CN"/>
              </w:rPr>
            </w:pPr>
            <w:r>
              <w:rPr>
                <w:rFonts w:hint="eastAsia" w:ascii="宋体" w:hAnsi="宋体" w:eastAsia="宋体" w:cs="宋体"/>
                <w:b/>
                <w:bCs/>
                <w:color w:val="auto"/>
                <w:sz w:val="24"/>
                <w:szCs w:val="24"/>
                <w:highlight w:val="none"/>
                <w:lang w:val="en-US" w:eastAsia="zh-CN"/>
              </w:rPr>
              <w:t xml:space="preserve">4. </w:t>
            </w:r>
            <w:r>
              <w:rPr>
                <w:rFonts w:hint="eastAsia" w:ascii="宋体" w:hAnsi="宋体" w:eastAsia="宋体" w:cs="宋体"/>
                <w:b/>
                <w:bCs/>
                <w:color w:val="auto"/>
                <w:sz w:val="24"/>
                <w:szCs w:val="24"/>
                <w:highlight w:val="none"/>
                <w:vertAlign w:val="baseline"/>
                <w:lang w:val="en-US" w:eastAsia="zh-CN"/>
              </w:rPr>
              <w:t>宿管员的学生宿舍服务</w:t>
            </w:r>
          </w:p>
          <w:p w14:paraId="1EE90D33">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（1）服务模式</w:t>
            </w:r>
          </w:p>
          <w:p w14:paraId="1A700713">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学生宿舍实行24 小时值班制。共计12 栋宿舍楼，每栋楼每班次配备1 名宿管员，实行三班倒。</w:t>
            </w:r>
          </w:p>
          <w:p w14:paraId="7A03F6A9">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（2）核心职责与服务要求</w:t>
            </w:r>
          </w:p>
          <w:p w14:paraId="49B1034A">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在学校相关科室的领导下，做好学生宿舍的各项管理、服务工作。</w:t>
            </w:r>
          </w:p>
          <w:p w14:paraId="7C1CBD7A">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①热爱本职工作，按时上岗。坚持原则，严格执行学生宿舍管理规章制度，保持高度的警惕性和责任感，负责管理区域内的安全防范工作和过道、楼梯及周边环境卫生工作。</w:t>
            </w:r>
          </w:p>
          <w:p w14:paraId="41265C61">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②了解住宿学生的基本情况，熟悉学生管理工作老师及联系方式。</w:t>
            </w:r>
          </w:p>
          <w:p w14:paraId="4AC601F2">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③实行全天24 小时值班制，节假日、寒暑假按照学校工作要求进行排班，并且服从学校工作安排（包含且不限于宿舍管理工作）。按规定时间准时值班并做好当班记录，并在值班情况栏上签名。</w:t>
            </w:r>
          </w:p>
          <w:p w14:paraId="2E97EA53">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④禁止闲人进入值班室，禁止做与值班无关的事。严禁任意叫人顶班，严禁随意离岗。</w:t>
            </w:r>
          </w:p>
          <w:p w14:paraId="5C0175B8">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⑤执行学校半封闭管理规章制度，按时开关学生宿舍大门，关闭时原则上禁止人员出入。发现公物丢失或损坏的作好记录，并及时报告总务处，同时将内务卫生检查情况公布在黑板上。每晚按规定关闭宿舍楼大门并巡视楼内，督促学生按时休息。</w:t>
            </w:r>
          </w:p>
          <w:p w14:paraId="0AAF4E1D">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⑥执行来访登记制度，对来访人员应查看其有效证件，询问来访目的，办理登记手续后方可进入学生宿舍楼。严禁异性人员进入宿舍内，认真检查进出人员携带的物品，对可疑人员要盘问，午休及晚上21：30 后不接待来访，禁止学生留宿外来人员，禁止推销及收废品人员进入宿舍楼。</w:t>
            </w:r>
          </w:p>
          <w:p w14:paraId="43ED66F9">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⑦检查和督促学生佩戴校牌出入学生宿舍楼，制止学生在学习、休息时间进行阻碍他人学习和休息的活动，制止学生的不文明行为，制止学生酗酒、打架斗殴、搓麻将、打麻将牌、赌博等，敢于同坏人坏事作斗争，若遇突发事件，及时报告学校领导。</w:t>
            </w:r>
          </w:p>
          <w:p w14:paraId="42A56B3D">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⑧负责学生宿舍的卫生管理，维护学生宿舍区内的秩序，规范物品的堆放，制止乱停乱放。具体要求如下： </w:t>
            </w:r>
          </w:p>
          <w:p w14:paraId="08E22632">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a .坚持每天对宿舍楼公物、门窗玻璃、消防器材等设施设备、学生反映的维修项目和安全隐患情况及时掌握，分清责任，如实上报且做好记录。熟悉消防器材的使用与保养，熟知消防通道钥匙的放置位置，遇到特殊紧急情况能及时打开消防通道，组织学生疏散撤离。</w:t>
            </w:r>
          </w:p>
          <w:p w14:paraId="0B028285">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 xml:space="preserve">b.学生上课后检查学生宿舍安全和卫生；保持宿舍楼道、走廊清洁卫生，墙壁无浮灰、蜘蛛网、无明显污迹。 </w:t>
            </w:r>
          </w:p>
          <w:p w14:paraId="5B703352">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c .指导学生做好内务整理工作，监督检查寝室纪律，并把每天检查的结果报学校管理部门。按照学校的宿舍卫生评比标准，进行内务卫生及纪律检查评分，并及时公布，改善学生不好的生活习惯，培养学生文明行为习惯。</w:t>
            </w:r>
          </w:p>
          <w:p w14:paraId="7007AE97">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⑨保持值班室内清洁、卫生、整齐，搞好值班室周围的环境卫生。禁止任何人在宿舍楼内外墙体张贴广告、标语等，发现后要及时清理掉。</w:t>
            </w:r>
          </w:p>
          <w:p w14:paraId="422D2109">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⑩监督学生爱护宿舍公共设施，发现问题及时报告总务处。制止学生随意移动或搬走宿舍公共设施。</w:t>
            </w:r>
          </w:p>
          <w:p w14:paraId="6ABF1F3E">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⑪协助学校办理住宿学生的入住手续，告知学生学校关于宿舍管理的有关规章制度；及时反映学生住宿方面存在的问题，树立服务意识。</w:t>
            </w:r>
          </w:p>
          <w:p w14:paraId="0211E218">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⑫严格管理，热情服务，注重情感教育。</w:t>
            </w:r>
          </w:p>
          <w:p w14:paraId="05990039">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⑬完成领导临时交办的其他工作任务</w:t>
            </w:r>
          </w:p>
          <w:p w14:paraId="045A0A55">
            <w:pPr>
              <w:pStyle w:val="24"/>
              <w:keepNext w:val="0"/>
              <w:keepLines w:val="0"/>
              <w:pageBreakBefore w:val="0"/>
              <w:widowControl w:val="0"/>
              <w:kinsoku/>
              <w:wordWrap/>
              <w:overflowPunct/>
              <w:topLinePunct w:val="0"/>
              <w:autoSpaceDE/>
              <w:autoSpaceDN/>
              <w:bidi w:val="0"/>
              <w:snapToGrid/>
              <w:spacing w:line="42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三、岗位配置要求及素质要求</w:t>
            </w:r>
          </w:p>
          <w:p w14:paraId="530400C3">
            <w:pPr>
              <w:pStyle w:val="24"/>
              <w:keepNext w:val="0"/>
              <w:keepLines w:val="0"/>
              <w:pageBreakBefore w:val="0"/>
              <w:widowControl w:val="0"/>
              <w:kinsoku/>
              <w:wordWrap/>
              <w:overflowPunct/>
              <w:topLinePunct w:val="0"/>
              <w:autoSpaceDE/>
              <w:autoSpaceDN/>
              <w:bidi w:val="0"/>
              <w:snapToGrid/>
              <w:spacing w:line="42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（一）岗位人员配置</w:t>
            </w:r>
          </w:p>
          <w:p w14:paraId="1FCF86B8">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hAnsi="宋体" w:cs="宋体"/>
                <w:b w:val="0"/>
                <w:bCs w:val="0"/>
                <w:color w:val="auto"/>
                <w:sz w:val="24"/>
                <w:szCs w:val="24"/>
                <w:highlight w:val="none"/>
                <w:lang w:val="en-US" w:eastAsia="zh-CN"/>
              </w:rPr>
              <w:t>供应商</w:t>
            </w:r>
            <w:r>
              <w:rPr>
                <w:rFonts w:hint="eastAsia" w:ascii="宋体" w:hAnsi="宋体" w:eastAsia="宋体" w:cs="宋体"/>
                <w:b w:val="0"/>
                <w:bCs w:val="0"/>
                <w:color w:val="auto"/>
                <w:sz w:val="24"/>
                <w:szCs w:val="24"/>
                <w:highlight w:val="none"/>
                <w:lang w:val="en-US" w:eastAsia="zh-CN"/>
              </w:rPr>
              <w:t>必须按各派驻校区的要求，对各个岗位不同时段的人员数量和岗位要求配备相应物业服务人员，并保证实际到岗。</w:t>
            </w:r>
            <w:r>
              <w:rPr>
                <w:rFonts w:hint="eastAsia" w:hAnsi="宋体" w:cs="宋体"/>
                <w:b w:val="0"/>
                <w:bCs w:val="0"/>
                <w:color w:val="auto"/>
                <w:sz w:val="24"/>
                <w:szCs w:val="24"/>
                <w:highlight w:val="none"/>
                <w:lang w:val="en-US" w:eastAsia="zh-CN"/>
              </w:rPr>
              <w:t>供应商</w:t>
            </w:r>
            <w:r>
              <w:rPr>
                <w:rFonts w:hint="eastAsia" w:ascii="宋体" w:hAnsi="宋体" w:eastAsia="宋体" w:cs="宋体"/>
                <w:b w:val="0"/>
                <w:bCs w:val="0"/>
                <w:color w:val="auto"/>
                <w:sz w:val="24"/>
                <w:szCs w:val="24"/>
                <w:highlight w:val="none"/>
                <w:lang w:val="en-US" w:eastAsia="zh-CN"/>
              </w:rPr>
              <w:t>在组织、安排</w:t>
            </w:r>
            <w:r>
              <w:rPr>
                <w:rFonts w:hint="eastAsia" w:ascii="宋体" w:hAnsi="宋体" w:eastAsia="宋体" w:cs="宋体"/>
                <w:color w:val="auto"/>
                <w:sz w:val="24"/>
                <w:szCs w:val="24"/>
                <w:highlight w:val="none"/>
                <w:lang w:val="en-US" w:eastAsia="zh-CN"/>
              </w:rPr>
              <w:t>物业服务人员</w:t>
            </w:r>
            <w:r>
              <w:rPr>
                <w:rFonts w:hint="eastAsia" w:ascii="宋体" w:hAnsi="宋体" w:eastAsia="宋体" w:cs="宋体"/>
                <w:b w:val="0"/>
                <w:bCs w:val="0"/>
                <w:color w:val="auto"/>
                <w:sz w:val="24"/>
                <w:szCs w:val="24"/>
                <w:highlight w:val="none"/>
                <w:lang w:val="en-US" w:eastAsia="zh-CN"/>
              </w:rPr>
              <w:t>工作时，应符合国家相关法规，维护物业服务人员的正当权益。</w:t>
            </w:r>
            <w:r>
              <w:rPr>
                <w:rFonts w:hint="eastAsia" w:hAnsi="宋体" w:cs="宋体"/>
                <w:b w:val="0"/>
                <w:bCs w:val="0"/>
                <w:color w:val="auto"/>
                <w:sz w:val="24"/>
                <w:szCs w:val="24"/>
                <w:highlight w:val="none"/>
                <w:lang w:val="en-US" w:eastAsia="zh-CN"/>
              </w:rPr>
              <w:t>供应商</w:t>
            </w:r>
            <w:r>
              <w:rPr>
                <w:rFonts w:hint="eastAsia" w:ascii="宋体" w:hAnsi="宋体" w:eastAsia="宋体" w:cs="宋体"/>
                <w:b w:val="0"/>
                <w:bCs w:val="0"/>
                <w:color w:val="auto"/>
                <w:sz w:val="24"/>
                <w:szCs w:val="24"/>
                <w:highlight w:val="none"/>
                <w:lang w:val="en-US" w:eastAsia="zh-CN"/>
              </w:rPr>
              <w:t>对其用工行为承担一切法律责任。</w:t>
            </w:r>
          </w:p>
          <w:p w14:paraId="4A5CACE1">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2.拟</w:t>
            </w:r>
            <w:r>
              <w:rPr>
                <w:rFonts w:hint="eastAsia" w:ascii="宋体" w:hAnsi="宋体" w:eastAsia="宋体" w:cs="宋体"/>
                <w:b w:val="0"/>
                <w:bCs w:val="0"/>
                <w:color w:val="auto"/>
                <w:sz w:val="24"/>
                <w:szCs w:val="24"/>
                <w:highlight w:val="none"/>
                <w:lang w:val="en-US" w:eastAsia="zh-CN"/>
              </w:rPr>
              <w:t>派</w:t>
            </w:r>
            <w:r>
              <w:rPr>
                <w:rFonts w:hint="eastAsia" w:ascii="宋体" w:hAnsi="宋体" w:eastAsia="宋体" w:cs="宋体"/>
                <w:color w:val="auto"/>
                <w:sz w:val="24"/>
                <w:szCs w:val="24"/>
                <w:highlight w:val="none"/>
                <w:lang w:val="en-US" w:eastAsia="zh-CN"/>
              </w:rPr>
              <w:t>物业服务人员身体健康，视力正常，无传染性、肝、肾、心脏、心血管等严重疾病，无不良社会记录等，提供正规医院健康证明，年龄58岁以下（女员工年龄在18-50岁，男员工年龄在18-58岁）。</w:t>
            </w:r>
          </w:p>
          <w:p w14:paraId="4703832C">
            <w:pPr>
              <w:pStyle w:val="24"/>
              <w:keepNext w:val="0"/>
              <w:keepLines w:val="0"/>
              <w:pageBreakBefore w:val="0"/>
              <w:widowControl w:val="0"/>
              <w:kinsoku/>
              <w:wordWrap/>
              <w:overflowPunct/>
              <w:topLinePunct w:val="0"/>
              <w:autoSpaceDE/>
              <w:autoSpaceDN/>
              <w:bidi w:val="0"/>
              <w:snapToGrid/>
              <w:spacing w:line="42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（二）岗位时间安排</w:t>
            </w:r>
          </w:p>
          <w:p w14:paraId="059FF102">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 水电工：上午7:30-12:00，下午14:30-18:00。</w:t>
            </w:r>
          </w:p>
          <w:p w14:paraId="0B858448">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除正常上班时间外，安排2名水电工24小时轮班</w:t>
            </w:r>
          </w:p>
          <w:p w14:paraId="6E22DC18">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 保洁员：上午7:30-12:00，下午14:30-18:00。</w:t>
            </w:r>
          </w:p>
          <w:p w14:paraId="343B2579">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 绿化员：上午7:30-12:00，下午14:30-18:00。</w:t>
            </w:r>
          </w:p>
          <w:p w14:paraId="54709679">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 宿管员，实行三班倒。</w:t>
            </w:r>
          </w:p>
          <w:p w14:paraId="294F0B61">
            <w:pPr>
              <w:pStyle w:val="24"/>
              <w:keepNext w:val="0"/>
              <w:keepLines w:val="0"/>
              <w:pageBreakBefore w:val="0"/>
              <w:widowControl w:val="0"/>
              <w:kinsoku/>
              <w:wordWrap/>
              <w:overflowPunct/>
              <w:topLinePunct w:val="0"/>
              <w:autoSpaceDE/>
              <w:autoSpaceDN/>
              <w:bidi w:val="0"/>
              <w:snapToGrid/>
              <w:spacing w:line="42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（注：如所服务单位有特殊要求，具体安排由相关单位自行安排）</w:t>
            </w:r>
          </w:p>
          <w:p w14:paraId="5D36F81A">
            <w:pPr>
              <w:pStyle w:val="24"/>
              <w:keepNext w:val="0"/>
              <w:keepLines w:val="0"/>
              <w:pageBreakBefore w:val="0"/>
              <w:widowControl w:val="0"/>
              <w:kinsoku/>
              <w:wordWrap/>
              <w:overflowPunct/>
              <w:topLinePunct w:val="0"/>
              <w:autoSpaceDE/>
              <w:autoSpaceDN/>
              <w:bidi w:val="0"/>
              <w:snapToGrid/>
              <w:spacing w:line="42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（三）岗位素质要求</w:t>
            </w:r>
          </w:p>
          <w:p w14:paraId="345034A5">
            <w:pPr>
              <w:pStyle w:val="24"/>
              <w:keepNext w:val="0"/>
              <w:keepLines w:val="0"/>
              <w:pageBreakBefore w:val="0"/>
              <w:widowControl w:val="0"/>
              <w:kinsoku/>
              <w:wordWrap/>
              <w:overflowPunct/>
              <w:topLinePunct w:val="0"/>
              <w:autoSpaceDE/>
              <w:autoSpaceDN/>
              <w:bidi w:val="0"/>
              <w:snapToGrid/>
              <w:spacing w:line="42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 职业道德规范</w:t>
            </w:r>
          </w:p>
          <w:p w14:paraId="7A56F4DB">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（1）敬业爱岗，恪尽职守：勤奋务实，积极投入本职工作，热爱岗位并乐于奉献。</w:t>
            </w:r>
          </w:p>
          <w:p w14:paraId="64840FA0">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（2）遵纪守法，严守规章：自觉遵守国家法律法规，严格执行公司及校方各项规章制度与劳动纪律。</w:t>
            </w:r>
          </w:p>
          <w:p w14:paraId="3F643405">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（3）勤学善思，提升技能：主动学习相关知识，持续提升业务能力与服务水准。</w:t>
            </w:r>
          </w:p>
          <w:p w14:paraId="4CCC7F24">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（4）廉洁奉公，维护声誉：爱护公共财产，不以权谋私，自觉维护公司与学校的利益及形象。</w:t>
            </w:r>
          </w:p>
          <w:p w14:paraId="19082ECD">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（5）勤俭节约，节能降耗：树立节约意识，在日常工作中践行节约能源、爱惜物资。</w:t>
            </w:r>
          </w:p>
          <w:p w14:paraId="26814596">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（6）团结协作，和谐共事：严于律己，宽以待人，妥善处理个人与集体、同事间关系，具备良好的团队协作精神。</w:t>
            </w:r>
          </w:p>
          <w:p w14:paraId="6E3153DD">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（7）严守秘密，谨言慎行：未经授权，不得对外泄露或传播学校的任何信息与资料。</w:t>
            </w:r>
          </w:p>
          <w:p w14:paraId="26156FBB">
            <w:pPr>
              <w:pStyle w:val="24"/>
              <w:keepNext w:val="0"/>
              <w:keepLines w:val="0"/>
              <w:pageBreakBefore w:val="0"/>
              <w:widowControl w:val="0"/>
              <w:kinsoku/>
              <w:wordWrap/>
              <w:overflowPunct/>
              <w:topLinePunct w:val="0"/>
              <w:autoSpaceDE/>
              <w:autoSpaceDN/>
              <w:bidi w:val="0"/>
              <w:snapToGrid/>
              <w:spacing w:line="42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 服务意识规范</w:t>
            </w:r>
          </w:p>
          <w:p w14:paraId="6B744515">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（1）文明礼貌，举止得体：使用规范用语，谈吐文雅，保持衣着整洁，举止大方端庄。</w:t>
            </w:r>
          </w:p>
          <w:p w14:paraId="183A2DAF">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（2）主动热情，真诚服务：以积极热情的态度面对师生，主动识别服务需求，乐于为师生解决实际困难，常面带微笑，态度谦和。</w:t>
            </w:r>
          </w:p>
          <w:p w14:paraId="48E29AE5">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（3）耐心周到，细致入微：服务过程中保持耐心，不厌其烦，虚心听取师生意见，细致解答疑问，力求提供全面、满意的服务。</w:t>
            </w:r>
          </w:p>
          <w:p w14:paraId="7322C24F">
            <w:pPr>
              <w:pStyle w:val="24"/>
              <w:keepNext w:val="0"/>
              <w:keepLines w:val="0"/>
              <w:pageBreakBefore w:val="0"/>
              <w:widowControl w:val="0"/>
              <w:kinsoku/>
              <w:wordWrap/>
              <w:overflowPunct/>
              <w:topLinePunct w:val="0"/>
              <w:autoSpaceDE/>
              <w:autoSpaceDN/>
              <w:bidi w:val="0"/>
              <w:snapToGrid/>
              <w:spacing w:line="42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 仪容仪表规范</w:t>
            </w:r>
          </w:p>
          <w:p w14:paraId="47DA4EAD">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（1）保持个人卫生，着装统一、整洁，工作证应端正佩戴于左胸前。</w:t>
            </w:r>
          </w:p>
          <w:p w14:paraId="327F1EE5">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（2）工作时间内不得穿短裤、背心、拖鞋等不规范着装进入工作区域。</w:t>
            </w:r>
          </w:p>
          <w:p w14:paraId="5ED687D9">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（3）男员工：发长不掩耳、不遮领，每日剃须；保持指甲清洁，不留长指甲；衣着纽扣扣齐，领带紧束（大箭头下端以垂至皮带扣处为准），衬衣下摆应束于裤内。</w:t>
            </w:r>
          </w:p>
          <w:p w14:paraId="73E56968">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（4）女员工：发长不过肩，发型简洁大方，不染怪异发色；不留长指甲，不涂染艳丽指甲油；妆容朴素淡雅，不浓妆艳抹；不穿着黑色或带花纹的丝袜。</w:t>
            </w:r>
          </w:p>
          <w:p w14:paraId="340ADA0C">
            <w:pPr>
              <w:pStyle w:val="24"/>
              <w:keepNext w:val="0"/>
              <w:keepLines w:val="0"/>
              <w:pageBreakBefore w:val="0"/>
              <w:widowControl w:val="0"/>
              <w:kinsoku/>
              <w:wordWrap/>
              <w:overflowPunct/>
              <w:topLinePunct w:val="0"/>
              <w:autoSpaceDE/>
              <w:autoSpaceDN/>
              <w:bidi w:val="0"/>
              <w:snapToGrid/>
              <w:spacing w:line="42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（四）岗位工作职责要求</w:t>
            </w:r>
          </w:p>
          <w:p w14:paraId="048ED376">
            <w:pPr>
              <w:pStyle w:val="24"/>
              <w:keepNext w:val="0"/>
              <w:keepLines w:val="0"/>
              <w:pageBreakBefore w:val="0"/>
              <w:widowControl w:val="0"/>
              <w:kinsoku/>
              <w:wordWrap/>
              <w:overflowPunct/>
              <w:topLinePunct w:val="0"/>
              <w:autoSpaceDE/>
              <w:autoSpaceDN/>
              <w:bidi w:val="0"/>
              <w:snapToGrid/>
              <w:spacing w:line="42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 水电工</w:t>
            </w:r>
          </w:p>
          <w:p w14:paraId="14779696">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（1）水电综合维修：</w:t>
            </w:r>
          </w:p>
          <w:p w14:paraId="162798E5">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 熟悉并遵守相关法规及各项规章制度，熟练掌握应急预案。</w:t>
            </w:r>
          </w:p>
          <w:p w14:paraId="3DB82852">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 持证上岗，定期培训。</w:t>
            </w:r>
          </w:p>
          <w:p w14:paraId="789F4680">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 熟悉辖区内水电线路、开关等设施设备功能及分布情况。熟练掌握相关维修技能，严格执行操作规程。</w:t>
            </w:r>
          </w:p>
          <w:p w14:paraId="3F199933">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④</w:t>
            </w:r>
            <w:r>
              <w:rPr>
                <w:rFonts w:hint="eastAsia" w:ascii="宋体" w:hAnsi="宋体" w:eastAsia="宋体" w:cs="宋体"/>
                <w:color w:val="auto"/>
                <w:sz w:val="24"/>
                <w:szCs w:val="24"/>
                <w:highlight w:val="none"/>
                <w:lang w:val="en-US" w:eastAsia="zh-CN"/>
              </w:rPr>
              <w:t xml:space="preserve"> 定时巡检水电线路等设施设备，填写记录，保持完好运行，发现问题时，应准确判断，及时处理。</w:t>
            </w:r>
          </w:p>
          <w:p w14:paraId="3E1C911C">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⑤</w:t>
            </w:r>
            <w:r>
              <w:rPr>
                <w:rFonts w:hint="eastAsia" w:ascii="宋体" w:hAnsi="宋体" w:eastAsia="宋体" w:cs="宋体"/>
                <w:color w:val="auto"/>
                <w:sz w:val="24"/>
                <w:szCs w:val="24"/>
                <w:highlight w:val="none"/>
                <w:lang w:val="en-US" w:eastAsia="zh-CN"/>
              </w:rPr>
              <w:t xml:space="preserve"> 接到报修后30分钟内到达现场，维修合格率达100%。水电抢修不过夜。</w:t>
            </w:r>
          </w:p>
          <w:p w14:paraId="3E9D851A">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⑥</w:t>
            </w:r>
            <w:r>
              <w:rPr>
                <w:rFonts w:hint="eastAsia" w:ascii="宋体" w:hAnsi="宋体" w:eastAsia="宋体" w:cs="宋体"/>
                <w:color w:val="auto"/>
                <w:sz w:val="24"/>
                <w:szCs w:val="24"/>
                <w:highlight w:val="none"/>
                <w:lang w:val="en-US" w:eastAsia="zh-CN"/>
              </w:rPr>
              <w:t xml:space="preserve"> 供配电室及室外变台、箱变、低压配电室双人巡检维护。</w:t>
            </w:r>
          </w:p>
          <w:p w14:paraId="268ED1ED">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⑦</w:t>
            </w:r>
            <w:r>
              <w:rPr>
                <w:rFonts w:hint="eastAsia" w:ascii="宋体" w:hAnsi="宋体" w:eastAsia="宋体" w:cs="宋体"/>
                <w:color w:val="auto"/>
                <w:sz w:val="24"/>
                <w:szCs w:val="24"/>
                <w:highlight w:val="none"/>
                <w:lang w:val="en-US" w:eastAsia="zh-CN"/>
              </w:rPr>
              <w:t xml:space="preserve"> 停送电操作，应填写相关工作票，做好安全组织，按规范程序操作。</w:t>
            </w:r>
          </w:p>
          <w:p w14:paraId="56405A71">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⑧</w:t>
            </w:r>
            <w:r>
              <w:rPr>
                <w:rFonts w:hint="eastAsia" w:ascii="宋体" w:hAnsi="宋体" w:eastAsia="宋体" w:cs="宋体"/>
                <w:color w:val="auto"/>
                <w:sz w:val="24"/>
                <w:szCs w:val="24"/>
                <w:highlight w:val="none"/>
                <w:lang w:val="en-US" w:eastAsia="zh-CN"/>
              </w:rPr>
              <w:t xml:space="preserve"> 定期检查避雷、接地设施完好性，定期进行相关试验。</w:t>
            </w:r>
          </w:p>
          <w:p w14:paraId="55EB74C0">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⑨</w:t>
            </w:r>
            <w:r>
              <w:rPr>
                <w:rFonts w:hint="eastAsia" w:ascii="宋体" w:hAnsi="宋体" w:eastAsia="宋体" w:cs="宋体"/>
                <w:color w:val="auto"/>
                <w:sz w:val="24"/>
                <w:szCs w:val="24"/>
                <w:highlight w:val="none"/>
                <w:lang w:val="en-US" w:eastAsia="zh-CN"/>
              </w:rPr>
              <w:t xml:space="preserve"> 按规范要求，配置安全防护设施，定时清扫设备及配电室卫生。</w:t>
            </w:r>
          </w:p>
          <w:p w14:paraId="051D3463">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⑩</w:t>
            </w:r>
            <w:r>
              <w:rPr>
                <w:rFonts w:hint="eastAsia" w:ascii="宋体" w:hAnsi="宋体" w:eastAsia="宋体" w:cs="宋体"/>
                <w:color w:val="auto"/>
                <w:sz w:val="24"/>
                <w:szCs w:val="24"/>
                <w:highlight w:val="none"/>
                <w:lang w:val="en-US" w:eastAsia="zh-CN"/>
              </w:rPr>
              <w:t xml:space="preserve"> 制定并组织实施设备维保计划。</w:t>
            </w:r>
          </w:p>
          <w:p w14:paraId="5942D217">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（2）公共设施小型维修：</w:t>
            </w:r>
          </w:p>
          <w:p w14:paraId="1774A836">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lang w:val="en-US" w:eastAsia="zh-CN"/>
              </w:rPr>
              <w:t xml:space="preserve"> 熟悉并遵守相关法规及各项规章制度，熟练掌握应急预案。</w:t>
            </w:r>
          </w:p>
          <w:p w14:paraId="3190B5E9">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lang w:val="en-US" w:eastAsia="zh-CN"/>
              </w:rPr>
              <w:t xml:space="preserve"> 定期培训，特种作业必须持证上岗。</w:t>
            </w:r>
          </w:p>
          <w:p w14:paraId="74F37305">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lang w:val="en-US" w:eastAsia="zh-CN"/>
              </w:rPr>
              <w:t xml:space="preserve"> 辖区内建筑设施维修，包括：房屋、门窗、学生宿舍门锁家具、道路、广场、管井、化粪池、景观小品等设施。</w:t>
            </w:r>
          </w:p>
          <w:p w14:paraId="2F6DD330">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④</w:t>
            </w:r>
            <w:r>
              <w:rPr>
                <w:rFonts w:hint="eastAsia" w:ascii="宋体" w:hAnsi="宋体" w:eastAsia="宋体" w:cs="宋体"/>
                <w:color w:val="auto"/>
                <w:sz w:val="24"/>
                <w:szCs w:val="24"/>
                <w:highlight w:val="none"/>
                <w:lang w:val="en-US" w:eastAsia="zh-CN"/>
              </w:rPr>
              <w:t xml:space="preserve"> 定时巡检，填写记录，保持设施完好，发现问题时，应准确判断，及时处理。</w:t>
            </w:r>
          </w:p>
          <w:p w14:paraId="434A07AD">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⑤接到报修后30分钟内到达现场，维修合格率达100%。</w:t>
            </w:r>
          </w:p>
          <w:p w14:paraId="043B71FC">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⑥常备配件类维修，自接到报修后应当日修复。</w:t>
            </w:r>
          </w:p>
          <w:p w14:paraId="0A79550D">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⑦外购配件及土建类维修，自接到报修之日起应3日内修复。</w:t>
            </w:r>
          </w:p>
          <w:p w14:paraId="24079877">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⑧雨季做好本职防汛工作，排查有关隐患。</w:t>
            </w:r>
          </w:p>
          <w:p w14:paraId="1ED22E70">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➈提出专项修缮建议。</w:t>
            </w:r>
          </w:p>
          <w:p w14:paraId="669297CD">
            <w:pPr>
              <w:pStyle w:val="24"/>
              <w:keepNext w:val="0"/>
              <w:keepLines w:val="0"/>
              <w:pageBreakBefore w:val="0"/>
              <w:widowControl w:val="0"/>
              <w:kinsoku/>
              <w:wordWrap/>
              <w:overflowPunct/>
              <w:topLinePunct w:val="0"/>
              <w:autoSpaceDE/>
              <w:autoSpaceDN/>
              <w:bidi w:val="0"/>
              <w:snapToGrid/>
              <w:spacing w:line="42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 保洁员</w:t>
            </w:r>
          </w:p>
          <w:p w14:paraId="18EC2716">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（1）熟悉并遵守相关法规及各项规章制度。保洁服务讲求文明礼貌。</w:t>
            </w:r>
          </w:p>
          <w:p w14:paraId="305F9158">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（2）以下公共区域的设施设备要保持整洁：墙壁、门窗、玻璃、照明、地墙面、楼梯、扶手、水房、卫生间、天花板、标识牌、消防、水暖电气、电梯、宣传栏等。</w:t>
            </w:r>
          </w:p>
          <w:p w14:paraId="4094CB23">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（3）公共卫生间要保持空气清新、洁具明亮，无异味、无积水、无污垢。</w:t>
            </w:r>
          </w:p>
          <w:p w14:paraId="0547920F">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（4）楼宇周边，要保持环境整洁、各种车辆整齐有序。</w:t>
            </w:r>
          </w:p>
          <w:p w14:paraId="00C7E6F8">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（5）雨、雪天气时，负责清扫责任区的积水和积雪。</w:t>
            </w:r>
          </w:p>
          <w:p w14:paraId="471BB624">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（6）捡拾遗失物品应登记备案、完好交还失主。</w:t>
            </w:r>
          </w:p>
          <w:p w14:paraId="1A53D3C5">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（7）发现火情、治安事件、嫌疑人员、可疑现象、水暖跑冒、燃气泄漏等紧急情况，应及时上报并协助处理。</w:t>
            </w:r>
          </w:p>
          <w:p w14:paraId="1F194220">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 绿化员</w:t>
            </w:r>
          </w:p>
          <w:p w14:paraId="50624CD4">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（1）熟悉并遵守相关法规及各项规章制度，熟练掌握应急预案。</w:t>
            </w:r>
          </w:p>
          <w:p w14:paraId="31244DA6">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（2）熟悉花草树木名称、习性和养护，定期进行培训。</w:t>
            </w:r>
          </w:p>
          <w:p w14:paraId="044DBF53">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（3）做好辖区乔灌草等植物的修剪、施肥、浇水、除草等工作，保持植物生长状态良好，形状美观。</w:t>
            </w:r>
          </w:p>
          <w:p w14:paraId="044CE4B6">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（4）有效利用生物、化学、物理方法防控病虫害。</w:t>
            </w:r>
          </w:p>
          <w:p w14:paraId="3F28CE3D">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（5）熟练使用、维护园林机械设备和喷灌设施。</w:t>
            </w:r>
          </w:p>
          <w:p w14:paraId="45E8EF73">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（6）熟练掌握种植、移植技术。</w:t>
            </w:r>
          </w:p>
          <w:p w14:paraId="328E5F2B">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（7）保持绿地整洁无杂物、无污染物。</w:t>
            </w:r>
          </w:p>
          <w:p w14:paraId="03B9EB07">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（8）按规范要求，有效维护古树健康生长。</w:t>
            </w:r>
          </w:p>
          <w:p w14:paraId="3FAD6A5B">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（9）做好防范植物倒伏隐患排查工作。</w:t>
            </w:r>
          </w:p>
          <w:p w14:paraId="0B5353F7">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 宿管员</w:t>
            </w:r>
          </w:p>
          <w:p w14:paraId="76B2BF51">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（1）严格执行学校及物业公司宿舍管理制度，落实作息、门禁、熄灯管理。</w:t>
            </w:r>
          </w:p>
          <w:p w14:paraId="75708B4D">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（2）全天值守学生宿舍楼，严格管控进出人员及外来访客。</w:t>
            </w:r>
          </w:p>
          <w:p w14:paraId="6480E4A1">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（3）按规定时间开关宿舍大门、执行熄灯制度，做好晚归、旷寝、请假登记，及时登记上报。</w:t>
            </w:r>
          </w:p>
          <w:p w14:paraId="3D2DA4DC">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（3）常态化巡查宿舍楼道、消防通道，排查违禁物品、私拉电线、违规电器、明火使用、消防隐患，杜绝安全事故。</w:t>
            </w:r>
          </w:p>
          <w:p w14:paraId="7BCB213A">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（4）监督宿舍内务整理、环境卫生，督促学生养成良好住宿生活习惯，定期配合学校进行宿舍卫生评比</w:t>
            </w:r>
          </w:p>
          <w:p w14:paraId="033FE00F">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（5）维护宿舍公共秩序，劝阻喧哗打闹、晚归违纪，调解同学间矛盾纠纷。</w:t>
            </w:r>
          </w:p>
          <w:p w14:paraId="59DAB515">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（6）负责宿舍公共区域保洁监督，宿舍门窗、水电、设施损坏登记报修，管理宿舍钥匙及公共物资。</w:t>
            </w:r>
          </w:p>
          <w:p w14:paraId="3B5C4CBE">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（7）做好住宿学生日常人文关怀，关注学生身心健康，及时疏导情绪、调解宿舍人际矛盾，遇突发疾病、纠纷、安全事件立即处置并上报校方及物业主管。</w:t>
            </w:r>
          </w:p>
          <w:p w14:paraId="0C02EF65">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lang w:val="en-US" w:eastAsia="zh-CN"/>
              </w:rPr>
              <w:t>（8）配合学校开展安全教育、纪律整治、宿舍评比等专项工作。</w:t>
            </w:r>
          </w:p>
          <w:p w14:paraId="4A50C3B5">
            <w:pPr>
              <w:pStyle w:val="24"/>
              <w:keepNext w:val="0"/>
              <w:keepLines w:val="0"/>
              <w:pageBreakBefore w:val="0"/>
              <w:widowControl w:val="0"/>
              <w:kinsoku/>
              <w:wordWrap/>
              <w:overflowPunct/>
              <w:topLinePunct w:val="0"/>
              <w:autoSpaceDE/>
              <w:autoSpaceDN/>
              <w:bidi w:val="0"/>
              <w:snapToGrid/>
              <w:spacing w:line="420" w:lineRule="exact"/>
              <w:ind w:left="0" w:leftChars="0" w:firstLine="482"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注：如所服务单位有特殊要求，具体安排由服务单位自行安排</w:t>
            </w:r>
          </w:p>
          <w:p w14:paraId="4584BA04">
            <w:pPr>
              <w:pStyle w:val="24"/>
              <w:keepNext w:val="0"/>
              <w:keepLines w:val="0"/>
              <w:pageBreakBefore w:val="0"/>
              <w:widowControl w:val="0"/>
              <w:kinsoku/>
              <w:wordWrap/>
              <w:overflowPunct/>
              <w:topLinePunct w:val="0"/>
              <w:autoSpaceDE/>
              <w:autoSpaceDN/>
              <w:bidi w:val="0"/>
              <w:snapToGrid/>
              <w:spacing w:line="42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四、档案管理要求</w:t>
            </w:r>
          </w:p>
          <w:p w14:paraId="4E8CC1F8">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须建立并妥善保管包括但不限于：员工档案与培训记录、日常巡检与维修日志、设备设施保养台账、考核记录、消杀记录、宿舍管理值班与检查记录等全套物业管理档案，供学校随时抽查。</w:t>
            </w:r>
          </w:p>
        </w:tc>
      </w:tr>
      <w:tr w14:paraId="1391B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9844" w:type="dxa"/>
            <w:gridSpan w:val="2"/>
            <w:shd w:val="clear" w:color="auto" w:fill="auto"/>
            <w:vAlign w:val="center"/>
          </w:tcPr>
          <w:p w14:paraId="4483BBC4">
            <w:pPr>
              <w:pStyle w:val="24"/>
              <w:keepNext w:val="0"/>
              <w:keepLines w:val="0"/>
              <w:pageBreakBefore w:val="0"/>
              <w:widowControl w:val="0"/>
              <w:numPr>
                <w:ilvl w:val="0"/>
                <w:numId w:val="0"/>
              </w:numPr>
              <w:kinsoku/>
              <w:wordWrap/>
              <w:overflowPunct/>
              <w:topLinePunct w:val="0"/>
              <w:autoSpaceDE/>
              <w:autoSpaceDN/>
              <w:bidi w:val="0"/>
              <w:snapToGrid/>
              <w:spacing w:line="380" w:lineRule="exact"/>
              <w:ind w:leftChars="200"/>
              <w:textAlignment w:val="auto"/>
              <w:rPr>
                <w:rFonts w:hint="default" w:ascii="宋体" w:hAnsi="宋体" w:eastAsia="宋体" w:cs="宋体"/>
                <w:b/>
                <w:bCs/>
                <w:color w:val="auto"/>
                <w:sz w:val="32"/>
                <w:szCs w:val="32"/>
                <w:highlight w:val="none"/>
                <w:lang w:val="en-US" w:eastAsia="zh-CN"/>
              </w:rPr>
            </w:pPr>
            <w:r>
              <w:rPr>
                <w:rFonts w:hint="eastAsia" w:ascii="Times New Roman" w:hAnsi="Times New Roman" w:eastAsia="宋体" w:cs="Times New Roman"/>
                <w:b/>
                <w:bCs/>
                <w:snapToGrid w:val="0"/>
                <w:color w:val="auto"/>
                <w:kern w:val="2"/>
                <w:sz w:val="24"/>
                <w:szCs w:val="24"/>
                <w:highlight w:val="none"/>
                <w:lang w:val="en-US" w:eastAsia="zh-CN" w:bidi="ar-SA"/>
              </w:rPr>
              <w:t xml:space="preserve">★ </w:t>
            </w:r>
            <w:r>
              <w:rPr>
                <w:rFonts w:hint="eastAsia" w:ascii="宋体" w:hAnsi="宋体" w:eastAsia="宋体" w:cs="宋体"/>
                <w:b/>
                <w:bCs/>
                <w:color w:val="auto"/>
                <w:sz w:val="32"/>
                <w:szCs w:val="32"/>
                <w:highlight w:val="none"/>
                <w:lang w:val="en-US" w:eastAsia="zh-CN"/>
              </w:rPr>
              <w:t>商务要求</w:t>
            </w:r>
          </w:p>
        </w:tc>
      </w:tr>
      <w:tr w14:paraId="4C1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58" w:type="dxa"/>
            <w:shd w:val="clear" w:color="auto" w:fill="auto"/>
            <w:vAlign w:val="center"/>
          </w:tcPr>
          <w:p w14:paraId="367FE819">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投标报价要求</w:t>
            </w:r>
          </w:p>
        </w:tc>
        <w:tc>
          <w:tcPr>
            <w:tcW w:w="8486" w:type="dxa"/>
            <w:shd w:val="clear" w:color="auto" w:fill="auto"/>
            <w:vAlign w:val="center"/>
          </w:tcPr>
          <w:p w14:paraId="77BA4D03">
            <w:pPr>
              <w:keepNext w:val="0"/>
              <w:keepLines w:val="0"/>
              <w:pageBreakBefore w:val="0"/>
              <w:widowControl/>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1.投标报价包含人员工资、培训、服装、奖金、五险、其他必要的保险等营业成本以及利润、物业管理服务中所发生的各项税收等费用。</w:t>
            </w:r>
          </w:p>
          <w:p w14:paraId="4228A007">
            <w:pPr>
              <w:keepNext w:val="0"/>
              <w:keepLines w:val="0"/>
              <w:pageBreakBefore w:val="0"/>
              <w:widowControl/>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2.供应商报价须列明各服务单位（各学校）的投入服务人数及报价。各学校的报价不得超过该服务单位的投标最高限价</w:t>
            </w:r>
            <w:r>
              <w:rPr>
                <w:rFonts w:hint="eastAsia" w:ascii="宋体" w:hAnsi="宋体" w:cs="宋体"/>
                <w:color w:val="auto"/>
                <w:sz w:val="24"/>
                <w:szCs w:val="24"/>
                <w:highlight w:val="none"/>
                <w:lang w:val="en-US" w:eastAsia="zh-CN"/>
              </w:rPr>
              <w:t>，否则投标无效</w:t>
            </w:r>
            <w:r>
              <w:rPr>
                <w:rFonts w:hint="eastAsia" w:ascii="宋体" w:hAnsi="宋体" w:eastAsia="宋体" w:cs="宋体"/>
                <w:color w:val="auto"/>
                <w:sz w:val="24"/>
                <w:szCs w:val="24"/>
                <w:highlight w:val="none"/>
                <w:lang w:val="en-US" w:eastAsia="zh-CN"/>
              </w:rPr>
              <w:t>。</w:t>
            </w:r>
          </w:p>
        </w:tc>
      </w:tr>
      <w:tr w14:paraId="1BD35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58" w:type="dxa"/>
            <w:shd w:val="clear" w:color="auto" w:fill="auto"/>
            <w:vAlign w:val="center"/>
          </w:tcPr>
          <w:p w14:paraId="441D1473">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合同</w:t>
            </w:r>
          </w:p>
          <w:p w14:paraId="72EEAC2B">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签订</w:t>
            </w:r>
          </w:p>
        </w:tc>
        <w:tc>
          <w:tcPr>
            <w:tcW w:w="8486" w:type="dxa"/>
            <w:shd w:val="clear" w:color="auto" w:fill="auto"/>
            <w:vAlign w:val="center"/>
          </w:tcPr>
          <w:p w14:paraId="1FBC8143">
            <w:pPr>
              <w:keepNext w:val="0"/>
              <w:keepLines w:val="0"/>
              <w:pageBreakBefore w:val="0"/>
              <w:widowControl/>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按照政府采购有关规定，由市教育局、服务单位与供应商公司三方签订合同，在合同中明确各自的权利、义务及责任，切实履行协议内容。中标人须接受采购人和服务单位（各学校）的共同管理。</w:t>
            </w:r>
          </w:p>
        </w:tc>
      </w:tr>
      <w:tr w14:paraId="7D5D99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58" w:type="dxa"/>
            <w:shd w:val="clear" w:color="auto" w:fill="auto"/>
            <w:vAlign w:val="center"/>
          </w:tcPr>
          <w:p w14:paraId="56C74115">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服务期限及地点</w:t>
            </w:r>
          </w:p>
        </w:tc>
        <w:tc>
          <w:tcPr>
            <w:tcW w:w="8486" w:type="dxa"/>
            <w:shd w:val="clear" w:color="auto" w:fill="auto"/>
            <w:vAlign w:val="center"/>
          </w:tcPr>
          <w:p w14:paraId="4106C131">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1.服务的时间：自签订合同完成并开始履行之日起2年（其中北海市卫生学校服务期限为2026 年6月25日至2028 年6月30日，总服务期限两年零六天）。 </w:t>
            </w:r>
          </w:p>
          <w:p w14:paraId="28A73524">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2.服务的地点：北海市第七幼儿园、北海市第十二中学、北海市北海中学、北海市卫生学校。</w:t>
            </w:r>
          </w:p>
        </w:tc>
      </w:tr>
      <w:tr w14:paraId="32D63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58" w:type="dxa"/>
            <w:shd w:val="clear" w:color="auto" w:fill="auto"/>
            <w:vAlign w:val="center"/>
          </w:tcPr>
          <w:p w14:paraId="049C5668">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w:t>
            </w:r>
          </w:p>
          <w:p w14:paraId="0D5389A8">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要求</w:t>
            </w:r>
          </w:p>
        </w:tc>
        <w:tc>
          <w:tcPr>
            <w:tcW w:w="8486" w:type="dxa"/>
            <w:shd w:val="clear" w:color="auto" w:fill="auto"/>
            <w:vAlign w:val="center"/>
          </w:tcPr>
          <w:p w14:paraId="41E75022">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中标人按照所服务单位划定的工作范围、工作内容及管理目标成立相关机构，制定相应工作流程、工作制度、监督考核办法，合理安排人员，科学管理，严格要求，达标运行。接受市教育局、所服务单位及相关职能部门的监督、检查、指导，发现问题及时沟通、整改，保证规范运行。</w:t>
            </w:r>
          </w:p>
          <w:p w14:paraId="194EB038">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2.中标人须为聘用员工购买基本社会保险，对员工的疾病和人身安全负责，采购人不承担责任。</w:t>
            </w:r>
          </w:p>
          <w:p w14:paraId="380E2D8F">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每季度接受所服务单位质量考核（按照招标文件、投标文件及合同条款标准进行考核），未达标准的从当季度应付款中扣除10‰服务费。连续两季度达不到标准且未及时整改的，所服务单位向采购人书面报告，且采购人有权终止合同。</w:t>
            </w:r>
          </w:p>
          <w:p w14:paraId="1A2A4EE5">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4.中标人须确保</w:t>
            </w:r>
            <w:r>
              <w:rPr>
                <w:rFonts w:hint="eastAsia" w:ascii="宋体" w:hAnsi="宋体" w:cs="宋体"/>
                <w:color w:val="auto"/>
                <w:sz w:val="24"/>
                <w:szCs w:val="24"/>
                <w:highlight w:val="none"/>
                <w:lang w:val="en-US" w:eastAsia="zh-CN"/>
              </w:rPr>
              <w:t>服务人员</w:t>
            </w:r>
            <w:r>
              <w:rPr>
                <w:rFonts w:hint="eastAsia" w:ascii="宋体" w:hAnsi="宋体" w:eastAsia="宋体" w:cs="宋体"/>
                <w:color w:val="auto"/>
                <w:sz w:val="24"/>
                <w:szCs w:val="24"/>
                <w:highlight w:val="none"/>
                <w:lang w:val="en-US" w:eastAsia="zh-CN"/>
              </w:rPr>
              <w:t>的工资待遇不低于</w:t>
            </w:r>
            <w:r>
              <w:rPr>
                <w:rFonts w:hint="eastAsia" w:ascii="宋体" w:hAnsi="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en-US" w:eastAsia="zh-CN"/>
              </w:rPr>
              <w:t>。</w:t>
            </w:r>
          </w:p>
          <w:p w14:paraId="57934452">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5.中标人的服务工作人员必须经过上岗前培训，符合国家有关劳动用工的法律法规。上班时必须佩戴工卡、穿统一制服。</w:t>
            </w:r>
          </w:p>
          <w:p w14:paraId="5EBBB0C5">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6.管理范围内发生的人身伤害、物品被盗、人为损坏设备设施，属中标人及其工作人员管理不善原因造成的，由中标人负责赔偿。</w:t>
            </w:r>
          </w:p>
          <w:p w14:paraId="601D5A6D">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中标人工作人员应固定保持在90%以上，凡更换人员必须向所服务单位申请，经所服务单位和教育局同意后方可更换，并做好交接班工作，若因交接班衔接不好，致使所服务单位工作受到影响者，按考核制度处罚。</w:t>
            </w:r>
          </w:p>
          <w:p w14:paraId="26C7320C">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中标人在提供管理服务时必须做好各项安全防范措施，中标人所有工作人员在合约期间如发生任何人身意外（生病、伤亡事故）、事故、触犯法律法规（包括劳动用工制度、发生劳资纠纷、所服务单位的规章制度等）、或损坏学校的设施和物品，由中标人负责处理并承担经济和责任。</w:t>
            </w:r>
          </w:p>
          <w:p w14:paraId="4BF4D13C">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若中标人违约，未能达到招标文件中约定的管理目标，所服务单位有权要求中标人在规定时间内进行整改；如中标人未能按时整改，所服务单位有权向教育局申请与中标人解除合同，中标人须承担违约责任；造成所服务单位和教育局经济损失的，按造成的实际损失予以赔偿。</w:t>
            </w:r>
          </w:p>
          <w:p w14:paraId="14446B5C">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10.若中标人擅自转包、分包，或以任何形式与第三方进行合作的属违约，一经查实，中标人应向所服务单位及教育局承担违约责任，所服务单位和教育局有权解除合同。</w:t>
            </w:r>
          </w:p>
          <w:p w14:paraId="2C5F791B">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11.中标人若违背本招标文件中确定的义务，必须承担违约责任。</w:t>
            </w:r>
          </w:p>
          <w:p w14:paraId="55DCA46D">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12.中标人及其工作人员在所服务单位交由中标人管理和服务的工作区域内违法犯罪属实，中标人应赔偿并承担相应的法律责任，并不得再使用有关员工。</w:t>
            </w:r>
          </w:p>
          <w:p w14:paraId="35C07C41">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13.服务人员要求：</w:t>
            </w:r>
          </w:p>
          <w:p w14:paraId="24A73B5A">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（1）用工人数不少于各服务单位要求的人数。</w:t>
            </w:r>
          </w:p>
          <w:p w14:paraId="592AAE63">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（2）上岗人员必须经过岗前培训。</w:t>
            </w:r>
          </w:p>
          <w:p w14:paraId="4FA8EE8B">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（3）上岗人员的服装及所有的福利由</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承担。</w:t>
            </w:r>
          </w:p>
          <w:p w14:paraId="1E36FECA">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（4）对于不服从安排的服务人员，</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需向所服务单位及教育局进行书面申请，并在采购人同意后的2个工作日内替换新的服务人员。</w:t>
            </w:r>
          </w:p>
        </w:tc>
      </w:tr>
      <w:tr w14:paraId="741D3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58" w:type="dxa"/>
            <w:shd w:val="clear" w:color="auto" w:fill="auto"/>
            <w:vAlign w:val="center"/>
          </w:tcPr>
          <w:p w14:paraId="1F2404FF">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考核</w:t>
            </w:r>
          </w:p>
          <w:p w14:paraId="7533286A">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要求</w:t>
            </w:r>
          </w:p>
        </w:tc>
        <w:tc>
          <w:tcPr>
            <w:tcW w:w="8486" w:type="dxa"/>
            <w:shd w:val="clear" w:color="auto" w:fill="auto"/>
            <w:vAlign w:val="center"/>
          </w:tcPr>
          <w:p w14:paraId="0174BC2D">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1.对当班工作人员要严加管理，发生空岗、缺岗、脱岗、睡岗、上岗前喝酒（以人为记录和电子记录为准）等行为的，每次处罚100元，严重行为即时更换并处理。</w:t>
            </w:r>
          </w:p>
          <w:p w14:paraId="758A2F52">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2.发生不法分子对所服务单位的干扰，特别是暴恐和盗窃事件不及时妥善处理（阻止、制止、控制）的，每次处罚</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1000—3000元。</w:t>
            </w:r>
          </w:p>
          <w:p w14:paraId="3CB77DEF">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3.当班人员责任心不强，服务不到位导致公共设施被盗、被破坏的，</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及当班人员应共同承担相应的法律及经济损失赔偿责任，责任的界定由所服务单位确定或由公安司法部门裁定。</w:t>
            </w:r>
          </w:p>
          <w:p w14:paraId="2567866E">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4.当班人员须着规定制服上班，不穿制服上班的，每人每次扣100元。</w:t>
            </w:r>
          </w:p>
          <w:p w14:paraId="72D88CBA">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在所服务单位所属范围内开展工作，做到不迟到，不早退。有交接班的岗位须提前10分钟到达交接地点，并认真做好交接班工作，检查所配装备是否完好有效，并填报《值班交接记录表》。上班迟到、早退达到10分钟的每人每次扣50元，迟到、早退超过30分钟的算旷工。</w:t>
            </w:r>
          </w:p>
          <w:p w14:paraId="610C25E4">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6.不开展交接班工作的，每人每次50元。因交接班工作盘点财物不到位造成损失的由交接班双方共同承担。</w:t>
            </w:r>
          </w:p>
          <w:p w14:paraId="5BE423B2">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7.详细考核标准详见本章节附件：物业管理服务考核标准。</w:t>
            </w:r>
          </w:p>
        </w:tc>
      </w:tr>
      <w:tr w14:paraId="5DCB68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58" w:type="dxa"/>
            <w:shd w:val="clear" w:color="auto" w:fill="auto"/>
            <w:vAlign w:val="center"/>
          </w:tcPr>
          <w:p w14:paraId="763C1E18">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w:t>
            </w:r>
          </w:p>
          <w:p w14:paraId="5E44BF39">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监管</w:t>
            </w:r>
          </w:p>
        </w:tc>
        <w:tc>
          <w:tcPr>
            <w:tcW w:w="8486" w:type="dxa"/>
            <w:shd w:val="clear" w:color="auto" w:fill="auto"/>
            <w:vAlign w:val="center"/>
          </w:tcPr>
          <w:p w14:paraId="1F6A0350">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（1）供应商自行负责对派出的工作人员进行政治思想、职业道德、业务技术、劳动纪律的教育和培训。</w:t>
            </w:r>
          </w:p>
          <w:p w14:paraId="5C55E336">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选派的工作人员须经过岗前专业培训，上岗后继续对工作人员进行必要的教育和训练，保证工作人员的素质满足所服务单位工作的要求；保留工作人员的身份证复印件、个人简历等资料，并保证所提供资料的真实性，供应商不得随意减少或更换所派出的服务人员。</w:t>
            </w:r>
          </w:p>
          <w:p w14:paraId="504AF968">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（3）供应商负责按时支付工作人员的工资和福利费用，提供工作人员的执勤被服、工具等基本条件。</w:t>
            </w:r>
          </w:p>
          <w:p w14:paraId="790C9306">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所服务单位有权对工作人员的工作进行检查、督促、评价，对不称职的工作人员提出批评及教育，屡教不改者，有权要求更换工作人员，并将实际情况以书面形式向供应商提出撤换的要求，供应商在接到撤换要求书后三个工作日内做出更换。</w:t>
            </w:r>
          </w:p>
          <w:p w14:paraId="55464A56">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（5）所服务单位对供应商拟派的工作人员的一切行为所产生的后果不承担任何责任，供应商须自行就问题进行解决处理。</w:t>
            </w:r>
          </w:p>
          <w:p w14:paraId="44B50F86">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（6）供应商若发现工作期间的影藏因素存在的安全隐患可向所服务单位提出改进意见，并和所服务单位进行协商处理。</w:t>
            </w:r>
          </w:p>
          <w:p w14:paraId="77446C84">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所服务单位有权对供应商的工作进行考核，发现供应商不按照合同约定开展工作，对工作人员管理不规范、不严格，培训及安全措施不能达到所服务单位要求，第一次予以警告，第二次予以处罚，对连续三次不达标也不整改者（以书面通知为准），采购人有权解除合同。</w:t>
            </w:r>
          </w:p>
          <w:p w14:paraId="20D0B66D">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（8）服务期满后，须把服务期间涉及的所有档案移交给所服务单位，并在十个工作日内和新接替工作的</w:t>
            </w:r>
            <w:r>
              <w:rPr>
                <w:rFonts w:hint="eastAsia" w:ascii="宋体" w:hAnsi="宋体" w:cs="宋体"/>
                <w:color w:val="auto"/>
                <w:sz w:val="24"/>
                <w:szCs w:val="24"/>
                <w:highlight w:val="none"/>
                <w:lang w:val="en-US" w:eastAsia="zh-CN"/>
              </w:rPr>
              <w:t>物业</w:t>
            </w:r>
            <w:r>
              <w:rPr>
                <w:rFonts w:hint="eastAsia" w:ascii="宋体" w:hAnsi="宋体" w:eastAsia="宋体" w:cs="宋体"/>
                <w:color w:val="auto"/>
                <w:sz w:val="24"/>
                <w:szCs w:val="24"/>
                <w:highlight w:val="none"/>
                <w:lang w:val="en-US" w:eastAsia="zh-CN"/>
              </w:rPr>
              <w:t>公司进行工作交接，若出现不可抗力因素导致无法在规定时间内进行交接，供应商须书面告知所服务单位。</w:t>
            </w:r>
          </w:p>
        </w:tc>
      </w:tr>
      <w:tr w14:paraId="6D6CF3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58" w:type="dxa"/>
            <w:shd w:val="clear" w:color="auto" w:fill="auto"/>
            <w:vAlign w:val="center"/>
          </w:tcPr>
          <w:p w14:paraId="576A4BA0">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服务质量要求</w:t>
            </w:r>
          </w:p>
        </w:tc>
        <w:tc>
          <w:tcPr>
            <w:tcW w:w="8486" w:type="dxa"/>
            <w:shd w:val="clear" w:color="auto" w:fill="auto"/>
            <w:vAlign w:val="center"/>
          </w:tcPr>
          <w:p w14:paraId="3C154436">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每月接受采购人或校方单位质量考核，未达标准从承包价中扣除。满意率至少在85％以上</w:t>
            </w:r>
            <w:r>
              <w:rPr>
                <w:rFonts w:hint="eastAsia" w:ascii="宋体" w:hAnsi="宋体" w:eastAsia="宋体" w:cs="宋体"/>
                <w:b/>
                <w:bCs/>
                <w:color w:val="auto"/>
                <w:sz w:val="24"/>
                <w:szCs w:val="24"/>
                <w:highlight w:val="none"/>
                <w:lang w:val="en-US" w:eastAsia="zh-CN"/>
              </w:rPr>
              <w:t>（各服务学校另有要求的该学校要求为准）</w:t>
            </w:r>
            <w:r>
              <w:rPr>
                <w:rFonts w:hint="eastAsia" w:ascii="宋体" w:hAnsi="宋体" w:eastAsia="宋体" w:cs="宋体"/>
                <w:color w:val="auto"/>
                <w:sz w:val="24"/>
                <w:szCs w:val="24"/>
                <w:highlight w:val="none"/>
                <w:lang w:val="en-US" w:eastAsia="zh-CN"/>
              </w:rPr>
              <w:t>、合同履约率达98%以上、上岗培训合格率达100%、合理投诉解决率达100%，连续两个月达不到，采购人可以终止合同。</w:t>
            </w:r>
          </w:p>
        </w:tc>
      </w:tr>
      <w:tr w14:paraId="3EE28C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58" w:type="dxa"/>
            <w:shd w:val="clear" w:color="auto" w:fill="auto"/>
            <w:vAlign w:val="center"/>
          </w:tcPr>
          <w:p w14:paraId="6B584393">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保密</w:t>
            </w:r>
          </w:p>
          <w:p w14:paraId="63D5F368">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要求</w:t>
            </w:r>
          </w:p>
        </w:tc>
        <w:tc>
          <w:tcPr>
            <w:tcW w:w="8486" w:type="dxa"/>
            <w:shd w:val="clear" w:color="auto" w:fill="auto"/>
            <w:vAlign w:val="center"/>
          </w:tcPr>
          <w:p w14:paraId="24672739">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不得以任何形式</w:t>
            </w:r>
            <w:r>
              <w:rPr>
                <w:rFonts w:hint="eastAsia" w:ascii="宋体" w:hAnsi="宋体" w:cs="宋体"/>
                <w:color w:val="auto"/>
                <w:sz w:val="24"/>
                <w:szCs w:val="24"/>
                <w:highlight w:val="none"/>
                <w:lang w:val="en-US" w:eastAsia="zh-CN"/>
              </w:rPr>
              <w:t>违规</w:t>
            </w:r>
            <w:r>
              <w:rPr>
                <w:rFonts w:hint="eastAsia" w:ascii="宋体" w:hAnsi="宋体" w:eastAsia="宋体" w:cs="宋体"/>
                <w:color w:val="auto"/>
                <w:sz w:val="24"/>
                <w:szCs w:val="24"/>
                <w:highlight w:val="none"/>
                <w:lang w:val="en-US" w:eastAsia="zh-CN"/>
              </w:rPr>
              <w:t>向第三方透露本项目服务时的任何内容。如有泄密，需承担相应的法律责任。</w:t>
            </w:r>
          </w:p>
        </w:tc>
      </w:tr>
      <w:tr w14:paraId="6B454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58" w:type="dxa"/>
            <w:shd w:val="clear" w:color="auto" w:fill="auto"/>
            <w:vAlign w:val="center"/>
          </w:tcPr>
          <w:p w14:paraId="587A54A0">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违约责任</w:t>
            </w:r>
          </w:p>
        </w:tc>
        <w:tc>
          <w:tcPr>
            <w:tcW w:w="8486" w:type="dxa"/>
            <w:shd w:val="clear" w:color="auto" w:fill="auto"/>
            <w:vAlign w:val="center"/>
          </w:tcPr>
          <w:p w14:paraId="5512EE73">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 若</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所提供服务成果，无法达到本项目招标文件要求以及投标文件所承诺的内容的，所服务单位和教育局有权要求</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作出整改。如整改完毕仍达不到上述要求的，所服务单位和教育局有权拒绝支付款项，且</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应向所服务单位和教育局支付中标总金额的5%作为违约金并赔偿所服务单位和教育局的一切损失。</w:t>
            </w:r>
          </w:p>
          <w:p w14:paraId="35F0B16C">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 违约责任的赔偿不意味违约方整个合同责任的解除，未经所服务单位和教育局同意，</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不得以任何理由推迟、降低、减少有关合同条款履行的承诺。</w:t>
            </w:r>
          </w:p>
          <w:p w14:paraId="002DFD2A">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 其它违约行为按成交总金额5%收取违约金并赔偿其他经济损失。</w:t>
            </w:r>
          </w:p>
        </w:tc>
      </w:tr>
      <w:tr w14:paraId="7EE376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358" w:type="dxa"/>
            <w:shd w:val="clear" w:color="auto" w:fill="auto"/>
            <w:vAlign w:val="center"/>
          </w:tcPr>
          <w:p w14:paraId="3A287CC9">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付款条件</w:t>
            </w:r>
          </w:p>
        </w:tc>
        <w:tc>
          <w:tcPr>
            <w:tcW w:w="8486" w:type="dxa"/>
            <w:shd w:val="clear" w:color="auto" w:fill="auto"/>
            <w:vAlign w:val="center"/>
          </w:tcPr>
          <w:p w14:paraId="1BB0807C">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自合同签订后且中标单位服务人员进场（进场时间以各服务单位具体要求为准）、财政资金到位后，预付合同总金额的10%;剩余款项按季度平均支付，每季度第一个月支付上季度服务费。</w:t>
            </w:r>
          </w:p>
          <w:p w14:paraId="422178C7">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人根据每季度考核结果结算支付。三方在签订合同时可就服务质量及检查标准制定奖罚细则，在支付服务费用时采购人（甲方）、服务单位（丙方）有权根据奖罚细则增减服务费用的支付或终止合同。每次请款供应商（乙方）先交请款申请函，后根据要求开具发票，再根据实际情况、考核情况付款。</w:t>
            </w:r>
          </w:p>
        </w:tc>
      </w:tr>
      <w:tr w14:paraId="21DCE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58" w:type="dxa"/>
            <w:shd w:val="clear" w:color="auto" w:fill="auto"/>
            <w:vAlign w:val="center"/>
          </w:tcPr>
          <w:p w14:paraId="5FDA0BAA">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其他要求</w:t>
            </w:r>
          </w:p>
        </w:tc>
        <w:tc>
          <w:tcPr>
            <w:tcW w:w="8486" w:type="dxa"/>
            <w:shd w:val="clear" w:color="auto" w:fill="auto"/>
            <w:vAlign w:val="center"/>
          </w:tcPr>
          <w:p w14:paraId="7E4F022F">
            <w:pPr>
              <w:pStyle w:val="2"/>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为了更好履约及支持中小企业发展，本标项与其他标项兼投不兼中。评审规则：</w:t>
            </w:r>
            <w:r>
              <w:rPr>
                <w:rFonts w:hint="eastAsia" w:hAnsi="宋体" w:cs="宋体"/>
                <w:color w:val="auto"/>
                <w:sz w:val="24"/>
                <w:highlight w:val="none"/>
                <w:lang w:val="en-US" w:eastAsia="zh-CN"/>
              </w:rPr>
              <w:t>本项目划分为1、2、3、4四个分标，实行兼投不兼中，供应商可以同时参与多个分标投标，但只能中标一个分标。评标委员会严格按照1→2→3→4的顺序依次开展评审；若某供应商在前序分标被确定为第一中标候选人，该供应商不再进入后续所有分标的详细评审及中标候选人推荐环节，在后续所有分标评审中，评标委员会直接对其作符合性审查否决处理，后续分标从剩余有效投标人（不得少于3家）中正常评审。</w:t>
            </w:r>
          </w:p>
        </w:tc>
      </w:tr>
    </w:tbl>
    <w:p w14:paraId="5A29ECF2">
      <w:pPr>
        <w:bidi w:val="0"/>
        <w:rPr>
          <w:rFonts w:hint="default" w:ascii="Times New Roman" w:hAnsi="Times New Roman" w:cs="Times New Roman"/>
          <w:color w:val="auto"/>
          <w:highlight w:val="none"/>
          <w:lang w:val="en-US" w:eastAsia="zh-CN"/>
        </w:rPr>
      </w:pPr>
    </w:p>
    <w:p w14:paraId="18653271">
      <w:pPr>
        <w:snapToGrid w:val="0"/>
        <w:spacing w:before="156" w:beforeLines="50" w:after="156" w:afterLines="50" w:line="600" w:lineRule="exact"/>
        <w:ind w:left="238"/>
        <w:jc w:val="center"/>
        <w:rPr>
          <w:rFonts w:ascii="宋体" w:hAnsi="宋体" w:cs="宋体"/>
          <w:b/>
          <w:bCs/>
          <w:color w:val="auto"/>
          <w:szCs w:val="21"/>
          <w:highlight w:val="none"/>
        </w:rPr>
      </w:pPr>
      <w:r>
        <w:rPr>
          <w:rFonts w:ascii="宋体" w:hAnsi="宋体" w:cs="宋体"/>
          <w:b/>
          <w:bCs/>
          <w:color w:val="auto"/>
          <w:szCs w:val="21"/>
          <w:highlight w:val="none"/>
        </w:rPr>
        <w:br w:type="page"/>
      </w:r>
    </w:p>
    <w:p w14:paraId="2C5827A8">
      <w:pPr>
        <w:pStyle w:val="513"/>
        <w:spacing w:line="440" w:lineRule="exact"/>
        <w:ind w:firstLine="402"/>
        <w:jc w:val="center"/>
        <w:outlineLvl w:val="1"/>
        <w:rPr>
          <w:rFonts w:hint="eastAsia" w:ascii="宋体" w:hAnsi="宋体" w:cs="宋体"/>
          <w:b/>
          <w:color w:val="auto"/>
          <w:sz w:val="44"/>
          <w:szCs w:val="44"/>
          <w:highlight w:val="none"/>
        </w:rPr>
      </w:pPr>
    </w:p>
    <w:p w14:paraId="7F9D2CFB">
      <w:pPr>
        <w:pStyle w:val="513"/>
        <w:keepNext w:val="0"/>
        <w:keepLines w:val="0"/>
        <w:pageBreakBefore w:val="0"/>
        <w:widowControl w:val="0"/>
        <w:kinsoku/>
        <w:wordWrap/>
        <w:overflowPunct/>
        <w:topLinePunct w:val="0"/>
        <w:autoSpaceDE/>
        <w:autoSpaceDN/>
        <w:bidi w:val="0"/>
        <w:adjustRightInd/>
        <w:snapToGrid/>
        <w:spacing w:line="600" w:lineRule="exact"/>
        <w:ind w:firstLine="402"/>
        <w:jc w:val="center"/>
        <w:textAlignment w:val="auto"/>
        <w:outlineLvl w:val="1"/>
        <w:rPr>
          <w:rFonts w:hint="default" w:eastAsia="宋体"/>
          <w:color w:val="auto"/>
          <w:sz w:val="44"/>
          <w:szCs w:val="44"/>
          <w:highlight w:val="none"/>
          <w:lang w:val="en-US" w:eastAsia="zh-CN"/>
        </w:rPr>
      </w:pPr>
      <w:r>
        <w:rPr>
          <w:rFonts w:hint="eastAsia" w:ascii="宋体" w:hAnsi="宋体" w:cs="宋体"/>
          <w:b/>
          <w:color w:val="auto"/>
          <w:sz w:val="44"/>
          <w:szCs w:val="44"/>
          <w:highlight w:val="none"/>
        </w:rPr>
        <w:t>标项二：</w:t>
      </w:r>
      <w:r>
        <w:rPr>
          <w:rFonts w:hint="eastAsia" w:ascii="宋体" w:hAnsi="宋体" w:cs="宋体"/>
          <w:b/>
          <w:color w:val="auto"/>
          <w:sz w:val="44"/>
          <w:szCs w:val="44"/>
          <w:highlight w:val="none"/>
          <w:lang w:eastAsia="zh-CN"/>
        </w:rPr>
        <w:t>物业服务</w:t>
      </w:r>
      <w:r>
        <w:rPr>
          <w:rFonts w:hint="eastAsia" w:ascii="宋体" w:hAnsi="宋体" w:cs="宋体"/>
          <w:b/>
          <w:color w:val="auto"/>
          <w:sz w:val="44"/>
          <w:szCs w:val="44"/>
          <w:highlight w:val="none"/>
          <w:lang w:val="en-US" w:eastAsia="zh-CN"/>
        </w:rPr>
        <w:t>2</w:t>
      </w:r>
    </w:p>
    <w:p w14:paraId="060E79A3">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说明：</w:t>
      </w:r>
    </w:p>
    <w:p w14:paraId="35C73299">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1.本项目的政府采购预算控制价为人民币6592300元，高于预算控制价的报价将视为无效投标。</w:t>
      </w:r>
    </w:p>
    <w:p w14:paraId="6354752C">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采购需求中标注“★”的内容必须满足或者优于，否则投标无效。</w:t>
      </w:r>
    </w:p>
    <w:p w14:paraId="66C9D525">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3.根据《关于印发中小企业划型标准规定的通知》（工信部联企业</w:t>
      </w:r>
      <w:r>
        <w:rPr>
          <w:rFonts w:hint="eastAsia" w:ascii="宋体" w:hAnsi="宋体" w:cs="Book Antiqua"/>
          <w:color w:val="auto"/>
          <w:szCs w:val="21"/>
          <w:highlight w:val="none"/>
        </w:rPr>
        <w:t>〔2011〕</w:t>
      </w:r>
      <w:r>
        <w:rPr>
          <w:rFonts w:hint="eastAsia" w:ascii="宋体" w:hAnsi="宋体" w:cs="宋体"/>
          <w:color w:val="auto"/>
          <w:szCs w:val="21"/>
          <w:highlight w:val="none"/>
        </w:rPr>
        <w:t>300号）规定的划分标准，本项目采购所有标的对应的中小企业划分标准所属行业为：</w:t>
      </w:r>
      <w:r>
        <w:rPr>
          <w:rFonts w:hint="eastAsia" w:ascii="宋体" w:hAnsi="宋体" w:cs="Book Antiqua"/>
          <w:b/>
          <w:color w:val="auto"/>
          <w:szCs w:val="21"/>
          <w:highlight w:val="none"/>
          <w:lang w:eastAsia="zh-CN"/>
        </w:rPr>
        <w:t>物业管理</w:t>
      </w:r>
      <w:r>
        <w:rPr>
          <w:rFonts w:hint="eastAsia" w:ascii="宋体" w:hAnsi="宋体" w:cs="宋体"/>
          <w:color w:val="auto"/>
          <w:szCs w:val="21"/>
          <w:highlight w:val="none"/>
        </w:rPr>
        <w:t>。</w:t>
      </w:r>
    </w:p>
    <w:tbl>
      <w:tblPr>
        <w:tblStyle w:val="64"/>
        <w:tblW w:w="991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0"/>
        <w:gridCol w:w="8530"/>
      </w:tblGrid>
      <w:tr w14:paraId="63275E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910" w:type="dxa"/>
            <w:gridSpan w:val="2"/>
            <w:shd w:val="clear" w:color="auto" w:fill="auto"/>
            <w:vAlign w:val="center"/>
          </w:tcPr>
          <w:p w14:paraId="7B63EDD5">
            <w:pPr>
              <w:keepNext w:val="0"/>
              <w:keepLines w:val="0"/>
              <w:pageBreakBefore w:val="0"/>
              <w:kinsoku/>
              <w:overflowPunct/>
              <w:topLinePunct w:val="0"/>
              <w:bidi w:val="0"/>
              <w:snapToGrid/>
              <w:spacing w:line="420" w:lineRule="exact"/>
              <w:ind w:firstLine="640" w:firstLineChars="200"/>
              <w:jc w:val="left"/>
              <w:textAlignment w:val="auto"/>
              <w:rPr>
                <w:rFonts w:hint="default" w:ascii="Times New Roman" w:hAnsi="Times New Roman" w:eastAsia="仿宋_GB2312" w:cs="Times New Roman"/>
                <w:color w:val="auto"/>
                <w:sz w:val="32"/>
                <w:szCs w:val="32"/>
                <w:highlight w:val="none"/>
              </w:rPr>
            </w:pPr>
            <w:r>
              <w:rPr>
                <w:rFonts w:hint="eastAsia" w:ascii="宋体" w:hAnsi="宋体" w:cs="宋体"/>
                <w:bCs/>
                <w:color w:val="auto"/>
                <w:sz w:val="32"/>
                <w:szCs w:val="32"/>
                <w:highlight w:val="none"/>
              </w:rPr>
              <w:t>★</w:t>
            </w:r>
            <w:r>
              <w:rPr>
                <w:rFonts w:hint="eastAsia" w:ascii="宋体" w:hAnsi="宋体" w:cs="宋体"/>
                <w:b/>
                <w:color w:val="auto"/>
                <w:sz w:val="32"/>
                <w:szCs w:val="32"/>
                <w:highlight w:val="none"/>
                <w:lang w:val="en-US" w:eastAsia="zh-CN"/>
              </w:rPr>
              <w:t xml:space="preserve"> </w:t>
            </w:r>
            <w:r>
              <w:rPr>
                <w:rFonts w:hint="eastAsia" w:ascii="宋体" w:hAnsi="宋体" w:cs="宋体"/>
                <w:b/>
                <w:color w:val="auto"/>
                <w:sz w:val="32"/>
                <w:szCs w:val="32"/>
                <w:highlight w:val="none"/>
              </w:rPr>
              <w:t>技术要求</w:t>
            </w:r>
          </w:p>
        </w:tc>
      </w:tr>
      <w:tr w14:paraId="2C9EE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910" w:type="dxa"/>
            <w:gridSpan w:val="2"/>
            <w:shd w:val="clear" w:color="auto" w:fill="auto"/>
            <w:vAlign w:val="center"/>
          </w:tcPr>
          <w:p w14:paraId="70D2D3DD">
            <w:pPr>
              <w:keepNext w:val="0"/>
              <w:keepLines w:val="0"/>
              <w:pageBreakBefore w:val="0"/>
              <w:kinsoku/>
              <w:overflowPunct/>
              <w:topLinePunct w:val="0"/>
              <w:bidi w:val="0"/>
              <w:snapToGrid/>
              <w:spacing w:line="420" w:lineRule="exact"/>
              <w:jc w:val="left"/>
              <w:textAlignment w:val="auto"/>
              <w:rPr>
                <w:rFonts w:hint="eastAsia" w:ascii="宋体" w:hAnsi="宋体" w:cs="宋体"/>
                <w:b/>
                <w:bCs w:val="0"/>
                <w:color w:val="auto"/>
                <w:sz w:val="32"/>
                <w:szCs w:val="32"/>
                <w:highlight w:val="none"/>
                <w:lang w:eastAsia="zh-CN"/>
              </w:rPr>
            </w:pPr>
            <w:r>
              <w:rPr>
                <w:rFonts w:hint="eastAsia" w:ascii="宋体" w:hAnsi="宋体" w:eastAsia="宋体" w:cs="宋体"/>
                <w:b/>
                <w:bCs/>
                <w:color w:val="auto"/>
                <w:sz w:val="21"/>
                <w:szCs w:val="21"/>
                <w:highlight w:val="none"/>
                <w:lang w:val="en-US" w:eastAsia="zh-CN"/>
              </w:rPr>
              <w:t>人员需求</w:t>
            </w:r>
          </w:p>
        </w:tc>
      </w:tr>
      <w:tr w14:paraId="2BBBA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5" w:hRule="atLeast"/>
          <w:jc w:val="center"/>
        </w:trPr>
        <w:tc>
          <w:tcPr>
            <w:tcW w:w="9910" w:type="dxa"/>
            <w:gridSpan w:val="2"/>
            <w:shd w:val="clear" w:color="auto" w:fill="auto"/>
            <w:vAlign w:val="center"/>
          </w:tcPr>
          <w:tbl>
            <w:tblPr>
              <w:tblStyle w:val="64"/>
              <w:tblW w:w="86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2252"/>
              <w:gridCol w:w="1800"/>
              <w:gridCol w:w="2232"/>
              <w:gridCol w:w="1674"/>
            </w:tblGrid>
            <w:tr w14:paraId="7ABF4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673" w:type="dxa"/>
                  <w:vAlign w:val="center"/>
                </w:tcPr>
                <w:p w14:paraId="247AD9C6">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序号</w:t>
                  </w:r>
                </w:p>
              </w:tc>
              <w:tc>
                <w:tcPr>
                  <w:tcW w:w="2252" w:type="dxa"/>
                  <w:vAlign w:val="center"/>
                </w:tcPr>
                <w:p w14:paraId="66D21062">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hAnsi="宋体" w:cs="宋体"/>
                      <w:color w:val="auto"/>
                      <w:sz w:val="21"/>
                      <w:szCs w:val="21"/>
                      <w:highlight w:val="none"/>
                      <w:vertAlign w:val="baseline"/>
                      <w:lang w:val="en-US" w:eastAsia="zh-CN"/>
                    </w:rPr>
                    <w:t>服务单位</w:t>
                  </w:r>
                </w:p>
              </w:tc>
              <w:tc>
                <w:tcPr>
                  <w:tcW w:w="1800" w:type="dxa"/>
                  <w:vAlign w:val="center"/>
                </w:tcPr>
                <w:p w14:paraId="7C9C11E5">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人员类别</w:t>
                  </w:r>
                </w:p>
              </w:tc>
              <w:tc>
                <w:tcPr>
                  <w:tcW w:w="2232" w:type="dxa"/>
                  <w:vAlign w:val="center"/>
                </w:tcPr>
                <w:p w14:paraId="2898DA7B">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配备人数</w:t>
                  </w:r>
                </w:p>
              </w:tc>
              <w:tc>
                <w:tcPr>
                  <w:tcW w:w="1674" w:type="dxa"/>
                  <w:vAlign w:val="center"/>
                </w:tcPr>
                <w:p w14:paraId="76A30030">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投标最高限价</w:t>
                  </w:r>
                </w:p>
                <w:p w14:paraId="122B0099">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（万元）</w:t>
                  </w:r>
                </w:p>
              </w:tc>
            </w:tr>
            <w:tr w14:paraId="6875F0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71B8B919">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2252" w:type="dxa"/>
                  <w:vMerge w:val="restart"/>
                  <w:vAlign w:val="center"/>
                </w:tcPr>
                <w:p w14:paraId="08B44F96">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北海市第六幼儿园</w:t>
                  </w:r>
                </w:p>
              </w:tc>
              <w:tc>
                <w:tcPr>
                  <w:tcW w:w="1800" w:type="dxa"/>
                  <w:vAlign w:val="center"/>
                </w:tcPr>
                <w:p w14:paraId="6A732434">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保洁员</w:t>
                  </w:r>
                </w:p>
              </w:tc>
              <w:tc>
                <w:tcPr>
                  <w:tcW w:w="2232" w:type="dxa"/>
                  <w:vAlign w:val="center"/>
                </w:tcPr>
                <w:p w14:paraId="01D18CB8">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1674" w:type="dxa"/>
                  <w:vMerge w:val="restart"/>
                  <w:vAlign w:val="center"/>
                </w:tcPr>
                <w:p w14:paraId="421D4486">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lang w:val="en-US" w:eastAsia="zh-CN"/>
                    </w:rPr>
                    <w:t>17.83</w:t>
                  </w:r>
                </w:p>
              </w:tc>
            </w:tr>
            <w:tr w14:paraId="5D7B8B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58DD94BF">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2252" w:type="dxa"/>
                  <w:vMerge w:val="continue"/>
                  <w:vAlign w:val="center"/>
                </w:tcPr>
                <w:p w14:paraId="08D8104B">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1800" w:type="dxa"/>
                  <w:vAlign w:val="center"/>
                </w:tcPr>
                <w:p w14:paraId="25EA59C8">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绿化员</w:t>
                  </w:r>
                </w:p>
              </w:tc>
              <w:tc>
                <w:tcPr>
                  <w:tcW w:w="2232" w:type="dxa"/>
                  <w:vAlign w:val="center"/>
                </w:tcPr>
                <w:p w14:paraId="6AE09699">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1674" w:type="dxa"/>
                  <w:vMerge w:val="continue"/>
                  <w:vAlign w:val="center"/>
                </w:tcPr>
                <w:p w14:paraId="1D092E9B">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r>
            <w:tr w14:paraId="58F98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78EDA895">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2252" w:type="dxa"/>
                  <w:vMerge w:val="restart"/>
                  <w:vAlign w:val="center"/>
                </w:tcPr>
                <w:p w14:paraId="78B5DAB4">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北海市第二中学</w:t>
                  </w:r>
                </w:p>
              </w:tc>
              <w:tc>
                <w:tcPr>
                  <w:tcW w:w="1800" w:type="dxa"/>
                  <w:shd w:val="clear" w:color="auto" w:fill="auto"/>
                  <w:vAlign w:val="center"/>
                </w:tcPr>
                <w:p w14:paraId="43B1153B">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水电工</w:t>
                  </w:r>
                </w:p>
              </w:tc>
              <w:tc>
                <w:tcPr>
                  <w:tcW w:w="2232" w:type="dxa"/>
                  <w:vAlign w:val="center"/>
                </w:tcPr>
                <w:p w14:paraId="0BA8FA3A">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1674" w:type="dxa"/>
                  <w:vMerge w:val="restart"/>
                  <w:vAlign w:val="center"/>
                </w:tcPr>
                <w:p w14:paraId="6D1E99FD">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lang w:val="en-US" w:eastAsia="zh-CN"/>
                    </w:rPr>
                    <w:t>89.73</w:t>
                  </w:r>
                </w:p>
              </w:tc>
            </w:tr>
            <w:tr w14:paraId="42543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7D287B39">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2252" w:type="dxa"/>
                  <w:vMerge w:val="continue"/>
                  <w:vAlign w:val="center"/>
                </w:tcPr>
                <w:p w14:paraId="558BB3E7">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1800" w:type="dxa"/>
                  <w:shd w:val="clear" w:color="auto" w:fill="auto"/>
                  <w:vAlign w:val="center"/>
                </w:tcPr>
                <w:p w14:paraId="2264203D">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保洁员</w:t>
                  </w:r>
                </w:p>
              </w:tc>
              <w:tc>
                <w:tcPr>
                  <w:tcW w:w="2232" w:type="dxa"/>
                  <w:vAlign w:val="center"/>
                </w:tcPr>
                <w:p w14:paraId="5B6D9667">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8</w:t>
                  </w:r>
                </w:p>
              </w:tc>
              <w:tc>
                <w:tcPr>
                  <w:tcW w:w="1674" w:type="dxa"/>
                  <w:vMerge w:val="continue"/>
                  <w:vAlign w:val="center"/>
                </w:tcPr>
                <w:p w14:paraId="09C6ED3B">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r>
            <w:tr w14:paraId="33C14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298AF300">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2252" w:type="dxa"/>
                  <w:vMerge w:val="continue"/>
                  <w:vAlign w:val="center"/>
                </w:tcPr>
                <w:p w14:paraId="35445A18">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1800" w:type="dxa"/>
                  <w:shd w:val="clear" w:color="auto" w:fill="auto"/>
                  <w:vAlign w:val="center"/>
                </w:tcPr>
                <w:p w14:paraId="17071676">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绿化员</w:t>
                  </w:r>
                </w:p>
              </w:tc>
              <w:tc>
                <w:tcPr>
                  <w:tcW w:w="2232" w:type="dxa"/>
                  <w:vAlign w:val="center"/>
                </w:tcPr>
                <w:p w14:paraId="762D747A">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1674" w:type="dxa"/>
                  <w:vMerge w:val="continue"/>
                  <w:vAlign w:val="center"/>
                </w:tcPr>
                <w:p w14:paraId="63E1BDAA">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r>
            <w:tr w14:paraId="73A6D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330B8C62">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2252" w:type="dxa"/>
                  <w:vMerge w:val="restart"/>
                  <w:vAlign w:val="center"/>
                </w:tcPr>
                <w:p w14:paraId="73451B29">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北海市第六中学</w:t>
                  </w:r>
                </w:p>
              </w:tc>
              <w:tc>
                <w:tcPr>
                  <w:tcW w:w="1800" w:type="dxa"/>
                  <w:vAlign w:val="center"/>
                </w:tcPr>
                <w:p w14:paraId="0CA51169">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水电工</w:t>
                  </w:r>
                </w:p>
              </w:tc>
              <w:tc>
                <w:tcPr>
                  <w:tcW w:w="2232" w:type="dxa"/>
                  <w:vAlign w:val="center"/>
                </w:tcPr>
                <w:p w14:paraId="6EC3580C">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1674" w:type="dxa"/>
                  <w:vMerge w:val="restart"/>
                  <w:vAlign w:val="center"/>
                </w:tcPr>
                <w:p w14:paraId="725D8E2C">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lang w:val="en-US" w:eastAsia="zh-CN"/>
                    </w:rPr>
                    <w:t>45.84</w:t>
                  </w:r>
                </w:p>
              </w:tc>
            </w:tr>
            <w:tr w14:paraId="317EE3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4B59EBE4">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2252" w:type="dxa"/>
                  <w:vMerge w:val="continue"/>
                  <w:vAlign w:val="center"/>
                </w:tcPr>
                <w:p w14:paraId="332D0B85">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1800" w:type="dxa"/>
                  <w:vAlign w:val="center"/>
                </w:tcPr>
                <w:p w14:paraId="286FFA8C">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保洁员</w:t>
                  </w:r>
                </w:p>
              </w:tc>
              <w:tc>
                <w:tcPr>
                  <w:tcW w:w="2232" w:type="dxa"/>
                  <w:vAlign w:val="center"/>
                </w:tcPr>
                <w:p w14:paraId="39D25C46">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1674" w:type="dxa"/>
                  <w:vMerge w:val="continue"/>
                  <w:vAlign w:val="center"/>
                </w:tcPr>
                <w:p w14:paraId="196D7DAA">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r>
            <w:tr w14:paraId="73CC60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77CF9E8B">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2252" w:type="dxa"/>
                  <w:vMerge w:val="continue"/>
                  <w:vAlign w:val="center"/>
                </w:tcPr>
                <w:p w14:paraId="0181B841">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1800" w:type="dxa"/>
                  <w:vAlign w:val="center"/>
                </w:tcPr>
                <w:p w14:paraId="1AAD9B87">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绿化员</w:t>
                  </w:r>
                </w:p>
              </w:tc>
              <w:tc>
                <w:tcPr>
                  <w:tcW w:w="2232" w:type="dxa"/>
                  <w:vAlign w:val="center"/>
                </w:tcPr>
                <w:p w14:paraId="67ECEF4E">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1674" w:type="dxa"/>
                  <w:vMerge w:val="continue"/>
                  <w:vAlign w:val="center"/>
                </w:tcPr>
                <w:p w14:paraId="3E7746F4">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r>
            <w:tr w14:paraId="04B11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4F5ACC9A">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w:t>
                  </w:r>
                </w:p>
              </w:tc>
              <w:tc>
                <w:tcPr>
                  <w:tcW w:w="2252" w:type="dxa"/>
                  <w:vMerge w:val="restart"/>
                  <w:vAlign w:val="center"/>
                </w:tcPr>
                <w:p w14:paraId="457AD7BC">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北海市第十一中学</w:t>
                  </w:r>
                </w:p>
              </w:tc>
              <w:tc>
                <w:tcPr>
                  <w:tcW w:w="1800" w:type="dxa"/>
                  <w:vAlign w:val="center"/>
                </w:tcPr>
                <w:p w14:paraId="6B5C8E45">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水电工</w:t>
                  </w:r>
                </w:p>
              </w:tc>
              <w:tc>
                <w:tcPr>
                  <w:tcW w:w="2232" w:type="dxa"/>
                  <w:vAlign w:val="center"/>
                </w:tcPr>
                <w:p w14:paraId="14C0A6A6">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w:t>
                  </w:r>
                </w:p>
              </w:tc>
              <w:tc>
                <w:tcPr>
                  <w:tcW w:w="1674" w:type="dxa"/>
                  <w:vMerge w:val="restart"/>
                  <w:vAlign w:val="center"/>
                </w:tcPr>
                <w:p w14:paraId="7F37323A">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56.29</w:t>
                  </w:r>
                </w:p>
              </w:tc>
            </w:tr>
            <w:tr w14:paraId="55FC02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4554B5B4">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2252" w:type="dxa"/>
                  <w:vMerge w:val="continue"/>
                  <w:vAlign w:val="center"/>
                </w:tcPr>
                <w:p w14:paraId="4D755A0D">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1800" w:type="dxa"/>
                  <w:vAlign w:val="center"/>
                </w:tcPr>
                <w:p w14:paraId="787857F3">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保洁员</w:t>
                  </w:r>
                </w:p>
              </w:tc>
              <w:tc>
                <w:tcPr>
                  <w:tcW w:w="2232" w:type="dxa"/>
                  <w:vAlign w:val="center"/>
                </w:tcPr>
                <w:p w14:paraId="40F129EC">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w:t>
                  </w:r>
                </w:p>
              </w:tc>
              <w:tc>
                <w:tcPr>
                  <w:tcW w:w="1674" w:type="dxa"/>
                  <w:vMerge w:val="continue"/>
                  <w:vAlign w:val="center"/>
                </w:tcPr>
                <w:p w14:paraId="59EDA52F">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r>
            <w:tr w14:paraId="2FED2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65B2CE30">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2252" w:type="dxa"/>
                  <w:vMerge w:val="continue"/>
                  <w:vAlign w:val="center"/>
                </w:tcPr>
                <w:p w14:paraId="0CF6D5D6">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1800" w:type="dxa"/>
                  <w:vAlign w:val="center"/>
                </w:tcPr>
                <w:p w14:paraId="49E7E405">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绿化员</w:t>
                  </w:r>
                </w:p>
              </w:tc>
              <w:tc>
                <w:tcPr>
                  <w:tcW w:w="2232" w:type="dxa"/>
                  <w:vAlign w:val="center"/>
                </w:tcPr>
                <w:p w14:paraId="53790294">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w:t>
                  </w:r>
                </w:p>
              </w:tc>
              <w:tc>
                <w:tcPr>
                  <w:tcW w:w="1674" w:type="dxa"/>
                  <w:vMerge w:val="continue"/>
                  <w:vAlign w:val="center"/>
                </w:tcPr>
                <w:p w14:paraId="4E7881B5">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r>
            <w:tr w14:paraId="77EED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0E1930E9">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5</w:t>
                  </w:r>
                </w:p>
              </w:tc>
              <w:tc>
                <w:tcPr>
                  <w:tcW w:w="2252" w:type="dxa"/>
                  <w:vMerge w:val="restart"/>
                  <w:vAlign w:val="center"/>
                </w:tcPr>
                <w:p w14:paraId="255E3816">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lang w:val="en-US" w:eastAsia="zh-CN"/>
                    </w:rPr>
                    <w:t>北海市中等职业技术学校</w:t>
                  </w:r>
                </w:p>
              </w:tc>
              <w:tc>
                <w:tcPr>
                  <w:tcW w:w="1800" w:type="dxa"/>
                  <w:vAlign w:val="center"/>
                </w:tcPr>
                <w:p w14:paraId="76C69E12">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lang w:val="en-US" w:eastAsia="zh-CN"/>
                    </w:rPr>
                    <w:t>物业主管</w:t>
                  </w:r>
                </w:p>
              </w:tc>
              <w:tc>
                <w:tcPr>
                  <w:tcW w:w="2232" w:type="dxa"/>
                  <w:vMerge w:val="restart"/>
                  <w:vAlign w:val="center"/>
                </w:tcPr>
                <w:p w14:paraId="736D5FC9">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lang w:val="en-US" w:eastAsia="zh-CN"/>
                    </w:rPr>
                    <w:t>详见本节第二部分和第三部分</w:t>
                  </w:r>
                  <w:r>
                    <w:rPr>
                      <w:rFonts w:hint="default" w:ascii="宋体" w:hAnsi="宋体" w:eastAsia="宋体" w:cs="宋体"/>
                      <w:b w:val="0"/>
                      <w:bCs/>
                      <w:color w:val="auto"/>
                      <w:sz w:val="21"/>
                      <w:szCs w:val="21"/>
                      <w:highlight w:val="none"/>
                      <w:lang w:val="en-US" w:eastAsia="zh-CN"/>
                    </w:rPr>
                    <w:t>北海市中等职业技术学校物业服务</w:t>
                  </w:r>
                  <w:r>
                    <w:rPr>
                      <w:rFonts w:hint="eastAsia" w:ascii="宋体" w:hAnsi="宋体" w:eastAsia="宋体" w:cs="宋体"/>
                      <w:b w:val="0"/>
                      <w:bCs/>
                      <w:color w:val="auto"/>
                      <w:sz w:val="21"/>
                      <w:szCs w:val="21"/>
                      <w:highlight w:val="none"/>
                      <w:lang w:val="en-US" w:eastAsia="zh-CN"/>
                    </w:rPr>
                    <w:t>和</w:t>
                  </w:r>
                  <w:r>
                    <w:rPr>
                      <w:rFonts w:hint="default" w:ascii="宋体" w:hAnsi="宋体" w:eastAsia="宋体" w:cs="宋体"/>
                      <w:b w:val="0"/>
                      <w:bCs/>
                      <w:color w:val="auto"/>
                      <w:sz w:val="21"/>
                      <w:szCs w:val="21"/>
                      <w:highlight w:val="none"/>
                      <w:lang w:val="en-US" w:eastAsia="zh-CN"/>
                    </w:rPr>
                    <w:t>宿舍管理服务</w:t>
                  </w:r>
                  <w:r>
                    <w:rPr>
                      <w:rFonts w:hint="eastAsia" w:ascii="宋体" w:hAnsi="宋体" w:eastAsia="宋体" w:cs="宋体"/>
                      <w:b w:val="0"/>
                      <w:bCs/>
                      <w:color w:val="auto"/>
                      <w:sz w:val="21"/>
                      <w:szCs w:val="21"/>
                      <w:highlight w:val="none"/>
                      <w:lang w:val="en-US" w:eastAsia="zh-CN"/>
                    </w:rPr>
                    <w:t>的具体人员配备要求</w:t>
                  </w:r>
                </w:p>
              </w:tc>
              <w:tc>
                <w:tcPr>
                  <w:tcW w:w="1674" w:type="dxa"/>
                  <w:vMerge w:val="restart"/>
                  <w:vAlign w:val="center"/>
                </w:tcPr>
                <w:p w14:paraId="3C527766">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449.54</w:t>
                  </w:r>
                </w:p>
              </w:tc>
            </w:tr>
            <w:tr w14:paraId="227677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2755221D">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2252" w:type="dxa"/>
                  <w:vMerge w:val="continue"/>
                  <w:vAlign w:val="center"/>
                </w:tcPr>
                <w:p w14:paraId="2C94C8CB">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1800" w:type="dxa"/>
                  <w:vAlign w:val="center"/>
                </w:tcPr>
                <w:p w14:paraId="3AD180DB">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lang w:val="en-US" w:eastAsia="zh-CN"/>
                    </w:rPr>
                    <w:t>保洁员</w:t>
                  </w:r>
                </w:p>
              </w:tc>
              <w:tc>
                <w:tcPr>
                  <w:tcW w:w="2232" w:type="dxa"/>
                  <w:vMerge w:val="continue"/>
                  <w:vAlign w:val="center"/>
                </w:tcPr>
                <w:p w14:paraId="346738EC">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1674" w:type="dxa"/>
                  <w:vMerge w:val="continue"/>
                  <w:vAlign w:val="center"/>
                </w:tcPr>
                <w:p w14:paraId="0761579B">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r>
            <w:tr w14:paraId="48C5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712A4E96">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2252" w:type="dxa"/>
                  <w:vMerge w:val="continue"/>
                  <w:vAlign w:val="center"/>
                </w:tcPr>
                <w:p w14:paraId="2F1BED1C">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1800" w:type="dxa"/>
                  <w:vAlign w:val="center"/>
                </w:tcPr>
                <w:p w14:paraId="61F6EFE4">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lang w:val="en-US" w:eastAsia="zh-CN"/>
                    </w:rPr>
                    <w:t>绿化员</w:t>
                  </w:r>
                </w:p>
              </w:tc>
              <w:tc>
                <w:tcPr>
                  <w:tcW w:w="2232" w:type="dxa"/>
                  <w:vMerge w:val="continue"/>
                  <w:vAlign w:val="center"/>
                </w:tcPr>
                <w:p w14:paraId="23454E88">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1674" w:type="dxa"/>
                  <w:vMerge w:val="continue"/>
                  <w:vAlign w:val="center"/>
                </w:tcPr>
                <w:p w14:paraId="1638AD25">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r>
            <w:tr w14:paraId="7EF8D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394418F8">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2252" w:type="dxa"/>
                  <w:vMerge w:val="continue"/>
                  <w:vAlign w:val="center"/>
                </w:tcPr>
                <w:p w14:paraId="222A5A83">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1800" w:type="dxa"/>
                  <w:vAlign w:val="center"/>
                </w:tcPr>
                <w:p w14:paraId="7EE93993">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lang w:val="en-US" w:eastAsia="zh-CN"/>
                    </w:rPr>
                    <w:t>宿管主管</w:t>
                  </w:r>
                </w:p>
              </w:tc>
              <w:tc>
                <w:tcPr>
                  <w:tcW w:w="2232" w:type="dxa"/>
                  <w:vMerge w:val="continue"/>
                  <w:vAlign w:val="center"/>
                </w:tcPr>
                <w:p w14:paraId="077BD7D9">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1674" w:type="dxa"/>
                  <w:vMerge w:val="continue"/>
                  <w:vAlign w:val="center"/>
                </w:tcPr>
                <w:p w14:paraId="486FEC6E">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r>
            <w:tr w14:paraId="12F63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367003F2">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2252" w:type="dxa"/>
                  <w:vMerge w:val="continue"/>
                  <w:vAlign w:val="center"/>
                </w:tcPr>
                <w:p w14:paraId="1E73BFF6">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1800" w:type="dxa"/>
                  <w:vAlign w:val="center"/>
                </w:tcPr>
                <w:p w14:paraId="78A31840">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b w:val="0"/>
                      <w:bCs/>
                      <w:color w:val="auto"/>
                      <w:sz w:val="21"/>
                      <w:szCs w:val="21"/>
                      <w:highlight w:val="none"/>
                      <w:lang w:val="en-US" w:eastAsia="zh-CN"/>
                    </w:rPr>
                    <w:t>宿管员</w:t>
                  </w:r>
                </w:p>
              </w:tc>
              <w:tc>
                <w:tcPr>
                  <w:tcW w:w="2232" w:type="dxa"/>
                  <w:vMerge w:val="continue"/>
                  <w:vAlign w:val="center"/>
                </w:tcPr>
                <w:p w14:paraId="7EA45F2A">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c>
                <w:tcPr>
                  <w:tcW w:w="1674" w:type="dxa"/>
                  <w:vMerge w:val="continue"/>
                  <w:vAlign w:val="center"/>
                </w:tcPr>
                <w:p w14:paraId="44686D4F">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1"/>
                      <w:szCs w:val="21"/>
                      <w:highlight w:val="none"/>
                      <w:vertAlign w:val="baseline"/>
                      <w:lang w:val="en-US" w:eastAsia="zh-CN"/>
                    </w:rPr>
                  </w:pPr>
                </w:p>
              </w:tc>
            </w:tr>
          </w:tbl>
          <w:p w14:paraId="5B412B5A">
            <w:pPr>
              <w:keepNext w:val="0"/>
              <w:keepLines w:val="0"/>
              <w:pageBreakBefore w:val="0"/>
              <w:kinsoku/>
              <w:overflowPunct/>
              <w:topLinePunct w:val="0"/>
              <w:bidi w:val="0"/>
              <w:snapToGrid/>
              <w:spacing w:line="420" w:lineRule="exact"/>
              <w:ind w:firstLine="643" w:firstLineChars="200"/>
              <w:jc w:val="left"/>
              <w:textAlignment w:val="auto"/>
              <w:rPr>
                <w:rFonts w:hint="eastAsia" w:ascii="宋体" w:hAnsi="宋体" w:cs="宋体"/>
                <w:b/>
                <w:bCs w:val="0"/>
                <w:color w:val="auto"/>
                <w:sz w:val="32"/>
                <w:szCs w:val="32"/>
                <w:highlight w:val="none"/>
                <w:lang w:eastAsia="zh-CN"/>
              </w:rPr>
            </w:pPr>
          </w:p>
        </w:tc>
      </w:tr>
      <w:tr w14:paraId="1755E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9910" w:type="dxa"/>
            <w:gridSpan w:val="2"/>
            <w:shd w:val="clear" w:color="auto" w:fill="auto"/>
            <w:vAlign w:val="center"/>
          </w:tcPr>
          <w:p w14:paraId="6E134F9D">
            <w:pPr>
              <w:keepNext w:val="0"/>
              <w:keepLines w:val="0"/>
              <w:pageBreakBefore w:val="0"/>
              <w:kinsoku/>
              <w:overflowPunct/>
              <w:topLinePunct w:val="0"/>
              <w:bidi w:val="0"/>
              <w:snapToGrid/>
              <w:spacing w:line="420" w:lineRule="exact"/>
              <w:ind w:firstLine="643" w:firstLineChars="200"/>
              <w:jc w:val="left"/>
              <w:textAlignment w:val="auto"/>
              <w:rPr>
                <w:rFonts w:hint="default" w:ascii="宋体" w:hAnsi="宋体" w:eastAsia="宋体" w:cs="宋体"/>
                <w:bCs/>
                <w:color w:val="auto"/>
                <w:sz w:val="32"/>
                <w:szCs w:val="32"/>
                <w:highlight w:val="none"/>
                <w:lang w:val="en-US" w:eastAsia="zh-CN"/>
              </w:rPr>
            </w:pPr>
            <w:r>
              <w:rPr>
                <w:rFonts w:hint="eastAsia" w:ascii="宋体" w:hAnsi="宋体" w:cs="宋体"/>
                <w:b/>
                <w:bCs w:val="0"/>
                <w:color w:val="auto"/>
                <w:sz w:val="32"/>
                <w:szCs w:val="32"/>
                <w:highlight w:val="none"/>
                <w:lang w:eastAsia="zh-CN"/>
              </w:rPr>
              <w:t>第一部分</w:t>
            </w:r>
            <w:r>
              <w:rPr>
                <w:rFonts w:hint="eastAsia" w:ascii="宋体" w:hAnsi="宋体" w:cs="宋体"/>
                <w:b/>
                <w:bCs w:val="0"/>
                <w:color w:val="auto"/>
                <w:sz w:val="32"/>
                <w:szCs w:val="32"/>
                <w:highlight w:val="none"/>
                <w:lang w:val="en-US" w:eastAsia="zh-CN"/>
              </w:rPr>
              <w:t xml:space="preserve"> 北海市第六幼儿园、北海市第二中学、北海市第六中学以及北海市第十一中学物业服务要求</w:t>
            </w:r>
          </w:p>
        </w:tc>
      </w:tr>
      <w:tr w14:paraId="6DFA8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910" w:type="dxa"/>
            <w:gridSpan w:val="2"/>
            <w:vMerge w:val="restart"/>
            <w:shd w:val="clear" w:color="auto" w:fill="auto"/>
            <w:vAlign w:val="center"/>
          </w:tcPr>
          <w:p w14:paraId="2A166257">
            <w:pPr>
              <w:pStyle w:val="24"/>
              <w:keepNext w:val="0"/>
              <w:keepLines w:val="0"/>
              <w:pageBreakBefore w:val="0"/>
              <w:widowControl w:val="0"/>
              <w:kinsoku/>
              <w:overflowPunct/>
              <w:topLinePunct w:val="0"/>
              <w:autoSpaceDE/>
              <w:autoSpaceDN/>
              <w:bidi w:val="0"/>
              <w:snapToGrid/>
              <w:spacing w:line="420" w:lineRule="exact"/>
              <w:ind w:left="0" w:leftChars="0" w:firstLine="0" w:firstLineChars="0"/>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一、服务范围和内容</w:t>
            </w:r>
          </w:p>
          <w:p w14:paraId="060C2236">
            <w:pPr>
              <w:pStyle w:val="24"/>
              <w:keepNext w:val="0"/>
              <w:keepLines w:val="0"/>
              <w:pageBreakBefore w:val="0"/>
              <w:widowControl w:val="0"/>
              <w:kinsoku/>
              <w:overflowPunct/>
              <w:topLinePunct w:val="0"/>
              <w:autoSpaceDE/>
              <w:autoSpaceDN/>
              <w:bidi w:val="0"/>
              <w:snapToGrid/>
              <w:spacing w:line="420" w:lineRule="exact"/>
              <w:ind w:left="0" w:leftChars="0" w:firstLine="0" w:firstLineChars="0"/>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（一）服务范围</w:t>
            </w:r>
          </w:p>
          <w:p w14:paraId="48D3123C">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highlight w:val="none"/>
                <w:lang w:val="en-US" w:eastAsia="zh-CN"/>
              </w:rPr>
              <w:t>为派驻学校校园全域（包括所有建筑物、公共场所）</w:t>
            </w:r>
            <w:r>
              <w:rPr>
                <w:rFonts w:hint="default" w:ascii="Times New Roman" w:hAnsi="Times New Roman" w:cs="Times New Roman"/>
                <w:color w:val="auto"/>
                <w:sz w:val="24"/>
                <w:szCs w:val="24"/>
                <w:highlight w:val="none"/>
                <w:lang w:val="en-US" w:eastAsia="zh-CN"/>
              </w:rPr>
              <w:t>提供物业服务，负责</w:t>
            </w:r>
            <w:r>
              <w:rPr>
                <w:rFonts w:hint="default" w:ascii="Times New Roman" w:hAnsi="Times New Roman" w:cs="Times New Roman"/>
                <w:color w:val="auto"/>
                <w:sz w:val="24"/>
                <w:highlight w:val="none"/>
              </w:rPr>
              <w:t>学校卫生保洁、绿化维护管理和</w:t>
            </w:r>
            <w:r>
              <w:rPr>
                <w:rFonts w:hint="default" w:ascii="Times New Roman" w:hAnsi="Times New Roman" w:cs="Times New Roman"/>
                <w:color w:val="auto"/>
                <w:sz w:val="24"/>
                <w:szCs w:val="24"/>
                <w:highlight w:val="none"/>
                <w:lang w:val="en-US" w:eastAsia="zh-CN"/>
              </w:rPr>
              <w:t>日常维修等服务。</w:t>
            </w:r>
          </w:p>
          <w:p w14:paraId="516BBAF5">
            <w:pPr>
              <w:pStyle w:val="24"/>
              <w:keepNext w:val="0"/>
              <w:keepLines w:val="0"/>
              <w:pageBreakBefore w:val="0"/>
              <w:widowControl w:val="0"/>
              <w:kinsoku/>
              <w:overflowPunct/>
              <w:topLinePunct w:val="0"/>
              <w:autoSpaceDE/>
              <w:autoSpaceDN/>
              <w:bidi w:val="0"/>
              <w:snapToGrid/>
              <w:spacing w:line="420" w:lineRule="exact"/>
              <w:ind w:left="0" w:leftChars="0" w:firstLine="0" w:firstLineChars="0"/>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（二）服务内容</w:t>
            </w:r>
          </w:p>
          <w:p w14:paraId="28EC1672">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1. 校园内物业负责公共路面、卫生间、校领导办公室等所有公共卫生区域的卫生清洁、垃圾收集、卫生间简单管道疏通等清洁保洁服务；</w:t>
            </w:r>
          </w:p>
          <w:p w14:paraId="4D6AECD5">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2. 校区内公共绿地、花木、建筑小品的养护管理；</w:t>
            </w:r>
          </w:p>
          <w:p w14:paraId="4811959C">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3. 校内学生宿舍的管理服务；</w:t>
            </w:r>
          </w:p>
          <w:p w14:paraId="2C22CBAD">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eastAsia="宋体" w:cs="Times New Roman"/>
                <w:b/>
                <w:bCs/>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4. 水电维修管理、协助学校完成设施设备维修保养；积极完成校方安排的其他临时工作任务。</w:t>
            </w:r>
          </w:p>
          <w:p w14:paraId="1AE79438">
            <w:pPr>
              <w:pStyle w:val="24"/>
              <w:keepNext w:val="0"/>
              <w:keepLines w:val="0"/>
              <w:pageBreakBefore w:val="0"/>
              <w:widowControl w:val="0"/>
              <w:kinsoku/>
              <w:overflowPunct/>
              <w:topLinePunct w:val="0"/>
              <w:autoSpaceDE/>
              <w:autoSpaceDN/>
              <w:bidi w:val="0"/>
              <w:snapToGrid/>
              <w:spacing w:line="420" w:lineRule="exact"/>
              <w:ind w:left="0" w:leftChars="0" w:firstLine="0" w:firstLineChars="0"/>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二、服务要求</w:t>
            </w:r>
          </w:p>
          <w:p w14:paraId="5674875D">
            <w:pPr>
              <w:pStyle w:val="24"/>
              <w:keepNext w:val="0"/>
              <w:keepLines w:val="0"/>
              <w:pageBreakBefore w:val="0"/>
              <w:widowControl w:val="0"/>
              <w:kinsoku/>
              <w:overflowPunct/>
              <w:topLinePunct w:val="0"/>
              <w:autoSpaceDE/>
              <w:autoSpaceDN/>
              <w:bidi w:val="0"/>
              <w:snapToGrid/>
              <w:spacing w:line="420" w:lineRule="exact"/>
              <w:ind w:left="0" w:leftChars="0" w:firstLine="0" w:firstLineChars="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（一）总体服务要求</w:t>
            </w:r>
          </w:p>
          <w:p w14:paraId="4D994D3F">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highlight w:val="none"/>
                <w:lang w:val="en-US" w:eastAsia="zh-CN"/>
              </w:rPr>
              <w:t>1．各派驻学校服务用工人数不少于该校区所需人数（详见人员需求表）</w:t>
            </w:r>
            <w:r>
              <w:rPr>
                <w:rFonts w:hint="default" w:ascii="Times New Roman" w:hAnsi="Times New Roman" w:cs="Times New Roman"/>
                <w:color w:val="auto"/>
                <w:sz w:val="24"/>
                <w:szCs w:val="24"/>
                <w:highlight w:val="none"/>
                <w:lang w:val="en-US" w:eastAsia="zh-CN"/>
              </w:rPr>
              <w:t>。</w:t>
            </w:r>
          </w:p>
          <w:p w14:paraId="43343073">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2. </w:t>
            </w:r>
            <w:r>
              <w:rPr>
                <w:rFonts w:hint="eastAsia" w:ascii="Times New Roman" w:hAnsi="Times New Roman" w:cs="Times New Roman"/>
                <w:color w:val="auto"/>
                <w:highlight w:val="none"/>
                <w:lang w:val="en-US" w:eastAsia="zh-CN"/>
              </w:rPr>
              <w:t>供应商必须为所有上岗人员依法购买社会保险（包括养老保险、医疗保险、失业保险、工伤保险、生育保险），并承诺为本项目派驻全体服务人员统一购买雇主责任险或人身意外保险（二选一）。其中雇主责任险身故伤残责任保额不低于20万元/人、医疗费用责任保额不低于2万元/人；如选择人身意外保险，保额标准不低于同等水平</w:t>
            </w:r>
            <w:r>
              <w:rPr>
                <w:rFonts w:hint="default" w:ascii="Times New Roman" w:hAnsi="Times New Roman" w:cs="Times New Roman"/>
                <w:color w:val="auto"/>
                <w:highlight w:val="none"/>
                <w:lang w:val="en-US" w:eastAsia="zh-CN"/>
              </w:rPr>
              <w:t>。</w:t>
            </w:r>
          </w:p>
          <w:p w14:paraId="2A9088BE">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 女员工年龄在18-50岁，男员工年龄在18-58 岁。</w:t>
            </w:r>
          </w:p>
          <w:p w14:paraId="5C691CD3">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 上岗人员在工作期间发生员工工伤及意外伤害事故以及涉及用工方面的劳务纠纷和劳动事故全部由</w:t>
            </w:r>
            <w:r>
              <w:rPr>
                <w:rFonts w:hint="eastAsia" w:ascii="Times New Roman" w:hAnsi="Times New Roman" w:cs="Times New Roman"/>
                <w:color w:val="auto"/>
                <w:highlight w:val="none"/>
                <w:lang w:val="en-US" w:eastAsia="zh-CN"/>
              </w:rPr>
              <w:t>供应商</w:t>
            </w:r>
            <w:r>
              <w:rPr>
                <w:rFonts w:hint="default" w:ascii="Times New Roman" w:hAnsi="Times New Roman" w:cs="Times New Roman"/>
                <w:color w:val="auto"/>
                <w:highlight w:val="none"/>
                <w:lang w:val="en-US" w:eastAsia="zh-CN"/>
              </w:rPr>
              <w:t>承担责任。</w:t>
            </w:r>
          </w:p>
          <w:p w14:paraId="6D9C6034">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5. 服务费涵盖基本工资、社会保险、物业服务费、税费等费用。</w:t>
            </w:r>
          </w:p>
          <w:p w14:paraId="37FB3EB6">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6. </w:t>
            </w:r>
            <w:r>
              <w:rPr>
                <w:rFonts w:hint="eastAsia" w:ascii="Times New Roman" w:hAnsi="Times New Roman" w:cs="Times New Roman"/>
                <w:color w:val="auto"/>
                <w:highlight w:val="none"/>
                <w:lang w:val="en-US" w:eastAsia="zh-CN"/>
              </w:rPr>
              <w:t>供应商</w:t>
            </w:r>
            <w:r>
              <w:rPr>
                <w:rFonts w:hint="default" w:ascii="Times New Roman" w:hAnsi="Times New Roman" w:cs="Times New Roman"/>
                <w:color w:val="auto"/>
                <w:highlight w:val="none"/>
                <w:lang w:val="en-US" w:eastAsia="zh-CN"/>
              </w:rPr>
              <w:t>必须每月按时足额发放员工工资，不得以任何理由拖欠员工工资，确保及时足额支付。</w:t>
            </w:r>
          </w:p>
          <w:p w14:paraId="56761D54">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7. </w:t>
            </w:r>
            <w:r>
              <w:rPr>
                <w:rFonts w:hint="eastAsia" w:ascii="Times New Roman" w:hAnsi="Times New Roman" w:cs="Times New Roman"/>
                <w:color w:val="auto"/>
                <w:highlight w:val="none"/>
                <w:lang w:val="en-US" w:eastAsia="zh-CN"/>
              </w:rPr>
              <w:t>供应商</w:t>
            </w:r>
            <w:r>
              <w:rPr>
                <w:rFonts w:hint="default" w:ascii="Times New Roman" w:hAnsi="Times New Roman" w:cs="Times New Roman"/>
                <w:color w:val="auto"/>
                <w:highlight w:val="none"/>
                <w:lang w:val="en-US" w:eastAsia="zh-CN"/>
              </w:rPr>
              <w:t>需有物业服务方案，质量管理、档案管理等制度。</w:t>
            </w:r>
          </w:p>
          <w:p w14:paraId="0C895241">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8. 物业服务人员统一着装，行为规范，服务主动热情。</w:t>
            </w:r>
          </w:p>
          <w:p w14:paraId="39964F9A">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9. </w:t>
            </w:r>
            <w:r>
              <w:rPr>
                <w:rFonts w:hint="eastAsia" w:ascii="Times New Roman" w:hAnsi="Times New Roman" w:cs="Times New Roman"/>
                <w:color w:val="auto"/>
                <w:highlight w:val="none"/>
                <w:lang w:val="en-US" w:eastAsia="zh-CN"/>
              </w:rPr>
              <w:t>供应商</w:t>
            </w:r>
            <w:r>
              <w:rPr>
                <w:rFonts w:hint="default" w:ascii="Times New Roman" w:hAnsi="Times New Roman" w:cs="Times New Roman"/>
                <w:color w:val="auto"/>
                <w:highlight w:val="none"/>
                <w:lang w:val="en-US" w:eastAsia="zh-CN"/>
              </w:rPr>
              <w:t>须为所有上岗人员统一配备工服、水鞋、雨衣等劳动保护用品，并为电工、绿化、水泥工等岗位人员配备安全帽，且督促其在作业期间规范佩戴。相关费用已包含在服务费中，采购人有权对此进行监督与考核。</w:t>
            </w:r>
          </w:p>
          <w:p w14:paraId="7E1E0763">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10. </w:t>
            </w:r>
            <w:r>
              <w:rPr>
                <w:rFonts w:hint="eastAsia" w:ascii="Times New Roman" w:hAnsi="Times New Roman" w:cs="Times New Roman"/>
                <w:color w:val="auto"/>
                <w:highlight w:val="none"/>
                <w:lang w:val="en-US" w:eastAsia="zh-CN"/>
              </w:rPr>
              <w:t>供应商</w:t>
            </w:r>
            <w:r>
              <w:rPr>
                <w:rFonts w:hint="default" w:ascii="Times New Roman" w:hAnsi="Times New Roman" w:cs="Times New Roman"/>
                <w:color w:val="auto"/>
                <w:highlight w:val="none"/>
                <w:lang w:val="en-US" w:eastAsia="zh-CN"/>
              </w:rPr>
              <w:t>须严格遵守采购人资产与废弃物管理规定。所有上岗人员在日常工作中，不得捡拾、收集、私占校内产生的各类可回收废弃物（如纸皮、水瓶、废弃金属、塑料等）并带离校园出售或个人牟利。维修更换产生的废旧设施、材料、零部件等均属采购人资产，</w:t>
            </w:r>
            <w:r>
              <w:rPr>
                <w:rFonts w:hint="eastAsia" w:ascii="Times New Roman" w:hAnsi="Times New Roman" w:cs="Times New Roman"/>
                <w:color w:val="auto"/>
                <w:highlight w:val="none"/>
                <w:lang w:val="en-US" w:eastAsia="zh-CN"/>
              </w:rPr>
              <w:t>供应商</w:t>
            </w:r>
            <w:r>
              <w:rPr>
                <w:rFonts w:hint="default" w:ascii="Times New Roman" w:hAnsi="Times New Roman" w:cs="Times New Roman"/>
                <w:color w:val="auto"/>
                <w:highlight w:val="none"/>
                <w:lang w:val="en-US" w:eastAsia="zh-CN"/>
              </w:rPr>
              <w:t>须集中存放、登记，并按学校要求进行统一处置，不得擅自处理或变卖。</w:t>
            </w:r>
            <w:r>
              <w:rPr>
                <w:rFonts w:hint="eastAsia" w:ascii="Times New Roman" w:hAnsi="Times New Roman" w:cs="Times New Roman"/>
                <w:color w:val="auto"/>
                <w:highlight w:val="none"/>
                <w:lang w:val="en-US" w:eastAsia="zh-CN"/>
              </w:rPr>
              <w:t>供应商</w:t>
            </w:r>
            <w:r>
              <w:rPr>
                <w:rFonts w:hint="default" w:ascii="Times New Roman" w:hAnsi="Times New Roman" w:cs="Times New Roman"/>
                <w:color w:val="auto"/>
                <w:highlight w:val="none"/>
                <w:lang w:val="en-US" w:eastAsia="zh-CN"/>
              </w:rPr>
              <w:t>有责任对所属员工进行教育与管理，确保本要求得到有效执行。如有违反，采购人将视情节在月度服务质量考核中扣分，并有权要求供应商对相关人员进行严肃处理；造成学校资产损失的，</w:t>
            </w:r>
            <w:r>
              <w:rPr>
                <w:rFonts w:hint="eastAsia" w:ascii="Times New Roman" w:hAnsi="Times New Roman" w:cs="Times New Roman"/>
                <w:color w:val="auto"/>
                <w:highlight w:val="none"/>
                <w:lang w:val="en-US" w:eastAsia="zh-CN"/>
              </w:rPr>
              <w:t>供应商</w:t>
            </w:r>
            <w:r>
              <w:rPr>
                <w:rFonts w:hint="default" w:ascii="Times New Roman" w:hAnsi="Times New Roman" w:cs="Times New Roman"/>
                <w:color w:val="auto"/>
                <w:highlight w:val="none"/>
                <w:lang w:val="en-US" w:eastAsia="zh-CN"/>
              </w:rPr>
              <w:t>承担相应赔偿责任。</w:t>
            </w:r>
          </w:p>
          <w:p w14:paraId="73605114">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 xml:space="preserve">11. </w:t>
            </w:r>
            <w:r>
              <w:rPr>
                <w:rFonts w:hint="eastAsia" w:ascii="Times New Roman" w:hAnsi="Times New Roman" w:cs="Times New Roman"/>
                <w:color w:val="auto"/>
                <w:highlight w:val="none"/>
                <w:lang w:val="en-US" w:eastAsia="zh-CN"/>
              </w:rPr>
              <w:t>供应商</w:t>
            </w:r>
            <w:r>
              <w:rPr>
                <w:rFonts w:hint="default" w:ascii="Times New Roman" w:hAnsi="Times New Roman" w:cs="Times New Roman"/>
                <w:color w:val="auto"/>
                <w:highlight w:val="none"/>
                <w:lang w:val="en-US" w:eastAsia="zh-CN"/>
              </w:rPr>
              <w:t>每季度接受采购人服务质量考核，考核由采购人或校方采取日常巡查、随机抽查、专项检查相结合的方式进行。服务费以考核得分等级支付，支付比例如下：得分≥90分：支付当季应付服务费的100%；80分≤得分&lt;90分：支付当季应付服务费的95%；70 分≤得分&lt;80分：支付当季应付服务费的90%；得分&lt;70分：支付当季应付服务费的85%。得分低于70分或连续两季度低于80分，采购人或校方有权发出警告，要求限期整改，未能完成整改的采购人有权终止合同。（考核标准详见《附件：考核标准》）</w:t>
            </w:r>
          </w:p>
          <w:p w14:paraId="43712D74">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p>
          <w:p w14:paraId="042ABEDF">
            <w:pPr>
              <w:pStyle w:val="24"/>
              <w:keepNext w:val="0"/>
              <w:keepLines w:val="0"/>
              <w:pageBreakBefore w:val="0"/>
              <w:widowControl w:val="0"/>
              <w:kinsoku/>
              <w:overflowPunct/>
              <w:topLinePunct w:val="0"/>
              <w:autoSpaceDE/>
              <w:autoSpaceDN/>
              <w:bidi w:val="0"/>
              <w:snapToGrid/>
              <w:spacing w:line="420" w:lineRule="exact"/>
              <w:ind w:left="0" w:leftChars="0" w:firstLine="0" w:firstLineChars="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（二）具体工作要求</w:t>
            </w:r>
          </w:p>
          <w:p w14:paraId="7BA947EE">
            <w:pPr>
              <w:pStyle w:val="24"/>
              <w:keepNext w:val="0"/>
              <w:keepLines w:val="0"/>
              <w:pageBreakBefore w:val="0"/>
              <w:widowControl w:val="0"/>
              <w:kinsoku/>
              <w:overflowPunct/>
              <w:topLinePunct w:val="0"/>
              <w:autoSpaceDE/>
              <w:autoSpaceDN/>
              <w:bidi w:val="0"/>
              <w:snapToGrid/>
              <w:spacing w:line="420" w:lineRule="exact"/>
              <w:ind w:left="0" w:leftChars="0"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1. 保洁员的卫生保洁服务</w:t>
            </w:r>
          </w:p>
          <w:p w14:paraId="5B7E0219">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（1）服务原则</w:t>
            </w:r>
          </w:p>
          <w:p w14:paraId="7F5296FE">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坚持“教学零干扰”作业，所有清洁、消毒、通风工作须安排于上课前、下课后或非教学高峰时段进行，确保正常教学秩序。</w:t>
            </w:r>
          </w:p>
          <w:p w14:paraId="28951E65">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（2）服务范围</w:t>
            </w:r>
          </w:p>
          <w:p w14:paraId="54B35686">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涵盖校内各类建筑及公共区域，具体包括：</w:t>
            </w:r>
          </w:p>
          <w:p w14:paraId="71599299">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①楼宇内部：教学楼、实训楼、办公楼等楼宇的各楼层卫生间、走廊、楼梯，学生食堂、厕所、楼梯等。</w:t>
            </w:r>
          </w:p>
          <w:p w14:paraId="5940ABC6">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②功能场所：行政办公室、教研组办公室、会议室、报告厅、图书馆、大礼堂、电梯等。</w:t>
            </w:r>
          </w:p>
          <w:p w14:paraId="0E56A18C">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③公共区域：公共教室、运动场所、校内广场、道路、停车场、绿化带、垃圾桶、垃圾池、宣传栏、标识牌等。</w:t>
            </w:r>
          </w:p>
          <w:p w14:paraId="5DE728FC">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④专项清洁：路面灯具、不锈钢饰品、宣传栏、校牌、标示牌、楼梯栏杆、护栏、雨篷、3米以下玻璃的日常保洁（3米以上高空部位玻璃幕墙清洗的，由中标人组织进行，涉及的费用由校方另行支付）。</w:t>
            </w:r>
          </w:p>
          <w:p w14:paraId="79D645EC">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（3）作业频次与标准</w:t>
            </w:r>
          </w:p>
          <w:p w14:paraId="72A64B41">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①日常保洁：合理安排保洁人员工作区域。每日上、下午各进行一次保洁，所有区域全天候循环保洁，做到随脏随清。</w:t>
            </w:r>
          </w:p>
          <w:p w14:paraId="45106E9B">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②清洁通风：每日对楼宇内部、功能场所及通道等区域进行清洁并通风，并定期消毒。</w:t>
            </w:r>
          </w:p>
          <w:p w14:paraId="1256C18B">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③垃圾管理：每日对食堂厨余垃圾进行收集清运放到指定地方。每日对校内垃圾及时收集、中转、清运并清理垃圾池（涉及环境部门垃圾清运及处理费用由校方负责）。</w:t>
            </w:r>
          </w:p>
          <w:p w14:paraId="19B9DDB3">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（4）清洁质量要求：</w:t>
            </w:r>
          </w:p>
          <w:p w14:paraId="52D60922">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①地面无垃圾、杂物、污渍、积水，公共场所无明显泥沙、污垢，每100㎡内纸屑不超过2片、无大于1cm石子。</w:t>
            </w:r>
          </w:p>
          <w:p w14:paraId="2C269282">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②墙面无浮灰、蛛网、污迹；玻璃光洁无痕，灯具无尘无虫。</w:t>
            </w:r>
          </w:p>
          <w:p w14:paraId="31C5639A">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③卫生间无异味，便器无黄渍，天花、墙角清洁。</w:t>
            </w:r>
          </w:p>
          <w:p w14:paraId="2093132E">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④垃圾箱清运及时，清运率100%；垃圾桶外表干净、无满溢，周边无污垢、积水、异味。</w:t>
            </w:r>
          </w:p>
          <w:p w14:paraId="196FE038">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⑤排水沟无淤积，校园无卫生死角。</w:t>
            </w:r>
          </w:p>
          <w:p w14:paraId="567DAA72">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（5）其他服务要求</w:t>
            </w:r>
          </w:p>
          <w:p w14:paraId="205EF5E4">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①卫生防疫：根据校方安排，定期开展灭蚊、灭蝇、灭蚁、灭蟑、灭鼠等卫生防疫工作（药品由校方另行提供）。</w:t>
            </w:r>
          </w:p>
          <w:p w14:paraId="651D938C">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②协助学校做好疫情防控、创城等与物业服务相关的工作</w:t>
            </w:r>
          </w:p>
          <w:p w14:paraId="7C3B5057">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③临时任务配合：积极配合学校大型活动、检查等临时性活动卫生保洁工作。</w:t>
            </w:r>
          </w:p>
          <w:p w14:paraId="12E5276C">
            <w:pPr>
              <w:pStyle w:val="24"/>
              <w:keepNext w:val="0"/>
              <w:keepLines w:val="0"/>
              <w:pageBreakBefore w:val="0"/>
              <w:widowControl w:val="0"/>
              <w:kinsoku/>
              <w:overflowPunct/>
              <w:topLinePunct w:val="0"/>
              <w:autoSpaceDE/>
              <w:autoSpaceDN/>
              <w:bidi w:val="0"/>
              <w:snapToGrid/>
              <w:spacing w:line="420" w:lineRule="exact"/>
              <w:ind w:left="0" w:leftChars="0"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2. 绿化员的绿化维护服务</w:t>
            </w:r>
          </w:p>
          <w:p w14:paraId="75AE3B4D">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（1）总体养护目标</w:t>
            </w:r>
          </w:p>
          <w:p w14:paraId="56D8F5C1">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确保校园绿化景观“三季有花，四季常青”，植株生长健壮、形态美观。负责学校大型活动及重大节日的花卉布置工作。</w:t>
            </w:r>
          </w:p>
          <w:p w14:paraId="7AA95F25">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（2）日常养护工作项目与标准</w:t>
            </w:r>
          </w:p>
          <w:p w14:paraId="3E14B52E">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①浇水：草地灌木每周至少浇两次（具体视天气情况）。做到保持植物良好长势，杜绝因为缺水出现枯萎等现象。</w:t>
            </w:r>
          </w:p>
          <w:p w14:paraId="6F01F067">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②施肥：平均2-3次/年。做到施肥均匀、充足、适度、保证绿化植物强壮、枝叶茂盛。</w:t>
            </w:r>
          </w:p>
          <w:p w14:paraId="43B85C52">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③修剪整形：草地8-10次/年，灌木6-8次/年（根据长势状况而定），乔木修剪2-4次/年。做到草的高度一致，整齐美观。乔、灌木：植物主枝分布均匀；绿篱整齐一致。</w:t>
            </w:r>
          </w:p>
          <w:p w14:paraId="505204AC">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④病虫害防治：草地、灌木、乔木及时防治。视病害发生情况适时喷药，使用国家规定的绿色环保农药。</w:t>
            </w:r>
          </w:p>
          <w:p w14:paraId="736528E3">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⑤病虫草松土：每月除杂草一遍，雨后杂草严重者每周一遍。做到花丛下无杂草，树盘内无杂草，花木丛中不允许有高于花木的杂草，草坪上不允许有开花杂草。</w:t>
            </w:r>
          </w:p>
          <w:p w14:paraId="1CA7AFDC">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⑥清理绿化垃圾：修剪下来的树枝和杂草要当天清运，不准就地焚烧。做到有专人跟踪保洁。</w:t>
            </w:r>
          </w:p>
          <w:p w14:paraId="19920F37">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⑦防风防汛：灾前积极预防，对树木加固，灾后及时清除倒树断枝、疏通道路、清理垃圾。做到尽快恢复原状、不能影响学校正常工作。</w:t>
            </w:r>
          </w:p>
          <w:p w14:paraId="374AED7E">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（3）整体质量要求</w:t>
            </w:r>
          </w:p>
          <w:p w14:paraId="7D527879">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按不同季节对花卉苗木的养护要求进行养护，并做到：</w:t>
            </w:r>
          </w:p>
          <w:p w14:paraId="6A70CE1D">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①树灌木完整，长势茂盛，无枯枝死杈，无病虫害，树木无钉枪捆绑。</w:t>
            </w:r>
          </w:p>
          <w:p w14:paraId="6AA03B15">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②绿篱、绿地整洁无杂草、杂物、物料堆放。</w:t>
            </w:r>
          </w:p>
          <w:p w14:paraId="6C2C8F59">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③绿化设施完好率不低于98%。</w:t>
            </w:r>
          </w:p>
          <w:p w14:paraId="402CEFDF">
            <w:pPr>
              <w:pStyle w:val="24"/>
              <w:keepNext w:val="0"/>
              <w:keepLines w:val="0"/>
              <w:pageBreakBefore w:val="0"/>
              <w:widowControl w:val="0"/>
              <w:kinsoku/>
              <w:overflowPunct/>
              <w:topLinePunct w:val="0"/>
              <w:autoSpaceDE/>
              <w:autoSpaceDN/>
              <w:bidi w:val="0"/>
              <w:snapToGrid/>
              <w:spacing w:line="420" w:lineRule="exact"/>
              <w:ind w:left="0" w:leftChars="0"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3. 水电工的日常维修服务</w:t>
            </w:r>
          </w:p>
          <w:p w14:paraId="7D95AF85">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（1）维修服务原则</w:t>
            </w:r>
          </w:p>
          <w:p w14:paraId="499D7B3C">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应遵循“经济节约、修旧利废”的原则。对于损坏的设施设备及物品，应首先评估其维修可行性及成本。凡通过维修可以恢复正常使用功能、且维修成本低于更换成本的，必须优先进行维修处理，不得无故建议或要求更换。若确需更换，必须向采购人提交书面说明，并经采购人确认同意后，方可进行更换。</w:t>
            </w:r>
          </w:p>
          <w:p w14:paraId="369DBE5A">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（2）日常巡检制度</w:t>
            </w:r>
          </w:p>
          <w:p w14:paraId="56B026B3">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建立巡视制度，每日上、下午各进行一次全面巡检并记录，覆盖以下系统：</w:t>
            </w:r>
          </w:p>
          <w:p w14:paraId="7A80E607">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①排水排污：检查管道畅通情况，及时清理杂物（化粪池沉积物的抽吸、清掏由中标人负责实施及联络工作，相关费用由学校另行负责）。</w:t>
            </w:r>
          </w:p>
          <w:p w14:paraId="4DCFC5CC">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②公共照明：检查学校路灯及楼梯照明是否正常，发现故障及时修复，并早晚巡检及时关闭无照明需要的电灯，避免浪费电力。</w:t>
            </w:r>
          </w:p>
          <w:p w14:paraId="4608AF86">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③公共设施：检查有无损毁公共设施，包括门窗、家具、室内照明、水电管线等，发现损坏立即维修；如属人为破坏情况需制止并上报。</w:t>
            </w:r>
          </w:p>
          <w:p w14:paraId="4ED352EA">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④管线安全：检查各类水、电、气等管线有无破损、断裂、锈蚀，一经发现立即进行维修并做好记录，保证各类管道电线正常使用。</w:t>
            </w:r>
          </w:p>
          <w:p w14:paraId="1E171FE1">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⑤配电设施：保持电缆沟（竖井）无水渍、杂物、鼠害、配电箱外观干燥完好、整洁、运行正常。</w:t>
            </w:r>
          </w:p>
          <w:p w14:paraId="6A274782">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⑥节能管理：杜绝“长明灯、长流水”及“跑冒滴漏”现象。</w:t>
            </w:r>
          </w:p>
          <w:p w14:paraId="4D8806A3">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（3）维修维护内容</w:t>
            </w:r>
          </w:p>
          <w:p w14:paraId="42F0AAC8">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①公共区域：维修教学楼、办公楼等场所的门窗、桌椅、照明、给排水、电器及户外设施（道路、宣传栏等）。</w:t>
            </w:r>
          </w:p>
          <w:p w14:paraId="5AB8E7A9">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②宿舍区域：维修宿舍内家具、门窗锁具、水电设施（灯具插座、龙头、淋浴器等），并保障热水系统正常运行。</w:t>
            </w:r>
          </w:p>
          <w:p w14:paraId="5340C637">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③响应要求：影响教学的公共区域故障及宿舍区紧急报修（如断电、漏水），须优先按应急流程处理。</w:t>
            </w:r>
          </w:p>
          <w:p w14:paraId="5C3280AB">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（4）应急与值班制度</w:t>
            </w:r>
          </w:p>
          <w:p w14:paraId="05712165">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①水电工24小时值班，随时响应。</w:t>
            </w:r>
          </w:p>
          <w:p w14:paraId="1F4864CE">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②向校方提供紧急联络名录，确保信息畅通。</w:t>
            </w:r>
          </w:p>
          <w:p w14:paraId="25F6326C">
            <w:pPr>
              <w:pStyle w:val="24"/>
              <w:keepNext w:val="0"/>
              <w:keepLines w:val="0"/>
              <w:pageBreakBefore w:val="0"/>
              <w:widowControl w:val="0"/>
              <w:kinsoku/>
              <w:overflowPunct/>
              <w:topLinePunct w:val="0"/>
              <w:autoSpaceDE/>
              <w:autoSpaceDN/>
              <w:bidi w:val="0"/>
              <w:snapToGrid/>
              <w:spacing w:line="420" w:lineRule="exact"/>
              <w:ind w:left="0" w:leftChars="0" w:firstLine="0" w:firstLineChars="0"/>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三、岗位配置要求及素质要求</w:t>
            </w:r>
          </w:p>
          <w:p w14:paraId="23019EF0">
            <w:pPr>
              <w:pStyle w:val="24"/>
              <w:keepNext w:val="0"/>
              <w:keepLines w:val="0"/>
              <w:pageBreakBefore w:val="0"/>
              <w:widowControl w:val="0"/>
              <w:kinsoku/>
              <w:overflowPunct/>
              <w:topLinePunct w:val="0"/>
              <w:autoSpaceDE/>
              <w:autoSpaceDN/>
              <w:bidi w:val="0"/>
              <w:snapToGrid/>
              <w:spacing w:line="420" w:lineRule="exact"/>
              <w:ind w:left="0" w:leftChars="0" w:firstLine="0" w:firstLineChars="0"/>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（一）岗位人员配置</w:t>
            </w:r>
          </w:p>
          <w:p w14:paraId="251193A7">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b w:val="0"/>
                <w:bCs w:val="0"/>
                <w:color w:val="auto"/>
                <w:sz w:val="24"/>
                <w:szCs w:val="24"/>
                <w:highlight w:val="none"/>
                <w:lang w:val="en-US" w:eastAsia="zh-CN"/>
              </w:rPr>
              <w:t>1.</w:t>
            </w:r>
            <w:r>
              <w:rPr>
                <w:rFonts w:hint="eastAsia" w:ascii="Times New Roman" w:hAnsi="Times New Roman" w:cs="Times New Roman"/>
                <w:b w:val="0"/>
                <w:bCs w:val="0"/>
                <w:color w:val="auto"/>
                <w:sz w:val="24"/>
                <w:szCs w:val="24"/>
                <w:highlight w:val="none"/>
                <w:lang w:val="en-US" w:eastAsia="zh-CN"/>
              </w:rPr>
              <w:t>供应商</w:t>
            </w:r>
            <w:r>
              <w:rPr>
                <w:rFonts w:hint="default" w:ascii="Times New Roman" w:hAnsi="Times New Roman" w:cs="Times New Roman"/>
                <w:b w:val="0"/>
                <w:bCs w:val="0"/>
                <w:color w:val="auto"/>
                <w:sz w:val="24"/>
                <w:szCs w:val="24"/>
                <w:highlight w:val="none"/>
                <w:lang w:val="en-US" w:eastAsia="zh-CN"/>
              </w:rPr>
              <w:t>必须按各派驻校区的对要求，对各个岗位不同时段的人员数量和岗位要求配备相应物业服务人员，并保证实际到岗。</w:t>
            </w:r>
            <w:r>
              <w:rPr>
                <w:rFonts w:hint="eastAsia" w:ascii="Times New Roman" w:hAnsi="Times New Roman" w:cs="Times New Roman"/>
                <w:b w:val="0"/>
                <w:bCs w:val="0"/>
                <w:color w:val="auto"/>
                <w:sz w:val="24"/>
                <w:szCs w:val="24"/>
                <w:highlight w:val="none"/>
                <w:lang w:val="en-US" w:eastAsia="zh-CN"/>
              </w:rPr>
              <w:t>供应商</w:t>
            </w:r>
            <w:r>
              <w:rPr>
                <w:rFonts w:hint="default" w:ascii="Times New Roman" w:hAnsi="Times New Roman" w:cs="Times New Roman"/>
                <w:b w:val="0"/>
                <w:bCs w:val="0"/>
                <w:color w:val="auto"/>
                <w:sz w:val="24"/>
                <w:szCs w:val="24"/>
                <w:highlight w:val="none"/>
                <w:lang w:val="en-US" w:eastAsia="zh-CN"/>
              </w:rPr>
              <w:t>在组织、安排工作时，应符合国家相关法规，维护物业服务人员的正当权益。</w:t>
            </w:r>
            <w:r>
              <w:rPr>
                <w:rFonts w:hint="eastAsia" w:ascii="Times New Roman" w:hAnsi="Times New Roman" w:cs="Times New Roman"/>
                <w:b w:val="0"/>
                <w:bCs w:val="0"/>
                <w:color w:val="auto"/>
                <w:sz w:val="24"/>
                <w:szCs w:val="24"/>
                <w:highlight w:val="none"/>
                <w:lang w:val="en-US" w:eastAsia="zh-CN"/>
              </w:rPr>
              <w:t>供应商</w:t>
            </w:r>
            <w:r>
              <w:rPr>
                <w:rFonts w:hint="default" w:ascii="Times New Roman" w:hAnsi="Times New Roman" w:cs="Times New Roman"/>
                <w:b w:val="0"/>
                <w:bCs w:val="0"/>
                <w:color w:val="auto"/>
                <w:sz w:val="24"/>
                <w:szCs w:val="24"/>
                <w:highlight w:val="none"/>
                <w:lang w:val="en-US" w:eastAsia="zh-CN"/>
              </w:rPr>
              <w:t>对其用工行为承担一切法律责任。</w:t>
            </w:r>
          </w:p>
          <w:p w14:paraId="6B19A18C">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sz w:val="24"/>
                <w:szCs w:val="24"/>
                <w:highlight w:val="none"/>
                <w:lang w:val="en-US" w:eastAsia="zh-CN"/>
              </w:rPr>
            </w:pPr>
            <w:r>
              <w:rPr>
                <w:rFonts w:hint="default" w:ascii="Times New Roman" w:hAnsi="Times New Roman" w:cs="Times New Roman"/>
                <w:color w:val="auto"/>
                <w:highlight w:val="none"/>
                <w:lang w:val="en-US" w:eastAsia="zh-CN"/>
              </w:rPr>
              <w:t>2.拟</w:t>
            </w:r>
            <w:r>
              <w:rPr>
                <w:rFonts w:hint="default" w:ascii="Times New Roman" w:hAnsi="Times New Roman" w:cs="Times New Roman"/>
                <w:b w:val="0"/>
                <w:bCs w:val="0"/>
                <w:color w:val="auto"/>
                <w:sz w:val="24"/>
                <w:szCs w:val="24"/>
                <w:highlight w:val="none"/>
                <w:lang w:val="en-US" w:eastAsia="zh-CN"/>
              </w:rPr>
              <w:t>派物业人员</w:t>
            </w:r>
            <w:r>
              <w:rPr>
                <w:rFonts w:hint="default" w:ascii="Times New Roman" w:hAnsi="Times New Roman" w:cs="Times New Roman"/>
                <w:color w:val="auto"/>
                <w:highlight w:val="none"/>
                <w:lang w:val="en-US" w:eastAsia="zh-CN"/>
              </w:rPr>
              <w:t>身体健康，视力正常，无传染性、肝、肾、心脏、心血管等严重疾病，无不良社会记录等，提供正规医院健康证明，年龄58岁以下（女员工年龄在18-50岁，男员工年龄在18-58岁）。</w:t>
            </w:r>
          </w:p>
          <w:p w14:paraId="014FE3F7">
            <w:pPr>
              <w:pStyle w:val="24"/>
              <w:keepNext w:val="0"/>
              <w:keepLines w:val="0"/>
              <w:pageBreakBefore w:val="0"/>
              <w:widowControl w:val="0"/>
              <w:kinsoku/>
              <w:overflowPunct/>
              <w:topLinePunct w:val="0"/>
              <w:autoSpaceDE/>
              <w:autoSpaceDN/>
              <w:bidi w:val="0"/>
              <w:snapToGrid/>
              <w:spacing w:line="420" w:lineRule="exact"/>
              <w:ind w:left="0" w:leftChars="0" w:firstLine="0" w:firstLineChars="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（二）岗位时间安排</w:t>
            </w:r>
          </w:p>
          <w:p w14:paraId="0D5B90E0">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1. 水电工：上午7:30-12:00，下午14:30-18:00。</w:t>
            </w:r>
          </w:p>
          <w:p w14:paraId="4CDA5FE4">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2. 保洁员：上午7:30-12:00，下午14:30-18:00。</w:t>
            </w:r>
          </w:p>
          <w:p w14:paraId="09F81C87">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3. 绿化员：上午7:30-12:00，下午14:30-18:00。</w:t>
            </w:r>
          </w:p>
          <w:p w14:paraId="09D8A8F9">
            <w:pPr>
              <w:pStyle w:val="24"/>
              <w:keepNext w:val="0"/>
              <w:keepLines w:val="0"/>
              <w:pageBreakBefore w:val="0"/>
              <w:widowControl w:val="0"/>
              <w:kinsoku/>
              <w:overflowPunct/>
              <w:topLinePunct w:val="0"/>
              <w:autoSpaceDE/>
              <w:autoSpaceDN/>
              <w:bidi w:val="0"/>
              <w:snapToGrid/>
              <w:spacing w:line="420" w:lineRule="exact"/>
              <w:ind w:left="0" w:leftChars="0"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（注：如所服务单位有特殊要求，具体安排由相关单位自行安排）</w:t>
            </w:r>
          </w:p>
          <w:p w14:paraId="79FE7501">
            <w:pPr>
              <w:pStyle w:val="24"/>
              <w:keepNext w:val="0"/>
              <w:keepLines w:val="0"/>
              <w:pageBreakBefore w:val="0"/>
              <w:widowControl w:val="0"/>
              <w:kinsoku/>
              <w:overflowPunct/>
              <w:topLinePunct w:val="0"/>
              <w:autoSpaceDE/>
              <w:autoSpaceDN/>
              <w:bidi w:val="0"/>
              <w:snapToGrid/>
              <w:spacing w:line="420" w:lineRule="exact"/>
              <w:ind w:left="0" w:leftChars="0"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（二）岗位素质要求</w:t>
            </w:r>
          </w:p>
          <w:p w14:paraId="662DA10C">
            <w:pPr>
              <w:pStyle w:val="24"/>
              <w:keepNext w:val="0"/>
              <w:keepLines w:val="0"/>
              <w:pageBreakBefore w:val="0"/>
              <w:widowControl w:val="0"/>
              <w:kinsoku/>
              <w:overflowPunct/>
              <w:topLinePunct w:val="0"/>
              <w:autoSpaceDE/>
              <w:autoSpaceDN/>
              <w:bidi w:val="0"/>
              <w:snapToGrid/>
              <w:spacing w:line="420" w:lineRule="exact"/>
              <w:ind w:left="0" w:leftChars="0"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1. 职业道德规范</w:t>
            </w:r>
          </w:p>
          <w:p w14:paraId="292A886B">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（1）敬业爱岗，恪尽职守：勤奋务实，积极投入本职工作，热爱岗位并乐于奉献。</w:t>
            </w:r>
          </w:p>
          <w:p w14:paraId="5DA9447E">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（2）遵纪守法，严守规章：自觉遵守国家法律法规，严格执行公司及校方各项规章制度与劳动纪律。</w:t>
            </w:r>
          </w:p>
          <w:p w14:paraId="1DC1B82E">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（3）勤学善思，提升技能：主动学习相关知识，持续提升业务能力与服务水准。</w:t>
            </w:r>
          </w:p>
          <w:p w14:paraId="1D1FB9DD">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（4）廉洁奉公，维护声誉：爱护公共财产，不以权谋私，自觉维护公司与学校的利益及形象。</w:t>
            </w:r>
          </w:p>
          <w:p w14:paraId="34CDE10F">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（5）勤俭节约，节能降耗：树立节约意识，在日常工作中践行节约能源、爱惜物资。</w:t>
            </w:r>
          </w:p>
          <w:p w14:paraId="6AA5C2F4">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（6）团结协作，和谐共事：严于律己，宽以待人，妥善处理个人与集体、同事间关系，具备良好的团队协作精神。</w:t>
            </w:r>
          </w:p>
          <w:p w14:paraId="000579E0">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（7）严守秘密，谨言慎行：未经授权，不得对外泄露或传播学校的任何信息与资料。</w:t>
            </w:r>
          </w:p>
          <w:p w14:paraId="00A6DDF0">
            <w:pPr>
              <w:pStyle w:val="24"/>
              <w:keepNext w:val="0"/>
              <w:keepLines w:val="0"/>
              <w:pageBreakBefore w:val="0"/>
              <w:widowControl w:val="0"/>
              <w:kinsoku/>
              <w:overflowPunct/>
              <w:topLinePunct w:val="0"/>
              <w:autoSpaceDE/>
              <w:autoSpaceDN/>
              <w:bidi w:val="0"/>
              <w:snapToGrid/>
              <w:spacing w:line="420" w:lineRule="exact"/>
              <w:ind w:left="0" w:leftChars="0"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2. 服务意识规范</w:t>
            </w:r>
          </w:p>
          <w:p w14:paraId="1C68F403">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（1）文明礼貌，举止得体：使用规范用语，谈吐文雅，保持衣着整洁，举止大方端庄。</w:t>
            </w:r>
          </w:p>
          <w:p w14:paraId="419F336E">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（2）主动热情，真诚服务：以积极热情的态度面对师生，主动识别服务需求，乐于为师生解决实际困难，常面带微笑，态度谦和。</w:t>
            </w:r>
          </w:p>
          <w:p w14:paraId="201F0353">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（3）耐心周到，细致入微：服务过程中保持耐心，不厌其烦，虚心听取师生意见，细致解答疑问，力求提供全面、满意的服务。</w:t>
            </w:r>
          </w:p>
          <w:p w14:paraId="4A154C33">
            <w:pPr>
              <w:pStyle w:val="24"/>
              <w:keepNext w:val="0"/>
              <w:keepLines w:val="0"/>
              <w:pageBreakBefore w:val="0"/>
              <w:widowControl w:val="0"/>
              <w:kinsoku/>
              <w:overflowPunct/>
              <w:topLinePunct w:val="0"/>
              <w:autoSpaceDE/>
              <w:autoSpaceDN/>
              <w:bidi w:val="0"/>
              <w:snapToGrid/>
              <w:spacing w:line="420" w:lineRule="exact"/>
              <w:ind w:left="0" w:leftChars="0"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3. 仪容仪表规范</w:t>
            </w:r>
          </w:p>
          <w:p w14:paraId="5A3DE83B">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（1）保持个人卫生，着装统一、整洁，工作证应端正佩戴于左胸前。</w:t>
            </w:r>
          </w:p>
          <w:p w14:paraId="77E28C8C">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（2）工作时间内不得穿短裤、背心、拖鞋等不规范着装进入工作区域。</w:t>
            </w:r>
          </w:p>
          <w:p w14:paraId="0E52249D">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（3）男员工：发长不掩耳、不遮领，每日剃须；保持指甲清洁，不留长指甲；衣着纽扣扣齐，领带紧束（大箭头下端以垂至皮带扣处为准），衬衣下摆应束于裤内。</w:t>
            </w:r>
          </w:p>
          <w:p w14:paraId="72C29412">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b w:val="0"/>
                <w:bCs w:val="0"/>
                <w:color w:val="auto"/>
                <w:highlight w:val="none"/>
                <w:lang w:val="en-US" w:eastAsia="zh-CN"/>
              </w:rPr>
            </w:pPr>
            <w:r>
              <w:rPr>
                <w:rFonts w:hint="default" w:ascii="Times New Roman" w:hAnsi="Times New Roman" w:cs="Times New Roman"/>
                <w:b w:val="0"/>
                <w:bCs w:val="0"/>
                <w:color w:val="auto"/>
                <w:highlight w:val="none"/>
                <w:lang w:val="en-US" w:eastAsia="zh-CN"/>
              </w:rPr>
              <w:t>（4）女员工：发长不过肩，发型简洁大方，不染怪异发色；不留长指甲，不涂染艳丽指甲油；妆容朴素淡雅，不浓妆艳抹；不穿着黑色或带花纹的丝袜。</w:t>
            </w:r>
          </w:p>
          <w:p w14:paraId="0D9C4DC4">
            <w:pPr>
              <w:pStyle w:val="24"/>
              <w:keepNext w:val="0"/>
              <w:keepLines w:val="0"/>
              <w:pageBreakBefore w:val="0"/>
              <w:widowControl w:val="0"/>
              <w:kinsoku/>
              <w:overflowPunct/>
              <w:topLinePunct w:val="0"/>
              <w:autoSpaceDE/>
              <w:autoSpaceDN/>
              <w:bidi w:val="0"/>
              <w:snapToGrid/>
              <w:spacing w:line="420" w:lineRule="exact"/>
              <w:ind w:left="0" w:leftChars="0"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（三）岗位工作职责要求</w:t>
            </w:r>
          </w:p>
          <w:p w14:paraId="66F0559D">
            <w:pPr>
              <w:pStyle w:val="24"/>
              <w:keepNext w:val="0"/>
              <w:keepLines w:val="0"/>
              <w:pageBreakBefore w:val="0"/>
              <w:widowControl w:val="0"/>
              <w:kinsoku/>
              <w:overflowPunct/>
              <w:topLinePunct w:val="0"/>
              <w:autoSpaceDE/>
              <w:autoSpaceDN/>
              <w:bidi w:val="0"/>
              <w:snapToGrid/>
              <w:spacing w:line="420" w:lineRule="exact"/>
              <w:ind w:left="0" w:leftChars="0"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1. 水电工</w:t>
            </w:r>
          </w:p>
          <w:p w14:paraId="4154F595">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（1）水电综合维修：</w:t>
            </w:r>
          </w:p>
          <w:p w14:paraId="43EE0492">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① 熟悉并遵守相关法规及各项规章制度，熟练掌握应急预案。</w:t>
            </w:r>
          </w:p>
          <w:p w14:paraId="2218EDB8">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微软雅黑" w:cs="Times New Roman"/>
                <w:color w:val="auto"/>
                <w:sz w:val="24"/>
                <w:szCs w:val="24"/>
                <w:highlight w:val="none"/>
                <w:lang w:val="en-US" w:eastAsia="zh-CN"/>
              </w:rPr>
              <w:t xml:space="preserve">② </w:t>
            </w:r>
            <w:r>
              <w:rPr>
                <w:rFonts w:hint="default" w:ascii="Times New Roman" w:hAnsi="Times New Roman" w:cs="Times New Roman"/>
                <w:color w:val="auto"/>
                <w:highlight w:val="none"/>
                <w:lang w:val="en-US" w:eastAsia="zh-CN"/>
              </w:rPr>
              <w:t>持证上岗，定期培训。</w:t>
            </w:r>
          </w:p>
          <w:p w14:paraId="6CE2C4F5">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sz w:val="24"/>
                <w:szCs w:val="24"/>
                <w:highlight w:val="none"/>
                <w:lang w:val="en-US" w:eastAsia="zh-CN"/>
              </w:rPr>
              <w:t xml:space="preserve">③ </w:t>
            </w:r>
            <w:r>
              <w:rPr>
                <w:rFonts w:hint="default" w:ascii="Times New Roman" w:hAnsi="Times New Roman" w:cs="Times New Roman"/>
                <w:color w:val="auto"/>
                <w:highlight w:val="none"/>
                <w:lang w:val="en-US" w:eastAsia="zh-CN"/>
              </w:rPr>
              <w:t>熟悉辖区内水电线路、开关等设施设备功能及分布情况。熟练掌握相关维修技能，严格执行操作规程。</w:t>
            </w:r>
          </w:p>
          <w:p w14:paraId="4BB0FD50">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微软雅黑" w:cs="Times New Roman"/>
                <w:color w:val="auto"/>
                <w:highlight w:val="none"/>
              </w:rPr>
              <w:t>④</w:t>
            </w:r>
            <w:r>
              <w:rPr>
                <w:rFonts w:hint="default" w:ascii="Times New Roman" w:hAnsi="Times New Roman" w:eastAsia="微软雅黑"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定时巡检水电线路等设施设备，填写记录，保持完好运行，发现问题时，应准确判断，及时处理。</w:t>
            </w:r>
          </w:p>
          <w:p w14:paraId="4AE50D1E">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微软雅黑" w:cs="Times New Roman"/>
                <w:color w:val="auto"/>
                <w:highlight w:val="none"/>
              </w:rPr>
              <w:t>⑤</w:t>
            </w:r>
            <w:r>
              <w:rPr>
                <w:rFonts w:hint="default" w:ascii="Times New Roman" w:hAnsi="Times New Roman" w:eastAsia="微软雅黑"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接到报修后60分钟内到达现场，维修合格率达100%。水电抢修不过夜。</w:t>
            </w:r>
          </w:p>
          <w:p w14:paraId="7D1E836D">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微软雅黑" w:cs="Times New Roman"/>
                <w:color w:val="auto"/>
                <w:highlight w:val="none"/>
              </w:rPr>
              <w:t>⑥</w:t>
            </w:r>
            <w:r>
              <w:rPr>
                <w:rFonts w:hint="default" w:ascii="Times New Roman" w:hAnsi="Times New Roman" w:eastAsia="微软雅黑"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供配电室及室外变台、箱变、低压配电室双人巡检维护。</w:t>
            </w:r>
          </w:p>
          <w:p w14:paraId="2D9A44D0">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微软雅黑" w:cs="Times New Roman"/>
                <w:color w:val="auto"/>
                <w:highlight w:val="none"/>
              </w:rPr>
              <w:t>⑦</w:t>
            </w:r>
            <w:r>
              <w:rPr>
                <w:rFonts w:hint="default" w:ascii="Times New Roman" w:hAnsi="Times New Roman" w:eastAsia="微软雅黑"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停送电操作，应填写相关工作票，做好安全组织，按规范程序操作。</w:t>
            </w:r>
          </w:p>
          <w:p w14:paraId="45BC272D">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微软雅黑" w:cs="Times New Roman"/>
                <w:color w:val="auto"/>
                <w:highlight w:val="none"/>
              </w:rPr>
              <w:t>⑧</w:t>
            </w:r>
            <w:r>
              <w:rPr>
                <w:rFonts w:hint="default" w:ascii="Times New Roman" w:hAnsi="Times New Roman" w:eastAsia="微软雅黑"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定期检查避雷、接地设施完好性，定期进行相关试验。</w:t>
            </w:r>
          </w:p>
          <w:p w14:paraId="2D373DE1">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微软雅黑" w:cs="Times New Roman"/>
                <w:color w:val="auto"/>
                <w:highlight w:val="none"/>
              </w:rPr>
              <w:t>⑨</w:t>
            </w:r>
            <w:r>
              <w:rPr>
                <w:rFonts w:hint="default" w:ascii="Times New Roman" w:hAnsi="Times New Roman" w:eastAsia="微软雅黑"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按规范要求，配置安全防护设施，定时清扫设备及配电室卫生。</w:t>
            </w:r>
          </w:p>
          <w:p w14:paraId="75FC8B0C">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微软雅黑" w:cs="Times New Roman"/>
                <w:color w:val="auto"/>
                <w:highlight w:val="none"/>
              </w:rPr>
              <w:t>⑩</w:t>
            </w:r>
            <w:r>
              <w:rPr>
                <w:rFonts w:hint="default" w:ascii="Times New Roman" w:hAnsi="Times New Roman" w:eastAsia="微软雅黑"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制定并组织实施设备维保计划。</w:t>
            </w:r>
          </w:p>
          <w:p w14:paraId="40ECAC42">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（2）公共设施小型维修：</w:t>
            </w:r>
          </w:p>
          <w:p w14:paraId="41364B6E">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微软雅黑" w:cs="Times New Roman"/>
                <w:color w:val="auto"/>
                <w:highlight w:val="none"/>
              </w:rPr>
              <w:t>①</w:t>
            </w:r>
            <w:r>
              <w:rPr>
                <w:rFonts w:hint="default" w:ascii="Times New Roman" w:hAnsi="Times New Roman" w:eastAsia="微软雅黑"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熟悉并遵守相关法规及各项规章制度，熟练掌握应急预案。</w:t>
            </w:r>
          </w:p>
          <w:p w14:paraId="76279522">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微软雅黑" w:cs="Times New Roman"/>
                <w:color w:val="auto"/>
                <w:highlight w:val="none"/>
              </w:rPr>
              <w:t>②</w:t>
            </w:r>
            <w:r>
              <w:rPr>
                <w:rFonts w:hint="default" w:ascii="Times New Roman" w:hAnsi="Times New Roman" w:eastAsia="微软雅黑"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定期培训，特种作业必须持证上岗。</w:t>
            </w:r>
          </w:p>
          <w:p w14:paraId="71ED925D">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微软雅黑" w:cs="Times New Roman"/>
                <w:color w:val="auto"/>
                <w:highlight w:val="none"/>
              </w:rPr>
              <w:t>③</w:t>
            </w:r>
            <w:r>
              <w:rPr>
                <w:rFonts w:hint="default" w:ascii="Times New Roman" w:hAnsi="Times New Roman" w:eastAsia="微软雅黑"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辖区内建筑设施维修，包括：房屋、门窗、学生宿舍门锁家具、道路、广场、管井、化粪池、景观小品等设施。</w:t>
            </w:r>
          </w:p>
          <w:p w14:paraId="66505A6B">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微软雅黑" w:cs="Times New Roman"/>
                <w:color w:val="auto"/>
                <w:highlight w:val="none"/>
              </w:rPr>
              <w:t>④</w:t>
            </w:r>
            <w:r>
              <w:rPr>
                <w:rFonts w:hint="default" w:ascii="Times New Roman" w:hAnsi="Times New Roman" w:eastAsia="微软雅黑" w:cs="Times New Roman"/>
                <w:color w:val="auto"/>
                <w:highlight w:val="none"/>
                <w:lang w:val="en-US" w:eastAsia="zh-CN"/>
              </w:rPr>
              <w:t xml:space="preserve"> </w:t>
            </w:r>
            <w:r>
              <w:rPr>
                <w:rFonts w:hint="default" w:ascii="Times New Roman" w:hAnsi="Times New Roman" w:cs="Times New Roman"/>
                <w:color w:val="auto"/>
                <w:highlight w:val="none"/>
                <w:lang w:val="en-US" w:eastAsia="zh-CN"/>
              </w:rPr>
              <w:t>定时巡检，填写记录，保持设施完好，发现问题时，应准确判断，及时处理。</w:t>
            </w:r>
          </w:p>
          <w:p w14:paraId="3AAE8DC0">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⑤接到报修后60分钟内到达现场，维修合格率达100%。</w:t>
            </w:r>
          </w:p>
          <w:p w14:paraId="5D597EE1">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⑥常备配件类维修，自接到报修后应当日修复。</w:t>
            </w:r>
          </w:p>
          <w:p w14:paraId="4AD824F0">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⑦外购配件及土建类维修，自接到报修之日起应3日内修复。</w:t>
            </w:r>
          </w:p>
          <w:p w14:paraId="3C19E83D">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Yu Gothic UI Light" w:cs="Times New Roman"/>
                <w:color w:val="auto"/>
                <w:highlight w:val="none"/>
                <w:lang w:val="en-US" w:eastAsia="zh-CN"/>
              </w:rPr>
              <w:t>⑧</w:t>
            </w:r>
            <w:r>
              <w:rPr>
                <w:rFonts w:hint="default" w:ascii="Times New Roman" w:hAnsi="Times New Roman" w:cs="Times New Roman"/>
                <w:color w:val="auto"/>
                <w:highlight w:val="none"/>
                <w:lang w:val="en-US" w:eastAsia="zh-CN"/>
              </w:rPr>
              <w:t>雨季做好本职防汛工作，排查有关隐患。</w:t>
            </w:r>
          </w:p>
          <w:p w14:paraId="1F21B536">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eastAsia="Yu Gothic UI Light" w:cs="Times New Roman"/>
                <w:color w:val="auto"/>
                <w:highlight w:val="none"/>
                <w:lang w:val="en-US" w:eastAsia="zh-CN"/>
              </w:rPr>
              <w:t>➈</w:t>
            </w:r>
            <w:r>
              <w:rPr>
                <w:rFonts w:hint="default" w:ascii="Times New Roman" w:hAnsi="Times New Roman" w:cs="Times New Roman"/>
                <w:color w:val="auto"/>
                <w:highlight w:val="none"/>
                <w:lang w:val="en-US" w:eastAsia="zh-CN"/>
              </w:rPr>
              <w:t>提出专项修缮建议。</w:t>
            </w:r>
          </w:p>
          <w:p w14:paraId="23D241E1">
            <w:pPr>
              <w:pStyle w:val="24"/>
              <w:keepNext w:val="0"/>
              <w:keepLines w:val="0"/>
              <w:pageBreakBefore w:val="0"/>
              <w:widowControl w:val="0"/>
              <w:kinsoku/>
              <w:overflowPunct/>
              <w:topLinePunct w:val="0"/>
              <w:autoSpaceDE/>
              <w:autoSpaceDN/>
              <w:bidi w:val="0"/>
              <w:snapToGrid/>
              <w:spacing w:line="420" w:lineRule="exact"/>
              <w:ind w:left="0" w:leftChars="0"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2. 保洁员</w:t>
            </w:r>
          </w:p>
          <w:p w14:paraId="1FD7A175">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（1）熟悉并遵守相关法规及各项规章制度。保洁服务讲求文明礼貌。</w:t>
            </w:r>
          </w:p>
          <w:p w14:paraId="5869CEC9">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（2）以下公共区域的设施设备要保持整洁：墙壁、门窗、玻璃、照明、地墙面、楼梯、扶手、水房、卫生间、天花板、标识牌、消防、水暖电气、电梯、宣传栏等。</w:t>
            </w:r>
          </w:p>
          <w:p w14:paraId="41BFC808">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（3）公共卫生间要保持空气清新、洁具明亮，无异味、无积水、无污垢。</w:t>
            </w:r>
          </w:p>
          <w:p w14:paraId="782C7E42">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（4）楼宇周边，要保持环境整洁、各种车辆整齐有序。</w:t>
            </w:r>
          </w:p>
          <w:p w14:paraId="27340A22">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（5）雨、雪天气时，负责清扫责任区的积水和积雪。</w:t>
            </w:r>
          </w:p>
          <w:p w14:paraId="66D1F399">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（6）捡拾遗失物品应登记备案、完好交还失主。</w:t>
            </w:r>
          </w:p>
          <w:p w14:paraId="042D114B">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（7）发现火情、治安事件、嫌疑人员、可疑现象、水暖跑冒、燃气泄漏等紧急情况，应及时上报并协助处理。</w:t>
            </w:r>
          </w:p>
          <w:p w14:paraId="1C0D1528">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 绿化员</w:t>
            </w:r>
          </w:p>
          <w:p w14:paraId="56F6F54A">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（1）熟悉并遵守相关法规及各项规章制度，熟练掌握应急预案。</w:t>
            </w:r>
          </w:p>
          <w:p w14:paraId="7DD2E5E0">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（2）熟悉花草树木名称、习性和养护，定期进行培训。</w:t>
            </w:r>
          </w:p>
          <w:p w14:paraId="276B39D5">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（3）做好辖区乔灌草等植物的修剪、施肥、浇水、除草等工作，保持植物生长状态良好，形状美观。</w:t>
            </w:r>
          </w:p>
          <w:p w14:paraId="2B87EFC8">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（4）有效利用生物、化学、物理方法防控病虫害。</w:t>
            </w:r>
          </w:p>
          <w:p w14:paraId="78157463">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（5）熟练使用、维护园林机械设备和喷灌设施。</w:t>
            </w:r>
          </w:p>
          <w:p w14:paraId="1A17A996">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（6）熟练掌握种植、移植技术。</w:t>
            </w:r>
          </w:p>
          <w:p w14:paraId="193F81D1">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（7）保持绿地整洁无杂物、无污染物。</w:t>
            </w:r>
          </w:p>
          <w:p w14:paraId="4A6D7585">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（8）按规范要求，有效维护古树健康生长。</w:t>
            </w:r>
          </w:p>
          <w:p w14:paraId="09F5860C">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cs="Times New Roman"/>
                <w:color w:val="auto"/>
                <w:highlight w:val="none"/>
                <w:lang w:val="en-US" w:eastAsia="zh-CN"/>
              </w:rPr>
            </w:pPr>
            <w:r>
              <w:rPr>
                <w:rFonts w:hint="default" w:ascii="Times New Roman" w:hAnsi="Times New Roman" w:cs="Times New Roman"/>
                <w:color w:val="auto"/>
                <w:highlight w:val="none"/>
                <w:lang w:val="en-US" w:eastAsia="zh-CN"/>
              </w:rPr>
              <w:t>（9）做好防范植物倒伏隐患排查工作。</w:t>
            </w:r>
          </w:p>
          <w:p w14:paraId="7A8EA7B5">
            <w:pPr>
              <w:pStyle w:val="24"/>
              <w:keepNext w:val="0"/>
              <w:keepLines w:val="0"/>
              <w:pageBreakBefore w:val="0"/>
              <w:widowControl w:val="0"/>
              <w:kinsoku/>
              <w:overflowPunct/>
              <w:topLinePunct w:val="0"/>
              <w:autoSpaceDE/>
              <w:autoSpaceDN/>
              <w:bidi w:val="0"/>
              <w:snapToGrid/>
              <w:spacing w:line="420" w:lineRule="exact"/>
              <w:ind w:left="0" w:leftChars="0" w:firstLine="482" w:firstLineChars="200"/>
              <w:textAlignment w:val="auto"/>
              <w:rPr>
                <w:rFonts w:hint="default" w:ascii="Times New Roman" w:hAnsi="Times New Roman" w:cs="Times New Roman"/>
                <w:b/>
                <w:bCs/>
                <w:color w:val="auto"/>
                <w:highlight w:val="none"/>
                <w:lang w:val="en-US" w:eastAsia="zh-CN"/>
              </w:rPr>
            </w:pPr>
            <w:r>
              <w:rPr>
                <w:rFonts w:hint="default" w:ascii="Times New Roman" w:hAnsi="Times New Roman" w:cs="Times New Roman"/>
                <w:b/>
                <w:bCs/>
                <w:color w:val="auto"/>
                <w:highlight w:val="none"/>
                <w:lang w:val="en-US" w:eastAsia="zh-CN"/>
              </w:rPr>
              <w:t>四、档案管理要求</w:t>
            </w:r>
          </w:p>
          <w:p w14:paraId="4668E999">
            <w:pPr>
              <w:pStyle w:val="24"/>
              <w:keepNext w:val="0"/>
              <w:keepLines w:val="0"/>
              <w:pageBreakBefore w:val="0"/>
              <w:widowControl w:val="0"/>
              <w:kinsoku/>
              <w:overflowPunct/>
              <w:topLinePunct w:val="0"/>
              <w:autoSpaceDE/>
              <w:autoSpaceDN/>
              <w:bidi w:val="0"/>
              <w:snapToGrid/>
              <w:spacing w:line="420" w:lineRule="exact"/>
              <w:ind w:left="0" w:leftChars="0" w:firstLine="480" w:firstLineChars="200"/>
              <w:textAlignment w:val="auto"/>
              <w:rPr>
                <w:rFonts w:hint="default" w:ascii="Times New Roman" w:hAnsi="Times New Roman" w:eastAsia="仿宋_GB2312" w:cs="Times New Roman"/>
                <w:color w:val="auto"/>
                <w:kern w:val="2"/>
                <w:sz w:val="24"/>
                <w:highlight w:val="none"/>
                <w:lang w:val="en-US" w:eastAsia="zh-CN" w:bidi="ar-SA"/>
              </w:rPr>
            </w:pPr>
            <w:r>
              <w:rPr>
                <w:rFonts w:hint="eastAsia" w:ascii="Times New Roman" w:hAnsi="Times New Roman" w:cs="Times New Roman"/>
                <w:color w:val="auto"/>
                <w:highlight w:val="none"/>
                <w:lang w:val="en-US" w:eastAsia="zh-CN"/>
              </w:rPr>
              <w:t>供应商</w:t>
            </w:r>
            <w:r>
              <w:rPr>
                <w:rFonts w:hint="default" w:ascii="Times New Roman" w:hAnsi="Times New Roman" w:cs="Times New Roman"/>
                <w:color w:val="auto"/>
                <w:highlight w:val="none"/>
                <w:lang w:val="en-US" w:eastAsia="zh-CN"/>
              </w:rPr>
              <w:t>须建立并妥善保管包括但不限于：员工档案与培训记录、日常巡检与维修日志、设备设施保养台账、考核记录、消杀记录、宿舍管理值班与检查记录等全套物业管理档案，供学校随时抽查。</w:t>
            </w:r>
          </w:p>
        </w:tc>
      </w:tr>
      <w:tr w14:paraId="6A51D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910" w:type="dxa"/>
            <w:gridSpan w:val="2"/>
            <w:vMerge w:val="continue"/>
            <w:vAlign w:val="center"/>
          </w:tcPr>
          <w:p w14:paraId="2B6A0638">
            <w:pPr>
              <w:keepNext w:val="0"/>
              <w:keepLines w:val="0"/>
              <w:pageBreakBefore w:val="0"/>
              <w:widowControl w:val="0"/>
              <w:kinsoku/>
              <w:wordWrap w:val="0"/>
              <w:overflowPunct/>
              <w:topLinePunct w:val="0"/>
              <w:autoSpaceDE/>
              <w:autoSpaceDN/>
              <w:bidi w:val="0"/>
              <w:adjustRightInd w:val="0"/>
              <w:snapToGrid/>
              <w:spacing w:line="420" w:lineRule="exact"/>
              <w:ind w:left="210" w:hanging="240" w:hangingChars="100"/>
              <w:jc w:val="left"/>
              <w:textAlignment w:val="auto"/>
              <w:rPr>
                <w:rFonts w:hint="default" w:ascii="Times New Roman" w:hAnsi="Times New Roman" w:eastAsia="仿宋_GB2312" w:cs="Times New Roman"/>
                <w:color w:val="auto"/>
                <w:sz w:val="24"/>
                <w:szCs w:val="24"/>
                <w:highlight w:val="none"/>
              </w:rPr>
            </w:pPr>
          </w:p>
        </w:tc>
      </w:tr>
      <w:tr w14:paraId="4E483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910" w:type="dxa"/>
            <w:gridSpan w:val="2"/>
            <w:vMerge w:val="continue"/>
            <w:vAlign w:val="center"/>
          </w:tcPr>
          <w:p w14:paraId="4664A360">
            <w:pPr>
              <w:keepNext w:val="0"/>
              <w:keepLines w:val="0"/>
              <w:pageBreakBefore w:val="0"/>
              <w:widowControl w:val="0"/>
              <w:kinsoku/>
              <w:wordWrap w:val="0"/>
              <w:overflowPunct/>
              <w:topLinePunct w:val="0"/>
              <w:autoSpaceDE/>
              <w:autoSpaceDN/>
              <w:bidi w:val="0"/>
              <w:adjustRightInd w:val="0"/>
              <w:snapToGrid/>
              <w:spacing w:line="420" w:lineRule="exact"/>
              <w:ind w:left="210" w:hanging="240" w:hangingChars="100"/>
              <w:jc w:val="left"/>
              <w:textAlignment w:val="auto"/>
              <w:rPr>
                <w:rFonts w:hint="default" w:ascii="Times New Roman" w:hAnsi="Times New Roman" w:eastAsia="仿宋_GB2312" w:cs="Times New Roman"/>
                <w:color w:val="auto"/>
                <w:sz w:val="24"/>
                <w:szCs w:val="24"/>
                <w:highlight w:val="none"/>
              </w:rPr>
            </w:pPr>
          </w:p>
        </w:tc>
      </w:tr>
      <w:tr w14:paraId="4DF84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910" w:type="dxa"/>
            <w:gridSpan w:val="2"/>
            <w:vMerge w:val="continue"/>
            <w:vAlign w:val="center"/>
          </w:tcPr>
          <w:p w14:paraId="4A69B0B2">
            <w:pPr>
              <w:keepNext w:val="0"/>
              <w:keepLines w:val="0"/>
              <w:pageBreakBefore w:val="0"/>
              <w:widowControl w:val="0"/>
              <w:kinsoku/>
              <w:wordWrap w:val="0"/>
              <w:overflowPunct/>
              <w:topLinePunct w:val="0"/>
              <w:autoSpaceDE/>
              <w:autoSpaceDN/>
              <w:bidi w:val="0"/>
              <w:adjustRightInd w:val="0"/>
              <w:snapToGrid/>
              <w:spacing w:line="420" w:lineRule="exact"/>
              <w:ind w:left="210" w:hanging="240" w:hangingChars="100"/>
              <w:jc w:val="left"/>
              <w:textAlignment w:val="auto"/>
              <w:rPr>
                <w:rFonts w:hint="default" w:ascii="Times New Roman" w:hAnsi="Times New Roman" w:eastAsia="仿宋_GB2312" w:cs="Times New Roman"/>
                <w:color w:val="auto"/>
                <w:sz w:val="24"/>
                <w:szCs w:val="24"/>
                <w:highlight w:val="none"/>
              </w:rPr>
            </w:pPr>
          </w:p>
        </w:tc>
      </w:tr>
      <w:tr w14:paraId="527EF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9910" w:type="dxa"/>
            <w:gridSpan w:val="2"/>
            <w:vAlign w:val="center"/>
          </w:tcPr>
          <w:p w14:paraId="15806F26">
            <w:pPr>
              <w:pStyle w:val="24"/>
              <w:keepNext w:val="0"/>
              <w:keepLines w:val="0"/>
              <w:pageBreakBefore w:val="0"/>
              <w:widowControl w:val="0"/>
              <w:kinsoku/>
              <w:overflowPunct/>
              <w:topLinePunct w:val="0"/>
              <w:autoSpaceDE/>
              <w:autoSpaceDN/>
              <w:bidi w:val="0"/>
              <w:snapToGrid/>
              <w:spacing w:line="420" w:lineRule="exact"/>
              <w:ind w:left="0" w:leftChars="0" w:firstLine="562" w:firstLineChars="200"/>
              <w:textAlignment w:val="auto"/>
              <w:rPr>
                <w:rFonts w:hint="default" w:ascii="Times New Roman" w:hAnsi="Times New Roman" w:cs="Times New Roman"/>
                <w:color w:val="auto"/>
                <w:sz w:val="28"/>
                <w:szCs w:val="28"/>
                <w:highlight w:val="none"/>
                <w:lang w:val="en-US" w:eastAsia="zh-CN"/>
              </w:rPr>
            </w:pPr>
            <w:r>
              <w:rPr>
                <w:rFonts w:hint="eastAsia" w:ascii="Times New Roman" w:hAnsi="Times New Roman" w:eastAsia="宋体" w:cs="Times New Roman"/>
                <w:b/>
                <w:bCs/>
                <w:color w:val="auto"/>
                <w:sz w:val="28"/>
                <w:szCs w:val="28"/>
                <w:highlight w:val="none"/>
                <w:lang w:val="en-US" w:eastAsia="zh-CN"/>
              </w:rPr>
              <w:t xml:space="preserve">第二部分 </w:t>
            </w:r>
            <w:r>
              <w:rPr>
                <w:rFonts w:hint="default" w:ascii="Times New Roman" w:hAnsi="Times New Roman" w:eastAsia="宋体" w:cs="Times New Roman"/>
                <w:b/>
                <w:bCs/>
                <w:color w:val="auto"/>
                <w:sz w:val="28"/>
                <w:szCs w:val="28"/>
                <w:highlight w:val="none"/>
                <w:lang w:val="en-US" w:eastAsia="zh-CN"/>
              </w:rPr>
              <w:t>北海市中等职业技术学校物业服务</w:t>
            </w:r>
            <w:r>
              <w:rPr>
                <w:rFonts w:hint="eastAsia" w:ascii="Times New Roman" w:hAnsi="Times New Roman" w:eastAsia="宋体" w:cs="Times New Roman"/>
                <w:b/>
                <w:bCs/>
                <w:color w:val="auto"/>
                <w:sz w:val="28"/>
                <w:szCs w:val="28"/>
                <w:highlight w:val="none"/>
                <w:lang w:val="en-US" w:eastAsia="zh-CN"/>
              </w:rPr>
              <w:t>要求</w:t>
            </w:r>
          </w:p>
        </w:tc>
      </w:tr>
      <w:tr w14:paraId="68155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0" w:type="dxa"/>
            <w:gridSpan w:val="2"/>
            <w:vAlign w:val="center"/>
          </w:tcPr>
          <w:p w14:paraId="1D81776D">
            <w:pPr>
              <w:keepNext w:val="0"/>
              <w:keepLines w:val="0"/>
              <w:pageBreakBefore w:val="0"/>
              <w:widowControl w:val="0"/>
              <w:kinsoku/>
              <w:wordWrap w:val="0"/>
              <w:overflowPunct/>
              <w:topLinePunct w:val="0"/>
              <w:autoSpaceDE/>
              <w:autoSpaceDN/>
              <w:bidi w:val="0"/>
              <w:adjustRightInd w:val="0"/>
              <w:snapToGrid/>
              <w:spacing w:line="420" w:lineRule="exact"/>
              <w:ind w:left="210" w:hanging="241" w:hangingChars="100"/>
              <w:jc w:val="left"/>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一、服务范围</w:t>
            </w:r>
          </w:p>
          <w:p w14:paraId="409051A1">
            <w:pPr>
              <w:keepNext w:val="0"/>
              <w:keepLines w:val="0"/>
              <w:pageBreakBefore w:val="0"/>
              <w:widowControl w:val="0"/>
              <w:kinsoku/>
              <w:wordWrap w:val="0"/>
              <w:overflowPunct/>
              <w:topLinePunct w:val="0"/>
              <w:autoSpaceDE/>
              <w:autoSpaceDN/>
              <w:bidi w:val="0"/>
              <w:adjustRightInd w:val="0"/>
              <w:snapToGrid/>
              <w:spacing w:line="420" w:lineRule="exact"/>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为派驻学校校园全域（包括所有建筑物、公共场所）提供物业服务，负责</w:t>
            </w:r>
            <w:r>
              <w:rPr>
                <w:rFonts w:hint="default" w:ascii="Times New Roman" w:hAnsi="Times New Roman" w:cs="Times New Roman"/>
                <w:color w:val="auto"/>
                <w:sz w:val="24"/>
                <w:highlight w:val="none"/>
              </w:rPr>
              <w:t>学校卫生保洁、绿化维护管理和各项会议及重要活动保障服务</w:t>
            </w:r>
            <w:r>
              <w:rPr>
                <w:rFonts w:hint="default" w:ascii="Times New Roman" w:hAnsi="Times New Roman" w:cs="Times New Roman"/>
                <w:color w:val="auto"/>
                <w:sz w:val="24"/>
                <w:szCs w:val="24"/>
                <w:highlight w:val="none"/>
                <w:lang w:val="en-US" w:eastAsia="zh-CN"/>
              </w:rPr>
              <w:t>。</w:t>
            </w:r>
          </w:p>
          <w:p w14:paraId="478B826A">
            <w:pPr>
              <w:keepNext w:val="0"/>
              <w:keepLines w:val="0"/>
              <w:pageBreakBefore w:val="0"/>
              <w:widowControl w:val="0"/>
              <w:kinsoku/>
              <w:wordWrap w:val="0"/>
              <w:overflowPunct/>
              <w:topLinePunct w:val="0"/>
              <w:autoSpaceDE/>
              <w:autoSpaceDN/>
              <w:bidi w:val="0"/>
              <w:adjustRightInd w:val="0"/>
              <w:snapToGrid/>
              <w:spacing w:line="420" w:lineRule="exact"/>
              <w:ind w:left="210" w:hanging="241" w:hangingChars="100"/>
              <w:jc w:val="left"/>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二、服务内容</w:t>
            </w:r>
          </w:p>
          <w:p w14:paraId="739C8849">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highlight w:val="none"/>
              </w:rPr>
              <w:t>学校卫生保洁、绿化维护管理和各项会议及重要活动保障服务</w:t>
            </w:r>
            <w:r>
              <w:rPr>
                <w:rFonts w:hint="default" w:ascii="Times New Roman" w:hAnsi="Times New Roman" w:eastAsia="仿宋_GB2312" w:cs="Times New Roman"/>
                <w:color w:val="auto"/>
                <w:kern w:val="2"/>
                <w:sz w:val="24"/>
                <w:szCs w:val="24"/>
                <w:highlight w:val="none"/>
                <w:lang w:val="en-US" w:eastAsia="zh-CN" w:bidi="ar-SA"/>
              </w:rPr>
              <w:t>。</w:t>
            </w:r>
          </w:p>
          <w:p w14:paraId="03EF9146">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textAlignment w:val="auto"/>
              <w:rPr>
                <w:rFonts w:hint="default" w:ascii="Times New Roman" w:hAnsi="Times New Roman" w:eastAsia="仿宋_GB2312" w:cs="Times New Roman"/>
                <w:b/>
                <w:bCs/>
                <w:color w:val="auto"/>
                <w:kern w:val="2"/>
                <w:sz w:val="24"/>
                <w:szCs w:val="24"/>
                <w:highlight w:val="none"/>
                <w:lang w:val="en-US" w:eastAsia="zh-CN" w:bidi="ar-SA"/>
              </w:rPr>
            </w:pPr>
            <w:r>
              <w:rPr>
                <w:rFonts w:hint="default" w:ascii="Times New Roman" w:hAnsi="Times New Roman" w:cs="Times New Roman"/>
                <w:b/>
                <w:bCs/>
                <w:color w:val="auto"/>
                <w:kern w:val="2"/>
                <w:sz w:val="24"/>
                <w:szCs w:val="24"/>
                <w:highlight w:val="none"/>
                <w:lang w:val="en-US" w:eastAsia="zh-CN" w:bidi="ar-SA"/>
              </w:rPr>
              <w:t>三、</w:t>
            </w:r>
            <w:r>
              <w:rPr>
                <w:rFonts w:hint="default" w:ascii="Times New Roman" w:hAnsi="Times New Roman" w:eastAsia="仿宋_GB2312" w:cs="Times New Roman"/>
                <w:b/>
                <w:bCs/>
                <w:color w:val="auto"/>
                <w:kern w:val="2"/>
                <w:sz w:val="24"/>
                <w:szCs w:val="24"/>
                <w:highlight w:val="none"/>
                <w:lang w:val="en-US" w:eastAsia="zh-CN" w:bidi="ar-SA"/>
              </w:rPr>
              <w:t>服务要求</w:t>
            </w:r>
          </w:p>
          <w:p w14:paraId="416FC2A2">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1. 服务用工人数25人，详见管理服务人员配备一览表。</w:t>
            </w:r>
          </w:p>
          <w:p w14:paraId="3297AC7F">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北海中职校物业服务人员配备表</w:t>
            </w:r>
          </w:p>
          <w:tbl>
            <w:tblPr>
              <w:tblStyle w:val="64"/>
              <w:tblW w:w="86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1183"/>
              <w:gridCol w:w="867"/>
              <w:gridCol w:w="5898"/>
            </w:tblGrid>
            <w:tr w14:paraId="7F7E9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6" w:type="dxa"/>
                  <w:gridSpan w:val="4"/>
                  <w:vAlign w:val="center"/>
                </w:tcPr>
                <w:p w14:paraId="3A75A6B3">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2026年-2028年（20个月正常班）</w:t>
                  </w:r>
                </w:p>
              </w:tc>
            </w:tr>
            <w:tr w14:paraId="26A6E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shd w:val="clear" w:color="auto" w:fill="auto"/>
                  <w:vAlign w:val="center"/>
                </w:tcPr>
                <w:p w14:paraId="73EEB4A8">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eastAsia="仿宋_GB2312"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序号</w:t>
                  </w:r>
                </w:p>
              </w:tc>
              <w:tc>
                <w:tcPr>
                  <w:tcW w:w="1183" w:type="dxa"/>
                  <w:shd w:val="clear" w:color="auto" w:fill="auto"/>
                  <w:vAlign w:val="center"/>
                </w:tcPr>
                <w:p w14:paraId="303644F3">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eastAsia="仿宋_GB2312"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岗位</w:t>
                  </w:r>
                </w:p>
              </w:tc>
              <w:tc>
                <w:tcPr>
                  <w:tcW w:w="867" w:type="dxa"/>
                  <w:shd w:val="clear" w:color="auto" w:fill="auto"/>
                  <w:vAlign w:val="center"/>
                </w:tcPr>
                <w:p w14:paraId="4136574B">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eastAsia="仿宋_GB2312"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人数</w:t>
                  </w:r>
                </w:p>
              </w:tc>
              <w:tc>
                <w:tcPr>
                  <w:tcW w:w="5898" w:type="dxa"/>
                  <w:shd w:val="clear" w:color="auto" w:fill="auto"/>
                  <w:vAlign w:val="center"/>
                </w:tcPr>
                <w:p w14:paraId="5061FF00">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eastAsia="仿宋_GB2312"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岗位设置明细</w:t>
                  </w:r>
                </w:p>
              </w:tc>
            </w:tr>
            <w:tr w14:paraId="6F513C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vAlign w:val="center"/>
                </w:tcPr>
                <w:p w14:paraId="40832F76">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w:t>
                  </w:r>
                </w:p>
              </w:tc>
              <w:tc>
                <w:tcPr>
                  <w:tcW w:w="1183" w:type="dxa"/>
                  <w:vAlign w:val="center"/>
                </w:tcPr>
                <w:p w14:paraId="7D477A03">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4"/>
                      <w:highlight w:val="none"/>
                      <w:lang w:eastAsia="zh-CN"/>
                    </w:rPr>
                    <w:t>物业</w:t>
                  </w:r>
                  <w:r>
                    <w:rPr>
                      <w:rFonts w:hint="default" w:ascii="Times New Roman" w:hAnsi="Times New Roman" w:cs="Times New Roman"/>
                      <w:color w:val="auto"/>
                      <w:sz w:val="24"/>
                      <w:highlight w:val="none"/>
                    </w:rPr>
                    <w:t>主管</w:t>
                  </w:r>
                </w:p>
              </w:tc>
              <w:tc>
                <w:tcPr>
                  <w:tcW w:w="867" w:type="dxa"/>
                  <w:vAlign w:val="center"/>
                </w:tcPr>
                <w:p w14:paraId="38E10F95">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w:t>
                  </w:r>
                </w:p>
              </w:tc>
              <w:tc>
                <w:tcPr>
                  <w:tcW w:w="5898" w:type="dxa"/>
                  <w:vAlign w:val="center"/>
                </w:tcPr>
                <w:p w14:paraId="7059CAD1">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带领服务人员完成工作任务、负责物业服务工作的监督和管理。</w:t>
                  </w:r>
                </w:p>
              </w:tc>
            </w:tr>
            <w:tr w14:paraId="1AC47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vAlign w:val="center"/>
                </w:tcPr>
                <w:p w14:paraId="35621F7E">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w:t>
                  </w:r>
                </w:p>
              </w:tc>
              <w:tc>
                <w:tcPr>
                  <w:tcW w:w="1183" w:type="dxa"/>
                  <w:vAlign w:val="center"/>
                </w:tcPr>
                <w:p w14:paraId="6C5E2CA9">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4"/>
                      <w:highlight w:val="none"/>
                    </w:rPr>
                    <w:t>保洁员</w:t>
                  </w:r>
                </w:p>
              </w:tc>
              <w:tc>
                <w:tcPr>
                  <w:tcW w:w="867" w:type="dxa"/>
                  <w:vAlign w:val="center"/>
                </w:tcPr>
                <w:p w14:paraId="383C50D0">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17</w:t>
                  </w:r>
                </w:p>
              </w:tc>
              <w:tc>
                <w:tcPr>
                  <w:tcW w:w="5898" w:type="dxa"/>
                  <w:vAlign w:val="center"/>
                </w:tcPr>
                <w:p w14:paraId="5D86B1E6">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left"/>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1.知行楼2人；</w:t>
                  </w:r>
                </w:p>
                <w:p w14:paraId="3D1178F4">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left"/>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2.耕创楼2人；</w:t>
                  </w:r>
                </w:p>
                <w:p w14:paraId="47881D4C">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left"/>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3.智造楼2人；</w:t>
                  </w:r>
                </w:p>
                <w:p w14:paraId="1CC8B168">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left"/>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4.艺馨楼2人；</w:t>
                  </w:r>
                </w:p>
                <w:p w14:paraId="01DA15B1">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left"/>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5.笃行楼2人；</w:t>
                  </w:r>
                </w:p>
                <w:p w14:paraId="2E1C1F36">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left"/>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6.外围保洁3人；</w:t>
                  </w:r>
                </w:p>
                <w:p w14:paraId="0AF54384">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left"/>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7.体育馆2人；</w:t>
                  </w:r>
                </w:p>
                <w:p w14:paraId="431EE04A">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left"/>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8.尚俭楼2人。</w:t>
                  </w:r>
                </w:p>
              </w:tc>
            </w:tr>
            <w:tr w14:paraId="15CAD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vAlign w:val="center"/>
                </w:tcPr>
                <w:p w14:paraId="489F91EE">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w:t>
                  </w:r>
                </w:p>
              </w:tc>
              <w:tc>
                <w:tcPr>
                  <w:tcW w:w="1183" w:type="dxa"/>
                  <w:vAlign w:val="center"/>
                </w:tcPr>
                <w:p w14:paraId="2D32614A">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4"/>
                      <w:highlight w:val="none"/>
                    </w:rPr>
                    <w:t>绿化员</w:t>
                  </w:r>
                </w:p>
              </w:tc>
              <w:tc>
                <w:tcPr>
                  <w:tcW w:w="867" w:type="dxa"/>
                  <w:vAlign w:val="center"/>
                </w:tcPr>
                <w:p w14:paraId="1FC22F36">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7</w:t>
                  </w:r>
                </w:p>
              </w:tc>
              <w:tc>
                <w:tcPr>
                  <w:tcW w:w="5898" w:type="dxa"/>
                  <w:vAlign w:val="center"/>
                </w:tcPr>
                <w:p w14:paraId="613EEB77">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绿化修剪1人，绿化维护6人</w:t>
                  </w:r>
                </w:p>
              </w:tc>
            </w:tr>
            <w:tr w14:paraId="0638FB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1" w:type="dxa"/>
                  <w:gridSpan w:val="2"/>
                  <w:vAlign w:val="center"/>
                </w:tcPr>
                <w:p w14:paraId="7A9447DE">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合计</w:t>
                  </w:r>
                </w:p>
              </w:tc>
              <w:tc>
                <w:tcPr>
                  <w:tcW w:w="867" w:type="dxa"/>
                  <w:vAlign w:val="center"/>
                </w:tcPr>
                <w:p w14:paraId="1EFEDE47">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25</w:t>
                  </w:r>
                </w:p>
              </w:tc>
              <w:tc>
                <w:tcPr>
                  <w:tcW w:w="5898" w:type="dxa"/>
                  <w:vAlign w:val="center"/>
                </w:tcPr>
                <w:p w14:paraId="6E72579A">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r>
            <w:tr w14:paraId="17DB3F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666" w:type="dxa"/>
                  <w:gridSpan w:val="4"/>
                  <w:vAlign w:val="center"/>
                </w:tcPr>
                <w:p w14:paraId="1032BE99">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2026年-2028年（4个月假期班）</w:t>
                  </w:r>
                </w:p>
              </w:tc>
            </w:tr>
            <w:tr w14:paraId="47741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shd w:val="clear" w:color="auto" w:fill="auto"/>
                  <w:vAlign w:val="center"/>
                </w:tcPr>
                <w:p w14:paraId="4E4BFCA2">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eastAsia="仿宋_GB2312"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序号</w:t>
                  </w:r>
                </w:p>
              </w:tc>
              <w:tc>
                <w:tcPr>
                  <w:tcW w:w="1183" w:type="dxa"/>
                  <w:shd w:val="clear" w:color="auto" w:fill="auto"/>
                  <w:vAlign w:val="center"/>
                </w:tcPr>
                <w:p w14:paraId="79540286">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eastAsia="仿宋_GB2312"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岗位</w:t>
                  </w:r>
                </w:p>
              </w:tc>
              <w:tc>
                <w:tcPr>
                  <w:tcW w:w="867" w:type="dxa"/>
                  <w:shd w:val="clear" w:color="auto" w:fill="auto"/>
                  <w:vAlign w:val="center"/>
                </w:tcPr>
                <w:p w14:paraId="75E3EA5E">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eastAsia="仿宋_GB2312"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人数</w:t>
                  </w:r>
                </w:p>
              </w:tc>
              <w:tc>
                <w:tcPr>
                  <w:tcW w:w="5898" w:type="dxa"/>
                  <w:shd w:val="clear" w:color="auto" w:fill="auto"/>
                  <w:vAlign w:val="center"/>
                </w:tcPr>
                <w:p w14:paraId="7E1FBD9A">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eastAsia="仿宋_GB2312"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岗位设置明细</w:t>
                  </w:r>
                </w:p>
              </w:tc>
            </w:tr>
            <w:tr w14:paraId="5B373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vAlign w:val="center"/>
                </w:tcPr>
                <w:p w14:paraId="61537E3C">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w:t>
                  </w:r>
                </w:p>
              </w:tc>
              <w:tc>
                <w:tcPr>
                  <w:tcW w:w="1183" w:type="dxa"/>
                  <w:vAlign w:val="center"/>
                </w:tcPr>
                <w:p w14:paraId="51441356">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物业</w:t>
                  </w:r>
                  <w:r>
                    <w:rPr>
                      <w:rFonts w:hint="default" w:ascii="Times New Roman" w:hAnsi="Times New Roman" w:cs="Times New Roman"/>
                      <w:color w:val="auto"/>
                      <w:sz w:val="24"/>
                      <w:highlight w:val="none"/>
                    </w:rPr>
                    <w:t>主管</w:t>
                  </w:r>
                </w:p>
              </w:tc>
              <w:tc>
                <w:tcPr>
                  <w:tcW w:w="867" w:type="dxa"/>
                  <w:vAlign w:val="center"/>
                </w:tcPr>
                <w:p w14:paraId="362C1B4C">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w:t>
                  </w:r>
                </w:p>
              </w:tc>
              <w:tc>
                <w:tcPr>
                  <w:tcW w:w="5898" w:type="dxa"/>
                  <w:vAlign w:val="center"/>
                </w:tcPr>
                <w:p w14:paraId="6834C4E1">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left"/>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带领服务人员完成工作任务、负责物业服务工作的监督和管理。</w:t>
                  </w:r>
                </w:p>
              </w:tc>
            </w:tr>
            <w:tr w14:paraId="2BA48C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vAlign w:val="center"/>
                </w:tcPr>
                <w:p w14:paraId="2533BF0A">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w:t>
                  </w:r>
                </w:p>
              </w:tc>
              <w:tc>
                <w:tcPr>
                  <w:tcW w:w="1183" w:type="dxa"/>
                  <w:vAlign w:val="center"/>
                </w:tcPr>
                <w:p w14:paraId="2679F4E8">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保洁员</w:t>
                  </w:r>
                </w:p>
              </w:tc>
              <w:tc>
                <w:tcPr>
                  <w:tcW w:w="867" w:type="dxa"/>
                  <w:vAlign w:val="center"/>
                </w:tcPr>
                <w:p w14:paraId="60678ABC">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8</w:t>
                  </w:r>
                </w:p>
              </w:tc>
              <w:tc>
                <w:tcPr>
                  <w:tcW w:w="5898" w:type="dxa"/>
                  <w:vAlign w:val="center"/>
                </w:tcPr>
                <w:p w14:paraId="42FF3D01">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left"/>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1.知行楼1人；</w:t>
                  </w:r>
                </w:p>
                <w:p w14:paraId="69471416">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left"/>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2.耕创楼1人；</w:t>
                  </w:r>
                </w:p>
                <w:p w14:paraId="20CF7A6B">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left"/>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3.智造楼1人；</w:t>
                  </w:r>
                </w:p>
                <w:p w14:paraId="006046C3">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left"/>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4.艺馨楼1人；</w:t>
                  </w:r>
                </w:p>
                <w:p w14:paraId="4164EBDE">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left"/>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5.笃行楼1人；</w:t>
                  </w:r>
                </w:p>
                <w:p w14:paraId="01C22EF4">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left"/>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6.外围保洁2人；</w:t>
                  </w:r>
                </w:p>
                <w:p w14:paraId="3AD5D255">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left"/>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7.体育馆1人。</w:t>
                  </w:r>
                </w:p>
              </w:tc>
            </w:tr>
            <w:tr w14:paraId="64A16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vAlign w:val="center"/>
                </w:tcPr>
                <w:p w14:paraId="529C8A31">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w:t>
                  </w:r>
                </w:p>
              </w:tc>
              <w:tc>
                <w:tcPr>
                  <w:tcW w:w="1183" w:type="dxa"/>
                  <w:vAlign w:val="center"/>
                </w:tcPr>
                <w:p w14:paraId="78915E5A">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绿化员</w:t>
                  </w:r>
                </w:p>
              </w:tc>
              <w:tc>
                <w:tcPr>
                  <w:tcW w:w="867" w:type="dxa"/>
                  <w:vAlign w:val="center"/>
                </w:tcPr>
                <w:p w14:paraId="09D0C383">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7</w:t>
                  </w:r>
                </w:p>
              </w:tc>
              <w:tc>
                <w:tcPr>
                  <w:tcW w:w="5898" w:type="dxa"/>
                  <w:vAlign w:val="center"/>
                </w:tcPr>
                <w:p w14:paraId="44FC5359">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left"/>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绿化修剪1人，绿化维护6人。</w:t>
                  </w:r>
                </w:p>
              </w:tc>
            </w:tr>
            <w:tr w14:paraId="0D7C2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1" w:type="dxa"/>
                  <w:gridSpan w:val="2"/>
                  <w:vAlign w:val="center"/>
                </w:tcPr>
                <w:p w14:paraId="2BACCDEF">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4"/>
                      <w:highlight w:val="none"/>
                      <w:lang w:eastAsia="zh-CN"/>
                    </w:rPr>
                    <w:t>合计</w:t>
                  </w:r>
                </w:p>
              </w:tc>
              <w:tc>
                <w:tcPr>
                  <w:tcW w:w="867" w:type="dxa"/>
                  <w:vAlign w:val="center"/>
                </w:tcPr>
                <w:p w14:paraId="5A92C58E">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16</w:t>
                  </w:r>
                </w:p>
              </w:tc>
              <w:tc>
                <w:tcPr>
                  <w:tcW w:w="5898" w:type="dxa"/>
                  <w:vAlign w:val="center"/>
                </w:tcPr>
                <w:p w14:paraId="4A0D54FD">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left"/>
                    <w:textAlignment w:val="auto"/>
                    <w:rPr>
                      <w:rFonts w:hint="default" w:ascii="Times New Roman" w:hAnsi="Times New Roman" w:cs="Times New Roman"/>
                      <w:color w:val="auto"/>
                      <w:sz w:val="21"/>
                      <w:szCs w:val="21"/>
                      <w:highlight w:val="none"/>
                      <w:vertAlign w:val="baseline"/>
                      <w:lang w:val="en-US" w:eastAsia="zh-CN"/>
                    </w:rPr>
                  </w:pPr>
                </w:p>
              </w:tc>
            </w:tr>
          </w:tbl>
          <w:p w14:paraId="1E25900A">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2. 有物业管理方案，质量管理、档案管理等制度健全。</w:t>
            </w:r>
          </w:p>
          <w:p w14:paraId="18902ABA">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3. 管理服务人员统一着装，行为规范，服务主动热情。</w:t>
            </w:r>
          </w:p>
          <w:p w14:paraId="17682F8B">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4. 每月接受业主单位质量考核，未达标准从合同价中扣除。满意率至少在75％以上，连续两个月达不到，学校可提终止合同。</w:t>
            </w:r>
          </w:p>
          <w:p w14:paraId="03F3FD38">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6. 上岗人员在工作期间发生员工工伤及意外伤害事故，由</w:t>
            </w:r>
            <w:r>
              <w:rPr>
                <w:rFonts w:hint="eastAsia" w:cs="Times New Roman"/>
                <w:color w:val="auto"/>
                <w:sz w:val="24"/>
                <w:highlight w:val="none"/>
                <w:lang w:val="en-US" w:eastAsia="zh-CN"/>
              </w:rPr>
              <w:t>供应商</w:t>
            </w:r>
            <w:r>
              <w:rPr>
                <w:rFonts w:hint="default" w:ascii="Times New Roman" w:hAnsi="Times New Roman" w:cs="Times New Roman"/>
                <w:color w:val="auto"/>
                <w:sz w:val="24"/>
                <w:highlight w:val="none"/>
                <w:lang w:val="en-US" w:eastAsia="zh-CN"/>
              </w:rPr>
              <w:t>负责，涉及用工方面的劳务纠纷和劳动事故全部由物业公司承担责任。</w:t>
            </w:r>
          </w:p>
          <w:p w14:paraId="04EB313F">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b/>
                <w:bCs/>
                <w:color w:val="auto"/>
                <w:sz w:val="24"/>
                <w:highlight w:val="none"/>
                <w:lang w:val="en-US" w:eastAsia="zh-CN"/>
              </w:rPr>
              <w:t>四、物业管理服务范围及岗位职责要求</w:t>
            </w:r>
          </w:p>
          <w:p w14:paraId="58A2E2D4">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（一）卫生保洁</w:t>
            </w:r>
          </w:p>
          <w:p w14:paraId="086B8B7C">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1. 校园公共区域保洁：学生在校期间，每天清扫地面，保持地面清洁，对校园公共区域进行不间断巡视、清扫，捡拾杂物；路面、场地、绿化区无垃圾、杂物，无卫生死角；</w:t>
            </w:r>
          </w:p>
          <w:p w14:paraId="5F916429">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2. 教学实训楼内保洁：学生在校期间，每天清扫地面，保持地面清洁，无痰渍、污渍；对楼梯、楼道、走廊进行不间断巡视、清扫，捡拾杂物；保持墙壁无浮灰、蜘蛛网、无明显污迹；保持垃圾箱外表干净。（知行楼、耕创楼、智造楼、艺馨楼、笃行楼、体育馆、校领导办公室、会议室、健体馆、）</w:t>
            </w:r>
          </w:p>
          <w:p w14:paraId="2D825565">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3. 学生宿舍周边保洁：学生在校期间，每天清扫地面，保持地面清洁，无痰渍、污渍；不间断巡视、清扫，捡拾杂物；保持垃圾箱外表干净。</w:t>
            </w:r>
          </w:p>
          <w:p w14:paraId="129003A5">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4.公共卫生间保洁：学生在校期间，保持卫生间卫生，便池、水池、地面、墙壁无污迹，无明显异味，检查给排水设施设备，管道、阀门等无锈蚀、无渗漏，管道无堵塞，设施用具完好，如有坏损，及时上报给学校。（公共卫生间：知行楼五层共11个，耕创楼5层共20个，智造楼五层共20个，艺馨楼三层12个，笃行楼4层共8个；2#学生宿舍五层共5个；体育馆5层楼12个。</w:t>
            </w:r>
          </w:p>
          <w:p w14:paraId="58AC0396">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5. 垃圾清运：对校园垃圾箱每天进行清除、外运，做到垃圾日产日清，保持校园垃圾全部进垃圾箱，保持箱外无垃圾，做到箱体清洁、无损坏。</w:t>
            </w:r>
          </w:p>
          <w:p w14:paraId="6180A8D2">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6. 卫生防疫：按照要求负责全校范围内的灭蚊虫喷药。疫情期间必须协助学校做好各个场所的防疫消杀工作。</w:t>
            </w:r>
          </w:p>
          <w:p w14:paraId="5C764E48">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（二）绿化维护管理</w:t>
            </w:r>
          </w:p>
          <w:p w14:paraId="1BA0B9CE">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1. 负责校园绿化区的日常养护，制定切实可行的养护计划和管理措施，适时对花木、草坪进行修剪、施肥、防治病虫害、养护和浇水，清除绿化区杂草。</w:t>
            </w:r>
          </w:p>
          <w:p w14:paraId="782593B5">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2. 协助做好重大节日、重要活动的绿化美化工作。</w:t>
            </w:r>
          </w:p>
          <w:p w14:paraId="4A55E775">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（三）各项会议及重要活动保障</w:t>
            </w:r>
          </w:p>
          <w:p w14:paraId="269F1DCA">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布置会场或会议室；重大活动临时增加人员调遣工作等。</w:t>
            </w:r>
          </w:p>
          <w:p w14:paraId="3FBF3269">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textAlignment w:val="auto"/>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五、物业管理人员行为规范要求</w:t>
            </w:r>
          </w:p>
          <w:p w14:paraId="2313E1EA">
            <w:pPr>
              <w:keepNext w:val="0"/>
              <w:keepLines w:val="0"/>
              <w:pageBreakBefore w:val="0"/>
              <w:widowControl/>
              <w:kinsoku/>
              <w:wordWrap/>
              <w:overflowPunct/>
              <w:topLinePunct w:val="0"/>
              <w:autoSpaceDE/>
              <w:autoSpaceDN/>
              <w:bidi w:val="0"/>
              <w:adjustRightInd/>
              <w:snapToGrid/>
              <w:spacing w:line="420" w:lineRule="exact"/>
              <w:ind w:firstLine="482" w:firstLineChars="200"/>
              <w:textAlignment w:val="auto"/>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 xml:space="preserve">（一）职业道德要求 </w:t>
            </w:r>
          </w:p>
          <w:p w14:paraId="259F341F">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1. 敬业爱岗：勤奋敬业，积极肯干，热爱本职岗位，乐于为本职工作奉献。</w:t>
            </w:r>
          </w:p>
          <w:p w14:paraId="0ECB7017">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2. 遵守纪律：认真遵守国家政策、法规、法令，遵守公司规章制度和劳动纪律。</w:t>
            </w:r>
          </w:p>
          <w:p w14:paraId="0F88E353">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3. 认真学习：努力学习科学文化知识，不断提高业务技术水平，努力提高服务质量。</w:t>
            </w:r>
          </w:p>
          <w:p w14:paraId="055EDCB2">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4. 公私分明：爱护公物，不谋私利，自觉地维护公司的利益和声誉。</w:t>
            </w:r>
          </w:p>
          <w:p w14:paraId="4ED52DA2">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5. 勤俭节约：具有良好的节约意识，勤俭办公，节约能源。</w:t>
            </w:r>
          </w:p>
          <w:p w14:paraId="35446CA6">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6. 团结合作：严于律己，宽以待人，正确处理好个人与集体、同事的工作关系，具有良好的协作精神，易与他人相处。</w:t>
            </w:r>
          </w:p>
          <w:p w14:paraId="1A68B165">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7. 严守秘密：未经批准，不向外界传播或提供有关学校的任何资料。</w:t>
            </w:r>
          </w:p>
          <w:p w14:paraId="194C2C1D">
            <w:pPr>
              <w:keepNext w:val="0"/>
              <w:keepLines w:val="0"/>
              <w:pageBreakBefore w:val="0"/>
              <w:widowControl/>
              <w:kinsoku/>
              <w:wordWrap/>
              <w:overflowPunct/>
              <w:topLinePunct w:val="0"/>
              <w:autoSpaceDE/>
              <w:autoSpaceDN/>
              <w:bidi w:val="0"/>
              <w:adjustRightInd/>
              <w:snapToGrid/>
              <w:spacing w:line="420" w:lineRule="exact"/>
              <w:ind w:firstLine="482" w:firstLineChars="200"/>
              <w:textAlignment w:val="auto"/>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 xml:space="preserve">（二）服务意识要求  </w:t>
            </w:r>
          </w:p>
          <w:p w14:paraId="15B019A8">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1. 文明礼貌：做到语言规范，谈吐文雅，衣冠整洁，举止端庄。</w:t>
            </w:r>
          </w:p>
          <w:p w14:paraId="4528EE17">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2. 主动热情：以真诚的笑容，主动热情地为师生服务，主动了解师生的需要，努力为师生排忧解难。</w:t>
            </w:r>
          </w:p>
          <w:p w14:paraId="2107255C">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3. 耐心周到：员工在对师生的服务中要耐心周到，问多不厌，事多不烦，虚心听取师生意见，耐心解答师生问题，服务体贴入微，有求必应，面面俱到，尽善尽美。</w:t>
            </w:r>
          </w:p>
          <w:p w14:paraId="24420E03">
            <w:pPr>
              <w:keepNext w:val="0"/>
              <w:keepLines w:val="0"/>
              <w:pageBreakBefore w:val="0"/>
              <w:widowControl/>
              <w:kinsoku/>
              <w:wordWrap/>
              <w:overflowPunct/>
              <w:topLinePunct w:val="0"/>
              <w:autoSpaceDE/>
              <w:autoSpaceDN/>
              <w:bidi w:val="0"/>
              <w:adjustRightInd/>
              <w:snapToGrid/>
              <w:spacing w:line="420" w:lineRule="exact"/>
              <w:ind w:firstLine="482" w:firstLineChars="200"/>
              <w:textAlignment w:val="auto"/>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 xml:space="preserve">（三）仪容仪表要求 </w:t>
            </w:r>
          </w:p>
          <w:p w14:paraId="0A655AC9">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 xml:space="preserve">1. 保持衣冠整洁，按规定要求着装，将工作卡端正地佩戴在左胸前。 </w:t>
            </w:r>
          </w:p>
          <w:p w14:paraId="363191CE">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2. 工作场所不得穿短裤、背心、拖鞋。</w:t>
            </w:r>
          </w:p>
          <w:p w14:paraId="17E8A168">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3. 男员工头发不盖耳朵、不遮衣领，每天剃须，保持指甲清洁，不留长指甲，扣好衣扣裤扣，紧束领带（大箭头垂到皮带扣处为准），衬衣下摆放进裤内。</w:t>
            </w:r>
          </w:p>
          <w:p w14:paraId="5F31994C">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4"/>
                <w:szCs w:val="24"/>
                <w:highlight w:val="none"/>
                <w:lang w:val="en-US" w:eastAsia="zh-CN"/>
              </w:rPr>
            </w:pPr>
            <w:r>
              <w:rPr>
                <w:rFonts w:hint="default" w:ascii="Times New Roman" w:hAnsi="Times New Roman" w:cs="Times New Roman"/>
                <w:color w:val="auto"/>
                <w:sz w:val="24"/>
                <w:highlight w:val="none"/>
                <w:lang w:val="en-US" w:eastAsia="zh-CN"/>
              </w:rPr>
              <w:t>4. 女员工头发不过肩，不做怪异发型，不留长指甲，不染指甲，不浓妆艳抹，不穿黑色或带花丝袜。</w:t>
            </w:r>
          </w:p>
        </w:tc>
      </w:tr>
      <w:tr w14:paraId="223357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atLeast"/>
          <w:jc w:val="center"/>
        </w:trPr>
        <w:tc>
          <w:tcPr>
            <w:tcW w:w="9910" w:type="dxa"/>
            <w:gridSpan w:val="2"/>
            <w:shd w:val="clear" w:color="auto" w:fill="auto"/>
            <w:vAlign w:val="center"/>
          </w:tcPr>
          <w:p w14:paraId="53B13995">
            <w:pPr>
              <w:keepNext w:val="0"/>
              <w:keepLines w:val="0"/>
              <w:pageBreakBefore w:val="0"/>
              <w:widowControl/>
              <w:kinsoku/>
              <w:wordWrap/>
              <w:overflowPunct/>
              <w:topLinePunct w:val="0"/>
              <w:autoSpaceDE/>
              <w:autoSpaceDN/>
              <w:bidi w:val="0"/>
              <w:adjustRightInd/>
              <w:snapToGrid/>
              <w:spacing w:line="420" w:lineRule="exact"/>
              <w:ind w:firstLine="562" w:firstLineChars="200"/>
              <w:textAlignment w:val="auto"/>
              <w:rPr>
                <w:rFonts w:hint="default" w:ascii="Times New Roman" w:hAnsi="Times New Roman" w:cs="Times New Roman"/>
                <w:color w:val="auto"/>
                <w:sz w:val="24"/>
                <w:highlight w:val="none"/>
                <w:lang w:val="en-US" w:eastAsia="zh-CN"/>
              </w:rPr>
            </w:pPr>
            <w:r>
              <w:rPr>
                <w:rFonts w:hint="eastAsia" w:ascii="Times New Roman" w:hAnsi="Times New Roman" w:eastAsia="宋体" w:cs="Times New Roman"/>
                <w:b/>
                <w:bCs/>
                <w:color w:val="auto"/>
                <w:sz w:val="28"/>
                <w:szCs w:val="28"/>
                <w:highlight w:val="none"/>
                <w:lang w:val="en-US" w:eastAsia="zh-CN"/>
              </w:rPr>
              <w:t xml:space="preserve">第三部分 </w:t>
            </w:r>
            <w:r>
              <w:rPr>
                <w:rFonts w:hint="default" w:ascii="Times New Roman" w:hAnsi="Times New Roman" w:eastAsia="宋体" w:cs="Times New Roman"/>
                <w:b/>
                <w:bCs/>
                <w:color w:val="auto"/>
                <w:sz w:val="28"/>
                <w:szCs w:val="28"/>
                <w:highlight w:val="none"/>
                <w:lang w:val="en-US" w:eastAsia="zh-CN"/>
              </w:rPr>
              <w:t>北海市中等职业技术学校宿舍管理服务</w:t>
            </w:r>
            <w:r>
              <w:rPr>
                <w:rFonts w:hint="eastAsia" w:ascii="宋体" w:hAnsi="宋体" w:eastAsia="宋体" w:cs="宋体"/>
                <w:b/>
                <w:bCs/>
                <w:color w:val="auto"/>
                <w:kern w:val="2"/>
                <w:sz w:val="28"/>
                <w:szCs w:val="28"/>
                <w:highlight w:val="none"/>
                <w:lang w:val="en-US" w:eastAsia="zh-CN" w:bidi="ar-SA"/>
              </w:rPr>
              <w:t>要求</w:t>
            </w:r>
          </w:p>
        </w:tc>
      </w:tr>
      <w:tr w14:paraId="474C7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10" w:type="dxa"/>
            <w:gridSpan w:val="2"/>
            <w:shd w:val="clear" w:color="auto" w:fill="auto"/>
            <w:vAlign w:val="center"/>
          </w:tcPr>
          <w:p w14:paraId="06080E08">
            <w:pPr>
              <w:keepNext w:val="0"/>
              <w:keepLines w:val="0"/>
              <w:pageBreakBefore w:val="0"/>
              <w:widowControl w:val="0"/>
              <w:kinsoku/>
              <w:wordWrap w:val="0"/>
              <w:overflowPunct/>
              <w:topLinePunct w:val="0"/>
              <w:autoSpaceDE/>
              <w:autoSpaceDN/>
              <w:bidi w:val="0"/>
              <w:adjustRightInd w:val="0"/>
              <w:snapToGrid/>
              <w:spacing w:line="420" w:lineRule="exact"/>
              <w:ind w:left="210" w:hanging="241" w:hangingChars="100"/>
              <w:jc w:val="left"/>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一、服务范围</w:t>
            </w:r>
          </w:p>
          <w:p w14:paraId="26F557DC">
            <w:pPr>
              <w:keepNext w:val="0"/>
              <w:keepLines w:val="0"/>
              <w:pageBreakBefore w:val="0"/>
              <w:widowControl w:val="0"/>
              <w:kinsoku/>
              <w:wordWrap w:val="0"/>
              <w:overflowPunct/>
              <w:topLinePunct w:val="0"/>
              <w:autoSpaceDE/>
              <w:autoSpaceDN/>
              <w:bidi w:val="0"/>
              <w:adjustRightInd w:val="0"/>
              <w:snapToGrid/>
              <w:spacing w:line="420" w:lineRule="exact"/>
              <w:jc w:val="left"/>
              <w:textAlignment w:val="auto"/>
              <w:rPr>
                <w:rFonts w:hint="default" w:ascii="Times New Roman" w:hAnsi="Times New Roman" w:cs="Times New Roman"/>
                <w:color w:val="auto"/>
                <w:sz w:val="24"/>
                <w:szCs w:val="24"/>
                <w:highlight w:val="none"/>
                <w:lang w:val="en-US" w:eastAsia="zh-CN"/>
              </w:rPr>
            </w:pPr>
            <w:r>
              <w:rPr>
                <w:rFonts w:hint="default" w:ascii="Times New Roman" w:hAnsi="Times New Roman" w:cs="Times New Roman"/>
                <w:color w:val="auto"/>
                <w:sz w:val="24"/>
                <w:szCs w:val="24"/>
                <w:highlight w:val="none"/>
                <w:lang w:val="en-US" w:eastAsia="zh-CN"/>
              </w:rPr>
              <w:t>为派驻学校提供配置宿管人员，负责</w:t>
            </w:r>
            <w:r>
              <w:rPr>
                <w:rFonts w:hint="default" w:ascii="Times New Roman" w:hAnsi="Times New Roman" w:cs="Times New Roman"/>
                <w:color w:val="auto"/>
                <w:sz w:val="24"/>
                <w:highlight w:val="none"/>
              </w:rPr>
              <w:t>学生宿舍管理服务</w:t>
            </w:r>
            <w:r>
              <w:rPr>
                <w:rFonts w:hint="default" w:ascii="Times New Roman" w:hAnsi="Times New Roman" w:cs="Times New Roman"/>
                <w:color w:val="auto"/>
                <w:sz w:val="24"/>
                <w:szCs w:val="24"/>
                <w:highlight w:val="none"/>
                <w:lang w:val="en-US" w:eastAsia="zh-CN"/>
              </w:rPr>
              <w:t>。</w:t>
            </w:r>
          </w:p>
          <w:p w14:paraId="7637426E">
            <w:pPr>
              <w:keepNext w:val="0"/>
              <w:keepLines w:val="0"/>
              <w:pageBreakBefore w:val="0"/>
              <w:widowControl w:val="0"/>
              <w:kinsoku/>
              <w:wordWrap w:val="0"/>
              <w:overflowPunct/>
              <w:topLinePunct w:val="0"/>
              <w:autoSpaceDE/>
              <w:autoSpaceDN/>
              <w:bidi w:val="0"/>
              <w:adjustRightInd w:val="0"/>
              <w:snapToGrid/>
              <w:spacing w:line="420" w:lineRule="exact"/>
              <w:ind w:left="210" w:hanging="241" w:hangingChars="100"/>
              <w:jc w:val="left"/>
              <w:textAlignment w:val="auto"/>
              <w:rPr>
                <w:rFonts w:hint="default" w:ascii="Times New Roman" w:hAnsi="Times New Roman" w:cs="Times New Roman"/>
                <w:b/>
                <w:bCs/>
                <w:color w:val="auto"/>
                <w:sz w:val="24"/>
                <w:szCs w:val="24"/>
                <w:highlight w:val="none"/>
                <w:lang w:val="en-US" w:eastAsia="zh-CN"/>
              </w:rPr>
            </w:pPr>
            <w:r>
              <w:rPr>
                <w:rFonts w:hint="default" w:ascii="Times New Roman" w:hAnsi="Times New Roman" w:cs="Times New Roman"/>
                <w:b/>
                <w:bCs/>
                <w:color w:val="auto"/>
                <w:sz w:val="24"/>
                <w:szCs w:val="24"/>
                <w:highlight w:val="none"/>
                <w:lang w:val="en-US" w:eastAsia="zh-CN"/>
              </w:rPr>
              <w:t>二、服务内容</w:t>
            </w:r>
          </w:p>
          <w:p w14:paraId="4FAD57B1">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sz w:val="24"/>
                <w:highlight w:val="none"/>
              </w:rPr>
              <w:t>学生宿舍管理服务</w:t>
            </w:r>
            <w:r>
              <w:rPr>
                <w:rFonts w:hint="default" w:ascii="Times New Roman" w:hAnsi="Times New Roman" w:eastAsia="仿宋_GB2312" w:cs="Times New Roman"/>
                <w:color w:val="auto"/>
                <w:kern w:val="2"/>
                <w:sz w:val="24"/>
                <w:szCs w:val="24"/>
                <w:highlight w:val="none"/>
                <w:lang w:val="en-US" w:eastAsia="zh-CN" w:bidi="ar-SA"/>
              </w:rPr>
              <w:t>。</w:t>
            </w:r>
          </w:p>
          <w:p w14:paraId="2897F750">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textAlignment w:val="auto"/>
              <w:rPr>
                <w:rFonts w:hint="default" w:ascii="Times New Roman" w:hAnsi="Times New Roman" w:eastAsia="仿宋_GB2312" w:cs="Times New Roman"/>
                <w:b/>
                <w:bCs/>
                <w:color w:val="auto"/>
                <w:kern w:val="2"/>
                <w:sz w:val="24"/>
                <w:szCs w:val="24"/>
                <w:highlight w:val="none"/>
                <w:lang w:val="en-US" w:eastAsia="zh-CN" w:bidi="ar-SA"/>
              </w:rPr>
            </w:pPr>
            <w:r>
              <w:rPr>
                <w:rFonts w:hint="default" w:ascii="Times New Roman" w:hAnsi="Times New Roman" w:cs="Times New Roman"/>
                <w:b/>
                <w:bCs/>
                <w:color w:val="auto"/>
                <w:kern w:val="2"/>
                <w:sz w:val="24"/>
                <w:szCs w:val="24"/>
                <w:highlight w:val="none"/>
                <w:lang w:val="en-US" w:eastAsia="zh-CN" w:bidi="ar-SA"/>
              </w:rPr>
              <w:t>三、</w:t>
            </w:r>
            <w:r>
              <w:rPr>
                <w:rFonts w:hint="default" w:ascii="Times New Roman" w:hAnsi="Times New Roman" w:eastAsia="仿宋_GB2312" w:cs="Times New Roman"/>
                <w:b/>
                <w:bCs/>
                <w:color w:val="auto"/>
                <w:kern w:val="2"/>
                <w:sz w:val="24"/>
                <w:szCs w:val="24"/>
                <w:highlight w:val="none"/>
                <w:lang w:val="en-US" w:eastAsia="zh-CN" w:bidi="ar-SA"/>
              </w:rPr>
              <w:t>服务要求</w:t>
            </w:r>
          </w:p>
          <w:p w14:paraId="3AC715D6">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eastAsia="仿宋_GB2312"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1. 服务用工人数32人，详见管理服务人员配备一览表。</w:t>
            </w:r>
          </w:p>
          <w:p w14:paraId="273A7BF3">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kern w:val="2"/>
                <w:sz w:val="24"/>
                <w:szCs w:val="24"/>
                <w:highlight w:val="none"/>
                <w:lang w:val="en-US" w:eastAsia="zh-CN" w:bidi="ar-SA"/>
              </w:rPr>
            </w:pPr>
            <w:r>
              <w:rPr>
                <w:rFonts w:hint="default" w:ascii="Times New Roman" w:hAnsi="Times New Roman" w:cs="Times New Roman"/>
                <w:color w:val="auto"/>
                <w:kern w:val="2"/>
                <w:sz w:val="24"/>
                <w:szCs w:val="24"/>
                <w:highlight w:val="none"/>
                <w:lang w:val="en-US" w:eastAsia="zh-CN" w:bidi="ar-SA"/>
              </w:rPr>
              <w:t>北海中职校宿舍管理服务人员配备表</w:t>
            </w:r>
          </w:p>
          <w:tbl>
            <w:tblPr>
              <w:tblStyle w:val="64"/>
              <w:tblW w:w="61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8"/>
              <w:gridCol w:w="1183"/>
              <w:gridCol w:w="867"/>
              <w:gridCol w:w="3350"/>
            </w:tblGrid>
            <w:tr w14:paraId="68135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18" w:type="dxa"/>
                  <w:gridSpan w:val="4"/>
                  <w:vAlign w:val="center"/>
                </w:tcPr>
                <w:p w14:paraId="6CE8E5AD">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2026年-2028年（20个月正常班）</w:t>
                  </w:r>
                </w:p>
              </w:tc>
            </w:tr>
            <w:tr w14:paraId="2A6A1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shd w:val="clear" w:color="auto" w:fill="auto"/>
                  <w:vAlign w:val="center"/>
                </w:tcPr>
                <w:p w14:paraId="7218C1E7">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eastAsia="仿宋_GB2312"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序号</w:t>
                  </w:r>
                </w:p>
              </w:tc>
              <w:tc>
                <w:tcPr>
                  <w:tcW w:w="1183" w:type="dxa"/>
                  <w:shd w:val="clear" w:color="auto" w:fill="auto"/>
                  <w:vAlign w:val="center"/>
                </w:tcPr>
                <w:p w14:paraId="52BEE66C">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eastAsia="仿宋_GB2312"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岗位</w:t>
                  </w:r>
                </w:p>
              </w:tc>
              <w:tc>
                <w:tcPr>
                  <w:tcW w:w="867" w:type="dxa"/>
                  <w:shd w:val="clear" w:color="auto" w:fill="auto"/>
                  <w:vAlign w:val="center"/>
                </w:tcPr>
                <w:p w14:paraId="52351E1F">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eastAsia="仿宋_GB2312"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人数</w:t>
                  </w:r>
                </w:p>
              </w:tc>
              <w:tc>
                <w:tcPr>
                  <w:tcW w:w="3350" w:type="dxa"/>
                  <w:shd w:val="clear" w:color="auto" w:fill="auto"/>
                  <w:vAlign w:val="center"/>
                </w:tcPr>
                <w:p w14:paraId="4DA57960">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eastAsia="仿宋_GB2312"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岗位设置明细</w:t>
                  </w:r>
                </w:p>
              </w:tc>
            </w:tr>
            <w:tr w14:paraId="1BB518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vAlign w:val="center"/>
                </w:tcPr>
                <w:p w14:paraId="3FFD4218">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w:t>
                  </w:r>
                </w:p>
              </w:tc>
              <w:tc>
                <w:tcPr>
                  <w:tcW w:w="1183" w:type="dxa"/>
                  <w:vAlign w:val="center"/>
                </w:tcPr>
                <w:p w14:paraId="222092F8">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4"/>
                      <w:highlight w:val="none"/>
                      <w:lang w:eastAsia="zh-CN"/>
                    </w:rPr>
                    <w:t>宿管主管</w:t>
                  </w:r>
                </w:p>
              </w:tc>
              <w:tc>
                <w:tcPr>
                  <w:tcW w:w="867" w:type="dxa"/>
                  <w:vAlign w:val="center"/>
                </w:tcPr>
                <w:p w14:paraId="486E6D5C">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w:t>
                  </w:r>
                </w:p>
              </w:tc>
              <w:tc>
                <w:tcPr>
                  <w:tcW w:w="3350" w:type="dxa"/>
                  <w:vAlign w:val="center"/>
                </w:tcPr>
                <w:p w14:paraId="25713B0D">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负责宿舍管理的全面工作。</w:t>
                  </w:r>
                </w:p>
              </w:tc>
            </w:tr>
            <w:tr w14:paraId="28A639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vAlign w:val="center"/>
                </w:tcPr>
                <w:p w14:paraId="08967173">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w:t>
                  </w:r>
                </w:p>
              </w:tc>
              <w:tc>
                <w:tcPr>
                  <w:tcW w:w="1183" w:type="dxa"/>
                  <w:vAlign w:val="center"/>
                </w:tcPr>
                <w:p w14:paraId="6977F756">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4"/>
                      <w:highlight w:val="none"/>
                    </w:rPr>
                    <w:t>宿管老师</w:t>
                  </w:r>
                </w:p>
              </w:tc>
              <w:tc>
                <w:tcPr>
                  <w:tcW w:w="867" w:type="dxa"/>
                  <w:vAlign w:val="center"/>
                </w:tcPr>
                <w:p w14:paraId="170CDB42">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31</w:t>
                  </w:r>
                </w:p>
              </w:tc>
              <w:tc>
                <w:tcPr>
                  <w:tcW w:w="3350" w:type="dxa"/>
                  <w:vAlign w:val="center"/>
                </w:tcPr>
                <w:p w14:paraId="229A3687">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left"/>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负责9栋宿舍楼的管理工作。</w:t>
                  </w:r>
                </w:p>
              </w:tc>
            </w:tr>
            <w:tr w14:paraId="69B5A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1" w:type="dxa"/>
                  <w:gridSpan w:val="2"/>
                  <w:vAlign w:val="center"/>
                </w:tcPr>
                <w:p w14:paraId="38744A2F">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合计</w:t>
                  </w:r>
                </w:p>
              </w:tc>
              <w:tc>
                <w:tcPr>
                  <w:tcW w:w="867" w:type="dxa"/>
                  <w:vAlign w:val="center"/>
                </w:tcPr>
                <w:p w14:paraId="7946B869">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32</w:t>
                  </w:r>
                </w:p>
              </w:tc>
              <w:tc>
                <w:tcPr>
                  <w:tcW w:w="3350" w:type="dxa"/>
                  <w:vAlign w:val="center"/>
                </w:tcPr>
                <w:p w14:paraId="22A9CEEA">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p>
              </w:tc>
            </w:tr>
            <w:tr w14:paraId="00B96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118" w:type="dxa"/>
                  <w:gridSpan w:val="4"/>
                  <w:vAlign w:val="center"/>
                </w:tcPr>
                <w:p w14:paraId="5C28575F">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b/>
                      <w:bCs/>
                      <w:color w:val="auto"/>
                      <w:sz w:val="21"/>
                      <w:szCs w:val="21"/>
                      <w:highlight w:val="none"/>
                      <w:vertAlign w:val="baseline"/>
                      <w:lang w:val="en-US" w:eastAsia="zh-CN"/>
                    </w:rPr>
                    <w:t>2026年-2028年（4个月假期班）</w:t>
                  </w:r>
                </w:p>
              </w:tc>
            </w:tr>
            <w:tr w14:paraId="0BE2E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shd w:val="clear" w:color="auto" w:fill="auto"/>
                  <w:vAlign w:val="center"/>
                </w:tcPr>
                <w:p w14:paraId="70B184F5">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eastAsia="仿宋_GB2312"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序号</w:t>
                  </w:r>
                </w:p>
              </w:tc>
              <w:tc>
                <w:tcPr>
                  <w:tcW w:w="1183" w:type="dxa"/>
                  <w:shd w:val="clear" w:color="auto" w:fill="auto"/>
                  <w:vAlign w:val="center"/>
                </w:tcPr>
                <w:p w14:paraId="29509BC3">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eastAsia="仿宋_GB2312"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岗位</w:t>
                  </w:r>
                </w:p>
              </w:tc>
              <w:tc>
                <w:tcPr>
                  <w:tcW w:w="867" w:type="dxa"/>
                  <w:shd w:val="clear" w:color="auto" w:fill="auto"/>
                  <w:vAlign w:val="center"/>
                </w:tcPr>
                <w:p w14:paraId="051F9AA4">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eastAsia="仿宋_GB2312"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人数</w:t>
                  </w:r>
                </w:p>
              </w:tc>
              <w:tc>
                <w:tcPr>
                  <w:tcW w:w="3350" w:type="dxa"/>
                  <w:shd w:val="clear" w:color="auto" w:fill="auto"/>
                  <w:vAlign w:val="center"/>
                </w:tcPr>
                <w:p w14:paraId="5A530E8D">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eastAsia="仿宋_GB2312"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岗位设置明细</w:t>
                  </w:r>
                </w:p>
              </w:tc>
            </w:tr>
            <w:tr w14:paraId="6487D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vAlign w:val="center"/>
                </w:tcPr>
                <w:p w14:paraId="18B302B2">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w:t>
                  </w:r>
                </w:p>
              </w:tc>
              <w:tc>
                <w:tcPr>
                  <w:tcW w:w="1183" w:type="dxa"/>
                  <w:vAlign w:val="center"/>
                </w:tcPr>
                <w:p w14:paraId="7A17CB24">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lang w:eastAsia="zh-CN"/>
                    </w:rPr>
                    <w:t>宿管主管</w:t>
                  </w:r>
                </w:p>
              </w:tc>
              <w:tc>
                <w:tcPr>
                  <w:tcW w:w="867" w:type="dxa"/>
                  <w:vAlign w:val="center"/>
                </w:tcPr>
                <w:p w14:paraId="2367F0DE">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w:t>
                  </w:r>
                </w:p>
              </w:tc>
              <w:tc>
                <w:tcPr>
                  <w:tcW w:w="3350" w:type="dxa"/>
                  <w:vAlign w:val="center"/>
                </w:tcPr>
                <w:p w14:paraId="52217DCC">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both"/>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负责宿舍管理的全面工作。</w:t>
                  </w:r>
                </w:p>
              </w:tc>
            </w:tr>
            <w:tr w14:paraId="1993E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8" w:type="dxa"/>
                  <w:vAlign w:val="center"/>
                </w:tcPr>
                <w:p w14:paraId="0847D7D1">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w:t>
                  </w:r>
                </w:p>
              </w:tc>
              <w:tc>
                <w:tcPr>
                  <w:tcW w:w="1183" w:type="dxa"/>
                  <w:vAlign w:val="center"/>
                </w:tcPr>
                <w:p w14:paraId="6D5B354E">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4"/>
                      <w:highlight w:val="none"/>
                    </w:rPr>
                  </w:pPr>
                  <w:r>
                    <w:rPr>
                      <w:rFonts w:hint="default" w:ascii="Times New Roman" w:hAnsi="Times New Roman" w:cs="Times New Roman"/>
                      <w:color w:val="auto"/>
                      <w:sz w:val="24"/>
                      <w:highlight w:val="none"/>
                    </w:rPr>
                    <w:t>宿管老师</w:t>
                  </w:r>
                </w:p>
              </w:tc>
              <w:tc>
                <w:tcPr>
                  <w:tcW w:w="867" w:type="dxa"/>
                  <w:vAlign w:val="center"/>
                </w:tcPr>
                <w:p w14:paraId="17E49EB0">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3</w:t>
                  </w:r>
                </w:p>
              </w:tc>
              <w:tc>
                <w:tcPr>
                  <w:tcW w:w="3350" w:type="dxa"/>
                  <w:vAlign w:val="center"/>
                </w:tcPr>
                <w:p w14:paraId="4D7361C5">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left"/>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负责9栋宿舍楼的管理工作。</w:t>
                  </w:r>
                </w:p>
              </w:tc>
            </w:tr>
            <w:tr w14:paraId="582F7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01" w:type="dxa"/>
                  <w:gridSpan w:val="2"/>
                  <w:vAlign w:val="center"/>
                </w:tcPr>
                <w:p w14:paraId="1430F7D0">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4"/>
                      <w:highlight w:val="none"/>
                      <w:lang w:eastAsia="zh-CN"/>
                    </w:rPr>
                    <w:t>合计</w:t>
                  </w:r>
                </w:p>
              </w:tc>
              <w:tc>
                <w:tcPr>
                  <w:tcW w:w="867" w:type="dxa"/>
                  <w:vAlign w:val="center"/>
                </w:tcPr>
                <w:p w14:paraId="5426B340">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4</w:t>
                  </w:r>
                </w:p>
              </w:tc>
              <w:tc>
                <w:tcPr>
                  <w:tcW w:w="3350" w:type="dxa"/>
                  <w:vAlign w:val="center"/>
                </w:tcPr>
                <w:p w14:paraId="65F02AFC">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left"/>
                    <w:textAlignment w:val="auto"/>
                    <w:rPr>
                      <w:rFonts w:hint="default" w:ascii="Times New Roman" w:hAnsi="Times New Roman" w:cs="Times New Roman"/>
                      <w:color w:val="auto"/>
                      <w:sz w:val="21"/>
                      <w:szCs w:val="21"/>
                      <w:highlight w:val="none"/>
                      <w:vertAlign w:val="baseline"/>
                      <w:lang w:val="en-US" w:eastAsia="zh-CN"/>
                    </w:rPr>
                  </w:pPr>
                </w:p>
              </w:tc>
            </w:tr>
          </w:tbl>
          <w:p w14:paraId="72D73A3E">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2. 有宿舍管理方案，质量管理、档案管理等制度健全。</w:t>
            </w:r>
          </w:p>
          <w:p w14:paraId="164B55D1">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3. 管理服务人员统一着装，行为规范，服务主动热情。</w:t>
            </w:r>
          </w:p>
          <w:p w14:paraId="054556E4">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4. 每月接受业主单位质量考核，未达标准从合同价中扣除。满意率至少在75％以上，连续两个月达不到，学校可提终止合同。</w:t>
            </w:r>
          </w:p>
          <w:p w14:paraId="515C61FB">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5. 上岗人员在工作期间发生员工工伤及意外伤害事故，由管理服务公司负责，涉及用工方面的劳务纠纷和劳动事故全部由管理服务公司承担责任。</w:t>
            </w:r>
          </w:p>
          <w:p w14:paraId="3D67AE20">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b/>
                <w:bCs/>
                <w:color w:val="auto"/>
                <w:sz w:val="24"/>
                <w:highlight w:val="none"/>
                <w:lang w:val="en-US" w:eastAsia="zh-CN"/>
              </w:rPr>
              <w:t>四、学生宿舍管理服务范围及岗位职责要求</w:t>
            </w:r>
          </w:p>
          <w:p w14:paraId="71906908">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1. 负责学生在校期间的学生宿舍楼24小时值班管理；</w:t>
            </w:r>
          </w:p>
          <w:p w14:paraId="4937DB3F">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2. 熟悉学校关于学生宿舍管理的有关规章制度，禁止男女学生互串宿舍，并严禁闲杂人员进入宿舍；</w:t>
            </w:r>
          </w:p>
          <w:p w14:paraId="7741AADA">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3. 掌握住宿学生相关信息，执行巡视排查制度，晚上熄灯前对学生进行点名登记，对夜不归宿的学生，及时通知家长或班主任，并上报学校宿管部门备案，协助教育好学生。</w:t>
            </w:r>
          </w:p>
          <w:p w14:paraId="1241CE03">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4. 坚持每天对宿舍楼公物、门窗玻璃、消防器材等设施设备、学生反映的维修项目和安全隐患情况及时掌握，分清责任，如实上报且做好记录。熟悉消防器材的使用与保养，熟知消防通道钥匙的放置位置，遇到特殊紧急情况能及时打开消防通道，组织学生疏散撤离。</w:t>
            </w:r>
          </w:p>
          <w:p w14:paraId="0CA2D5AE">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5. 学生上课后检查学生宿舍安全和卫生；保持宿舍楼道、走廊清洁卫生，墙壁无浮灰、蜘蛛网、无明显污迹，保持宿舍内垃圾桶/箱外表干净；</w:t>
            </w:r>
          </w:p>
          <w:p w14:paraId="102E0005">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6. 指导学生做好内务整理工作，监督检查寝室纪律，并把每天检查的结果报学校宿管部。按照学校的宿舍卫生评比标准，进行内务卫生及纪律检查评分，并及时公布，改善学生不好的生活习惯，培养学生的文明行为习惯。</w:t>
            </w:r>
          </w:p>
          <w:p w14:paraId="6F8D80E4">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7. 协助学校办理住宿学生的入住手续，告知学生学校关于住宿管理的有关规章制度。</w:t>
            </w:r>
          </w:p>
          <w:p w14:paraId="27EBD780">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textAlignment w:val="auto"/>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五、物业管理人员行为规范要求</w:t>
            </w:r>
          </w:p>
          <w:p w14:paraId="722CD35B">
            <w:pPr>
              <w:keepNext w:val="0"/>
              <w:keepLines w:val="0"/>
              <w:pageBreakBefore w:val="0"/>
              <w:widowControl/>
              <w:kinsoku/>
              <w:wordWrap/>
              <w:overflowPunct/>
              <w:topLinePunct w:val="0"/>
              <w:autoSpaceDE/>
              <w:autoSpaceDN/>
              <w:bidi w:val="0"/>
              <w:adjustRightInd/>
              <w:snapToGrid/>
              <w:spacing w:line="420" w:lineRule="exact"/>
              <w:ind w:firstLine="482" w:firstLineChars="200"/>
              <w:textAlignment w:val="auto"/>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 xml:space="preserve">（一）职业道德要求 </w:t>
            </w:r>
          </w:p>
          <w:p w14:paraId="71237E2A">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1. 敬业爱岗：勤奋敬业，积极肯干，热爱本职岗位，乐于为本职工作奉献。</w:t>
            </w:r>
          </w:p>
          <w:p w14:paraId="6CAFFF7C">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2. 遵守纪律：认真遵守国家政策、法规、法令，遵守公司规章制度和劳动纪律。</w:t>
            </w:r>
          </w:p>
          <w:p w14:paraId="7BBFA0D5">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3. 认真学习：努力学习科学文化知识，不断提高业务技术水平，努力提高服务质量。</w:t>
            </w:r>
          </w:p>
          <w:p w14:paraId="463A5CB3">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4. 公私分明：爱护公物，不谋私利，自觉地维护公司的利益和声誉。</w:t>
            </w:r>
          </w:p>
          <w:p w14:paraId="5E2F9C06">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5. 勤俭节约：具有良好的节约意识，勤俭办公，节约能源。</w:t>
            </w:r>
          </w:p>
          <w:p w14:paraId="078A9501">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6. 团结合作：严于律己，宽以待人，正确处理好个人与集体、同事的工作关系，具有良好的协作精神，易与他人相处。</w:t>
            </w:r>
          </w:p>
          <w:p w14:paraId="0AE8134E">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7. 严守秘密：未经批准，不向外界传播或提供有关学校的任何资料。</w:t>
            </w:r>
          </w:p>
          <w:p w14:paraId="60FC1278">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8. 管理人员必须无犯罪违法记录。</w:t>
            </w:r>
          </w:p>
          <w:p w14:paraId="0C771FD8">
            <w:pPr>
              <w:keepNext w:val="0"/>
              <w:keepLines w:val="0"/>
              <w:pageBreakBefore w:val="0"/>
              <w:widowControl/>
              <w:kinsoku/>
              <w:wordWrap/>
              <w:overflowPunct/>
              <w:topLinePunct w:val="0"/>
              <w:autoSpaceDE/>
              <w:autoSpaceDN/>
              <w:bidi w:val="0"/>
              <w:adjustRightInd/>
              <w:snapToGrid/>
              <w:spacing w:line="420" w:lineRule="exact"/>
              <w:ind w:firstLine="482" w:firstLineChars="200"/>
              <w:textAlignment w:val="auto"/>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 xml:space="preserve">（二）服务意识要求  </w:t>
            </w:r>
          </w:p>
          <w:p w14:paraId="76C4A31E">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1. 文明礼貌：做到语言规范，谈吐文雅，衣冠整洁，举止端庄。</w:t>
            </w:r>
          </w:p>
          <w:p w14:paraId="716139DE">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2. 主动热情：以真诚的笑容，主动热情地为师生服务，主动了解师生的需要，努力为师生排忧解难。</w:t>
            </w:r>
          </w:p>
          <w:p w14:paraId="3AB28E91">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3. 耐心周到：员工在对师生的服务中要耐心周到，问多不厌，事多不烦，虚心听取师生意见，耐心解答师生问题，服务体贴入微，有求必应，面面俱到，尽善尽美。</w:t>
            </w:r>
          </w:p>
          <w:p w14:paraId="78F67007">
            <w:pPr>
              <w:keepNext w:val="0"/>
              <w:keepLines w:val="0"/>
              <w:pageBreakBefore w:val="0"/>
              <w:widowControl/>
              <w:kinsoku/>
              <w:wordWrap/>
              <w:overflowPunct/>
              <w:topLinePunct w:val="0"/>
              <w:autoSpaceDE/>
              <w:autoSpaceDN/>
              <w:bidi w:val="0"/>
              <w:adjustRightInd/>
              <w:snapToGrid/>
              <w:spacing w:line="420" w:lineRule="exact"/>
              <w:ind w:firstLine="482" w:firstLineChars="200"/>
              <w:textAlignment w:val="auto"/>
              <w:rPr>
                <w:rFonts w:hint="default" w:ascii="Times New Roman" w:hAnsi="Times New Roman" w:cs="Times New Roman"/>
                <w:b/>
                <w:bCs/>
                <w:color w:val="auto"/>
                <w:sz w:val="24"/>
                <w:highlight w:val="none"/>
                <w:lang w:val="en-US" w:eastAsia="zh-CN"/>
              </w:rPr>
            </w:pPr>
            <w:r>
              <w:rPr>
                <w:rFonts w:hint="default" w:ascii="Times New Roman" w:hAnsi="Times New Roman" w:cs="Times New Roman"/>
                <w:b/>
                <w:bCs/>
                <w:color w:val="auto"/>
                <w:sz w:val="24"/>
                <w:highlight w:val="none"/>
                <w:lang w:val="en-US" w:eastAsia="zh-CN"/>
              </w:rPr>
              <w:t xml:space="preserve">（三）仪容仪表要求 </w:t>
            </w:r>
          </w:p>
          <w:p w14:paraId="26EC65EB">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 xml:space="preserve">1. 保持衣冠整洁，按规定要求着装，将工作卡端正地佩戴在左胸前。 </w:t>
            </w:r>
          </w:p>
          <w:p w14:paraId="50892580">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2. 工作场所不得穿短裤、背心、拖鞋。</w:t>
            </w:r>
          </w:p>
          <w:p w14:paraId="11A89C8F">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4"/>
                <w:highlight w:val="none"/>
                <w:lang w:val="en-US" w:eastAsia="zh-CN"/>
              </w:rPr>
              <w:t>3. 男员工头发不盖耳朵、不遮衣领，每天剃须，保持指甲清洁，不留长指甲，扣好衣扣裤扣，紧束领带（大箭头垂到皮带扣处为准），衬衣下摆放进裤内。</w:t>
            </w:r>
          </w:p>
          <w:p w14:paraId="369321B6">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kern w:val="2"/>
                <w:sz w:val="24"/>
                <w:szCs w:val="24"/>
                <w:highlight w:val="none"/>
                <w:lang w:val="en-US" w:eastAsia="zh-CN" w:bidi="ar-SA"/>
              </w:rPr>
            </w:pPr>
            <w:r>
              <w:rPr>
                <w:rFonts w:hint="default" w:ascii="Times New Roman" w:hAnsi="Times New Roman" w:cs="Times New Roman"/>
                <w:color w:val="auto"/>
                <w:sz w:val="24"/>
                <w:highlight w:val="none"/>
                <w:lang w:val="en-US" w:eastAsia="zh-CN"/>
              </w:rPr>
              <w:t>4. 女员工头发不过肩，不做怪异发型，不留长指甲，不染指甲，不浓妆艳抹，不穿黑色或带花丝袜。</w:t>
            </w:r>
          </w:p>
        </w:tc>
      </w:tr>
      <w:tr w14:paraId="37D3D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9910" w:type="dxa"/>
            <w:gridSpan w:val="2"/>
            <w:shd w:val="clear" w:color="auto" w:fill="auto"/>
            <w:vAlign w:val="center"/>
          </w:tcPr>
          <w:p w14:paraId="575E6102">
            <w:pPr>
              <w:keepNext w:val="0"/>
              <w:keepLines w:val="0"/>
              <w:pageBreakBefore w:val="0"/>
              <w:kinsoku/>
              <w:overflowPunct/>
              <w:topLinePunct w:val="0"/>
              <w:bidi w:val="0"/>
              <w:snapToGrid/>
              <w:spacing w:line="420" w:lineRule="exact"/>
              <w:ind w:firstLine="643"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cs="宋体"/>
                <w:b/>
                <w:bCs/>
                <w:color w:val="auto"/>
                <w:sz w:val="32"/>
                <w:szCs w:val="32"/>
                <w:highlight w:val="none"/>
              </w:rPr>
              <w:t>★</w:t>
            </w:r>
            <w:r>
              <w:rPr>
                <w:rFonts w:hint="eastAsia" w:ascii="宋体" w:hAnsi="宋体" w:cs="宋体"/>
                <w:b/>
                <w:bCs/>
                <w:color w:val="auto"/>
                <w:sz w:val="32"/>
                <w:szCs w:val="32"/>
                <w:highlight w:val="none"/>
                <w:lang w:val="en-US" w:eastAsia="zh-CN"/>
              </w:rPr>
              <w:t xml:space="preserve"> </w:t>
            </w:r>
            <w:r>
              <w:rPr>
                <w:rFonts w:hint="eastAsia" w:ascii="宋体" w:hAnsi="宋体" w:cs="宋体"/>
                <w:b/>
                <w:color w:val="auto"/>
                <w:sz w:val="32"/>
                <w:szCs w:val="32"/>
                <w:highlight w:val="none"/>
              </w:rPr>
              <w:t>商务要求</w:t>
            </w:r>
          </w:p>
        </w:tc>
      </w:tr>
      <w:tr w14:paraId="3FE95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380" w:type="dxa"/>
            <w:shd w:val="clear" w:color="auto" w:fill="auto"/>
            <w:vAlign w:val="center"/>
          </w:tcPr>
          <w:p w14:paraId="295BFD2D">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投标报价要求</w:t>
            </w:r>
          </w:p>
        </w:tc>
        <w:tc>
          <w:tcPr>
            <w:tcW w:w="8530" w:type="dxa"/>
            <w:shd w:val="clear" w:color="auto" w:fill="auto"/>
            <w:vAlign w:val="center"/>
          </w:tcPr>
          <w:p w14:paraId="239DD453">
            <w:pPr>
              <w:keepNext w:val="0"/>
              <w:keepLines w:val="0"/>
              <w:pageBreakBefore w:val="0"/>
              <w:widowControl/>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1.投标报价包含人员工资、培训、服装、奖金、五险、其他必要的保险等营业成本以及利润、物业管理服务中所发生的各项税收等费用。</w:t>
            </w:r>
          </w:p>
          <w:p w14:paraId="284EE20B">
            <w:pPr>
              <w:keepNext w:val="0"/>
              <w:keepLines w:val="0"/>
              <w:pageBreakBefore w:val="0"/>
              <w:widowControl/>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2.供应商报价须列明各服务单位（各学校）的投入服务人数及报价。各学校的报价不得超过该服务单位的投标最高限价</w:t>
            </w:r>
            <w:r>
              <w:rPr>
                <w:rFonts w:hint="eastAsia" w:ascii="宋体" w:hAnsi="宋体" w:cs="宋体"/>
                <w:color w:val="auto"/>
                <w:sz w:val="24"/>
                <w:szCs w:val="24"/>
                <w:highlight w:val="none"/>
                <w:lang w:val="en-US" w:eastAsia="zh-CN"/>
              </w:rPr>
              <w:t>，否则投标无效</w:t>
            </w:r>
            <w:r>
              <w:rPr>
                <w:rFonts w:hint="eastAsia" w:ascii="宋体" w:hAnsi="宋体" w:eastAsia="宋体" w:cs="宋体"/>
                <w:color w:val="auto"/>
                <w:sz w:val="24"/>
                <w:szCs w:val="24"/>
                <w:highlight w:val="none"/>
                <w:lang w:val="en-US" w:eastAsia="zh-CN"/>
              </w:rPr>
              <w:t>。</w:t>
            </w:r>
          </w:p>
        </w:tc>
      </w:tr>
      <w:tr w14:paraId="26289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380" w:type="dxa"/>
            <w:shd w:val="clear" w:color="auto" w:fill="auto"/>
            <w:vAlign w:val="center"/>
          </w:tcPr>
          <w:p w14:paraId="238F9303">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合同签订</w:t>
            </w:r>
          </w:p>
        </w:tc>
        <w:tc>
          <w:tcPr>
            <w:tcW w:w="8530" w:type="dxa"/>
            <w:shd w:val="clear" w:color="auto" w:fill="auto"/>
            <w:vAlign w:val="center"/>
          </w:tcPr>
          <w:p w14:paraId="56C27623">
            <w:pPr>
              <w:keepNext w:val="0"/>
              <w:keepLines w:val="0"/>
              <w:pageBreakBefore w:val="0"/>
              <w:widowControl/>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按照政府采购有关规定，由市教育局、服务单位与</w:t>
            </w:r>
            <w:r>
              <w:rPr>
                <w:rFonts w:hint="eastAsia" w:ascii="宋体" w:hAnsi="宋体" w:cs="宋体"/>
                <w:color w:val="auto"/>
                <w:sz w:val="24"/>
                <w:szCs w:val="24"/>
                <w:highlight w:val="none"/>
                <w:lang w:val="en-US" w:eastAsia="zh-CN"/>
              </w:rPr>
              <w:t>中标</w:t>
            </w:r>
            <w:r>
              <w:rPr>
                <w:rFonts w:hint="eastAsia" w:ascii="宋体" w:hAnsi="宋体" w:eastAsia="宋体" w:cs="宋体"/>
                <w:color w:val="auto"/>
                <w:sz w:val="24"/>
                <w:szCs w:val="24"/>
                <w:highlight w:val="none"/>
                <w:lang w:val="en-US" w:eastAsia="zh-CN"/>
              </w:rPr>
              <w:t>供应商公司三方签订合同，在合同中明确各自的权利、义务及责任，切实履行协议内容。中标人须接受采购人和服务单位（各学校）的共同管理。</w:t>
            </w:r>
          </w:p>
        </w:tc>
      </w:tr>
      <w:tr w14:paraId="7151A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380" w:type="dxa"/>
            <w:shd w:val="clear" w:color="auto" w:fill="auto"/>
            <w:vAlign w:val="center"/>
          </w:tcPr>
          <w:p w14:paraId="08D565DD">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服务期限及地点</w:t>
            </w:r>
          </w:p>
        </w:tc>
        <w:tc>
          <w:tcPr>
            <w:tcW w:w="8530" w:type="dxa"/>
            <w:shd w:val="clear" w:color="auto" w:fill="auto"/>
            <w:vAlign w:val="center"/>
          </w:tcPr>
          <w:p w14:paraId="13D3156A">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1.服务的时间：自签订合同完成并开始履行之日起2年（其中北海市中等职业技术学校的服务时间为2026年7月1日-2028年6月30日））。 </w:t>
            </w:r>
          </w:p>
          <w:p w14:paraId="4D6D2972">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2.服务的地点：北海市第六幼儿园、北海市第二中学、北海市第六中学、北海市第十一中学、北海市中等职业技术学校。</w:t>
            </w:r>
          </w:p>
        </w:tc>
      </w:tr>
      <w:tr w14:paraId="69F29C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380" w:type="dxa"/>
            <w:shd w:val="clear" w:color="auto" w:fill="auto"/>
            <w:vAlign w:val="center"/>
          </w:tcPr>
          <w:p w14:paraId="7570C935">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服务要求</w:t>
            </w:r>
          </w:p>
        </w:tc>
        <w:tc>
          <w:tcPr>
            <w:tcW w:w="8530" w:type="dxa"/>
            <w:shd w:val="clear" w:color="auto" w:fill="auto"/>
            <w:vAlign w:val="center"/>
          </w:tcPr>
          <w:p w14:paraId="6D23BEE0">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中标人按照所服务单位划定的工作范围、工作内容及管理目标成立相关机构，制定相应工作流程、工作制度、监督考核办法，合理安排人员，科学管理，严格要求，达标运行。接受市教育局、所服务单位及相关职能部门的监督、检查、指导，发现问题及时沟通、整改，保证规范运行。</w:t>
            </w:r>
          </w:p>
          <w:p w14:paraId="6DBB2B17">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2.中标人须为聘用员工购买基本社会保险，对员工的疾病和人身安全负责，采购人不承担责任。</w:t>
            </w:r>
          </w:p>
          <w:p w14:paraId="578F5352">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每季度接受所服务单位质量考核（按照招标文件、投标文件及合同条款标准进行考核），未达标准的从当季度应付款中扣除10‰服务费。连续两季度达不到标准且未及时整改的，所服务单位向采购人书面报告，且采购人有权终止合同。</w:t>
            </w:r>
          </w:p>
          <w:p w14:paraId="69735FAA">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4.中标人须确保</w:t>
            </w:r>
            <w:r>
              <w:rPr>
                <w:rFonts w:hint="eastAsia" w:ascii="宋体" w:hAnsi="宋体" w:cs="宋体"/>
                <w:color w:val="auto"/>
                <w:sz w:val="24"/>
                <w:szCs w:val="24"/>
                <w:highlight w:val="none"/>
                <w:lang w:val="en-US" w:eastAsia="zh-CN"/>
              </w:rPr>
              <w:t>服务人员</w:t>
            </w:r>
            <w:r>
              <w:rPr>
                <w:rFonts w:hint="eastAsia" w:ascii="宋体" w:hAnsi="宋体" w:eastAsia="宋体" w:cs="宋体"/>
                <w:color w:val="auto"/>
                <w:sz w:val="24"/>
                <w:szCs w:val="24"/>
                <w:highlight w:val="none"/>
                <w:lang w:val="en-US" w:eastAsia="zh-CN"/>
              </w:rPr>
              <w:t>的工资待遇不低于北海市最低工资加社保</w:t>
            </w:r>
            <w:r>
              <w:rPr>
                <w:rFonts w:hint="eastAsia" w:ascii="宋体" w:hAnsi="宋体" w:cs="宋体"/>
                <w:color w:val="auto"/>
                <w:sz w:val="24"/>
                <w:szCs w:val="24"/>
                <w:highlight w:val="none"/>
                <w:lang w:val="en-US" w:eastAsia="zh-CN"/>
              </w:rPr>
              <w:t>。</w:t>
            </w:r>
          </w:p>
          <w:p w14:paraId="50B29D67">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5.中标人的服务工作人员必须经过上岗前培训，符合国家有关劳动用工的法律法规。上班时必须佩戴工卡、穿统一制服。</w:t>
            </w:r>
          </w:p>
          <w:p w14:paraId="54548C51">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6.管理范围内发生的人身伤害、物品被盗、人为损坏设备设施，属中标人及其工作人员管理不善原因造成的，由中标人负责赔偿。</w:t>
            </w:r>
          </w:p>
          <w:p w14:paraId="3A35770A">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中标人工作人员应固定保持在90%以上，凡更换人员必须向所服务单位申请，经所服务单位和教育局同意后方可更换，并做好交接班工作，若因交接班衔接不好，致使所服务单位工作受到影响者，按考核制度处罚。</w:t>
            </w:r>
          </w:p>
          <w:p w14:paraId="240A52AB">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中标人在提供管理服务时必须做好各项安全防范措施，中标人所有工作人员在合约期间如发生任何人身意外（生病、伤亡事故）、事故、触犯法律法规（包括劳动用工制度、发生劳资纠纷、所服务单位的规章制度等）、或损坏学校的设施和物品，由中标人负责处理并承担经济和责任。</w:t>
            </w:r>
          </w:p>
          <w:p w14:paraId="59DEB3A5">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若中标人违约，未能达到招标文件中约定的管理目标，所服务单位有权要求中标人在规定时间内进行整改；如中标人未能按时整改，所服务单位有权向教育局申请与中标人解除合同，中标人须承担违约责任；造成所服务单位和教育局经济损失的，按造成的实际损失予以赔偿。</w:t>
            </w:r>
          </w:p>
          <w:p w14:paraId="2F6C78C2">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10.若中标人擅自转包、分包，或以任何形式与第三方进行合作的属违约，一经查实，中标人应向所服务单位及教育局承担违约责任，所服务单位和教育局有权解除合同。</w:t>
            </w:r>
          </w:p>
          <w:p w14:paraId="607BED8C">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11.中标人若违背本招标文件中确定的义务，必须承担违约责任。</w:t>
            </w:r>
          </w:p>
          <w:p w14:paraId="4477B3F5">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12.中标人及其工作人员在所服务单位交由中标人管理和服务的工作区域内违法犯罪属实，中标人应赔偿并承担相应的法律责任，并不得再使用有关员工。</w:t>
            </w:r>
          </w:p>
          <w:p w14:paraId="57DEED3E">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13.服务人员要求：</w:t>
            </w:r>
          </w:p>
          <w:p w14:paraId="0C5C89A7">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（1）用工人数不少于各服务单位要求的人数。</w:t>
            </w:r>
          </w:p>
          <w:p w14:paraId="14254F63">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（2）上岗人员必须经过岗前培训。</w:t>
            </w:r>
          </w:p>
          <w:p w14:paraId="4D945C48">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（3）上岗人员的服装及所有的福利由</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承担。</w:t>
            </w:r>
          </w:p>
          <w:p w14:paraId="19F30661">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（4）对于不服从安排的服务人员，</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需向所服务单位及教育局进行书面申请，并在采购人同意后的2个工作日内替换新的服务人员。</w:t>
            </w:r>
          </w:p>
        </w:tc>
      </w:tr>
      <w:tr w14:paraId="319BC2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380" w:type="dxa"/>
            <w:shd w:val="clear" w:color="auto" w:fill="auto"/>
            <w:vAlign w:val="center"/>
          </w:tcPr>
          <w:p w14:paraId="4ACFB630">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考核要求</w:t>
            </w:r>
          </w:p>
        </w:tc>
        <w:tc>
          <w:tcPr>
            <w:tcW w:w="8530" w:type="dxa"/>
            <w:shd w:val="clear" w:color="auto" w:fill="auto"/>
            <w:vAlign w:val="center"/>
          </w:tcPr>
          <w:p w14:paraId="37B79D59">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1.对当班工作人员要严加管理，发生空岗、缺岗、脱岗、睡岗、上岗前喝酒（以人为记录和电子记录为准）等行为的，每次处罚100元，严重行为即时更换并处理。</w:t>
            </w:r>
          </w:p>
          <w:p w14:paraId="1276DDD7">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2.发生不法分子对所服务单位的干扰，特别是暴恐和盗窃事件不及时妥善处理（阻止、制止、控制）的，每次处罚</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1000—3000元。</w:t>
            </w:r>
          </w:p>
          <w:p w14:paraId="051B1487">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3.当班人员责任心不强，服务不到位导致公共设施被盗、被破坏的，</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及当班人员应共同承担相应的法律及经济损失赔偿责任，责任的界定由所服务单位确定或由公安司法部门裁定。</w:t>
            </w:r>
          </w:p>
          <w:p w14:paraId="261C9E88">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4.当班人员须着规定制服上班，不穿制服上班的，每人每次扣100元。</w:t>
            </w:r>
          </w:p>
          <w:p w14:paraId="5C42AB03">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在所服务单位所属范围内开展工作，做到不迟到，不早退。有交接班的岗位须提前10分钟到达交接地点，并认真做好交接班工作，检查所配装备是否完好有效，并填报《值班交接记录表》。上班迟到、早退达到10分钟的每人每次扣50元，迟到、早退超过30分钟的算旷工。</w:t>
            </w:r>
          </w:p>
          <w:p w14:paraId="743BF66F">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6.不开展交接班工作的，每人每次50元。因交接班工作盘点财物不到位造成损失的由交接班双方共同承担。</w:t>
            </w:r>
          </w:p>
          <w:p w14:paraId="74062C1F">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7.详细考核标准详见本章节附件：物业管理服务考核标准。</w:t>
            </w:r>
          </w:p>
        </w:tc>
      </w:tr>
      <w:tr w14:paraId="78CC3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380" w:type="dxa"/>
            <w:shd w:val="clear" w:color="auto" w:fill="auto"/>
            <w:vAlign w:val="center"/>
          </w:tcPr>
          <w:p w14:paraId="44810ED4">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服务监管</w:t>
            </w:r>
          </w:p>
        </w:tc>
        <w:tc>
          <w:tcPr>
            <w:tcW w:w="8530" w:type="dxa"/>
            <w:shd w:val="clear" w:color="auto" w:fill="auto"/>
            <w:vAlign w:val="center"/>
          </w:tcPr>
          <w:p w14:paraId="680FF812">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（1）供应商自行负责对派出的工作人员进行政治思想、职业道德、业务技术、劳动纪律的教育和培训。</w:t>
            </w:r>
          </w:p>
          <w:p w14:paraId="08CBF048">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选派的工作人员须经过岗前专业培训，上岗后继续对工作人员进行必要的教育和训练，保证工作人员的素质满足所服务单位工作的要求；保留工作人员的身份证复印件、个人简历等资料，并保证所提供资料的真实性，供应商不得随意减少或更换所派出的服务人员。</w:t>
            </w:r>
          </w:p>
          <w:p w14:paraId="47725363">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（3）供应商负责按时支付工作人员的工资和福利费用，提供工作人员的执勤被服、工具等基本条件。</w:t>
            </w:r>
          </w:p>
          <w:p w14:paraId="5ECE6BB7">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所服务单位有权对工作人员的工作进行检查、督促、评价，对不称职的工作人员提出批评及教育，屡教不改者，有权要求更换工作人员，并将实际情况以书面形式向供应商提出撤换的要求，供应商在接到撤换要求书后三个工作日内做出更换。</w:t>
            </w:r>
          </w:p>
          <w:p w14:paraId="409D47E3">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（5）所服务单位对供应商拟派的工作人员的一切行为所产生的后果不承担任何责任，供应商须自行就问题进行解决处理。</w:t>
            </w:r>
          </w:p>
          <w:p w14:paraId="7E609851">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（6）供应商若发现工作期间的影藏因素存在的安全隐患可向所服务单位提出改进意见，并和所服务单位进行协商处理。</w:t>
            </w:r>
          </w:p>
          <w:p w14:paraId="5479C20B">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所服务单位有权对供应商的工作进行考核，发现供应商不按照合同约定开展工作，对工作人员管理不规范、不严格，培训及安全措施不能达到所服务单位要求，第一次予以警告，第二次予以处罚，对连续三次不达标也不整改者（以书面通知为准），采购人有权解除合同。</w:t>
            </w:r>
          </w:p>
          <w:p w14:paraId="386DC7CF">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（8）服务期满后，须把服务期间涉及的所有档案移交给所服务单位，并在十个工作日内和新接替工作的</w:t>
            </w:r>
            <w:r>
              <w:rPr>
                <w:rFonts w:hint="eastAsia" w:ascii="宋体" w:hAnsi="宋体" w:cs="宋体"/>
                <w:color w:val="auto"/>
                <w:sz w:val="24"/>
                <w:szCs w:val="24"/>
                <w:highlight w:val="none"/>
                <w:lang w:val="en-US" w:eastAsia="zh-CN"/>
              </w:rPr>
              <w:t>物业</w:t>
            </w:r>
            <w:r>
              <w:rPr>
                <w:rFonts w:hint="eastAsia" w:ascii="宋体" w:hAnsi="宋体" w:eastAsia="宋体" w:cs="宋体"/>
                <w:color w:val="auto"/>
                <w:sz w:val="24"/>
                <w:szCs w:val="24"/>
                <w:highlight w:val="none"/>
                <w:lang w:val="en-US" w:eastAsia="zh-CN"/>
              </w:rPr>
              <w:t>公司进行工作交接，若出现不可抗力因素导致无法在规定时间内进行交接，供应商须书面告知所服务单位。</w:t>
            </w:r>
          </w:p>
        </w:tc>
      </w:tr>
      <w:tr w14:paraId="4F3778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380" w:type="dxa"/>
            <w:shd w:val="clear" w:color="auto" w:fill="auto"/>
            <w:vAlign w:val="center"/>
          </w:tcPr>
          <w:p w14:paraId="1D3F4BBD">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服务质量要求</w:t>
            </w:r>
          </w:p>
        </w:tc>
        <w:tc>
          <w:tcPr>
            <w:tcW w:w="8530" w:type="dxa"/>
            <w:shd w:val="clear" w:color="auto" w:fill="auto"/>
            <w:vAlign w:val="center"/>
          </w:tcPr>
          <w:p w14:paraId="096FCAE2">
            <w:pPr>
              <w:keepNext w:val="0"/>
              <w:keepLines w:val="0"/>
              <w:pageBreakBefore w:val="0"/>
              <w:widowControl/>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b/>
                <w:bCs/>
                <w:color w:val="auto"/>
                <w:sz w:val="24"/>
                <w:szCs w:val="24"/>
                <w:highlight w:val="none"/>
              </w:rPr>
            </w:pP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每月接受采购人或校方单位质量考核，未达标准从承包价中扣除。满意率至少在85％以上</w:t>
            </w:r>
            <w:r>
              <w:rPr>
                <w:rFonts w:hint="eastAsia" w:ascii="宋体" w:hAnsi="宋体" w:eastAsia="宋体" w:cs="宋体"/>
                <w:b/>
                <w:bCs/>
                <w:color w:val="auto"/>
                <w:sz w:val="24"/>
                <w:szCs w:val="24"/>
                <w:highlight w:val="none"/>
                <w:lang w:val="en-US" w:eastAsia="zh-CN"/>
              </w:rPr>
              <w:t>（各服务学校另有要求的该学校要求为准）</w:t>
            </w:r>
            <w:r>
              <w:rPr>
                <w:rFonts w:hint="eastAsia" w:ascii="宋体" w:hAnsi="宋体" w:eastAsia="宋体" w:cs="宋体"/>
                <w:color w:val="auto"/>
                <w:sz w:val="24"/>
                <w:szCs w:val="24"/>
                <w:highlight w:val="none"/>
                <w:lang w:val="en-US" w:eastAsia="zh-CN"/>
              </w:rPr>
              <w:t>、合同履约率达98%以上、上岗培训合格率达100%、合理投诉解决率达100%，连续两个月达不到，采购人可以终止合同。</w:t>
            </w:r>
          </w:p>
        </w:tc>
      </w:tr>
      <w:tr w14:paraId="4CEDEA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380" w:type="dxa"/>
            <w:shd w:val="clear" w:color="auto" w:fill="auto"/>
            <w:vAlign w:val="center"/>
          </w:tcPr>
          <w:p w14:paraId="75C9A86D">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保密要求</w:t>
            </w:r>
          </w:p>
        </w:tc>
        <w:tc>
          <w:tcPr>
            <w:tcW w:w="8530" w:type="dxa"/>
            <w:shd w:val="clear" w:color="auto" w:fill="auto"/>
            <w:vAlign w:val="center"/>
          </w:tcPr>
          <w:p w14:paraId="4B1033C9">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b/>
                <w:bCs/>
                <w:color w:val="auto"/>
                <w:sz w:val="24"/>
                <w:szCs w:val="24"/>
                <w:highlight w:val="none"/>
              </w:rPr>
            </w:pP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不得以任何形式</w:t>
            </w:r>
            <w:r>
              <w:rPr>
                <w:rFonts w:hint="eastAsia" w:ascii="宋体" w:hAnsi="宋体" w:cs="宋体"/>
                <w:color w:val="auto"/>
                <w:sz w:val="24"/>
                <w:szCs w:val="24"/>
                <w:highlight w:val="none"/>
                <w:lang w:val="en-US" w:eastAsia="zh-CN"/>
              </w:rPr>
              <w:t>违规</w:t>
            </w:r>
            <w:r>
              <w:rPr>
                <w:rFonts w:hint="eastAsia" w:ascii="宋体" w:hAnsi="宋体" w:eastAsia="宋体" w:cs="宋体"/>
                <w:color w:val="auto"/>
                <w:sz w:val="24"/>
                <w:szCs w:val="24"/>
                <w:highlight w:val="none"/>
                <w:lang w:val="en-US" w:eastAsia="zh-CN"/>
              </w:rPr>
              <w:t>向第三方透露本项目服务时的任何内容。如有泄密，需承担相应的法律责任。</w:t>
            </w:r>
          </w:p>
        </w:tc>
      </w:tr>
      <w:tr w14:paraId="543956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380" w:type="dxa"/>
            <w:shd w:val="clear" w:color="auto" w:fill="auto"/>
            <w:vAlign w:val="center"/>
          </w:tcPr>
          <w:p w14:paraId="1B06A434">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违约责任</w:t>
            </w:r>
          </w:p>
        </w:tc>
        <w:tc>
          <w:tcPr>
            <w:tcW w:w="8530" w:type="dxa"/>
            <w:shd w:val="clear" w:color="auto" w:fill="auto"/>
            <w:vAlign w:val="center"/>
          </w:tcPr>
          <w:p w14:paraId="78D91AFA">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 若</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所提供服务成果，无法达到本项目招标文件要求以及投标文件所承诺的内容的，所服务单位和教育局有权要求</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作出整改。如整改完毕仍达不到上述要求的，所服务单位和教育局有权拒绝支付款项，且</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应向所服务单位和教育局支付中标总金额的5%作为违约金并赔偿所服务单位和教育局的一切损失。</w:t>
            </w:r>
          </w:p>
          <w:p w14:paraId="782AF221">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 违约责任的赔偿不意味违约方整个合同责任的解除，未经所服务单位和教育局同意，</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不得以任何理由推迟、降低、减少有关合同条款履行的承诺。</w:t>
            </w:r>
          </w:p>
          <w:p w14:paraId="067BEB49">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 其它违约行为按成交总金额5%收取违约金并赔偿其他经济损失。</w:t>
            </w:r>
          </w:p>
        </w:tc>
      </w:tr>
      <w:tr w14:paraId="1B5D1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380" w:type="dxa"/>
            <w:shd w:val="clear" w:color="auto" w:fill="auto"/>
            <w:vAlign w:val="center"/>
          </w:tcPr>
          <w:p w14:paraId="520DEBA6">
            <w:pPr>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付款条件</w:t>
            </w:r>
          </w:p>
        </w:tc>
        <w:tc>
          <w:tcPr>
            <w:tcW w:w="8530" w:type="dxa"/>
            <w:shd w:val="clear" w:color="auto" w:fill="auto"/>
            <w:vAlign w:val="center"/>
          </w:tcPr>
          <w:p w14:paraId="27FB1EDE">
            <w:pPr>
              <w:keepNext w:val="0"/>
              <w:keepLines w:val="0"/>
              <w:pageBreakBefore w:val="0"/>
              <w:widowControl/>
              <w:kinsoku/>
              <w:wordWrap/>
              <w:overflowPunct/>
              <w:topLinePunct w:val="0"/>
              <w:autoSpaceDE/>
              <w:autoSpaceDN/>
              <w:bidi w:val="0"/>
              <w:adjustRightInd/>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自合同签订后且中标单位服务人员进场（进场时间以各服务单位具体要求为准）、财政资金到位后，预付合同总金额的10%;剩余款项按季度平均支付，每季度第一个月支付上季度服务费。</w:t>
            </w:r>
          </w:p>
          <w:p w14:paraId="71F6E5C7">
            <w:pPr>
              <w:pStyle w:val="24"/>
              <w:keepNext w:val="0"/>
              <w:keepLines w:val="0"/>
              <w:pageBreakBefore w:val="0"/>
              <w:kinsoku/>
              <w:overflowPunct/>
              <w:topLinePunct w:val="0"/>
              <w:bidi w:val="0"/>
              <w:snapToGrid/>
              <w:spacing w:line="4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人根据每季度考核结果结算支付。三方在签订合同时可就服务质量及检查标准制定奖罚细则，在支付服务费用时采购人（甲方）、服务单位（丙方）有权根据奖罚细则增减服务费用的支付或终止合同。每次请款供应商（乙方）先交请款申请函，后根据要求开具发票，再根据实际情况、考核情况付款。</w:t>
            </w:r>
          </w:p>
        </w:tc>
      </w:tr>
      <w:tr w14:paraId="69BA6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380" w:type="dxa"/>
            <w:shd w:val="clear" w:color="auto" w:fill="auto"/>
            <w:vAlign w:val="center"/>
          </w:tcPr>
          <w:p w14:paraId="57B8A145">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其他要求</w:t>
            </w:r>
          </w:p>
        </w:tc>
        <w:tc>
          <w:tcPr>
            <w:tcW w:w="8530" w:type="dxa"/>
            <w:shd w:val="clear" w:color="auto" w:fill="auto"/>
            <w:vAlign w:val="center"/>
          </w:tcPr>
          <w:p w14:paraId="5D525152">
            <w:pPr>
              <w:pStyle w:val="2"/>
              <w:rPr>
                <w:rFonts w:hint="default" w:eastAsia="宋体"/>
                <w:highlight w:val="none"/>
                <w:lang w:val="en-US" w:eastAsia="zh-CN"/>
              </w:rPr>
            </w:pPr>
            <w:r>
              <w:rPr>
                <w:rFonts w:hint="eastAsia" w:ascii="宋体" w:hAnsi="宋体" w:cs="宋体"/>
                <w:color w:val="auto"/>
                <w:sz w:val="24"/>
                <w:szCs w:val="24"/>
                <w:highlight w:val="none"/>
                <w:lang w:val="en-US" w:eastAsia="zh-CN"/>
              </w:rPr>
              <w:t>为了更好履约及支持中小企业发展，本标项与其他标项兼投不兼中。评审规则：</w:t>
            </w:r>
            <w:r>
              <w:rPr>
                <w:rFonts w:hint="eastAsia" w:hAnsi="宋体" w:cs="宋体"/>
                <w:color w:val="auto"/>
                <w:sz w:val="24"/>
                <w:highlight w:val="none"/>
                <w:lang w:val="en-US" w:eastAsia="zh-CN"/>
              </w:rPr>
              <w:t>本项目划分为1、2、3、4四个分标，实行兼投不兼中，供应商可以同时参与多个分标投标，但只能中标一个分标。评标委员会严格按照1→2→3→4的顺序依次开展评审；若某供应商在前序分标被确定为第一中标候选人，该供应商不再进入后续所有分标的详细评审及中标候选人推荐环节，在后续所有分标评审中，评标委员会直接对其作符合性审查否决处理，后续分标从剩余有效投标人（不得少于3家）中正常评审。</w:t>
            </w:r>
          </w:p>
          <w:p w14:paraId="108F74F3">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p>
        </w:tc>
      </w:tr>
    </w:tbl>
    <w:p w14:paraId="3DA4FEA5">
      <w:pPr>
        <w:bidi w:val="0"/>
        <w:rPr>
          <w:rFonts w:hint="default" w:ascii="Times New Roman" w:hAnsi="Times New Roman" w:cs="Times New Roman"/>
          <w:color w:val="auto"/>
          <w:highlight w:val="none"/>
          <w:lang w:val="en-US" w:eastAsia="zh-CN"/>
        </w:rPr>
      </w:pPr>
    </w:p>
    <w:p w14:paraId="6EF9B56D">
      <w:pPr>
        <w:spacing w:line="440" w:lineRule="exact"/>
        <w:ind w:firstLine="560" w:firstLineChars="200"/>
        <w:jc w:val="left"/>
        <w:rPr>
          <w:rFonts w:ascii="黑体" w:hAnsi="黑体" w:eastAsia="黑体" w:cs="宋体"/>
          <w:color w:val="auto"/>
          <w:sz w:val="28"/>
          <w:szCs w:val="28"/>
          <w:highlight w:val="none"/>
        </w:rPr>
      </w:pPr>
      <w:r>
        <w:rPr>
          <w:rFonts w:ascii="黑体" w:hAnsi="黑体" w:eastAsia="黑体" w:cs="宋体"/>
          <w:color w:val="auto"/>
          <w:sz w:val="28"/>
          <w:szCs w:val="28"/>
          <w:highlight w:val="none"/>
        </w:rPr>
        <w:br w:type="page"/>
      </w:r>
    </w:p>
    <w:p w14:paraId="62FEFF4A">
      <w:pPr>
        <w:pStyle w:val="513"/>
        <w:keepNext w:val="0"/>
        <w:keepLines w:val="0"/>
        <w:pageBreakBefore w:val="0"/>
        <w:widowControl w:val="0"/>
        <w:kinsoku/>
        <w:wordWrap/>
        <w:overflowPunct/>
        <w:topLinePunct w:val="0"/>
        <w:autoSpaceDE/>
        <w:autoSpaceDN/>
        <w:bidi w:val="0"/>
        <w:adjustRightInd/>
        <w:snapToGrid/>
        <w:spacing w:line="580" w:lineRule="exact"/>
        <w:ind w:firstLine="402"/>
        <w:jc w:val="center"/>
        <w:textAlignment w:val="auto"/>
        <w:outlineLvl w:val="1"/>
        <w:rPr>
          <w:color w:val="auto"/>
          <w:sz w:val="44"/>
          <w:szCs w:val="44"/>
          <w:highlight w:val="none"/>
          <w:lang w:val="zh-CN"/>
        </w:rPr>
      </w:pPr>
      <w:r>
        <w:rPr>
          <w:rFonts w:hint="eastAsia" w:ascii="宋体" w:hAnsi="宋体" w:cs="宋体"/>
          <w:b/>
          <w:color w:val="auto"/>
          <w:sz w:val="44"/>
          <w:szCs w:val="44"/>
          <w:highlight w:val="none"/>
        </w:rPr>
        <w:t>标项三：物业服务3</w:t>
      </w:r>
    </w:p>
    <w:p w14:paraId="7B1FFCC3">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说明：</w:t>
      </w:r>
    </w:p>
    <w:p w14:paraId="6EBDD9BC">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1.本项目的政府采购预算控制价为人民币</w:t>
      </w:r>
      <w:r>
        <w:rPr>
          <w:rFonts w:hint="eastAsia" w:ascii="宋体" w:hAnsi="宋体" w:cs="宋体"/>
          <w:color w:val="auto"/>
          <w:sz w:val="24"/>
          <w:highlight w:val="none"/>
          <w:lang w:val="en-US" w:eastAsia="zh-CN"/>
        </w:rPr>
        <w:t>54910</w:t>
      </w:r>
      <w:r>
        <w:rPr>
          <w:rFonts w:hint="eastAsia" w:ascii="宋体" w:hAnsi="宋体" w:cs="宋体"/>
          <w:color w:val="auto"/>
          <w:sz w:val="24"/>
          <w:highlight w:val="none"/>
        </w:rPr>
        <w:t>00</w:t>
      </w:r>
      <w:r>
        <w:rPr>
          <w:rFonts w:hint="eastAsia" w:ascii="宋体" w:hAnsi="宋体" w:cs="宋体"/>
          <w:color w:val="auto"/>
          <w:szCs w:val="21"/>
          <w:highlight w:val="none"/>
        </w:rPr>
        <w:t>元，高于预算控制价的报价将视为无效投标。</w:t>
      </w:r>
    </w:p>
    <w:p w14:paraId="142E9C29">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采购需求中标注“★”的内容必须满足或者优于，否则投标无效。</w:t>
      </w:r>
    </w:p>
    <w:p w14:paraId="514D5032">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3.根据《关于印发中小企业划型标准规定的通知》（工信部联企业</w:t>
      </w:r>
      <w:r>
        <w:rPr>
          <w:rFonts w:hint="eastAsia" w:ascii="宋体" w:hAnsi="宋体" w:cs="Book Antiqua"/>
          <w:color w:val="auto"/>
          <w:szCs w:val="21"/>
          <w:highlight w:val="none"/>
        </w:rPr>
        <w:t>〔2011〕</w:t>
      </w:r>
      <w:r>
        <w:rPr>
          <w:rFonts w:hint="eastAsia" w:ascii="宋体" w:hAnsi="宋体" w:cs="宋体"/>
          <w:color w:val="auto"/>
          <w:szCs w:val="21"/>
          <w:highlight w:val="none"/>
        </w:rPr>
        <w:t>300号）规定的划分标准，本项目采购所有标的对应的中小企业划分标准所属行业为：</w:t>
      </w:r>
      <w:bookmarkStart w:id="37" w:name="OLE_LINK49"/>
      <w:r>
        <w:rPr>
          <w:rFonts w:hint="eastAsia" w:ascii="宋体" w:hAnsi="宋体" w:cs="Book Antiqua"/>
          <w:b/>
          <w:color w:val="auto"/>
          <w:szCs w:val="21"/>
          <w:highlight w:val="none"/>
          <w:lang w:eastAsia="zh-CN"/>
        </w:rPr>
        <w:t>物业管理</w:t>
      </w:r>
      <w:r>
        <w:rPr>
          <w:rFonts w:hint="eastAsia" w:ascii="宋体" w:hAnsi="宋体" w:cs="宋体"/>
          <w:color w:val="auto"/>
          <w:szCs w:val="21"/>
          <w:highlight w:val="none"/>
        </w:rPr>
        <w:t>。</w:t>
      </w:r>
      <w:bookmarkEnd w:id="37"/>
    </w:p>
    <w:tbl>
      <w:tblPr>
        <w:tblStyle w:val="64"/>
        <w:tblW w:w="98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41"/>
        <w:gridCol w:w="8526"/>
      </w:tblGrid>
      <w:tr w14:paraId="1B5C8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67" w:type="dxa"/>
            <w:gridSpan w:val="2"/>
            <w:shd w:val="clear" w:color="auto" w:fill="auto"/>
            <w:vAlign w:val="center"/>
          </w:tcPr>
          <w:p w14:paraId="76B28673">
            <w:pPr>
              <w:spacing w:line="440" w:lineRule="exact"/>
              <w:ind w:firstLine="640" w:firstLineChars="200"/>
              <w:jc w:val="left"/>
              <w:rPr>
                <w:rFonts w:hint="default" w:ascii="Times New Roman" w:hAnsi="Times New Roman" w:eastAsia="仿宋_GB2312" w:cs="Times New Roman"/>
                <w:color w:val="auto"/>
                <w:sz w:val="24"/>
                <w:szCs w:val="24"/>
                <w:highlight w:val="none"/>
              </w:rPr>
            </w:pPr>
            <w:r>
              <w:rPr>
                <w:rFonts w:hint="eastAsia" w:ascii="宋体" w:hAnsi="宋体" w:cs="宋体"/>
                <w:bCs/>
                <w:color w:val="auto"/>
                <w:sz w:val="32"/>
                <w:szCs w:val="32"/>
                <w:highlight w:val="none"/>
              </w:rPr>
              <w:t>★</w:t>
            </w:r>
            <w:r>
              <w:rPr>
                <w:rFonts w:hint="eastAsia" w:ascii="宋体" w:hAnsi="宋体" w:cs="宋体"/>
                <w:b/>
                <w:color w:val="auto"/>
                <w:sz w:val="32"/>
                <w:szCs w:val="32"/>
                <w:highlight w:val="none"/>
              </w:rPr>
              <w:t>技术要求</w:t>
            </w:r>
          </w:p>
        </w:tc>
      </w:tr>
      <w:tr w14:paraId="14C59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67" w:type="dxa"/>
            <w:gridSpan w:val="2"/>
            <w:vMerge w:val="restart"/>
            <w:shd w:val="clear" w:color="auto" w:fill="auto"/>
            <w:vAlign w:val="center"/>
          </w:tcPr>
          <w:p w14:paraId="748C6EF5">
            <w:pPr>
              <w:pStyle w:val="24"/>
              <w:keepNext w:val="0"/>
              <w:keepLines w:val="0"/>
              <w:pageBreakBefore w:val="0"/>
              <w:widowControl w:val="0"/>
              <w:kinsoku/>
              <w:wordWrap/>
              <w:overflowPunct/>
              <w:topLinePunct w:val="0"/>
              <w:autoSpaceDE/>
              <w:autoSpaceDN/>
              <w:bidi w:val="0"/>
              <w:snapToGrid/>
              <w:spacing w:line="42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一、服务范围和内容</w:t>
            </w:r>
          </w:p>
          <w:p w14:paraId="232410C4">
            <w:pPr>
              <w:pStyle w:val="24"/>
              <w:keepNext w:val="0"/>
              <w:keepLines w:val="0"/>
              <w:pageBreakBefore w:val="0"/>
              <w:widowControl w:val="0"/>
              <w:kinsoku/>
              <w:wordWrap/>
              <w:overflowPunct/>
              <w:topLinePunct w:val="0"/>
              <w:autoSpaceDE/>
              <w:autoSpaceDN/>
              <w:bidi w:val="0"/>
              <w:snapToGrid/>
              <w:spacing w:line="42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（一）服务范围</w:t>
            </w:r>
          </w:p>
          <w:p w14:paraId="11BF3207">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为派驻学校校园全域（包括所有建筑物、公共场所）提供物业服务，负责</w:t>
            </w:r>
            <w:r>
              <w:rPr>
                <w:rFonts w:hint="eastAsia" w:ascii="宋体" w:hAnsi="宋体" w:eastAsia="宋体" w:cs="宋体"/>
                <w:color w:val="auto"/>
                <w:sz w:val="24"/>
                <w:szCs w:val="24"/>
                <w:highlight w:val="none"/>
              </w:rPr>
              <w:t>学校卫生保洁、绿化维护管理和</w:t>
            </w:r>
            <w:r>
              <w:rPr>
                <w:rFonts w:hint="eastAsia" w:ascii="宋体" w:hAnsi="宋体" w:eastAsia="宋体" w:cs="宋体"/>
                <w:color w:val="auto"/>
                <w:sz w:val="24"/>
                <w:szCs w:val="24"/>
                <w:highlight w:val="none"/>
                <w:lang w:val="en-US" w:eastAsia="zh-CN"/>
              </w:rPr>
              <w:t>日常维修等服务。</w:t>
            </w:r>
          </w:p>
          <w:p w14:paraId="04E22909">
            <w:pPr>
              <w:pStyle w:val="24"/>
              <w:keepNext w:val="0"/>
              <w:keepLines w:val="0"/>
              <w:pageBreakBefore w:val="0"/>
              <w:widowControl w:val="0"/>
              <w:kinsoku/>
              <w:wordWrap/>
              <w:overflowPunct/>
              <w:topLinePunct w:val="0"/>
              <w:autoSpaceDE/>
              <w:autoSpaceDN/>
              <w:bidi w:val="0"/>
              <w:snapToGrid/>
              <w:spacing w:line="42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（二）服务内容</w:t>
            </w:r>
          </w:p>
          <w:p w14:paraId="21B6363D">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 校园内物业负责公共路面、卫生间、校领导办公室等所有公共卫生区域的卫生清洁、垃圾收集、卫生间简单管道疏通等清洁保洁服务；</w:t>
            </w:r>
          </w:p>
          <w:p w14:paraId="3546D11A">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 校区内公共绿地、花木、建筑小品的养护管理；</w:t>
            </w:r>
          </w:p>
          <w:p w14:paraId="0C5C944C">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 校内学生宿舍的管理服务；</w:t>
            </w:r>
          </w:p>
          <w:p w14:paraId="279A1B11">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 水电维修管理、协助学校完成设施设备维修保养；积极完成校方安排的其他临时工作任务。</w:t>
            </w:r>
          </w:p>
          <w:p w14:paraId="15C2765A">
            <w:pPr>
              <w:pStyle w:val="24"/>
              <w:keepNext w:val="0"/>
              <w:keepLines w:val="0"/>
              <w:pageBreakBefore w:val="0"/>
              <w:widowControl w:val="0"/>
              <w:kinsoku/>
              <w:wordWrap/>
              <w:overflowPunct/>
              <w:topLinePunct w:val="0"/>
              <w:autoSpaceDE/>
              <w:autoSpaceDN/>
              <w:bidi w:val="0"/>
              <w:snapToGrid/>
              <w:spacing w:line="420" w:lineRule="exact"/>
              <w:jc w:val="lef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（三）人员需求</w:t>
            </w:r>
            <w:r>
              <w:rPr>
                <w:rFonts w:hint="eastAsia" w:hAnsi="宋体" w:cs="宋体"/>
                <w:b/>
                <w:bCs/>
                <w:color w:val="auto"/>
                <w:sz w:val="24"/>
                <w:szCs w:val="24"/>
                <w:highlight w:val="none"/>
                <w:lang w:val="en-US" w:eastAsia="zh-CN"/>
              </w:rPr>
              <w:t>表</w:t>
            </w:r>
          </w:p>
          <w:tbl>
            <w:tblPr>
              <w:tblStyle w:val="64"/>
              <w:tblW w:w="82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2532"/>
              <w:gridCol w:w="1660"/>
              <w:gridCol w:w="1260"/>
              <w:gridCol w:w="2087"/>
            </w:tblGrid>
            <w:tr w14:paraId="22C0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673" w:type="dxa"/>
                  <w:vAlign w:val="center"/>
                </w:tcPr>
                <w:p w14:paraId="3F065C2B">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序号</w:t>
                  </w:r>
                </w:p>
              </w:tc>
              <w:tc>
                <w:tcPr>
                  <w:tcW w:w="2532" w:type="dxa"/>
                  <w:vAlign w:val="center"/>
                </w:tcPr>
                <w:p w14:paraId="663B35D1">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hAnsi="宋体" w:cs="宋体"/>
                      <w:color w:val="auto"/>
                      <w:sz w:val="24"/>
                      <w:szCs w:val="24"/>
                      <w:highlight w:val="none"/>
                      <w:vertAlign w:val="baseline"/>
                      <w:lang w:val="en-US" w:eastAsia="zh-CN"/>
                    </w:rPr>
                    <w:t>服务单位</w:t>
                  </w:r>
                </w:p>
              </w:tc>
              <w:tc>
                <w:tcPr>
                  <w:tcW w:w="1660" w:type="dxa"/>
                  <w:vAlign w:val="center"/>
                </w:tcPr>
                <w:p w14:paraId="6510199B">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人员类别</w:t>
                  </w:r>
                </w:p>
              </w:tc>
              <w:tc>
                <w:tcPr>
                  <w:tcW w:w="1260" w:type="dxa"/>
                  <w:vAlign w:val="center"/>
                </w:tcPr>
                <w:p w14:paraId="008C221D">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配备人数</w:t>
                  </w:r>
                </w:p>
              </w:tc>
              <w:tc>
                <w:tcPr>
                  <w:tcW w:w="2087" w:type="dxa"/>
                  <w:vAlign w:val="center"/>
                </w:tcPr>
                <w:p w14:paraId="6545E1EF">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投标最高限价</w:t>
                  </w:r>
                </w:p>
                <w:p w14:paraId="16013F0B">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（万元）</w:t>
                  </w:r>
                </w:p>
              </w:tc>
            </w:tr>
            <w:tr w14:paraId="1FF35F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392516C5">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2532" w:type="dxa"/>
                  <w:vMerge w:val="restart"/>
                  <w:vAlign w:val="center"/>
                </w:tcPr>
                <w:p w14:paraId="758C3307">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北海市第一幼儿园</w:t>
                  </w:r>
                </w:p>
              </w:tc>
              <w:tc>
                <w:tcPr>
                  <w:tcW w:w="1660" w:type="dxa"/>
                  <w:vAlign w:val="center"/>
                </w:tcPr>
                <w:p w14:paraId="137DE50F">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保洁员</w:t>
                  </w:r>
                </w:p>
              </w:tc>
              <w:tc>
                <w:tcPr>
                  <w:tcW w:w="1260" w:type="dxa"/>
                  <w:vAlign w:val="center"/>
                </w:tcPr>
                <w:p w14:paraId="3371C6FA">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2087" w:type="dxa"/>
                  <w:vMerge w:val="restart"/>
                  <w:vAlign w:val="center"/>
                </w:tcPr>
                <w:p w14:paraId="3B3EB92B">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lang w:val="en-US" w:eastAsia="zh-CN"/>
                    </w:rPr>
                    <w:t>17.83</w:t>
                  </w:r>
                </w:p>
              </w:tc>
            </w:tr>
            <w:tr w14:paraId="066EE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361921E0">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532" w:type="dxa"/>
                  <w:vMerge w:val="continue"/>
                  <w:vAlign w:val="center"/>
                </w:tcPr>
                <w:p w14:paraId="77578EB8">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660" w:type="dxa"/>
                  <w:vAlign w:val="center"/>
                </w:tcPr>
                <w:p w14:paraId="747BEC7E">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绿化员</w:t>
                  </w:r>
                </w:p>
              </w:tc>
              <w:tc>
                <w:tcPr>
                  <w:tcW w:w="1260" w:type="dxa"/>
                  <w:vAlign w:val="center"/>
                </w:tcPr>
                <w:p w14:paraId="2751D296">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2087" w:type="dxa"/>
                  <w:vMerge w:val="continue"/>
                  <w:vAlign w:val="center"/>
                </w:tcPr>
                <w:p w14:paraId="0B404537">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r w14:paraId="39DED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Align w:val="center"/>
                </w:tcPr>
                <w:p w14:paraId="15208E9A">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2532" w:type="dxa"/>
                  <w:vAlign w:val="center"/>
                </w:tcPr>
                <w:p w14:paraId="581AAFCA">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北海市第二幼儿园</w:t>
                  </w:r>
                </w:p>
              </w:tc>
              <w:tc>
                <w:tcPr>
                  <w:tcW w:w="1660" w:type="dxa"/>
                  <w:shd w:val="clear" w:color="auto" w:fill="auto"/>
                  <w:vAlign w:val="center"/>
                </w:tcPr>
                <w:p w14:paraId="4938240F">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保洁员</w:t>
                  </w:r>
                </w:p>
              </w:tc>
              <w:tc>
                <w:tcPr>
                  <w:tcW w:w="1260" w:type="dxa"/>
                  <w:vAlign w:val="center"/>
                </w:tcPr>
                <w:p w14:paraId="543A0432">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2087" w:type="dxa"/>
                  <w:vAlign w:val="center"/>
                </w:tcPr>
                <w:p w14:paraId="58FC7A3D">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lang w:val="en-US" w:eastAsia="zh-CN"/>
                    </w:rPr>
                    <w:t>8.78</w:t>
                  </w:r>
                </w:p>
              </w:tc>
            </w:tr>
            <w:tr w14:paraId="5BAD0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286D562A">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w:t>
                  </w:r>
                </w:p>
              </w:tc>
              <w:tc>
                <w:tcPr>
                  <w:tcW w:w="2532" w:type="dxa"/>
                  <w:vMerge w:val="restart"/>
                  <w:vAlign w:val="center"/>
                </w:tcPr>
                <w:p w14:paraId="7D7983AF">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北海市第三幼儿园</w:t>
                  </w:r>
                </w:p>
              </w:tc>
              <w:tc>
                <w:tcPr>
                  <w:tcW w:w="1660" w:type="dxa"/>
                  <w:vAlign w:val="center"/>
                </w:tcPr>
                <w:p w14:paraId="371CBE4C">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水电工</w:t>
                  </w:r>
                </w:p>
              </w:tc>
              <w:tc>
                <w:tcPr>
                  <w:tcW w:w="1260" w:type="dxa"/>
                  <w:vAlign w:val="center"/>
                </w:tcPr>
                <w:p w14:paraId="2EE0CE5D">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2087" w:type="dxa"/>
                  <w:vMerge w:val="restart"/>
                  <w:vAlign w:val="center"/>
                </w:tcPr>
                <w:p w14:paraId="683BA613">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lang w:val="en-US" w:eastAsia="zh-CN"/>
                    </w:rPr>
                    <w:t>19.23</w:t>
                  </w:r>
                </w:p>
              </w:tc>
            </w:tr>
            <w:tr w14:paraId="3D4EA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10F16DE6">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532" w:type="dxa"/>
                  <w:vMerge w:val="continue"/>
                  <w:vAlign w:val="center"/>
                </w:tcPr>
                <w:p w14:paraId="29328D9C">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660" w:type="dxa"/>
                  <w:vAlign w:val="center"/>
                </w:tcPr>
                <w:p w14:paraId="4E4D0F8F">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保洁员</w:t>
                  </w:r>
                </w:p>
              </w:tc>
              <w:tc>
                <w:tcPr>
                  <w:tcW w:w="1260" w:type="dxa"/>
                  <w:vAlign w:val="center"/>
                </w:tcPr>
                <w:p w14:paraId="12C32DD7">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2087" w:type="dxa"/>
                  <w:vMerge w:val="continue"/>
                  <w:vAlign w:val="center"/>
                </w:tcPr>
                <w:p w14:paraId="6DB3345F">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r w14:paraId="5117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2745B804">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w:t>
                  </w:r>
                </w:p>
              </w:tc>
              <w:tc>
                <w:tcPr>
                  <w:tcW w:w="2532" w:type="dxa"/>
                  <w:vMerge w:val="restart"/>
                  <w:vAlign w:val="center"/>
                </w:tcPr>
                <w:p w14:paraId="7497B0C3">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北海市第一中学</w:t>
                  </w:r>
                </w:p>
              </w:tc>
              <w:tc>
                <w:tcPr>
                  <w:tcW w:w="1660" w:type="dxa"/>
                  <w:vAlign w:val="center"/>
                </w:tcPr>
                <w:p w14:paraId="2509293F">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保洁员</w:t>
                  </w:r>
                </w:p>
              </w:tc>
              <w:tc>
                <w:tcPr>
                  <w:tcW w:w="1260" w:type="dxa"/>
                  <w:vAlign w:val="center"/>
                </w:tcPr>
                <w:p w14:paraId="25866489">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9</w:t>
                  </w:r>
                </w:p>
              </w:tc>
              <w:tc>
                <w:tcPr>
                  <w:tcW w:w="2087" w:type="dxa"/>
                  <w:vMerge w:val="restart"/>
                  <w:vAlign w:val="center"/>
                </w:tcPr>
                <w:p w14:paraId="744843C0">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lang w:val="en-US" w:eastAsia="zh-CN"/>
                    </w:rPr>
                    <w:t>88.06</w:t>
                  </w:r>
                </w:p>
              </w:tc>
            </w:tr>
            <w:tr w14:paraId="16C1E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5D424CD6">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532" w:type="dxa"/>
                  <w:vMerge w:val="continue"/>
                  <w:vAlign w:val="center"/>
                </w:tcPr>
                <w:p w14:paraId="41308A2F">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660" w:type="dxa"/>
                  <w:vAlign w:val="center"/>
                </w:tcPr>
                <w:p w14:paraId="0EFDEA8A">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绿化员</w:t>
                  </w:r>
                </w:p>
              </w:tc>
              <w:tc>
                <w:tcPr>
                  <w:tcW w:w="1260" w:type="dxa"/>
                  <w:vAlign w:val="center"/>
                </w:tcPr>
                <w:p w14:paraId="69D736A9">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2087" w:type="dxa"/>
                  <w:vMerge w:val="continue"/>
                  <w:vAlign w:val="center"/>
                </w:tcPr>
                <w:p w14:paraId="6E0DD603">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r w14:paraId="72BA8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0763BA4E">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w:t>
                  </w:r>
                </w:p>
              </w:tc>
              <w:tc>
                <w:tcPr>
                  <w:tcW w:w="2532" w:type="dxa"/>
                  <w:vMerge w:val="restart"/>
                  <w:vAlign w:val="center"/>
                </w:tcPr>
                <w:p w14:paraId="271A160A">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北海市第五中学</w:t>
                  </w:r>
                </w:p>
              </w:tc>
              <w:tc>
                <w:tcPr>
                  <w:tcW w:w="1660" w:type="dxa"/>
                  <w:vAlign w:val="center"/>
                </w:tcPr>
                <w:p w14:paraId="175F5CF9">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水电工</w:t>
                  </w:r>
                </w:p>
              </w:tc>
              <w:tc>
                <w:tcPr>
                  <w:tcW w:w="1260" w:type="dxa"/>
                  <w:vAlign w:val="center"/>
                </w:tcPr>
                <w:p w14:paraId="2457A980">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2087" w:type="dxa"/>
                  <w:vMerge w:val="restart"/>
                  <w:vAlign w:val="center"/>
                </w:tcPr>
                <w:p w14:paraId="182A7BBE">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lang w:val="en-US" w:eastAsia="zh-CN"/>
                    </w:rPr>
                    <w:t>82.62</w:t>
                  </w:r>
                </w:p>
              </w:tc>
            </w:tr>
            <w:tr w14:paraId="2C0C5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26DD85E2">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532" w:type="dxa"/>
                  <w:vMerge w:val="continue"/>
                  <w:vAlign w:val="center"/>
                </w:tcPr>
                <w:p w14:paraId="3320B35F">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660" w:type="dxa"/>
                  <w:vAlign w:val="center"/>
                </w:tcPr>
                <w:p w14:paraId="1A052CBD">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保洁员</w:t>
                  </w:r>
                </w:p>
              </w:tc>
              <w:tc>
                <w:tcPr>
                  <w:tcW w:w="1260" w:type="dxa"/>
                  <w:vAlign w:val="center"/>
                </w:tcPr>
                <w:p w14:paraId="706AEFE5">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6</w:t>
                  </w:r>
                </w:p>
              </w:tc>
              <w:tc>
                <w:tcPr>
                  <w:tcW w:w="2087" w:type="dxa"/>
                  <w:vMerge w:val="continue"/>
                  <w:vAlign w:val="center"/>
                </w:tcPr>
                <w:p w14:paraId="46FC703B">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r w14:paraId="6AE694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5256395C">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532" w:type="dxa"/>
                  <w:vMerge w:val="continue"/>
                  <w:vAlign w:val="center"/>
                </w:tcPr>
                <w:p w14:paraId="01B697D1">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660" w:type="dxa"/>
                  <w:vAlign w:val="center"/>
                </w:tcPr>
                <w:p w14:paraId="57B584E9">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绿化员</w:t>
                  </w:r>
                </w:p>
              </w:tc>
              <w:tc>
                <w:tcPr>
                  <w:tcW w:w="1260" w:type="dxa"/>
                  <w:vAlign w:val="center"/>
                </w:tcPr>
                <w:p w14:paraId="04D2F420">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2087" w:type="dxa"/>
                  <w:vMerge w:val="continue"/>
                  <w:vAlign w:val="center"/>
                </w:tcPr>
                <w:p w14:paraId="13DA76C4">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r w14:paraId="2C672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Align w:val="center"/>
                </w:tcPr>
                <w:p w14:paraId="543C7B9C">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6</w:t>
                  </w:r>
                </w:p>
              </w:tc>
              <w:tc>
                <w:tcPr>
                  <w:tcW w:w="2532" w:type="dxa"/>
                  <w:vAlign w:val="center"/>
                </w:tcPr>
                <w:p w14:paraId="500F5FC7">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北海市第八中学</w:t>
                  </w:r>
                </w:p>
              </w:tc>
              <w:tc>
                <w:tcPr>
                  <w:tcW w:w="1660" w:type="dxa"/>
                  <w:vAlign w:val="center"/>
                </w:tcPr>
                <w:p w14:paraId="6674E1DA">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保洁员</w:t>
                  </w:r>
                </w:p>
              </w:tc>
              <w:tc>
                <w:tcPr>
                  <w:tcW w:w="1260" w:type="dxa"/>
                  <w:vAlign w:val="center"/>
                </w:tcPr>
                <w:p w14:paraId="2D86F808">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w:t>
                  </w:r>
                </w:p>
              </w:tc>
              <w:tc>
                <w:tcPr>
                  <w:tcW w:w="2087" w:type="dxa"/>
                  <w:vAlign w:val="center"/>
                </w:tcPr>
                <w:p w14:paraId="0D4CC529">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lang w:val="en-US" w:eastAsia="zh-CN"/>
                    </w:rPr>
                    <w:t>26.33</w:t>
                  </w:r>
                </w:p>
              </w:tc>
            </w:tr>
            <w:tr w14:paraId="02E73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65D55FFE">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7</w:t>
                  </w:r>
                </w:p>
              </w:tc>
              <w:tc>
                <w:tcPr>
                  <w:tcW w:w="2532" w:type="dxa"/>
                  <w:vMerge w:val="restart"/>
                  <w:vAlign w:val="center"/>
                </w:tcPr>
                <w:p w14:paraId="07676B3D">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北海市第十三中学</w:t>
                  </w:r>
                </w:p>
              </w:tc>
              <w:tc>
                <w:tcPr>
                  <w:tcW w:w="1660" w:type="dxa"/>
                  <w:vAlign w:val="center"/>
                </w:tcPr>
                <w:p w14:paraId="2A75B9C1">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水电工</w:t>
                  </w:r>
                </w:p>
              </w:tc>
              <w:tc>
                <w:tcPr>
                  <w:tcW w:w="1260" w:type="dxa"/>
                  <w:vAlign w:val="center"/>
                </w:tcPr>
                <w:p w14:paraId="33B7C696">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2087" w:type="dxa"/>
                  <w:vMerge w:val="restart"/>
                  <w:vAlign w:val="center"/>
                </w:tcPr>
                <w:p w14:paraId="5126BCB6">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lang w:val="en-US" w:eastAsia="zh-CN"/>
                    </w:rPr>
                    <w:t>81.23</w:t>
                  </w:r>
                </w:p>
              </w:tc>
            </w:tr>
            <w:tr w14:paraId="2C013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4D14AEDF">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532" w:type="dxa"/>
                  <w:vMerge w:val="continue"/>
                  <w:vAlign w:val="center"/>
                </w:tcPr>
                <w:p w14:paraId="6345A957">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660" w:type="dxa"/>
                  <w:vAlign w:val="center"/>
                </w:tcPr>
                <w:p w14:paraId="38C3D937">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保洁员</w:t>
                  </w:r>
                </w:p>
              </w:tc>
              <w:tc>
                <w:tcPr>
                  <w:tcW w:w="1260" w:type="dxa"/>
                  <w:vAlign w:val="center"/>
                </w:tcPr>
                <w:p w14:paraId="14B7E7ED">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6</w:t>
                  </w:r>
                </w:p>
              </w:tc>
              <w:tc>
                <w:tcPr>
                  <w:tcW w:w="2087" w:type="dxa"/>
                  <w:vMerge w:val="continue"/>
                  <w:vAlign w:val="center"/>
                </w:tcPr>
                <w:p w14:paraId="21153BCE">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r w14:paraId="46659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59379894">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532" w:type="dxa"/>
                  <w:vMerge w:val="continue"/>
                  <w:vAlign w:val="center"/>
                </w:tcPr>
                <w:p w14:paraId="22389008">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660" w:type="dxa"/>
                  <w:vAlign w:val="center"/>
                </w:tcPr>
                <w:p w14:paraId="4CD49144">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绿化员</w:t>
                  </w:r>
                </w:p>
              </w:tc>
              <w:tc>
                <w:tcPr>
                  <w:tcW w:w="1260" w:type="dxa"/>
                  <w:vAlign w:val="center"/>
                </w:tcPr>
                <w:p w14:paraId="1390D78F">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2087" w:type="dxa"/>
                  <w:vMerge w:val="continue"/>
                  <w:vAlign w:val="center"/>
                </w:tcPr>
                <w:p w14:paraId="02AD48DD">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r w14:paraId="67165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73297B28">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8</w:t>
                  </w:r>
                </w:p>
              </w:tc>
              <w:tc>
                <w:tcPr>
                  <w:tcW w:w="2532" w:type="dxa"/>
                  <w:vMerge w:val="restart"/>
                  <w:vAlign w:val="center"/>
                </w:tcPr>
                <w:p w14:paraId="6883EA81">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北海市特殊教育学校</w:t>
                  </w:r>
                </w:p>
              </w:tc>
              <w:tc>
                <w:tcPr>
                  <w:tcW w:w="1660" w:type="dxa"/>
                  <w:vAlign w:val="center"/>
                </w:tcPr>
                <w:p w14:paraId="4F0301C7">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保洁员</w:t>
                  </w:r>
                </w:p>
              </w:tc>
              <w:tc>
                <w:tcPr>
                  <w:tcW w:w="1260" w:type="dxa"/>
                  <w:vAlign w:val="center"/>
                </w:tcPr>
                <w:p w14:paraId="7A29FB91">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w:t>
                  </w:r>
                </w:p>
              </w:tc>
              <w:tc>
                <w:tcPr>
                  <w:tcW w:w="2087" w:type="dxa"/>
                  <w:vMerge w:val="restart"/>
                  <w:vAlign w:val="center"/>
                </w:tcPr>
                <w:p w14:paraId="69E08A93">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lang w:val="en-US" w:eastAsia="zh-CN"/>
                    </w:rPr>
                    <w:t>44.17</w:t>
                  </w:r>
                </w:p>
              </w:tc>
            </w:tr>
            <w:tr w14:paraId="5E720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40E00E18">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532" w:type="dxa"/>
                  <w:vMerge w:val="continue"/>
                  <w:vAlign w:val="center"/>
                </w:tcPr>
                <w:p w14:paraId="1D1AA300">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660" w:type="dxa"/>
                  <w:vAlign w:val="center"/>
                </w:tcPr>
                <w:p w14:paraId="71C4D71D">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绿化员</w:t>
                  </w:r>
                </w:p>
              </w:tc>
              <w:tc>
                <w:tcPr>
                  <w:tcW w:w="1260" w:type="dxa"/>
                  <w:vAlign w:val="center"/>
                </w:tcPr>
                <w:p w14:paraId="5735EF2E">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2087" w:type="dxa"/>
                  <w:vMerge w:val="continue"/>
                  <w:vAlign w:val="center"/>
                </w:tcPr>
                <w:p w14:paraId="5E944735">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r w14:paraId="73AF8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02D9101C">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9</w:t>
                  </w:r>
                </w:p>
              </w:tc>
              <w:tc>
                <w:tcPr>
                  <w:tcW w:w="2532" w:type="dxa"/>
                  <w:vMerge w:val="restart"/>
                  <w:vAlign w:val="center"/>
                </w:tcPr>
                <w:p w14:paraId="21209B8C">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北海市实验学校</w:t>
                  </w:r>
                </w:p>
              </w:tc>
              <w:tc>
                <w:tcPr>
                  <w:tcW w:w="1660" w:type="dxa"/>
                  <w:vAlign w:val="center"/>
                </w:tcPr>
                <w:p w14:paraId="4FBDCB88">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水电工</w:t>
                  </w:r>
                </w:p>
              </w:tc>
              <w:tc>
                <w:tcPr>
                  <w:tcW w:w="1260" w:type="dxa"/>
                  <w:vAlign w:val="center"/>
                </w:tcPr>
                <w:p w14:paraId="591726B2">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2087" w:type="dxa"/>
                  <w:vMerge w:val="restart"/>
                  <w:vAlign w:val="center"/>
                </w:tcPr>
                <w:p w14:paraId="1E259C80">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lang w:val="en-US" w:eastAsia="zh-CN"/>
                    </w:rPr>
                    <w:t>73.84</w:t>
                  </w:r>
                </w:p>
              </w:tc>
            </w:tr>
            <w:tr w14:paraId="00A8D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31C60F5C">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532" w:type="dxa"/>
                  <w:vMerge w:val="continue"/>
                  <w:vAlign w:val="center"/>
                </w:tcPr>
                <w:p w14:paraId="511397FE">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660" w:type="dxa"/>
                  <w:vAlign w:val="center"/>
                </w:tcPr>
                <w:p w14:paraId="298A5802">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保洁员</w:t>
                  </w:r>
                </w:p>
              </w:tc>
              <w:tc>
                <w:tcPr>
                  <w:tcW w:w="1260" w:type="dxa"/>
                  <w:vAlign w:val="center"/>
                </w:tcPr>
                <w:p w14:paraId="7F131733">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w:t>
                  </w:r>
                </w:p>
              </w:tc>
              <w:tc>
                <w:tcPr>
                  <w:tcW w:w="2087" w:type="dxa"/>
                  <w:vMerge w:val="continue"/>
                  <w:vAlign w:val="center"/>
                </w:tcPr>
                <w:p w14:paraId="39808E2C">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r w14:paraId="5484F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42A2A06D">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532" w:type="dxa"/>
                  <w:vMerge w:val="continue"/>
                  <w:vAlign w:val="center"/>
                </w:tcPr>
                <w:p w14:paraId="0F6CDC16">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660" w:type="dxa"/>
                  <w:vAlign w:val="center"/>
                </w:tcPr>
                <w:p w14:paraId="328DFACC">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绿化员</w:t>
                  </w:r>
                </w:p>
              </w:tc>
              <w:tc>
                <w:tcPr>
                  <w:tcW w:w="1260" w:type="dxa"/>
                  <w:vAlign w:val="center"/>
                </w:tcPr>
                <w:p w14:paraId="7424046F">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2087" w:type="dxa"/>
                  <w:vMerge w:val="continue"/>
                  <w:vAlign w:val="center"/>
                </w:tcPr>
                <w:p w14:paraId="455A8759">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r w14:paraId="3ECD5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123D4878">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10</w:t>
                  </w:r>
                </w:p>
              </w:tc>
              <w:tc>
                <w:tcPr>
                  <w:tcW w:w="2532" w:type="dxa"/>
                  <w:vMerge w:val="restart"/>
                  <w:vAlign w:val="center"/>
                </w:tcPr>
                <w:p w14:paraId="473ED71D">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北海市外国语实验学校</w:t>
                  </w:r>
                </w:p>
              </w:tc>
              <w:tc>
                <w:tcPr>
                  <w:tcW w:w="1660" w:type="dxa"/>
                  <w:vAlign w:val="center"/>
                </w:tcPr>
                <w:p w14:paraId="1DB33709">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水电工</w:t>
                  </w:r>
                </w:p>
              </w:tc>
              <w:tc>
                <w:tcPr>
                  <w:tcW w:w="1260" w:type="dxa"/>
                  <w:vAlign w:val="center"/>
                </w:tcPr>
                <w:p w14:paraId="404BB256">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2087" w:type="dxa"/>
                  <w:vMerge w:val="restart"/>
                  <w:vAlign w:val="center"/>
                </w:tcPr>
                <w:p w14:paraId="0D1EAE31">
                  <w:pPr>
                    <w:keepNext w:val="0"/>
                    <w:keepLines w:val="0"/>
                    <w:pageBreakBefore w:val="0"/>
                    <w:widowControl w:val="0"/>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lang w:val="en-US" w:eastAsia="zh-CN"/>
                    </w:rPr>
                    <w:t>107.01</w:t>
                  </w:r>
                </w:p>
              </w:tc>
            </w:tr>
            <w:tr w14:paraId="0C6DE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696F9E7B">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2532" w:type="dxa"/>
                  <w:vMerge w:val="continue"/>
                  <w:vAlign w:val="center"/>
                </w:tcPr>
                <w:p w14:paraId="3C6ECCD5">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660" w:type="dxa"/>
                  <w:vAlign w:val="center"/>
                </w:tcPr>
                <w:p w14:paraId="4ADF402C">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保洁员</w:t>
                  </w:r>
                </w:p>
              </w:tc>
              <w:tc>
                <w:tcPr>
                  <w:tcW w:w="1260" w:type="dxa"/>
                  <w:vAlign w:val="center"/>
                </w:tcPr>
                <w:p w14:paraId="1C5220B2">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11</w:t>
                  </w:r>
                </w:p>
              </w:tc>
              <w:tc>
                <w:tcPr>
                  <w:tcW w:w="2087" w:type="dxa"/>
                  <w:vMerge w:val="continue"/>
                  <w:vAlign w:val="center"/>
                </w:tcPr>
                <w:p w14:paraId="509DF0C2">
                  <w:pPr>
                    <w:pStyle w:val="24"/>
                    <w:keepNext w:val="0"/>
                    <w:keepLines w:val="0"/>
                    <w:pageBreakBefore w:val="0"/>
                    <w:widowControl/>
                    <w:kinsoku/>
                    <w:wordWrap/>
                    <w:overflowPunct/>
                    <w:topLinePunct w:val="0"/>
                    <w:autoSpaceDE/>
                    <w:autoSpaceDN/>
                    <w:bidi w:val="0"/>
                    <w:adjustRightInd/>
                    <w:snapToGrid/>
                    <w:spacing w:line="42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bl>
          <w:p w14:paraId="3FD03551">
            <w:pPr>
              <w:pStyle w:val="24"/>
              <w:keepNext w:val="0"/>
              <w:keepLines w:val="0"/>
              <w:pageBreakBefore w:val="0"/>
              <w:widowControl w:val="0"/>
              <w:kinsoku/>
              <w:wordWrap/>
              <w:overflowPunct/>
              <w:topLinePunct w:val="0"/>
              <w:autoSpaceDE/>
              <w:autoSpaceDN/>
              <w:bidi w:val="0"/>
              <w:snapToGrid/>
              <w:spacing w:line="420" w:lineRule="exact"/>
              <w:jc w:val="left"/>
              <w:textAlignment w:val="auto"/>
              <w:rPr>
                <w:rFonts w:hint="eastAsia" w:ascii="宋体" w:hAnsi="宋体" w:eastAsia="宋体" w:cs="宋体"/>
                <w:b/>
                <w:bCs/>
                <w:color w:val="auto"/>
                <w:sz w:val="24"/>
                <w:szCs w:val="24"/>
                <w:highlight w:val="none"/>
                <w:lang w:val="en-US" w:eastAsia="zh-CN"/>
              </w:rPr>
            </w:pPr>
          </w:p>
          <w:p w14:paraId="216BDB80">
            <w:pPr>
              <w:pStyle w:val="24"/>
              <w:keepNext w:val="0"/>
              <w:keepLines w:val="0"/>
              <w:pageBreakBefore w:val="0"/>
              <w:widowControl w:val="0"/>
              <w:kinsoku/>
              <w:wordWrap/>
              <w:overflowPunct/>
              <w:topLinePunct w:val="0"/>
              <w:autoSpaceDE/>
              <w:autoSpaceDN/>
              <w:bidi w:val="0"/>
              <w:snapToGrid/>
              <w:spacing w:line="42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二、服务要求</w:t>
            </w:r>
          </w:p>
          <w:p w14:paraId="274C5DCC">
            <w:pPr>
              <w:pStyle w:val="24"/>
              <w:keepNext w:val="0"/>
              <w:keepLines w:val="0"/>
              <w:pageBreakBefore w:val="0"/>
              <w:widowControl w:val="0"/>
              <w:kinsoku/>
              <w:wordWrap/>
              <w:overflowPunct/>
              <w:topLinePunct w:val="0"/>
              <w:autoSpaceDE/>
              <w:autoSpaceDN/>
              <w:bidi w:val="0"/>
              <w:snapToGrid/>
              <w:spacing w:line="42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（一）总体服务要求</w:t>
            </w:r>
          </w:p>
          <w:p w14:paraId="5D2FF823">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1．各派驻学校服务用工人数不少于该校区所需人数（详见人员需求表）。</w:t>
            </w:r>
          </w:p>
          <w:p w14:paraId="569218F1">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 </w:t>
            </w:r>
            <w:r>
              <w:rPr>
                <w:rFonts w:hint="eastAsia" w:hAnsi="宋体" w:cs="宋体"/>
                <w:color w:val="auto"/>
                <w:sz w:val="24"/>
                <w:szCs w:val="24"/>
                <w:highlight w:val="none"/>
                <w:lang w:val="en-US" w:eastAsia="zh-CN"/>
              </w:rPr>
              <w:t>供应商必须为所有上岗人员依法购买社会保险（包括养老保险、医疗保险、失业保险、工伤保险、生育保险），并承诺为本项目派驻全体服务人员统一购买雇主责任险或人身意外保险（二选一）。其中雇主责任险身故伤残责任保额不低于20万元/人、医疗费用责任保额不低于2万元/人；如选择人身意外保险，保额标准不低于同等水平</w:t>
            </w:r>
            <w:r>
              <w:rPr>
                <w:rFonts w:hint="eastAsia" w:ascii="宋体" w:hAnsi="宋体" w:eastAsia="宋体" w:cs="宋体"/>
                <w:color w:val="auto"/>
                <w:sz w:val="24"/>
                <w:szCs w:val="24"/>
                <w:highlight w:val="none"/>
                <w:lang w:val="en-US" w:eastAsia="zh-CN"/>
              </w:rPr>
              <w:t>。</w:t>
            </w:r>
          </w:p>
          <w:p w14:paraId="4320BF31">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 女员工年龄在18-50岁，男员工年龄在18-58 岁。</w:t>
            </w:r>
          </w:p>
          <w:p w14:paraId="6485384C">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 上岗人员在工作期间发生员工工伤及意外伤害事故以及涉及用工方面的劳务纠纷和劳动事故全部由</w:t>
            </w: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承担责任。</w:t>
            </w:r>
          </w:p>
          <w:p w14:paraId="4BCC1650">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 服务费涵盖基本工资、社会保险、物业服务费、税费等费用。</w:t>
            </w:r>
          </w:p>
          <w:p w14:paraId="14E0C6F0">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6. </w:t>
            </w: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必须每月按时足额发放员工工资，不得以任何理由拖欠员工工资，确保及时足额支付。</w:t>
            </w:r>
          </w:p>
          <w:p w14:paraId="413BFC4C">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7. </w:t>
            </w: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需有物业服务方案，质量管理、档案管理等制度。</w:t>
            </w:r>
          </w:p>
          <w:p w14:paraId="066BBA3D">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 物业服务人员统一着装，行为规范，服务主动热情。</w:t>
            </w:r>
          </w:p>
          <w:p w14:paraId="456D611A">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9. </w:t>
            </w: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须为所有上岗人员统一配备工服、水鞋、雨衣等劳动保护用品，并为电工、绿化、水泥工等岗位人员配备安全帽，且督促其在作业期间规范佩戴。相关费用已包含在服务费中，采购人有权对此进行监督与考核。</w:t>
            </w:r>
          </w:p>
          <w:p w14:paraId="1499CD8F">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10. </w:t>
            </w: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须严格遵守采购人资产与废弃物管理规定。所有上岗人员在日常工作中，不得捡拾、收集、私占校内产生的各类可回收废弃物（如纸皮、水瓶、废弃金属、塑料等）并带离校园出售或个人牟利。维修更换产生的废旧设施、材料、零部件等均属采购人资产，</w:t>
            </w: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须集中存放、登记，并按学校要求进行统一处置，不得擅自处理或变卖。</w:t>
            </w: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有责任对所属员工进行教育与管理，确保本要求得到有效执行。如有违反，采购人将视情节在月度服务质量考核中扣分，并有权要求供应商对相关人员进行严肃处理；造成学校资产损失的，</w:t>
            </w: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承担相应赔偿责任。</w:t>
            </w:r>
          </w:p>
          <w:p w14:paraId="6FBDFFB4">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11. </w:t>
            </w: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每季度接受采购人服务质量考核，考核由采购人或校方采取日常巡查、随机抽查、专项检查相结合的方式进行。服务费以考核得分等级支付，支付比例如下：得分≥90分：支付当季应付服务费的100%；80分≤得分&lt;90分：支付当季应付服务费的95%；70 分≤得分&lt;80分：支付当季应付服务费的90%；得分&lt;70分：支付当季应付服务费的85%。得分低于70分或连续两季度低于80分，采购人或校方有权发出警告，要求限期整改，未能完成整改的采购人有权终止合同。（考核标准详见《附件：考核标准》）</w:t>
            </w:r>
          </w:p>
          <w:p w14:paraId="0DC8DA62">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p>
          <w:p w14:paraId="4FFAD8D7">
            <w:pPr>
              <w:pStyle w:val="24"/>
              <w:keepNext w:val="0"/>
              <w:keepLines w:val="0"/>
              <w:pageBreakBefore w:val="0"/>
              <w:widowControl w:val="0"/>
              <w:kinsoku/>
              <w:wordWrap/>
              <w:overflowPunct/>
              <w:topLinePunct w:val="0"/>
              <w:autoSpaceDE/>
              <w:autoSpaceDN/>
              <w:bidi w:val="0"/>
              <w:snapToGrid/>
              <w:spacing w:line="42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（二）具体工作要求</w:t>
            </w:r>
          </w:p>
          <w:p w14:paraId="61170880">
            <w:pPr>
              <w:pStyle w:val="24"/>
              <w:keepNext w:val="0"/>
              <w:keepLines w:val="0"/>
              <w:pageBreakBefore w:val="0"/>
              <w:widowControl w:val="0"/>
              <w:kinsoku/>
              <w:wordWrap/>
              <w:overflowPunct/>
              <w:topLinePunct w:val="0"/>
              <w:autoSpaceDE/>
              <w:autoSpaceDN/>
              <w:bidi w:val="0"/>
              <w:snapToGrid/>
              <w:spacing w:line="42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 保洁员的卫生保洁服务</w:t>
            </w:r>
          </w:p>
          <w:p w14:paraId="2D0DC6A9">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（1）服务原则</w:t>
            </w:r>
          </w:p>
          <w:p w14:paraId="6691D108">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坚持“教学零干扰”作业，所有清洁、消毒、通风工作须安排于上课前、下课后或非教学高峰时段进行，确保正常教学秩序。</w:t>
            </w:r>
          </w:p>
          <w:p w14:paraId="11450014">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（2）服务范围</w:t>
            </w:r>
          </w:p>
          <w:p w14:paraId="737C9562">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涵盖校内各类建筑及公共区域，具体包括：</w:t>
            </w:r>
          </w:p>
          <w:p w14:paraId="55216C40">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①楼宇内部：教学楼、实训楼、办公楼等楼宇的各楼层卫生间、走廊、楼梯，学生食堂、厕所、楼梯等。</w:t>
            </w:r>
          </w:p>
          <w:p w14:paraId="37F6B7AA">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②功能场所：行政办公室、教研组办公室、会议室、报告厅、图书馆、大礼堂、电梯等。</w:t>
            </w:r>
          </w:p>
          <w:p w14:paraId="1EB78A8C">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③公共区域：公共教室、运动场所、校内广场、道路、停车场、绿化带、垃圾桶、垃圾池、宣传栏、标识牌等。</w:t>
            </w:r>
          </w:p>
          <w:p w14:paraId="51B82C0B">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④专项清洁：路面灯具、不锈钢饰品、宣传栏、校牌、标示牌、楼梯栏杆、护栏、雨篷、3米以下玻璃的日常保洁（3米以上高空部位玻璃幕墙清洗的，由中标人组织进行，涉及的费用由校方另行支付）。</w:t>
            </w:r>
          </w:p>
          <w:p w14:paraId="4173F255">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（3）作业频次与标准</w:t>
            </w:r>
          </w:p>
          <w:p w14:paraId="09483FB7">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①日常保洁：合理安排保洁人员工作区域。每日上、下午各进行一次保洁，所有区域全天候循环保洁，做到随脏随清。</w:t>
            </w:r>
          </w:p>
          <w:p w14:paraId="2F6C5DD1">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②清洁通风：每日对楼宇内部、功能场所及通道等区域进行清洁并通风，并定期消毒。</w:t>
            </w:r>
          </w:p>
          <w:p w14:paraId="68DD2712">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③垃圾管理：每日对食堂厨余垃圾进行收集清运放到指定地方。每日对校内垃圾及时收集、中转、清运并清理垃圾池（涉及环境部门垃圾清运及处理费用由校方负责）。</w:t>
            </w:r>
          </w:p>
          <w:p w14:paraId="77F0F3FE">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（4）清洁质量要求：</w:t>
            </w:r>
          </w:p>
          <w:p w14:paraId="3BE4CF53">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①地面无垃圾、杂物、污渍、积水，公共场所无明显泥沙、污垢，每100㎡内纸屑不超过2片、无大于1cm石子。</w:t>
            </w:r>
          </w:p>
          <w:p w14:paraId="43F76584">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②墙面无浮灰、蛛网、污迹；玻璃光洁无痕，灯具无尘无虫。</w:t>
            </w:r>
          </w:p>
          <w:p w14:paraId="14B78FBE">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③卫生间无异味，便器无黄渍，天花、墙角清洁。</w:t>
            </w:r>
          </w:p>
          <w:p w14:paraId="49796757">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④垃圾箱清运及时，清运率100%；垃圾桶外表干净、无满溢，周边无污垢、积水、异味。</w:t>
            </w:r>
          </w:p>
          <w:p w14:paraId="33D0E1A3">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⑤排水沟无淤积，校园无卫生死角。</w:t>
            </w:r>
          </w:p>
          <w:p w14:paraId="034219B1">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（5）其他服务要求</w:t>
            </w:r>
          </w:p>
          <w:p w14:paraId="3B218B51">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①卫生防疫：根据校方安排，定期开展灭蚊、灭蝇、灭蚁、灭蟑、灭鼠等卫生防疫工作（药品由校方另行提供）。</w:t>
            </w:r>
          </w:p>
          <w:p w14:paraId="3B2E242C">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②协助学校做好疫情防控、创城等与物业服务相关的工作</w:t>
            </w:r>
          </w:p>
          <w:p w14:paraId="424E8A30">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③临时任务配合：积极配合学校大型活动、检查等临时性活动卫生保洁工作。</w:t>
            </w:r>
          </w:p>
          <w:p w14:paraId="31F580AD">
            <w:pPr>
              <w:pStyle w:val="24"/>
              <w:keepNext w:val="0"/>
              <w:keepLines w:val="0"/>
              <w:pageBreakBefore w:val="0"/>
              <w:widowControl w:val="0"/>
              <w:kinsoku/>
              <w:wordWrap/>
              <w:overflowPunct/>
              <w:topLinePunct w:val="0"/>
              <w:autoSpaceDE/>
              <w:autoSpaceDN/>
              <w:bidi w:val="0"/>
              <w:snapToGrid/>
              <w:spacing w:line="42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 绿化员的绿化维护服务</w:t>
            </w:r>
          </w:p>
          <w:p w14:paraId="58F7E12F">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（1）总体养护目标</w:t>
            </w:r>
          </w:p>
          <w:p w14:paraId="13866E8D">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确保校园绿化景观“三季有花，四季常青”，植株生长健壮、形态美观。负责学校大型活动及重大节日的花卉布置工作。</w:t>
            </w:r>
          </w:p>
          <w:p w14:paraId="22B813CA">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（2）日常养护工作项目与标准</w:t>
            </w:r>
          </w:p>
          <w:p w14:paraId="4A9BF511">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①浇水：草地灌木每周至少浇两次（具体视天气情况）。做到保持植物良好长势，杜绝因为缺水出现枯萎等现象。</w:t>
            </w:r>
          </w:p>
          <w:p w14:paraId="07B31EAE">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②施肥：平均2-3次/年。做到施肥均匀、充足、适度、保证绿化植物强壮、枝叶茂盛。</w:t>
            </w:r>
          </w:p>
          <w:p w14:paraId="0C9C0A32">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③修剪整形：草地8-10次/年，灌木6-8次/年（根据长势状况而定），乔木修剪2-4次/年。做到草的高度一致，整齐美观。乔、灌木：植物主枝分布均匀；绿篱整齐一致。</w:t>
            </w:r>
          </w:p>
          <w:p w14:paraId="7DCEA99C">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④病虫害防治：草地、灌木、乔木及时防治。视病害发生情况适时喷药，使用国家规定的绿色环保农药。</w:t>
            </w:r>
          </w:p>
          <w:p w14:paraId="39AEDAFD">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⑤病虫草松土：每月除杂草一遍，雨后杂草严重者每周一遍。做到花丛下无杂草，树盘内无杂草，花木丛中不允许有高于花木的杂草，草坪上不允许有开花杂草。</w:t>
            </w:r>
          </w:p>
          <w:p w14:paraId="4F7AF48F">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⑥清理绿化垃圾：修剪下来的树枝和杂草要当天清运，不准就地焚烧。做到有专人跟踪保洁。</w:t>
            </w:r>
          </w:p>
          <w:p w14:paraId="33463530">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⑦防风防汛：灾前积极预防，对树木加固，灾后及时清除倒树断枝、疏通道路、清理垃圾。做到尽快恢复原状、不能影响学校正常工作。</w:t>
            </w:r>
          </w:p>
          <w:p w14:paraId="62749CB5">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（3）整体质量要求</w:t>
            </w:r>
          </w:p>
          <w:p w14:paraId="3B8FD865">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按不同季节对花卉苗木的养护要求进行养护，并做到：</w:t>
            </w:r>
          </w:p>
          <w:p w14:paraId="20D41D95">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①树灌木完整，长势茂盛，无枯枝死杈，无病虫害，树木无钉枪捆绑。</w:t>
            </w:r>
          </w:p>
          <w:p w14:paraId="11680108">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②绿篱、绿地整洁无杂草、杂物、物料堆放。</w:t>
            </w:r>
          </w:p>
          <w:p w14:paraId="5D9562B0">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③绿化设施完好率不低于98%。</w:t>
            </w:r>
          </w:p>
          <w:p w14:paraId="0F3FC611">
            <w:pPr>
              <w:pStyle w:val="24"/>
              <w:keepNext w:val="0"/>
              <w:keepLines w:val="0"/>
              <w:pageBreakBefore w:val="0"/>
              <w:widowControl w:val="0"/>
              <w:kinsoku/>
              <w:wordWrap/>
              <w:overflowPunct/>
              <w:topLinePunct w:val="0"/>
              <w:autoSpaceDE/>
              <w:autoSpaceDN/>
              <w:bidi w:val="0"/>
              <w:snapToGrid/>
              <w:spacing w:line="42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 水电工的日常维修服务</w:t>
            </w:r>
          </w:p>
          <w:p w14:paraId="09E19C17">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（1）维修服务原则</w:t>
            </w:r>
          </w:p>
          <w:p w14:paraId="17D7CD8D">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应遵循“经济节约、修旧利废”的原则。对于损坏的设施设备及物品，应首先评估其维修可行性及成本。凡通过维修可以恢复正常使用功能、且维修成本低于更换成本的，必须优先进行维修处理，不得无故建议或要求更换。若确需更换，必须向采购人提交书面说明，并经采购人确认同意后，方可进行更换。</w:t>
            </w:r>
          </w:p>
          <w:p w14:paraId="1AD17A5C">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（2）日常巡检制度</w:t>
            </w:r>
          </w:p>
          <w:p w14:paraId="4940305E">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建立巡视制度，每日上、下午各进行一次全面巡检并记录，覆盖以下系统：</w:t>
            </w:r>
          </w:p>
          <w:p w14:paraId="67B07EB8">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①排水排污：检查管道畅通情况，及时清理杂物（化粪池沉积物的抽吸、清掏由中标人负责实施及联络工作，相关费用由学校另行负责）。</w:t>
            </w:r>
          </w:p>
          <w:p w14:paraId="4E2C844E">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②公共照明：检查学校路灯及楼梯照明是否正常，发现故障及时修复，并早晚巡检及时关闭无照明需要的电灯，避免浪费电力。</w:t>
            </w:r>
          </w:p>
          <w:p w14:paraId="55F7FEDE">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③公共设施：检查有无损毁公共设施，包括门窗、家具、室内照明、水电管线等，发现损坏立即维修；如属人为破坏情况需制止并上报。</w:t>
            </w:r>
          </w:p>
          <w:p w14:paraId="3A60C319">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④管线安全：检查各类水、电、气等管线有无破损、断裂、锈蚀，一经发现立即进行维修并做好记录，保证各类管道电线正常使用。</w:t>
            </w:r>
          </w:p>
          <w:p w14:paraId="524815DB">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⑤配电设施：保持电缆沟（竖井）无水渍、杂物、鼠害、配电箱外观干燥完好、整洁、运行正常。</w:t>
            </w:r>
          </w:p>
          <w:p w14:paraId="055D6F77">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⑥节能管理：杜绝“长明灯、长流水”及“跑冒滴漏”现象。</w:t>
            </w:r>
          </w:p>
          <w:p w14:paraId="208CA628">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（3）维修维护内容</w:t>
            </w:r>
          </w:p>
          <w:p w14:paraId="7F7BBC9E">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①公共区域：维修教学楼、办公楼等场所的门窗、桌椅、照明、给排水、电器及户外设施（道路、宣传栏等）。</w:t>
            </w:r>
          </w:p>
          <w:p w14:paraId="19ADA221">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②宿舍区域：维修宿舍内家具、门窗锁具、水电设施（灯具插座、龙头、淋浴器等），并保障热水系统正常运行。</w:t>
            </w:r>
          </w:p>
          <w:p w14:paraId="6FE7AC66">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③响应要求：影响教学的公共区域故障及宿舍区紧急报修（如断电、漏水），须优先按应急流程处理。</w:t>
            </w:r>
          </w:p>
          <w:p w14:paraId="01471DF0">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（4）应急与值班制度</w:t>
            </w:r>
          </w:p>
          <w:p w14:paraId="581914CE">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①水电工24小时值班，随时响应。</w:t>
            </w:r>
          </w:p>
          <w:p w14:paraId="35899B34">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②向校方提供紧急联络名录，确保信息畅通。</w:t>
            </w:r>
          </w:p>
          <w:p w14:paraId="2FE66642">
            <w:pPr>
              <w:pStyle w:val="24"/>
              <w:keepNext w:val="0"/>
              <w:keepLines w:val="0"/>
              <w:pageBreakBefore w:val="0"/>
              <w:widowControl w:val="0"/>
              <w:kinsoku/>
              <w:wordWrap/>
              <w:overflowPunct/>
              <w:topLinePunct w:val="0"/>
              <w:autoSpaceDE/>
              <w:autoSpaceDN/>
              <w:bidi w:val="0"/>
              <w:snapToGrid/>
              <w:spacing w:line="42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三、岗位配置要求及素质要求</w:t>
            </w:r>
          </w:p>
          <w:p w14:paraId="268F908A">
            <w:pPr>
              <w:pStyle w:val="24"/>
              <w:keepNext w:val="0"/>
              <w:keepLines w:val="0"/>
              <w:pageBreakBefore w:val="0"/>
              <w:widowControl w:val="0"/>
              <w:kinsoku/>
              <w:wordWrap/>
              <w:overflowPunct/>
              <w:topLinePunct w:val="0"/>
              <w:autoSpaceDE/>
              <w:autoSpaceDN/>
              <w:bidi w:val="0"/>
              <w:snapToGrid/>
              <w:spacing w:line="42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（一）岗位人员配置</w:t>
            </w:r>
          </w:p>
          <w:p w14:paraId="3E709DA5">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hAnsi="宋体" w:cs="宋体"/>
                <w:b w:val="0"/>
                <w:bCs w:val="0"/>
                <w:color w:val="auto"/>
                <w:sz w:val="24"/>
                <w:szCs w:val="24"/>
                <w:highlight w:val="none"/>
                <w:lang w:val="en-US" w:eastAsia="zh-CN"/>
              </w:rPr>
              <w:t>供应商</w:t>
            </w:r>
            <w:r>
              <w:rPr>
                <w:rFonts w:hint="eastAsia" w:ascii="宋体" w:hAnsi="宋体" w:eastAsia="宋体" w:cs="宋体"/>
                <w:b w:val="0"/>
                <w:bCs w:val="0"/>
                <w:color w:val="auto"/>
                <w:sz w:val="24"/>
                <w:szCs w:val="24"/>
                <w:highlight w:val="none"/>
                <w:lang w:val="en-US" w:eastAsia="zh-CN"/>
              </w:rPr>
              <w:t>必须按各派驻校区的对要求，对各个岗位不同时段的人员数量和岗位要求配备相应物业服务人员，并保证实际到岗。</w:t>
            </w:r>
            <w:r>
              <w:rPr>
                <w:rFonts w:hint="eastAsia" w:hAnsi="宋体" w:cs="宋体"/>
                <w:b w:val="0"/>
                <w:bCs w:val="0"/>
                <w:color w:val="auto"/>
                <w:sz w:val="24"/>
                <w:szCs w:val="24"/>
                <w:highlight w:val="none"/>
                <w:lang w:val="en-US" w:eastAsia="zh-CN"/>
              </w:rPr>
              <w:t>供应商</w:t>
            </w:r>
            <w:r>
              <w:rPr>
                <w:rFonts w:hint="eastAsia" w:ascii="宋体" w:hAnsi="宋体" w:eastAsia="宋体" w:cs="宋体"/>
                <w:b w:val="0"/>
                <w:bCs w:val="0"/>
                <w:color w:val="auto"/>
                <w:sz w:val="24"/>
                <w:szCs w:val="24"/>
                <w:highlight w:val="none"/>
                <w:lang w:val="en-US" w:eastAsia="zh-CN"/>
              </w:rPr>
              <w:t>在组织、安排工作时，应符合国家相关法规，维护物业服务人员的正当权益。</w:t>
            </w:r>
            <w:r>
              <w:rPr>
                <w:rFonts w:hint="eastAsia" w:hAnsi="宋体" w:cs="宋体"/>
                <w:b w:val="0"/>
                <w:bCs w:val="0"/>
                <w:color w:val="auto"/>
                <w:sz w:val="24"/>
                <w:szCs w:val="24"/>
                <w:highlight w:val="none"/>
                <w:lang w:val="en-US" w:eastAsia="zh-CN"/>
              </w:rPr>
              <w:t>供应商</w:t>
            </w:r>
            <w:r>
              <w:rPr>
                <w:rFonts w:hint="eastAsia" w:ascii="宋体" w:hAnsi="宋体" w:eastAsia="宋体" w:cs="宋体"/>
                <w:b w:val="0"/>
                <w:bCs w:val="0"/>
                <w:color w:val="auto"/>
                <w:sz w:val="24"/>
                <w:szCs w:val="24"/>
                <w:highlight w:val="none"/>
                <w:lang w:val="en-US" w:eastAsia="zh-CN"/>
              </w:rPr>
              <w:t>对其用工行为承担一切法律责任。</w:t>
            </w:r>
          </w:p>
          <w:p w14:paraId="452A3EE1">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2.拟</w:t>
            </w:r>
            <w:r>
              <w:rPr>
                <w:rFonts w:hint="eastAsia" w:ascii="宋体" w:hAnsi="宋体" w:eastAsia="宋体" w:cs="宋体"/>
                <w:b w:val="0"/>
                <w:bCs w:val="0"/>
                <w:color w:val="auto"/>
                <w:sz w:val="24"/>
                <w:szCs w:val="24"/>
                <w:highlight w:val="none"/>
                <w:lang w:val="en-US" w:eastAsia="zh-CN"/>
              </w:rPr>
              <w:t>派物业人员</w:t>
            </w:r>
            <w:r>
              <w:rPr>
                <w:rFonts w:hint="eastAsia" w:ascii="宋体" w:hAnsi="宋体" w:eastAsia="宋体" w:cs="宋体"/>
                <w:color w:val="auto"/>
                <w:sz w:val="24"/>
                <w:szCs w:val="24"/>
                <w:highlight w:val="none"/>
                <w:lang w:val="en-US" w:eastAsia="zh-CN"/>
              </w:rPr>
              <w:t>身体健康，视力正常，无传染性、肝、肾、心脏、心血管等严重疾病，无不良社会记录等，提供正规医院健康证明，年龄58岁以下（女员工年龄在18-50岁，男员工年龄在18-58岁）。</w:t>
            </w:r>
          </w:p>
          <w:p w14:paraId="2D0E10EB">
            <w:pPr>
              <w:pStyle w:val="24"/>
              <w:keepNext w:val="0"/>
              <w:keepLines w:val="0"/>
              <w:pageBreakBefore w:val="0"/>
              <w:widowControl w:val="0"/>
              <w:kinsoku/>
              <w:wordWrap/>
              <w:overflowPunct/>
              <w:topLinePunct w:val="0"/>
              <w:autoSpaceDE/>
              <w:autoSpaceDN/>
              <w:bidi w:val="0"/>
              <w:snapToGrid/>
              <w:spacing w:line="42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（二）岗位时间安排</w:t>
            </w:r>
          </w:p>
          <w:p w14:paraId="7EE9D964">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 水电工：上午7:30-12:00，下午14:30-18:00。</w:t>
            </w:r>
          </w:p>
          <w:p w14:paraId="09BE901F">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 保洁员：上午7:30-12:00，下午14:30-18:00。</w:t>
            </w:r>
          </w:p>
          <w:p w14:paraId="47813ADD">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 绿化员：上午7:30-12:00，下午14:30-18:00。</w:t>
            </w:r>
          </w:p>
          <w:p w14:paraId="273460E3">
            <w:pPr>
              <w:pStyle w:val="24"/>
              <w:keepNext w:val="0"/>
              <w:keepLines w:val="0"/>
              <w:pageBreakBefore w:val="0"/>
              <w:widowControl w:val="0"/>
              <w:kinsoku/>
              <w:wordWrap/>
              <w:overflowPunct/>
              <w:topLinePunct w:val="0"/>
              <w:autoSpaceDE/>
              <w:autoSpaceDN/>
              <w:bidi w:val="0"/>
              <w:snapToGrid/>
              <w:spacing w:line="42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（注：如所服务单位有特殊要求，具体安排由相关单位自行安排）</w:t>
            </w:r>
          </w:p>
          <w:p w14:paraId="418D3137">
            <w:pPr>
              <w:pStyle w:val="24"/>
              <w:keepNext w:val="0"/>
              <w:keepLines w:val="0"/>
              <w:pageBreakBefore w:val="0"/>
              <w:widowControl w:val="0"/>
              <w:kinsoku/>
              <w:wordWrap/>
              <w:overflowPunct/>
              <w:topLinePunct w:val="0"/>
              <w:autoSpaceDE/>
              <w:autoSpaceDN/>
              <w:bidi w:val="0"/>
              <w:snapToGrid/>
              <w:spacing w:line="42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（二）岗位素质要求</w:t>
            </w:r>
          </w:p>
          <w:p w14:paraId="324C13B0">
            <w:pPr>
              <w:pStyle w:val="24"/>
              <w:keepNext w:val="0"/>
              <w:keepLines w:val="0"/>
              <w:pageBreakBefore w:val="0"/>
              <w:widowControl w:val="0"/>
              <w:kinsoku/>
              <w:wordWrap/>
              <w:overflowPunct/>
              <w:topLinePunct w:val="0"/>
              <w:autoSpaceDE/>
              <w:autoSpaceDN/>
              <w:bidi w:val="0"/>
              <w:snapToGrid/>
              <w:spacing w:line="42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 职业道德规范</w:t>
            </w:r>
          </w:p>
          <w:p w14:paraId="77DA2A55">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（1）敬业爱岗，恪尽职守：勤奋务实，积极投入本职工作，热爱岗位并乐于奉献。</w:t>
            </w:r>
          </w:p>
          <w:p w14:paraId="0622C2AC">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（2）遵纪守法，严守规章：自觉遵守国家法律法规，严格执行公司及校方各项规章制度与劳动纪律。</w:t>
            </w:r>
          </w:p>
          <w:p w14:paraId="0E03C997">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（3）勤学善思，提升技能：主动学习相关知识，持续提升业务能力与服务水准。</w:t>
            </w:r>
          </w:p>
          <w:p w14:paraId="48011F24">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（4）廉洁奉公，维护声誉：爱护公共财产，不以权谋私，自觉维护公司与学校的利益及形象。</w:t>
            </w:r>
          </w:p>
          <w:p w14:paraId="4EC49B3C">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（5）勤俭节约，节能降耗：树立节约意识，在日常工作中践行节约能源、爱惜物资。</w:t>
            </w:r>
          </w:p>
          <w:p w14:paraId="17C89D1B">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（6）团结协作，和谐共事：严于律己，宽以待人，妥善处理个人与集体、同事间关系，具备良好的团队协作精神。</w:t>
            </w:r>
          </w:p>
          <w:p w14:paraId="4DEA4023">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（7）严守秘密，谨言慎行：未经授权，不得对外泄露或传播学校的任何信息与资料。</w:t>
            </w:r>
          </w:p>
          <w:p w14:paraId="34536394">
            <w:pPr>
              <w:pStyle w:val="24"/>
              <w:keepNext w:val="0"/>
              <w:keepLines w:val="0"/>
              <w:pageBreakBefore w:val="0"/>
              <w:widowControl w:val="0"/>
              <w:kinsoku/>
              <w:wordWrap/>
              <w:overflowPunct/>
              <w:topLinePunct w:val="0"/>
              <w:autoSpaceDE/>
              <w:autoSpaceDN/>
              <w:bidi w:val="0"/>
              <w:snapToGrid/>
              <w:spacing w:line="42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 服务意识规范</w:t>
            </w:r>
          </w:p>
          <w:p w14:paraId="170B9CB1">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（1）文明礼貌，举止得体：使用规范用语，谈吐文雅，保持衣着整洁，举止大方端庄。</w:t>
            </w:r>
          </w:p>
          <w:p w14:paraId="73D5278A">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（2）主动热情，真诚服务：以积极热情的态度面对师生，主动识别服务需求，乐于为师生解决实际困难，常面带微笑，态度谦和。</w:t>
            </w:r>
          </w:p>
          <w:p w14:paraId="40A7D03D">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（3）耐心周到，细致入微：服务过程中保持耐心，不厌其烦，虚心听取师生意见，细致解答疑问，力求提供全面、满意的服务。</w:t>
            </w:r>
          </w:p>
          <w:p w14:paraId="53FA4A75">
            <w:pPr>
              <w:pStyle w:val="24"/>
              <w:keepNext w:val="0"/>
              <w:keepLines w:val="0"/>
              <w:pageBreakBefore w:val="0"/>
              <w:widowControl w:val="0"/>
              <w:kinsoku/>
              <w:wordWrap/>
              <w:overflowPunct/>
              <w:topLinePunct w:val="0"/>
              <w:autoSpaceDE/>
              <w:autoSpaceDN/>
              <w:bidi w:val="0"/>
              <w:snapToGrid/>
              <w:spacing w:line="42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 仪容仪表规范</w:t>
            </w:r>
          </w:p>
          <w:p w14:paraId="11EA1A87">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（1）保持个人卫生，着装统一、整洁，工作证应端正佩戴于左胸前。</w:t>
            </w:r>
          </w:p>
          <w:p w14:paraId="429823B5">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（2）工作时间内不得穿短裤、背心、拖鞋等不规范着装进入工作区域。</w:t>
            </w:r>
          </w:p>
          <w:p w14:paraId="3E3CD0F0">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（3）男员工：发长不掩耳、不遮领，每日剃须；保持指甲清洁，不留长指甲；衣着纽扣扣齐，领带紧束（大箭头下端以垂至皮带扣处为准），衬衣下摆应束于裤内。</w:t>
            </w:r>
          </w:p>
          <w:p w14:paraId="3360756A">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（4）女员工：发长不过肩，发型简洁大方，不染怪异发色；不留长指甲，不涂染艳丽指甲油；妆容朴素淡雅，不浓妆艳抹；不穿着黑色或带花纹的丝袜。</w:t>
            </w:r>
          </w:p>
          <w:p w14:paraId="30921965">
            <w:pPr>
              <w:pStyle w:val="24"/>
              <w:keepNext w:val="0"/>
              <w:keepLines w:val="0"/>
              <w:pageBreakBefore w:val="0"/>
              <w:widowControl w:val="0"/>
              <w:kinsoku/>
              <w:wordWrap/>
              <w:overflowPunct/>
              <w:topLinePunct w:val="0"/>
              <w:autoSpaceDE/>
              <w:autoSpaceDN/>
              <w:bidi w:val="0"/>
              <w:snapToGrid/>
              <w:spacing w:line="42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（三）岗位工作职责要求</w:t>
            </w:r>
          </w:p>
          <w:p w14:paraId="5CAC5B72">
            <w:pPr>
              <w:pStyle w:val="24"/>
              <w:keepNext w:val="0"/>
              <w:keepLines w:val="0"/>
              <w:pageBreakBefore w:val="0"/>
              <w:widowControl w:val="0"/>
              <w:kinsoku/>
              <w:wordWrap/>
              <w:overflowPunct/>
              <w:topLinePunct w:val="0"/>
              <w:autoSpaceDE/>
              <w:autoSpaceDN/>
              <w:bidi w:val="0"/>
              <w:snapToGrid/>
              <w:spacing w:line="42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 水电工</w:t>
            </w:r>
          </w:p>
          <w:p w14:paraId="2593AA52">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（1）水电综合维修：</w:t>
            </w:r>
          </w:p>
          <w:p w14:paraId="4D1E117C">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 熟悉并遵守相关法规及各项规章制度，熟练掌握应急预案。</w:t>
            </w:r>
          </w:p>
          <w:p w14:paraId="139A8CD0">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 持证上岗，定期培训。</w:t>
            </w:r>
          </w:p>
          <w:p w14:paraId="6B6A4702">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 熟悉辖区内水电线路、开关等设施设备功能及分布情况。熟练掌握相关维修技能，严格执行操作规程。</w:t>
            </w:r>
          </w:p>
          <w:p w14:paraId="08AE230E">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④</w:t>
            </w:r>
            <w:r>
              <w:rPr>
                <w:rFonts w:hint="eastAsia" w:ascii="宋体" w:hAnsi="宋体" w:eastAsia="宋体" w:cs="宋体"/>
                <w:color w:val="auto"/>
                <w:sz w:val="24"/>
                <w:szCs w:val="24"/>
                <w:highlight w:val="none"/>
                <w:lang w:val="en-US" w:eastAsia="zh-CN"/>
              </w:rPr>
              <w:t xml:space="preserve"> 定时巡检水电线路等设施设备，填写记录，保持完好运行，发现问题时，应准确判断，及时处理。</w:t>
            </w:r>
          </w:p>
          <w:p w14:paraId="0509BDBA">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⑤</w:t>
            </w:r>
            <w:r>
              <w:rPr>
                <w:rFonts w:hint="eastAsia" w:ascii="宋体" w:hAnsi="宋体" w:eastAsia="宋体" w:cs="宋体"/>
                <w:color w:val="auto"/>
                <w:sz w:val="24"/>
                <w:szCs w:val="24"/>
                <w:highlight w:val="none"/>
                <w:lang w:val="en-US" w:eastAsia="zh-CN"/>
              </w:rPr>
              <w:t xml:space="preserve"> 接到报修后60分钟内到达现场，维修合格率达100%。水电抢修不过夜。</w:t>
            </w:r>
          </w:p>
          <w:p w14:paraId="6C4B2963">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⑥</w:t>
            </w:r>
            <w:r>
              <w:rPr>
                <w:rFonts w:hint="eastAsia" w:ascii="宋体" w:hAnsi="宋体" w:eastAsia="宋体" w:cs="宋体"/>
                <w:color w:val="auto"/>
                <w:sz w:val="24"/>
                <w:szCs w:val="24"/>
                <w:highlight w:val="none"/>
                <w:lang w:val="en-US" w:eastAsia="zh-CN"/>
              </w:rPr>
              <w:t xml:space="preserve"> 供配电室及室外变台、箱变、低压配电室双人巡检维护。</w:t>
            </w:r>
          </w:p>
          <w:p w14:paraId="7AC24846">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⑦</w:t>
            </w:r>
            <w:r>
              <w:rPr>
                <w:rFonts w:hint="eastAsia" w:ascii="宋体" w:hAnsi="宋体" w:eastAsia="宋体" w:cs="宋体"/>
                <w:color w:val="auto"/>
                <w:sz w:val="24"/>
                <w:szCs w:val="24"/>
                <w:highlight w:val="none"/>
                <w:lang w:val="en-US" w:eastAsia="zh-CN"/>
              </w:rPr>
              <w:t xml:space="preserve"> 停送电操作，应填写相关工作票，做好安全组织，按规范程序操作。</w:t>
            </w:r>
          </w:p>
          <w:p w14:paraId="4F54446A">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⑧</w:t>
            </w:r>
            <w:r>
              <w:rPr>
                <w:rFonts w:hint="eastAsia" w:ascii="宋体" w:hAnsi="宋体" w:eastAsia="宋体" w:cs="宋体"/>
                <w:color w:val="auto"/>
                <w:sz w:val="24"/>
                <w:szCs w:val="24"/>
                <w:highlight w:val="none"/>
                <w:lang w:val="en-US" w:eastAsia="zh-CN"/>
              </w:rPr>
              <w:t xml:space="preserve"> 定期检查避雷、接地设施完好性，定期进行相关试验。</w:t>
            </w:r>
          </w:p>
          <w:p w14:paraId="57F09B34">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⑨</w:t>
            </w:r>
            <w:r>
              <w:rPr>
                <w:rFonts w:hint="eastAsia" w:ascii="宋体" w:hAnsi="宋体" w:eastAsia="宋体" w:cs="宋体"/>
                <w:color w:val="auto"/>
                <w:sz w:val="24"/>
                <w:szCs w:val="24"/>
                <w:highlight w:val="none"/>
                <w:lang w:val="en-US" w:eastAsia="zh-CN"/>
              </w:rPr>
              <w:t xml:space="preserve"> 按规范要求，配置安全防护设施，定时清扫设备及配电室卫生。</w:t>
            </w:r>
          </w:p>
          <w:p w14:paraId="1ADDF4CB">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⑩</w:t>
            </w:r>
            <w:r>
              <w:rPr>
                <w:rFonts w:hint="eastAsia" w:ascii="宋体" w:hAnsi="宋体" w:eastAsia="宋体" w:cs="宋体"/>
                <w:color w:val="auto"/>
                <w:sz w:val="24"/>
                <w:szCs w:val="24"/>
                <w:highlight w:val="none"/>
                <w:lang w:val="en-US" w:eastAsia="zh-CN"/>
              </w:rPr>
              <w:t xml:space="preserve"> 制定并组织实施设备维保计划。</w:t>
            </w:r>
          </w:p>
          <w:p w14:paraId="1E79ED69">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（2）公共设施小型维修：</w:t>
            </w:r>
          </w:p>
          <w:p w14:paraId="79202BBC">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lang w:val="en-US" w:eastAsia="zh-CN"/>
              </w:rPr>
              <w:t xml:space="preserve"> 熟悉并遵守相关法规及各项规章制度，熟练掌握应急预案。</w:t>
            </w:r>
          </w:p>
          <w:p w14:paraId="2038DFBA">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lang w:val="en-US" w:eastAsia="zh-CN"/>
              </w:rPr>
              <w:t xml:space="preserve"> 定期培训，特种作业必须持证上岗。</w:t>
            </w:r>
          </w:p>
          <w:p w14:paraId="72DCC969">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lang w:val="en-US" w:eastAsia="zh-CN"/>
              </w:rPr>
              <w:t xml:space="preserve"> 辖区内建筑设施维修，包括：房屋、门窗、学生宿舍门锁家具、道路、广场、管井、化粪池、景观小品等设施。</w:t>
            </w:r>
          </w:p>
          <w:p w14:paraId="4D84DA32">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④</w:t>
            </w:r>
            <w:r>
              <w:rPr>
                <w:rFonts w:hint="eastAsia" w:ascii="宋体" w:hAnsi="宋体" w:eastAsia="宋体" w:cs="宋体"/>
                <w:color w:val="auto"/>
                <w:sz w:val="24"/>
                <w:szCs w:val="24"/>
                <w:highlight w:val="none"/>
                <w:lang w:val="en-US" w:eastAsia="zh-CN"/>
              </w:rPr>
              <w:t xml:space="preserve"> 定时巡检，填写记录，保持设施完好，发现问题时，应准确判断，及时处理。</w:t>
            </w:r>
          </w:p>
          <w:p w14:paraId="6F41CCB8">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⑤接到报修后60分钟内到达现场，维修合格率达100%。</w:t>
            </w:r>
          </w:p>
          <w:p w14:paraId="26E1C236">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⑥常备配件类维修，自接到报修后应当日修复。</w:t>
            </w:r>
          </w:p>
          <w:p w14:paraId="63EBA105">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⑦外购配件及土建类维修，自接到报修之日起应3日内修复。</w:t>
            </w:r>
          </w:p>
          <w:p w14:paraId="12A721A1">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⑧雨季做好本职防汛工作，排查有关隐患。</w:t>
            </w:r>
          </w:p>
          <w:p w14:paraId="01E09ABB">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➈提出专项修缮建议。</w:t>
            </w:r>
          </w:p>
          <w:p w14:paraId="48944CFF">
            <w:pPr>
              <w:pStyle w:val="24"/>
              <w:keepNext w:val="0"/>
              <w:keepLines w:val="0"/>
              <w:pageBreakBefore w:val="0"/>
              <w:widowControl w:val="0"/>
              <w:kinsoku/>
              <w:wordWrap/>
              <w:overflowPunct/>
              <w:topLinePunct w:val="0"/>
              <w:autoSpaceDE/>
              <w:autoSpaceDN/>
              <w:bidi w:val="0"/>
              <w:snapToGrid/>
              <w:spacing w:line="42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 保洁员</w:t>
            </w:r>
          </w:p>
          <w:p w14:paraId="1B5EAD62">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（1）熟悉并遵守相关法规及各项规章制度。保洁服务讲求文明礼貌。</w:t>
            </w:r>
          </w:p>
          <w:p w14:paraId="2E9CDE73">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（2）以下公共区域的设施设备要保持整洁：墙壁、门窗、玻璃、照明、地墙面、楼梯、扶手、水房、卫生间、天花板、标识牌、消防、水暖电气、电梯、宣传栏等。</w:t>
            </w:r>
          </w:p>
          <w:p w14:paraId="37E587C2">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（3）公共卫生间要保持空气清新、洁具明亮，无异味、无积水、无污垢。</w:t>
            </w:r>
          </w:p>
          <w:p w14:paraId="7301723F">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（4）楼宇周边，要保持环境整洁、各种车辆整齐有序。</w:t>
            </w:r>
          </w:p>
          <w:p w14:paraId="3179FACC">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（5）雨、雪天气时，负责清扫责任区的积水和积雪。</w:t>
            </w:r>
          </w:p>
          <w:p w14:paraId="54449B76">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（6）捡拾遗失物品应登记备案、完好交还失主。</w:t>
            </w:r>
          </w:p>
          <w:p w14:paraId="17DFAFC9">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（7）发现火情、治安事件、嫌疑人员、可疑现象、水暖跑冒、燃气泄漏等紧急情况，应及时上报并协助处理。</w:t>
            </w:r>
          </w:p>
          <w:p w14:paraId="4D205C56">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 绿化员</w:t>
            </w:r>
          </w:p>
          <w:p w14:paraId="30A6F22C">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（1）熟悉并遵守相关法规及各项规章制度，熟练掌握应急预案。</w:t>
            </w:r>
          </w:p>
          <w:p w14:paraId="3E8D1A4C">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（2）熟悉花草树木名称、习性和养护，定期进行培训。</w:t>
            </w:r>
          </w:p>
          <w:p w14:paraId="26F2FFD0">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（3）做好辖区乔灌草等植物的修剪、施肥、浇水、除草等工作，保持植物生长状态良好，形状美观。</w:t>
            </w:r>
          </w:p>
          <w:p w14:paraId="00282EF6">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（4）有效利用生物、化学、物理方法防控病虫害。</w:t>
            </w:r>
          </w:p>
          <w:p w14:paraId="61C6495F">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（5）熟练使用、维护园林机械设备和喷灌设施。</w:t>
            </w:r>
          </w:p>
          <w:p w14:paraId="6BFDDC72">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（6）熟练掌握种植、移植技术。</w:t>
            </w:r>
          </w:p>
          <w:p w14:paraId="246E6FD2">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（7）保持绿地整洁无杂物、无污染物。</w:t>
            </w:r>
          </w:p>
          <w:p w14:paraId="1E72BF96">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（8）按规范要求，有效维护古树健康生长。</w:t>
            </w:r>
          </w:p>
          <w:p w14:paraId="66A64013">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（9）做好防范植物倒伏隐患排查工作。</w:t>
            </w:r>
          </w:p>
          <w:p w14:paraId="1B5B2B02">
            <w:pPr>
              <w:pStyle w:val="24"/>
              <w:keepNext w:val="0"/>
              <w:keepLines w:val="0"/>
              <w:pageBreakBefore w:val="0"/>
              <w:widowControl w:val="0"/>
              <w:kinsoku/>
              <w:wordWrap/>
              <w:overflowPunct/>
              <w:topLinePunct w:val="0"/>
              <w:autoSpaceDE/>
              <w:autoSpaceDN/>
              <w:bidi w:val="0"/>
              <w:snapToGrid/>
              <w:spacing w:line="42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四、档案管理要求</w:t>
            </w:r>
          </w:p>
          <w:p w14:paraId="50C3BC7D">
            <w:pPr>
              <w:pStyle w:val="24"/>
              <w:keepNext w:val="0"/>
              <w:keepLines w:val="0"/>
              <w:pageBreakBefore w:val="0"/>
              <w:widowControl w:val="0"/>
              <w:kinsoku/>
              <w:wordWrap/>
              <w:overflowPunct/>
              <w:topLinePunct w:val="0"/>
              <w:autoSpaceDE/>
              <w:autoSpaceDN/>
              <w:bidi w:val="0"/>
              <w:snapToGrid/>
              <w:spacing w:line="42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须建立并妥善保管包括但不限于：员工档案与培训记录、日常巡检与维修日志、设备设施保养台账、考核记录、消杀记录、宿舍管理值班与检查记录等全套物业管理档案，供学校随时抽查。</w:t>
            </w:r>
          </w:p>
        </w:tc>
      </w:tr>
      <w:tr w14:paraId="6E97E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67" w:type="dxa"/>
            <w:gridSpan w:val="2"/>
            <w:vMerge w:val="continue"/>
            <w:vAlign w:val="center"/>
          </w:tcPr>
          <w:p w14:paraId="05CF6C6B">
            <w:pPr>
              <w:keepNext w:val="0"/>
              <w:keepLines w:val="0"/>
              <w:pageBreakBefore w:val="0"/>
              <w:widowControl w:val="0"/>
              <w:kinsoku/>
              <w:wordWrap w:val="0"/>
              <w:overflowPunct/>
              <w:topLinePunct w:val="0"/>
              <w:autoSpaceDE/>
              <w:autoSpaceDN/>
              <w:bidi w:val="0"/>
              <w:adjustRightInd w:val="0"/>
              <w:snapToGrid/>
              <w:spacing w:line="520" w:lineRule="exact"/>
              <w:ind w:left="210" w:hanging="240" w:hangingChars="100"/>
              <w:jc w:val="left"/>
              <w:rPr>
                <w:rFonts w:hint="default" w:ascii="Times New Roman" w:hAnsi="Times New Roman" w:eastAsia="仿宋_GB2312" w:cs="Times New Roman"/>
                <w:color w:val="auto"/>
                <w:sz w:val="24"/>
                <w:szCs w:val="24"/>
                <w:highlight w:val="none"/>
              </w:rPr>
            </w:pPr>
          </w:p>
        </w:tc>
      </w:tr>
      <w:tr w14:paraId="3EC56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67" w:type="dxa"/>
            <w:gridSpan w:val="2"/>
            <w:vMerge w:val="continue"/>
            <w:vAlign w:val="center"/>
          </w:tcPr>
          <w:p w14:paraId="1D350D0E">
            <w:pPr>
              <w:keepNext w:val="0"/>
              <w:keepLines w:val="0"/>
              <w:pageBreakBefore w:val="0"/>
              <w:widowControl w:val="0"/>
              <w:kinsoku/>
              <w:wordWrap w:val="0"/>
              <w:overflowPunct/>
              <w:topLinePunct w:val="0"/>
              <w:autoSpaceDE/>
              <w:autoSpaceDN/>
              <w:bidi w:val="0"/>
              <w:adjustRightInd w:val="0"/>
              <w:snapToGrid/>
              <w:spacing w:line="520" w:lineRule="exact"/>
              <w:ind w:left="210" w:hanging="240" w:hangingChars="100"/>
              <w:jc w:val="left"/>
              <w:rPr>
                <w:rFonts w:hint="default" w:ascii="Times New Roman" w:hAnsi="Times New Roman" w:eastAsia="仿宋_GB2312" w:cs="Times New Roman"/>
                <w:color w:val="auto"/>
                <w:sz w:val="24"/>
                <w:szCs w:val="24"/>
                <w:highlight w:val="none"/>
              </w:rPr>
            </w:pPr>
          </w:p>
        </w:tc>
      </w:tr>
      <w:tr w14:paraId="425EB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67" w:type="dxa"/>
            <w:gridSpan w:val="2"/>
            <w:vMerge w:val="continue"/>
            <w:vAlign w:val="center"/>
          </w:tcPr>
          <w:p w14:paraId="251287E9">
            <w:pPr>
              <w:keepNext w:val="0"/>
              <w:keepLines w:val="0"/>
              <w:pageBreakBefore w:val="0"/>
              <w:widowControl w:val="0"/>
              <w:kinsoku/>
              <w:wordWrap w:val="0"/>
              <w:overflowPunct/>
              <w:topLinePunct w:val="0"/>
              <w:autoSpaceDE/>
              <w:autoSpaceDN/>
              <w:bidi w:val="0"/>
              <w:adjustRightInd w:val="0"/>
              <w:snapToGrid/>
              <w:spacing w:line="520" w:lineRule="exact"/>
              <w:ind w:left="210" w:hanging="240" w:hangingChars="100"/>
              <w:jc w:val="left"/>
              <w:rPr>
                <w:rFonts w:hint="default" w:ascii="Times New Roman" w:hAnsi="Times New Roman" w:eastAsia="仿宋_GB2312" w:cs="Times New Roman"/>
                <w:color w:val="auto"/>
                <w:sz w:val="24"/>
                <w:szCs w:val="24"/>
                <w:highlight w:val="none"/>
              </w:rPr>
            </w:pPr>
          </w:p>
        </w:tc>
      </w:tr>
      <w:tr w14:paraId="478FD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67" w:type="dxa"/>
            <w:gridSpan w:val="2"/>
            <w:vMerge w:val="continue"/>
            <w:vAlign w:val="center"/>
          </w:tcPr>
          <w:p w14:paraId="4555CF18">
            <w:pPr>
              <w:keepNext w:val="0"/>
              <w:keepLines w:val="0"/>
              <w:pageBreakBefore w:val="0"/>
              <w:widowControl w:val="0"/>
              <w:kinsoku/>
              <w:wordWrap w:val="0"/>
              <w:overflowPunct/>
              <w:topLinePunct w:val="0"/>
              <w:autoSpaceDE/>
              <w:autoSpaceDN/>
              <w:bidi w:val="0"/>
              <w:adjustRightInd w:val="0"/>
              <w:snapToGrid/>
              <w:spacing w:line="520" w:lineRule="exact"/>
              <w:ind w:left="210" w:hanging="240" w:hangingChars="100"/>
              <w:jc w:val="left"/>
              <w:rPr>
                <w:rFonts w:hint="default" w:ascii="Times New Roman" w:hAnsi="Times New Roman" w:eastAsia="仿宋_GB2312" w:cs="Times New Roman"/>
                <w:color w:val="auto"/>
                <w:sz w:val="24"/>
                <w:szCs w:val="24"/>
                <w:highlight w:val="none"/>
              </w:rPr>
            </w:pPr>
          </w:p>
        </w:tc>
      </w:tr>
      <w:tr w14:paraId="4A2CD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67" w:type="dxa"/>
            <w:gridSpan w:val="2"/>
            <w:vMerge w:val="continue"/>
            <w:vAlign w:val="center"/>
          </w:tcPr>
          <w:p w14:paraId="59DE3F2F">
            <w:pPr>
              <w:keepNext w:val="0"/>
              <w:keepLines w:val="0"/>
              <w:pageBreakBefore w:val="0"/>
              <w:widowControl w:val="0"/>
              <w:kinsoku/>
              <w:wordWrap w:val="0"/>
              <w:overflowPunct/>
              <w:topLinePunct w:val="0"/>
              <w:autoSpaceDE/>
              <w:autoSpaceDN/>
              <w:bidi w:val="0"/>
              <w:adjustRightInd w:val="0"/>
              <w:snapToGrid/>
              <w:spacing w:line="520" w:lineRule="exact"/>
              <w:ind w:left="210" w:hanging="240" w:hangingChars="100"/>
              <w:jc w:val="left"/>
              <w:rPr>
                <w:rFonts w:hint="default" w:ascii="Times New Roman" w:hAnsi="Times New Roman" w:eastAsia="仿宋_GB2312" w:cs="Times New Roman"/>
                <w:color w:val="auto"/>
                <w:sz w:val="24"/>
                <w:szCs w:val="24"/>
                <w:highlight w:val="none"/>
              </w:rPr>
            </w:pPr>
          </w:p>
        </w:tc>
      </w:tr>
      <w:tr w14:paraId="6FE100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67" w:type="dxa"/>
            <w:gridSpan w:val="2"/>
            <w:vMerge w:val="continue"/>
            <w:vAlign w:val="center"/>
          </w:tcPr>
          <w:p w14:paraId="16D7DE1D">
            <w:pPr>
              <w:keepNext w:val="0"/>
              <w:keepLines w:val="0"/>
              <w:pageBreakBefore w:val="0"/>
              <w:widowControl w:val="0"/>
              <w:kinsoku/>
              <w:wordWrap w:val="0"/>
              <w:overflowPunct/>
              <w:topLinePunct w:val="0"/>
              <w:autoSpaceDE/>
              <w:autoSpaceDN/>
              <w:bidi w:val="0"/>
              <w:adjustRightInd w:val="0"/>
              <w:snapToGrid/>
              <w:spacing w:line="520" w:lineRule="exact"/>
              <w:ind w:left="210" w:hanging="240" w:hangingChars="100"/>
              <w:jc w:val="left"/>
              <w:rPr>
                <w:rFonts w:hint="default" w:ascii="Times New Roman" w:hAnsi="Times New Roman" w:eastAsia="仿宋_GB2312" w:cs="Times New Roman"/>
                <w:color w:val="auto"/>
                <w:sz w:val="24"/>
                <w:szCs w:val="24"/>
                <w:highlight w:val="none"/>
              </w:rPr>
            </w:pPr>
          </w:p>
        </w:tc>
      </w:tr>
      <w:tr w14:paraId="70772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67" w:type="dxa"/>
            <w:gridSpan w:val="2"/>
            <w:vMerge w:val="continue"/>
            <w:vAlign w:val="center"/>
          </w:tcPr>
          <w:p w14:paraId="0F921673">
            <w:pPr>
              <w:keepNext w:val="0"/>
              <w:keepLines w:val="0"/>
              <w:pageBreakBefore w:val="0"/>
              <w:widowControl w:val="0"/>
              <w:kinsoku/>
              <w:wordWrap w:val="0"/>
              <w:overflowPunct/>
              <w:topLinePunct w:val="0"/>
              <w:autoSpaceDE/>
              <w:autoSpaceDN/>
              <w:bidi w:val="0"/>
              <w:adjustRightInd w:val="0"/>
              <w:snapToGrid/>
              <w:spacing w:line="520" w:lineRule="exact"/>
              <w:ind w:left="210" w:hanging="240" w:hangingChars="100"/>
              <w:jc w:val="left"/>
              <w:rPr>
                <w:rFonts w:hint="default" w:ascii="Times New Roman" w:hAnsi="Times New Roman" w:eastAsia="仿宋_GB2312" w:cs="Times New Roman"/>
                <w:color w:val="auto"/>
                <w:sz w:val="24"/>
                <w:szCs w:val="24"/>
                <w:highlight w:val="none"/>
              </w:rPr>
            </w:pPr>
          </w:p>
        </w:tc>
      </w:tr>
      <w:tr w14:paraId="5EB05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67" w:type="dxa"/>
            <w:gridSpan w:val="2"/>
            <w:vMerge w:val="continue"/>
            <w:vAlign w:val="center"/>
          </w:tcPr>
          <w:p w14:paraId="6673DFC1">
            <w:pPr>
              <w:keepNext w:val="0"/>
              <w:keepLines w:val="0"/>
              <w:pageBreakBefore w:val="0"/>
              <w:widowControl w:val="0"/>
              <w:kinsoku/>
              <w:wordWrap w:val="0"/>
              <w:overflowPunct/>
              <w:topLinePunct w:val="0"/>
              <w:autoSpaceDE/>
              <w:autoSpaceDN/>
              <w:bidi w:val="0"/>
              <w:adjustRightInd w:val="0"/>
              <w:snapToGrid/>
              <w:spacing w:line="520" w:lineRule="exact"/>
              <w:ind w:left="210" w:hanging="240" w:hangingChars="100"/>
              <w:jc w:val="left"/>
              <w:rPr>
                <w:rFonts w:hint="default" w:ascii="Times New Roman" w:hAnsi="Times New Roman" w:eastAsia="仿宋_GB2312" w:cs="Times New Roman"/>
                <w:color w:val="auto"/>
                <w:sz w:val="24"/>
                <w:szCs w:val="24"/>
                <w:highlight w:val="none"/>
              </w:rPr>
            </w:pPr>
          </w:p>
        </w:tc>
      </w:tr>
      <w:tr w14:paraId="1B963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67" w:type="dxa"/>
            <w:gridSpan w:val="2"/>
            <w:vMerge w:val="continue"/>
            <w:vAlign w:val="center"/>
          </w:tcPr>
          <w:p w14:paraId="5433A870">
            <w:pPr>
              <w:keepNext w:val="0"/>
              <w:keepLines w:val="0"/>
              <w:pageBreakBefore w:val="0"/>
              <w:widowControl w:val="0"/>
              <w:kinsoku/>
              <w:wordWrap w:val="0"/>
              <w:overflowPunct/>
              <w:topLinePunct w:val="0"/>
              <w:autoSpaceDE/>
              <w:autoSpaceDN/>
              <w:bidi w:val="0"/>
              <w:adjustRightInd w:val="0"/>
              <w:snapToGrid/>
              <w:spacing w:line="520" w:lineRule="exact"/>
              <w:ind w:left="210" w:hanging="240" w:hangingChars="100"/>
              <w:jc w:val="left"/>
              <w:rPr>
                <w:rFonts w:hint="default" w:ascii="Times New Roman" w:hAnsi="Times New Roman" w:eastAsia="仿宋_GB2312" w:cs="Times New Roman"/>
                <w:color w:val="auto"/>
                <w:sz w:val="24"/>
                <w:szCs w:val="24"/>
                <w:highlight w:val="none"/>
              </w:rPr>
            </w:pPr>
          </w:p>
        </w:tc>
      </w:tr>
      <w:tr w14:paraId="56001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67" w:type="dxa"/>
            <w:gridSpan w:val="2"/>
            <w:vAlign w:val="center"/>
          </w:tcPr>
          <w:p w14:paraId="6996D1CB">
            <w:pPr>
              <w:spacing w:line="440" w:lineRule="exact"/>
              <w:ind w:firstLine="720" w:firstLineChars="200"/>
              <w:jc w:val="left"/>
              <w:rPr>
                <w:rFonts w:hint="default" w:ascii="Times New Roman" w:hAnsi="Times New Roman" w:eastAsia="仿宋_GB2312" w:cs="Times New Roman"/>
                <w:color w:val="auto"/>
                <w:sz w:val="24"/>
                <w:szCs w:val="24"/>
                <w:highlight w:val="none"/>
              </w:rPr>
            </w:pPr>
            <w:r>
              <w:rPr>
                <w:rFonts w:hint="eastAsia" w:ascii="宋体" w:hAnsi="宋体" w:eastAsia="宋体" w:cs="宋体"/>
                <w:bCs/>
                <w:color w:val="auto"/>
                <w:sz w:val="36"/>
                <w:szCs w:val="36"/>
                <w:highlight w:val="none"/>
              </w:rPr>
              <w:t>★</w:t>
            </w:r>
            <w:r>
              <w:rPr>
                <w:rFonts w:hint="eastAsia" w:ascii="宋体" w:hAnsi="宋体" w:eastAsia="宋体" w:cs="宋体"/>
                <w:b/>
                <w:color w:val="auto"/>
                <w:sz w:val="36"/>
                <w:szCs w:val="36"/>
                <w:highlight w:val="none"/>
              </w:rPr>
              <w:t>商务要求</w:t>
            </w:r>
          </w:p>
        </w:tc>
      </w:tr>
      <w:tr w14:paraId="768C5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41" w:type="dxa"/>
            <w:vAlign w:val="center"/>
          </w:tcPr>
          <w:p w14:paraId="242949D5">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投标报价要求</w:t>
            </w:r>
          </w:p>
        </w:tc>
        <w:tc>
          <w:tcPr>
            <w:tcW w:w="8526" w:type="dxa"/>
            <w:vAlign w:val="center"/>
          </w:tcPr>
          <w:p w14:paraId="4CD2CE6E">
            <w:pPr>
              <w:keepNext w:val="0"/>
              <w:keepLines w:val="0"/>
              <w:pageBreakBefore w:val="0"/>
              <w:widowControl/>
              <w:kinsoku/>
              <w:wordWrap/>
              <w:overflowPunct/>
              <w:topLinePunct w:val="0"/>
              <w:autoSpaceDE/>
              <w:autoSpaceDN/>
              <w:bidi w:val="0"/>
              <w:adjustRightInd/>
              <w:snapToGrid/>
              <w:spacing w:line="52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1.投标报价包含人员工资、培训、服装、奖金、五险、其他必要的保险等营业成本以及利润、物业管理服务中所发生的各项税收等费用。</w:t>
            </w:r>
          </w:p>
          <w:p w14:paraId="04986053">
            <w:pPr>
              <w:keepNext w:val="0"/>
              <w:keepLines w:val="0"/>
              <w:pageBreakBefore w:val="0"/>
              <w:widowControl/>
              <w:kinsoku/>
              <w:wordWrap/>
              <w:overflowPunct/>
              <w:topLinePunct w:val="0"/>
              <w:autoSpaceDE/>
              <w:autoSpaceDN/>
              <w:bidi w:val="0"/>
              <w:adjustRightInd/>
              <w:snapToGrid/>
              <w:spacing w:line="52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2.供应商报价须列明各服务单位（各学校）的投入服务人数及报价。各学校的报价不得超过该服务单位的投标最高限价</w:t>
            </w:r>
            <w:r>
              <w:rPr>
                <w:rFonts w:hint="eastAsia" w:ascii="宋体" w:hAnsi="宋体" w:cs="宋体"/>
                <w:color w:val="auto"/>
                <w:sz w:val="24"/>
                <w:szCs w:val="24"/>
                <w:highlight w:val="none"/>
                <w:lang w:val="en-US" w:eastAsia="zh-CN"/>
              </w:rPr>
              <w:t>，否则投标无效</w:t>
            </w:r>
            <w:r>
              <w:rPr>
                <w:rFonts w:hint="eastAsia" w:ascii="宋体" w:hAnsi="宋体" w:eastAsia="宋体" w:cs="宋体"/>
                <w:color w:val="auto"/>
                <w:sz w:val="24"/>
                <w:szCs w:val="24"/>
                <w:highlight w:val="none"/>
                <w:lang w:val="en-US" w:eastAsia="zh-CN"/>
              </w:rPr>
              <w:t>。</w:t>
            </w:r>
          </w:p>
        </w:tc>
      </w:tr>
      <w:tr w14:paraId="0C2DF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41" w:type="dxa"/>
            <w:vAlign w:val="center"/>
          </w:tcPr>
          <w:p w14:paraId="10C5C595">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合同签订</w:t>
            </w:r>
          </w:p>
        </w:tc>
        <w:tc>
          <w:tcPr>
            <w:tcW w:w="8526" w:type="dxa"/>
            <w:vAlign w:val="center"/>
          </w:tcPr>
          <w:p w14:paraId="5EA770A9">
            <w:pPr>
              <w:keepNext w:val="0"/>
              <w:keepLines w:val="0"/>
              <w:pageBreakBefore w:val="0"/>
              <w:widowControl/>
              <w:kinsoku/>
              <w:wordWrap/>
              <w:overflowPunct/>
              <w:topLinePunct w:val="0"/>
              <w:autoSpaceDE/>
              <w:autoSpaceDN/>
              <w:bidi w:val="0"/>
              <w:adjustRightInd/>
              <w:snapToGrid/>
              <w:spacing w:line="52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按照政府采购有关规定，由市教育局、服务单位与</w:t>
            </w:r>
            <w:r>
              <w:rPr>
                <w:rFonts w:hint="eastAsia" w:ascii="宋体" w:hAnsi="宋体" w:cs="宋体"/>
                <w:color w:val="auto"/>
                <w:sz w:val="24"/>
                <w:szCs w:val="24"/>
                <w:highlight w:val="none"/>
                <w:lang w:val="en-US" w:eastAsia="zh-CN"/>
              </w:rPr>
              <w:t>中标</w:t>
            </w:r>
            <w:r>
              <w:rPr>
                <w:rFonts w:hint="eastAsia" w:ascii="宋体" w:hAnsi="宋体" w:eastAsia="宋体" w:cs="宋体"/>
                <w:color w:val="auto"/>
                <w:sz w:val="24"/>
                <w:szCs w:val="24"/>
                <w:highlight w:val="none"/>
                <w:lang w:val="en-US" w:eastAsia="zh-CN"/>
              </w:rPr>
              <w:t>供应商公司三方签订合同，在合同中明确各自的权利、义务及责任，切实履行协议内容。中标人须接受采购人和服务单位（各学校）的共同管理。</w:t>
            </w:r>
          </w:p>
        </w:tc>
      </w:tr>
      <w:tr w14:paraId="1FDBA6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41" w:type="dxa"/>
            <w:vAlign w:val="center"/>
          </w:tcPr>
          <w:p w14:paraId="4B899122">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服务期限及地点</w:t>
            </w:r>
          </w:p>
        </w:tc>
        <w:tc>
          <w:tcPr>
            <w:tcW w:w="8526" w:type="dxa"/>
            <w:vAlign w:val="center"/>
          </w:tcPr>
          <w:p w14:paraId="4AC346D9">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1.服务的时间：自签订合同完成并开始履行之日起2年。 </w:t>
            </w:r>
          </w:p>
          <w:p w14:paraId="0157E3DE">
            <w:pPr>
              <w:keepNext w:val="0"/>
              <w:keepLines w:val="0"/>
              <w:pageBreakBefore w:val="0"/>
              <w:widowControl/>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服务的地点：北海市第一幼儿园、北海市第二幼儿园、北海市第三幼儿园、北海市第一中学、北海市第五中学、北海市第八中学、北海市第十三中学、北海市特殊教育学校、北海市实验学校、北海市外国语实验学校。</w:t>
            </w:r>
          </w:p>
        </w:tc>
      </w:tr>
      <w:tr w14:paraId="33B5B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41" w:type="dxa"/>
            <w:vAlign w:val="center"/>
          </w:tcPr>
          <w:p w14:paraId="4E6F425E">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服务要求</w:t>
            </w:r>
          </w:p>
        </w:tc>
        <w:tc>
          <w:tcPr>
            <w:tcW w:w="8526" w:type="dxa"/>
            <w:vAlign w:val="center"/>
          </w:tcPr>
          <w:p w14:paraId="190E2D60">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中标人按照所服务单位划定的工作范围、工作内容及管理目标成立相关机构，制定相应工作流程、工作制度、监督考核办法，合理安排人员，科学管理，严格要求，达标运行。接受市教育局、所服务单位及相关职能部门的监督、检查、指导，发现问题及时沟通、整改，保证规范运行。</w:t>
            </w:r>
          </w:p>
          <w:p w14:paraId="601AFB02">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2.中标人须为聘用员工购买基本社会保险，对员工的疾病和人身安全负责，采购人不承担责任。</w:t>
            </w:r>
          </w:p>
          <w:p w14:paraId="0E91E1C0">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每季度接受所服务单位质量考核（按照招标文件、投标文件及合同条款标准进行考核），未达标准的从当季度应付款中扣除10‰服务费。连续两季度达不到标准且未及时整改的，所服务单位向采购人书面报告，且采购人有权终止合同。</w:t>
            </w:r>
          </w:p>
          <w:p w14:paraId="633050C8">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4.中标人须确保</w:t>
            </w:r>
            <w:r>
              <w:rPr>
                <w:rFonts w:hint="eastAsia" w:ascii="宋体" w:hAnsi="宋体" w:cs="宋体"/>
                <w:color w:val="auto"/>
                <w:sz w:val="24"/>
                <w:szCs w:val="24"/>
                <w:highlight w:val="none"/>
                <w:lang w:val="en-US" w:eastAsia="zh-CN"/>
              </w:rPr>
              <w:t>服务人员</w:t>
            </w:r>
            <w:r>
              <w:rPr>
                <w:rFonts w:hint="eastAsia" w:ascii="宋体" w:hAnsi="宋体" w:eastAsia="宋体" w:cs="宋体"/>
                <w:color w:val="auto"/>
                <w:sz w:val="24"/>
                <w:szCs w:val="24"/>
                <w:highlight w:val="none"/>
                <w:lang w:val="en-US" w:eastAsia="zh-CN"/>
              </w:rPr>
              <w:t>的工资待遇不低于北海市最低工资加社保</w:t>
            </w:r>
            <w:r>
              <w:rPr>
                <w:rFonts w:hint="eastAsia" w:ascii="宋体" w:hAnsi="宋体" w:cs="宋体"/>
                <w:color w:val="auto"/>
                <w:sz w:val="24"/>
                <w:szCs w:val="24"/>
                <w:highlight w:val="none"/>
                <w:lang w:val="en-US" w:eastAsia="zh-CN"/>
              </w:rPr>
              <w:t>。</w:t>
            </w:r>
          </w:p>
          <w:p w14:paraId="6BFF3588">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5.中标人的服务工作人员必须经过上岗前培训，符合国家有关劳动用工的法律法规。上班时必须佩戴工卡、穿统一制服。</w:t>
            </w:r>
          </w:p>
          <w:p w14:paraId="4C505D95">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6.管理范围内发生的人身伤害、物品被盗、人为损坏设备设施，属中标人及其工作人员管理不善原因造成的，由中标人负责赔偿。</w:t>
            </w:r>
          </w:p>
          <w:p w14:paraId="5BEB57F0">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中标人工作人员应固定保持在90%以上，凡更换人员必须向所服务单位申请，经所服务单位和教育局同意后方可更换，并做好交接班工作，若因交接班衔接不好，致使所服务单位工作受到影响者，按考核制度处罚。</w:t>
            </w:r>
          </w:p>
          <w:p w14:paraId="731BE879">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中标人在提供管理服务时必须做好各项安全防范措施，中标人所有工作人员在合约期间如发生任何人身意外（生病、伤亡事故）、事故、触犯法律法规（包括劳动用工制度、发生劳资纠纷、所服务单位的规章制度等）、或损坏学校的设施和物品，由中标人负责处理并承担经济和责任。</w:t>
            </w:r>
          </w:p>
          <w:p w14:paraId="42BDA36F">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若中标人违约，未能达到招标文件中约定的管理目标，所服务单位有权要求中标人在规定时间内进行整改；如中标人未能按时整改，所服务单位有权向教育局申请与中标人解除合同，中标人须承担违约责任；造成所服务单位和教育局经济损失的，按造成的实际损失予以赔偿。</w:t>
            </w:r>
          </w:p>
          <w:p w14:paraId="3A9EAFC9">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10.若中标人擅自转包、分包，或以任何形式与第三方进行合作的属违约，一经查实，中标人应向所服务单位及教育局承担违约责任，所服务单位和教育局有权解除合同。</w:t>
            </w:r>
          </w:p>
          <w:p w14:paraId="6CD7BD4A">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11.中标人若违背本招标文件中确定的义务，必须承担违约责任。</w:t>
            </w:r>
          </w:p>
          <w:p w14:paraId="275E8274">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12.中标人及其工作人员在所服务单位交由中标人管理和服务的工作区域内违法犯罪属实，中标人应赔偿并承担相应的法律责任，并不得再使用有关员工。</w:t>
            </w:r>
          </w:p>
          <w:p w14:paraId="7238BC37">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13.服务人员要求：</w:t>
            </w:r>
          </w:p>
          <w:p w14:paraId="3A006A90">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（1）用工人数不少于各服务单位要求的人数。</w:t>
            </w:r>
          </w:p>
          <w:p w14:paraId="67824AC2">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（2）上岗人员必须经过岗前培训。</w:t>
            </w:r>
          </w:p>
          <w:p w14:paraId="36BD7026">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（3）上岗人员的服装及所有的福利由</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承担。</w:t>
            </w:r>
          </w:p>
          <w:p w14:paraId="25DC806A">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（4）对于不服从安排的服务人员，</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需向所服务单位及教育局进行书面申请，并在采购人同意后的2个工作日内替换新的服务人员。</w:t>
            </w:r>
          </w:p>
        </w:tc>
      </w:tr>
      <w:tr w14:paraId="3F508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41" w:type="dxa"/>
            <w:vAlign w:val="center"/>
          </w:tcPr>
          <w:p w14:paraId="6CD57F06">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考核要求</w:t>
            </w:r>
          </w:p>
        </w:tc>
        <w:tc>
          <w:tcPr>
            <w:tcW w:w="8526" w:type="dxa"/>
            <w:vAlign w:val="center"/>
          </w:tcPr>
          <w:p w14:paraId="7A58ACF8">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1.对当班工作人员要严加管理，发生空岗、缺岗、脱岗、睡岗、上岗前喝酒（以人为记录和电子记录为准）等行为的，每次处罚100元，严重行为即时更换并处理。</w:t>
            </w:r>
          </w:p>
          <w:p w14:paraId="185FF390">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2.发生不法分子对所服务单位的干扰，特别是暴恐和盗窃事件不及时妥善处理（阻止、制止、控制）的，每次处罚</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1000—3000元。</w:t>
            </w:r>
          </w:p>
          <w:p w14:paraId="2B801D24">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3.当班人员责任心不强，服务不到位导致公共设施被盗、被破坏的，</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及当班人员应共同承担相应的法律及经济损失赔偿责任，责任的界定由所服务单位确定或由公安司法部门裁定。</w:t>
            </w:r>
          </w:p>
          <w:p w14:paraId="1B3F99C2">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4.当班人员须着规定制服上班，不穿制服上班的，每人每次扣100元。</w:t>
            </w:r>
          </w:p>
          <w:p w14:paraId="54CABD13">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在所服务单位所属范围内开展工作，做到不迟到，不早退。有交接班的岗位须提前10分钟到达交接地点，并认真做好交接班工作，检查所配装备是否完好有效，并填报《值班交接记录表》。上班迟到、早退达到10分钟的每人每次扣50元，迟到、早退超过30分钟的算旷工。</w:t>
            </w:r>
          </w:p>
          <w:p w14:paraId="42E9B631">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6.不开展交接班工作的，每人每次50元。因交接班工作盘点财物不到位造成损失的由交接班双方共同承担。</w:t>
            </w:r>
          </w:p>
          <w:p w14:paraId="0757B8A8">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7.详细考核标准详见本章节附件：物业管理服务考核标准。</w:t>
            </w:r>
          </w:p>
        </w:tc>
      </w:tr>
      <w:tr w14:paraId="2B624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41" w:type="dxa"/>
            <w:vAlign w:val="center"/>
          </w:tcPr>
          <w:p w14:paraId="592E9344">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服务监管</w:t>
            </w:r>
          </w:p>
        </w:tc>
        <w:tc>
          <w:tcPr>
            <w:tcW w:w="8526" w:type="dxa"/>
            <w:vAlign w:val="center"/>
          </w:tcPr>
          <w:p w14:paraId="755813B6">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（1）供应商自行负责对派出的工作人员进行政治思想、职业道德、业务技术、劳动纪律的教育和培训。</w:t>
            </w:r>
          </w:p>
          <w:p w14:paraId="1AB8C59F">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选派的工作人员须经过岗前专业培训，上岗后继续对工作人员进行必要的教育和训练，保证工作人员的素质满足所服务单位工作的要求；保留工作人员的身份证复印件、个人简历等资料，并保证所提供资料的真实性，供应商不得随意减少或更换所派出的服务人员。</w:t>
            </w:r>
          </w:p>
          <w:p w14:paraId="5C731CDA">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（3）供应商负责按时支付工作人员的工资和福利费用，提供工作人员的执勤被服、工具等基本条件。</w:t>
            </w:r>
          </w:p>
          <w:p w14:paraId="29626B2A">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所服务单位有权对工作人员的工作进行检查、督促、评价，对不称职的工作人员提出批评及教育，屡教不改者，有权要求更换工作人员，并将实际情况以书面形式向供应商提出撤换的要求，供应商在接到撤换要求书后三个工作日内做出更换。</w:t>
            </w:r>
          </w:p>
          <w:p w14:paraId="04328723">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（5）所服务单位对供应商拟派的工作人员的一切行为所产生的后果不承担任何责任，供应商须自行就问题进行解决处理。</w:t>
            </w:r>
          </w:p>
          <w:p w14:paraId="5DDA385F">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（6）供应商若发现工作期间的影藏因素存在的安全隐患可向所服务单位提出改进意见，并和所服务单位进行协商处理。</w:t>
            </w:r>
          </w:p>
          <w:p w14:paraId="731B4F6C">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所服务单位有权对供应商的工作进行考核，发现供应商不按照合同约定开展工作，对工作人员管理不规范、不严格，培训及安全措施不能达到所服务单位要求，第一次予以警告，第二次予以处罚，对连续三次不达标也不整改者（以书面通知为准），采购人有权解除合同。</w:t>
            </w:r>
          </w:p>
          <w:p w14:paraId="34057520">
            <w:pPr>
              <w:keepNext w:val="0"/>
              <w:keepLines w:val="0"/>
              <w:pageBreakBefore w:val="0"/>
              <w:widowControl/>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（8）服务期满后，须把服务期间涉及的所有档案移交给所服务单位，并在十个工作日内和新接替工作的</w:t>
            </w:r>
            <w:r>
              <w:rPr>
                <w:rFonts w:hint="eastAsia" w:ascii="宋体" w:hAnsi="宋体" w:cs="宋体"/>
                <w:color w:val="auto"/>
                <w:sz w:val="24"/>
                <w:szCs w:val="24"/>
                <w:highlight w:val="none"/>
                <w:lang w:val="en-US" w:eastAsia="zh-CN"/>
              </w:rPr>
              <w:t>物业</w:t>
            </w:r>
            <w:r>
              <w:rPr>
                <w:rFonts w:hint="eastAsia" w:ascii="宋体" w:hAnsi="宋体" w:eastAsia="宋体" w:cs="宋体"/>
                <w:color w:val="auto"/>
                <w:sz w:val="24"/>
                <w:szCs w:val="24"/>
                <w:highlight w:val="none"/>
                <w:lang w:val="en-US" w:eastAsia="zh-CN"/>
              </w:rPr>
              <w:t>公司进行工作交接，若出现不可抗力因素导致无法在规定时间内进行交接，供应商须书面告知所服务单位。</w:t>
            </w:r>
          </w:p>
        </w:tc>
      </w:tr>
      <w:tr w14:paraId="6B4FA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41" w:type="dxa"/>
            <w:vAlign w:val="center"/>
          </w:tcPr>
          <w:p w14:paraId="1F9F4105">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服务质量要求</w:t>
            </w:r>
          </w:p>
        </w:tc>
        <w:tc>
          <w:tcPr>
            <w:tcW w:w="8526" w:type="dxa"/>
            <w:vAlign w:val="center"/>
          </w:tcPr>
          <w:p w14:paraId="3AFDE69B">
            <w:pPr>
              <w:keepNext w:val="0"/>
              <w:keepLines w:val="0"/>
              <w:pageBreakBefore w:val="0"/>
              <w:widowControl/>
              <w:kinsoku/>
              <w:wordWrap/>
              <w:overflowPunct/>
              <w:topLinePunct w:val="0"/>
              <w:autoSpaceDE/>
              <w:autoSpaceDN/>
              <w:bidi w:val="0"/>
              <w:adjustRightInd/>
              <w:snapToGrid/>
              <w:spacing w:line="52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每月接受采购人或校方单位质量考核，未达标准从承包价中扣除。满意率至少在85％以上</w:t>
            </w:r>
            <w:r>
              <w:rPr>
                <w:rFonts w:hint="eastAsia" w:ascii="宋体" w:hAnsi="宋体" w:eastAsia="宋体" w:cs="宋体"/>
                <w:b/>
                <w:bCs/>
                <w:color w:val="auto"/>
                <w:sz w:val="24"/>
                <w:szCs w:val="24"/>
                <w:highlight w:val="none"/>
                <w:lang w:val="en-US" w:eastAsia="zh-CN"/>
              </w:rPr>
              <w:t>（各服务学校另有要求的该学校要求为准）</w:t>
            </w:r>
            <w:r>
              <w:rPr>
                <w:rFonts w:hint="eastAsia" w:ascii="宋体" w:hAnsi="宋体" w:eastAsia="宋体" w:cs="宋体"/>
                <w:color w:val="auto"/>
                <w:sz w:val="24"/>
                <w:szCs w:val="24"/>
                <w:highlight w:val="none"/>
                <w:lang w:val="en-US" w:eastAsia="zh-CN"/>
              </w:rPr>
              <w:t>、合同履约率达98%以上、上岗培训合格率达100%、合理投诉解决率达100%，连续两个月达不到，采购人可以终止合同。</w:t>
            </w:r>
          </w:p>
        </w:tc>
      </w:tr>
      <w:tr w14:paraId="3F77C8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41" w:type="dxa"/>
            <w:vAlign w:val="center"/>
          </w:tcPr>
          <w:p w14:paraId="178C5493">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保密要求</w:t>
            </w:r>
          </w:p>
        </w:tc>
        <w:tc>
          <w:tcPr>
            <w:tcW w:w="8526" w:type="dxa"/>
            <w:vAlign w:val="center"/>
          </w:tcPr>
          <w:p w14:paraId="006E3593">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不得以任何形式</w:t>
            </w:r>
            <w:r>
              <w:rPr>
                <w:rFonts w:hint="eastAsia" w:ascii="宋体" w:hAnsi="宋体" w:cs="宋体"/>
                <w:color w:val="auto"/>
                <w:sz w:val="24"/>
                <w:szCs w:val="24"/>
                <w:highlight w:val="none"/>
                <w:lang w:val="en-US" w:eastAsia="zh-CN"/>
              </w:rPr>
              <w:t>违规</w:t>
            </w:r>
            <w:r>
              <w:rPr>
                <w:rFonts w:hint="eastAsia" w:ascii="宋体" w:hAnsi="宋体" w:eastAsia="宋体" w:cs="宋体"/>
                <w:color w:val="auto"/>
                <w:sz w:val="24"/>
                <w:szCs w:val="24"/>
                <w:highlight w:val="none"/>
                <w:lang w:val="en-US" w:eastAsia="zh-CN"/>
              </w:rPr>
              <w:t>向第三方透露本项目服务时的任何内容。如有泄密，需承担相应的法律责任。</w:t>
            </w:r>
          </w:p>
        </w:tc>
      </w:tr>
      <w:tr w14:paraId="06C03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41" w:type="dxa"/>
            <w:vAlign w:val="center"/>
          </w:tcPr>
          <w:p w14:paraId="32BA753F">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违约责任</w:t>
            </w:r>
          </w:p>
        </w:tc>
        <w:tc>
          <w:tcPr>
            <w:tcW w:w="8526" w:type="dxa"/>
            <w:vAlign w:val="center"/>
          </w:tcPr>
          <w:p w14:paraId="61C0D52E">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 若</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所提供服务成果，无法达到本项目招标文件要求以及投标文件所承诺的内容的，所服务单位和教育局有权要求</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作出整改。如整改完毕仍达不到上述要求的，所服务单位和教育局有权拒绝支付款项，且</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应向所服务单位和教育局支付中标总金额的5%作为违约金并赔偿所服务单位和教育局的一切损失。</w:t>
            </w:r>
          </w:p>
          <w:p w14:paraId="0820E3B2">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 违约责任的赔偿不意味违约方整个合同责任的解除，未经所服务单位和教育局同意，</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不得以任何理由推迟、降低、减少有关合同条款履行的承诺。</w:t>
            </w:r>
          </w:p>
          <w:p w14:paraId="2269F725">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 其它违约行为按成交总金额5%收取违约金并赔偿其他经济损失。</w:t>
            </w:r>
          </w:p>
        </w:tc>
      </w:tr>
      <w:tr w14:paraId="7D5FD2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41" w:type="dxa"/>
            <w:vAlign w:val="center"/>
          </w:tcPr>
          <w:p w14:paraId="7F1F92B1">
            <w:pPr>
              <w:keepNext w:val="0"/>
              <w:keepLines w:val="0"/>
              <w:pageBreakBefore w:val="0"/>
              <w:widowControl/>
              <w:kinsoku/>
              <w:wordWrap/>
              <w:overflowPunct/>
              <w:topLinePunct w:val="0"/>
              <w:autoSpaceDE/>
              <w:autoSpaceDN/>
              <w:bidi w:val="0"/>
              <w:adjustRightInd/>
              <w:snapToGrid/>
              <w:spacing w:line="520" w:lineRule="exact"/>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付款条件</w:t>
            </w:r>
          </w:p>
        </w:tc>
        <w:tc>
          <w:tcPr>
            <w:tcW w:w="8526" w:type="dxa"/>
            <w:vAlign w:val="center"/>
          </w:tcPr>
          <w:p w14:paraId="7FA30005">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自合同签订后且中标单位服务人员进场（进场时间以各服务单位具体要求为准）、财政资金到位后，预付合同总金额的10%;剩余款项按季度平均支付，每季度第一个月支付上季度服务费。</w:t>
            </w:r>
          </w:p>
          <w:p w14:paraId="099629D6">
            <w:pPr>
              <w:keepNext w:val="0"/>
              <w:keepLines w:val="0"/>
              <w:pageBreakBefore w:val="0"/>
              <w:widowControl/>
              <w:kinsoku/>
              <w:wordWrap/>
              <w:overflowPunct/>
              <w:topLinePunct w:val="0"/>
              <w:autoSpaceDE/>
              <w:autoSpaceDN/>
              <w:bidi w:val="0"/>
              <w:adjustRightInd/>
              <w:snapToGrid/>
              <w:spacing w:line="52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采购人根据每季度考核结果结算支付。三方在签订合同时可就服务质量及检查标准制定奖罚细则，在支付服务费用时采购人（甲方）、服务单位（丙方）有权根据奖罚细则增减服务费用的支付或终止合同。每次请款供应商（乙方）先交请款申请函，后根据要求开具发票，再根据实际情况、考核情况付款。</w:t>
            </w:r>
          </w:p>
        </w:tc>
      </w:tr>
      <w:tr w14:paraId="6644C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341" w:type="dxa"/>
            <w:vAlign w:val="center"/>
          </w:tcPr>
          <w:p w14:paraId="7712DFD7">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其他要求</w:t>
            </w:r>
          </w:p>
        </w:tc>
        <w:tc>
          <w:tcPr>
            <w:tcW w:w="8526" w:type="dxa"/>
            <w:vAlign w:val="center"/>
          </w:tcPr>
          <w:p w14:paraId="2F92E30D">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为了更好履约及支持中小企业发展，本标项与其他标项兼投不兼中。评审规则：本项目划分为1、2、3、4四个分标，实行兼投不兼中，供应商可以同时参与多个分标投标，但只能中标一个分标。评标委员会严格按照1→2→3→4的顺序依次开展评审；若某供应商在前序分标被确定为第一中标候选人，该供应商不再进入后续所有分标的详细评审及中标候选人推荐环节，在后续所有分标评审中，评标委员会直接对其作符合性审查否决处理，后续分标从剩余有效投标人（不得少于3家）中正常评审。</w:t>
            </w:r>
          </w:p>
        </w:tc>
      </w:tr>
    </w:tbl>
    <w:p w14:paraId="1691B4A2">
      <w:pPr>
        <w:bidi w:val="0"/>
        <w:rPr>
          <w:rFonts w:hint="default" w:ascii="Times New Roman" w:hAnsi="Times New Roman" w:cs="Times New Roman"/>
          <w:color w:val="auto"/>
          <w:highlight w:val="none"/>
          <w:lang w:val="en-US" w:eastAsia="zh-CN"/>
        </w:rPr>
      </w:pPr>
    </w:p>
    <w:p w14:paraId="26EADD6B">
      <w:pPr>
        <w:pStyle w:val="513"/>
        <w:spacing w:line="440" w:lineRule="exact"/>
        <w:ind w:firstLine="462"/>
        <w:jc w:val="center"/>
        <w:outlineLvl w:val="1"/>
        <w:rPr>
          <w:rFonts w:hint="eastAsia" w:ascii="宋体" w:hAnsi="宋体" w:cs="宋体"/>
          <w:b/>
          <w:color w:val="auto"/>
          <w:sz w:val="36"/>
          <w:szCs w:val="36"/>
          <w:highlight w:val="none"/>
        </w:rPr>
      </w:pPr>
    </w:p>
    <w:p w14:paraId="18086F4E">
      <w:pPr>
        <w:pStyle w:val="513"/>
        <w:spacing w:line="440" w:lineRule="exact"/>
        <w:ind w:firstLine="462"/>
        <w:jc w:val="center"/>
        <w:outlineLvl w:val="1"/>
        <w:rPr>
          <w:rFonts w:hint="eastAsia" w:ascii="宋体" w:hAnsi="宋体" w:cs="宋体"/>
          <w:b/>
          <w:color w:val="auto"/>
          <w:sz w:val="36"/>
          <w:szCs w:val="36"/>
          <w:highlight w:val="none"/>
        </w:rPr>
      </w:pPr>
    </w:p>
    <w:p w14:paraId="111AA9B2">
      <w:pPr>
        <w:pStyle w:val="513"/>
        <w:spacing w:line="440" w:lineRule="exact"/>
        <w:ind w:firstLine="462"/>
        <w:jc w:val="center"/>
        <w:outlineLvl w:val="1"/>
        <w:rPr>
          <w:rFonts w:hint="eastAsia" w:ascii="宋体" w:hAnsi="宋体" w:cs="宋体"/>
          <w:b/>
          <w:color w:val="auto"/>
          <w:sz w:val="36"/>
          <w:szCs w:val="36"/>
          <w:highlight w:val="none"/>
        </w:rPr>
      </w:pPr>
    </w:p>
    <w:p w14:paraId="7B43D6CF">
      <w:pPr>
        <w:pStyle w:val="513"/>
        <w:spacing w:line="440" w:lineRule="exact"/>
        <w:ind w:firstLine="462"/>
        <w:jc w:val="center"/>
        <w:outlineLvl w:val="1"/>
        <w:rPr>
          <w:rFonts w:hint="eastAsia" w:ascii="宋体" w:hAnsi="宋体" w:cs="宋体"/>
          <w:b/>
          <w:color w:val="auto"/>
          <w:sz w:val="36"/>
          <w:szCs w:val="36"/>
          <w:highlight w:val="none"/>
        </w:rPr>
      </w:pPr>
    </w:p>
    <w:p w14:paraId="557B23F0">
      <w:pPr>
        <w:pStyle w:val="513"/>
        <w:spacing w:line="440" w:lineRule="exact"/>
        <w:ind w:firstLine="462"/>
        <w:jc w:val="center"/>
        <w:outlineLvl w:val="1"/>
        <w:rPr>
          <w:color w:val="auto"/>
          <w:sz w:val="36"/>
          <w:szCs w:val="36"/>
          <w:highlight w:val="none"/>
          <w:lang w:val="zh-CN"/>
        </w:rPr>
      </w:pPr>
      <w:r>
        <w:rPr>
          <w:rFonts w:hint="eastAsia" w:ascii="宋体" w:hAnsi="宋体" w:cs="宋体"/>
          <w:b/>
          <w:color w:val="auto"/>
          <w:sz w:val="36"/>
          <w:szCs w:val="36"/>
          <w:highlight w:val="none"/>
        </w:rPr>
        <w:t>标项四：物业服务4</w:t>
      </w:r>
    </w:p>
    <w:p w14:paraId="66FD32A9">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说明：</w:t>
      </w:r>
    </w:p>
    <w:p w14:paraId="1879E4D4">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1.本项目的政府采购预算控制价为人民币</w:t>
      </w:r>
      <w:r>
        <w:rPr>
          <w:rFonts w:hint="eastAsia" w:ascii="宋体" w:hAnsi="宋体" w:cs="宋体"/>
          <w:color w:val="auto"/>
          <w:sz w:val="24"/>
          <w:highlight w:val="none"/>
          <w:lang w:val="en-US" w:eastAsia="zh-CN"/>
        </w:rPr>
        <w:t>45948</w:t>
      </w:r>
      <w:r>
        <w:rPr>
          <w:rFonts w:hint="eastAsia" w:ascii="宋体" w:hAnsi="宋体" w:cs="宋体"/>
          <w:color w:val="auto"/>
          <w:sz w:val="24"/>
          <w:highlight w:val="none"/>
        </w:rPr>
        <w:t>00</w:t>
      </w:r>
      <w:r>
        <w:rPr>
          <w:rFonts w:hint="eastAsia" w:ascii="宋体" w:hAnsi="宋体" w:cs="宋体"/>
          <w:color w:val="auto"/>
          <w:szCs w:val="21"/>
          <w:highlight w:val="none"/>
        </w:rPr>
        <w:t>元，高于预算控制价的报价将视为无效投标。</w:t>
      </w:r>
    </w:p>
    <w:p w14:paraId="199EB070">
      <w:pPr>
        <w:spacing w:line="44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bCs/>
          <w:color w:val="auto"/>
          <w:szCs w:val="21"/>
          <w:highlight w:val="none"/>
        </w:rPr>
        <w:t>采购需求中标注“★”的内容必须满足或者优于，否则投标无效。</w:t>
      </w:r>
    </w:p>
    <w:p w14:paraId="007B5294">
      <w:pPr>
        <w:spacing w:line="440" w:lineRule="exact"/>
        <w:ind w:firstLine="420" w:firstLineChars="200"/>
        <w:jc w:val="left"/>
        <w:rPr>
          <w:rFonts w:ascii="宋体" w:hAnsi="宋体" w:cs="宋体"/>
          <w:color w:val="auto"/>
          <w:szCs w:val="21"/>
          <w:highlight w:val="none"/>
        </w:rPr>
      </w:pPr>
      <w:r>
        <w:rPr>
          <w:rFonts w:hint="eastAsia" w:ascii="宋体" w:hAnsi="宋体" w:cs="宋体"/>
          <w:color w:val="auto"/>
          <w:szCs w:val="21"/>
          <w:highlight w:val="none"/>
        </w:rPr>
        <w:t>3.根据《关于印发中小企业划型标准规定的通知》（工信部联企业</w:t>
      </w:r>
      <w:r>
        <w:rPr>
          <w:rFonts w:hint="eastAsia" w:ascii="宋体" w:hAnsi="宋体" w:cs="Book Antiqua"/>
          <w:color w:val="auto"/>
          <w:szCs w:val="21"/>
          <w:highlight w:val="none"/>
        </w:rPr>
        <w:t>〔2011〕</w:t>
      </w:r>
      <w:r>
        <w:rPr>
          <w:rFonts w:hint="eastAsia" w:ascii="宋体" w:hAnsi="宋体" w:cs="宋体"/>
          <w:color w:val="auto"/>
          <w:szCs w:val="21"/>
          <w:highlight w:val="none"/>
        </w:rPr>
        <w:t>300号）规定的划分标准，本项目采购所有标的对应的中小企业划分标准所属行业为：</w:t>
      </w:r>
      <w:r>
        <w:rPr>
          <w:rFonts w:hint="eastAsia" w:ascii="宋体" w:hAnsi="宋体" w:cs="Book Antiqua"/>
          <w:b/>
          <w:color w:val="auto"/>
          <w:szCs w:val="21"/>
          <w:highlight w:val="none"/>
          <w:lang w:eastAsia="zh-CN"/>
        </w:rPr>
        <w:t>物业管理</w:t>
      </w:r>
      <w:r>
        <w:rPr>
          <w:rFonts w:hint="eastAsia" w:ascii="宋体" w:hAnsi="宋体" w:cs="宋体"/>
          <w:color w:val="auto"/>
          <w:szCs w:val="21"/>
          <w:highlight w:val="none"/>
        </w:rPr>
        <w:t>。</w:t>
      </w:r>
    </w:p>
    <w:tbl>
      <w:tblPr>
        <w:tblStyle w:val="64"/>
        <w:tblW w:w="989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29"/>
        <w:gridCol w:w="8662"/>
      </w:tblGrid>
      <w:tr w14:paraId="3FB89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91" w:type="dxa"/>
            <w:gridSpan w:val="2"/>
            <w:shd w:val="clear" w:color="auto" w:fill="auto"/>
            <w:vAlign w:val="center"/>
          </w:tcPr>
          <w:p w14:paraId="08306D9C">
            <w:pPr>
              <w:spacing w:line="440" w:lineRule="exact"/>
              <w:ind w:firstLine="720" w:firstLineChars="200"/>
              <w:jc w:val="left"/>
              <w:rPr>
                <w:rFonts w:hint="default" w:ascii="Times New Roman" w:hAnsi="Times New Roman" w:eastAsia="仿宋_GB2312" w:cs="Times New Roman"/>
                <w:color w:val="auto"/>
                <w:sz w:val="24"/>
                <w:szCs w:val="24"/>
                <w:highlight w:val="none"/>
              </w:rPr>
            </w:pPr>
            <w:r>
              <w:rPr>
                <w:rFonts w:hint="eastAsia" w:ascii="宋体" w:hAnsi="宋体" w:cs="宋体"/>
                <w:bCs/>
                <w:color w:val="auto"/>
                <w:sz w:val="36"/>
                <w:szCs w:val="36"/>
                <w:highlight w:val="none"/>
              </w:rPr>
              <w:t>★</w:t>
            </w:r>
            <w:r>
              <w:rPr>
                <w:rFonts w:hint="eastAsia" w:ascii="宋体" w:hAnsi="宋体" w:cs="宋体"/>
                <w:b/>
                <w:color w:val="auto"/>
                <w:sz w:val="36"/>
                <w:szCs w:val="36"/>
                <w:highlight w:val="none"/>
              </w:rPr>
              <w:t>技术要求</w:t>
            </w:r>
          </w:p>
        </w:tc>
      </w:tr>
      <w:tr w14:paraId="18524D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91" w:type="dxa"/>
            <w:gridSpan w:val="2"/>
            <w:vMerge w:val="restart"/>
            <w:shd w:val="clear" w:color="auto" w:fill="auto"/>
            <w:vAlign w:val="center"/>
          </w:tcPr>
          <w:p w14:paraId="4AA4382E">
            <w:pPr>
              <w:pStyle w:val="24"/>
              <w:keepNext w:val="0"/>
              <w:keepLines w:val="0"/>
              <w:pageBreakBefore w:val="0"/>
              <w:widowControl w:val="0"/>
              <w:kinsoku/>
              <w:wordWrap/>
              <w:overflowPunct/>
              <w:topLinePunct w:val="0"/>
              <w:autoSpaceDE/>
              <w:autoSpaceDN/>
              <w:bidi w:val="0"/>
              <w:snapToGrid/>
              <w:spacing w:line="44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一、服务范围和内容</w:t>
            </w:r>
          </w:p>
          <w:p w14:paraId="7332EE53">
            <w:pPr>
              <w:pStyle w:val="24"/>
              <w:keepNext w:val="0"/>
              <w:keepLines w:val="0"/>
              <w:pageBreakBefore w:val="0"/>
              <w:widowControl w:val="0"/>
              <w:kinsoku/>
              <w:wordWrap/>
              <w:overflowPunct/>
              <w:topLinePunct w:val="0"/>
              <w:autoSpaceDE/>
              <w:autoSpaceDN/>
              <w:bidi w:val="0"/>
              <w:snapToGrid/>
              <w:spacing w:line="44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（一）服务范围</w:t>
            </w:r>
          </w:p>
          <w:p w14:paraId="0B4CEB1D">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为派驻学校校园全域（包括所有建筑物、公共场所）提供物业服务，负责</w:t>
            </w:r>
            <w:r>
              <w:rPr>
                <w:rFonts w:hint="eastAsia" w:ascii="宋体" w:hAnsi="宋体" w:eastAsia="宋体" w:cs="宋体"/>
                <w:color w:val="auto"/>
                <w:sz w:val="24"/>
                <w:szCs w:val="24"/>
                <w:highlight w:val="none"/>
              </w:rPr>
              <w:t>学校卫生保洁、绿化维护管理和</w:t>
            </w:r>
            <w:r>
              <w:rPr>
                <w:rFonts w:hint="eastAsia" w:ascii="宋体" w:hAnsi="宋体" w:eastAsia="宋体" w:cs="宋体"/>
                <w:color w:val="auto"/>
                <w:sz w:val="24"/>
                <w:szCs w:val="24"/>
                <w:highlight w:val="none"/>
                <w:lang w:val="en-US" w:eastAsia="zh-CN"/>
              </w:rPr>
              <w:t>日常维修等服务。</w:t>
            </w:r>
          </w:p>
          <w:p w14:paraId="056FF003">
            <w:pPr>
              <w:pStyle w:val="24"/>
              <w:keepNext w:val="0"/>
              <w:keepLines w:val="0"/>
              <w:pageBreakBefore w:val="0"/>
              <w:widowControl w:val="0"/>
              <w:kinsoku/>
              <w:wordWrap/>
              <w:overflowPunct/>
              <w:topLinePunct w:val="0"/>
              <w:autoSpaceDE/>
              <w:autoSpaceDN/>
              <w:bidi w:val="0"/>
              <w:snapToGrid/>
              <w:spacing w:line="44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（二）服务内容</w:t>
            </w:r>
          </w:p>
          <w:p w14:paraId="6CF8516A">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 校园内物业负责公共路面、卫生间、校领导办公室等所有公共卫生区域的卫生清洁、垃圾收集、卫生间简单管道疏通等清洁保洁服务；</w:t>
            </w:r>
          </w:p>
          <w:p w14:paraId="51C5574C">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 校区内公共绿地、花木、建筑小品的养护管理；</w:t>
            </w:r>
          </w:p>
          <w:p w14:paraId="7D114672">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 校内学生宿舍的管理服务；</w:t>
            </w:r>
          </w:p>
          <w:p w14:paraId="1AAC8A58">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 水电维修管理、协助学校完成设施设备维修保养；积极完成校方安排的其他临时工作任务。</w:t>
            </w:r>
          </w:p>
          <w:p w14:paraId="4521141D">
            <w:pPr>
              <w:pStyle w:val="24"/>
              <w:keepNext w:val="0"/>
              <w:keepLines w:val="0"/>
              <w:pageBreakBefore w:val="0"/>
              <w:widowControl w:val="0"/>
              <w:kinsoku/>
              <w:wordWrap/>
              <w:overflowPunct/>
              <w:topLinePunct w:val="0"/>
              <w:autoSpaceDE/>
              <w:autoSpaceDN/>
              <w:bidi w:val="0"/>
              <w:snapToGrid/>
              <w:spacing w:line="440" w:lineRule="exac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（三）人员需求表</w:t>
            </w:r>
          </w:p>
          <w:tbl>
            <w:tblPr>
              <w:tblStyle w:val="64"/>
              <w:tblW w:w="84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3"/>
              <w:gridCol w:w="3172"/>
              <w:gridCol w:w="1440"/>
              <w:gridCol w:w="1240"/>
              <w:gridCol w:w="1920"/>
            </w:tblGrid>
            <w:tr w14:paraId="5D737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673" w:type="dxa"/>
                  <w:vAlign w:val="center"/>
                </w:tcPr>
                <w:p w14:paraId="307E5D98">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序号</w:t>
                  </w:r>
                </w:p>
              </w:tc>
              <w:tc>
                <w:tcPr>
                  <w:tcW w:w="3172" w:type="dxa"/>
                  <w:vAlign w:val="center"/>
                </w:tcPr>
                <w:p w14:paraId="23FA6BE7">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hAnsi="宋体" w:cs="宋体"/>
                      <w:color w:val="auto"/>
                      <w:sz w:val="24"/>
                      <w:szCs w:val="24"/>
                      <w:highlight w:val="none"/>
                      <w:vertAlign w:val="baseline"/>
                      <w:lang w:val="en-US" w:eastAsia="zh-CN"/>
                    </w:rPr>
                    <w:t>服务单位</w:t>
                  </w:r>
                </w:p>
              </w:tc>
              <w:tc>
                <w:tcPr>
                  <w:tcW w:w="1440" w:type="dxa"/>
                  <w:vAlign w:val="center"/>
                </w:tcPr>
                <w:p w14:paraId="2F4F1F0E">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人员类别</w:t>
                  </w:r>
                </w:p>
              </w:tc>
              <w:tc>
                <w:tcPr>
                  <w:tcW w:w="1240" w:type="dxa"/>
                  <w:vAlign w:val="center"/>
                </w:tcPr>
                <w:p w14:paraId="6AA13FCD">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配备人数</w:t>
                  </w:r>
                </w:p>
              </w:tc>
              <w:tc>
                <w:tcPr>
                  <w:tcW w:w="1920" w:type="dxa"/>
                  <w:vAlign w:val="center"/>
                </w:tcPr>
                <w:p w14:paraId="124032B2">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投标最高限价</w:t>
                  </w:r>
                </w:p>
                <w:p w14:paraId="7B54B5AC">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（万元）</w:t>
                  </w:r>
                </w:p>
              </w:tc>
            </w:tr>
            <w:tr w14:paraId="6EF30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7C03DE41">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3172" w:type="dxa"/>
                  <w:vMerge w:val="restart"/>
                  <w:vAlign w:val="center"/>
                </w:tcPr>
                <w:p w14:paraId="42C92765">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北海市机关幼儿园（北海市涠洲岛幼儿园）</w:t>
                  </w:r>
                </w:p>
              </w:tc>
              <w:tc>
                <w:tcPr>
                  <w:tcW w:w="1440" w:type="dxa"/>
                  <w:vAlign w:val="center"/>
                </w:tcPr>
                <w:p w14:paraId="66224549">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水电工</w:t>
                  </w:r>
                </w:p>
              </w:tc>
              <w:tc>
                <w:tcPr>
                  <w:tcW w:w="1240" w:type="dxa"/>
                  <w:vAlign w:val="center"/>
                </w:tcPr>
                <w:p w14:paraId="458A2B42">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1920" w:type="dxa"/>
                  <w:vMerge w:val="restart"/>
                  <w:vAlign w:val="center"/>
                </w:tcPr>
                <w:p w14:paraId="5CDBAF22">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lang w:val="en-US" w:eastAsia="zh-CN"/>
                    </w:rPr>
                    <w:t>72.45</w:t>
                  </w:r>
                </w:p>
              </w:tc>
            </w:tr>
            <w:tr w14:paraId="4617E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40DDD776">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3172" w:type="dxa"/>
                  <w:vMerge w:val="continue"/>
                  <w:vAlign w:val="center"/>
                </w:tcPr>
                <w:p w14:paraId="6FA87FE5">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440" w:type="dxa"/>
                  <w:vAlign w:val="center"/>
                </w:tcPr>
                <w:p w14:paraId="4A161CF7">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保洁员</w:t>
                  </w:r>
                </w:p>
              </w:tc>
              <w:tc>
                <w:tcPr>
                  <w:tcW w:w="1240" w:type="dxa"/>
                  <w:vAlign w:val="center"/>
                </w:tcPr>
                <w:p w14:paraId="7F46F9AF">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w:t>
                  </w:r>
                </w:p>
              </w:tc>
              <w:tc>
                <w:tcPr>
                  <w:tcW w:w="1920" w:type="dxa"/>
                  <w:vMerge w:val="continue"/>
                  <w:vAlign w:val="center"/>
                </w:tcPr>
                <w:p w14:paraId="7CFAB5FD">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r w14:paraId="282617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10BCBB94">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3172" w:type="dxa"/>
                  <w:vMerge w:val="continue"/>
                  <w:vAlign w:val="center"/>
                </w:tcPr>
                <w:p w14:paraId="13836228">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440" w:type="dxa"/>
                  <w:vAlign w:val="center"/>
                </w:tcPr>
                <w:p w14:paraId="1F726CE2">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绿化员</w:t>
                  </w:r>
                </w:p>
              </w:tc>
              <w:tc>
                <w:tcPr>
                  <w:tcW w:w="1240" w:type="dxa"/>
                  <w:vAlign w:val="center"/>
                </w:tcPr>
                <w:p w14:paraId="0ECDE543">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1920" w:type="dxa"/>
                  <w:vMerge w:val="continue"/>
                  <w:vAlign w:val="center"/>
                </w:tcPr>
                <w:p w14:paraId="1C7AED4F">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r w14:paraId="28270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1DEF10F1">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3172" w:type="dxa"/>
                  <w:vMerge w:val="restart"/>
                  <w:vAlign w:val="center"/>
                </w:tcPr>
                <w:p w14:paraId="2115B6B3">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北海市政府机关幼儿园</w:t>
                  </w:r>
                </w:p>
              </w:tc>
              <w:tc>
                <w:tcPr>
                  <w:tcW w:w="1440" w:type="dxa"/>
                  <w:vAlign w:val="center"/>
                </w:tcPr>
                <w:p w14:paraId="3DEAACB8">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保洁员</w:t>
                  </w:r>
                </w:p>
              </w:tc>
              <w:tc>
                <w:tcPr>
                  <w:tcW w:w="1240" w:type="dxa"/>
                  <w:vAlign w:val="center"/>
                </w:tcPr>
                <w:p w14:paraId="56130B23">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1920" w:type="dxa"/>
                  <w:vMerge w:val="restart"/>
                  <w:vAlign w:val="center"/>
                </w:tcPr>
                <w:p w14:paraId="35958EDF">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lang w:val="en-US" w:eastAsia="zh-CN"/>
                    </w:rPr>
                    <w:t>28.28</w:t>
                  </w:r>
                </w:p>
              </w:tc>
            </w:tr>
            <w:tr w14:paraId="20AB6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4E4E38A0">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3172" w:type="dxa"/>
                  <w:vMerge w:val="continue"/>
                  <w:vAlign w:val="center"/>
                </w:tcPr>
                <w:p w14:paraId="439764E3">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440" w:type="dxa"/>
                  <w:vAlign w:val="center"/>
                </w:tcPr>
                <w:p w14:paraId="3CA096BB">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绿化员</w:t>
                  </w:r>
                </w:p>
              </w:tc>
              <w:tc>
                <w:tcPr>
                  <w:tcW w:w="1240" w:type="dxa"/>
                  <w:vAlign w:val="center"/>
                </w:tcPr>
                <w:p w14:paraId="7D7A4989">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1920" w:type="dxa"/>
                  <w:vMerge w:val="continue"/>
                  <w:vAlign w:val="center"/>
                </w:tcPr>
                <w:p w14:paraId="2D6AE8FB">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r w14:paraId="287D63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7D52A753">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w:t>
                  </w:r>
                </w:p>
              </w:tc>
              <w:tc>
                <w:tcPr>
                  <w:tcW w:w="3172" w:type="dxa"/>
                  <w:vMerge w:val="restart"/>
                  <w:vAlign w:val="center"/>
                </w:tcPr>
                <w:p w14:paraId="592BAC99">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北海市第五幼儿园</w:t>
                  </w:r>
                </w:p>
              </w:tc>
              <w:tc>
                <w:tcPr>
                  <w:tcW w:w="1440" w:type="dxa"/>
                  <w:vAlign w:val="center"/>
                </w:tcPr>
                <w:p w14:paraId="01057D59">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保洁员</w:t>
                  </w:r>
                </w:p>
              </w:tc>
              <w:tc>
                <w:tcPr>
                  <w:tcW w:w="1240" w:type="dxa"/>
                  <w:vAlign w:val="center"/>
                </w:tcPr>
                <w:p w14:paraId="01C1E217">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1920" w:type="dxa"/>
                  <w:vMerge w:val="restart"/>
                  <w:vAlign w:val="center"/>
                </w:tcPr>
                <w:p w14:paraId="36CED03C">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lang w:val="en-US" w:eastAsia="zh-CN"/>
                    </w:rPr>
                    <w:t>26.61</w:t>
                  </w:r>
                </w:p>
              </w:tc>
            </w:tr>
            <w:tr w14:paraId="08009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214ED6D2">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3172" w:type="dxa"/>
                  <w:vMerge w:val="continue"/>
                  <w:vAlign w:val="center"/>
                </w:tcPr>
                <w:p w14:paraId="3F49A54A">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440" w:type="dxa"/>
                  <w:vAlign w:val="center"/>
                </w:tcPr>
                <w:p w14:paraId="00784A71">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绿化员</w:t>
                  </w:r>
                </w:p>
              </w:tc>
              <w:tc>
                <w:tcPr>
                  <w:tcW w:w="1240" w:type="dxa"/>
                  <w:vAlign w:val="center"/>
                </w:tcPr>
                <w:p w14:paraId="357CBC20">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1920" w:type="dxa"/>
                  <w:vMerge w:val="continue"/>
                  <w:vAlign w:val="center"/>
                </w:tcPr>
                <w:p w14:paraId="65BF79D1">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r w14:paraId="42A9A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3C5EF8C1">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w:t>
                  </w:r>
                </w:p>
              </w:tc>
              <w:tc>
                <w:tcPr>
                  <w:tcW w:w="3172" w:type="dxa"/>
                  <w:vMerge w:val="restart"/>
                  <w:vAlign w:val="center"/>
                </w:tcPr>
                <w:p w14:paraId="7FB5B790">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北海市第三中学</w:t>
                  </w:r>
                </w:p>
              </w:tc>
              <w:tc>
                <w:tcPr>
                  <w:tcW w:w="1440" w:type="dxa"/>
                  <w:vAlign w:val="center"/>
                </w:tcPr>
                <w:p w14:paraId="297A6B06">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水电工</w:t>
                  </w:r>
                </w:p>
              </w:tc>
              <w:tc>
                <w:tcPr>
                  <w:tcW w:w="1240" w:type="dxa"/>
                  <w:vAlign w:val="center"/>
                </w:tcPr>
                <w:p w14:paraId="3E6BB919">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1920" w:type="dxa"/>
                  <w:vMerge w:val="restart"/>
                  <w:vAlign w:val="center"/>
                </w:tcPr>
                <w:p w14:paraId="2E90E6B3">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lang w:val="en-US" w:eastAsia="zh-CN"/>
                    </w:rPr>
                    <w:t>54.62</w:t>
                  </w:r>
                </w:p>
              </w:tc>
            </w:tr>
            <w:tr w14:paraId="11E642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2334CF47">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3172" w:type="dxa"/>
                  <w:vMerge w:val="continue"/>
                  <w:vAlign w:val="center"/>
                </w:tcPr>
                <w:p w14:paraId="45937AF0">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440" w:type="dxa"/>
                  <w:vAlign w:val="center"/>
                </w:tcPr>
                <w:p w14:paraId="0ECD858F">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保洁员</w:t>
                  </w:r>
                </w:p>
              </w:tc>
              <w:tc>
                <w:tcPr>
                  <w:tcW w:w="1240" w:type="dxa"/>
                  <w:vAlign w:val="center"/>
                </w:tcPr>
                <w:p w14:paraId="55349DD1">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1920" w:type="dxa"/>
                  <w:vMerge w:val="continue"/>
                  <w:vAlign w:val="center"/>
                </w:tcPr>
                <w:p w14:paraId="408BECEC">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r w14:paraId="60A20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11315387">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3172" w:type="dxa"/>
                  <w:vMerge w:val="continue"/>
                  <w:vAlign w:val="center"/>
                </w:tcPr>
                <w:p w14:paraId="6EA15D04">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440" w:type="dxa"/>
                  <w:vAlign w:val="center"/>
                </w:tcPr>
                <w:p w14:paraId="23DC5FB7">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绿化员</w:t>
                  </w:r>
                </w:p>
              </w:tc>
              <w:tc>
                <w:tcPr>
                  <w:tcW w:w="1240" w:type="dxa"/>
                  <w:vAlign w:val="center"/>
                </w:tcPr>
                <w:p w14:paraId="615BFAB2">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w:t>
                  </w:r>
                </w:p>
              </w:tc>
              <w:tc>
                <w:tcPr>
                  <w:tcW w:w="1920" w:type="dxa"/>
                  <w:vMerge w:val="continue"/>
                  <w:vAlign w:val="center"/>
                </w:tcPr>
                <w:p w14:paraId="4CFDA98F">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r w14:paraId="73EB8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5D9D609F">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w:t>
                  </w:r>
                </w:p>
              </w:tc>
              <w:tc>
                <w:tcPr>
                  <w:tcW w:w="3172" w:type="dxa"/>
                  <w:vMerge w:val="restart"/>
                  <w:vAlign w:val="center"/>
                </w:tcPr>
                <w:p w14:paraId="2CCE9E1A">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北海市第七中学</w:t>
                  </w:r>
                </w:p>
              </w:tc>
              <w:tc>
                <w:tcPr>
                  <w:tcW w:w="1440" w:type="dxa"/>
                  <w:vAlign w:val="center"/>
                </w:tcPr>
                <w:p w14:paraId="116ACD9C">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水电工</w:t>
                  </w:r>
                </w:p>
              </w:tc>
              <w:tc>
                <w:tcPr>
                  <w:tcW w:w="1240" w:type="dxa"/>
                  <w:vAlign w:val="center"/>
                </w:tcPr>
                <w:p w14:paraId="151BF498">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1920" w:type="dxa"/>
                  <w:vMerge w:val="restart"/>
                  <w:vAlign w:val="center"/>
                </w:tcPr>
                <w:p w14:paraId="07E1C528">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lang w:val="en-US" w:eastAsia="zh-CN"/>
                    </w:rPr>
                    <w:t>54.89</w:t>
                  </w:r>
                </w:p>
              </w:tc>
            </w:tr>
            <w:tr w14:paraId="13451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468E17B1">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3172" w:type="dxa"/>
                  <w:vMerge w:val="continue"/>
                  <w:vAlign w:val="center"/>
                </w:tcPr>
                <w:p w14:paraId="18573E36">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440" w:type="dxa"/>
                  <w:vAlign w:val="center"/>
                </w:tcPr>
                <w:p w14:paraId="76B2DB99">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保洁员</w:t>
                  </w:r>
                </w:p>
              </w:tc>
              <w:tc>
                <w:tcPr>
                  <w:tcW w:w="1240" w:type="dxa"/>
                  <w:vAlign w:val="center"/>
                </w:tcPr>
                <w:p w14:paraId="16ECF7A4">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1920" w:type="dxa"/>
                  <w:vMerge w:val="continue"/>
                  <w:vAlign w:val="center"/>
                </w:tcPr>
                <w:p w14:paraId="2484FE56">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r w14:paraId="40D45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0E43EA64">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3172" w:type="dxa"/>
                  <w:vMerge w:val="continue"/>
                  <w:vAlign w:val="center"/>
                </w:tcPr>
                <w:p w14:paraId="3825EE42">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440" w:type="dxa"/>
                  <w:vAlign w:val="center"/>
                </w:tcPr>
                <w:p w14:paraId="386FD6A1">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绿化员</w:t>
                  </w:r>
                </w:p>
              </w:tc>
              <w:tc>
                <w:tcPr>
                  <w:tcW w:w="1240" w:type="dxa"/>
                  <w:vAlign w:val="center"/>
                </w:tcPr>
                <w:p w14:paraId="4CF4EAB7">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3</w:t>
                  </w:r>
                </w:p>
              </w:tc>
              <w:tc>
                <w:tcPr>
                  <w:tcW w:w="1920" w:type="dxa"/>
                  <w:vMerge w:val="continue"/>
                  <w:vAlign w:val="center"/>
                </w:tcPr>
                <w:p w14:paraId="6DA63D6F">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r w14:paraId="36D70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6CA4ADF0">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6</w:t>
                  </w:r>
                </w:p>
              </w:tc>
              <w:tc>
                <w:tcPr>
                  <w:tcW w:w="3172" w:type="dxa"/>
                  <w:vMerge w:val="restart"/>
                  <w:vAlign w:val="center"/>
                </w:tcPr>
                <w:p w14:paraId="57FE1458">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北海市第九中学</w:t>
                  </w:r>
                </w:p>
              </w:tc>
              <w:tc>
                <w:tcPr>
                  <w:tcW w:w="1440" w:type="dxa"/>
                  <w:vAlign w:val="center"/>
                </w:tcPr>
                <w:p w14:paraId="7DC20162">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保洁员</w:t>
                  </w:r>
                </w:p>
              </w:tc>
              <w:tc>
                <w:tcPr>
                  <w:tcW w:w="1240" w:type="dxa"/>
                  <w:vAlign w:val="center"/>
                </w:tcPr>
                <w:p w14:paraId="3A2E5052">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1920" w:type="dxa"/>
                  <w:vMerge w:val="restart"/>
                  <w:vAlign w:val="center"/>
                </w:tcPr>
                <w:p w14:paraId="680279C5">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lang w:val="en-US" w:eastAsia="zh-CN"/>
                    </w:rPr>
                    <w:t>62</w:t>
                  </w:r>
                </w:p>
              </w:tc>
            </w:tr>
            <w:tr w14:paraId="05159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7EB10363">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3172" w:type="dxa"/>
                  <w:vMerge w:val="continue"/>
                  <w:vAlign w:val="center"/>
                </w:tcPr>
                <w:p w14:paraId="4C542096">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440" w:type="dxa"/>
                  <w:vAlign w:val="center"/>
                </w:tcPr>
                <w:p w14:paraId="1B0117A7">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绿化员</w:t>
                  </w:r>
                </w:p>
              </w:tc>
              <w:tc>
                <w:tcPr>
                  <w:tcW w:w="1240" w:type="dxa"/>
                  <w:vAlign w:val="center"/>
                </w:tcPr>
                <w:p w14:paraId="342D2569">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5</w:t>
                  </w:r>
                </w:p>
              </w:tc>
              <w:tc>
                <w:tcPr>
                  <w:tcW w:w="1920" w:type="dxa"/>
                  <w:vMerge w:val="continue"/>
                  <w:vAlign w:val="center"/>
                </w:tcPr>
                <w:p w14:paraId="44EA099C">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r w14:paraId="17AF57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7ED215E0">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7</w:t>
                  </w:r>
                </w:p>
              </w:tc>
              <w:tc>
                <w:tcPr>
                  <w:tcW w:w="3172" w:type="dxa"/>
                  <w:vMerge w:val="restart"/>
                  <w:vAlign w:val="center"/>
                </w:tcPr>
                <w:p w14:paraId="3BF6D531">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北海市第十中学</w:t>
                  </w:r>
                </w:p>
              </w:tc>
              <w:tc>
                <w:tcPr>
                  <w:tcW w:w="1440" w:type="dxa"/>
                  <w:vAlign w:val="center"/>
                </w:tcPr>
                <w:p w14:paraId="3EAA5D4A">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水电工</w:t>
                  </w:r>
                </w:p>
              </w:tc>
              <w:tc>
                <w:tcPr>
                  <w:tcW w:w="1240" w:type="dxa"/>
                  <w:vAlign w:val="center"/>
                </w:tcPr>
                <w:p w14:paraId="431291F5">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1920" w:type="dxa"/>
                  <w:vMerge w:val="restart"/>
                  <w:vAlign w:val="center"/>
                </w:tcPr>
                <w:p w14:paraId="5EC00801">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lang w:val="en-US" w:eastAsia="zh-CN"/>
                    </w:rPr>
                    <w:t>37.06</w:t>
                  </w:r>
                </w:p>
              </w:tc>
            </w:tr>
            <w:tr w14:paraId="24858E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0A57A9E3">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3172" w:type="dxa"/>
                  <w:vMerge w:val="continue"/>
                  <w:vAlign w:val="center"/>
                </w:tcPr>
                <w:p w14:paraId="27127018">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440" w:type="dxa"/>
                  <w:vAlign w:val="center"/>
                </w:tcPr>
                <w:p w14:paraId="626B30C8">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保洁员</w:t>
                  </w:r>
                </w:p>
              </w:tc>
              <w:tc>
                <w:tcPr>
                  <w:tcW w:w="1240" w:type="dxa"/>
                  <w:vAlign w:val="center"/>
                </w:tcPr>
                <w:p w14:paraId="7A2616BF">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1920" w:type="dxa"/>
                  <w:vMerge w:val="continue"/>
                  <w:vAlign w:val="center"/>
                </w:tcPr>
                <w:p w14:paraId="4892D1D8">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r w14:paraId="6D3052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2F00937C">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3172" w:type="dxa"/>
                  <w:vMerge w:val="continue"/>
                  <w:vAlign w:val="center"/>
                </w:tcPr>
                <w:p w14:paraId="45D9F5FE">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440" w:type="dxa"/>
                  <w:vAlign w:val="center"/>
                </w:tcPr>
                <w:p w14:paraId="612215D9">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绿化员</w:t>
                  </w:r>
                </w:p>
              </w:tc>
              <w:tc>
                <w:tcPr>
                  <w:tcW w:w="1240" w:type="dxa"/>
                  <w:vAlign w:val="center"/>
                </w:tcPr>
                <w:p w14:paraId="288A18C2">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1920" w:type="dxa"/>
                  <w:vMerge w:val="continue"/>
                  <w:vAlign w:val="center"/>
                </w:tcPr>
                <w:p w14:paraId="64C281CC">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r w14:paraId="02888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243C4A8A">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8</w:t>
                  </w:r>
                </w:p>
              </w:tc>
              <w:tc>
                <w:tcPr>
                  <w:tcW w:w="3172" w:type="dxa"/>
                  <w:vMerge w:val="restart"/>
                  <w:vAlign w:val="center"/>
                </w:tcPr>
                <w:p w14:paraId="237CE5E1">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北海市第二十六中学</w:t>
                  </w:r>
                </w:p>
              </w:tc>
              <w:tc>
                <w:tcPr>
                  <w:tcW w:w="1440" w:type="dxa"/>
                  <w:vAlign w:val="center"/>
                </w:tcPr>
                <w:p w14:paraId="4F1BA30C">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水电工</w:t>
                  </w:r>
                </w:p>
              </w:tc>
              <w:tc>
                <w:tcPr>
                  <w:tcW w:w="1240" w:type="dxa"/>
                  <w:vAlign w:val="center"/>
                </w:tcPr>
                <w:p w14:paraId="299D3C34">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1920" w:type="dxa"/>
                  <w:vMerge w:val="restart"/>
                  <w:vAlign w:val="center"/>
                </w:tcPr>
                <w:p w14:paraId="3CEB7D44">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lang w:val="en-US" w:eastAsia="zh-CN"/>
                    </w:rPr>
                    <w:t>74.12</w:t>
                  </w:r>
                </w:p>
              </w:tc>
            </w:tr>
            <w:tr w14:paraId="3F6BD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33D05A4E">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3172" w:type="dxa"/>
                  <w:vMerge w:val="continue"/>
                  <w:vAlign w:val="center"/>
                </w:tcPr>
                <w:p w14:paraId="571CF411">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440" w:type="dxa"/>
                  <w:vAlign w:val="center"/>
                </w:tcPr>
                <w:p w14:paraId="22BA8E01">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保洁员</w:t>
                  </w:r>
                </w:p>
              </w:tc>
              <w:tc>
                <w:tcPr>
                  <w:tcW w:w="1240" w:type="dxa"/>
                  <w:vAlign w:val="center"/>
                </w:tcPr>
                <w:p w14:paraId="37083522">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1920" w:type="dxa"/>
                  <w:vMerge w:val="continue"/>
                  <w:vAlign w:val="center"/>
                </w:tcPr>
                <w:p w14:paraId="5E44408E">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r w14:paraId="60758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62982D72">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3172" w:type="dxa"/>
                  <w:vMerge w:val="continue"/>
                  <w:vAlign w:val="center"/>
                </w:tcPr>
                <w:p w14:paraId="0BBF9B87">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440" w:type="dxa"/>
                  <w:vAlign w:val="center"/>
                </w:tcPr>
                <w:p w14:paraId="7B41318A">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绿化员</w:t>
                  </w:r>
                </w:p>
              </w:tc>
              <w:tc>
                <w:tcPr>
                  <w:tcW w:w="1240" w:type="dxa"/>
                  <w:vAlign w:val="center"/>
                </w:tcPr>
                <w:p w14:paraId="5817336F">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4</w:t>
                  </w:r>
                </w:p>
              </w:tc>
              <w:tc>
                <w:tcPr>
                  <w:tcW w:w="1920" w:type="dxa"/>
                  <w:vMerge w:val="continue"/>
                  <w:vAlign w:val="center"/>
                </w:tcPr>
                <w:p w14:paraId="506C9A40">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r w14:paraId="55BA10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65B67A54">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9</w:t>
                  </w:r>
                </w:p>
              </w:tc>
              <w:tc>
                <w:tcPr>
                  <w:tcW w:w="3172" w:type="dxa"/>
                  <w:vMerge w:val="restart"/>
                  <w:vAlign w:val="center"/>
                </w:tcPr>
                <w:p w14:paraId="48CE081B">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北京市第八中学北海实验学校</w:t>
                  </w:r>
                </w:p>
              </w:tc>
              <w:tc>
                <w:tcPr>
                  <w:tcW w:w="1440" w:type="dxa"/>
                  <w:vAlign w:val="center"/>
                </w:tcPr>
                <w:p w14:paraId="392846A4">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水电工</w:t>
                  </w:r>
                </w:p>
              </w:tc>
              <w:tc>
                <w:tcPr>
                  <w:tcW w:w="1240" w:type="dxa"/>
                  <w:vAlign w:val="center"/>
                </w:tcPr>
                <w:p w14:paraId="0760C57F">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1920" w:type="dxa"/>
                  <w:vMerge w:val="restart"/>
                  <w:vAlign w:val="center"/>
                </w:tcPr>
                <w:p w14:paraId="4E774611">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lang w:val="en-US" w:eastAsia="zh-CN"/>
                    </w:rPr>
                    <w:t>19.5</w:t>
                  </w:r>
                </w:p>
              </w:tc>
            </w:tr>
            <w:tr w14:paraId="3EBC0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0DAF79D8">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3172" w:type="dxa"/>
                  <w:vMerge w:val="continue"/>
                  <w:vAlign w:val="center"/>
                </w:tcPr>
                <w:p w14:paraId="2B6F9392">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440" w:type="dxa"/>
                  <w:vAlign w:val="center"/>
                </w:tcPr>
                <w:p w14:paraId="6E0645C6">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绿化员</w:t>
                  </w:r>
                </w:p>
              </w:tc>
              <w:tc>
                <w:tcPr>
                  <w:tcW w:w="1240" w:type="dxa"/>
                  <w:vAlign w:val="center"/>
                </w:tcPr>
                <w:p w14:paraId="202A372E">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1920" w:type="dxa"/>
                  <w:vMerge w:val="continue"/>
                  <w:vAlign w:val="center"/>
                </w:tcPr>
                <w:p w14:paraId="00728B81">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r w14:paraId="4E14E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restart"/>
                  <w:vAlign w:val="center"/>
                </w:tcPr>
                <w:p w14:paraId="3F4E0A7C">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10</w:t>
                  </w:r>
                </w:p>
              </w:tc>
              <w:tc>
                <w:tcPr>
                  <w:tcW w:w="3172" w:type="dxa"/>
                  <w:vMerge w:val="restart"/>
                  <w:vAlign w:val="center"/>
                </w:tcPr>
                <w:p w14:paraId="68F218A9">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北京师范大学北海实验中学</w:t>
                  </w:r>
                </w:p>
              </w:tc>
              <w:tc>
                <w:tcPr>
                  <w:tcW w:w="1440" w:type="dxa"/>
                  <w:vAlign w:val="center"/>
                </w:tcPr>
                <w:p w14:paraId="4F14DA15">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水电工</w:t>
                  </w:r>
                </w:p>
              </w:tc>
              <w:tc>
                <w:tcPr>
                  <w:tcW w:w="1240" w:type="dxa"/>
                  <w:vAlign w:val="center"/>
                </w:tcPr>
                <w:p w14:paraId="6047C7F9">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w:t>
                  </w:r>
                </w:p>
              </w:tc>
              <w:tc>
                <w:tcPr>
                  <w:tcW w:w="1920" w:type="dxa"/>
                  <w:vMerge w:val="restart"/>
                  <w:vAlign w:val="center"/>
                </w:tcPr>
                <w:p w14:paraId="051A30B0">
                  <w:pPr>
                    <w:keepNext w:val="0"/>
                    <w:keepLines w:val="0"/>
                    <w:pageBreakBefore w:val="0"/>
                    <w:widowControl w:val="0"/>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b w:val="0"/>
                      <w:bCs/>
                      <w:color w:val="auto"/>
                      <w:sz w:val="24"/>
                      <w:szCs w:val="24"/>
                      <w:highlight w:val="none"/>
                      <w:lang w:val="en-US" w:eastAsia="zh-CN"/>
                    </w:rPr>
                    <w:t>29.95</w:t>
                  </w:r>
                </w:p>
              </w:tc>
            </w:tr>
            <w:tr w14:paraId="687D44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 w:hRule="atLeast"/>
                <w:jc w:val="center"/>
              </w:trPr>
              <w:tc>
                <w:tcPr>
                  <w:tcW w:w="673" w:type="dxa"/>
                  <w:vMerge w:val="continue"/>
                  <w:vAlign w:val="center"/>
                </w:tcPr>
                <w:p w14:paraId="0369F502">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3172" w:type="dxa"/>
                  <w:vMerge w:val="continue"/>
                  <w:vAlign w:val="center"/>
                </w:tcPr>
                <w:p w14:paraId="59B7C1C6">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c>
                <w:tcPr>
                  <w:tcW w:w="1440" w:type="dxa"/>
                  <w:vAlign w:val="center"/>
                </w:tcPr>
                <w:p w14:paraId="129ACDAD">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绿化员</w:t>
                  </w:r>
                </w:p>
              </w:tc>
              <w:tc>
                <w:tcPr>
                  <w:tcW w:w="1240" w:type="dxa"/>
                  <w:vAlign w:val="center"/>
                </w:tcPr>
                <w:p w14:paraId="44BAB5A2">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2</w:t>
                  </w:r>
                </w:p>
              </w:tc>
              <w:tc>
                <w:tcPr>
                  <w:tcW w:w="1920" w:type="dxa"/>
                  <w:vMerge w:val="continue"/>
                  <w:vAlign w:val="center"/>
                </w:tcPr>
                <w:p w14:paraId="2EB0CF6A">
                  <w:pPr>
                    <w:pStyle w:val="24"/>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vertAlign w:val="baseline"/>
                      <w:lang w:val="en-US" w:eastAsia="zh-CN"/>
                    </w:rPr>
                  </w:pPr>
                </w:p>
              </w:tc>
            </w:tr>
          </w:tbl>
          <w:p w14:paraId="72234950">
            <w:pPr>
              <w:pStyle w:val="24"/>
              <w:keepNext w:val="0"/>
              <w:keepLines w:val="0"/>
              <w:pageBreakBefore w:val="0"/>
              <w:widowControl w:val="0"/>
              <w:kinsoku/>
              <w:wordWrap/>
              <w:overflowPunct/>
              <w:topLinePunct w:val="0"/>
              <w:autoSpaceDE/>
              <w:autoSpaceDN/>
              <w:bidi w:val="0"/>
              <w:snapToGrid/>
              <w:spacing w:line="440" w:lineRule="exact"/>
              <w:textAlignment w:val="auto"/>
              <w:rPr>
                <w:rFonts w:hint="eastAsia" w:ascii="宋体" w:hAnsi="宋体" w:eastAsia="宋体" w:cs="宋体"/>
                <w:b/>
                <w:bCs/>
                <w:color w:val="auto"/>
                <w:sz w:val="24"/>
                <w:szCs w:val="24"/>
                <w:highlight w:val="none"/>
                <w:lang w:val="en-US" w:eastAsia="zh-CN"/>
              </w:rPr>
            </w:pPr>
          </w:p>
          <w:p w14:paraId="257E2C7D">
            <w:pPr>
              <w:pStyle w:val="24"/>
              <w:keepNext w:val="0"/>
              <w:keepLines w:val="0"/>
              <w:pageBreakBefore w:val="0"/>
              <w:widowControl w:val="0"/>
              <w:kinsoku/>
              <w:wordWrap/>
              <w:overflowPunct/>
              <w:topLinePunct w:val="0"/>
              <w:autoSpaceDE/>
              <w:autoSpaceDN/>
              <w:bidi w:val="0"/>
              <w:snapToGrid/>
              <w:spacing w:line="44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二、服务要求</w:t>
            </w:r>
          </w:p>
          <w:p w14:paraId="55BD1D13">
            <w:pPr>
              <w:pStyle w:val="24"/>
              <w:keepNext w:val="0"/>
              <w:keepLines w:val="0"/>
              <w:pageBreakBefore w:val="0"/>
              <w:widowControl w:val="0"/>
              <w:kinsoku/>
              <w:wordWrap/>
              <w:overflowPunct/>
              <w:topLinePunct w:val="0"/>
              <w:autoSpaceDE/>
              <w:autoSpaceDN/>
              <w:bidi w:val="0"/>
              <w:snapToGrid/>
              <w:spacing w:line="44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（一）总体服务要求</w:t>
            </w:r>
          </w:p>
          <w:p w14:paraId="62C88EFF">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1．各派驻学校服务用工人数不少于该校区所需人数（详见人员需求表）。</w:t>
            </w:r>
          </w:p>
          <w:p w14:paraId="1E35E4FC">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 </w:t>
            </w:r>
            <w:r>
              <w:rPr>
                <w:rFonts w:hint="eastAsia" w:hAnsi="宋体" w:cs="宋体"/>
                <w:color w:val="auto"/>
                <w:sz w:val="24"/>
                <w:szCs w:val="24"/>
                <w:highlight w:val="none"/>
                <w:lang w:val="en-US" w:eastAsia="zh-CN"/>
              </w:rPr>
              <w:t>供应商必须为所有上岗人员依法购买社会保险（包括养老保险、医疗保险、失业保险、工伤保险、生育保险），并承诺为本项目派驻全体服务人员统一购买雇主责任险或人身意外保险（二选一）。其中雇主责任险身故伤残责任保额不低于20万元/人、医疗费用责任保额不低于2万元/人；如选择人身意外保险，保额标准不低于同等水平</w:t>
            </w:r>
            <w:r>
              <w:rPr>
                <w:rFonts w:hint="eastAsia" w:ascii="宋体" w:hAnsi="宋体" w:eastAsia="宋体" w:cs="宋体"/>
                <w:color w:val="auto"/>
                <w:sz w:val="24"/>
                <w:szCs w:val="24"/>
                <w:highlight w:val="none"/>
                <w:lang w:val="en-US" w:eastAsia="zh-CN"/>
              </w:rPr>
              <w:t>。</w:t>
            </w:r>
          </w:p>
          <w:p w14:paraId="0847DC63">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 女员工年龄在18-50岁，男员工年龄在18-58 岁。</w:t>
            </w:r>
          </w:p>
          <w:p w14:paraId="3800E236">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 上岗人员在工作期间发生员工工伤及意外伤害事故以及涉及用工方面的劳务纠纷和劳动事故全部由</w:t>
            </w: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承担责任。</w:t>
            </w:r>
          </w:p>
          <w:p w14:paraId="567CBCB6">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 服务费涵盖基本工资、社会保险、物业服务费、税费等费用。</w:t>
            </w:r>
          </w:p>
          <w:p w14:paraId="05F629F3">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6. </w:t>
            </w: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必须每月按时足额发放员工工资，不得以任何理由拖欠员工工资，确保及时足额支付。</w:t>
            </w:r>
          </w:p>
          <w:p w14:paraId="09A30991">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7. </w:t>
            </w: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需有物业服务方案，质量管理、档案管理等制度。</w:t>
            </w:r>
          </w:p>
          <w:p w14:paraId="1609D7D2">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 物业服务人员统一着装，行为规范，服务主动热情。</w:t>
            </w:r>
          </w:p>
          <w:p w14:paraId="5D6612AF">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9. </w:t>
            </w: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须为所有上岗人员统一配备工服、水鞋、雨衣等劳动保护用品，并为电工、绿化、水泥工等岗位人员配备安全帽，且督促其在作业期间规范佩戴。相关费用已包含在服务费中，采购人有权对此进行监督与考核。</w:t>
            </w:r>
          </w:p>
          <w:p w14:paraId="30720FA9">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10. </w:t>
            </w: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须严格遵守采购人资产与废弃物管理规定。所有上岗人员在日常工作中，不得捡拾、收集、私占校内产生的各类可回收废弃物（如纸皮、水瓶、废弃金属、塑料等）并带离校园出售或个人牟利。维修更换产生的废旧设施、材料、零部件等均属采购人资产，</w:t>
            </w: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须集中存放、登记，并按学校要求进行统一处置，不得擅自处理或变卖。</w:t>
            </w: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有责任对所属员工进行教育与管理，确保本要求得到有效执行。如有违反，采购人将视情节在月度服务质量考核中扣分，并有权要求供应商对相关人员进行严肃处理；造成学校资产损失的，</w:t>
            </w: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承担相应赔偿责任。</w:t>
            </w:r>
          </w:p>
          <w:p w14:paraId="05BB530A">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11. </w:t>
            </w: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每季度接受采购人服务质量考核，考核由采购人或校方采取日常巡查、随机抽查、专项检查相结合的方式进行。服务费以考核得分等级支付，支付比例如下：得分≥90分：支付当季应付服务费的100%；80分≤得分&lt;90分：支付当季应付服务费的95%；70 分≤得分&lt;80分：支付当季应付服务费的90%；得分&lt;70分：支付当季应付服务费的85%。得分低于70分或连续两季度低于80分，采购人或校方有权发出警告，要求限期整改，未能完成整改的采购人有权终止合同。（考核标准详见《附件：考核标准》）</w:t>
            </w:r>
          </w:p>
          <w:p w14:paraId="20BEC106">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p>
          <w:p w14:paraId="58229F36">
            <w:pPr>
              <w:pStyle w:val="24"/>
              <w:keepNext w:val="0"/>
              <w:keepLines w:val="0"/>
              <w:pageBreakBefore w:val="0"/>
              <w:widowControl w:val="0"/>
              <w:kinsoku/>
              <w:wordWrap/>
              <w:overflowPunct/>
              <w:topLinePunct w:val="0"/>
              <w:autoSpaceDE/>
              <w:autoSpaceDN/>
              <w:bidi w:val="0"/>
              <w:snapToGrid/>
              <w:spacing w:line="44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（二）具体工作要求</w:t>
            </w:r>
          </w:p>
          <w:p w14:paraId="23517FDB">
            <w:pPr>
              <w:pStyle w:val="24"/>
              <w:keepNext w:val="0"/>
              <w:keepLines w:val="0"/>
              <w:pageBreakBefore w:val="0"/>
              <w:widowControl w:val="0"/>
              <w:kinsoku/>
              <w:wordWrap/>
              <w:overflowPunct/>
              <w:topLinePunct w:val="0"/>
              <w:autoSpaceDE/>
              <w:autoSpaceDN/>
              <w:bidi w:val="0"/>
              <w:snapToGrid/>
              <w:spacing w:line="44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 保洁员的卫生保洁服务</w:t>
            </w:r>
          </w:p>
          <w:p w14:paraId="32B4FF58">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（1）服务原则</w:t>
            </w:r>
          </w:p>
          <w:p w14:paraId="14287BDB">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坚持“教学零干扰”作业，所有清洁、消毒、通风工作须安排于上课前、下课后或非教学高峰时段进行，确保正常教学秩序。</w:t>
            </w:r>
          </w:p>
          <w:p w14:paraId="5B6388E8">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（2）服务范围</w:t>
            </w:r>
          </w:p>
          <w:p w14:paraId="1621A6C2">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涵盖校内各类建筑及公共区域，具体包括：</w:t>
            </w:r>
          </w:p>
          <w:p w14:paraId="445F5EA8">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①楼宇内部：教学楼、实训楼、办公楼等楼宇的各楼层卫生间、走廊、楼梯，学生食堂、厕所、楼梯等。</w:t>
            </w:r>
          </w:p>
          <w:p w14:paraId="6ADCBB3E">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②功能场所：行政办公室、教研组办公室、会议室、报告厅、图书馆、大礼堂、电梯等。</w:t>
            </w:r>
          </w:p>
          <w:p w14:paraId="6123738F">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③公共区域：公共教室、运动场所、校内广场、道路、停车场、绿化带、垃圾桶、垃圾池、宣传栏、标识牌等。</w:t>
            </w:r>
          </w:p>
          <w:p w14:paraId="7CE9D4E2">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④专项清洁：路面灯具、不锈钢饰品、宣传栏、校牌、标示牌、楼梯栏杆、护栏、雨篷、3米以下玻璃的日常保洁（3米以上高空部位玻璃幕墙清洗的，由中标人组织进行，涉及的费用由校方另行支付）。</w:t>
            </w:r>
          </w:p>
          <w:p w14:paraId="5D7C7C23">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（3）作业频次与标准</w:t>
            </w:r>
          </w:p>
          <w:p w14:paraId="00656410">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①日常保洁：合理安排保洁人员工作区域。每日上、下午各进行一次保洁，所有区域全天候循环保洁，做到随脏随清。</w:t>
            </w:r>
          </w:p>
          <w:p w14:paraId="668838A7">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②清洁通风：每日对楼宇内部、功能场所及通道等区域进行清洁并通风，并定期消毒。</w:t>
            </w:r>
          </w:p>
          <w:p w14:paraId="6BD65E69">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③垃圾管理：每日对食堂厨余垃圾进行收集清运放到指定地方。每日对校内垃圾及时收集、中转、清运并清理垃圾池（涉及环境部门垃圾清运及处理费用由校方负责）。</w:t>
            </w:r>
          </w:p>
          <w:p w14:paraId="167FDE26">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（4）清洁质量要求：</w:t>
            </w:r>
          </w:p>
          <w:p w14:paraId="6AC49BBA">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①地面无垃圾、杂物、污渍、积水，公共场所无明显泥沙、污垢，每100㎡内纸屑不超过2片、无大于1cm石子。</w:t>
            </w:r>
          </w:p>
          <w:p w14:paraId="5F16BAD1">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②墙面无浮灰、蛛网、污迹；玻璃光洁无痕，灯具无尘无虫。</w:t>
            </w:r>
          </w:p>
          <w:p w14:paraId="28399676">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③卫生间无异味，便器无黄渍，天花、墙角清洁。</w:t>
            </w:r>
          </w:p>
          <w:p w14:paraId="473A8569">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④垃圾箱清运及时，清运率100%；垃圾桶外表干净、无满溢，周边无污垢、积水、异味。</w:t>
            </w:r>
          </w:p>
          <w:p w14:paraId="0F3AFDD4">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⑤排水沟无淤积，校园无卫生死角。</w:t>
            </w:r>
          </w:p>
          <w:p w14:paraId="5784EBEB">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（5）其他服务要求</w:t>
            </w:r>
          </w:p>
          <w:p w14:paraId="0B60643A">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①卫生防疫：根据校方安排，定期开展灭蚊、灭蝇、灭蚁、灭蟑、灭鼠等卫生防疫工作（药品由校方另行提供）。</w:t>
            </w:r>
          </w:p>
          <w:p w14:paraId="27BB9B7D">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②协助学校做好疫情防控、创城等与物业服务相关的工作</w:t>
            </w:r>
          </w:p>
          <w:p w14:paraId="42FD9C80">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③临时任务配合：积极配合学校大型活动、检查等临时性活动卫生保洁工作。</w:t>
            </w:r>
          </w:p>
          <w:p w14:paraId="1B20816E">
            <w:pPr>
              <w:pStyle w:val="24"/>
              <w:keepNext w:val="0"/>
              <w:keepLines w:val="0"/>
              <w:pageBreakBefore w:val="0"/>
              <w:widowControl w:val="0"/>
              <w:kinsoku/>
              <w:wordWrap/>
              <w:overflowPunct/>
              <w:topLinePunct w:val="0"/>
              <w:autoSpaceDE/>
              <w:autoSpaceDN/>
              <w:bidi w:val="0"/>
              <w:snapToGrid/>
              <w:spacing w:line="44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 绿化员的绿化维护服务</w:t>
            </w:r>
          </w:p>
          <w:p w14:paraId="3BEC6620">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（1）总体养护目标</w:t>
            </w:r>
          </w:p>
          <w:p w14:paraId="30463FEF">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确保校园绿化景观“三季有花，四季常青”，植株生长健壮、形态美观。负责学校大型活动及重大节日的花卉布置工作。</w:t>
            </w:r>
          </w:p>
          <w:p w14:paraId="38B0FC0E">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（2）日常养护工作项目与标准</w:t>
            </w:r>
          </w:p>
          <w:p w14:paraId="571FC280">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①浇水：草地灌木每周至少浇两次（具体视天气情况）。做到保持植物良好长势，杜绝因为缺水出现枯萎等现象。</w:t>
            </w:r>
          </w:p>
          <w:p w14:paraId="705E6C32">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②施肥：平均2-3次/年。做到施肥均匀、充足、适度、保证绿化植物强壮、枝叶茂盛。</w:t>
            </w:r>
          </w:p>
          <w:p w14:paraId="0359F519">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③修剪整形：草地8-10次/年，灌木6-8次/年（根据长势状况而定），乔木修剪2-4次/年。做到草的高度一致，整齐美观。乔、灌木：植物主枝分布均匀；绿篱整齐一致。</w:t>
            </w:r>
          </w:p>
          <w:p w14:paraId="1A15013B">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④病虫害防治：草地、灌木、乔木及时防治。视病害发生情况适时喷药，使用国家规定的绿色环保农药。</w:t>
            </w:r>
          </w:p>
          <w:p w14:paraId="7393EC2A">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⑤病虫草松土：每月除杂草一遍，雨后杂草严重者每周一遍。做到花丛下无杂草，树盘内无杂草，花木丛中不允许有高于花木的杂草，草坪上不允许有开花杂草。</w:t>
            </w:r>
          </w:p>
          <w:p w14:paraId="793C4D7D">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⑥清理绿化垃圾：修剪下来的树枝和杂草要当天清运，不准就地焚烧。做到有专人跟踪保洁。</w:t>
            </w:r>
          </w:p>
          <w:p w14:paraId="0F61F3E8">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⑦防风防汛：灾前积极预防，对树木加固，灾后及时清除倒树断枝、疏通道路、清理垃圾。做到尽快恢复原状、不能影响学校正常工作。</w:t>
            </w:r>
          </w:p>
          <w:p w14:paraId="6945F569">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（3）整体质量要求</w:t>
            </w:r>
          </w:p>
          <w:p w14:paraId="67526224">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按不同季节对花卉苗木的养护要求进行养护，并做到：</w:t>
            </w:r>
          </w:p>
          <w:p w14:paraId="79872712">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①树灌木完整，长势茂盛，无枯枝死杈，无病虫害，树木无钉枪捆绑。</w:t>
            </w:r>
          </w:p>
          <w:p w14:paraId="5157497F">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②绿篱、绿地整洁无杂草、杂物、物料堆放。</w:t>
            </w:r>
          </w:p>
          <w:p w14:paraId="6EC38C6C">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③绿化设施完好率不低于98%。</w:t>
            </w:r>
          </w:p>
          <w:p w14:paraId="7EF7E80A">
            <w:pPr>
              <w:pStyle w:val="24"/>
              <w:keepNext w:val="0"/>
              <w:keepLines w:val="0"/>
              <w:pageBreakBefore w:val="0"/>
              <w:widowControl w:val="0"/>
              <w:kinsoku/>
              <w:wordWrap/>
              <w:overflowPunct/>
              <w:topLinePunct w:val="0"/>
              <w:autoSpaceDE/>
              <w:autoSpaceDN/>
              <w:bidi w:val="0"/>
              <w:snapToGrid/>
              <w:spacing w:line="44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 水电工的日常维修服务</w:t>
            </w:r>
          </w:p>
          <w:p w14:paraId="4C107C60">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（1）维修服务原则</w:t>
            </w:r>
          </w:p>
          <w:p w14:paraId="50FE7248">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应遵循“经济节约、修旧利废”的原则。对于损坏的设施设备及物品，应首先评估其维修可行性及成本。凡通过维修可以恢复正常使用功能、且维修成本低于更换成本的，必须优先进行维修处理，不得无故建议或要求更换。若确需更换，必须向采购人提交书面说明，并经采购人确认同意后，方可进行更换。</w:t>
            </w:r>
          </w:p>
          <w:p w14:paraId="5C23240D">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（2）日常巡检制度</w:t>
            </w:r>
          </w:p>
          <w:p w14:paraId="13ED177C">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建立巡视制度，每日上、下午各进行一次全面巡检并记录，覆盖以下系统：</w:t>
            </w:r>
          </w:p>
          <w:p w14:paraId="5F4A51EF">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①排水排污：检查管道畅通情况，及时清理杂物（化粪池沉积物的抽吸、清掏由中标人负责实施及联络工作，相关费用由学校另行负责）。</w:t>
            </w:r>
          </w:p>
          <w:p w14:paraId="726B4C8D">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②公共照明：检查学校路灯及楼梯照明是否正常，发现故障及时修复，并早晚巡检及时关闭无照明需要的电灯，避免浪费电力。</w:t>
            </w:r>
          </w:p>
          <w:p w14:paraId="477FE2B7">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③公共设施：检查有无损毁公共设施，包括门窗、家具、室内照明、水电管线等，发现损坏立即维修；如属人为破坏情况需制止并上报。</w:t>
            </w:r>
          </w:p>
          <w:p w14:paraId="2F44830C">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④管线安全：检查各类水、电、气等管线有无破损、断裂、锈蚀，一经发现立即进行维修并做好记录，保证各类管道电线正常使用。</w:t>
            </w:r>
          </w:p>
          <w:p w14:paraId="09EFC0BB">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⑤配电设施：保持电缆沟（竖井）无水渍、杂物、鼠害、配电箱外观干燥完好、整洁、运行正常。</w:t>
            </w:r>
          </w:p>
          <w:p w14:paraId="018C198D">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⑥节能管理：杜绝“长明灯、长流水”及“跑冒滴漏”现象。</w:t>
            </w:r>
          </w:p>
          <w:p w14:paraId="6EA7C8A4">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（3）维修维护内容</w:t>
            </w:r>
          </w:p>
          <w:p w14:paraId="20B17833">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①公共区域：维修教学楼、办公楼等场所的门窗、桌椅、照明、给排水、电器及户外设施（道路、宣传栏等）。</w:t>
            </w:r>
          </w:p>
          <w:p w14:paraId="3676C7DD">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②宿舍区域：维修宿舍内家具、门窗锁具、水电设施（灯具插座、龙头、淋浴器等），并保障热水系统正常运行。</w:t>
            </w:r>
          </w:p>
          <w:p w14:paraId="6F8ABDC1">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③响应要求：影响教学的公共区域故障及宿舍区紧急报修（如断电、漏水），须优先按应急流程处理。</w:t>
            </w:r>
          </w:p>
          <w:p w14:paraId="4142DB3F">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（4）应急与值班制度</w:t>
            </w:r>
          </w:p>
          <w:p w14:paraId="0306E23E">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①水电工24小时值班，随时响应。</w:t>
            </w:r>
          </w:p>
          <w:p w14:paraId="4E64FB6B">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②向校方提供紧急联络名录，确保信息畅通。</w:t>
            </w:r>
          </w:p>
          <w:p w14:paraId="1B113094">
            <w:pPr>
              <w:pStyle w:val="24"/>
              <w:keepNext w:val="0"/>
              <w:keepLines w:val="0"/>
              <w:pageBreakBefore w:val="0"/>
              <w:widowControl w:val="0"/>
              <w:kinsoku/>
              <w:wordWrap/>
              <w:overflowPunct/>
              <w:topLinePunct w:val="0"/>
              <w:autoSpaceDE/>
              <w:autoSpaceDN/>
              <w:bidi w:val="0"/>
              <w:snapToGrid/>
              <w:spacing w:line="44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三、岗位配置要求及素质要求</w:t>
            </w:r>
          </w:p>
          <w:p w14:paraId="5624596E">
            <w:pPr>
              <w:pStyle w:val="24"/>
              <w:keepNext w:val="0"/>
              <w:keepLines w:val="0"/>
              <w:pageBreakBefore w:val="0"/>
              <w:widowControl w:val="0"/>
              <w:kinsoku/>
              <w:wordWrap/>
              <w:overflowPunct/>
              <w:topLinePunct w:val="0"/>
              <w:autoSpaceDE/>
              <w:autoSpaceDN/>
              <w:bidi w:val="0"/>
              <w:snapToGrid/>
              <w:spacing w:line="44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（一）岗位人员配置</w:t>
            </w:r>
          </w:p>
          <w:p w14:paraId="4D896F8C">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w:t>
            </w:r>
            <w:r>
              <w:rPr>
                <w:rFonts w:hint="eastAsia" w:hAnsi="宋体" w:cs="宋体"/>
                <w:b w:val="0"/>
                <w:bCs w:val="0"/>
                <w:color w:val="auto"/>
                <w:sz w:val="24"/>
                <w:szCs w:val="24"/>
                <w:highlight w:val="none"/>
                <w:lang w:val="en-US" w:eastAsia="zh-CN"/>
              </w:rPr>
              <w:t>供应商</w:t>
            </w:r>
            <w:r>
              <w:rPr>
                <w:rFonts w:hint="eastAsia" w:ascii="宋体" w:hAnsi="宋体" w:eastAsia="宋体" w:cs="宋体"/>
                <w:b w:val="0"/>
                <w:bCs w:val="0"/>
                <w:color w:val="auto"/>
                <w:sz w:val="24"/>
                <w:szCs w:val="24"/>
                <w:highlight w:val="none"/>
                <w:lang w:val="en-US" w:eastAsia="zh-CN"/>
              </w:rPr>
              <w:t>必须按各派驻校区的对要求，对各个岗位不同时段的人员数量和岗位要求配备相应物业服务人员，并保证实际到岗。</w:t>
            </w:r>
            <w:r>
              <w:rPr>
                <w:rFonts w:hint="eastAsia" w:hAnsi="宋体" w:cs="宋体"/>
                <w:b w:val="0"/>
                <w:bCs w:val="0"/>
                <w:color w:val="auto"/>
                <w:sz w:val="24"/>
                <w:szCs w:val="24"/>
                <w:highlight w:val="none"/>
                <w:lang w:val="en-US" w:eastAsia="zh-CN"/>
              </w:rPr>
              <w:t>供应商</w:t>
            </w:r>
            <w:r>
              <w:rPr>
                <w:rFonts w:hint="eastAsia" w:ascii="宋体" w:hAnsi="宋体" w:eastAsia="宋体" w:cs="宋体"/>
                <w:b w:val="0"/>
                <w:bCs w:val="0"/>
                <w:color w:val="auto"/>
                <w:sz w:val="24"/>
                <w:szCs w:val="24"/>
                <w:highlight w:val="none"/>
                <w:lang w:val="en-US" w:eastAsia="zh-CN"/>
              </w:rPr>
              <w:t>在组织、安排工作时，应符合国家相关法规，维护物业服务人员的正当权益。</w:t>
            </w:r>
            <w:r>
              <w:rPr>
                <w:rFonts w:hint="eastAsia" w:hAnsi="宋体" w:cs="宋体"/>
                <w:b w:val="0"/>
                <w:bCs w:val="0"/>
                <w:color w:val="auto"/>
                <w:sz w:val="24"/>
                <w:szCs w:val="24"/>
                <w:highlight w:val="none"/>
                <w:lang w:val="en-US" w:eastAsia="zh-CN"/>
              </w:rPr>
              <w:t>供应商</w:t>
            </w:r>
            <w:r>
              <w:rPr>
                <w:rFonts w:hint="eastAsia" w:ascii="宋体" w:hAnsi="宋体" w:eastAsia="宋体" w:cs="宋体"/>
                <w:b w:val="0"/>
                <w:bCs w:val="0"/>
                <w:color w:val="auto"/>
                <w:sz w:val="24"/>
                <w:szCs w:val="24"/>
                <w:highlight w:val="none"/>
                <w:lang w:val="en-US" w:eastAsia="zh-CN"/>
              </w:rPr>
              <w:t>对其用工行为承担一切法律责任。</w:t>
            </w:r>
          </w:p>
          <w:p w14:paraId="5F77047E">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4"/>
                <w:highlight w:val="none"/>
                <w:lang w:val="en-US" w:eastAsia="zh-CN"/>
              </w:rPr>
              <w:t>2.拟</w:t>
            </w:r>
            <w:r>
              <w:rPr>
                <w:rFonts w:hint="eastAsia" w:ascii="宋体" w:hAnsi="宋体" w:eastAsia="宋体" w:cs="宋体"/>
                <w:b w:val="0"/>
                <w:bCs w:val="0"/>
                <w:color w:val="auto"/>
                <w:sz w:val="24"/>
                <w:szCs w:val="24"/>
                <w:highlight w:val="none"/>
                <w:lang w:val="en-US" w:eastAsia="zh-CN"/>
              </w:rPr>
              <w:t>派物业人员</w:t>
            </w:r>
            <w:r>
              <w:rPr>
                <w:rFonts w:hint="eastAsia" w:ascii="宋体" w:hAnsi="宋体" w:eastAsia="宋体" w:cs="宋体"/>
                <w:color w:val="auto"/>
                <w:sz w:val="24"/>
                <w:szCs w:val="24"/>
                <w:highlight w:val="none"/>
                <w:lang w:val="en-US" w:eastAsia="zh-CN"/>
              </w:rPr>
              <w:t>身体健康，视力正常，无传染性、肝、肾、心脏、心血管等严重疾病，无不良社会记录等，提供正规医院健康证明，年龄58岁以下（女员工年龄在18-50岁，男员工年龄在18-58岁）。</w:t>
            </w:r>
          </w:p>
          <w:p w14:paraId="044ACE6D">
            <w:pPr>
              <w:pStyle w:val="24"/>
              <w:keepNext w:val="0"/>
              <w:keepLines w:val="0"/>
              <w:pageBreakBefore w:val="0"/>
              <w:widowControl w:val="0"/>
              <w:kinsoku/>
              <w:wordWrap/>
              <w:overflowPunct/>
              <w:topLinePunct w:val="0"/>
              <w:autoSpaceDE/>
              <w:autoSpaceDN/>
              <w:bidi w:val="0"/>
              <w:snapToGrid/>
              <w:spacing w:line="440" w:lineRule="exact"/>
              <w:ind w:left="0" w:leftChars="0" w:firstLine="0" w:firstLineChars="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（二）岗位时间安排</w:t>
            </w:r>
          </w:p>
          <w:p w14:paraId="547E5E52">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 水电工：上午7:30-12:00，下午14:30-18:00。</w:t>
            </w:r>
          </w:p>
          <w:p w14:paraId="1E1A7260">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 保洁员：上午7:30-12:00，下午14:30-18:00。</w:t>
            </w:r>
          </w:p>
          <w:p w14:paraId="47D50E06">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 绿化员：上午7:30-12:00，下午14:30-18:00。</w:t>
            </w:r>
          </w:p>
          <w:p w14:paraId="621E59E9">
            <w:pPr>
              <w:pStyle w:val="24"/>
              <w:keepNext w:val="0"/>
              <w:keepLines w:val="0"/>
              <w:pageBreakBefore w:val="0"/>
              <w:widowControl w:val="0"/>
              <w:kinsoku/>
              <w:wordWrap/>
              <w:overflowPunct/>
              <w:topLinePunct w:val="0"/>
              <w:autoSpaceDE/>
              <w:autoSpaceDN/>
              <w:bidi w:val="0"/>
              <w:snapToGrid/>
              <w:spacing w:line="44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（注：如所服务单位有特殊要求，具体安排由相关单位自行安排）</w:t>
            </w:r>
          </w:p>
          <w:p w14:paraId="68CA2DE7">
            <w:pPr>
              <w:pStyle w:val="24"/>
              <w:keepNext w:val="0"/>
              <w:keepLines w:val="0"/>
              <w:pageBreakBefore w:val="0"/>
              <w:widowControl w:val="0"/>
              <w:kinsoku/>
              <w:wordWrap/>
              <w:overflowPunct/>
              <w:topLinePunct w:val="0"/>
              <w:autoSpaceDE/>
              <w:autoSpaceDN/>
              <w:bidi w:val="0"/>
              <w:snapToGrid/>
              <w:spacing w:line="44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（二）岗位素质要求</w:t>
            </w:r>
          </w:p>
          <w:p w14:paraId="66A03557">
            <w:pPr>
              <w:pStyle w:val="24"/>
              <w:keepNext w:val="0"/>
              <w:keepLines w:val="0"/>
              <w:pageBreakBefore w:val="0"/>
              <w:widowControl w:val="0"/>
              <w:kinsoku/>
              <w:wordWrap/>
              <w:overflowPunct/>
              <w:topLinePunct w:val="0"/>
              <w:autoSpaceDE/>
              <w:autoSpaceDN/>
              <w:bidi w:val="0"/>
              <w:snapToGrid/>
              <w:spacing w:line="44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 职业道德规范</w:t>
            </w:r>
          </w:p>
          <w:p w14:paraId="39B4D7E7">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（1）敬业爱岗，恪尽职守：勤奋务实，积极投入本职工作，热爱岗位并乐于奉献。</w:t>
            </w:r>
          </w:p>
          <w:p w14:paraId="2E5FAC17">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（2）遵纪守法，严守规章：自觉遵守国家法律法规，严格执行公司及校方各项规章制度与劳动纪律。</w:t>
            </w:r>
          </w:p>
          <w:p w14:paraId="694B0EC0">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（3）勤学善思，提升技能：主动学习相关知识，持续提升业务能力与服务水准。</w:t>
            </w:r>
          </w:p>
          <w:p w14:paraId="6BCD8F4A">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（4）廉洁奉公，维护声誉：爱护公共财产，不以权谋私，自觉维护公司与学校的利益及形象。</w:t>
            </w:r>
          </w:p>
          <w:p w14:paraId="404E2590">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（5）勤俭节约，节能降耗：树立节约意识，在日常工作中践行节约能源、爱惜物资。</w:t>
            </w:r>
          </w:p>
          <w:p w14:paraId="03E206A1">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（6）团结协作，和谐共事：严于律己，宽以待人，妥善处理个人与集体、同事间关系，具备良好的团队协作精神。</w:t>
            </w:r>
          </w:p>
          <w:p w14:paraId="7DF5EF12">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（7）严守秘密，谨言慎行：未经授权，不得对外泄露或传播学校的任何信息与资料。</w:t>
            </w:r>
          </w:p>
          <w:p w14:paraId="544A3BB0">
            <w:pPr>
              <w:pStyle w:val="24"/>
              <w:keepNext w:val="0"/>
              <w:keepLines w:val="0"/>
              <w:pageBreakBefore w:val="0"/>
              <w:widowControl w:val="0"/>
              <w:kinsoku/>
              <w:wordWrap/>
              <w:overflowPunct/>
              <w:topLinePunct w:val="0"/>
              <w:autoSpaceDE/>
              <w:autoSpaceDN/>
              <w:bidi w:val="0"/>
              <w:snapToGrid/>
              <w:spacing w:line="44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 服务意识规范</w:t>
            </w:r>
          </w:p>
          <w:p w14:paraId="3E87195E">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（1）文明礼貌，举止得体：使用规范用语，谈吐文雅，保持衣着整洁，举止大方端庄。</w:t>
            </w:r>
          </w:p>
          <w:p w14:paraId="467E3D13">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（2）主动热情，真诚服务：以积极热情的态度面对师生，主动识别服务需求，乐于为师生解决实际困难，常面带微笑，态度谦和。</w:t>
            </w:r>
          </w:p>
          <w:p w14:paraId="00B4C31A">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（3）耐心周到，细致入微：服务过程中保持耐心，不厌其烦，虚心听取师生意见，细致解答疑问，力求提供全面、满意的服务。</w:t>
            </w:r>
          </w:p>
          <w:p w14:paraId="378BB2D0">
            <w:pPr>
              <w:pStyle w:val="24"/>
              <w:keepNext w:val="0"/>
              <w:keepLines w:val="0"/>
              <w:pageBreakBefore w:val="0"/>
              <w:widowControl w:val="0"/>
              <w:kinsoku/>
              <w:wordWrap/>
              <w:overflowPunct/>
              <w:topLinePunct w:val="0"/>
              <w:autoSpaceDE/>
              <w:autoSpaceDN/>
              <w:bidi w:val="0"/>
              <w:snapToGrid/>
              <w:spacing w:line="44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3. 仪容仪表规范</w:t>
            </w:r>
          </w:p>
          <w:p w14:paraId="0C219744">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（1）保持个人卫生，着装统一、整洁，工作证应端正佩戴于左胸前。</w:t>
            </w:r>
          </w:p>
          <w:p w14:paraId="051B7241">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（2）工作时间内不得穿短裤、背心、拖鞋等不规范着装进入工作区域。</w:t>
            </w:r>
          </w:p>
          <w:p w14:paraId="6CE2A23E">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（3）男员工：发长不掩耳、不遮领，每日剃须；保持指甲清洁，不留长指甲；衣着纽扣扣齐，领带紧束（大箭头下端以垂至皮带扣处为准），衬衣下摆应束于裤内。</w:t>
            </w:r>
          </w:p>
          <w:p w14:paraId="3EBAD333">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（4）女员工：发长不过肩，发型简洁大方，不染怪异发色；不留长指甲，不涂染艳丽指甲油；妆容朴素淡雅，不浓妆艳抹；不穿着黑色或带花纹的丝袜。</w:t>
            </w:r>
          </w:p>
          <w:p w14:paraId="38EB7D43">
            <w:pPr>
              <w:pStyle w:val="24"/>
              <w:keepNext w:val="0"/>
              <w:keepLines w:val="0"/>
              <w:pageBreakBefore w:val="0"/>
              <w:widowControl w:val="0"/>
              <w:kinsoku/>
              <w:wordWrap/>
              <w:overflowPunct/>
              <w:topLinePunct w:val="0"/>
              <w:autoSpaceDE/>
              <w:autoSpaceDN/>
              <w:bidi w:val="0"/>
              <w:snapToGrid/>
              <w:spacing w:line="44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（三）岗位工作职责要求</w:t>
            </w:r>
          </w:p>
          <w:p w14:paraId="302B6981">
            <w:pPr>
              <w:pStyle w:val="24"/>
              <w:keepNext w:val="0"/>
              <w:keepLines w:val="0"/>
              <w:pageBreakBefore w:val="0"/>
              <w:widowControl w:val="0"/>
              <w:kinsoku/>
              <w:wordWrap/>
              <w:overflowPunct/>
              <w:topLinePunct w:val="0"/>
              <w:autoSpaceDE/>
              <w:autoSpaceDN/>
              <w:bidi w:val="0"/>
              <w:snapToGrid/>
              <w:spacing w:line="44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1. 水电工</w:t>
            </w:r>
          </w:p>
          <w:p w14:paraId="099D9F40">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（1）水电综合维修：</w:t>
            </w:r>
          </w:p>
          <w:p w14:paraId="4151B008">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① 熟悉并遵守相关法规及各项规章制度，熟练掌握应急预案。</w:t>
            </w:r>
          </w:p>
          <w:p w14:paraId="70DD5565">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② 持证上岗，定期培训。</w:t>
            </w:r>
          </w:p>
          <w:p w14:paraId="7BEBB653">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③ 熟悉辖区内水电线路、开关等设施设备功能及分布情况。熟练掌握相关维修技能，严格执行操作规程。</w:t>
            </w:r>
          </w:p>
          <w:p w14:paraId="31C9888E">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④</w:t>
            </w:r>
            <w:r>
              <w:rPr>
                <w:rFonts w:hint="eastAsia" w:ascii="宋体" w:hAnsi="宋体" w:eastAsia="宋体" w:cs="宋体"/>
                <w:color w:val="auto"/>
                <w:sz w:val="24"/>
                <w:szCs w:val="24"/>
                <w:highlight w:val="none"/>
                <w:lang w:val="en-US" w:eastAsia="zh-CN"/>
              </w:rPr>
              <w:t xml:space="preserve"> 定时巡检水电线路等设施设备，填写记录，保持完好运行，发现问题时，应准确判断，及时处理。</w:t>
            </w:r>
          </w:p>
          <w:p w14:paraId="2C3A3A49">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⑤</w:t>
            </w:r>
            <w:r>
              <w:rPr>
                <w:rFonts w:hint="eastAsia" w:ascii="宋体" w:hAnsi="宋体" w:eastAsia="宋体" w:cs="宋体"/>
                <w:color w:val="auto"/>
                <w:sz w:val="24"/>
                <w:szCs w:val="24"/>
                <w:highlight w:val="none"/>
                <w:lang w:val="en-US" w:eastAsia="zh-CN"/>
              </w:rPr>
              <w:t xml:space="preserve"> 接到报修后60分钟内到达现场，维修合格率达100%。水电抢修不过夜。</w:t>
            </w:r>
          </w:p>
          <w:p w14:paraId="29360AD3">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⑥</w:t>
            </w:r>
            <w:r>
              <w:rPr>
                <w:rFonts w:hint="eastAsia" w:ascii="宋体" w:hAnsi="宋体" w:eastAsia="宋体" w:cs="宋体"/>
                <w:color w:val="auto"/>
                <w:sz w:val="24"/>
                <w:szCs w:val="24"/>
                <w:highlight w:val="none"/>
                <w:lang w:val="en-US" w:eastAsia="zh-CN"/>
              </w:rPr>
              <w:t xml:space="preserve"> 供配电室及室外变台、箱变、低压配电室双人巡检维护。</w:t>
            </w:r>
          </w:p>
          <w:p w14:paraId="6DEE956A">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⑦</w:t>
            </w:r>
            <w:r>
              <w:rPr>
                <w:rFonts w:hint="eastAsia" w:ascii="宋体" w:hAnsi="宋体" w:eastAsia="宋体" w:cs="宋体"/>
                <w:color w:val="auto"/>
                <w:sz w:val="24"/>
                <w:szCs w:val="24"/>
                <w:highlight w:val="none"/>
                <w:lang w:val="en-US" w:eastAsia="zh-CN"/>
              </w:rPr>
              <w:t xml:space="preserve"> 停送电操作，应填写相关工作票，做好安全组织，按规范程序操作。</w:t>
            </w:r>
          </w:p>
          <w:p w14:paraId="131755AD">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⑧</w:t>
            </w:r>
            <w:r>
              <w:rPr>
                <w:rFonts w:hint="eastAsia" w:ascii="宋体" w:hAnsi="宋体" w:eastAsia="宋体" w:cs="宋体"/>
                <w:color w:val="auto"/>
                <w:sz w:val="24"/>
                <w:szCs w:val="24"/>
                <w:highlight w:val="none"/>
                <w:lang w:val="en-US" w:eastAsia="zh-CN"/>
              </w:rPr>
              <w:t xml:space="preserve"> 定期检查避雷、接地设施完好性，定期进行相关试验。</w:t>
            </w:r>
          </w:p>
          <w:p w14:paraId="43ADEF61">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⑨</w:t>
            </w:r>
            <w:r>
              <w:rPr>
                <w:rFonts w:hint="eastAsia" w:ascii="宋体" w:hAnsi="宋体" w:eastAsia="宋体" w:cs="宋体"/>
                <w:color w:val="auto"/>
                <w:sz w:val="24"/>
                <w:szCs w:val="24"/>
                <w:highlight w:val="none"/>
                <w:lang w:val="en-US" w:eastAsia="zh-CN"/>
              </w:rPr>
              <w:t xml:space="preserve"> 按规范要求，配置安全防护设施，定时清扫设备及配电室卫生。</w:t>
            </w:r>
          </w:p>
          <w:p w14:paraId="79999043">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⑩</w:t>
            </w:r>
            <w:r>
              <w:rPr>
                <w:rFonts w:hint="eastAsia" w:ascii="宋体" w:hAnsi="宋体" w:eastAsia="宋体" w:cs="宋体"/>
                <w:color w:val="auto"/>
                <w:sz w:val="24"/>
                <w:szCs w:val="24"/>
                <w:highlight w:val="none"/>
                <w:lang w:val="en-US" w:eastAsia="zh-CN"/>
              </w:rPr>
              <w:t xml:space="preserve"> 制定并组织实施设备维保计划。</w:t>
            </w:r>
          </w:p>
          <w:p w14:paraId="09A3E34D">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（2）公共设施小型维修：</w:t>
            </w:r>
          </w:p>
          <w:p w14:paraId="0865733B">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①</w:t>
            </w:r>
            <w:r>
              <w:rPr>
                <w:rFonts w:hint="eastAsia" w:ascii="宋体" w:hAnsi="宋体" w:eastAsia="宋体" w:cs="宋体"/>
                <w:color w:val="auto"/>
                <w:sz w:val="24"/>
                <w:szCs w:val="24"/>
                <w:highlight w:val="none"/>
                <w:lang w:val="en-US" w:eastAsia="zh-CN"/>
              </w:rPr>
              <w:t xml:space="preserve"> 熟悉并遵守相关法规及各项规章制度，熟练掌握应急预案。</w:t>
            </w:r>
          </w:p>
          <w:p w14:paraId="60B2F69D">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②</w:t>
            </w:r>
            <w:r>
              <w:rPr>
                <w:rFonts w:hint="eastAsia" w:ascii="宋体" w:hAnsi="宋体" w:eastAsia="宋体" w:cs="宋体"/>
                <w:color w:val="auto"/>
                <w:sz w:val="24"/>
                <w:szCs w:val="24"/>
                <w:highlight w:val="none"/>
                <w:lang w:val="en-US" w:eastAsia="zh-CN"/>
              </w:rPr>
              <w:t xml:space="preserve"> 定期培训，特种作业必须持证上岗。</w:t>
            </w:r>
          </w:p>
          <w:p w14:paraId="4822F751">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③</w:t>
            </w:r>
            <w:r>
              <w:rPr>
                <w:rFonts w:hint="eastAsia" w:ascii="宋体" w:hAnsi="宋体" w:eastAsia="宋体" w:cs="宋体"/>
                <w:color w:val="auto"/>
                <w:sz w:val="24"/>
                <w:szCs w:val="24"/>
                <w:highlight w:val="none"/>
                <w:lang w:val="en-US" w:eastAsia="zh-CN"/>
              </w:rPr>
              <w:t xml:space="preserve"> 辖区内建筑设施维修，包括：房屋、门窗、学生宿舍门锁家具、道路、广场、管井、化粪池、景观小品等设施。</w:t>
            </w:r>
          </w:p>
          <w:p w14:paraId="3AF08A59">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④</w:t>
            </w:r>
            <w:r>
              <w:rPr>
                <w:rFonts w:hint="eastAsia" w:ascii="宋体" w:hAnsi="宋体" w:eastAsia="宋体" w:cs="宋体"/>
                <w:color w:val="auto"/>
                <w:sz w:val="24"/>
                <w:szCs w:val="24"/>
                <w:highlight w:val="none"/>
                <w:lang w:val="en-US" w:eastAsia="zh-CN"/>
              </w:rPr>
              <w:t xml:space="preserve"> 定时巡检，填写记录，保持设施完好，发现问题时，应准确判断，及时处理。</w:t>
            </w:r>
          </w:p>
          <w:p w14:paraId="10C56655">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⑤接到报修后60分钟内到达现场，维修合格率达100%。</w:t>
            </w:r>
          </w:p>
          <w:p w14:paraId="05C13D81">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⑥常备配件类维修，自接到报修后应当日修复。</w:t>
            </w:r>
          </w:p>
          <w:p w14:paraId="5B1267BE">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⑦外购配件及土建类维修，自接到报修之日起应3日内修复。</w:t>
            </w:r>
          </w:p>
          <w:p w14:paraId="06181431">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⑧雨季做好本职防汛工作，排查有关隐患。</w:t>
            </w:r>
          </w:p>
          <w:p w14:paraId="16113E74">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➈提出专项修缮建议。</w:t>
            </w:r>
          </w:p>
          <w:p w14:paraId="583A4410">
            <w:pPr>
              <w:pStyle w:val="24"/>
              <w:keepNext w:val="0"/>
              <w:keepLines w:val="0"/>
              <w:pageBreakBefore w:val="0"/>
              <w:widowControl w:val="0"/>
              <w:kinsoku/>
              <w:wordWrap/>
              <w:overflowPunct/>
              <w:topLinePunct w:val="0"/>
              <w:autoSpaceDE/>
              <w:autoSpaceDN/>
              <w:bidi w:val="0"/>
              <w:snapToGrid/>
              <w:spacing w:line="44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2. 保洁员</w:t>
            </w:r>
          </w:p>
          <w:p w14:paraId="1F6E9B64">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（1）熟悉并遵守相关法规及各项规章制度。保洁服务讲求文明礼貌。</w:t>
            </w:r>
          </w:p>
          <w:p w14:paraId="7B879513">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（2）以下公共区域的设施设备要保持整洁：墙壁、门窗、玻璃、照明、地墙面、楼梯、扶手、水房、卫生间、天花板、标识牌、消防、水暖电气、电梯、宣传栏等。</w:t>
            </w:r>
          </w:p>
          <w:p w14:paraId="104539A6">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（3）公共卫生间要保持空气清新、洁具明亮，无异味、无积水、无污垢。</w:t>
            </w:r>
          </w:p>
          <w:p w14:paraId="12EA85C6">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（4）楼宇周边，要保持环境整洁、各种车辆整齐有序。</w:t>
            </w:r>
          </w:p>
          <w:p w14:paraId="59958E18">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（5）雨、雪天气时，负责清扫责任区的积水和积雪。</w:t>
            </w:r>
          </w:p>
          <w:p w14:paraId="06C18815">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（6）捡拾遗失物品应登记备案、完好交还失主。</w:t>
            </w:r>
          </w:p>
          <w:p w14:paraId="79DD4111">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（7）发现火情、治安事件、嫌疑人员、可疑现象、水暖跑冒、燃气泄漏等紧急情况，应及时上报并协助处理。</w:t>
            </w:r>
          </w:p>
          <w:p w14:paraId="6860339E">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 绿化员</w:t>
            </w:r>
          </w:p>
          <w:p w14:paraId="748BD891">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（1）熟悉并遵守相关法规及各项规章制度，熟练掌握应急预案。</w:t>
            </w:r>
          </w:p>
          <w:p w14:paraId="774AD926">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（2）熟悉花草树木名称、习性和养护，定期进行培训。</w:t>
            </w:r>
          </w:p>
          <w:p w14:paraId="61A76BDC">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（3）做好辖区乔灌草等植物的修剪、施肥、浇水、除草等工作，保持植物生长状态良好，形状美观。</w:t>
            </w:r>
          </w:p>
          <w:p w14:paraId="71C794B6">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（4）有效利用生物、化学、物理方法防控病虫害。</w:t>
            </w:r>
          </w:p>
          <w:p w14:paraId="593EAB90">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（5）熟练使用、维护园林机械设备和喷灌设施。</w:t>
            </w:r>
          </w:p>
          <w:p w14:paraId="7A7296A4">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（6）熟练掌握种植、移植技术。</w:t>
            </w:r>
          </w:p>
          <w:p w14:paraId="6EB75B5B">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（7）保持绿地整洁无杂物、无污染物。</w:t>
            </w:r>
          </w:p>
          <w:p w14:paraId="74A0CD63">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（8）按规范要求，有效维护古树健康生长。</w:t>
            </w:r>
          </w:p>
          <w:p w14:paraId="5EA790E2">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（9）做好防范植物倒伏隐患排查工作。</w:t>
            </w:r>
          </w:p>
          <w:p w14:paraId="10BB9FB7">
            <w:pPr>
              <w:pStyle w:val="24"/>
              <w:keepNext w:val="0"/>
              <w:keepLines w:val="0"/>
              <w:pageBreakBefore w:val="0"/>
              <w:widowControl w:val="0"/>
              <w:kinsoku/>
              <w:wordWrap/>
              <w:overflowPunct/>
              <w:topLinePunct w:val="0"/>
              <w:autoSpaceDE/>
              <w:autoSpaceDN/>
              <w:bidi w:val="0"/>
              <w:snapToGrid/>
              <w:spacing w:line="440" w:lineRule="exact"/>
              <w:ind w:left="0" w:leftChars="0" w:firstLine="482" w:firstLineChars="200"/>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四、档案管理要求</w:t>
            </w:r>
          </w:p>
          <w:p w14:paraId="4CF13729">
            <w:pPr>
              <w:pStyle w:val="24"/>
              <w:keepNext w:val="0"/>
              <w:keepLines w:val="0"/>
              <w:pageBreakBefore w:val="0"/>
              <w:widowControl w:val="0"/>
              <w:kinsoku/>
              <w:wordWrap/>
              <w:overflowPunct/>
              <w:topLinePunct w:val="0"/>
              <w:autoSpaceDE/>
              <w:autoSpaceDN/>
              <w:bidi w:val="0"/>
              <w:snapToGrid/>
              <w:spacing w:line="44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须建立并妥善保管包括但不限于：员工档案与培训记录、日常巡检与维修日志、设备设施保养台账、考核记录、消杀记录、宿舍管理值班与检查记录等全套物业管理档案，供学校随时抽查。</w:t>
            </w:r>
          </w:p>
        </w:tc>
      </w:tr>
      <w:tr w14:paraId="5EC42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91" w:type="dxa"/>
            <w:gridSpan w:val="2"/>
            <w:vMerge w:val="continue"/>
            <w:vAlign w:val="center"/>
          </w:tcPr>
          <w:p w14:paraId="145BCA25">
            <w:pPr>
              <w:keepNext w:val="0"/>
              <w:keepLines w:val="0"/>
              <w:pageBreakBefore w:val="0"/>
              <w:widowControl w:val="0"/>
              <w:kinsoku/>
              <w:wordWrap w:val="0"/>
              <w:overflowPunct/>
              <w:topLinePunct w:val="0"/>
              <w:autoSpaceDE/>
              <w:autoSpaceDN/>
              <w:bidi w:val="0"/>
              <w:adjustRightInd w:val="0"/>
              <w:snapToGrid/>
              <w:spacing w:line="520" w:lineRule="exact"/>
              <w:ind w:left="210" w:hanging="240" w:hangingChars="100"/>
              <w:jc w:val="left"/>
              <w:rPr>
                <w:rFonts w:hint="default" w:ascii="Times New Roman" w:hAnsi="Times New Roman" w:eastAsia="仿宋_GB2312" w:cs="Times New Roman"/>
                <w:color w:val="auto"/>
                <w:sz w:val="24"/>
                <w:szCs w:val="24"/>
                <w:highlight w:val="none"/>
              </w:rPr>
            </w:pPr>
          </w:p>
        </w:tc>
      </w:tr>
      <w:tr w14:paraId="0B5EF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91" w:type="dxa"/>
            <w:gridSpan w:val="2"/>
            <w:vMerge w:val="continue"/>
            <w:vAlign w:val="center"/>
          </w:tcPr>
          <w:p w14:paraId="62FB6E8F">
            <w:pPr>
              <w:keepNext w:val="0"/>
              <w:keepLines w:val="0"/>
              <w:pageBreakBefore w:val="0"/>
              <w:widowControl w:val="0"/>
              <w:kinsoku/>
              <w:wordWrap w:val="0"/>
              <w:overflowPunct/>
              <w:topLinePunct w:val="0"/>
              <w:autoSpaceDE/>
              <w:autoSpaceDN/>
              <w:bidi w:val="0"/>
              <w:adjustRightInd w:val="0"/>
              <w:snapToGrid/>
              <w:spacing w:line="520" w:lineRule="exact"/>
              <w:ind w:left="210" w:hanging="240" w:hangingChars="100"/>
              <w:jc w:val="left"/>
              <w:rPr>
                <w:rFonts w:hint="default" w:ascii="Times New Roman" w:hAnsi="Times New Roman" w:eastAsia="仿宋_GB2312" w:cs="Times New Roman"/>
                <w:color w:val="auto"/>
                <w:sz w:val="24"/>
                <w:szCs w:val="24"/>
                <w:highlight w:val="none"/>
              </w:rPr>
            </w:pPr>
          </w:p>
        </w:tc>
      </w:tr>
      <w:tr w14:paraId="61C98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91" w:type="dxa"/>
            <w:gridSpan w:val="2"/>
            <w:vMerge w:val="continue"/>
            <w:vAlign w:val="center"/>
          </w:tcPr>
          <w:p w14:paraId="7724F0E4">
            <w:pPr>
              <w:keepNext w:val="0"/>
              <w:keepLines w:val="0"/>
              <w:pageBreakBefore w:val="0"/>
              <w:widowControl w:val="0"/>
              <w:kinsoku/>
              <w:wordWrap w:val="0"/>
              <w:overflowPunct/>
              <w:topLinePunct w:val="0"/>
              <w:autoSpaceDE/>
              <w:autoSpaceDN/>
              <w:bidi w:val="0"/>
              <w:adjustRightInd w:val="0"/>
              <w:snapToGrid/>
              <w:spacing w:line="520" w:lineRule="exact"/>
              <w:ind w:left="210" w:hanging="240" w:hangingChars="100"/>
              <w:jc w:val="left"/>
              <w:rPr>
                <w:rFonts w:hint="default" w:ascii="Times New Roman" w:hAnsi="Times New Roman" w:eastAsia="仿宋_GB2312" w:cs="Times New Roman"/>
                <w:color w:val="auto"/>
                <w:sz w:val="24"/>
                <w:szCs w:val="24"/>
                <w:highlight w:val="none"/>
              </w:rPr>
            </w:pPr>
          </w:p>
        </w:tc>
      </w:tr>
      <w:tr w14:paraId="35A52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91" w:type="dxa"/>
            <w:gridSpan w:val="2"/>
            <w:vMerge w:val="continue"/>
            <w:vAlign w:val="center"/>
          </w:tcPr>
          <w:p w14:paraId="123650B4">
            <w:pPr>
              <w:keepNext w:val="0"/>
              <w:keepLines w:val="0"/>
              <w:pageBreakBefore w:val="0"/>
              <w:widowControl w:val="0"/>
              <w:kinsoku/>
              <w:wordWrap w:val="0"/>
              <w:overflowPunct/>
              <w:topLinePunct w:val="0"/>
              <w:autoSpaceDE/>
              <w:autoSpaceDN/>
              <w:bidi w:val="0"/>
              <w:adjustRightInd w:val="0"/>
              <w:snapToGrid/>
              <w:spacing w:line="520" w:lineRule="exact"/>
              <w:ind w:left="210" w:hanging="240" w:hangingChars="100"/>
              <w:jc w:val="left"/>
              <w:rPr>
                <w:rFonts w:hint="default" w:ascii="Times New Roman" w:hAnsi="Times New Roman" w:eastAsia="仿宋_GB2312" w:cs="Times New Roman"/>
                <w:color w:val="auto"/>
                <w:sz w:val="24"/>
                <w:szCs w:val="24"/>
                <w:highlight w:val="none"/>
              </w:rPr>
            </w:pPr>
          </w:p>
        </w:tc>
      </w:tr>
      <w:tr w14:paraId="670B1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91" w:type="dxa"/>
            <w:gridSpan w:val="2"/>
            <w:vMerge w:val="continue"/>
            <w:vAlign w:val="center"/>
          </w:tcPr>
          <w:p w14:paraId="622877F0">
            <w:pPr>
              <w:keepNext w:val="0"/>
              <w:keepLines w:val="0"/>
              <w:pageBreakBefore w:val="0"/>
              <w:widowControl w:val="0"/>
              <w:kinsoku/>
              <w:wordWrap w:val="0"/>
              <w:overflowPunct/>
              <w:topLinePunct w:val="0"/>
              <w:autoSpaceDE/>
              <w:autoSpaceDN/>
              <w:bidi w:val="0"/>
              <w:adjustRightInd w:val="0"/>
              <w:snapToGrid/>
              <w:spacing w:line="520" w:lineRule="exact"/>
              <w:ind w:left="210" w:hanging="240" w:hangingChars="100"/>
              <w:jc w:val="left"/>
              <w:rPr>
                <w:rFonts w:hint="default" w:ascii="Times New Roman" w:hAnsi="Times New Roman" w:eastAsia="仿宋_GB2312" w:cs="Times New Roman"/>
                <w:color w:val="auto"/>
                <w:sz w:val="24"/>
                <w:szCs w:val="24"/>
                <w:highlight w:val="none"/>
              </w:rPr>
            </w:pPr>
          </w:p>
        </w:tc>
      </w:tr>
      <w:tr w14:paraId="449B2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91" w:type="dxa"/>
            <w:gridSpan w:val="2"/>
            <w:vMerge w:val="continue"/>
            <w:vAlign w:val="center"/>
          </w:tcPr>
          <w:p w14:paraId="1AE5AA18">
            <w:pPr>
              <w:keepNext w:val="0"/>
              <w:keepLines w:val="0"/>
              <w:pageBreakBefore w:val="0"/>
              <w:widowControl w:val="0"/>
              <w:kinsoku/>
              <w:wordWrap w:val="0"/>
              <w:overflowPunct/>
              <w:topLinePunct w:val="0"/>
              <w:autoSpaceDE/>
              <w:autoSpaceDN/>
              <w:bidi w:val="0"/>
              <w:adjustRightInd w:val="0"/>
              <w:snapToGrid/>
              <w:spacing w:line="520" w:lineRule="exact"/>
              <w:ind w:left="210" w:hanging="240" w:hangingChars="100"/>
              <w:jc w:val="left"/>
              <w:rPr>
                <w:rFonts w:hint="default" w:ascii="Times New Roman" w:hAnsi="Times New Roman" w:eastAsia="仿宋_GB2312" w:cs="Times New Roman"/>
                <w:color w:val="auto"/>
                <w:sz w:val="24"/>
                <w:szCs w:val="24"/>
                <w:highlight w:val="none"/>
              </w:rPr>
            </w:pPr>
          </w:p>
        </w:tc>
      </w:tr>
      <w:tr w14:paraId="7EB7A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91" w:type="dxa"/>
            <w:gridSpan w:val="2"/>
            <w:vMerge w:val="continue"/>
            <w:vAlign w:val="center"/>
          </w:tcPr>
          <w:p w14:paraId="6544AB9A">
            <w:pPr>
              <w:keepNext w:val="0"/>
              <w:keepLines w:val="0"/>
              <w:pageBreakBefore w:val="0"/>
              <w:widowControl w:val="0"/>
              <w:kinsoku/>
              <w:wordWrap w:val="0"/>
              <w:overflowPunct/>
              <w:topLinePunct w:val="0"/>
              <w:autoSpaceDE/>
              <w:autoSpaceDN/>
              <w:bidi w:val="0"/>
              <w:adjustRightInd w:val="0"/>
              <w:snapToGrid/>
              <w:spacing w:line="520" w:lineRule="exact"/>
              <w:ind w:left="210" w:hanging="240" w:hangingChars="100"/>
              <w:jc w:val="left"/>
              <w:rPr>
                <w:rFonts w:hint="default" w:ascii="Times New Roman" w:hAnsi="Times New Roman" w:eastAsia="仿宋_GB2312" w:cs="Times New Roman"/>
                <w:color w:val="auto"/>
                <w:sz w:val="24"/>
                <w:szCs w:val="24"/>
                <w:highlight w:val="none"/>
              </w:rPr>
            </w:pPr>
          </w:p>
        </w:tc>
      </w:tr>
      <w:tr w14:paraId="20E09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91" w:type="dxa"/>
            <w:gridSpan w:val="2"/>
            <w:vMerge w:val="continue"/>
            <w:vAlign w:val="center"/>
          </w:tcPr>
          <w:p w14:paraId="1D091D2D">
            <w:pPr>
              <w:keepNext w:val="0"/>
              <w:keepLines w:val="0"/>
              <w:pageBreakBefore w:val="0"/>
              <w:widowControl w:val="0"/>
              <w:kinsoku/>
              <w:wordWrap w:val="0"/>
              <w:overflowPunct/>
              <w:topLinePunct w:val="0"/>
              <w:autoSpaceDE/>
              <w:autoSpaceDN/>
              <w:bidi w:val="0"/>
              <w:adjustRightInd w:val="0"/>
              <w:snapToGrid/>
              <w:spacing w:line="520" w:lineRule="exact"/>
              <w:ind w:left="210" w:hanging="240" w:hangingChars="100"/>
              <w:jc w:val="left"/>
              <w:rPr>
                <w:rFonts w:hint="default" w:ascii="Times New Roman" w:hAnsi="Times New Roman" w:eastAsia="仿宋_GB2312" w:cs="Times New Roman"/>
                <w:color w:val="auto"/>
                <w:sz w:val="24"/>
                <w:szCs w:val="24"/>
                <w:highlight w:val="none"/>
              </w:rPr>
            </w:pPr>
          </w:p>
        </w:tc>
      </w:tr>
      <w:tr w14:paraId="6FE28B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91" w:type="dxa"/>
            <w:gridSpan w:val="2"/>
            <w:vMerge w:val="continue"/>
            <w:vAlign w:val="center"/>
          </w:tcPr>
          <w:p w14:paraId="4CE2EA76">
            <w:pPr>
              <w:keepNext w:val="0"/>
              <w:keepLines w:val="0"/>
              <w:pageBreakBefore w:val="0"/>
              <w:widowControl w:val="0"/>
              <w:kinsoku/>
              <w:wordWrap w:val="0"/>
              <w:overflowPunct/>
              <w:topLinePunct w:val="0"/>
              <w:autoSpaceDE/>
              <w:autoSpaceDN/>
              <w:bidi w:val="0"/>
              <w:adjustRightInd w:val="0"/>
              <w:snapToGrid/>
              <w:spacing w:line="520" w:lineRule="exact"/>
              <w:ind w:left="210" w:hanging="240" w:hangingChars="100"/>
              <w:jc w:val="left"/>
              <w:rPr>
                <w:rFonts w:hint="default" w:ascii="Times New Roman" w:hAnsi="Times New Roman" w:eastAsia="仿宋_GB2312" w:cs="Times New Roman"/>
                <w:color w:val="auto"/>
                <w:sz w:val="24"/>
                <w:szCs w:val="24"/>
                <w:highlight w:val="none"/>
              </w:rPr>
            </w:pPr>
          </w:p>
        </w:tc>
      </w:tr>
      <w:tr w14:paraId="01A638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9891" w:type="dxa"/>
            <w:gridSpan w:val="2"/>
            <w:vAlign w:val="center"/>
          </w:tcPr>
          <w:p w14:paraId="0FDB55D8">
            <w:pPr>
              <w:spacing w:line="440" w:lineRule="exact"/>
              <w:ind w:firstLine="720" w:firstLineChars="200"/>
              <w:jc w:val="left"/>
              <w:rPr>
                <w:rFonts w:hint="default" w:ascii="Times New Roman" w:hAnsi="Times New Roman" w:eastAsia="仿宋_GB2312" w:cs="Times New Roman"/>
                <w:color w:val="auto"/>
                <w:sz w:val="24"/>
                <w:szCs w:val="24"/>
                <w:highlight w:val="none"/>
              </w:rPr>
            </w:pPr>
            <w:r>
              <w:rPr>
                <w:rFonts w:hint="eastAsia" w:ascii="宋体" w:hAnsi="宋体" w:cs="宋体"/>
                <w:bCs/>
                <w:color w:val="auto"/>
                <w:sz w:val="36"/>
                <w:szCs w:val="36"/>
                <w:highlight w:val="none"/>
              </w:rPr>
              <w:t>★</w:t>
            </w:r>
            <w:r>
              <w:rPr>
                <w:rFonts w:hint="eastAsia" w:ascii="宋体" w:hAnsi="宋体" w:cs="宋体"/>
                <w:b/>
                <w:color w:val="auto"/>
                <w:sz w:val="36"/>
                <w:szCs w:val="36"/>
                <w:highlight w:val="none"/>
              </w:rPr>
              <w:t>商务要求</w:t>
            </w:r>
          </w:p>
        </w:tc>
      </w:tr>
      <w:tr w14:paraId="34F7C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29" w:type="dxa"/>
            <w:vAlign w:val="center"/>
          </w:tcPr>
          <w:p w14:paraId="7686DBC6">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投标报价要求</w:t>
            </w:r>
          </w:p>
        </w:tc>
        <w:tc>
          <w:tcPr>
            <w:tcW w:w="8662" w:type="dxa"/>
            <w:vAlign w:val="center"/>
          </w:tcPr>
          <w:p w14:paraId="49CD564B">
            <w:pPr>
              <w:keepNext w:val="0"/>
              <w:keepLines w:val="0"/>
              <w:pageBreakBefore w:val="0"/>
              <w:widowControl/>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1.投标报价包含人员工资、培训、服装、奖金、五险、其他必要的保险等营业成本以及利润、物业管理服务中所发生的各项税收等费用。</w:t>
            </w:r>
          </w:p>
          <w:p w14:paraId="6E229815">
            <w:pPr>
              <w:keepNext w:val="0"/>
              <w:keepLines w:val="0"/>
              <w:pageBreakBefore w:val="0"/>
              <w:widowControl/>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2.供应商报价须列明各服务单位（各学校）的投入服务人数及报价。各学校的报价不得超过该服务单位的投标最高限价</w:t>
            </w:r>
            <w:r>
              <w:rPr>
                <w:rFonts w:hint="eastAsia" w:ascii="宋体" w:hAnsi="宋体" w:cs="宋体"/>
                <w:color w:val="auto"/>
                <w:sz w:val="24"/>
                <w:szCs w:val="24"/>
                <w:highlight w:val="none"/>
                <w:lang w:val="en-US" w:eastAsia="zh-CN"/>
              </w:rPr>
              <w:t>，否则投标无效</w:t>
            </w:r>
            <w:r>
              <w:rPr>
                <w:rFonts w:hint="eastAsia" w:ascii="宋体" w:hAnsi="宋体" w:eastAsia="宋体" w:cs="宋体"/>
                <w:color w:val="auto"/>
                <w:sz w:val="24"/>
                <w:szCs w:val="24"/>
                <w:highlight w:val="none"/>
                <w:lang w:val="en-US" w:eastAsia="zh-CN"/>
              </w:rPr>
              <w:t>。</w:t>
            </w:r>
          </w:p>
        </w:tc>
      </w:tr>
      <w:tr w14:paraId="062E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29" w:type="dxa"/>
            <w:vAlign w:val="center"/>
          </w:tcPr>
          <w:p w14:paraId="500E82A7">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合同</w:t>
            </w:r>
          </w:p>
          <w:p w14:paraId="2A62FE5E">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签订</w:t>
            </w:r>
          </w:p>
        </w:tc>
        <w:tc>
          <w:tcPr>
            <w:tcW w:w="8662" w:type="dxa"/>
            <w:vAlign w:val="center"/>
          </w:tcPr>
          <w:p w14:paraId="0A937E5E">
            <w:pPr>
              <w:keepNext w:val="0"/>
              <w:keepLines w:val="0"/>
              <w:pageBreakBefore w:val="0"/>
              <w:widowControl/>
              <w:kinsoku/>
              <w:wordWrap/>
              <w:overflowPunct/>
              <w:topLinePunct w:val="0"/>
              <w:autoSpaceDE/>
              <w:autoSpaceDN/>
              <w:bidi w:val="0"/>
              <w:adjustRightInd/>
              <w:snapToGrid/>
              <w:spacing w:line="440" w:lineRule="exact"/>
              <w:ind w:left="0" w:leftChars="0"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按照政府采购有关规定，由市教育局、服务单位与</w:t>
            </w:r>
            <w:r>
              <w:rPr>
                <w:rFonts w:hint="eastAsia" w:ascii="宋体" w:hAnsi="宋体" w:cs="宋体"/>
                <w:color w:val="auto"/>
                <w:sz w:val="24"/>
                <w:szCs w:val="24"/>
                <w:highlight w:val="none"/>
                <w:lang w:val="en-US" w:eastAsia="zh-CN"/>
              </w:rPr>
              <w:t>中标</w:t>
            </w:r>
            <w:r>
              <w:rPr>
                <w:rFonts w:hint="eastAsia" w:ascii="宋体" w:hAnsi="宋体" w:eastAsia="宋体" w:cs="宋体"/>
                <w:color w:val="auto"/>
                <w:sz w:val="24"/>
                <w:szCs w:val="24"/>
                <w:highlight w:val="none"/>
                <w:lang w:val="en-US" w:eastAsia="zh-CN"/>
              </w:rPr>
              <w:t>供应商公司三方签订合同，在合同中明确各自的权利、义务及责任，切实履行协议内容。中标人须接受采购人和服务单位（各学校）的共同管理。</w:t>
            </w:r>
          </w:p>
        </w:tc>
      </w:tr>
      <w:tr w14:paraId="21FD43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29" w:type="dxa"/>
            <w:vAlign w:val="center"/>
          </w:tcPr>
          <w:p w14:paraId="6B47754F">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服务期限及地点</w:t>
            </w:r>
          </w:p>
        </w:tc>
        <w:tc>
          <w:tcPr>
            <w:tcW w:w="8662" w:type="dxa"/>
            <w:vAlign w:val="center"/>
          </w:tcPr>
          <w:p w14:paraId="2FD26B80">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1.服务的时间：自签订合同完成并开始履行之日起2年。 </w:t>
            </w:r>
          </w:p>
          <w:p w14:paraId="1DCA5620">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服务的地点：北海市机关幼儿园（北海市涠洲岛幼儿园）、北海市政府机关幼儿园、北海市第五幼儿园、北海市第三中学、北海市第七中学、北海市第九中学、北海市第十中学、北海市第二十六中学、北京市第八中学北海实验学校、北京师范大学北海实验中学。</w:t>
            </w:r>
          </w:p>
        </w:tc>
      </w:tr>
      <w:tr w14:paraId="5FF78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29" w:type="dxa"/>
            <w:vAlign w:val="center"/>
          </w:tcPr>
          <w:p w14:paraId="6599271D">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服务要求</w:t>
            </w:r>
          </w:p>
        </w:tc>
        <w:tc>
          <w:tcPr>
            <w:tcW w:w="8662" w:type="dxa"/>
            <w:vAlign w:val="center"/>
          </w:tcPr>
          <w:p w14:paraId="391F5951">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中标人按照所服务单位划定的工作范围、工作内容及管理目标成立相关机构，制定相应工作流程、工作制度、监督考核办法，合理安排人员，科学管理，严格要求，达标运行。接受市教育局、所服务单位及相关职能部门的监督、检查、指导，发现问题及时沟通、整改，保证规范运行。</w:t>
            </w:r>
          </w:p>
          <w:p w14:paraId="2C44C872">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2.中标人须为聘用员工购买基本社会保险，对员工的疾病和人身安全负责，采购人不承担责任。</w:t>
            </w:r>
          </w:p>
          <w:p w14:paraId="20414EFB">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每季度接受所服务单位质量考核（按照招标文件、投标文件及合同条款标准进行考核），未达标准的从当季度应付款中扣除10‰服务费。连续两季度达不到标准且未及时整改的，所服务单位向采购人书面报告，且采购人有权终止合同。</w:t>
            </w:r>
          </w:p>
          <w:p w14:paraId="00BE37C4">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4.中标人须确保</w:t>
            </w:r>
            <w:r>
              <w:rPr>
                <w:rFonts w:hint="eastAsia" w:ascii="宋体" w:hAnsi="宋体" w:cs="宋体"/>
                <w:color w:val="auto"/>
                <w:sz w:val="24"/>
                <w:szCs w:val="24"/>
                <w:highlight w:val="none"/>
                <w:lang w:val="en-US" w:eastAsia="zh-CN"/>
              </w:rPr>
              <w:t>服务人员</w:t>
            </w:r>
            <w:r>
              <w:rPr>
                <w:rFonts w:hint="eastAsia" w:ascii="宋体" w:hAnsi="宋体" w:eastAsia="宋体" w:cs="宋体"/>
                <w:color w:val="auto"/>
                <w:sz w:val="24"/>
                <w:szCs w:val="24"/>
                <w:highlight w:val="none"/>
                <w:lang w:val="en-US" w:eastAsia="zh-CN"/>
              </w:rPr>
              <w:t>的工资待遇不低于北海市最低工资加社保。</w:t>
            </w:r>
          </w:p>
          <w:p w14:paraId="6B46E81D">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5.中标人的服务工作人员必须经过上岗前培训，符合国家有关劳动用工的法律法规。上班时必须佩戴工卡、穿统一制服。</w:t>
            </w:r>
          </w:p>
          <w:p w14:paraId="048BCC97">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6.管理范围内发生的人身伤害、物品被盗、人为损坏设备设施，属中标人及其工作人员管理不善原因造成的，由中标人负责赔偿。</w:t>
            </w:r>
          </w:p>
          <w:p w14:paraId="4B6BF3D1">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中标人工作人员应固定保持在90%以上，凡更换人员必须向所服务单位申请，经所服务单位和教育局同意后方可更换，并做好交接班工作，若因交接班衔接不好，致使所服务单位工作受到影响者，按考核制度处罚。</w:t>
            </w:r>
          </w:p>
          <w:p w14:paraId="0039C2EC">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8.中标人在提供管理服务时必须做好各项安全防范措施，中标人所有工作人员在合约期间如发生任何人身意外（生病、伤亡事故）、事故、触犯法律法规（包括劳动用工制度、发生劳资纠纷、所服务单位的规章制度等）、或损坏学校的设施和物品，由中标人负责处理并承担经济和责任。</w:t>
            </w:r>
          </w:p>
          <w:p w14:paraId="60231104">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9.若中标人违约，未能达到招标文件中约定的管理目标，所服务单位有权要求中标人在规定时间内进行整改；如中标人未能按时整改，所服务单位有权向教育局申请与中标人解除合同，中标人须承担违约责任；造成所服务单位和教育局经济损失的，按造成的实际损失予以赔偿。</w:t>
            </w:r>
          </w:p>
          <w:p w14:paraId="7C1DAB39">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10.若中标人擅自转包、分包，或以任何形式与第三方进行合作的属违约，一经查实，中标人应向所服务单位及教育局承担违约责任，所服务单位和教育局有权解除合同。</w:t>
            </w:r>
          </w:p>
          <w:p w14:paraId="38DBAE4A">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11.中标人若违背本招标文件中确定的义务，必须承担违约责任。</w:t>
            </w:r>
          </w:p>
          <w:p w14:paraId="44E204C0">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12.中标人及其工作人员在所服务单位交由中标人管理和服务的工作区域内违法犯罪属实，中标人应赔偿并承担相应的法律责任，并不得再使用有关员工。</w:t>
            </w:r>
          </w:p>
          <w:p w14:paraId="51B92B54">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13.服务人员要求：</w:t>
            </w:r>
          </w:p>
          <w:p w14:paraId="5ECA11C4">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（1）用工人数不少于各服务单位要求的人数。</w:t>
            </w:r>
          </w:p>
          <w:p w14:paraId="621D1D27">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（2）上岗人员必须经过岗前培训。</w:t>
            </w:r>
          </w:p>
          <w:p w14:paraId="08604385">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（3）上岗人员的服装及所有的福利由</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承担。</w:t>
            </w:r>
          </w:p>
          <w:p w14:paraId="4BC7BF3C">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（4）对于不服从安排的服务人员，</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需向所服务单位及教育局进行书面申请，并在采购人同意后的2个工作日内替换新的服务人员。</w:t>
            </w:r>
          </w:p>
        </w:tc>
      </w:tr>
      <w:tr w14:paraId="0F6CA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29" w:type="dxa"/>
            <w:vAlign w:val="center"/>
          </w:tcPr>
          <w:p w14:paraId="758FFE62">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考核要求</w:t>
            </w:r>
          </w:p>
        </w:tc>
        <w:tc>
          <w:tcPr>
            <w:tcW w:w="8662" w:type="dxa"/>
            <w:vAlign w:val="center"/>
          </w:tcPr>
          <w:p w14:paraId="364E9897">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1.对当班工作人员要严加管理，发生空岗、缺岗、脱岗、睡岗、上岗前喝酒（以人为记录和电子记录为准）等行为的，每次处罚100元，严重行为即时更换并处理。</w:t>
            </w:r>
          </w:p>
          <w:p w14:paraId="59AF20A8">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2.发生不法分子对所服务单位的干扰，特别是暴恐和盗窃事件不及时妥善处理（阻止、制止、控制）的，每次处罚</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1000—3000元。</w:t>
            </w:r>
          </w:p>
          <w:p w14:paraId="68B773C8">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3.当班人员责任心不强，服务不到位导致公共设施被盗、被破坏的，</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及当班人员应共同承担相应的法律及经济损失赔偿责任，责任的界定由所服务单位确定或由公安司法部门裁定。</w:t>
            </w:r>
          </w:p>
          <w:p w14:paraId="05E4E841">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4.当班人员须着规定制服上班，不穿制服上班的，每人每次扣100元。</w:t>
            </w:r>
          </w:p>
          <w:p w14:paraId="2EC9F8C9">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在所服务单位所属范围内开展工作，做到不迟到，不早退。有交接班的岗位须提前10分钟到达交接地点，并认真做好交接班工作，检查所配装备是否完好有效，并填报《值班交接记录表》。上班迟到、早退达到10分钟的每人每次扣50元，迟到、早退超过30分钟的算旷工。</w:t>
            </w:r>
          </w:p>
          <w:p w14:paraId="0ACBA5C2">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6.不开展交接班工作的，每人每次50元。因交接班工作盘点财物不到位造成损失的由交接班双方共同承担。</w:t>
            </w:r>
          </w:p>
          <w:p w14:paraId="452DC500">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7.详细考核标准详见本章节附件：物业管理服务考核标准。</w:t>
            </w:r>
          </w:p>
        </w:tc>
      </w:tr>
      <w:tr w14:paraId="03FBCE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29" w:type="dxa"/>
            <w:vAlign w:val="center"/>
          </w:tcPr>
          <w:p w14:paraId="4B348966">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服务监管</w:t>
            </w:r>
          </w:p>
        </w:tc>
        <w:tc>
          <w:tcPr>
            <w:tcW w:w="8662" w:type="dxa"/>
            <w:vAlign w:val="center"/>
          </w:tcPr>
          <w:p w14:paraId="6BC19C90">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（1）供应商自行负责对派出的工作人员进行政治思想、职业道德、业务技术、劳动纪律的教育和培训。</w:t>
            </w:r>
          </w:p>
          <w:p w14:paraId="7C98D515">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供应商选派的工作人员须经过岗前专业培训，上岗后继续对工作人员进行必要的教育和训练，保证工作人员的素质满足所服务单位工作的要求；保留工作人员的身份证复印件、个人简历等资料，并保证所提供资料的真实性，供应商不得随意减少或更换所派出的服务人员。</w:t>
            </w:r>
          </w:p>
          <w:p w14:paraId="07BDACCF">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（3）供应商负责按时支付工作人员的工资和福利费用，提供工作人员的执勤被服、工具等基本条件。</w:t>
            </w:r>
          </w:p>
          <w:p w14:paraId="5AA16354">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4）所服务单位有权对工作人员的工作进行检查、督促、评价，对不称职的工作人员提出批评及教育，屡教不改者，有权要求更换工作人员，并将实际情况以书面形式向供应商提出撤换的要求，供应商在接到撤换要求书后三个工作日内做出更换。</w:t>
            </w:r>
          </w:p>
          <w:p w14:paraId="290457AD">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（5）所服务单位对供应商拟派的工作人员的一切行为所产生的后果不承担任何责任，供应商须自行就问题进行解决处理。</w:t>
            </w:r>
          </w:p>
          <w:p w14:paraId="4A9506B7">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（6）供应商若发现工作期间的影藏因素存在的安全隐患可向所服务单位提出改进意见，并和所服务单位进行协商处理。</w:t>
            </w:r>
          </w:p>
          <w:p w14:paraId="7AEB00C5">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7）所服务单位有权对供应商的工作进行考核，发现供应商不按照合同约定开展工作，对工作人员管理不规范、不严格，培训及安全措施不能达到所服务单位要求，第一次予以警告，第二次予以处罚，对连续三次不达标也不整改者（以书面通知为准），采购人有权解除合同。</w:t>
            </w:r>
          </w:p>
          <w:p w14:paraId="45F2F43D">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（8）服务期满后，须把服务期间涉及的所有档案移交给所服务单位，并在十个工作日内和新接替工作的</w:t>
            </w:r>
            <w:r>
              <w:rPr>
                <w:rFonts w:hint="eastAsia" w:ascii="宋体" w:hAnsi="宋体" w:cs="宋体"/>
                <w:color w:val="auto"/>
                <w:sz w:val="24"/>
                <w:szCs w:val="24"/>
                <w:highlight w:val="none"/>
                <w:lang w:val="en-US" w:eastAsia="zh-CN"/>
              </w:rPr>
              <w:t>物业</w:t>
            </w:r>
            <w:r>
              <w:rPr>
                <w:rFonts w:hint="eastAsia" w:ascii="宋体" w:hAnsi="宋体" w:eastAsia="宋体" w:cs="宋体"/>
                <w:color w:val="auto"/>
                <w:sz w:val="24"/>
                <w:szCs w:val="24"/>
                <w:highlight w:val="none"/>
                <w:lang w:val="en-US" w:eastAsia="zh-CN"/>
              </w:rPr>
              <w:t>公司进行工作交接，若出现不可抗力因素导致无法在规定时间内进行交接，供应商须书面告知所服务单位。</w:t>
            </w:r>
          </w:p>
        </w:tc>
      </w:tr>
      <w:tr w14:paraId="1D363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29" w:type="dxa"/>
            <w:vAlign w:val="center"/>
          </w:tcPr>
          <w:p w14:paraId="4BDB1C8B">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服务质量要求</w:t>
            </w:r>
          </w:p>
        </w:tc>
        <w:tc>
          <w:tcPr>
            <w:tcW w:w="8662" w:type="dxa"/>
            <w:vAlign w:val="center"/>
          </w:tcPr>
          <w:p w14:paraId="2DD6BD20">
            <w:pPr>
              <w:keepNext w:val="0"/>
              <w:keepLines w:val="0"/>
              <w:pageBreakBefore w:val="0"/>
              <w:widowControl/>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每月接受采购人或校方单位质量考核，未达标准从承包价中扣除。满意率至少在85％以上</w:t>
            </w:r>
            <w:r>
              <w:rPr>
                <w:rFonts w:hint="eastAsia" w:ascii="宋体" w:hAnsi="宋体" w:eastAsia="宋体" w:cs="宋体"/>
                <w:b/>
                <w:bCs/>
                <w:color w:val="auto"/>
                <w:sz w:val="24"/>
                <w:szCs w:val="24"/>
                <w:highlight w:val="none"/>
                <w:lang w:val="en-US" w:eastAsia="zh-CN"/>
              </w:rPr>
              <w:t>（各服务学校另有要求的该学校要求为准）</w:t>
            </w:r>
            <w:r>
              <w:rPr>
                <w:rFonts w:hint="eastAsia" w:ascii="宋体" w:hAnsi="宋体" w:eastAsia="宋体" w:cs="宋体"/>
                <w:color w:val="auto"/>
                <w:sz w:val="24"/>
                <w:szCs w:val="24"/>
                <w:highlight w:val="none"/>
                <w:lang w:val="en-US" w:eastAsia="zh-CN"/>
              </w:rPr>
              <w:t>、合同履约率达98%以上、上岗培训合格率达100%、合理投诉解决率达100%，连续两个月达不到，采购人可以终止合同。</w:t>
            </w:r>
          </w:p>
        </w:tc>
      </w:tr>
      <w:tr w14:paraId="4ED4E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29" w:type="dxa"/>
            <w:vAlign w:val="center"/>
          </w:tcPr>
          <w:p w14:paraId="276EC89E">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保密要求</w:t>
            </w:r>
          </w:p>
        </w:tc>
        <w:tc>
          <w:tcPr>
            <w:tcW w:w="8662" w:type="dxa"/>
            <w:vAlign w:val="center"/>
          </w:tcPr>
          <w:p w14:paraId="06B39BFC">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不得以任何形式</w:t>
            </w:r>
            <w:r>
              <w:rPr>
                <w:rFonts w:hint="eastAsia" w:ascii="宋体" w:hAnsi="宋体" w:cs="宋体"/>
                <w:color w:val="auto"/>
                <w:sz w:val="24"/>
                <w:szCs w:val="24"/>
                <w:highlight w:val="none"/>
                <w:lang w:val="en-US" w:eastAsia="zh-CN"/>
              </w:rPr>
              <w:t>违规</w:t>
            </w:r>
            <w:r>
              <w:rPr>
                <w:rFonts w:hint="eastAsia" w:ascii="宋体" w:hAnsi="宋体" w:eastAsia="宋体" w:cs="宋体"/>
                <w:color w:val="auto"/>
                <w:sz w:val="24"/>
                <w:szCs w:val="24"/>
                <w:highlight w:val="none"/>
                <w:lang w:val="en-US" w:eastAsia="zh-CN"/>
              </w:rPr>
              <w:t>向第三方透露本项目服务时的任何内容。如有泄密，需承担相应的法律责任。</w:t>
            </w:r>
          </w:p>
        </w:tc>
      </w:tr>
      <w:tr w14:paraId="594A0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29" w:type="dxa"/>
            <w:vAlign w:val="center"/>
          </w:tcPr>
          <w:p w14:paraId="1BECFE28">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违约责任</w:t>
            </w:r>
          </w:p>
        </w:tc>
        <w:tc>
          <w:tcPr>
            <w:tcW w:w="8662" w:type="dxa"/>
            <w:vAlign w:val="center"/>
          </w:tcPr>
          <w:p w14:paraId="17541DE3">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 若</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所提供服务成果，无法达到本项目招标文件要求以及投标文件所承诺的内容的，所服务单位和教育局有权要求</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作出整改。如整改完毕仍达不到上述要求的，所服务单位和教育局有权拒绝支付款项，且</w:t>
            </w:r>
            <w:r>
              <w:rPr>
                <w:rFonts w:hint="eastAsia" w:ascii="宋体" w:hAnsi="宋体" w:cs="宋体"/>
                <w:color w:val="auto"/>
                <w:sz w:val="24"/>
                <w:szCs w:val="24"/>
                <w:highlight w:val="none"/>
                <w:lang w:val="en-US" w:eastAsia="zh-CN"/>
              </w:rPr>
              <w:t>供应商</w:t>
            </w:r>
            <w:r>
              <w:rPr>
                <w:rFonts w:hint="eastAsia" w:ascii="宋体" w:hAnsi="宋体" w:eastAsia="宋体" w:cs="宋体"/>
                <w:color w:val="auto"/>
                <w:sz w:val="24"/>
                <w:szCs w:val="24"/>
                <w:highlight w:val="none"/>
                <w:lang w:val="en-US" w:eastAsia="zh-CN"/>
              </w:rPr>
              <w:t>应向所服务单位和教育局支付中标总金额的5%作为违约金并赔偿所服务单位和教育局的一切损失。</w:t>
            </w:r>
          </w:p>
          <w:p w14:paraId="7A942977">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 违约责任的赔偿不意味违约方整个合同责任的解除，未经所服务单位和教育局同意，供应商不得以任何理由推迟、降低、减少有关合同条款履行的承诺。</w:t>
            </w:r>
          </w:p>
          <w:p w14:paraId="716A127F">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 其它违约行为按成交总金额5%收取违约金并赔偿其他经济损失。</w:t>
            </w:r>
          </w:p>
        </w:tc>
      </w:tr>
      <w:tr w14:paraId="5E81E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29" w:type="dxa"/>
            <w:vAlign w:val="center"/>
          </w:tcPr>
          <w:p w14:paraId="77DBCF0D">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付款条件</w:t>
            </w:r>
          </w:p>
        </w:tc>
        <w:tc>
          <w:tcPr>
            <w:tcW w:w="8662" w:type="dxa"/>
            <w:vAlign w:val="center"/>
          </w:tcPr>
          <w:p w14:paraId="4C591A3F">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自合同签订后且中标单位服务人员进场（进场时间以各服务单位具体要求为准）、财政资金到位后，预付合同总金额的10%;剩余款项按季度平均支付，每季度第一个月支付上季度服务费。</w:t>
            </w:r>
          </w:p>
          <w:p w14:paraId="2EE6F6ED">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采购人根据每季度考核结果结算支付。三方在签订合同时可就服务质量及检查标准制定奖罚细则，在支付服务费用时采购人（甲方）、服务单位（丙方）有权根据奖罚细则增减服务费用的支付或终止合同。每次请款供应商（乙方）先交请款申请函，后根据要求开具发票，再根据实际情况、考核情况付款。</w:t>
            </w:r>
          </w:p>
        </w:tc>
      </w:tr>
      <w:tr w14:paraId="5342A8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229" w:type="dxa"/>
            <w:vAlign w:val="center"/>
          </w:tcPr>
          <w:p w14:paraId="17D8E7C1">
            <w:pPr>
              <w:keepNext w:val="0"/>
              <w:keepLines w:val="0"/>
              <w:pageBreakBefore w:val="0"/>
              <w:widowControl/>
              <w:kinsoku/>
              <w:wordWrap/>
              <w:overflowPunct/>
              <w:topLinePunct w:val="0"/>
              <w:autoSpaceDE/>
              <w:autoSpaceDN/>
              <w:bidi w:val="0"/>
              <w:adjustRightInd/>
              <w:snapToGrid/>
              <w:spacing w:line="440" w:lineRule="exact"/>
              <w:ind w:left="0" w:leftChars="0"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其他要求</w:t>
            </w:r>
          </w:p>
        </w:tc>
        <w:tc>
          <w:tcPr>
            <w:tcW w:w="8662" w:type="dxa"/>
            <w:vAlign w:val="center"/>
          </w:tcPr>
          <w:p w14:paraId="54FF1D80">
            <w:pPr>
              <w:keepNext w:val="0"/>
              <w:keepLines w:val="0"/>
              <w:pageBreakBefore w:val="0"/>
              <w:widowControl/>
              <w:kinsoku/>
              <w:wordWrap/>
              <w:overflowPunct/>
              <w:topLinePunct w:val="0"/>
              <w:autoSpaceDE/>
              <w:autoSpaceDN/>
              <w:bidi w:val="0"/>
              <w:adjustRightInd/>
              <w:snapToGrid/>
              <w:spacing w:line="440" w:lineRule="exact"/>
              <w:textAlignment w:val="auto"/>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为了更好履约及支持中小企业发展，本标项与其他标项兼投不兼中。评审规则：本项目划分为1、2、3、4四个分标，实行兼投不兼中，供应商可以同时参与多个分标投标，但只能中标一个分标。评标委员会严格按照1→2→3→4的顺序依次开展评审；若某供应商在前序分标被确定为第一中标候选人，该供应商不再进入后续所有分标的详细评审及中标候选人推荐环节，在后续所有分标评审中，评标委员会直接对其作符合性审查否决处理，后续分标从剩余有效投标人（不得少于3家）中正常评审。</w:t>
            </w:r>
          </w:p>
        </w:tc>
      </w:tr>
    </w:tbl>
    <w:p w14:paraId="1BBA6D1B">
      <w:pPr>
        <w:bidi w:val="0"/>
        <w:rPr>
          <w:rFonts w:hint="default" w:ascii="Times New Roman" w:hAnsi="Times New Roman" w:cs="Times New Roman"/>
          <w:color w:val="auto"/>
          <w:highlight w:val="none"/>
          <w:lang w:val="en-US" w:eastAsia="zh-CN"/>
        </w:rPr>
      </w:pPr>
    </w:p>
    <w:p w14:paraId="248B79FC">
      <w:pPr>
        <w:bidi w:val="0"/>
        <w:rPr>
          <w:rFonts w:hint="default" w:ascii="Times New Roman" w:hAnsi="Times New Roman" w:cs="Times New Roman"/>
          <w:color w:val="auto"/>
          <w:highlight w:val="none"/>
          <w:lang w:val="en-US" w:eastAsia="zh-CN"/>
        </w:rPr>
      </w:pPr>
    </w:p>
    <w:p w14:paraId="0490B3A0">
      <w:pPr>
        <w:adjustRightInd/>
        <w:spacing w:before="25" w:after="25"/>
        <w:jc w:val="left"/>
        <w:rPr>
          <w:rFonts w:hint="eastAsia" w:ascii="宋体" w:hAnsi="宋体" w:cs="宋体"/>
          <w:bCs/>
          <w:color w:val="auto"/>
          <w:spacing w:val="10"/>
          <w:kern w:val="0"/>
          <w:sz w:val="24"/>
          <w:highlight w:val="none"/>
        </w:rPr>
      </w:pPr>
    </w:p>
    <w:p w14:paraId="6791E7C8">
      <w:pPr>
        <w:pStyle w:val="513"/>
        <w:rPr>
          <w:rFonts w:hint="eastAsia" w:ascii="宋体" w:hAnsi="宋体" w:cs="宋体"/>
          <w:bCs/>
          <w:color w:val="auto"/>
          <w:spacing w:val="10"/>
          <w:kern w:val="0"/>
          <w:sz w:val="24"/>
          <w:highlight w:val="none"/>
        </w:rPr>
      </w:pPr>
    </w:p>
    <w:p w14:paraId="2D1A4000">
      <w:pPr>
        <w:pStyle w:val="513"/>
        <w:rPr>
          <w:rFonts w:hint="eastAsia" w:ascii="宋体" w:hAnsi="宋体" w:cs="宋体"/>
          <w:bCs/>
          <w:color w:val="auto"/>
          <w:spacing w:val="10"/>
          <w:kern w:val="0"/>
          <w:sz w:val="24"/>
          <w:highlight w:val="none"/>
        </w:rPr>
      </w:pPr>
    </w:p>
    <w:p w14:paraId="1C13C11D">
      <w:pPr>
        <w:pStyle w:val="513"/>
        <w:rPr>
          <w:rFonts w:hint="eastAsia" w:ascii="宋体" w:hAnsi="宋体" w:cs="宋体"/>
          <w:bCs/>
          <w:color w:val="auto"/>
          <w:spacing w:val="10"/>
          <w:kern w:val="0"/>
          <w:sz w:val="24"/>
          <w:highlight w:val="none"/>
        </w:rPr>
      </w:pPr>
    </w:p>
    <w:p w14:paraId="200E87D9">
      <w:pPr>
        <w:pStyle w:val="513"/>
        <w:rPr>
          <w:rFonts w:hint="eastAsia" w:ascii="宋体" w:hAnsi="宋体" w:cs="宋体"/>
          <w:bCs/>
          <w:color w:val="auto"/>
          <w:spacing w:val="10"/>
          <w:kern w:val="0"/>
          <w:sz w:val="24"/>
          <w:highlight w:val="none"/>
        </w:rPr>
      </w:pPr>
    </w:p>
    <w:p w14:paraId="1C6826F7">
      <w:pPr>
        <w:pStyle w:val="513"/>
        <w:rPr>
          <w:rFonts w:hint="eastAsia" w:ascii="宋体" w:hAnsi="宋体" w:cs="宋体"/>
          <w:bCs/>
          <w:color w:val="auto"/>
          <w:spacing w:val="10"/>
          <w:kern w:val="0"/>
          <w:sz w:val="24"/>
          <w:highlight w:val="none"/>
        </w:rPr>
      </w:pPr>
    </w:p>
    <w:p w14:paraId="2C86B13A">
      <w:pPr>
        <w:pStyle w:val="513"/>
        <w:rPr>
          <w:rFonts w:hint="eastAsia" w:ascii="宋体" w:hAnsi="宋体" w:cs="宋体"/>
          <w:bCs/>
          <w:color w:val="auto"/>
          <w:spacing w:val="10"/>
          <w:kern w:val="0"/>
          <w:sz w:val="24"/>
          <w:highlight w:val="none"/>
        </w:rPr>
      </w:pPr>
    </w:p>
    <w:p w14:paraId="0AE7B11D">
      <w:pPr>
        <w:pStyle w:val="513"/>
        <w:rPr>
          <w:rFonts w:hint="eastAsia" w:ascii="宋体" w:hAnsi="宋体" w:cs="宋体"/>
          <w:bCs/>
          <w:color w:val="auto"/>
          <w:spacing w:val="10"/>
          <w:kern w:val="0"/>
          <w:sz w:val="24"/>
          <w:highlight w:val="none"/>
        </w:rPr>
      </w:pPr>
    </w:p>
    <w:p w14:paraId="3984C2C5">
      <w:pPr>
        <w:pStyle w:val="513"/>
        <w:rPr>
          <w:rFonts w:hint="eastAsia" w:ascii="宋体" w:hAnsi="宋体" w:cs="宋体"/>
          <w:bCs/>
          <w:color w:val="auto"/>
          <w:spacing w:val="10"/>
          <w:kern w:val="0"/>
          <w:sz w:val="24"/>
          <w:highlight w:val="none"/>
        </w:rPr>
      </w:pPr>
    </w:p>
    <w:p w14:paraId="0350A226">
      <w:pPr>
        <w:pStyle w:val="513"/>
        <w:rPr>
          <w:rFonts w:hint="eastAsia" w:ascii="宋体" w:hAnsi="宋体" w:cs="宋体"/>
          <w:bCs/>
          <w:color w:val="auto"/>
          <w:spacing w:val="10"/>
          <w:kern w:val="0"/>
          <w:sz w:val="24"/>
          <w:highlight w:val="none"/>
        </w:rPr>
      </w:pPr>
    </w:p>
    <w:p w14:paraId="114AED59">
      <w:pPr>
        <w:pStyle w:val="513"/>
        <w:rPr>
          <w:rFonts w:hint="eastAsia" w:ascii="宋体" w:hAnsi="宋体" w:cs="宋体"/>
          <w:bCs/>
          <w:color w:val="auto"/>
          <w:spacing w:val="10"/>
          <w:kern w:val="0"/>
          <w:sz w:val="24"/>
          <w:highlight w:val="none"/>
        </w:rPr>
      </w:pPr>
    </w:p>
    <w:p w14:paraId="6F48B487">
      <w:pPr>
        <w:rPr>
          <w:color w:val="auto"/>
          <w:highlight w:val="none"/>
          <w:lang w:val="en-US"/>
        </w:rPr>
      </w:pPr>
    </w:p>
    <w:p w14:paraId="3A3FD0AD">
      <w:pPr>
        <w:spacing w:line="440" w:lineRule="exact"/>
        <w:ind w:left="0" w:leftChars="0" w:firstLine="0" w:firstLineChars="0"/>
        <w:jc w:val="left"/>
        <w:outlineLvl w:val="1"/>
        <w:rPr>
          <w:rFonts w:ascii="黑体" w:hAnsi="黑体" w:eastAsia="黑体" w:cs="宋体"/>
          <w:b/>
          <w:bCs/>
          <w:color w:val="auto"/>
          <w:sz w:val="28"/>
          <w:szCs w:val="28"/>
          <w:highlight w:val="none"/>
        </w:rPr>
      </w:pPr>
      <w:r>
        <w:rPr>
          <w:rFonts w:hint="eastAsia" w:ascii="新宋体" w:hAnsi="新宋体" w:eastAsia="新宋体"/>
          <w:b/>
          <w:bCs/>
          <w:color w:val="auto"/>
          <w:sz w:val="30"/>
          <w:szCs w:val="30"/>
          <w:highlight w:val="none"/>
        </w:rPr>
        <w:t>附件</w:t>
      </w:r>
      <w:r>
        <w:rPr>
          <w:rFonts w:hint="eastAsia" w:ascii="黑体" w:hAnsi="黑体" w:eastAsia="黑体" w:cs="宋体"/>
          <w:b/>
          <w:bCs/>
          <w:color w:val="auto"/>
          <w:sz w:val="28"/>
          <w:szCs w:val="28"/>
          <w:highlight w:val="none"/>
        </w:rPr>
        <w:t>：考核标准</w:t>
      </w:r>
    </w:p>
    <w:p w14:paraId="76139312">
      <w:pPr>
        <w:spacing w:line="440" w:lineRule="exact"/>
        <w:ind w:firstLine="602" w:firstLineChars="200"/>
        <w:jc w:val="center"/>
        <w:rPr>
          <w:rFonts w:ascii="新宋体" w:hAnsi="新宋体" w:eastAsia="新宋体"/>
          <w:color w:val="auto"/>
          <w:sz w:val="24"/>
          <w:highlight w:val="none"/>
        </w:rPr>
      </w:pPr>
      <w:r>
        <w:rPr>
          <w:rFonts w:hint="eastAsia" w:ascii="新宋体" w:hAnsi="新宋体" w:eastAsia="新宋体"/>
          <w:b/>
          <w:bCs/>
          <w:color w:val="auto"/>
          <w:sz w:val="30"/>
          <w:szCs w:val="30"/>
          <w:highlight w:val="none"/>
        </w:rPr>
        <w:t>物业管理服务考核标准</w:t>
      </w:r>
    </w:p>
    <w:tbl>
      <w:tblPr>
        <w:tblStyle w:val="63"/>
        <w:tblpPr w:leftFromText="180" w:rightFromText="180" w:vertAnchor="text" w:horzAnchor="page" w:tblpX="1165" w:tblpY="418"/>
        <w:tblOverlap w:val="never"/>
        <w:tblW w:w="10130" w:type="dxa"/>
        <w:tblInd w:w="0" w:type="dxa"/>
        <w:tblLayout w:type="fixed"/>
        <w:tblCellMar>
          <w:top w:w="0" w:type="dxa"/>
          <w:left w:w="108" w:type="dxa"/>
          <w:bottom w:w="0" w:type="dxa"/>
          <w:right w:w="108" w:type="dxa"/>
        </w:tblCellMar>
      </w:tblPr>
      <w:tblGrid>
        <w:gridCol w:w="751"/>
        <w:gridCol w:w="734"/>
        <w:gridCol w:w="357"/>
        <w:gridCol w:w="3110"/>
        <w:gridCol w:w="2035"/>
        <w:gridCol w:w="1519"/>
        <w:gridCol w:w="830"/>
        <w:gridCol w:w="794"/>
      </w:tblGrid>
      <w:tr w14:paraId="06DB5967">
        <w:tblPrEx>
          <w:tblCellMar>
            <w:top w:w="0" w:type="dxa"/>
            <w:left w:w="108" w:type="dxa"/>
            <w:bottom w:w="0" w:type="dxa"/>
            <w:right w:w="108" w:type="dxa"/>
          </w:tblCellMar>
        </w:tblPrEx>
        <w:trPr>
          <w:trHeight w:val="285" w:hRule="atLeast"/>
        </w:trPr>
        <w:tc>
          <w:tcPr>
            <w:tcW w:w="751" w:type="dxa"/>
            <w:tcBorders>
              <w:top w:val="single" w:color="000000" w:sz="4" w:space="0"/>
              <w:left w:val="single" w:color="000000" w:sz="4" w:space="0"/>
              <w:bottom w:val="single" w:color="000000" w:sz="4" w:space="0"/>
              <w:right w:val="single" w:color="000000" w:sz="4" w:space="0"/>
            </w:tcBorders>
            <w:vAlign w:val="center"/>
          </w:tcPr>
          <w:p w14:paraId="6F6EFD8F">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序号</w:t>
            </w:r>
          </w:p>
        </w:tc>
        <w:tc>
          <w:tcPr>
            <w:tcW w:w="1091" w:type="dxa"/>
            <w:gridSpan w:val="2"/>
            <w:tcBorders>
              <w:top w:val="single" w:color="000000" w:sz="4" w:space="0"/>
              <w:left w:val="nil"/>
              <w:bottom w:val="single" w:color="000000" w:sz="4" w:space="0"/>
              <w:right w:val="single" w:color="000000" w:sz="4" w:space="0"/>
            </w:tcBorders>
            <w:vAlign w:val="center"/>
          </w:tcPr>
          <w:p w14:paraId="3FCC39CE">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岗位</w:t>
            </w:r>
          </w:p>
        </w:tc>
        <w:tc>
          <w:tcPr>
            <w:tcW w:w="6664" w:type="dxa"/>
            <w:gridSpan w:val="3"/>
            <w:tcBorders>
              <w:top w:val="single" w:color="000000" w:sz="4" w:space="0"/>
              <w:left w:val="nil"/>
              <w:bottom w:val="single" w:color="000000" w:sz="4" w:space="0"/>
              <w:right w:val="single" w:color="000000" w:sz="4" w:space="0"/>
            </w:tcBorders>
            <w:vAlign w:val="center"/>
          </w:tcPr>
          <w:p w14:paraId="7191A529">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考核内容</w:t>
            </w:r>
          </w:p>
        </w:tc>
        <w:tc>
          <w:tcPr>
            <w:tcW w:w="830" w:type="dxa"/>
            <w:tcBorders>
              <w:top w:val="single" w:color="000000" w:sz="4" w:space="0"/>
              <w:left w:val="nil"/>
              <w:bottom w:val="single" w:color="000000" w:sz="4" w:space="0"/>
              <w:right w:val="single" w:color="000000" w:sz="4" w:space="0"/>
            </w:tcBorders>
            <w:vAlign w:val="center"/>
          </w:tcPr>
          <w:p w14:paraId="6E3C25D5">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分值</w:t>
            </w:r>
          </w:p>
        </w:tc>
        <w:tc>
          <w:tcPr>
            <w:tcW w:w="794" w:type="dxa"/>
            <w:tcBorders>
              <w:top w:val="single" w:color="000000" w:sz="4" w:space="0"/>
              <w:left w:val="nil"/>
              <w:bottom w:val="single" w:color="000000" w:sz="4" w:space="0"/>
              <w:right w:val="single" w:color="000000" w:sz="4" w:space="0"/>
            </w:tcBorders>
            <w:vAlign w:val="center"/>
          </w:tcPr>
          <w:p w14:paraId="16060EDE">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得分</w:t>
            </w:r>
          </w:p>
        </w:tc>
      </w:tr>
      <w:tr w14:paraId="14B5B258">
        <w:tblPrEx>
          <w:tblCellMar>
            <w:top w:w="0" w:type="dxa"/>
            <w:left w:w="108" w:type="dxa"/>
            <w:bottom w:w="0" w:type="dxa"/>
            <w:right w:w="108" w:type="dxa"/>
          </w:tblCellMar>
        </w:tblPrEx>
        <w:trPr>
          <w:trHeight w:val="23" w:hRule="atLeast"/>
        </w:trPr>
        <w:tc>
          <w:tcPr>
            <w:tcW w:w="751" w:type="dxa"/>
            <w:tcBorders>
              <w:top w:val="single" w:color="000000" w:sz="4" w:space="0"/>
              <w:left w:val="single" w:color="000000" w:sz="4" w:space="0"/>
              <w:bottom w:val="single" w:color="000000" w:sz="4" w:space="0"/>
              <w:right w:val="single" w:color="000000" w:sz="4" w:space="0"/>
            </w:tcBorders>
            <w:vAlign w:val="center"/>
          </w:tcPr>
          <w:p w14:paraId="2B1F5BA6">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w:t>
            </w:r>
          </w:p>
        </w:tc>
        <w:tc>
          <w:tcPr>
            <w:tcW w:w="1091" w:type="dxa"/>
            <w:gridSpan w:val="2"/>
            <w:vMerge w:val="restart"/>
            <w:tcBorders>
              <w:top w:val="single" w:color="000000" w:sz="4" w:space="0"/>
              <w:left w:val="nil"/>
              <w:right w:val="single" w:color="000000" w:sz="4" w:space="0"/>
            </w:tcBorders>
            <w:vAlign w:val="center"/>
          </w:tcPr>
          <w:p w14:paraId="418216FA">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水电工</w:t>
            </w:r>
          </w:p>
        </w:tc>
        <w:tc>
          <w:tcPr>
            <w:tcW w:w="6664" w:type="dxa"/>
            <w:gridSpan w:val="3"/>
            <w:tcBorders>
              <w:top w:val="single" w:color="000000" w:sz="4" w:space="0"/>
              <w:left w:val="nil"/>
              <w:bottom w:val="single" w:color="000000" w:sz="4" w:space="0"/>
              <w:right w:val="single" w:color="000000" w:sz="4" w:space="0"/>
            </w:tcBorders>
            <w:vAlign w:val="center"/>
          </w:tcPr>
          <w:p w14:paraId="783B0278">
            <w:pPr>
              <w:widowControl/>
              <w:spacing w:line="360" w:lineRule="exact"/>
              <w:ind w:left="0" w:leftChars="0" w:firstLine="0" w:firstLineChars="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熟悉并遵守相关法规及各项规章制度。</w:t>
            </w:r>
          </w:p>
        </w:tc>
        <w:tc>
          <w:tcPr>
            <w:tcW w:w="830" w:type="dxa"/>
            <w:tcBorders>
              <w:top w:val="single" w:color="000000" w:sz="4" w:space="0"/>
              <w:left w:val="nil"/>
              <w:bottom w:val="single" w:color="000000" w:sz="4" w:space="0"/>
              <w:right w:val="single" w:color="000000" w:sz="4" w:space="0"/>
            </w:tcBorders>
            <w:vAlign w:val="center"/>
          </w:tcPr>
          <w:p w14:paraId="71D15554">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000000" w:sz="4" w:space="0"/>
              <w:left w:val="nil"/>
              <w:bottom w:val="single" w:color="000000" w:sz="4" w:space="0"/>
              <w:right w:val="single" w:color="000000" w:sz="4" w:space="0"/>
            </w:tcBorders>
            <w:vAlign w:val="center"/>
          </w:tcPr>
          <w:p w14:paraId="51175D79">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0E7CB035">
        <w:tblPrEx>
          <w:tblCellMar>
            <w:top w:w="0" w:type="dxa"/>
            <w:left w:w="108" w:type="dxa"/>
            <w:bottom w:w="0" w:type="dxa"/>
            <w:right w:w="108" w:type="dxa"/>
          </w:tblCellMar>
        </w:tblPrEx>
        <w:trPr>
          <w:trHeight w:val="23" w:hRule="atLeast"/>
        </w:trPr>
        <w:tc>
          <w:tcPr>
            <w:tcW w:w="751" w:type="dxa"/>
            <w:tcBorders>
              <w:top w:val="single" w:color="000000" w:sz="4" w:space="0"/>
              <w:left w:val="single" w:color="000000" w:sz="4" w:space="0"/>
              <w:bottom w:val="single" w:color="000000" w:sz="4" w:space="0"/>
              <w:right w:val="single" w:color="000000" w:sz="4" w:space="0"/>
            </w:tcBorders>
            <w:vAlign w:val="center"/>
          </w:tcPr>
          <w:p w14:paraId="27739F3F">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w:t>
            </w:r>
          </w:p>
        </w:tc>
        <w:tc>
          <w:tcPr>
            <w:tcW w:w="1091" w:type="dxa"/>
            <w:gridSpan w:val="2"/>
            <w:vMerge w:val="continue"/>
            <w:tcBorders>
              <w:left w:val="nil"/>
              <w:right w:val="single" w:color="000000" w:sz="4" w:space="0"/>
            </w:tcBorders>
            <w:vAlign w:val="center"/>
          </w:tcPr>
          <w:p w14:paraId="60303899">
            <w:pPr>
              <w:spacing w:line="400" w:lineRule="exact"/>
              <w:jc w:val="center"/>
              <w:rPr>
                <w:rFonts w:hint="default" w:ascii="Times New Roman" w:hAnsi="Times New Roman" w:eastAsia="仿宋_GB2312" w:cs="Times New Roman"/>
                <w:b/>
                <w:bCs/>
                <w:color w:val="auto"/>
                <w:sz w:val="24"/>
                <w:szCs w:val="24"/>
                <w:highlight w:val="none"/>
              </w:rPr>
            </w:pPr>
          </w:p>
        </w:tc>
        <w:tc>
          <w:tcPr>
            <w:tcW w:w="6664" w:type="dxa"/>
            <w:gridSpan w:val="3"/>
            <w:tcBorders>
              <w:top w:val="single" w:color="000000" w:sz="4" w:space="0"/>
              <w:left w:val="nil"/>
              <w:bottom w:val="single" w:color="000000" w:sz="4" w:space="0"/>
              <w:right w:val="single" w:color="000000" w:sz="4" w:space="0"/>
            </w:tcBorders>
            <w:vAlign w:val="center"/>
          </w:tcPr>
          <w:p w14:paraId="5405A6A3">
            <w:pPr>
              <w:widowControl/>
              <w:spacing w:line="360" w:lineRule="exact"/>
              <w:ind w:left="0" w:leftChars="0" w:firstLine="0" w:firstLineChars="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持证上岗。</w:t>
            </w:r>
          </w:p>
        </w:tc>
        <w:tc>
          <w:tcPr>
            <w:tcW w:w="830" w:type="dxa"/>
            <w:tcBorders>
              <w:top w:val="single" w:color="000000" w:sz="4" w:space="0"/>
              <w:left w:val="nil"/>
              <w:bottom w:val="single" w:color="000000" w:sz="4" w:space="0"/>
              <w:right w:val="single" w:color="000000" w:sz="4" w:space="0"/>
            </w:tcBorders>
            <w:vAlign w:val="center"/>
          </w:tcPr>
          <w:p w14:paraId="4EEC3335">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000000" w:sz="4" w:space="0"/>
              <w:left w:val="nil"/>
              <w:bottom w:val="single" w:color="000000" w:sz="4" w:space="0"/>
              <w:right w:val="single" w:color="000000" w:sz="4" w:space="0"/>
            </w:tcBorders>
            <w:vAlign w:val="center"/>
          </w:tcPr>
          <w:p w14:paraId="2112054D">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00D5BB4A">
        <w:tblPrEx>
          <w:tblCellMar>
            <w:top w:w="0" w:type="dxa"/>
            <w:left w:w="108" w:type="dxa"/>
            <w:bottom w:w="0" w:type="dxa"/>
            <w:right w:w="108" w:type="dxa"/>
          </w:tblCellMar>
        </w:tblPrEx>
        <w:tc>
          <w:tcPr>
            <w:tcW w:w="751" w:type="dxa"/>
            <w:tcBorders>
              <w:top w:val="single" w:color="000000" w:sz="4" w:space="0"/>
              <w:left w:val="single" w:color="000000" w:sz="4" w:space="0"/>
              <w:bottom w:val="single" w:color="000000" w:sz="4" w:space="0"/>
              <w:right w:val="single" w:color="000000" w:sz="4" w:space="0"/>
            </w:tcBorders>
            <w:vAlign w:val="center"/>
          </w:tcPr>
          <w:p w14:paraId="02306117">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w:t>
            </w:r>
          </w:p>
        </w:tc>
        <w:tc>
          <w:tcPr>
            <w:tcW w:w="1091" w:type="dxa"/>
            <w:gridSpan w:val="2"/>
            <w:vMerge w:val="continue"/>
            <w:tcBorders>
              <w:left w:val="nil"/>
              <w:right w:val="single" w:color="000000" w:sz="4" w:space="0"/>
            </w:tcBorders>
            <w:vAlign w:val="center"/>
          </w:tcPr>
          <w:p w14:paraId="298EA7DE">
            <w:pPr>
              <w:spacing w:line="400" w:lineRule="exact"/>
              <w:jc w:val="center"/>
              <w:rPr>
                <w:rFonts w:hint="default" w:ascii="Times New Roman" w:hAnsi="Times New Roman" w:eastAsia="仿宋_GB2312" w:cs="Times New Roman"/>
                <w:b/>
                <w:bCs/>
                <w:color w:val="auto"/>
                <w:sz w:val="24"/>
                <w:szCs w:val="24"/>
                <w:highlight w:val="none"/>
              </w:rPr>
            </w:pPr>
          </w:p>
        </w:tc>
        <w:tc>
          <w:tcPr>
            <w:tcW w:w="6664" w:type="dxa"/>
            <w:gridSpan w:val="3"/>
            <w:tcBorders>
              <w:top w:val="single" w:color="000000" w:sz="4" w:space="0"/>
              <w:left w:val="nil"/>
              <w:bottom w:val="single" w:color="000000" w:sz="4" w:space="0"/>
              <w:right w:val="single" w:color="000000" w:sz="4" w:space="0"/>
            </w:tcBorders>
            <w:vAlign w:val="center"/>
          </w:tcPr>
          <w:p w14:paraId="2480C261">
            <w:pPr>
              <w:widowControl/>
              <w:spacing w:line="360" w:lineRule="exact"/>
              <w:ind w:left="0" w:leftChars="0" w:firstLine="0" w:firstLineChars="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熟悉辖区内水电线路、开关等设施设备功能及分布情况，熟练掌握相关维修技能，严格执行操作规程。</w:t>
            </w:r>
          </w:p>
        </w:tc>
        <w:tc>
          <w:tcPr>
            <w:tcW w:w="830" w:type="dxa"/>
            <w:tcBorders>
              <w:top w:val="single" w:color="000000" w:sz="4" w:space="0"/>
              <w:left w:val="nil"/>
              <w:bottom w:val="single" w:color="000000" w:sz="4" w:space="0"/>
              <w:right w:val="single" w:color="000000" w:sz="4" w:space="0"/>
            </w:tcBorders>
            <w:vAlign w:val="center"/>
          </w:tcPr>
          <w:p w14:paraId="57F94F36">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000000" w:sz="4" w:space="0"/>
              <w:left w:val="nil"/>
              <w:bottom w:val="single" w:color="000000" w:sz="4" w:space="0"/>
              <w:right w:val="single" w:color="000000" w:sz="4" w:space="0"/>
            </w:tcBorders>
            <w:vAlign w:val="center"/>
          </w:tcPr>
          <w:p w14:paraId="213922A9">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30901010">
        <w:tblPrEx>
          <w:tblCellMar>
            <w:top w:w="0" w:type="dxa"/>
            <w:left w:w="108" w:type="dxa"/>
            <w:bottom w:w="0" w:type="dxa"/>
            <w:right w:w="108" w:type="dxa"/>
          </w:tblCellMar>
        </w:tblPrEx>
        <w:tc>
          <w:tcPr>
            <w:tcW w:w="751" w:type="dxa"/>
            <w:tcBorders>
              <w:top w:val="single" w:color="000000" w:sz="4" w:space="0"/>
              <w:left w:val="single" w:color="000000" w:sz="4" w:space="0"/>
              <w:bottom w:val="single" w:color="000000" w:sz="4" w:space="0"/>
              <w:right w:val="single" w:color="000000" w:sz="4" w:space="0"/>
            </w:tcBorders>
            <w:vAlign w:val="center"/>
          </w:tcPr>
          <w:p w14:paraId="49C61778">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4</w:t>
            </w:r>
          </w:p>
        </w:tc>
        <w:tc>
          <w:tcPr>
            <w:tcW w:w="1091" w:type="dxa"/>
            <w:gridSpan w:val="2"/>
            <w:vMerge w:val="continue"/>
            <w:tcBorders>
              <w:left w:val="nil"/>
              <w:right w:val="single" w:color="000000" w:sz="4" w:space="0"/>
            </w:tcBorders>
            <w:vAlign w:val="center"/>
          </w:tcPr>
          <w:p w14:paraId="070741F2">
            <w:pPr>
              <w:spacing w:line="400" w:lineRule="exact"/>
              <w:jc w:val="center"/>
              <w:rPr>
                <w:rFonts w:hint="default" w:ascii="Times New Roman" w:hAnsi="Times New Roman" w:eastAsia="仿宋_GB2312" w:cs="Times New Roman"/>
                <w:b/>
                <w:bCs/>
                <w:color w:val="auto"/>
                <w:sz w:val="24"/>
                <w:szCs w:val="24"/>
                <w:highlight w:val="none"/>
              </w:rPr>
            </w:pPr>
          </w:p>
        </w:tc>
        <w:tc>
          <w:tcPr>
            <w:tcW w:w="6664" w:type="dxa"/>
            <w:gridSpan w:val="3"/>
            <w:tcBorders>
              <w:top w:val="single" w:color="000000" w:sz="4" w:space="0"/>
              <w:left w:val="nil"/>
              <w:bottom w:val="single" w:color="000000" w:sz="4" w:space="0"/>
              <w:right w:val="single" w:color="000000" w:sz="4" w:space="0"/>
            </w:tcBorders>
            <w:vAlign w:val="center"/>
          </w:tcPr>
          <w:p w14:paraId="56F94E0D">
            <w:pPr>
              <w:widowControl/>
              <w:spacing w:line="360" w:lineRule="exact"/>
              <w:ind w:left="0" w:leftChars="0" w:firstLine="0" w:firstLineChars="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定时巡检水电线路等设施设备，填写记录，保持完好运行，在发现问题时，应准确判断，及时处理。</w:t>
            </w:r>
          </w:p>
        </w:tc>
        <w:tc>
          <w:tcPr>
            <w:tcW w:w="830" w:type="dxa"/>
            <w:tcBorders>
              <w:top w:val="single" w:color="000000" w:sz="4" w:space="0"/>
              <w:left w:val="nil"/>
              <w:bottom w:val="single" w:color="000000" w:sz="4" w:space="0"/>
              <w:right w:val="single" w:color="000000" w:sz="4" w:space="0"/>
            </w:tcBorders>
            <w:vAlign w:val="center"/>
          </w:tcPr>
          <w:p w14:paraId="6042ED3E">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000000" w:sz="4" w:space="0"/>
              <w:left w:val="nil"/>
              <w:bottom w:val="single" w:color="000000" w:sz="4" w:space="0"/>
              <w:right w:val="single" w:color="000000" w:sz="4" w:space="0"/>
            </w:tcBorders>
            <w:vAlign w:val="center"/>
          </w:tcPr>
          <w:p w14:paraId="4052CFC4">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60978CDB">
        <w:tblPrEx>
          <w:tblCellMar>
            <w:top w:w="0" w:type="dxa"/>
            <w:left w:w="108" w:type="dxa"/>
            <w:bottom w:w="0" w:type="dxa"/>
            <w:right w:w="108" w:type="dxa"/>
          </w:tblCellMar>
        </w:tblPrEx>
        <w:trPr>
          <w:trHeight w:val="90" w:hRule="atLeast"/>
        </w:trPr>
        <w:tc>
          <w:tcPr>
            <w:tcW w:w="751" w:type="dxa"/>
            <w:tcBorders>
              <w:top w:val="single" w:color="000000" w:sz="4" w:space="0"/>
              <w:left w:val="single" w:color="000000" w:sz="4" w:space="0"/>
              <w:bottom w:val="single" w:color="000000" w:sz="4" w:space="0"/>
              <w:right w:val="single" w:color="000000" w:sz="4" w:space="0"/>
            </w:tcBorders>
            <w:vAlign w:val="center"/>
          </w:tcPr>
          <w:p w14:paraId="04804EAF">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5</w:t>
            </w:r>
          </w:p>
        </w:tc>
        <w:tc>
          <w:tcPr>
            <w:tcW w:w="1091" w:type="dxa"/>
            <w:gridSpan w:val="2"/>
            <w:vMerge w:val="continue"/>
            <w:tcBorders>
              <w:left w:val="nil"/>
              <w:right w:val="single" w:color="000000" w:sz="4" w:space="0"/>
            </w:tcBorders>
            <w:vAlign w:val="center"/>
          </w:tcPr>
          <w:p w14:paraId="144045A4">
            <w:pPr>
              <w:spacing w:line="400" w:lineRule="exact"/>
              <w:jc w:val="center"/>
              <w:rPr>
                <w:rFonts w:hint="default" w:ascii="Times New Roman" w:hAnsi="Times New Roman" w:eastAsia="仿宋_GB2312" w:cs="Times New Roman"/>
                <w:b/>
                <w:bCs/>
                <w:color w:val="auto"/>
                <w:sz w:val="24"/>
                <w:szCs w:val="24"/>
                <w:highlight w:val="none"/>
              </w:rPr>
            </w:pPr>
          </w:p>
        </w:tc>
        <w:tc>
          <w:tcPr>
            <w:tcW w:w="6664" w:type="dxa"/>
            <w:gridSpan w:val="3"/>
            <w:tcBorders>
              <w:top w:val="single" w:color="000000" w:sz="4" w:space="0"/>
              <w:left w:val="nil"/>
              <w:bottom w:val="single" w:color="000000" w:sz="4" w:space="0"/>
              <w:right w:val="single" w:color="000000" w:sz="4" w:space="0"/>
            </w:tcBorders>
            <w:vAlign w:val="center"/>
          </w:tcPr>
          <w:p w14:paraId="5162F474">
            <w:pPr>
              <w:widowControl/>
              <w:spacing w:line="360" w:lineRule="exact"/>
              <w:ind w:left="0" w:leftChars="0" w:firstLine="0" w:firstLineChars="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接到报修后30分钟内到达现场，维修合格率达100%。</w:t>
            </w:r>
          </w:p>
        </w:tc>
        <w:tc>
          <w:tcPr>
            <w:tcW w:w="830" w:type="dxa"/>
            <w:tcBorders>
              <w:top w:val="single" w:color="000000" w:sz="4" w:space="0"/>
              <w:left w:val="nil"/>
              <w:bottom w:val="single" w:color="000000" w:sz="4" w:space="0"/>
              <w:right w:val="single" w:color="000000" w:sz="4" w:space="0"/>
            </w:tcBorders>
            <w:vAlign w:val="center"/>
          </w:tcPr>
          <w:p w14:paraId="12036BAF">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000000" w:sz="4" w:space="0"/>
              <w:left w:val="nil"/>
              <w:bottom w:val="single" w:color="000000" w:sz="4" w:space="0"/>
              <w:right w:val="single" w:color="000000" w:sz="4" w:space="0"/>
            </w:tcBorders>
            <w:vAlign w:val="center"/>
          </w:tcPr>
          <w:p w14:paraId="4FE71D60">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145BB883">
        <w:tblPrEx>
          <w:tblCellMar>
            <w:top w:w="0" w:type="dxa"/>
            <w:left w:w="108" w:type="dxa"/>
            <w:bottom w:w="0" w:type="dxa"/>
            <w:right w:w="108" w:type="dxa"/>
          </w:tblCellMar>
        </w:tblPrEx>
        <w:tc>
          <w:tcPr>
            <w:tcW w:w="751" w:type="dxa"/>
            <w:tcBorders>
              <w:top w:val="single" w:color="000000" w:sz="4" w:space="0"/>
              <w:left w:val="single" w:color="000000" w:sz="4" w:space="0"/>
              <w:bottom w:val="single" w:color="000000" w:sz="4" w:space="0"/>
              <w:right w:val="single" w:color="000000" w:sz="4" w:space="0"/>
            </w:tcBorders>
            <w:vAlign w:val="center"/>
          </w:tcPr>
          <w:p w14:paraId="27447322">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6</w:t>
            </w:r>
          </w:p>
        </w:tc>
        <w:tc>
          <w:tcPr>
            <w:tcW w:w="1091" w:type="dxa"/>
            <w:gridSpan w:val="2"/>
            <w:vMerge w:val="continue"/>
            <w:tcBorders>
              <w:left w:val="nil"/>
              <w:right w:val="single" w:color="000000" w:sz="4" w:space="0"/>
            </w:tcBorders>
            <w:vAlign w:val="center"/>
          </w:tcPr>
          <w:p w14:paraId="1F093874">
            <w:pPr>
              <w:spacing w:line="400" w:lineRule="exact"/>
              <w:jc w:val="center"/>
              <w:rPr>
                <w:rFonts w:hint="default" w:ascii="Times New Roman" w:hAnsi="Times New Roman" w:eastAsia="仿宋_GB2312" w:cs="Times New Roman"/>
                <w:b/>
                <w:bCs/>
                <w:color w:val="auto"/>
                <w:sz w:val="24"/>
                <w:szCs w:val="24"/>
                <w:highlight w:val="none"/>
              </w:rPr>
            </w:pPr>
          </w:p>
        </w:tc>
        <w:tc>
          <w:tcPr>
            <w:tcW w:w="6664" w:type="dxa"/>
            <w:gridSpan w:val="3"/>
            <w:tcBorders>
              <w:top w:val="single" w:color="000000" w:sz="4" w:space="0"/>
              <w:left w:val="nil"/>
              <w:bottom w:val="single" w:color="000000" w:sz="4" w:space="0"/>
              <w:right w:val="single" w:color="000000" w:sz="4" w:space="0"/>
            </w:tcBorders>
            <w:vAlign w:val="center"/>
          </w:tcPr>
          <w:p w14:paraId="3FE14C64">
            <w:pPr>
              <w:widowControl/>
              <w:spacing w:line="360" w:lineRule="exact"/>
              <w:ind w:left="0" w:leftChars="0" w:firstLine="0" w:firstLineChars="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定期检查避雷、接地设施完好性，定期进行相关试验。</w:t>
            </w:r>
          </w:p>
        </w:tc>
        <w:tc>
          <w:tcPr>
            <w:tcW w:w="830" w:type="dxa"/>
            <w:tcBorders>
              <w:top w:val="single" w:color="000000" w:sz="4" w:space="0"/>
              <w:left w:val="nil"/>
              <w:bottom w:val="single" w:color="000000" w:sz="4" w:space="0"/>
              <w:right w:val="single" w:color="000000" w:sz="4" w:space="0"/>
            </w:tcBorders>
            <w:vAlign w:val="center"/>
          </w:tcPr>
          <w:p w14:paraId="59F72237">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000000" w:sz="4" w:space="0"/>
              <w:left w:val="nil"/>
              <w:bottom w:val="single" w:color="000000" w:sz="4" w:space="0"/>
              <w:right w:val="single" w:color="000000" w:sz="4" w:space="0"/>
            </w:tcBorders>
            <w:vAlign w:val="center"/>
          </w:tcPr>
          <w:p w14:paraId="50B2E65D">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286B6799">
        <w:tblPrEx>
          <w:tblCellMar>
            <w:top w:w="0" w:type="dxa"/>
            <w:left w:w="108" w:type="dxa"/>
            <w:bottom w:w="0" w:type="dxa"/>
            <w:right w:w="108" w:type="dxa"/>
          </w:tblCellMar>
        </w:tblPrEx>
        <w:tc>
          <w:tcPr>
            <w:tcW w:w="751" w:type="dxa"/>
            <w:tcBorders>
              <w:top w:val="single" w:color="000000" w:sz="4" w:space="0"/>
              <w:left w:val="single" w:color="000000" w:sz="4" w:space="0"/>
              <w:bottom w:val="single" w:color="000000" w:sz="4" w:space="0"/>
              <w:right w:val="single" w:color="000000" w:sz="4" w:space="0"/>
            </w:tcBorders>
            <w:vAlign w:val="center"/>
          </w:tcPr>
          <w:p w14:paraId="2F595431">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7</w:t>
            </w:r>
          </w:p>
        </w:tc>
        <w:tc>
          <w:tcPr>
            <w:tcW w:w="1091" w:type="dxa"/>
            <w:gridSpan w:val="2"/>
            <w:vMerge w:val="continue"/>
            <w:tcBorders>
              <w:left w:val="nil"/>
              <w:right w:val="single" w:color="000000" w:sz="4" w:space="0"/>
            </w:tcBorders>
            <w:vAlign w:val="center"/>
          </w:tcPr>
          <w:p w14:paraId="33F9FD57">
            <w:pPr>
              <w:spacing w:line="400" w:lineRule="exact"/>
              <w:jc w:val="center"/>
              <w:rPr>
                <w:rFonts w:hint="default" w:ascii="Times New Roman" w:hAnsi="Times New Roman" w:eastAsia="仿宋_GB2312" w:cs="Times New Roman"/>
                <w:b/>
                <w:bCs/>
                <w:color w:val="auto"/>
                <w:sz w:val="24"/>
                <w:szCs w:val="24"/>
                <w:highlight w:val="none"/>
              </w:rPr>
            </w:pPr>
          </w:p>
        </w:tc>
        <w:tc>
          <w:tcPr>
            <w:tcW w:w="6664" w:type="dxa"/>
            <w:gridSpan w:val="3"/>
            <w:tcBorders>
              <w:top w:val="single" w:color="000000" w:sz="4" w:space="0"/>
              <w:left w:val="nil"/>
              <w:bottom w:val="single" w:color="000000" w:sz="4" w:space="0"/>
              <w:right w:val="single" w:color="000000" w:sz="4" w:space="0"/>
            </w:tcBorders>
            <w:vAlign w:val="center"/>
          </w:tcPr>
          <w:p w14:paraId="48293C7D">
            <w:pPr>
              <w:widowControl/>
              <w:spacing w:line="360" w:lineRule="exact"/>
              <w:ind w:left="0" w:leftChars="0" w:firstLine="0" w:firstLineChars="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按规范要求，配置安全防护设施，定时清扫设备及配电室卫生。</w:t>
            </w:r>
          </w:p>
        </w:tc>
        <w:tc>
          <w:tcPr>
            <w:tcW w:w="830" w:type="dxa"/>
            <w:tcBorders>
              <w:top w:val="single" w:color="000000" w:sz="4" w:space="0"/>
              <w:left w:val="nil"/>
              <w:bottom w:val="single" w:color="000000" w:sz="4" w:space="0"/>
              <w:right w:val="single" w:color="000000" w:sz="4" w:space="0"/>
            </w:tcBorders>
            <w:vAlign w:val="center"/>
          </w:tcPr>
          <w:p w14:paraId="5674DD88">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000000" w:sz="4" w:space="0"/>
              <w:left w:val="nil"/>
              <w:bottom w:val="single" w:color="000000" w:sz="4" w:space="0"/>
              <w:right w:val="single" w:color="000000" w:sz="4" w:space="0"/>
            </w:tcBorders>
            <w:vAlign w:val="center"/>
          </w:tcPr>
          <w:p w14:paraId="37DF681A">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66268B1E">
        <w:tblPrEx>
          <w:tblCellMar>
            <w:top w:w="0" w:type="dxa"/>
            <w:left w:w="108" w:type="dxa"/>
            <w:bottom w:w="0" w:type="dxa"/>
            <w:right w:w="108" w:type="dxa"/>
          </w:tblCellMar>
        </w:tblPrEx>
        <w:tc>
          <w:tcPr>
            <w:tcW w:w="751" w:type="dxa"/>
            <w:tcBorders>
              <w:top w:val="single" w:color="000000" w:sz="4" w:space="0"/>
              <w:left w:val="single" w:color="000000" w:sz="4" w:space="0"/>
              <w:bottom w:val="single" w:color="000000" w:sz="4" w:space="0"/>
              <w:right w:val="single" w:color="000000" w:sz="4" w:space="0"/>
            </w:tcBorders>
            <w:vAlign w:val="center"/>
          </w:tcPr>
          <w:p w14:paraId="3100E0E2">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8</w:t>
            </w:r>
          </w:p>
        </w:tc>
        <w:tc>
          <w:tcPr>
            <w:tcW w:w="1091" w:type="dxa"/>
            <w:gridSpan w:val="2"/>
            <w:vMerge w:val="continue"/>
            <w:tcBorders>
              <w:left w:val="nil"/>
              <w:right w:val="single" w:color="000000" w:sz="4" w:space="0"/>
            </w:tcBorders>
            <w:vAlign w:val="center"/>
          </w:tcPr>
          <w:p w14:paraId="60E63C61">
            <w:pPr>
              <w:spacing w:line="400" w:lineRule="exact"/>
              <w:jc w:val="center"/>
              <w:rPr>
                <w:rFonts w:hint="default" w:ascii="Times New Roman" w:hAnsi="Times New Roman" w:eastAsia="仿宋_GB2312" w:cs="Times New Roman"/>
                <w:b/>
                <w:bCs/>
                <w:color w:val="auto"/>
                <w:sz w:val="24"/>
                <w:szCs w:val="24"/>
                <w:highlight w:val="none"/>
              </w:rPr>
            </w:pPr>
          </w:p>
        </w:tc>
        <w:tc>
          <w:tcPr>
            <w:tcW w:w="6664" w:type="dxa"/>
            <w:gridSpan w:val="3"/>
            <w:tcBorders>
              <w:top w:val="single" w:color="000000" w:sz="4" w:space="0"/>
              <w:left w:val="nil"/>
              <w:bottom w:val="single" w:color="000000" w:sz="4" w:space="0"/>
              <w:right w:val="single" w:color="000000" w:sz="4" w:space="0"/>
            </w:tcBorders>
            <w:vAlign w:val="center"/>
          </w:tcPr>
          <w:p w14:paraId="05620122">
            <w:pPr>
              <w:widowControl/>
              <w:spacing w:line="360" w:lineRule="exact"/>
              <w:ind w:left="0" w:leftChars="0" w:firstLine="0" w:firstLineChars="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外购配件及土建类维修，自接到报修之日起能3日内修复。</w:t>
            </w:r>
          </w:p>
        </w:tc>
        <w:tc>
          <w:tcPr>
            <w:tcW w:w="830" w:type="dxa"/>
            <w:tcBorders>
              <w:top w:val="single" w:color="000000" w:sz="4" w:space="0"/>
              <w:left w:val="nil"/>
              <w:bottom w:val="single" w:color="000000" w:sz="4" w:space="0"/>
              <w:right w:val="single" w:color="000000" w:sz="4" w:space="0"/>
            </w:tcBorders>
            <w:vAlign w:val="center"/>
          </w:tcPr>
          <w:p w14:paraId="676E7A34">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000000" w:sz="4" w:space="0"/>
              <w:left w:val="nil"/>
              <w:bottom w:val="single" w:color="000000" w:sz="4" w:space="0"/>
              <w:right w:val="single" w:color="000000" w:sz="4" w:space="0"/>
            </w:tcBorders>
            <w:vAlign w:val="center"/>
          </w:tcPr>
          <w:p w14:paraId="02553356">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1A0DBE08">
        <w:tblPrEx>
          <w:tblCellMar>
            <w:top w:w="0" w:type="dxa"/>
            <w:left w:w="108" w:type="dxa"/>
            <w:bottom w:w="0" w:type="dxa"/>
            <w:right w:w="108" w:type="dxa"/>
          </w:tblCellMar>
        </w:tblPrEx>
        <w:tc>
          <w:tcPr>
            <w:tcW w:w="751" w:type="dxa"/>
            <w:tcBorders>
              <w:top w:val="single" w:color="000000" w:sz="4" w:space="0"/>
              <w:left w:val="single" w:color="000000" w:sz="4" w:space="0"/>
              <w:bottom w:val="single" w:color="000000" w:sz="4" w:space="0"/>
              <w:right w:val="single" w:color="000000" w:sz="4" w:space="0"/>
            </w:tcBorders>
            <w:vAlign w:val="center"/>
          </w:tcPr>
          <w:p w14:paraId="5A6D7EFF">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9</w:t>
            </w:r>
          </w:p>
        </w:tc>
        <w:tc>
          <w:tcPr>
            <w:tcW w:w="1091" w:type="dxa"/>
            <w:gridSpan w:val="2"/>
            <w:vMerge w:val="continue"/>
            <w:tcBorders>
              <w:left w:val="nil"/>
              <w:right w:val="single" w:color="000000" w:sz="4" w:space="0"/>
            </w:tcBorders>
            <w:vAlign w:val="center"/>
          </w:tcPr>
          <w:p w14:paraId="30E55072">
            <w:pPr>
              <w:spacing w:line="400" w:lineRule="exact"/>
              <w:jc w:val="center"/>
              <w:rPr>
                <w:rFonts w:hint="default" w:ascii="Times New Roman" w:hAnsi="Times New Roman" w:eastAsia="仿宋_GB2312" w:cs="Times New Roman"/>
                <w:b/>
                <w:bCs/>
                <w:color w:val="auto"/>
                <w:sz w:val="24"/>
                <w:szCs w:val="24"/>
                <w:highlight w:val="none"/>
              </w:rPr>
            </w:pPr>
          </w:p>
        </w:tc>
        <w:tc>
          <w:tcPr>
            <w:tcW w:w="6664" w:type="dxa"/>
            <w:gridSpan w:val="3"/>
            <w:tcBorders>
              <w:top w:val="single" w:color="000000" w:sz="4" w:space="0"/>
              <w:left w:val="nil"/>
              <w:bottom w:val="single" w:color="000000" w:sz="4" w:space="0"/>
              <w:right w:val="single" w:color="000000" w:sz="4" w:space="0"/>
            </w:tcBorders>
            <w:vAlign w:val="center"/>
          </w:tcPr>
          <w:p w14:paraId="5D376708">
            <w:pPr>
              <w:widowControl/>
              <w:spacing w:line="360" w:lineRule="exact"/>
              <w:ind w:left="0" w:leftChars="0" w:firstLine="0" w:firstLineChars="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雨季做好本职防汛工作，排查有关隐患。</w:t>
            </w:r>
          </w:p>
        </w:tc>
        <w:tc>
          <w:tcPr>
            <w:tcW w:w="830" w:type="dxa"/>
            <w:tcBorders>
              <w:top w:val="single" w:color="000000" w:sz="4" w:space="0"/>
              <w:left w:val="nil"/>
              <w:bottom w:val="single" w:color="000000" w:sz="4" w:space="0"/>
              <w:right w:val="single" w:color="000000" w:sz="4" w:space="0"/>
            </w:tcBorders>
            <w:vAlign w:val="center"/>
          </w:tcPr>
          <w:p w14:paraId="00DE41A2">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000000" w:sz="4" w:space="0"/>
              <w:left w:val="nil"/>
              <w:bottom w:val="single" w:color="000000" w:sz="4" w:space="0"/>
              <w:right w:val="single" w:color="000000" w:sz="4" w:space="0"/>
            </w:tcBorders>
            <w:vAlign w:val="center"/>
          </w:tcPr>
          <w:p w14:paraId="71ABE2F3">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7DB36E2D">
        <w:tblPrEx>
          <w:tblCellMar>
            <w:top w:w="0" w:type="dxa"/>
            <w:left w:w="108" w:type="dxa"/>
            <w:bottom w:w="0" w:type="dxa"/>
            <w:right w:w="108" w:type="dxa"/>
          </w:tblCellMar>
        </w:tblPrEx>
        <w:tc>
          <w:tcPr>
            <w:tcW w:w="751" w:type="dxa"/>
            <w:tcBorders>
              <w:top w:val="single" w:color="000000" w:sz="4" w:space="0"/>
              <w:left w:val="single" w:color="000000" w:sz="4" w:space="0"/>
              <w:bottom w:val="single" w:color="000000" w:sz="4" w:space="0"/>
              <w:right w:val="single" w:color="000000" w:sz="4" w:space="0"/>
            </w:tcBorders>
            <w:vAlign w:val="center"/>
          </w:tcPr>
          <w:p w14:paraId="54B8844A">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10</w:t>
            </w:r>
          </w:p>
        </w:tc>
        <w:tc>
          <w:tcPr>
            <w:tcW w:w="1091" w:type="dxa"/>
            <w:gridSpan w:val="2"/>
            <w:vMerge w:val="continue"/>
            <w:tcBorders>
              <w:left w:val="nil"/>
              <w:bottom w:val="single" w:color="000000" w:sz="4" w:space="0"/>
              <w:right w:val="single" w:color="000000" w:sz="4" w:space="0"/>
            </w:tcBorders>
            <w:vAlign w:val="center"/>
          </w:tcPr>
          <w:p w14:paraId="7E36CA41">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c>
          <w:tcPr>
            <w:tcW w:w="6664" w:type="dxa"/>
            <w:gridSpan w:val="3"/>
            <w:tcBorders>
              <w:top w:val="single" w:color="000000" w:sz="4" w:space="0"/>
              <w:left w:val="nil"/>
              <w:bottom w:val="single" w:color="000000" w:sz="4" w:space="0"/>
              <w:right w:val="single" w:color="000000" w:sz="4" w:space="0"/>
            </w:tcBorders>
            <w:vAlign w:val="center"/>
          </w:tcPr>
          <w:p w14:paraId="0CFAD3A0">
            <w:pPr>
              <w:widowControl/>
              <w:spacing w:line="360" w:lineRule="exact"/>
              <w:jc w:val="left"/>
              <w:rPr>
                <w:rFonts w:hint="default" w:ascii="Times New Roman" w:hAnsi="Times New Roman" w:eastAsia="仿宋_GB2312" w:cs="Times New Roman"/>
                <w:color w:val="auto"/>
                <w:kern w:val="0"/>
                <w:sz w:val="24"/>
                <w:szCs w:val="24"/>
                <w:highlight w:val="none"/>
                <w:lang w:bidi="th-TH"/>
              </w:rPr>
            </w:pPr>
            <w:r>
              <w:rPr>
                <w:rFonts w:hint="default" w:ascii="Times New Roman" w:hAnsi="Times New Roman" w:eastAsia="仿宋_GB2312" w:cs="Times New Roman"/>
                <w:color w:val="auto"/>
                <w:kern w:val="0"/>
                <w:sz w:val="24"/>
                <w:szCs w:val="24"/>
                <w:highlight w:val="none"/>
                <w:lang w:bidi="th-TH"/>
              </w:rPr>
              <w:t>积极协助同事，服从公司和领导的安排。</w:t>
            </w:r>
          </w:p>
        </w:tc>
        <w:tc>
          <w:tcPr>
            <w:tcW w:w="830" w:type="dxa"/>
            <w:tcBorders>
              <w:top w:val="single" w:color="000000" w:sz="4" w:space="0"/>
              <w:left w:val="nil"/>
              <w:bottom w:val="single" w:color="000000" w:sz="4" w:space="0"/>
              <w:right w:val="single" w:color="000000" w:sz="4" w:space="0"/>
            </w:tcBorders>
            <w:vAlign w:val="center"/>
          </w:tcPr>
          <w:p w14:paraId="19654EFA">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000000" w:sz="4" w:space="0"/>
              <w:left w:val="nil"/>
              <w:bottom w:val="single" w:color="000000" w:sz="4" w:space="0"/>
              <w:right w:val="single" w:color="000000" w:sz="4" w:space="0"/>
            </w:tcBorders>
            <w:vAlign w:val="center"/>
          </w:tcPr>
          <w:p w14:paraId="45B86833">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67D76D65">
        <w:tblPrEx>
          <w:tblCellMar>
            <w:top w:w="0" w:type="dxa"/>
            <w:left w:w="108" w:type="dxa"/>
            <w:bottom w:w="0" w:type="dxa"/>
            <w:right w:w="108" w:type="dxa"/>
          </w:tblCellMar>
        </w:tblPrEx>
        <w:tc>
          <w:tcPr>
            <w:tcW w:w="751" w:type="dxa"/>
            <w:tcBorders>
              <w:top w:val="single" w:color="000000" w:sz="4" w:space="0"/>
              <w:left w:val="single" w:color="000000" w:sz="4" w:space="0"/>
              <w:bottom w:val="single" w:color="auto" w:sz="4" w:space="0"/>
              <w:right w:val="single" w:color="000000" w:sz="4" w:space="0"/>
            </w:tcBorders>
            <w:vAlign w:val="center"/>
          </w:tcPr>
          <w:p w14:paraId="24F00B37">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11</w:t>
            </w:r>
          </w:p>
        </w:tc>
        <w:tc>
          <w:tcPr>
            <w:tcW w:w="1091" w:type="dxa"/>
            <w:gridSpan w:val="2"/>
            <w:vMerge w:val="restart"/>
            <w:tcBorders>
              <w:top w:val="single" w:color="000000" w:sz="4" w:space="0"/>
              <w:left w:val="nil"/>
              <w:right w:val="single" w:color="000000" w:sz="4" w:space="0"/>
            </w:tcBorders>
            <w:vAlign w:val="center"/>
          </w:tcPr>
          <w:p w14:paraId="13627043">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绿化员</w:t>
            </w:r>
          </w:p>
        </w:tc>
        <w:tc>
          <w:tcPr>
            <w:tcW w:w="6664" w:type="dxa"/>
            <w:gridSpan w:val="3"/>
            <w:tcBorders>
              <w:top w:val="single" w:color="000000" w:sz="4" w:space="0"/>
              <w:left w:val="nil"/>
              <w:bottom w:val="single" w:color="auto" w:sz="4" w:space="0"/>
              <w:right w:val="single" w:color="000000" w:sz="4" w:space="0"/>
            </w:tcBorders>
            <w:vAlign w:val="center"/>
          </w:tcPr>
          <w:p w14:paraId="179513E3">
            <w:pPr>
              <w:widowControl/>
              <w:spacing w:line="360" w:lineRule="exact"/>
              <w:ind w:left="0" w:leftChars="0" w:firstLine="0" w:firstLineChars="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绿地整洁，地面卫生，无垃圾杂物。</w:t>
            </w:r>
          </w:p>
        </w:tc>
        <w:tc>
          <w:tcPr>
            <w:tcW w:w="830" w:type="dxa"/>
            <w:tcBorders>
              <w:top w:val="single" w:color="000000" w:sz="4" w:space="0"/>
              <w:left w:val="nil"/>
              <w:bottom w:val="single" w:color="auto" w:sz="4" w:space="0"/>
              <w:right w:val="single" w:color="000000" w:sz="4" w:space="0"/>
            </w:tcBorders>
            <w:vAlign w:val="center"/>
          </w:tcPr>
          <w:p w14:paraId="4D8E88A8">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000000" w:sz="4" w:space="0"/>
              <w:left w:val="nil"/>
              <w:bottom w:val="single" w:color="auto" w:sz="4" w:space="0"/>
              <w:right w:val="single" w:color="000000" w:sz="4" w:space="0"/>
            </w:tcBorders>
            <w:vAlign w:val="center"/>
          </w:tcPr>
          <w:p w14:paraId="3003D08A">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3BDB9582">
        <w:tblPrEx>
          <w:tblCellMar>
            <w:top w:w="0" w:type="dxa"/>
            <w:left w:w="108" w:type="dxa"/>
            <w:bottom w:w="0" w:type="dxa"/>
            <w:right w:w="108" w:type="dxa"/>
          </w:tblCellMar>
        </w:tblPrEx>
        <w:tc>
          <w:tcPr>
            <w:tcW w:w="751" w:type="dxa"/>
            <w:tcBorders>
              <w:top w:val="single" w:color="auto" w:sz="4" w:space="0"/>
              <w:left w:val="single" w:color="auto" w:sz="4" w:space="0"/>
              <w:bottom w:val="single" w:color="auto" w:sz="4" w:space="0"/>
              <w:right w:val="single" w:color="auto" w:sz="4" w:space="0"/>
            </w:tcBorders>
            <w:vAlign w:val="center"/>
          </w:tcPr>
          <w:p w14:paraId="533359F9">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12</w:t>
            </w:r>
          </w:p>
        </w:tc>
        <w:tc>
          <w:tcPr>
            <w:tcW w:w="1091" w:type="dxa"/>
            <w:gridSpan w:val="2"/>
            <w:vMerge w:val="continue"/>
            <w:tcBorders>
              <w:left w:val="nil"/>
              <w:right w:val="single" w:color="000000" w:sz="4" w:space="0"/>
            </w:tcBorders>
            <w:vAlign w:val="center"/>
          </w:tcPr>
          <w:p w14:paraId="0E45A93C">
            <w:pPr>
              <w:spacing w:line="400" w:lineRule="exact"/>
              <w:jc w:val="center"/>
              <w:rPr>
                <w:rFonts w:hint="default" w:ascii="Times New Roman" w:hAnsi="Times New Roman" w:eastAsia="仿宋_GB2312" w:cs="Times New Roman"/>
                <w:b/>
                <w:bCs/>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21D75326">
            <w:pPr>
              <w:widowControl/>
              <w:spacing w:line="360" w:lineRule="exact"/>
              <w:ind w:left="0" w:leftChars="0" w:firstLine="0" w:firstLineChars="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树木及时修剪，无徒长枝、病虫枝、过密枝、枯枝、伤损枝；宿根植物及时翻种、断根、间删；植物无死株。</w:t>
            </w:r>
          </w:p>
        </w:tc>
        <w:tc>
          <w:tcPr>
            <w:tcW w:w="830" w:type="dxa"/>
            <w:tcBorders>
              <w:top w:val="single" w:color="auto" w:sz="4" w:space="0"/>
              <w:left w:val="single" w:color="auto" w:sz="4" w:space="0"/>
              <w:bottom w:val="single" w:color="auto" w:sz="4" w:space="0"/>
              <w:right w:val="single" w:color="auto" w:sz="4" w:space="0"/>
            </w:tcBorders>
            <w:vAlign w:val="center"/>
          </w:tcPr>
          <w:p w14:paraId="43CD9B26">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auto" w:sz="4" w:space="0"/>
              <w:left w:val="single" w:color="auto" w:sz="4" w:space="0"/>
              <w:bottom w:val="single" w:color="auto" w:sz="4" w:space="0"/>
              <w:right w:val="single" w:color="auto" w:sz="4" w:space="0"/>
            </w:tcBorders>
            <w:vAlign w:val="center"/>
          </w:tcPr>
          <w:p w14:paraId="7D9FDB8F">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190CB86F">
        <w:tblPrEx>
          <w:tblCellMar>
            <w:top w:w="0" w:type="dxa"/>
            <w:left w:w="108" w:type="dxa"/>
            <w:bottom w:w="0" w:type="dxa"/>
            <w:right w:w="108" w:type="dxa"/>
          </w:tblCellMar>
        </w:tblPrEx>
        <w:tc>
          <w:tcPr>
            <w:tcW w:w="751" w:type="dxa"/>
            <w:tcBorders>
              <w:top w:val="single" w:color="auto" w:sz="4" w:space="0"/>
              <w:left w:val="single" w:color="auto" w:sz="4" w:space="0"/>
              <w:bottom w:val="single" w:color="auto" w:sz="4" w:space="0"/>
              <w:right w:val="single" w:color="auto" w:sz="4" w:space="0"/>
            </w:tcBorders>
            <w:vAlign w:val="center"/>
          </w:tcPr>
          <w:p w14:paraId="03E2435F">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13</w:t>
            </w:r>
          </w:p>
        </w:tc>
        <w:tc>
          <w:tcPr>
            <w:tcW w:w="1091" w:type="dxa"/>
            <w:gridSpan w:val="2"/>
            <w:vMerge w:val="continue"/>
            <w:tcBorders>
              <w:left w:val="nil"/>
              <w:right w:val="single" w:color="000000" w:sz="4" w:space="0"/>
            </w:tcBorders>
            <w:vAlign w:val="center"/>
          </w:tcPr>
          <w:p w14:paraId="34CF6EFC">
            <w:pPr>
              <w:spacing w:line="400" w:lineRule="exact"/>
              <w:jc w:val="center"/>
              <w:rPr>
                <w:rFonts w:hint="default" w:ascii="Times New Roman" w:hAnsi="Times New Roman" w:eastAsia="仿宋_GB2312" w:cs="Times New Roman"/>
                <w:b/>
                <w:bCs/>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5C6AAEAF">
            <w:pPr>
              <w:widowControl/>
              <w:spacing w:line="360" w:lineRule="exact"/>
              <w:ind w:left="0" w:leftChars="0" w:firstLine="0" w:firstLineChars="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对盆栽植物及时修剪、养护，盆内无杂物。</w:t>
            </w:r>
          </w:p>
        </w:tc>
        <w:tc>
          <w:tcPr>
            <w:tcW w:w="830" w:type="dxa"/>
            <w:tcBorders>
              <w:top w:val="single" w:color="auto" w:sz="4" w:space="0"/>
              <w:left w:val="single" w:color="auto" w:sz="4" w:space="0"/>
              <w:bottom w:val="single" w:color="auto" w:sz="4" w:space="0"/>
              <w:right w:val="single" w:color="auto" w:sz="4" w:space="0"/>
            </w:tcBorders>
            <w:vAlign w:val="center"/>
          </w:tcPr>
          <w:p w14:paraId="7034BFBC">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auto" w:sz="4" w:space="0"/>
              <w:left w:val="single" w:color="auto" w:sz="4" w:space="0"/>
              <w:bottom w:val="single" w:color="auto" w:sz="4" w:space="0"/>
              <w:right w:val="single" w:color="auto" w:sz="4" w:space="0"/>
            </w:tcBorders>
            <w:vAlign w:val="center"/>
          </w:tcPr>
          <w:p w14:paraId="22C6EFF2">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59FF2697">
        <w:tblPrEx>
          <w:tblCellMar>
            <w:top w:w="0" w:type="dxa"/>
            <w:left w:w="108" w:type="dxa"/>
            <w:bottom w:w="0" w:type="dxa"/>
            <w:right w:w="108" w:type="dxa"/>
          </w:tblCellMar>
        </w:tblPrEx>
        <w:tc>
          <w:tcPr>
            <w:tcW w:w="751" w:type="dxa"/>
            <w:tcBorders>
              <w:top w:val="single" w:color="auto" w:sz="4" w:space="0"/>
              <w:left w:val="single" w:color="auto" w:sz="4" w:space="0"/>
              <w:bottom w:val="single" w:color="auto" w:sz="4" w:space="0"/>
              <w:right w:val="single" w:color="auto" w:sz="4" w:space="0"/>
            </w:tcBorders>
            <w:vAlign w:val="center"/>
          </w:tcPr>
          <w:p w14:paraId="4A9ED8D9">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14</w:t>
            </w:r>
          </w:p>
        </w:tc>
        <w:tc>
          <w:tcPr>
            <w:tcW w:w="1091" w:type="dxa"/>
            <w:gridSpan w:val="2"/>
            <w:vMerge w:val="continue"/>
            <w:tcBorders>
              <w:left w:val="nil"/>
              <w:right w:val="single" w:color="000000" w:sz="4" w:space="0"/>
            </w:tcBorders>
            <w:vAlign w:val="center"/>
          </w:tcPr>
          <w:p w14:paraId="29011582">
            <w:pPr>
              <w:spacing w:line="400" w:lineRule="exact"/>
              <w:jc w:val="center"/>
              <w:rPr>
                <w:rFonts w:hint="default" w:ascii="Times New Roman" w:hAnsi="Times New Roman" w:eastAsia="仿宋_GB2312" w:cs="Times New Roman"/>
                <w:b/>
                <w:bCs/>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2404A285">
            <w:pPr>
              <w:widowControl/>
              <w:spacing w:line="360" w:lineRule="exact"/>
              <w:ind w:left="0" w:leftChars="0" w:firstLine="0" w:firstLineChars="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绿地内水体整洁卫生、无漂浮杂物、无杂生水生植物。</w:t>
            </w:r>
          </w:p>
        </w:tc>
        <w:tc>
          <w:tcPr>
            <w:tcW w:w="830" w:type="dxa"/>
            <w:tcBorders>
              <w:top w:val="single" w:color="auto" w:sz="4" w:space="0"/>
              <w:left w:val="single" w:color="auto" w:sz="4" w:space="0"/>
              <w:bottom w:val="single" w:color="auto" w:sz="4" w:space="0"/>
              <w:right w:val="single" w:color="auto" w:sz="4" w:space="0"/>
            </w:tcBorders>
            <w:vAlign w:val="center"/>
          </w:tcPr>
          <w:p w14:paraId="11DF93F5">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auto" w:sz="4" w:space="0"/>
              <w:left w:val="single" w:color="auto" w:sz="4" w:space="0"/>
              <w:bottom w:val="single" w:color="auto" w:sz="4" w:space="0"/>
              <w:right w:val="single" w:color="auto" w:sz="4" w:space="0"/>
            </w:tcBorders>
            <w:vAlign w:val="center"/>
          </w:tcPr>
          <w:p w14:paraId="644DC575">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4C698D70">
        <w:tblPrEx>
          <w:tblCellMar>
            <w:top w:w="0" w:type="dxa"/>
            <w:left w:w="108" w:type="dxa"/>
            <w:bottom w:w="0" w:type="dxa"/>
            <w:right w:w="108" w:type="dxa"/>
          </w:tblCellMar>
        </w:tblPrEx>
        <w:tc>
          <w:tcPr>
            <w:tcW w:w="751" w:type="dxa"/>
            <w:tcBorders>
              <w:top w:val="single" w:color="auto" w:sz="4" w:space="0"/>
              <w:left w:val="single" w:color="auto" w:sz="4" w:space="0"/>
              <w:bottom w:val="single" w:color="auto" w:sz="4" w:space="0"/>
              <w:right w:val="single" w:color="auto" w:sz="4" w:space="0"/>
            </w:tcBorders>
            <w:vAlign w:val="center"/>
          </w:tcPr>
          <w:p w14:paraId="0C12EB24">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15</w:t>
            </w:r>
          </w:p>
        </w:tc>
        <w:tc>
          <w:tcPr>
            <w:tcW w:w="1091" w:type="dxa"/>
            <w:gridSpan w:val="2"/>
            <w:vMerge w:val="continue"/>
            <w:tcBorders>
              <w:left w:val="nil"/>
              <w:bottom w:val="single" w:color="auto" w:sz="4" w:space="0"/>
              <w:right w:val="single" w:color="000000" w:sz="4" w:space="0"/>
            </w:tcBorders>
            <w:vAlign w:val="center"/>
          </w:tcPr>
          <w:p w14:paraId="43229AB9">
            <w:pPr>
              <w:spacing w:line="400" w:lineRule="exact"/>
              <w:jc w:val="center"/>
              <w:rPr>
                <w:rFonts w:hint="default" w:ascii="Times New Roman" w:hAnsi="Times New Roman" w:eastAsia="仿宋_GB2312" w:cs="Times New Roman"/>
                <w:b/>
                <w:bCs/>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48A31AD8">
            <w:pPr>
              <w:widowControl/>
              <w:spacing w:line="360" w:lineRule="exact"/>
              <w:ind w:left="0" w:leftChars="0" w:firstLine="0" w:firstLineChars="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草坪生长茂盛，无明显杂草，黄土不裸露，保持叶面清洁，有整体欣赏效果。</w:t>
            </w:r>
          </w:p>
        </w:tc>
        <w:tc>
          <w:tcPr>
            <w:tcW w:w="830" w:type="dxa"/>
            <w:tcBorders>
              <w:top w:val="single" w:color="auto" w:sz="4" w:space="0"/>
              <w:left w:val="single" w:color="auto" w:sz="4" w:space="0"/>
              <w:bottom w:val="single" w:color="auto" w:sz="4" w:space="0"/>
              <w:right w:val="single" w:color="auto" w:sz="4" w:space="0"/>
            </w:tcBorders>
            <w:vAlign w:val="center"/>
          </w:tcPr>
          <w:p w14:paraId="26E682AF">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auto" w:sz="4" w:space="0"/>
              <w:left w:val="single" w:color="auto" w:sz="4" w:space="0"/>
              <w:bottom w:val="single" w:color="auto" w:sz="4" w:space="0"/>
              <w:right w:val="single" w:color="auto" w:sz="4" w:space="0"/>
            </w:tcBorders>
            <w:vAlign w:val="center"/>
          </w:tcPr>
          <w:p w14:paraId="3FC8919C">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0A3B252B">
        <w:tblPrEx>
          <w:tblCellMar>
            <w:top w:w="0" w:type="dxa"/>
            <w:left w:w="108" w:type="dxa"/>
            <w:bottom w:w="0" w:type="dxa"/>
            <w:right w:w="108" w:type="dxa"/>
          </w:tblCellMar>
        </w:tblPrEx>
        <w:tc>
          <w:tcPr>
            <w:tcW w:w="751" w:type="dxa"/>
            <w:tcBorders>
              <w:top w:val="single" w:color="auto" w:sz="4" w:space="0"/>
              <w:left w:val="single" w:color="auto" w:sz="4" w:space="0"/>
              <w:bottom w:val="single" w:color="auto" w:sz="4" w:space="0"/>
              <w:right w:val="single" w:color="auto" w:sz="4" w:space="0"/>
            </w:tcBorders>
            <w:vAlign w:val="center"/>
          </w:tcPr>
          <w:p w14:paraId="5B02C2FA">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16</w:t>
            </w:r>
          </w:p>
        </w:tc>
        <w:tc>
          <w:tcPr>
            <w:tcW w:w="1091" w:type="dxa"/>
            <w:gridSpan w:val="2"/>
            <w:vMerge w:val="continue"/>
            <w:tcBorders>
              <w:top w:val="single" w:color="auto" w:sz="4" w:space="0"/>
              <w:left w:val="nil"/>
              <w:bottom w:val="single" w:color="auto" w:sz="4" w:space="0"/>
              <w:right w:val="single" w:color="000000" w:sz="4" w:space="0"/>
            </w:tcBorders>
            <w:vAlign w:val="center"/>
          </w:tcPr>
          <w:p w14:paraId="0C0B8A2A">
            <w:pPr>
              <w:spacing w:line="400" w:lineRule="exact"/>
              <w:jc w:val="center"/>
              <w:rPr>
                <w:rFonts w:hint="default" w:ascii="Times New Roman" w:hAnsi="Times New Roman" w:eastAsia="仿宋_GB2312" w:cs="Times New Roman"/>
                <w:b/>
                <w:bCs/>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0464B717">
            <w:pPr>
              <w:widowControl/>
              <w:spacing w:line="360" w:lineRule="exact"/>
              <w:ind w:left="0" w:leftChars="0" w:firstLine="0" w:firstLineChars="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有防台措施，对危树及时采取修枝、加固或申报更换等措施，遇灾害性天气及时组织进行抢扶。</w:t>
            </w:r>
          </w:p>
        </w:tc>
        <w:tc>
          <w:tcPr>
            <w:tcW w:w="830" w:type="dxa"/>
            <w:tcBorders>
              <w:top w:val="single" w:color="auto" w:sz="4" w:space="0"/>
              <w:left w:val="single" w:color="auto" w:sz="4" w:space="0"/>
              <w:bottom w:val="single" w:color="auto" w:sz="4" w:space="0"/>
              <w:right w:val="single" w:color="auto" w:sz="4" w:space="0"/>
            </w:tcBorders>
            <w:vAlign w:val="center"/>
          </w:tcPr>
          <w:p w14:paraId="111C5861">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auto" w:sz="4" w:space="0"/>
              <w:left w:val="single" w:color="auto" w:sz="4" w:space="0"/>
              <w:bottom w:val="single" w:color="auto" w:sz="4" w:space="0"/>
              <w:right w:val="single" w:color="auto" w:sz="4" w:space="0"/>
            </w:tcBorders>
            <w:vAlign w:val="center"/>
          </w:tcPr>
          <w:p w14:paraId="7B5F5D3D">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1FC498C5">
        <w:tblPrEx>
          <w:tblCellMar>
            <w:top w:w="0" w:type="dxa"/>
            <w:left w:w="108" w:type="dxa"/>
            <w:bottom w:w="0" w:type="dxa"/>
            <w:right w:w="108" w:type="dxa"/>
          </w:tblCellMar>
        </w:tblPrEx>
        <w:tc>
          <w:tcPr>
            <w:tcW w:w="751" w:type="dxa"/>
            <w:tcBorders>
              <w:top w:val="single" w:color="auto" w:sz="4" w:space="0"/>
              <w:left w:val="single" w:color="auto" w:sz="4" w:space="0"/>
              <w:bottom w:val="single" w:color="auto" w:sz="4" w:space="0"/>
              <w:right w:val="single" w:color="auto" w:sz="4" w:space="0"/>
            </w:tcBorders>
            <w:vAlign w:val="center"/>
          </w:tcPr>
          <w:p w14:paraId="5F4ACC7F">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17</w:t>
            </w:r>
          </w:p>
        </w:tc>
        <w:tc>
          <w:tcPr>
            <w:tcW w:w="1091" w:type="dxa"/>
            <w:gridSpan w:val="2"/>
            <w:vMerge w:val="continue"/>
            <w:tcBorders>
              <w:top w:val="single" w:color="auto" w:sz="4" w:space="0"/>
              <w:left w:val="nil"/>
              <w:bottom w:val="single" w:color="auto" w:sz="4" w:space="0"/>
              <w:right w:val="single" w:color="000000" w:sz="4" w:space="0"/>
            </w:tcBorders>
            <w:vAlign w:val="center"/>
          </w:tcPr>
          <w:p w14:paraId="506129F1">
            <w:pPr>
              <w:spacing w:line="400" w:lineRule="exact"/>
              <w:jc w:val="center"/>
              <w:rPr>
                <w:rFonts w:hint="default" w:ascii="Times New Roman" w:hAnsi="Times New Roman" w:eastAsia="仿宋_GB2312" w:cs="Times New Roman"/>
                <w:b/>
                <w:bCs/>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6873B600">
            <w:pPr>
              <w:widowControl/>
              <w:spacing w:line="360" w:lineRule="exact"/>
              <w:ind w:left="0" w:leftChars="0" w:firstLine="0" w:firstLineChars="0"/>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加强病虫害的检查防治。</w:t>
            </w:r>
          </w:p>
        </w:tc>
        <w:tc>
          <w:tcPr>
            <w:tcW w:w="830" w:type="dxa"/>
            <w:tcBorders>
              <w:top w:val="single" w:color="auto" w:sz="4" w:space="0"/>
              <w:left w:val="single" w:color="auto" w:sz="4" w:space="0"/>
              <w:bottom w:val="single" w:color="auto" w:sz="4" w:space="0"/>
              <w:right w:val="single" w:color="auto" w:sz="4" w:space="0"/>
            </w:tcBorders>
            <w:vAlign w:val="center"/>
          </w:tcPr>
          <w:p w14:paraId="6D6C8035">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auto" w:sz="4" w:space="0"/>
              <w:left w:val="single" w:color="auto" w:sz="4" w:space="0"/>
              <w:bottom w:val="single" w:color="auto" w:sz="4" w:space="0"/>
              <w:right w:val="single" w:color="auto" w:sz="4" w:space="0"/>
            </w:tcBorders>
            <w:vAlign w:val="center"/>
          </w:tcPr>
          <w:p w14:paraId="71B8E98E">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346A6A7C">
        <w:tblPrEx>
          <w:tblCellMar>
            <w:top w:w="0" w:type="dxa"/>
            <w:left w:w="108" w:type="dxa"/>
            <w:bottom w:w="0" w:type="dxa"/>
            <w:right w:w="108" w:type="dxa"/>
          </w:tblCellMar>
        </w:tblPrEx>
        <w:tc>
          <w:tcPr>
            <w:tcW w:w="751" w:type="dxa"/>
            <w:tcBorders>
              <w:top w:val="single" w:color="auto" w:sz="4" w:space="0"/>
              <w:left w:val="single" w:color="auto" w:sz="4" w:space="0"/>
              <w:bottom w:val="single" w:color="auto" w:sz="4" w:space="0"/>
              <w:right w:val="single" w:color="auto" w:sz="4" w:space="0"/>
            </w:tcBorders>
            <w:vAlign w:val="center"/>
          </w:tcPr>
          <w:p w14:paraId="5DA18F8F">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18</w:t>
            </w:r>
          </w:p>
        </w:tc>
        <w:tc>
          <w:tcPr>
            <w:tcW w:w="1091" w:type="dxa"/>
            <w:gridSpan w:val="2"/>
            <w:vMerge w:val="restart"/>
            <w:tcBorders>
              <w:top w:val="single" w:color="auto" w:sz="4" w:space="0"/>
              <w:left w:val="single" w:color="auto" w:sz="4" w:space="0"/>
              <w:bottom w:val="single" w:color="auto" w:sz="4" w:space="0"/>
              <w:right w:val="single" w:color="auto" w:sz="4" w:space="0"/>
            </w:tcBorders>
            <w:vAlign w:val="center"/>
          </w:tcPr>
          <w:p w14:paraId="405195A9">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保洁员</w:t>
            </w:r>
          </w:p>
          <w:p w14:paraId="351299CF">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2015D833">
            <w:pPr>
              <w:widowControl/>
              <w:spacing w:line="360" w:lineRule="exact"/>
              <w:jc w:val="left"/>
              <w:rPr>
                <w:rFonts w:hint="default" w:ascii="Times New Roman" w:hAnsi="Times New Roman" w:eastAsia="仿宋_GB2312" w:cs="Times New Roman"/>
                <w:color w:val="auto"/>
                <w:kern w:val="0"/>
                <w:sz w:val="24"/>
                <w:szCs w:val="24"/>
                <w:highlight w:val="none"/>
                <w:lang w:bidi="th-TH"/>
              </w:rPr>
            </w:pPr>
            <w:r>
              <w:rPr>
                <w:rFonts w:hint="default" w:ascii="Times New Roman" w:hAnsi="Times New Roman" w:eastAsia="仿宋_GB2312" w:cs="Times New Roman"/>
                <w:color w:val="auto"/>
                <w:kern w:val="0"/>
                <w:sz w:val="24"/>
                <w:szCs w:val="24"/>
                <w:highlight w:val="none"/>
                <w:lang w:bidi="th-TH"/>
              </w:rPr>
              <w:t>校园内无暴露垃圾，道路干净整洁，无果皮、纸屑、废弃物及污水。</w:t>
            </w:r>
          </w:p>
        </w:tc>
        <w:tc>
          <w:tcPr>
            <w:tcW w:w="830" w:type="dxa"/>
            <w:tcBorders>
              <w:top w:val="single" w:color="auto" w:sz="4" w:space="0"/>
              <w:left w:val="single" w:color="auto" w:sz="4" w:space="0"/>
              <w:bottom w:val="single" w:color="auto" w:sz="4" w:space="0"/>
              <w:right w:val="single" w:color="auto" w:sz="4" w:space="0"/>
            </w:tcBorders>
            <w:vAlign w:val="center"/>
          </w:tcPr>
          <w:p w14:paraId="6D102790">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auto" w:sz="4" w:space="0"/>
              <w:left w:val="single" w:color="auto" w:sz="4" w:space="0"/>
              <w:bottom w:val="single" w:color="auto" w:sz="4" w:space="0"/>
              <w:right w:val="single" w:color="auto" w:sz="4" w:space="0"/>
            </w:tcBorders>
            <w:vAlign w:val="center"/>
          </w:tcPr>
          <w:p w14:paraId="18BAA706">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745440E2">
        <w:tblPrEx>
          <w:tblCellMar>
            <w:top w:w="0" w:type="dxa"/>
            <w:left w:w="108" w:type="dxa"/>
            <w:bottom w:w="0" w:type="dxa"/>
            <w:right w:w="108" w:type="dxa"/>
          </w:tblCellMar>
        </w:tblPrEx>
        <w:tc>
          <w:tcPr>
            <w:tcW w:w="751" w:type="dxa"/>
            <w:tcBorders>
              <w:top w:val="single" w:color="auto" w:sz="4" w:space="0"/>
              <w:left w:val="single" w:color="auto" w:sz="4" w:space="0"/>
              <w:bottom w:val="single" w:color="auto" w:sz="4" w:space="0"/>
              <w:right w:val="single" w:color="auto" w:sz="4" w:space="0"/>
            </w:tcBorders>
            <w:vAlign w:val="center"/>
          </w:tcPr>
          <w:p w14:paraId="4EF724A9">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19</w:t>
            </w:r>
          </w:p>
        </w:tc>
        <w:tc>
          <w:tcPr>
            <w:tcW w:w="1091" w:type="dxa"/>
            <w:gridSpan w:val="2"/>
            <w:vMerge w:val="continue"/>
            <w:tcBorders>
              <w:top w:val="single" w:color="auto" w:sz="4" w:space="0"/>
              <w:left w:val="single" w:color="auto" w:sz="4" w:space="0"/>
              <w:right w:val="single" w:color="auto" w:sz="4" w:space="0"/>
            </w:tcBorders>
            <w:vAlign w:val="center"/>
          </w:tcPr>
          <w:p w14:paraId="7E661227">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4CEDA887">
            <w:pPr>
              <w:widowControl/>
              <w:spacing w:line="360" w:lineRule="exact"/>
              <w:jc w:val="left"/>
              <w:rPr>
                <w:rFonts w:hint="default" w:ascii="Times New Roman" w:hAnsi="Times New Roman" w:eastAsia="仿宋_GB2312" w:cs="Times New Roman"/>
                <w:color w:val="auto"/>
                <w:kern w:val="0"/>
                <w:sz w:val="24"/>
                <w:szCs w:val="24"/>
                <w:highlight w:val="none"/>
                <w:lang w:bidi="th-TH"/>
              </w:rPr>
            </w:pPr>
            <w:r>
              <w:rPr>
                <w:rFonts w:hint="default" w:ascii="Times New Roman" w:hAnsi="Times New Roman" w:eastAsia="仿宋_GB2312" w:cs="Times New Roman"/>
                <w:color w:val="auto"/>
                <w:kern w:val="0"/>
                <w:sz w:val="24"/>
                <w:szCs w:val="24"/>
                <w:highlight w:val="none"/>
                <w:lang w:bidi="th-TH"/>
              </w:rPr>
              <w:t>绿化带内干净、整洁、无白色垃圾。</w:t>
            </w:r>
          </w:p>
        </w:tc>
        <w:tc>
          <w:tcPr>
            <w:tcW w:w="830" w:type="dxa"/>
            <w:tcBorders>
              <w:top w:val="single" w:color="auto" w:sz="4" w:space="0"/>
              <w:left w:val="single" w:color="auto" w:sz="4" w:space="0"/>
              <w:bottom w:val="single" w:color="auto" w:sz="4" w:space="0"/>
              <w:right w:val="single" w:color="auto" w:sz="4" w:space="0"/>
            </w:tcBorders>
            <w:vAlign w:val="center"/>
          </w:tcPr>
          <w:p w14:paraId="1CB2CD95">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auto" w:sz="4" w:space="0"/>
              <w:left w:val="single" w:color="auto" w:sz="4" w:space="0"/>
              <w:bottom w:val="single" w:color="auto" w:sz="4" w:space="0"/>
              <w:right w:val="single" w:color="auto" w:sz="4" w:space="0"/>
            </w:tcBorders>
            <w:vAlign w:val="center"/>
          </w:tcPr>
          <w:p w14:paraId="28BCADA9">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2B301BE6">
        <w:tblPrEx>
          <w:tblCellMar>
            <w:top w:w="0" w:type="dxa"/>
            <w:left w:w="108" w:type="dxa"/>
            <w:bottom w:w="0" w:type="dxa"/>
            <w:right w:w="108" w:type="dxa"/>
          </w:tblCellMar>
        </w:tblPrEx>
        <w:tc>
          <w:tcPr>
            <w:tcW w:w="751" w:type="dxa"/>
            <w:tcBorders>
              <w:top w:val="single" w:color="auto" w:sz="4" w:space="0"/>
              <w:left w:val="single" w:color="auto" w:sz="4" w:space="0"/>
              <w:bottom w:val="single" w:color="auto" w:sz="4" w:space="0"/>
              <w:right w:val="single" w:color="auto" w:sz="4" w:space="0"/>
            </w:tcBorders>
            <w:vAlign w:val="center"/>
          </w:tcPr>
          <w:p w14:paraId="11537AA7">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20</w:t>
            </w:r>
          </w:p>
        </w:tc>
        <w:tc>
          <w:tcPr>
            <w:tcW w:w="1091" w:type="dxa"/>
            <w:gridSpan w:val="2"/>
            <w:vMerge w:val="continue"/>
            <w:tcBorders>
              <w:top w:val="single" w:color="auto" w:sz="4" w:space="0"/>
              <w:left w:val="single" w:color="auto" w:sz="4" w:space="0"/>
              <w:right w:val="single" w:color="auto" w:sz="4" w:space="0"/>
            </w:tcBorders>
            <w:vAlign w:val="center"/>
          </w:tcPr>
          <w:p w14:paraId="71D52FC6">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3630C31D">
            <w:pPr>
              <w:widowControl/>
              <w:spacing w:line="360" w:lineRule="exact"/>
              <w:jc w:val="left"/>
              <w:rPr>
                <w:rFonts w:hint="default" w:ascii="Times New Roman" w:hAnsi="Times New Roman" w:eastAsia="仿宋_GB2312" w:cs="Times New Roman"/>
                <w:color w:val="auto"/>
                <w:kern w:val="0"/>
                <w:sz w:val="24"/>
                <w:szCs w:val="24"/>
                <w:highlight w:val="none"/>
                <w:lang w:bidi="th-TH"/>
              </w:rPr>
            </w:pPr>
            <w:r>
              <w:rPr>
                <w:rFonts w:hint="default" w:ascii="Times New Roman" w:hAnsi="Times New Roman" w:eastAsia="仿宋_GB2312" w:cs="Times New Roman"/>
                <w:color w:val="auto"/>
                <w:kern w:val="0"/>
                <w:sz w:val="24"/>
                <w:szCs w:val="24"/>
                <w:highlight w:val="none"/>
                <w:lang w:bidi="th-TH"/>
              </w:rPr>
              <w:t>建筑物公共区域内门、窗干净，窗台板整洁，无灰尘，墙壁、天棚无积尘、蜘蛛网、污渍，无乱张贴乱悬挂。</w:t>
            </w:r>
          </w:p>
        </w:tc>
        <w:tc>
          <w:tcPr>
            <w:tcW w:w="830" w:type="dxa"/>
            <w:tcBorders>
              <w:top w:val="single" w:color="auto" w:sz="4" w:space="0"/>
              <w:left w:val="single" w:color="auto" w:sz="4" w:space="0"/>
              <w:bottom w:val="single" w:color="auto" w:sz="4" w:space="0"/>
              <w:right w:val="single" w:color="auto" w:sz="4" w:space="0"/>
            </w:tcBorders>
            <w:vAlign w:val="center"/>
          </w:tcPr>
          <w:p w14:paraId="3B1C5F34">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auto" w:sz="4" w:space="0"/>
              <w:left w:val="single" w:color="auto" w:sz="4" w:space="0"/>
              <w:bottom w:val="single" w:color="auto" w:sz="4" w:space="0"/>
              <w:right w:val="single" w:color="auto" w:sz="4" w:space="0"/>
            </w:tcBorders>
            <w:vAlign w:val="center"/>
          </w:tcPr>
          <w:p w14:paraId="0598A8AE">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6BA150B4">
        <w:tblPrEx>
          <w:tblCellMar>
            <w:top w:w="0" w:type="dxa"/>
            <w:left w:w="108" w:type="dxa"/>
            <w:bottom w:w="0" w:type="dxa"/>
            <w:right w:w="108" w:type="dxa"/>
          </w:tblCellMar>
        </w:tblPrEx>
        <w:tc>
          <w:tcPr>
            <w:tcW w:w="751" w:type="dxa"/>
            <w:tcBorders>
              <w:top w:val="single" w:color="auto" w:sz="4" w:space="0"/>
              <w:left w:val="single" w:color="auto" w:sz="4" w:space="0"/>
              <w:bottom w:val="single" w:color="auto" w:sz="4" w:space="0"/>
              <w:right w:val="single" w:color="auto" w:sz="4" w:space="0"/>
            </w:tcBorders>
            <w:vAlign w:val="center"/>
          </w:tcPr>
          <w:p w14:paraId="22FE0367">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21</w:t>
            </w:r>
          </w:p>
        </w:tc>
        <w:tc>
          <w:tcPr>
            <w:tcW w:w="1091" w:type="dxa"/>
            <w:gridSpan w:val="2"/>
            <w:vMerge w:val="continue"/>
            <w:tcBorders>
              <w:left w:val="single" w:color="auto" w:sz="4" w:space="0"/>
              <w:right w:val="single" w:color="auto" w:sz="4" w:space="0"/>
            </w:tcBorders>
            <w:vAlign w:val="center"/>
          </w:tcPr>
          <w:p w14:paraId="715C9DA1">
            <w:pPr>
              <w:spacing w:line="400" w:lineRule="exact"/>
              <w:jc w:val="center"/>
              <w:rPr>
                <w:rFonts w:hint="default" w:ascii="Times New Roman" w:hAnsi="Times New Roman" w:eastAsia="仿宋_GB2312" w:cs="Times New Roman"/>
                <w:b/>
                <w:bCs/>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4CC63827">
            <w:pPr>
              <w:widowControl/>
              <w:spacing w:line="360" w:lineRule="exact"/>
              <w:jc w:val="left"/>
              <w:rPr>
                <w:rFonts w:hint="default" w:ascii="Times New Roman" w:hAnsi="Times New Roman" w:eastAsia="仿宋_GB2312" w:cs="Times New Roman"/>
                <w:color w:val="auto"/>
                <w:kern w:val="0"/>
                <w:sz w:val="24"/>
                <w:szCs w:val="24"/>
                <w:highlight w:val="none"/>
                <w:lang w:bidi="th-TH"/>
              </w:rPr>
            </w:pPr>
            <w:r>
              <w:rPr>
                <w:rFonts w:hint="default" w:ascii="Times New Roman" w:hAnsi="Times New Roman" w:eastAsia="仿宋_GB2312" w:cs="Times New Roman"/>
                <w:color w:val="auto"/>
                <w:kern w:val="0"/>
                <w:sz w:val="24"/>
                <w:szCs w:val="24"/>
                <w:highlight w:val="none"/>
                <w:lang w:bidi="th-TH"/>
              </w:rPr>
              <w:t>卫生间无积水、痰迹、异味，便器无堵塞、污垢，拖把池干净、整洁、无污迹。</w:t>
            </w:r>
          </w:p>
        </w:tc>
        <w:tc>
          <w:tcPr>
            <w:tcW w:w="830" w:type="dxa"/>
            <w:tcBorders>
              <w:top w:val="single" w:color="auto" w:sz="4" w:space="0"/>
              <w:left w:val="single" w:color="auto" w:sz="4" w:space="0"/>
              <w:bottom w:val="single" w:color="auto" w:sz="4" w:space="0"/>
              <w:right w:val="single" w:color="auto" w:sz="4" w:space="0"/>
            </w:tcBorders>
            <w:vAlign w:val="center"/>
          </w:tcPr>
          <w:p w14:paraId="0ED37581">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auto" w:sz="4" w:space="0"/>
              <w:left w:val="single" w:color="auto" w:sz="4" w:space="0"/>
              <w:bottom w:val="single" w:color="auto" w:sz="4" w:space="0"/>
              <w:right w:val="single" w:color="auto" w:sz="4" w:space="0"/>
            </w:tcBorders>
            <w:vAlign w:val="center"/>
          </w:tcPr>
          <w:p w14:paraId="49127960">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7495D332">
        <w:tblPrEx>
          <w:tblCellMar>
            <w:top w:w="0" w:type="dxa"/>
            <w:left w:w="108" w:type="dxa"/>
            <w:bottom w:w="0" w:type="dxa"/>
            <w:right w:w="108" w:type="dxa"/>
          </w:tblCellMar>
        </w:tblPrEx>
        <w:tc>
          <w:tcPr>
            <w:tcW w:w="751" w:type="dxa"/>
            <w:tcBorders>
              <w:top w:val="single" w:color="auto" w:sz="4" w:space="0"/>
              <w:left w:val="single" w:color="auto" w:sz="4" w:space="0"/>
              <w:bottom w:val="single" w:color="auto" w:sz="4" w:space="0"/>
              <w:right w:val="single" w:color="auto" w:sz="4" w:space="0"/>
            </w:tcBorders>
            <w:vAlign w:val="center"/>
          </w:tcPr>
          <w:p w14:paraId="304AC077">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22</w:t>
            </w:r>
          </w:p>
        </w:tc>
        <w:tc>
          <w:tcPr>
            <w:tcW w:w="1091" w:type="dxa"/>
            <w:gridSpan w:val="2"/>
            <w:vMerge w:val="continue"/>
            <w:tcBorders>
              <w:left w:val="single" w:color="auto" w:sz="4" w:space="0"/>
              <w:right w:val="single" w:color="auto" w:sz="4" w:space="0"/>
            </w:tcBorders>
            <w:vAlign w:val="center"/>
          </w:tcPr>
          <w:p w14:paraId="52372605">
            <w:pPr>
              <w:spacing w:line="400" w:lineRule="exact"/>
              <w:jc w:val="center"/>
              <w:rPr>
                <w:rFonts w:hint="default" w:ascii="Times New Roman" w:hAnsi="Times New Roman" w:eastAsia="仿宋_GB2312" w:cs="Times New Roman"/>
                <w:b/>
                <w:bCs/>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4DDA5B56">
            <w:pPr>
              <w:widowControl/>
              <w:spacing w:line="360" w:lineRule="exact"/>
              <w:jc w:val="left"/>
              <w:rPr>
                <w:rFonts w:hint="default" w:ascii="Times New Roman" w:hAnsi="Times New Roman" w:eastAsia="仿宋_GB2312" w:cs="Times New Roman"/>
                <w:color w:val="auto"/>
                <w:kern w:val="0"/>
                <w:sz w:val="24"/>
                <w:szCs w:val="24"/>
                <w:highlight w:val="none"/>
                <w:lang w:bidi="th-TH"/>
              </w:rPr>
            </w:pPr>
            <w:r>
              <w:rPr>
                <w:rFonts w:hint="default" w:ascii="Times New Roman" w:hAnsi="Times New Roman" w:eastAsia="仿宋_GB2312" w:cs="Times New Roman"/>
                <w:color w:val="auto"/>
                <w:kern w:val="0"/>
                <w:sz w:val="24"/>
                <w:szCs w:val="24"/>
                <w:highlight w:val="none"/>
                <w:lang w:bidi="th-TH"/>
              </w:rPr>
              <w:t>门、开关面板、消防器材箱〔管〕、宣传板及管道无灰尘、污渍、蜘蛛网，无乱贴乱挂宣传品及广告。</w:t>
            </w:r>
          </w:p>
        </w:tc>
        <w:tc>
          <w:tcPr>
            <w:tcW w:w="830" w:type="dxa"/>
            <w:tcBorders>
              <w:top w:val="single" w:color="auto" w:sz="4" w:space="0"/>
              <w:left w:val="single" w:color="auto" w:sz="4" w:space="0"/>
              <w:bottom w:val="single" w:color="auto" w:sz="4" w:space="0"/>
              <w:right w:val="single" w:color="auto" w:sz="4" w:space="0"/>
            </w:tcBorders>
            <w:vAlign w:val="center"/>
          </w:tcPr>
          <w:p w14:paraId="2046F19F">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auto" w:sz="4" w:space="0"/>
              <w:left w:val="single" w:color="auto" w:sz="4" w:space="0"/>
              <w:bottom w:val="single" w:color="auto" w:sz="4" w:space="0"/>
              <w:right w:val="single" w:color="auto" w:sz="4" w:space="0"/>
            </w:tcBorders>
            <w:vAlign w:val="center"/>
          </w:tcPr>
          <w:p w14:paraId="0CF530AF">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3DFB8DDD">
        <w:tblPrEx>
          <w:tblCellMar>
            <w:top w:w="0" w:type="dxa"/>
            <w:left w:w="108" w:type="dxa"/>
            <w:bottom w:w="0" w:type="dxa"/>
            <w:right w:w="108" w:type="dxa"/>
          </w:tblCellMar>
        </w:tblPrEx>
        <w:tc>
          <w:tcPr>
            <w:tcW w:w="751" w:type="dxa"/>
            <w:tcBorders>
              <w:top w:val="single" w:color="auto" w:sz="4" w:space="0"/>
              <w:left w:val="single" w:color="auto" w:sz="4" w:space="0"/>
              <w:bottom w:val="single" w:color="auto" w:sz="4" w:space="0"/>
              <w:right w:val="single" w:color="auto" w:sz="4" w:space="0"/>
            </w:tcBorders>
            <w:vAlign w:val="center"/>
          </w:tcPr>
          <w:p w14:paraId="3623475D">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23</w:t>
            </w:r>
          </w:p>
        </w:tc>
        <w:tc>
          <w:tcPr>
            <w:tcW w:w="1091" w:type="dxa"/>
            <w:gridSpan w:val="2"/>
            <w:vMerge w:val="continue"/>
            <w:tcBorders>
              <w:left w:val="single" w:color="auto" w:sz="4" w:space="0"/>
              <w:right w:val="single" w:color="auto" w:sz="4" w:space="0"/>
            </w:tcBorders>
            <w:vAlign w:val="center"/>
          </w:tcPr>
          <w:p w14:paraId="0CAFD55A">
            <w:pPr>
              <w:spacing w:line="400" w:lineRule="exact"/>
              <w:jc w:val="center"/>
              <w:rPr>
                <w:rFonts w:hint="default" w:ascii="Times New Roman" w:hAnsi="Times New Roman" w:eastAsia="仿宋_GB2312" w:cs="Times New Roman"/>
                <w:b/>
                <w:bCs/>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297273BC">
            <w:pPr>
              <w:widowControl/>
              <w:spacing w:line="360" w:lineRule="exact"/>
              <w:jc w:val="left"/>
              <w:rPr>
                <w:rFonts w:hint="default" w:ascii="Times New Roman" w:hAnsi="Times New Roman" w:eastAsia="仿宋_GB2312" w:cs="Times New Roman"/>
                <w:color w:val="auto"/>
                <w:kern w:val="0"/>
                <w:sz w:val="24"/>
                <w:szCs w:val="24"/>
                <w:highlight w:val="none"/>
                <w:lang w:bidi="th-TH"/>
              </w:rPr>
            </w:pPr>
            <w:r>
              <w:rPr>
                <w:rFonts w:hint="default" w:ascii="Times New Roman" w:hAnsi="Times New Roman" w:eastAsia="仿宋_GB2312" w:cs="Times New Roman"/>
                <w:color w:val="auto"/>
                <w:kern w:val="0"/>
                <w:sz w:val="24"/>
                <w:szCs w:val="24"/>
                <w:highlight w:val="none"/>
                <w:lang w:bidi="th-TH"/>
              </w:rPr>
              <w:t>垃圾房、垃圾桶内垃圾清运及时，垃圾桶干净整洁，校园内无卫生死角。</w:t>
            </w:r>
          </w:p>
        </w:tc>
        <w:tc>
          <w:tcPr>
            <w:tcW w:w="830" w:type="dxa"/>
            <w:tcBorders>
              <w:top w:val="single" w:color="auto" w:sz="4" w:space="0"/>
              <w:left w:val="single" w:color="auto" w:sz="4" w:space="0"/>
              <w:bottom w:val="single" w:color="auto" w:sz="4" w:space="0"/>
              <w:right w:val="single" w:color="auto" w:sz="4" w:space="0"/>
            </w:tcBorders>
            <w:vAlign w:val="center"/>
          </w:tcPr>
          <w:p w14:paraId="7ED3988A">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auto" w:sz="4" w:space="0"/>
              <w:left w:val="single" w:color="auto" w:sz="4" w:space="0"/>
              <w:bottom w:val="single" w:color="auto" w:sz="4" w:space="0"/>
              <w:right w:val="single" w:color="auto" w:sz="4" w:space="0"/>
            </w:tcBorders>
            <w:vAlign w:val="center"/>
          </w:tcPr>
          <w:p w14:paraId="36FB6C32">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5A81C2B2">
        <w:tblPrEx>
          <w:tblCellMar>
            <w:top w:w="0" w:type="dxa"/>
            <w:left w:w="108" w:type="dxa"/>
            <w:bottom w:w="0" w:type="dxa"/>
            <w:right w:w="108" w:type="dxa"/>
          </w:tblCellMar>
        </w:tblPrEx>
        <w:tc>
          <w:tcPr>
            <w:tcW w:w="751" w:type="dxa"/>
            <w:tcBorders>
              <w:top w:val="single" w:color="auto" w:sz="4" w:space="0"/>
              <w:left w:val="single" w:color="auto" w:sz="4" w:space="0"/>
              <w:bottom w:val="single" w:color="auto" w:sz="4" w:space="0"/>
              <w:right w:val="single" w:color="auto" w:sz="4" w:space="0"/>
            </w:tcBorders>
            <w:vAlign w:val="center"/>
          </w:tcPr>
          <w:p w14:paraId="3B64EBE0">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24</w:t>
            </w:r>
          </w:p>
        </w:tc>
        <w:tc>
          <w:tcPr>
            <w:tcW w:w="1091" w:type="dxa"/>
            <w:gridSpan w:val="2"/>
            <w:vMerge w:val="continue"/>
            <w:tcBorders>
              <w:left w:val="single" w:color="auto" w:sz="4" w:space="0"/>
              <w:right w:val="single" w:color="auto" w:sz="4" w:space="0"/>
            </w:tcBorders>
            <w:vAlign w:val="center"/>
          </w:tcPr>
          <w:p w14:paraId="12BC9650">
            <w:pPr>
              <w:spacing w:line="400" w:lineRule="exact"/>
              <w:jc w:val="center"/>
              <w:rPr>
                <w:rFonts w:hint="default" w:ascii="Times New Roman" w:hAnsi="Times New Roman" w:eastAsia="仿宋_GB2312" w:cs="Times New Roman"/>
                <w:b/>
                <w:bCs/>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10F19D2F">
            <w:pPr>
              <w:widowControl/>
              <w:spacing w:line="360" w:lineRule="exact"/>
              <w:jc w:val="left"/>
              <w:rPr>
                <w:rFonts w:hint="default" w:ascii="Times New Roman" w:hAnsi="Times New Roman" w:eastAsia="仿宋_GB2312" w:cs="Times New Roman"/>
                <w:color w:val="auto"/>
                <w:kern w:val="0"/>
                <w:sz w:val="24"/>
                <w:szCs w:val="24"/>
                <w:highlight w:val="none"/>
                <w:lang w:bidi="th-TH"/>
              </w:rPr>
            </w:pPr>
            <w:r>
              <w:rPr>
                <w:rFonts w:hint="default" w:ascii="Times New Roman" w:hAnsi="Times New Roman" w:eastAsia="仿宋_GB2312" w:cs="Times New Roman"/>
                <w:color w:val="auto"/>
                <w:kern w:val="0"/>
                <w:sz w:val="24"/>
                <w:szCs w:val="24"/>
                <w:highlight w:val="none"/>
                <w:lang w:bidi="th-TH"/>
              </w:rPr>
              <w:t>楼内大厅、走廊、楼梯、踢脚线光洁，无垃圾、灰尘、污渍，砖缝无积垢，地面无积水。</w:t>
            </w:r>
          </w:p>
        </w:tc>
        <w:tc>
          <w:tcPr>
            <w:tcW w:w="830" w:type="dxa"/>
            <w:tcBorders>
              <w:top w:val="single" w:color="auto" w:sz="4" w:space="0"/>
              <w:left w:val="single" w:color="auto" w:sz="4" w:space="0"/>
              <w:bottom w:val="single" w:color="auto" w:sz="4" w:space="0"/>
              <w:right w:val="single" w:color="auto" w:sz="4" w:space="0"/>
            </w:tcBorders>
            <w:vAlign w:val="center"/>
          </w:tcPr>
          <w:p w14:paraId="4672FB3E">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auto" w:sz="4" w:space="0"/>
              <w:left w:val="single" w:color="auto" w:sz="4" w:space="0"/>
              <w:bottom w:val="single" w:color="auto" w:sz="4" w:space="0"/>
              <w:right w:val="single" w:color="auto" w:sz="4" w:space="0"/>
            </w:tcBorders>
            <w:vAlign w:val="center"/>
          </w:tcPr>
          <w:p w14:paraId="0870B01A">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4B5550BC">
        <w:tblPrEx>
          <w:tblCellMar>
            <w:top w:w="0" w:type="dxa"/>
            <w:left w:w="108" w:type="dxa"/>
            <w:bottom w:w="0" w:type="dxa"/>
            <w:right w:w="108" w:type="dxa"/>
          </w:tblCellMar>
        </w:tblPrEx>
        <w:trPr>
          <w:trHeight w:val="227" w:hRule="atLeast"/>
        </w:trPr>
        <w:tc>
          <w:tcPr>
            <w:tcW w:w="751" w:type="dxa"/>
            <w:tcBorders>
              <w:top w:val="single" w:color="auto" w:sz="4" w:space="0"/>
              <w:left w:val="single" w:color="auto" w:sz="4" w:space="0"/>
              <w:bottom w:val="single" w:color="auto" w:sz="4" w:space="0"/>
              <w:right w:val="single" w:color="auto" w:sz="4" w:space="0"/>
            </w:tcBorders>
            <w:vAlign w:val="center"/>
          </w:tcPr>
          <w:p w14:paraId="27EB00D0">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1091" w:type="dxa"/>
            <w:gridSpan w:val="2"/>
            <w:vMerge w:val="continue"/>
            <w:tcBorders>
              <w:left w:val="single" w:color="auto" w:sz="4" w:space="0"/>
              <w:right w:val="single" w:color="auto" w:sz="4" w:space="0"/>
            </w:tcBorders>
            <w:vAlign w:val="center"/>
          </w:tcPr>
          <w:p w14:paraId="42A0EBF2">
            <w:pPr>
              <w:spacing w:line="400" w:lineRule="exact"/>
              <w:jc w:val="center"/>
              <w:rPr>
                <w:rFonts w:hint="default" w:ascii="Times New Roman" w:hAnsi="Times New Roman" w:eastAsia="仿宋_GB2312" w:cs="Times New Roman"/>
                <w:b/>
                <w:bCs/>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2B02BB39">
            <w:pPr>
              <w:widowControl/>
              <w:spacing w:line="360" w:lineRule="exact"/>
              <w:jc w:val="left"/>
              <w:rPr>
                <w:rFonts w:hint="default" w:ascii="Times New Roman" w:hAnsi="Times New Roman" w:eastAsia="仿宋_GB2312" w:cs="Times New Roman"/>
                <w:color w:val="auto"/>
                <w:kern w:val="0"/>
                <w:sz w:val="24"/>
                <w:szCs w:val="24"/>
                <w:highlight w:val="none"/>
                <w:lang w:bidi="th-TH"/>
              </w:rPr>
            </w:pPr>
            <w:r>
              <w:rPr>
                <w:rFonts w:hint="default" w:ascii="Times New Roman" w:hAnsi="Times New Roman" w:eastAsia="仿宋_GB2312" w:cs="Times New Roman"/>
                <w:color w:val="auto"/>
                <w:kern w:val="0"/>
                <w:sz w:val="24"/>
                <w:szCs w:val="24"/>
                <w:highlight w:val="none"/>
                <w:lang w:bidi="th-TH"/>
              </w:rPr>
              <w:t>走廊、楼道、校园路灯等灯具外表无灰尘、蜘蛛网。</w:t>
            </w:r>
          </w:p>
        </w:tc>
        <w:tc>
          <w:tcPr>
            <w:tcW w:w="830" w:type="dxa"/>
            <w:tcBorders>
              <w:top w:val="single" w:color="auto" w:sz="4" w:space="0"/>
              <w:left w:val="single" w:color="auto" w:sz="4" w:space="0"/>
              <w:bottom w:val="single" w:color="auto" w:sz="4" w:space="0"/>
              <w:right w:val="single" w:color="auto" w:sz="4" w:space="0"/>
            </w:tcBorders>
            <w:vAlign w:val="center"/>
          </w:tcPr>
          <w:p w14:paraId="473A2F65">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auto" w:sz="4" w:space="0"/>
              <w:left w:val="single" w:color="auto" w:sz="4" w:space="0"/>
              <w:bottom w:val="single" w:color="auto" w:sz="4" w:space="0"/>
              <w:right w:val="single" w:color="auto" w:sz="4" w:space="0"/>
            </w:tcBorders>
            <w:vAlign w:val="center"/>
          </w:tcPr>
          <w:p w14:paraId="1779EB96">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671EE3B7">
        <w:tblPrEx>
          <w:tblCellMar>
            <w:top w:w="0" w:type="dxa"/>
            <w:left w:w="108" w:type="dxa"/>
            <w:bottom w:w="0" w:type="dxa"/>
            <w:right w:w="108" w:type="dxa"/>
          </w:tblCellMar>
        </w:tblPrEx>
        <w:trPr>
          <w:trHeight w:val="227" w:hRule="atLeast"/>
        </w:trPr>
        <w:tc>
          <w:tcPr>
            <w:tcW w:w="751" w:type="dxa"/>
            <w:tcBorders>
              <w:top w:val="single" w:color="auto" w:sz="4" w:space="0"/>
              <w:left w:val="single" w:color="auto" w:sz="4" w:space="0"/>
              <w:bottom w:val="single" w:color="auto" w:sz="4" w:space="0"/>
              <w:right w:val="single" w:color="auto" w:sz="4" w:space="0"/>
            </w:tcBorders>
            <w:vAlign w:val="center"/>
          </w:tcPr>
          <w:p w14:paraId="40CD4B96">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26</w:t>
            </w:r>
          </w:p>
        </w:tc>
        <w:tc>
          <w:tcPr>
            <w:tcW w:w="1091" w:type="dxa"/>
            <w:gridSpan w:val="2"/>
            <w:vMerge w:val="continue"/>
            <w:tcBorders>
              <w:left w:val="single" w:color="auto" w:sz="4" w:space="0"/>
              <w:right w:val="single" w:color="auto" w:sz="4" w:space="0"/>
            </w:tcBorders>
            <w:vAlign w:val="center"/>
          </w:tcPr>
          <w:p w14:paraId="589F6966">
            <w:pPr>
              <w:spacing w:line="400" w:lineRule="exact"/>
              <w:jc w:val="center"/>
              <w:rPr>
                <w:rFonts w:hint="default" w:ascii="Times New Roman" w:hAnsi="Times New Roman" w:eastAsia="仿宋_GB2312" w:cs="Times New Roman"/>
                <w:b/>
                <w:bCs/>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6503D5BE">
            <w:pPr>
              <w:widowControl/>
              <w:spacing w:line="360" w:lineRule="exact"/>
              <w:jc w:val="left"/>
              <w:rPr>
                <w:rFonts w:hint="default" w:ascii="Times New Roman" w:hAnsi="Times New Roman" w:eastAsia="仿宋_GB2312" w:cs="Times New Roman"/>
                <w:color w:val="auto"/>
                <w:kern w:val="0"/>
                <w:sz w:val="24"/>
                <w:szCs w:val="24"/>
                <w:highlight w:val="none"/>
                <w:lang w:bidi="th-TH"/>
              </w:rPr>
            </w:pPr>
            <w:r>
              <w:rPr>
                <w:rFonts w:hint="default" w:ascii="Times New Roman" w:hAnsi="Times New Roman" w:eastAsia="仿宋_GB2312" w:cs="Times New Roman"/>
                <w:color w:val="auto"/>
                <w:sz w:val="24"/>
                <w:szCs w:val="24"/>
                <w:highlight w:val="none"/>
              </w:rPr>
              <w:t>楼宇周边，要保持环境整洁、各种车辆整齐有序</w:t>
            </w:r>
            <w:r>
              <w:rPr>
                <w:rFonts w:hint="default" w:ascii="Times New Roman" w:hAnsi="Times New Roman" w:eastAsia="仿宋_GB2312" w:cs="Times New Roman"/>
                <w:color w:val="auto"/>
                <w:kern w:val="0"/>
                <w:sz w:val="24"/>
                <w:szCs w:val="24"/>
                <w:highlight w:val="none"/>
                <w:lang w:bidi="th-TH"/>
              </w:rPr>
              <w:t>。</w:t>
            </w:r>
          </w:p>
        </w:tc>
        <w:tc>
          <w:tcPr>
            <w:tcW w:w="830" w:type="dxa"/>
            <w:tcBorders>
              <w:top w:val="single" w:color="auto" w:sz="4" w:space="0"/>
              <w:left w:val="single" w:color="auto" w:sz="4" w:space="0"/>
              <w:bottom w:val="single" w:color="auto" w:sz="4" w:space="0"/>
              <w:right w:val="single" w:color="auto" w:sz="4" w:space="0"/>
            </w:tcBorders>
            <w:vAlign w:val="center"/>
          </w:tcPr>
          <w:p w14:paraId="5261EF09">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auto" w:sz="4" w:space="0"/>
              <w:left w:val="single" w:color="auto" w:sz="4" w:space="0"/>
              <w:bottom w:val="single" w:color="auto" w:sz="4" w:space="0"/>
              <w:right w:val="single" w:color="auto" w:sz="4" w:space="0"/>
            </w:tcBorders>
            <w:vAlign w:val="center"/>
          </w:tcPr>
          <w:p w14:paraId="37D29989">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4889795B">
        <w:tblPrEx>
          <w:tblCellMar>
            <w:top w:w="0" w:type="dxa"/>
            <w:left w:w="108" w:type="dxa"/>
            <w:bottom w:w="0" w:type="dxa"/>
            <w:right w:w="108" w:type="dxa"/>
          </w:tblCellMar>
        </w:tblPrEx>
        <w:trPr>
          <w:trHeight w:val="227" w:hRule="atLeast"/>
        </w:trPr>
        <w:tc>
          <w:tcPr>
            <w:tcW w:w="751" w:type="dxa"/>
            <w:tcBorders>
              <w:top w:val="single" w:color="auto" w:sz="4" w:space="0"/>
              <w:left w:val="single" w:color="auto" w:sz="4" w:space="0"/>
              <w:bottom w:val="single" w:color="auto" w:sz="4" w:space="0"/>
              <w:right w:val="single" w:color="auto" w:sz="4" w:space="0"/>
            </w:tcBorders>
            <w:vAlign w:val="center"/>
          </w:tcPr>
          <w:p w14:paraId="45C3294D">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27</w:t>
            </w:r>
          </w:p>
        </w:tc>
        <w:tc>
          <w:tcPr>
            <w:tcW w:w="1091" w:type="dxa"/>
            <w:gridSpan w:val="2"/>
            <w:vMerge w:val="continue"/>
            <w:tcBorders>
              <w:left w:val="single" w:color="auto" w:sz="4" w:space="0"/>
              <w:right w:val="single" w:color="auto" w:sz="4" w:space="0"/>
            </w:tcBorders>
            <w:vAlign w:val="center"/>
          </w:tcPr>
          <w:p w14:paraId="72232C36">
            <w:pPr>
              <w:spacing w:line="400" w:lineRule="exact"/>
              <w:jc w:val="center"/>
              <w:rPr>
                <w:rFonts w:hint="default" w:ascii="Times New Roman" w:hAnsi="Times New Roman" w:eastAsia="仿宋_GB2312" w:cs="Times New Roman"/>
                <w:b/>
                <w:bCs/>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5B0658AF">
            <w:pPr>
              <w:widowControl/>
              <w:spacing w:line="360" w:lineRule="exact"/>
              <w:jc w:val="left"/>
              <w:rPr>
                <w:rFonts w:hint="default" w:ascii="Times New Roman" w:hAnsi="Times New Roman" w:eastAsia="仿宋_GB2312" w:cs="Times New Roman"/>
                <w:color w:val="auto"/>
                <w:kern w:val="0"/>
                <w:sz w:val="24"/>
                <w:szCs w:val="24"/>
                <w:highlight w:val="none"/>
                <w:lang w:bidi="th-TH"/>
              </w:rPr>
            </w:pPr>
            <w:r>
              <w:rPr>
                <w:rFonts w:hint="default" w:ascii="Times New Roman" w:hAnsi="Times New Roman" w:eastAsia="仿宋_GB2312" w:cs="Times New Roman"/>
                <w:color w:val="auto"/>
                <w:kern w:val="0"/>
                <w:sz w:val="24"/>
                <w:szCs w:val="24"/>
                <w:highlight w:val="none"/>
                <w:lang w:bidi="th-TH"/>
              </w:rPr>
              <w:t>各类卫生工具摆放整齐，工具房干净整洁。</w:t>
            </w:r>
          </w:p>
        </w:tc>
        <w:tc>
          <w:tcPr>
            <w:tcW w:w="830" w:type="dxa"/>
            <w:tcBorders>
              <w:top w:val="single" w:color="auto" w:sz="4" w:space="0"/>
              <w:left w:val="single" w:color="auto" w:sz="4" w:space="0"/>
              <w:bottom w:val="single" w:color="auto" w:sz="4" w:space="0"/>
              <w:right w:val="single" w:color="auto" w:sz="4" w:space="0"/>
            </w:tcBorders>
            <w:vAlign w:val="center"/>
          </w:tcPr>
          <w:p w14:paraId="7651FD58">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auto" w:sz="4" w:space="0"/>
              <w:left w:val="single" w:color="auto" w:sz="4" w:space="0"/>
              <w:bottom w:val="single" w:color="auto" w:sz="4" w:space="0"/>
              <w:right w:val="single" w:color="auto" w:sz="4" w:space="0"/>
            </w:tcBorders>
            <w:vAlign w:val="center"/>
          </w:tcPr>
          <w:p w14:paraId="057A46EE">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339AE4EC">
        <w:tblPrEx>
          <w:tblCellMar>
            <w:top w:w="0" w:type="dxa"/>
            <w:left w:w="108" w:type="dxa"/>
            <w:bottom w:w="0" w:type="dxa"/>
            <w:right w:w="108" w:type="dxa"/>
          </w:tblCellMar>
        </w:tblPrEx>
        <w:tc>
          <w:tcPr>
            <w:tcW w:w="751" w:type="dxa"/>
            <w:tcBorders>
              <w:top w:val="single" w:color="auto" w:sz="4" w:space="0"/>
              <w:left w:val="single" w:color="auto" w:sz="4" w:space="0"/>
              <w:bottom w:val="single" w:color="auto" w:sz="4" w:space="0"/>
              <w:right w:val="single" w:color="auto" w:sz="4" w:space="0"/>
            </w:tcBorders>
            <w:vAlign w:val="center"/>
          </w:tcPr>
          <w:p w14:paraId="00D0E385">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28</w:t>
            </w:r>
          </w:p>
        </w:tc>
        <w:tc>
          <w:tcPr>
            <w:tcW w:w="1091" w:type="dxa"/>
            <w:gridSpan w:val="2"/>
            <w:vMerge w:val="continue"/>
            <w:tcBorders>
              <w:left w:val="single" w:color="auto" w:sz="4" w:space="0"/>
              <w:right w:val="single" w:color="auto" w:sz="4" w:space="0"/>
            </w:tcBorders>
            <w:vAlign w:val="center"/>
          </w:tcPr>
          <w:p w14:paraId="12EC4133">
            <w:pPr>
              <w:spacing w:line="400" w:lineRule="exact"/>
              <w:jc w:val="center"/>
              <w:rPr>
                <w:rFonts w:hint="default" w:ascii="Times New Roman" w:hAnsi="Times New Roman" w:eastAsia="仿宋_GB2312" w:cs="Times New Roman"/>
                <w:b/>
                <w:bCs/>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599CD633">
            <w:pPr>
              <w:widowControl/>
              <w:spacing w:line="360" w:lineRule="exact"/>
              <w:jc w:val="left"/>
              <w:rPr>
                <w:rFonts w:hint="default" w:ascii="Times New Roman" w:hAnsi="Times New Roman" w:eastAsia="仿宋_GB2312" w:cs="Times New Roman"/>
                <w:color w:val="auto"/>
                <w:kern w:val="0"/>
                <w:sz w:val="24"/>
                <w:szCs w:val="24"/>
                <w:highlight w:val="none"/>
                <w:lang w:bidi="th-TH"/>
              </w:rPr>
            </w:pPr>
            <w:r>
              <w:rPr>
                <w:rFonts w:hint="default" w:ascii="Times New Roman" w:hAnsi="Times New Roman" w:eastAsia="仿宋_GB2312" w:cs="Times New Roman"/>
                <w:color w:val="auto"/>
                <w:kern w:val="0"/>
                <w:sz w:val="24"/>
                <w:szCs w:val="24"/>
                <w:highlight w:val="none"/>
                <w:lang w:bidi="th-TH"/>
              </w:rPr>
              <w:t>平台及顶楼卫生每月检查一次，确保下水管畅通、无杂物，并记录存档。</w:t>
            </w:r>
          </w:p>
        </w:tc>
        <w:tc>
          <w:tcPr>
            <w:tcW w:w="830" w:type="dxa"/>
            <w:tcBorders>
              <w:top w:val="single" w:color="auto" w:sz="4" w:space="0"/>
              <w:left w:val="single" w:color="auto" w:sz="4" w:space="0"/>
              <w:bottom w:val="single" w:color="auto" w:sz="4" w:space="0"/>
              <w:right w:val="single" w:color="auto" w:sz="4" w:space="0"/>
            </w:tcBorders>
            <w:vAlign w:val="center"/>
          </w:tcPr>
          <w:p w14:paraId="50357944">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2.5</w:t>
            </w:r>
          </w:p>
        </w:tc>
        <w:tc>
          <w:tcPr>
            <w:tcW w:w="794" w:type="dxa"/>
            <w:tcBorders>
              <w:top w:val="single" w:color="auto" w:sz="4" w:space="0"/>
              <w:left w:val="single" w:color="auto" w:sz="4" w:space="0"/>
              <w:bottom w:val="single" w:color="auto" w:sz="4" w:space="0"/>
              <w:right w:val="single" w:color="auto" w:sz="4" w:space="0"/>
            </w:tcBorders>
            <w:vAlign w:val="center"/>
          </w:tcPr>
          <w:p w14:paraId="141E4EA6">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64E8C6DC">
        <w:tblPrEx>
          <w:tblCellMar>
            <w:top w:w="0" w:type="dxa"/>
            <w:left w:w="108" w:type="dxa"/>
            <w:bottom w:w="0" w:type="dxa"/>
            <w:right w:w="108" w:type="dxa"/>
          </w:tblCellMar>
        </w:tblPrEx>
        <w:tc>
          <w:tcPr>
            <w:tcW w:w="751" w:type="dxa"/>
            <w:tcBorders>
              <w:top w:val="single" w:color="auto" w:sz="4" w:space="0"/>
              <w:left w:val="single" w:color="auto" w:sz="4" w:space="0"/>
              <w:bottom w:val="single" w:color="auto" w:sz="4" w:space="0"/>
              <w:right w:val="single" w:color="auto" w:sz="4" w:space="0"/>
            </w:tcBorders>
            <w:vAlign w:val="center"/>
          </w:tcPr>
          <w:p w14:paraId="18936EB2">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29</w:t>
            </w:r>
          </w:p>
        </w:tc>
        <w:tc>
          <w:tcPr>
            <w:tcW w:w="1091" w:type="dxa"/>
            <w:gridSpan w:val="2"/>
            <w:vMerge w:val="restart"/>
            <w:tcBorders>
              <w:top w:val="single" w:color="auto" w:sz="4" w:space="0"/>
              <w:left w:val="single" w:color="auto" w:sz="4" w:space="0"/>
              <w:right w:val="single" w:color="auto" w:sz="4" w:space="0"/>
            </w:tcBorders>
            <w:vAlign w:val="center"/>
          </w:tcPr>
          <w:p w14:paraId="60B8ECF4">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综合</w:t>
            </w:r>
          </w:p>
          <w:p w14:paraId="04C50D84">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管理</w:t>
            </w: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3A123AAF">
            <w:pPr>
              <w:widowControl/>
              <w:spacing w:line="360" w:lineRule="exact"/>
              <w:jc w:val="left"/>
              <w:rPr>
                <w:rFonts w:hint="default" w:ascii="Times New Roman" w:hAnsi="Times New Roman" w:eastAsia="仿宋_GB2312" w:cs="Times New Roman"/>
                <w:color w:val="auto"/>
                <w:kern w:val="0"/>
                <w:sz w:val="24"/>
                <w:szCs w:val="24"/>
                <w:highlight w:val="none"/>
                <w:lang w:bidi="th-TH"/>
              </w:rPr>
            </w:pPr>
            <w:r>
              <w:rPr>
                <w:rFonts w:hint="default" w:ascii="Times New Roman" w:hAnsi="Times New Roman" w:eastAsia="仿宋_GB2312" w:cs="Times New Roman"/>
                <w:color w:val="auto"/>
                <w:kern w:val="0"/>
                <w:sz w:val="24"/>
                <w:szCs w:val="24"/>
                <w:highlight w:val="none"/>
                <w:lang w:bidi="th-TH"/>
              </w:rPr>
              <w:t>组织架构明确，分工明确，合理配备人员。</w:t>
            </w:r>
          </w:p>
        </w:tc>
        <w:tc>
          <w:tcPr>
            <w:tcW w:w="830" w:type="dxa"/>
            <w:tcBorders>
              <w:top w:val="single" w:color="auto" w:sz="4" w:space="0"/>
              <w:left w:val="single" w:color="auto" w:sz="4" w:space="0"/>
              <w:bottom w:val="single" w:color="auto" w:sz="4" w:space="0"/>
              <w:right w:val="single" w:color="auto" w:sz="4" w:space="0"/>
            </w:tcBorders>
            <w:vAlign w:val="center"/>
          </w:tcPr>
          <w:p w14:paraId="0D5ABCB6">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w:t>
            </w:r>
          </w:p>
        </w:tc>
        <w:tc>
          <w:tcPr>
            <w:tcW w:w="794" w:type="dxa"/>
            <w:tcBorders>
              <w:top w:val="single" w:color="auto" w:sz="4" w:space="0"/>
              <w:left w:val="single" w:color="auto" w:sz="4" w:space="0"/>
              <w:bottom w:val="single" w:color="auto" w:sz="4" w:space="0"/>
              <w:right w:val="single" w:color="auto" w:sz="4" w:space="0"/>
            </w:tcBorders>
            <w:vAlign w:val="center"/>
          </w:tcPr>
          <w:p w14:paraId="7B2AFA8E">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0ECD2BD0">
        <w:tblPrEx>
          <w:tblCellMar>
            <w:top w:w="0" w:type="dxa"/>
            <w:left w:w="108" w:type="dxa"/>
            <w:bottom w:w="0" w:type="dxa"/>
            <w:right w:w="108" w:type="dxa"/>
          </w:tblCellMar>
        </w:tblPrEx>
        <w:tc>
          <w:tcPr>
            <w:tcW w:w="751" w:type="dxa"/>
            <w:tcBorders>
              <w:top w:val="single" w:color="auto" w:sz="4" w:space="0"/>
              <w:left w:val="single" w:color="auto" w:sz="4" w:space="0"/>
              <w:bottom w:val="single" w:color="auto" w:sz="4" w:space="0"/>
              <w:right w:val="single" w:color="auto" w:sz="4" w:space="0"/>
            </w:tcBorders>
            <w:vAlign w:val="center"/>
          </w:tcPr>
          <w:p w14:paraId="023CA7DD">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30</w:t>
            </w:r>
          </w:p>
        </w:tc>
        <w:tc>
          <w:tcPr>
            <w:tcW w:w="1091" w:type="dxa"/>
            <w:gridSpan w:val="2"/>
            <w:vMerge w:val="continue"/>
            <w:tcBorders>
              <w:left w:val="single" w:color="auto" w:sz="4" w:space="0"/>
              <w:right w:val="single" w:color="auto" w:sz="4" w:space="0"/>
            </w:tcBorders>
            <w:vAlign w:val="center"/>
          </w:tcPr>
          <w:p w14:paraId="1EB9C0E9">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5C48166C">
            <w:pPr>
              <w:widowControl/>
              <w:spacing w:line="360" w:lineRule="exact"/>
              <w:jc w:val="left"/>
              <w:rPr>
                <w:rFonts w:hint="default" w:ascii="Times New Roman" w:hAnsi="Times New Roman" w:eastAsia="仿宋_GB2312" w:cs="Times New Roman"/>
                <w:color w:val="auto"/>
                <w:kern w:val="0"/>
                <w:sz w:val="24"/>
                <w:szCs w:val="24"/>
                <w:highlight w:val="none"/>
                <w:lang w:bidi="th-TH"/>
              </w:rPr>
            </w:pPr>
            <w:r>
              <w:rPr>
                <w:rFonts w:hint="default" w:ascii="Times New Roman" w:hAnsi="Times New Roman" w:eastAsia="仿宋_GB2312" w:cs="Times New Roman"/>
                <w:color w:val="auto"/>
                <w:kern w:val="0"/>
                <w:sz w:val="24"/>
                <w:szCs w:val="24"/>
                <w:highlight w:val="none"/>
                <w:lang w:bidi="th-TH"/>
              </w:rPr>
              <w:t>建立、健全各项规章制度〔《职工管理制度》、《安全管理制度》、《检查考核制度》、《奖惩制度》、《报告制度》等〕。</w:t>
            </w:r>
          </w:p>
        </w:tc>
        <w:tc>
          <w:tcPr>
            <w:tcW w:w="830" w:type="dxa"/>
            <w:tcBorders>
              <w:top w:val="single" w:color="auto" w:sz="4" w:space="0"/>
              <w:left w:val="single" w:color="auto" w:sz="4" w:space="0"/>
              <w:bottom w:val="single" w:color="auto" w:sz="4" w:space="0"/>
              <w:right w:val="single" w:color="auto" w:sz="4" w:space="0"/>
            </w:tcBorders>
            <w:vAlign w:val="center"/>
          </w:tcPr>
          <w:p w14:paraId="1413DBA1">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w:t>
            </w:r>
          </w:p>
        </w:tc>
        <w:tc>
          <w:tcPr>
            <w:tcW w:w="794" w:type="dxa"/>
            <w:tcBorders>
              <w:top w:val="single" w:color="auto" w:sz="4" w:space="0"/>
              <w:left w:val="single" w:color="auto" w:sz="4" w:space="0"/>
              <w:bottom w:val="single" w:color="auto" w:sz="4" w:space="0"/>
              <w:right w:val="single" w:color="auto" w:sz="4" w:space="0"/>
            </w:tcBorders>
            <w:vAlign w:val="center"/>
          </w:tcPr>
          <w:p w14:paraId="7E419F2B">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51AEFD4A">
        <w:tblPrEx>
          <w:tblCellMar>
            <w:top w:w="0" w:type="dxa"/>
            <w:left w:w="108" w:type="dxa"/>
            <w:bottom w:w="0" w:type="dxa"/>
            <w:right w:w="108" w:type="dxa"/>
          </w:tblCellMar>
        </w:tblPrEx>
        <w:tc>
          <w:tcPr>
            <w:tcW w:w="751" w:type="dxa"/>
            <w:tcBorders>
              <w:top w:val="single" w:color="auto" w:sz="4" w:space="0"/>
              <w:left w:val="single" w:color="auto" w:sz="4" w:space="0"/>
              <w:bottom w:val="single" w:color="auto" w:sz="4" w:space="0"/>
              <w:right w:val="single" w:color="auto" w:sz="4" w:space="0"/>
            </w:tcBorders>
            <w:vAlign w:val="center"/>
          </w:tcPr>
          <w:p w14:paraId="75217D91">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31</w:t>
            </w:r>
          </w:p>
        </w:tc>
        <w:tc>
          <w:tcPr>
            <w:tcW w:w="1091" w:type="dxa"/>
            <w:gridSpan w:val="2"/>
            <w:vMerge w:val="continue"/>
            <w:tcBorders>
              <w:left w:val="single" w:color="auto" w:sz="4" w:space="0"/>
              <w:right w:val="single" w:color="auto" w:sz="4" w:space="0"/>
            </w:tcBorders>
            <w:vAlign w:val="center"/>
          </w:tcPr>
          <w:p w14:paraId="6DA5CD50">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3B791A3F">
            <w:pPr>
              <w:widowControl/>
              <w:spacing w:line="360" w:lineRule="exact"/>
              <w:jc w:val="left"/>
              <w:rPr>
                <w:rFonts w:hint="default" w:ascii="Times New Roman" w:hAnsi="Times New Roman" w:eastAsia="仿宋_GB2312" w:cs="Times New Roman"/>
                <w:color w:val="auto"/>
                <w:kern w:val="0"/>
                <w:sz w:val="24"/>
                <w:szCs w:val="24"/>
                <w:highlight w:val="none"/>
                <w:lang w:bidi="th-TH"/>
              </w:rPr>
            </w:pPr>
            <w:r>
              <w:rPr>
                <w:rFonts w:hint="default" w:ascii="Times New Roman" w:hAnsi="Times New Roman" w:eastAsia="仿宋_GB2312" w:cs="Times New Roman"/>
                <w:color w:val="auto"/>
                <w:kern w:val="0"/>
                <w:sz w:val="24"/>
                <w:szCs w:val="24"/>
                <w:highlight w:val="none"/>
                <w:lang w:bidi="th-TH"/>
              </w:rPr>
              <w:t>工作态度端正，能积极主动配合、执行学校及公司领导安排的其他工作。</w:t>
            </w:r>
          </w:p>
        </w:tc>
        <w:tc>
          <w:tcPr>
            <w:tcW w:w="830" w:type="dxa"/>
            <w:tcBorders>
              <w:top w:val="single" w:color="auto" w:sz="4" w:space="0"/>
              <w:left w:val="single" w:color="auto" w:sz="4" w:space="0"/>
              <w:bottom w:val="single" w:color="auto" w:sz="4" w:space="0"/>
              <w:right w:val="single" w:color="auto" w:sz="4" w:space="0"/>
            </w:tcBorders>
            <w:vAlign w:val="center"/>
          </w:tcPr>
          <w:p w14:paraId="4F1044CF">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w:t>
            </w:r>
          </w:p>
        </w:tc>
        <w:tc>
          <w:tcPr>
            <w:tcW w:w="794" w:type="dxa"/>
            <w:tcBorders>
              <w:top w:val="single" w:color="auto" w:sz="4" w:space="0"/>
              <w:left w:val="single" w:color="auto" w:sz="4" w:space="0"/>
              <w:bottom w:val="single" w:color="auto" w:sz="4" w:space="0"/>
              <w:right w:val="single" w:color="auto" w:sz="4" w:space="0"/>
            </w:tcBorders>
            <w:vAlign w:val="center"/>
          </w:tcPr>
          <w:p w14:paraId="121C0E1B">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59F46BF9">
        <w:tblPrEx>
          <w:tblCellMar>
            <w:top w:w="0" w:type="dxa"/>
            <w:left w:w="108" w:type="dxa"/>
            <w:bottom w:w="0" w:type="dxa"/>
            <w:right w:w="108" w:type="dxa"/>
          </w:tblCellMar>
        </w:tblPrEx>
        <w:tc>
          <w:tcPr>
            <w:tcW w:w="751" w:type="dxa"/>
            <w:tcBorders>
              <w:top w:val="single" w:color="auto" w:sz="4" w:space="0"/>
              <w:left w:val="single" w:color="auto" w:sz="4" w:space="0"/>
              <w:bottom w:val="single" w:color="auto" w:sz="4" w:space="0"/>
              <w:right w:val="single" w:color="auto" w:sz="4" w:space="0"/>
            </w:tcBorders>
            <w:vAlign w:val="center"/>
          </w:tcPr>
          <w:p w14:paraId="152532AF">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32</w:t>
            </w:r>
          </w:p>
        </w:tc>
        <w:tc>
          <w:tcPr>
            <w:tcW w:w="1091" w:type="dxa"/>
            <w:gridSpan w:val="2"/>
            <w:vMerge w:val="continue"/>
            <w:tcBorders>
              <w:left w:val="single" w:color="auto" w:sz="4" w:space="0"/>
              <w:right w:val="single" w:color="auto" w:sz="4" w:space="0"/>
            </w:tcBorders>
            <w:vAlign w:val="center"/>
          </w:tcPr>
          <w:p w14:paraId="5DC153DC">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795040F0">
            <w:pPr>
              <w:widowControl/>
              <w:spacing w:line="360" w:lineRule="exact"/>
              <w:jc w:val="left"/>
              <w:rPr>
                <w:rFonts w:hint="default" w:ascii="Times New Roman" w:hAnsi="Times New Roman" w:eastAsia="仿宋_GB2312" w:cs="Times New Roman"/>
                <w:color w:val="auto"/>
                <w:kern w:val="0"/>
                <w:sz w:val="24"/>
                <w:szCs w:val="24"/>
                <w:highlight w:val="none"/>
                <w:lang w:bidi="th-TH"/>
              </w:rPr>
            </w:pPr>
            <w:r>
              <w:rPr>
                <w:rFonts w:hint="default" w:ascii="Times New Roman" w:hAnsi="Times New Roman" w:eastAsia="仿宋_GB2312" w:cs="Times New Roman"/>
                <w:color w:val="auto"/>
                <w:kern w:val="0"/>
                <w:sz w:val="24"/>
                <w:szCs w:val="24"/>
                <w:highlight w:val="none"/>
                <w:lang w:bidi="th-TH"/>
              </w:rPr>
              <w:t>穿工作服、戴工号牌，整体形象干净、整洁，使用文明用语，态度和蔼，礼貌待人。</w:t>
            </w:r>
          </w:p>
        </w:tc>
        <w:tc>
          <w:tcPr>
            <w:tcW w:w="830" w:type="dxa"/>
            <w:tcBorders>
              <w:top w:val="single" w:color="auto" w:sz="4" w:space="0"/>
              <w:left w:val="single" w:color="auto" w:sz="4" w:space="0"/>
              <w:bottom w:val="single" w:color="auto" w:sz="4" w:space="0"/>
              <w:right w:val="single" w:color="auto" w:sz="4" w:space="0"/>
            </w:tcBorders>
            <w:vAlign w:val="center"/>
          </w:tcPr>
          <w:p w14:paraId="188C0CBC">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w:t>
            </w:r>
          </w:p>
        </w:tc>
        <w:tc>
          <w:tcPr>
            <w:tcW w:w="794" w:type="dxa"/>
            <w:tcBorders>
              <w:top w:val="single" w:color="auto" w:sz="4" w:space="0"/>
              <w:left w:val="single" w:color="auto" w:sz="4" w:space="0"/>
              <w:bottom w:val="single" w:color="auto" w:sz="4" w:space="0"/>
              <w:right w:val="single" w:color="auto" w:sz="4" w:space="0"/>
            </w:tcBorders>
            <w:vAlign w:val="center"/>
          </w:tcPr>
          <w:p w14:paraId="1D8B7ED0">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7CD210E3">
        <w:tblPrEx>
          <w:tblCellMar>
            <w:top w:w="0" w:type="dxa"/>
            <w:left w:w="108" w:type="dxa"/>
            <w:bottom w:w="0" w:type="dxa"/>
            <w:right w:w="108" w:type="dxa"/>
          </w:tblCellMar>
        </w:tblPrEx>
        <w:tc>
          <w:tcPr>
            <w:tcW w:w="751" w:type="dxa"/>
            <w:tcBorders>
              <w:top w:val="single" w:color="auto" w:sz="4" w:space="0"/>
              <w:left w:val="single" w:color="auto" w:sz="4" w:space="0"/>
              <w:bottom w:val="single" w:color="auto" w:sz="4" w:space="0"/>
              <w:right w:val="single" w:color="auto" w:sz="4" w:space="0"/>
            </w:tcBorders>
            <w:vAlign w:val="center"/>
          </w:tcPr>
          <w:p w14:paraId="42D610EA">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33</w:t>
            </w:r>
          </w:p>
        </w:tc>
        <w:tc>
          <w:tcPr>
            <w:tcW w:w="1091" w:type="dxa"/>
            <w:gridSpan w:val="2"/>
            <w:vMerge w:val="continue"/>
            <w:tcBorders>
              <w:left w:val="single" w:color="auto" w:sz="4" w:space="0"/>
              <w:right w:val="single" w:color="auto" w:sz="4" w:space="0"/>
            </w:tcBorders>
            <w:vAlign w:val="center"/>
          </w:tcPr>
          <w:p w14:paraId="2936EC9E">
            <w:pPr>
              <w:spacing w:line="400" w:lineRule="exact"/>
              <w:jc w:val="center"/>
              <w:rPr>
                <w:rFonts w:hint="default" w:ascii="Times New Roman" w:hAnsi="Times New Roman" w:eastAsia="仿宋_GB2312" w:cs="Times New Roman"/>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070243F6">
            <w:pPr>
              <w:widowControl/>
              <w:spacing w:line="360" w:lineRule="exact"/>
              <w:jc w:val="left"/>
              <w:rPr>
                <w:rFonts w:hint="default" w:ascii="Times New Roman" w:hAnsi="Times New Roman" w:eastAsia="仿宋_GB2312" w:cs="Times New Roman"/>
                <w:color w:val="auto"/>
                <w:kern w:val="0"/>
                <w:sz w:val="24"/>
                <w:szCs w:val="24"/>
                <w:highlight w:val="none"/>
                <w:lang w:bidi="th-TH"/>
              </w:rPr>
            </w:pPr>
            <w:r>
              <w:rPr>
                <w:rFonts w:hint="default" w:ascii="Times New Roman" w:hAnsi="Times New Roman" w:eastAsia="仿宋_GB2312" w:cs="Times New Roman"/>
                <w:color w:val="auto"/>
                <w:kern w:val="0"/>
                <w:sz w:val="24"/>
                <w:szCs w:val="24"/>
                <w:highlight w:val="none"/>
                <w:lang w:bidi="th-TH"/>
              </w:rPr>
              <w:t>上班期间严格遵守工作纪律，不抽烟、喝酒、睡觉、闲聊、玩手机等与工作无关的事情，认真做好各项工作记录。</w:t>
            </w:r>
          </w:p>
        </w:tc>
        <w:tc>
          <w:tcPr>
            <w:tcW w:w="830" w:type="dxa"/>
            <w:tcBorders>
              <w:top w:val="single" w:color="auto" w:sz="4" w:space="0"/>
              <w:left w:val="single" w:color="auto" w:sz="4" w:space="0"/>
              <w:bottom w:val="single" w:color="auto" w:sz="4" w:space="0"/>
              <w:right w:val="single" w:color="auto" w:sz="4" w:space="0"/>
            </w:tcBorders>
            <w:vAlign w:val="center"/>
          </w:tcPr>
          <w:p w14:paraId="73A5835F">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w:t>
            </w:r>
          </w:p>
        </w:tc>
        <w:tc>
          <w:tcPr>
            <w:tcW w:w="794" w:type="dxa"/>
            <w:tcBorders>
              <w:top w:val="single" w:color="auto" w:sz="4" w:space="0"/>
              <w:left w:val="single" w:color="auto" w:sz="4" w:space="0"/>
              <w:bottom w:val="single" w:color="auto" w:sz="4" w:space="0"/>
              <w:right w:val="single" w:color="auto" w:sz="4" w:space="0"/>
            </w:tcBorders>
            <w:vAlign w:val="center"/>
          </w:tcPr>
          <w:p w14:paraId="590A3599">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2FCBA060">
        <w:tblPrEx>
          <w:tblCellMar>
            <w:top w:w="0" w:type="dxa"/>
            <w:left w:w="108" w:type="dxa"/>
            <w:bottom w:w="0" w:type="dxa"/>
            <w:right w:w="108" w:type="dxa"/>
          </w:tblCellMar>
        </w:tblPrEx>
        <w:trPr>
          <w:trHeight w:val="454" w:hRule="atLeast"/>
        </w:trPr>
        <w:tc>
          <w:tcPr>
            <w:tcW w:w="751" w:type="dxa"/>
            <w:tcBorders>
              <w:top w:val="single" w:color="auto" w:sz="4" w:space="0"/>
              <w:left w:val="single" w:color="auto" w:sz="4" w:space="0"/>
              <w:bottom w:val="single" w:color="auto" w:sz="4" w:space="0"/>
              <w:right w:val="single" w:color="auto" w:sz="4" w:space="0"/>
            </w:tcBorders>
            <w:vAlign w:val="center"/>
          </w:tcPr>
          <w:p w14:paraId="690BF009">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34</w:t>
            </w:r>
          </w:p>
        </w:tc>
        <w:tc>
          <w:tcPr>
            <w:tcW w:w="1091" w:type="dxa"/>
            <w:gridSpan w:val="2"/>
            <w:vMerge w:val="continue"/>
            <w:tcBorders>
              <w:left w:val="single" w:color="auto" w:sz="4" w:space="0"/>
              <w:right w:val="single" w:color="auto" w:sz="4" w:space="0"/>
            </w:tcBorders>
            <w:vAlign w:val="center"/>
          </w:tcPr>
          <w:p w14:paraId="155796C8">
            <w:pPr>
              <w:spacing w:line="400" w:lineRule="exact"/>
              <w:jc w:val="center"/>
              <w:rPr>
                <w:rFonts w:hint="default" w:ascii="Times New Roman" w:hAnsi="Times New Roman" w:eastAsia="仿宋_GB2312" w:cs="Times New Roman"/>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43313C71">
            <w:pPr>
              <w:widowControl/>
              <w:spacing w:line="360" w:lineRule="exact"/>
              <w:jc w:val="left"/>
              <w:rPr>
                <w:rFonts w:hint="default" w:ascii="Times New Roman" w:hAnsi="Times New Roman" w:eastAsia="仿宋_GB2312" w:cs="Times New Roman"/>
                <w:color w:val="auto"/>
                <w:kern w:val="0"/>
                <w:sz w:val="24"/>
                <w:szCs w:val="24"/>
                <w:highlight w:val="none"/>
                <w:lang w:bidi="th-TH"/>
              </w:rPr>
            </w:pPr>
            <w:r>
              <w:rPr>
                <w:rFonts w:hint="default" w:ascii="Times New Roman" w:hAnsi="Times New Roman" w:eastAsia="仿宋_GB2312" w:cs="Times New Roman"/>
                <w:color w:val="auto"/>
                <w:kern w:val="0"/>
                <w:sz w:val="24"/>
                <w:szCs w:val="24"/>
                <w:highlight w:val="none"/>
                <w:lang w:bidi="th-TH"/>
              </w:rPr>
              <w:t>执行6S管理，办公环境干净、整洁，物品摆放标准、有序。</w:t>
            </w:r>
          </w:p>
        </w:tc>
        <w:tc>
          <w:tcPr>
            <w:tcW w:w="830" w:type="dxa"/>
            <w:tcBorders>
              <w:top w:val="single" w:color="auto" w:sz="4" w:space="0"/>
              <w:left w:val="single" w:color="auto" w:sz="4" w:space="0"/>
              <w:bottom w:val="single" w:color="auto" w:sz="4" w:space="0"/>
              <w:right w:val="single" w:color="auto" w:sz="4" w:space="0"/>
            </w:tcBorders>
            <w:vAlign w:val="center"/>
          </w:tcPr>
          <w:p w14:paraId="6EBD648D">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w:t>
            </w:r>
          </w:p>
        </w:tc>
        <w:tc>
          <w:tcPr>
            <w:tcW w:w="794" w:type="dxa"/>
            <w:tcBorders>
              <w:top w:val="single" w:color="auto" w:sz="4" w:space="0"/>
              <w:left w:val="single" w:color="auto" w:sz="4" w:space="0"/>
              <w:bottom w:val="single" w:color="auto" w:sz="4" w:space="0"/>
              <w:right w:val="single" w:color="auto" w:sz="4" w:space="0"/>
            </w:tcBorders>
            <w:vAlign w:val="center"/>
          </w:tcPr>
          <w:p w14:paraId="2A1B25F1">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6536978E">
        <w:tblPrEx>
          <w:tblCellMar>
            <w:top w:w="0" w:type="dxa"/>
            <w:left w:w="108" w:type="dxa"/>
            <w:bottom w:w="0" w:type="dxa"/>
            <w:right w:w="108" w:type="dxa"/>
          </w:tblCellMar>
        </w:tblPrEx>
        <w:trPr>
          <w:trHeight w:val="454" w:hRule="atLeast"/>
        </w:trPr>
        <w:tc>
          <w:tcPr>
            <w:tcW w:w="751" w:type="dxa"/>
            <w:tcBorders>
              <w:top w:val="single" w:color="auto" w:sz="4" w:space="0"/>
              <w:left w:val="single" w:color="auto" w:sz="4" w:space="0"/>
              <w:bottom w:val="single" w:color="auto" w:sz="4" w:space="0"/>
              <w:right w:val="single" w:color="auto" w:sz="4" w:space="0"/>
            </w:tcBorders>
            <w:vAlign w:val="center"/>
          </w:tcPr>
          <w:p w14:paraId="4A4C8CCC">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35</w:t>
            </w:r>
          </w:p>
        </w:tc>
        <w:tc>
          <w:tcPr>
            <w:tcW w:w="1091" w:type="dxa"/>
            <w:gridSpan w:val="2"/>
            <w:vMerge w:val="continue"/>
            <w:tcBorders>
              <w:left w:val="single" w:color="auto" w:sz="4" w:space="0"/>
              <w:right w:val="single" w:color="auto" w:sz="4" w:space="0"/>
            </w:tcBorders>
            <w:vAlign w:val="center"/>
          </w:tcPr>
          <w:p w14:paraId="59C4B4C5">
            <w:pPr>
              <w:spacing w:line="400" w:lineRule="exact"/>
              <w:jc w:val="center"/>
              <w:rPr>
                <w:rFonts w:hint="default" w:ascii="Times New Roman" w:hAnsi="Times New Roman" w:eastAsia="仿宋_GB2312" w:cs="Times New Roman"/>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1E15CE0B">
            <w:pPr>
              <w:widowControl/>
              <w:spacing w:line="360" w:lineRule="exact"/>
              <w:jc w:val="left"/>
              <w:rPr>
                <w:rFonts w:hint="default" w:ascii="Times New Roman" w:hAnsi="Times New Roman" w:eastAsia="仿宋_GB2312" w:cs="Times New Roman"/>
                <w:color w:val="auto"/>
                <w:kern w:val="0"/>
                <w:sz w:val="24"/>
                <w:szCs w:val="24"/>
                <w:highlight w:val="none"/>
                <w:lang w:bidi="th-TH"/>
              </w:rPr>
            </w:pPr>
            <w:r>
              <w:rPr>
                <w:rFonts w:hint="default" w:ascii="Times New Roman" w:hAnsi="Times New Roman" w:eastAsia="仿宋_GB2312" w:cs="Times New Roman"/>
                <w:color w:val="auto"/>
                <w:kern w:val="0"/>
                <w:sz w:val="24"/>
                <w:szCs w:val="24"/>
                <w:highlight w:val="none"/>
                <w:lang w:bidi="th-TH"/>
              </w:rPr>
              <w:t>办公用品、保洁用品等管理标准〔出入库有记录、摆放整齐等〕。</w:t>
            </w:r>
          </w:p>
        </w:tc>
        <w:tc>
          <w:tcPr>
            <w:tcW w:w="830" w:type="dxa"/>
            <w:tcBorders>
              <w:top w:val="single" w:color="auto" w:sz="4" w:space="0"/>
              <w:left w:val="single" w:color="auto" w:sz="4" w:space="0"/>
              <w:bottom w:val="single" w:color="auto" w:sz="4" w:space="0"/>
              <w:right w:val="single" w:color="auto" w:sz="4" w:space="0"/>
            </w:tcBorders>
            <w:vAlign w:val="center"/>
          </w:tcPr>
          <w:p w14:paraId="511353DC">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w:t>
            </w:r>
          </w:p>
        </w:tc>
        <w:tc>
          <w:tcPr>
            <w:tcW w:w="794" w:type="dxa"/>
            <w:tcBorders>
              <w:top w:val="single" w:color="auto" w:sz="4" w:space="0"/>
              <w:left w:val="single" w:color="auto" w:sz="4" w:space="0"/>
              <w:bottom w:val="single" w:color="auto" w:sz="4" w:space="0"/>
              <w:right w:val="single" w:color="auto" w:sz="4" w:space="0"/>
            </w:tcBorders>
            <w:vAlign w:val="center"/>
          </w:tcPr>
          <w:p w14:paraId="0491C352">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46EEF67E">
        <w:tblPrEx>
          <w:tblCellMar>
            <w:top w:w="0" w:type="dxa"/>
            <w:left w:w="108" w:type="dxa"/>
            <w:bottom w:w="0" w:type="dxa"/>
            <w:right w:w="108" w:type="dxa"/>
          </w:tblCellMar>
        </w:tblPrEx>
        <w:trPr>
          <w:trHeight w:val="454" w:hRule="atLeast"/>
        </w:trPr>
        <w:tc>
          <w:tcPr>
            <w:tcW w:w="751" w:type="dxa"/>
            <w:tcBorders>
              <w:top w:val="single" w:color="auto" w:sz="4" w:space="0"/>
              <w:left w:val="single" w:color="auto" w:sz="4" w:space="0"/>
              <w:bottom w:val="single" w:color="auto" w:sz="4" w:space="0"/>
              <w:right w:val="single" w:color="auto" w:sz="4" w:space="0"/>
            </w:tcBorders>
            <w:vAlign w:val="center"/>
          </w:tcPr>
          <w:p w14:paraId="629DF054">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36</w:t>
            </w:r>
          </w:p>
        </w:tc>
        <w:tc>
          <w:tcPr>
            <w:tcW w:w="1091" w:type="dxa"/>
            <w:gridSpan w:val="2"/>
            <w:vMerge w:val="continue"/>
            <w:tcBorders>
              <w:left w:val="single" w:color="auto" w:sz="4" w:space="0"/>
              <w:right w:val="single" w:color="auto" w:sz="4" w:space="0"/>
            </w:tcBorders>
            <w:vAlign w:val="center"/>
          </w:tcPr>
          <w:p w14:paraId="4547076C">
            <w:pPr>
              <w:spacing w:line="400" w:lineRule="exact"/>
              <w:jc w:val="center"/>
              <w:rPr>
                <w:rFonts w:hint="default" w:ascii="Times New Roman" w:hAnsi="Times New Roman" w:eastAsia="仿宋_GB2312" w:cs="Times New Roman"/>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436C8D17">
            <w:pPr>
              <w:widowControl/>
              <w:spacing w:line="360" w:lineRule="exact"/>
              <w:jc w:val="left"/>
              <w:rPr>
                <w:rFonts w:hint="default" w:ascii="Times New Roman" w:hAnsi="Times New Roman" w:eastAsia="仿宋_GB2312" w:cs="Times New Roman"/>
                <w:color w:val="auto"/>
                <w:kern w:val="0"/>
                <w:sz w:val="24"/>
                <w:szCs w:val="24"/>
                <w:highlight w:val="none"/>
                <w:lang w:bidi="th-TH"/>
              </w:rPr>
            </w:pPr>
            <w:r>
              <w:rPr>
                <w:rFonts w:hint="default" w:ascii="Times New Roman" w:hAnsi="Times New Roman" w:eastAsia="仿宋_GB2312" w:cs="Times New Roman"/>
                <w:color w:val="auto"/>
                <w:kern w:val="0"/>
                <w:sz w:val="24"/>
                <w:szCs w:val="24"/>
                <w:highlight w:val="none"/>
                <w:lang w:bidi="th-TH"/>
              </w:rPr>
              <w:t>建立各类台帐、记录齐全，填写标准。</w:t>
            </w:r>
          </w:p>
        </w:tc>
        <w:tc>
          <w:tcPr>
            <w:tcW w:w="830" w:type="dxa"/>
            <w:tcBorders>
              <w:top w:val="single" w:color="auto" w:sz="4" w:space="0"/>
              <w:left w:val="single" w:color="auto" w:sz="4" w:space="0"/>
              <w:bottom w:val="single" w:color="auto" w:sz="4" w:space="0"/>
              <w:right w:val="single" w:color="auto" w:sz="4" w:space="0"/>
            </w:tcBorders>
            <w:vAlign w:val="center"/>
          </w:tcPr>
          <w:p w14:paraId="583CE6FB">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w:t>
            </w:r>
          </w:p>
        </w:tc>
        <w:tc>
          <w:tcPr>
            <w:tcW w:w="794" w:type="dxa"/>
            <w:tcBorders>
              <w:top w:val="single" w:color="auto" w:sz="4" w:space="0"/>
              <w:left w:val="single" w:color="auto" w:sz="4" w:space="0"/>
              <w:bottom w:val="single" w:color="auto" w:sz="4" w:space="0"/>
              <w:right w:val="single" w:color="auto" w:sz="4" w:space="0"/>
            </w:tcBorders>
            <w:vAlign w:val="center"/>
          </w:tcPr>
          <w:p w14:paraId="2E31CF0A">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29D6B35C">
        <w:tblPrEx>
          <w:tblCellMar>
            <w:top w:w="0" w:type="dxa"/>
            <w:left w:w="108" w:type="dxa"/>
            <w:bottom w:w="0" w:type="dxa"/>
            <w:right w:w="108" w:type="dxa"/>
          </w:tblCellMar>
        </w:tblPrEx>
        <w:trPr>
          <w:trHeight w:val="454" w:hRule="atLeast"/>
        </w:trPr>
        <w:tc>
          <w:tcPr>
            <w:tcW w:w="751" w:type="dxa"/>
            <w:tcBorders>
              <w:top w:val="single" w:color="auto" w:sz="4" w:space="0"/>
              <w:left w:val="single" w:color="auto" w:sz="4" w:space="0"/>
              <w:bottom w:val="single" w:color="auto" w:sz="4" w:space="0"/>
              <w:right w:val="single" w:color="auto" w:sz="4" w:space="0"/>
            </w:tcBorders>
            <w:vAlign w:val="center"/>
          </w:tcPr>
          <w:p w14:paraId="31C2BEFF">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37</w:t>
            </w:r>
          </w:p>
        </w:tc>
        <w:tc>
          <w:tcPr>
            <w:tcW w:w="1091" w:type="dxa"/>
            <w:gridSpan w:val="2"/>
            <w:vMerge w:val="continue"/>
            <w:tcBorders>
              <w:left w:val="single" w:color="auto" w:sz="4" w:space="0"/>
              <w:right w:val="single" w:color="auto" w:sz="4" w:space="0"/>
            </w:tcBorders>
            <w:vAlign w:val="center"/>
          </w:tcPr>
          <w:p w14:paraId="09C7C4C8">
            <w:pPr>
              <w:spacing w:line="400" w:lineRule="exact"/>
              <w:jc w:val="center"/>
              <w:rPr>
                <w:rFonts w:hint="default" w:ascii="Times New Roman" w:hAnsi="Times New Roman" w:eastAsia="仿宋_GB2312" w:cs="Times New Roman"/>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2D86C116">
            <w:pPr>
              <w:widowControl/>
              <w:spacing w:line="360" w:lineRule="exact"/>
              <w:jc w:val="left"/>
              <w:rPr>
                <w:rFonts w:hint="default" w:ascii="Times New Roman" w:hAnsi="Times New Roman" w:eastAsia="仿宋_GB2312" w:cs="Times New Roman"/>
                <w:color w:val="auto"/>
                <w:kern w:val="0"/>
                <w:sz w:val="24"/>
                <w:szCs w:val="24"/>
                <w:highlight w:val="none"/>
                <w:lang w:bidi="th-TH"/>
              </w:rPr>
            </w:pPr>
            <w:r>
              <w:rPr>
                <w:rFonts w:hint="default" w:ascii="Times New Roman" w:hAnsi="Times New Roman" w:eastAsia="仿宋_GB2312" w:cs="Times New Roman"/>
                <w:color w:val="auto"/>
                <w:kern w:val="0"/>
                <w:sz w:val="24"/>
                <w:szCs w:val="24"/>
                <w:highlight w:val="none"/>
                <w:lang w:bidi="th-TH"/>
              </w:rPr>
              <w:t>建立突发状况应急制度</w:t>
            </w:r>
          </w:p>
        </w:tc>
        <w:tc>
          <w:tcPr>
            <w:tcW w:w="830" w:type="dxa"/>
            <w:tcBorders>
              <w:top w:val="single" w:color="auto" w:sz="4" w:space="0"/>
              <w:left w:val="single" w:color="auto" w:sz="4" w:space="0"/>
              <w:bottom w:val="single" w:color="auto" w:sz="4" w:space="0"/>
              <w:right w:val="single" w:color="auto" w:sz="4" w:space="0"/>
            </w:tcBorders>
            <w:vAlign w:val="center"/>
          </w:tcPr>
          <w:p w14:paraId="3D2CEFDE">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w:t>
            </w:r>
          </w:p>
        </w:tc>
        <w:tc>
          <w:tcPr>
            <w:tcW w:w="794" w:type="dxa"/>
            <w:tcBorders>
              <w:top w:val="single" w:color="auto" w:sz="4" w:space="0"/>
              <w:left w:val="single" w:color="auto" w:sz="4" w:space="0"/>
              <w:bottom w:val="single" w:color="auto" w:sz="4" w:space="0"/>
              <w:right w:val="single" w:color="auto" w:sz="4" w:space="0"/>
            </w:tcBorders>
            <w:vAlign w:val="center"/>
          </w:tcPr>
          <w:p w14:paraId="2521D536">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73A357BB">
        <w:tblPrEx>
          <w:tblCellMar>
            <w:top w:w="0" w:type="dxa"/>
            <w:left w:w="108" w:type="dxa"/>
            <w:bottom w:w="0" w:type="dxa"/>
            <w:right w:w="108" w:type="dxa"/>
          </w:tblCellMar>
        </w:tblPrEx>
        <w:trPr>
          <w:trHeight w:val="454" w:hRule="atLeast"/>
        </w:trPr>
        <w:tc>
          <w:tcPr>
            <w:tcW w:w="751" w:type="dxa"/>
            <w:tcBorders>
              <w:top w:val="single" w:color="auto" w:sz="4" w:space="0"/>
              <w:left w:val="single" w:color="auto" w:sz="4" w:space="0"/>
              <w:bottom w:val="single" w:color="auto" w:sz="4" w:space="0"/>
              <w:right w:val="single" w:color="auto" w:sz="4" w:space="0"/>
            </w:tcBorders>
            <w:vAlign w:val="center"/>
          </w:tcPr>
          <w:p w14:paraId="431B9D81">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38</w:t>
            </w:r>
          </w:p>
        </w:tc>
        <w:tc>
          <w:tcPr>
            <w:tcW w:w="1091" w:type="dxa"/>
            <w:gridSpan w:val="2"/>
            <w:vMerge w:val="continue"/>
            <w:tcBorders>
              <w:left w:val="single" w:color="auto" w:sz="4" w:space="0"/>
              <w:bottom w:val="single" w:color="auto" w:sz="4" w:space="0"/>
              <w:right w:val="single" w:color="auto" w:sz="4" w:space="0"/>
            </w:tcBorders>
            <w:vAlign w:val="center"/>
          </w:tcPr>
          <w:p w14:paraId="44C58E7E">
            <w:pPr>
              <w:spacing w:line="400" w:lineRule="exact"/>
              <w:jc w:val="center"/>
              <w:rPr>
                <w:rFonts w:hint="default" w:ascii="Times New Roman" w:hAnsi="Times New Roman" w:eastAsia="仿宋_GB2312" w:cs="Times New Roman"/>
                <w:color w:val="auto"/>
                <w:sz w:val="24"/>
                <w:szCs w:val="24"/>
                <w:highlight w:val="none"/>
              </w:rPr>
            </w:pPr>
          </w:p>
        </w:tc>
        <w:tc>
          <w:tcPr>
            <w:tcW w:w="6664" w:type="dxa"/>
            <w:gridSpan w:val="3"/>
            <w:tcBorders>
              <w:top w:val="single" w:color="auto" w:sz="4" w:space="0"/>
              <w:left w:val="single" w:color="auto" w:sz="4" w:space="0"/>
              <w:bottom w:val="single" w:color="auto" w:sz="4" w:space="0"/>
              <w:right w:val="single" w:color="auto" w:sz="4" w:space="0"/>
            </w:tcBorders>
            <w:vAlign w:val="center"/>
          </w:tcPr>
          <w:p w14:paraId="2EEBF8D6">
            <w:pPr>
              <w:widowControl/>
              <w:spacing w:line="360" w:lineRule="exact"/>
              <w:jc w:val="left"/>
              <w:rPr>
                <w:rFonts w:hint="default" w:ascii="Times New Roman" w:hAnsi="Times New Roman" w:eastAsia="仿宋_GB2312" w:cs="Times New Roman"/>
                <w:color w:val="auto"/>
                <w:kern w:val="0"/>
                <w:sz w:val="24"/>
                <w:szCs w:val="24"/>
                <w:highlight w:val="none"/>
                <w:lang w:bidi="th-TH"/>
              </w:rPr>
            </w:pPr>
            <w:r>
              <w:rPr>
                <w:rFonts w:hint="default" w:ascii="Times New Roman" w:hAnsi="Times New Roman" w:eastAsia="仿宋_GB2312" w:cs="Times New Roman"/>
                <w:color w:val="auto"/>
                <w:kern w:val="0"/>
                <w:sz w:val="24"/>
                <w:szCs w:val="24"/>
                <w:highlight w:val="none"/>
                <w:lang w:bidi="th-TH"/>
              </w:rPr>
              <w:t>定时抽查各岗位服务工作</w:t>
            </w:r>
          </w:p>
        </w:tc>
        <w:tc>
          <w:tcPr>
            <w:tcW w:w="830" w:type="dxa"/>
            <w:tcBorders>
              <w:top w:val="single" w:color="auto" w:sz="4" w:space="0"/>
              <w:left w:val="single" w:color="auto" w:sz="4" w:space="0"/>
              <w:bottom w:val="single" w:color="auto" w:sz="4" w:space="0"/>
              <w:right w:val="single" w:color="auto" w:sz="4" w:space="0"/>
            </w:tcBorders>
            <w:vAlign w:val="center"/>
          </w:tcPr>
          <w:p w14:paraId="6E3C7EB8">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3</w:t>
            </w:r>
          </w:p>
        </w:tc>
        <w:tc>
          <w:tcPr>
            <w:tcW w:w="794" w:type="dxa"/>
            <w:tcBorders>
              <w:top w:val="single" w:color="auto" w:sz="4" w:space="0"/>
              <w:left w:val="single" w:color="auto" w:sz="4" w:space="0"/>
              <w:bottom w:val="single" w:color="auto" w:sz="4" w:space="0"/>
              <w:right w:val="single" w:color="auto" w:sz="4" w:space="0"/>
            </w:tcBorders>
            <w:vAlign w:val="center"/>
          </w:tcPr>
          <w:p w14:paraId="78808BCE">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46ED3A43">
        <w:tblPrEx>
          <w:tblCellMar>
            <w:top w:w="0" w:type="dxa"/>
            <w:left w:w="108" w:type="dxa"/>
            <w:bottom w:w="0" w:type="dxa"/>
            <w:right w:w="108" w:type="dxa"/>
          </w:tblCellMar>
        </w:tblPrEx>
        <w:trPr>
          <w:trHeight w:val="537" w:hRule="atLeast"/>
        </w:trPr>
        <w:tc>
          <w:tcPr>
            <w:tcW w:w="1485" w:type="dxa"/>
            <w:gridSpan w:val="2"/>
            <w:tcBorders>
              <w:top w:val="single" w:color="auto" w:sz="4" w:space="0"/>
              <w:left w:val="single" w:color="auto" w:sz="4" w:space="0"/>
              <w:bottom w:val="single" w:color="auto" w:sz="4" w:space="0"/>
              <w:right w:val="single" w:color="auto" w:sz="4" w:space="0"/>
            </w:tcBorders>
            <w:vAlign w:val="center"/>
          </w:tcPr>
          <w:p w14:paraId="6083599E">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分值合计</w:t>
            </w:r>
          </w:p>
        </w:tc>
        <w:tc>
          <w:tcPr>
            <w:tcW w:w="3467" w:type="dxa"/>
            <w:gridSpan w:val="2"/>
            <w:tcBorders>
              <w:top w:val="single" w:color="auto" w:sz="4" w:space="0"/>
              <w:left w:val="single" w:color="auto" w:sz="4" w:space="0"/>
              <w:bottom w:val="single" w:color="auto" w:sz="4" w:space="0"/>
              <w:right w:val="single" w:color="auto" w:sz="4" w:space="0"/>
            </w:tcBorders>
            <w:vAlign w:val="center"/>
          </w:tcPr>
          <w:p w14:paraId="4E471017">
            <w:pPr>
              <w:spacing w:line="480" w:lineRule="auto"/>
              <w:ind w:left="0" w:leftChars="0" w:firstLine="0" w:firstLineChars="0"/>
              <w:jc w:val="left"/>
              <w:rPr>
                <w:rFonts w:hint="default" w:ascii="Times New Roman" w:hAnsi="Times New Roman" w:eastAsia="仿宋_GB2312" w:cs="Times New Roman"/>
                <w:color w:val="auto"/>
                <w:sz w:val="24"/>
                <w:szCs w:val="24"/>
                <w:highlight w:val="none"/>
              </w:rPr>
            </w:pPr>
          </w:p>
        </w:tc>
        <w:tc>
          <w:tcPr>
            <w:tcW w:w="2035" w:type="dxa"/>
            <w:tcBorders>
              <w:top w:val="single" w:color="auto" w:sz="4" w:space="0"/>
              <w:left w:val="single" w:color="auto" w:sz="4" w:space="0"/>
              <w:bottom w:val="single" w:color="auto" w:sz="4" w:space="0"/>
              <w:right w:val="single" w:color="auto" w:sz="4" w:space="0"/>
            </w:tcBorders>
            <w:vAlign w:val="center"/>
          </w:tcPr>
          <w:p w14:paraId="4C2DF68B">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评定等级</w:t>
            </w:r>
          </w:p>
        </w:tc>
        <w:tc>
          <w:tcPr>
            <w:tcW w:w="3143" w:type="dxa"/>
            <w:gridSpan w:val="3"/>
            <w:tcBorders>
              <w:top w:val="single" w:color="auto" w:sz="4" w:space="0"/>
              <w:left w:val="single" w:color="auto" w:sz="4" w:space="0"/>
              <w:bottom w:val="single" w:color="auto" w:sz="4" w:space="0"/>
              <w:right w:val="single" w:color="auto" w:sz="4" w:space="0"/>
            </w:tcBorders>
            <w:vAlign w:val="center"/>
          </w:tcPr>
          <w:p w14:paraId="2A14F29E">
            <w:pPr>
              <w:spacing w:line="480" w:lineRule="auto"/>
              <w:ind w:left="0" w:leftChars="0" w:firstLine="0" w:firstLineChars="0"/>
              <w:jc w:val="center"/>
              <w:rPr>
                <w:rFonts w:hint="default" w:ascii="Times New Roman" w:hAnsi="Times New Roman" w:eastAsia="仿宋_GB2312" w:cs="Times New Roman"/>
                <w:color w:val="auto"/>
                <w:sz w:val="24"/>
                <w:szCs w:val="24"/>
                <w:highlight w:val="none"/>
              </w:rPr>
            </w:pPr>
          </w:p>
        </w:tc>
      </w:tr>
      <w:tr w14:paraId="0E1D618B">
        <w:tblPrEx>
          <w:tblCellMar>
            <w:top w:w="0" w:type="dxa"/>
            <w:left w:w="108" w:type="dxa"/>
            <w:bottom w:w="0" w:type="dxa"/>
            <w:right w:w="108" w:type="dxa"/>
          </w:tblCellMar>
        </w:tblPrEx>
        <w:trPr>
          <w:trHeight w:val="743" w:hRule="atLeast"/>
        </w:trPr>
        <w:tc>
          <w:tcPr>
            <w:tcW w:w="10130" w:type="dxa"/>
            <w:gridSpan w:val="8"/>
            <w:tcBorders>
              <w:top w:val="single" w:color="auto" w:sz="4" w:space="0"/>
              <w:left w:val="single" w:color="auto" w:sz="4" w:space="0"/>
              <w:bottom w:val="single" w:color="auto" w:sz="4" w:space="0"/>
              <w:right w:val="single" w:color="auto" w:sz="4" w:space="0"/>
            </w:tcBorders>
            <w:vAlign w:val="center"/>
          </w:tcPr>
          <w:p w14:paraId="6F823001">
            <w:pPr>
              <w:jc w:val="left"/>
              <w:rPr>
                <w:rFonts w:hint="default" w:ascii="Times New Roman" w:hAnsi="Times New Roman" w:eastAsia="仿宋_GB2312" w:cs="Times New Roman"/>
                <w:color w:val="auto"/>
                <w:sz w:val="24"/>
                <w:szCs w:val="24"/>
                <w:highlight w:val="none"/>
              </w:rPr>
            </w:pPr>
            <w:r>
              <w:rPr>
                <w:rFonts w:hint="default" w:ascii="Times New Roman" w:hAnsi="Times New Roman" w:eastAsia="仿宋_GB2312" w:cs="Times New Roman"/>
                <w:color w:val="auto"/>
                <w:sz w:val="24"/>
                <w:szCs w:val="24"/>
                <w:highlight w:val="none"/>
              </w:rPr>
              <w:t>所服务单位按季度对</w:t>
            </w:r>
            <w:r>
              <w:rPr>
                <w:rFonts w:hint="eastAsia" w:eastAsia="仿宋_GB2312" w:cs="Times New Roman"/>
                <w:color w:val="auto"/>
                <w:sz w:val="24"/>
                <w:szCs w:val="24"/>
                <w:highlight w:val="none"/>
                <w:lang w:eastAsia="zh-CN"/>
              </w:rPr>
              <w:t>中标</w:t>
            </w:r>
            <w:r>
              <w:rPr>
                <w:rFonts w:hint="default" w:ascii="Times New Roman" w:hAnsi="Times New Roman" w:eastAsia="仿宋_GB2312" w:cs="Times New Roman"/>
                <w:color w:val="auto"/>
                <w:sz w:val="24"/>
                <w:szCs w:val="24"/>
                <w:highlight w:val="none"/>
              </w:rPr>
              <w:t>供应商进行考核，根据考核内容进行打分并评定等级：优秀（100分～95分）、良好（94分～86分）、合格（85分～80分）、不合格（79分及以下），未达标准（评定等级为不合格）的从当季度应付款中扣除10‰服务费。连续两季度达不到标准且未及时整改的，所服务单位将书面通知教育局，教育局有权终止合同。</w:t>
            </w:r>
          </w:p>
        </w:tc>
      </w:tr>
    </w:tbl>
    <w:p w14:paraId="6CCE89F8">
      <w:pPr>
        <w:ind w:left="0" w:leftChars="0" w:firstLine="0" w:firstLineChars="0"/>
        <w:rPr>
          <w:rFonts w:ascii="黑体" w:hAnsi="黑体" w:eastAsia="黑体" w:cs="宋体"/>
          <w:color w:val="auto"/>
          <w:sz w:val="28"/>
          <w:szCs w:val="28"/>
          <w:highlight w:val="none"/>
        </w:rPr>
      </w:pPr>
    </w:p>
    <w:p w14:paraId="196FA149">
      <w:pPr>
        <w:pStyle w:val="513"/>
        <w:ind w:left="0" w:leftChars="0" w:firstLine="0" w:firstLineChars="0"/>
        <w:rPr>
          <w:color w:val="auto"/>
          <w:highlight w:val="none"/>
          <w:lang w:val="en-US"/>
        </w:rPr>
        <w:sectPr>
          <w:headerReference r:id="rId4" w:type="first"/>
          <w:footerReference r:id="rId7" w:type="first"/>
          <w:headerReference r:id="rId3" w:type="default"/>
          <w:footerReference r:id="rId5" w:type="default"/>
          <w:footerReference r:id="rId6" w:type="even"/>
          <w:pgSz w:w="11906" w:h="16838"/>
          <w:pgMar w:top="1247" w:right="849" w:bottom="1247" w:left="1418" w:header="851" w:footer="992" w:gutter="0"/>
          <w:cols w:space="720" w:num="1"/>
          <w:docGrid w:type="lines" w:linePitch="312" w:charSpace="0"/>
        </w:sectPr>
      </w:pPr>
    </w:p>
    <w:p w14:paraId="291D28BC">
      <w:pPr>
        <w:spacing w:line="360" w:lineRule="auto"/>
        <w:jc w:val="center"/>
        <w:outlineLvl w:val="0"/>
        <w:rPr>
          <w:rFonts w:ascii="宋体" w:hAnsi="宋体" w:cs="宋体"/>
          <w:b/>
          <w:color w:val="auto"/>
          <w:sz w:val="36"/>
          <w:szCs w:val="36"/>
          <w:highlight w:val="none"/>
        </w:rPr>
      </w:pPr>
      <w:bookmarkStart w:id="38" w:name="_Toc176368905"/>
      <w:r>
        <w:rPr>
          <w:rFonts w:hint="eastAsia" w:ascii="宋体" w:hAnsi="宋体" w:cs="宋体"/>
          <w:b/>
          <w:color w:val="auto"/>
          <w:sz w:val="36"/>
          <w:szCs w:val="36"/>
          <w:highlight w:val="none"/>
        </w:rPr>
        <w:t>第四部分</w:t>
      </w:r>
      <w:bookmarkStart w:id="39" w:name="_Toc184308096"/>
      <w:bookmarkEnd w:id="39"/>
      <w:bookmarkStart w:id="40" w:name="_Toc184310299"/>
      <w:bookmarkEnd w:id="40"/>
      <w:bookmarkStart w:id="41" w:name="_Toc184313266"/>
      <w:bookmarkEnd w:id="41"/>
      <w:bookmarkStart w:id="42" w:name="_Toc184308106"/>
      <w:bookmarkEnd w:id="42"/>
      <w:bookmarkStart w:id="43" w:name="_Toc184312118"/>
      <w:bookmarkEnd w:id="43"/>
      <w:bookmarkStart w:id="44" w:name="_Toc184310278"/>
      <w:bookmarkEnd w:id="44"/>
      <w:bookmarkStart w:id="45" w:name="_Toc184314436"/>
      <w:bookmarkEnd w:id="45"/>
      <w:bookmarkStart w:id="46" w:name="_Toc184312079"/>
      <w:bookmarkEnd w:id="46"/>
      <w:bookmarkStart w:id="47" w:name="_Toc184308069"/>
      <w:bookmarkEnd w:id="47"/>
      <w:bookmarkStart w:id="48" w:name="_Toc184310343"/>
      <w:bookmarkEnd w:id="48"/>
      <w:bookmarkStart w:id="49" w:name="_Toc184313287"/>
      <w:bookmarkEnd w:id="49"/>
      <w:bookmarkStart w:id="50" w:name="_Toc184312133"/>
      <w:bookmarkEnd w:id="50"/>
      <w:bookmarkStart w:id="51" w:name="_Toc184312087"/>
      <w:bookmarkEnd w:id="51"/>
      <w:bookmarkStart w:id="52" w:name="_Toc184314461"/>
      <w:bookmarkEnd w:id="52"/>
      <w:bookmarkStart w:id="53" w:name="_Toc184313265"/>
      <w:bookmarkEnd w:id="53"/>
      <w:bookmarkStart w:id="54" w:name="_Toc184314434"/>
      <w:bookmarkEnd w:id="54"/>
      <w:bookmarkStart w:id="55" w:name="_Toc184310290"/>
      <w:bookmarkEnd w:id="55"/>
      <w:bookmarkStart w:id="56" w:name="_Toc184310286"/>
      <w:bookmarkEnd w:id="56"/>
      <w:bookmarkStart w:id="57" w:name="_Toc184312077"/>
      <w:bookmarkEnd w:id="57"/>
      <w:bookmarkStart w:id="58" w:name="_Toc184310309"/>
      <w:bookmarkEnd w:id="58"/>
      <w:bookmarkStart w:id="59" w:name="_Toc184312110"/>
      <w:bookmarkEnd w:id="59"/>
      <w:bookmarkStart w:id="60" w:name="_Toc184308086"/>
      <w:bookmarkEnd w:id="60"/>
      <w:bookmarkStart w:id="61" w:name="_Toc184308055"/>
      <w:bookmarkEnd w:id="61"/>
      <w:bookmarkStart w:id="62" w:name="_Toc184313289"/>
      <w:bookmarkEnd w:id="62"/>
      <w:bookmarkStart w:id="63" w:name="_Toc184313297"/>
      <w:bookmarkEnd w:id="63"/>
      <w:bookmarkStart w:id="64" w:name="_Toc184308043"/>
      <w:bookmarkEnd w:id="64"/>
      <w:bookmarkStart w:id="65" w:name="_Toc184312101"/>
      <w:bookmarkEnd w:id="65"/>
      <w:bookmarkStart w:id="66" w:name="_Toc184310294"/>
      <w:bookmarkEnd w:id="66"/>
      <w:bookmarkStart w:id="67" w:name="_Toc184308066"/>
      <w:bookmarkEnd w:id="67"/>
      <w:bookmarkStart w:id="68" w:name="_Toc184312135"/>
      <w:bookmarkEnd w:id="68"/>
      <w:bookmarkStart w:id="69" w:name="_Toc184312076"/>
      <w:bookmarkEnd w:id="69"/>
      <w:bookmarkStart w:id="70" w:name="_Toc184308082"/>
      <w:bookmarkEnd w:id="70"/>
      <w:bookmarkStart w:id="71" w:name="_Toc184312122"/>
      <w:bookmarkEnd w:id="71"/>
      <w:bookmarkStart w:id="72" w:name="_Toc184312067"/>
      <w:bookmarkEnd w:id="72"/>
      <w:bookmarkStart w:id="73" w:name="_Toc184314469"/>
      <w:bookmarkEnd w:id="73"/>
      <w:bookmarkStart w:id="74" w:name="_Toc184308051"/>
      <w:bookmarkEnd w:id="74"/>
      <w:bookmarkStart w:id="75" w:name="_Toc184314443"/>
      <w:bookmarkEnd w:id="75"/>
      <w:bookmarkStart w:id="76" w:name="_Toc184308078"/>
      <w:bookmarkEnd w:id="76"/>
      <w:bookmarkStart w:id="77" w:name="_Toc184308058"/>
      <w:bookmarkEnd w:id="77"/>
      <w:bookmarkStart w:id="78" w:name="_Toc184314431"/>
      <w:bookmarkEnd w:id="78"/>
      <w:bookmarkStart w:id="79" w:name="_Toc184314459"/>
      <w:bookmarkEnd w:id="79"/>
      <w:bookmarkStart w:id="80" w:name="_Toc184314479"/>
      <w:bookmarkEnd w:id="80"/>
      <w:bookmarkStart w:id="81" w:name="_Toc184313239"/>
      <w:bookmarkEnd w:id="81"/>
      <w:bookmarkStart w:id="82" w:name="_Toc184312074"/>
      <w:bookmarkEnd w:id="82"/>
      <w:bookmarkStart w:id="83" w:name="_Toc184308037"/>
      <w:bookmarkEnd w:id="83"/>
      <w:bookmarkStart w:id="84" w:name="_Toc184312117"/>
      <w:bookmarkEnd w:id="84"/>
      <w:bookmarkStart w:id="85" w:name="_Toc184313262"/>
      <w:bookmarkEnd w:id="85"/>
      <w:bookmarkStart w:id="86" w:name="_Toc184314447"/>
      <w:bookmarkEnd w:id="86"/>
      <w:bookmarkStart w:id="87" w:name="_Toc184314463"/>
      <w:bookmarkEnd w:id="87"/>
      <w:bookmarkStart w:id="88" w:name="_Toc184313264"/>
      <w:bookmarkEnd w:id="88"/>
      <w:bookmarkStart w:id="89" w:name="_Toc184310277"/>
      <w:bookmarkEnd w:id="89"/>
      <w:bookmarkStart w:id="90" w:name="_Toc184312128"/>
      <w:bookmarkEnd w:id="90"/>
      <w:bookmarkStart w:id="91" w:name="_Toc184314441"/>
      <w:bookmarkEnd w:id="91"/>
      <w:bookmarkStart w:id="92" w:name="_Toc184313293"/>
      <w:bookmarkEnd w:id="92"/>
      <w:bookmarkStart w:id="93" w:name="_Toc184312081"/>
      <w:bookmarkEnd w:id="93"/>
      <w:bookmarkStart w:id="94" w:name="_Toc184310344"/>
      <w:bookmarkEnd w:id="94"/>
      <w:bookmarkStart w:id="95" w:name="_Toc184312125"/>
      <w:bookmarkEnd w:id="95"/>
      <w:bookmarkStart w:id="96" w:name="_Toc184313259"/>
      <w:bookmarkEnd w:id="96"/>
      <w:bookmarkStart w:id="97" w:name="_Toc184308091"/>
      <w:bookmarkEnd w:id="97"/>
      <w:bookmarkStart w:id="98" w:name="_Toc184310321"/>
      <w:bookmarkEnd w:id="98"/>
      <w:bookmarkStart w:id="99" w:name="_Toc184312084"/>
      <w:bookmarkEnd w:id="99"/>
      <w:bookmarkStart w:id="100" w:name="_Toc184312083"/>
      <w:bookmarkEnd w:id="100"/>
      <w:bookmarkStart w:id="101" w:name="_Toc184312100"/>
      <w:bookmarkEnd w:id="101"/>
      <w:bookmarkStart w:id="102" w:name="_Toc184310318"/>
      <w:bookmarkEnd w:id="102"/>
      <w:bookmarkStart w:id="103" w:name="_Toc184310315"/>
      <w:bookmarkEnd w:id="103"/>
      <w:bookmarkStart w:id="104" w:name="_Toc184312072"/>
      <w:bookmarkEnd w:id="104"/>
      <w:bookmarkStart w:id="105" w:name="_Toc184314466"/>
      <w:bookmarkEnd w:id="105"/>
      <w:bookmarkStart w:id="106" w:name="_Toc184312092"/>
      <w:bookmarkEnd w:id="106"/>
      <w:bookmarkStart w:id="107" w:name="_Toc184312068"/>
      <w:bookmarkEnd w:id="107"/>
      <w:bookmarkStart w:id="108" w:name="_Toc184314474"/>
      <w:bookmarkEnd w:id="108"/>
      <w:bookmarkStart w:id="109" w:name="_Toc184313273"/>
      <w:bookmarkEnd w:id="109"/>
      <w:bookmarkStart w:id="110" w:name="_Toc184313303"/>
      <w:bookmarkEnd w:id="110"/>
      <w:bookmarkStart w:id="111" w:name="_Toc184314438"/>
      <w:bookmarkEnd w:id="111"/>
      <w:bookmarkStart w:id="112" w:name="_Toc184310279"/>
      <w:bookmarkEnd w:id="112"/>
      <w:bookmarkStart w:id="113" w:name="_Toc184314442"/>
      <w:bookmarkEnd w:id="113"/>
      <w:bookmarkStart w:id="114" w:name="_Toc184313253"/>
      <w:bookmarkEnd w:id="114"/>
      <w:bookmarkStart w:id="115" w:name="_Toc184313270"/>
      <w:bookmarkEnd w:id="115"/>
      <w:bookmarkStart w:id="116" w:name="_Toc184314468"/>
      <w:bookmarkEnd w:id="116"/>
      <w:bookmarkStart w:id="117" w:name="_Toc184312096"/>
      <w:bookmarkEnd w:id="117"/>
      <w:bookmarkStart w:id="118" w:name="_Toc184314416"/>
      <w:bookmarkEnd w:id="118"/>
      <w:bookmarkStart w:id="119" w:name="_Toc184308056"/>
      <w:bookmarkEnd w:id="119"/>
      <w:bookmarkStart w:id="120" w:name="_Toc184308081"/>
      <w:bookmarkEnd w:id="120"/>
      <w:bookmarkStart w:id="121" w:name="_Toc184308057"/>
      <w:bookmarkEnd w:id="121"/>
      <w:bookmarkStart w:id="122" w:name="_Toc184312095"/>
      <w:bookmarkEnd w:id="122"/>
      <w:bookmarkStart w:id="123" w:name="_Toc184312105"/>
      <w:bookmarkEnd w:id="123"/>
      <w:bookmarkStart w:id="124" w:name="_Toc184310322"/>
      <w:bookmarkEnd w:id="124"/>
      <w:bookmarkStart w:id="125" w:name="_Toc184310292"/>
      <w:bookmarkEnd w:id="125"/>
      <w:bookmarkStart w:id="126" w:name="_Toc184313257"/>
      <w:bookmarkEnd w:id="126"/>
      <w:bookmarkStart w:id="127" w:name="_Toc184312108"/>
      <w:bookmarkEnd w:id="127"/>
      <w:bookmarkStart w:id="128" w:name="_Toc184314422"/>
      <w:bookmarkEnd w:id="128"/>
      <w:bookmarkStart w:id="129" w:name="_Toc184312120"/>
      <w:bookmarkEnd w:id="129"/>
      <w:bookmarkStart w:id="130" w:name="_Toc184313272"/>
      <w:bookmarkEnd w:id="130"/>
      <w:bookmarkStart w:id="131" w:name="_Toc184308105"/>
      <w:bookmarkEnd w:id="131"/>
      <w:bookmarkStart w:id="132" w:name="_Toc184310331"/>
      <w:bookmarkEnd w:id="132"/>
      <w:bookmarkStart w:id="133" w:name="_Toc184310283"/>
      <w:bookmarkEnd w:id="133"/>
      <w:bookmarkStart w:id="134" w:name="_Toc184313254"/>
      <w:bookmarkEnd w:id="134"/>
      <w:bookmarkStart w:id="135" w:name="_Toc184313280"/>
      <w:bookmarkEnd w:id="135"/>
      <w:bookmarkStart w:id="136" w:name="_Toc184314465"/>
      <w:bookmarkEnd w:id="136"/>
      <w:bookmarkStart w:id="137" w:name="_Toc184310301"/>
      <w:bookmarkEnd w:id="137"/>
      <w:bookmarkStart w:id="138" w:name="_Toc184313238"/>
      <w:bookmarkEnd w:id="138"/>
      <w:bookmarkStart w:id="139" w:name="_Toc184313263"/>
      <w:bookmarkEnd w:id="139"/>
      <w:bookmarkStart w:id="140" w:name="_Toc184314457"/>
      <w:bookmarkEnd w:id="140"/>
      <w:bookmarkStart w:id="141" w:name="_Toc184308093"/>
      <w:bookmarkEnd w:id="141"/>
      <w:bookmarkStart w:id="142" w:name="_Toc184312111"/>
      <w:bookmarkEnd w:id="142"/>
      <w:bookmarkStart w:id="143" w:name="_Toc184313281"/>
      <w:bookmarkEnd w:id="143"/>
      <w:bookmarkStart w:id="144" w:name="_Toc184308107"/>
      <w:bookmarkEnd w:id="144"/>
      <w:bookmarkStart w:id="145" w:name="_Toc184312115"/>
      <w:bookmarkEnd w:id="145"/>
      <w:bookmarkStart w:id="146" w:name="_Toc184310300"/>
      <w:bookmarkEnd w:id="146"/>
      <w:bookmarkStart w:id="147" w:name="_Toc184314470"/>
      <w:bookmarkEnd w:id="147"/>
      <w:bookmarkStart w:id="148" w:name="_Toc184310287"/>
      <w:bookmarkEnd w:id="148"/>
      <w:bookmarkStart w:id="149" w:name="_Toc184314417"/>
      <w:bookmarkEnd w:id="149"/>
      <w:bookmarkStart w:id="150" w:name="_Toc184310337"/>
      <w:bookmarkEnd w:id="150"/>
      <w:bookmarkStart w:id="151" w:name="_Toc184314428"/>
      <w:bookmarkEnd w:id="151"/>
      <w:bookmarkStart w:id="152" w:name="_Toc184310311"/>
      <w:bookmarkEnd w:id="152"/>
      <w:bookmarkStart w:id="153" w:name="_Toc184314419"/>
      <w:bookmarkEnd w:id="153"/>
      <w:bookmarkStart w:id="154" w:name="_Toc184310275"/>
      <w:bookmarkEnd w:id="154"/>
      <w:bookmarkStart w:id="155" w:name="_Toc184310291"/>
      <w:bookmarkEnd w:id="155"/>
      <w:bookmarkStart w:id="156" w:name="_Toc184313304"/>
      <w:bookmarkEnd w:id="156"/>
      <w:bookmarkStart w:id="157" w:name="_Toc184313279"/>
      <w:bookmarkEnd w:id="157"/>
      <w:bookmarkStart w:id="158" w:name="_Toc184314481"/>
      <w:bookmarkEnd w:id="158"/>
      <w:bookmarkStart w:id="159" w:name="_Toc184313285"/>
      <w:bookmarkEnd w:id="159"/>
      <w:bookmarkStart w:id="160" w:name="_Toc184312102"/>
      <w:bookmarkEnd w:id="160"/>
      <w:bookmarkStart w:id="161" w:name="_Toc184308038"/>
      <w:bookmarkEnd w:id="161"/>
      <w:bookmarkStart w:id="162" w:name="_Toc184310303"/>
      <w:bookmarkEnd w:id="162"/>
      <w:bookmarkStart w:id="163" w:name="_Toc184308102"/>
      <w:bookmarkEnd w:id="163"/>
      <w:bookmarkStart w:id="164" w:name="_Toc184313243"/>
      <w:bookmarkEnd w:id="164"/>
      <w:bookmarkStart w:id="165" w:name="_Toc184308094"/>
      <w:bookmarkEnd w:id="165"/>
      <w:bookmarkStart w:id="166" w:name="_Toc184308090"/>
      <w:bookmarkEnd w:id="166"/>
      <w:bookmarkStart w:id="167" w:name="_Toc184314440"/>
      <w:bookmarkEnd w:id="167"/>
      <w:bookmarkStart w:id="168" w:name="_Toc184308065"/>
      <w:bookmarkEnd w:id="168"/>
      <w:bookmarkStart w:id="169" w:name="_Toc184308070"/>
      <w:bookmarkEnd w:id="169"/>
      <w:bookmarkStart w:id="170" w:name="_Toc184308054"/>
      <w:bookmarkEnd w:id="170"/>
      <w:bookmarkStart w:id="171" w:name="_Toc184314458"/>
      <w:bookmarkEnd w:id="171"/>
      <w:bookmarkStart w:id="172" w:name="_Toc184308061"/>
      <w:bookmarkEnd w:id="172"/>
      <w:bookmarkStart w:id="173" w:name="_Toc184308087"/>
      <w:bookmarkEnd w:id="173"/>
      <w:bookmarkStart w:id="174" w:name="_Toc184310342"/>
      <w:bookmarkEnd w:id="174"/>
      <w:bookmarkStart w:id="175" w:name="_Toc184314467"/>
      <w:bookmarkEnd w:id="175"/>
      <w:bookmarkStart w:id="176" w:name="_Toc184308062"/>
      <w:bookmarkEnd w:id="176"/>
      <w:bookmarkStart w:id="177" w:name="_Toc184308075"/>
      <w:bookmarkEnd w:id="177"/>
      <w:bookmarkStart w:id="178" w:name="_Toc184313308"/>
      <w:bookmarkEnd w:id="178"/>
      <w:bookmarkStart w:id="179" w:name="_Toc184308059"/>
      <w:bookmarkEnd w:id="179"/>
      <w:bookmarkStart w:id="180" w:name="_Toc184310326"/>
      <w:bookmarkEnd w:id="180"/>
      <w:bookmarkStart w:id="181" w:name="_Toc184310328"/>
      <w:bookmarkEnd w:id="181"/>
      <w:bookmarkStart w:id="182" w:name="_Toc184308089"/>
      <w:bookmarkEnd w:id="182"/>
      <w:bookmarkStart w:id="183" w:name="_Toc184308067"/>
      <w:bookmarkEnd w:id="183"/>
      <w:bookmarkStart w:id="184" w:name="_Toc184308044"/>
      <w:bookmarkEnd w:id="184"/>
      <w:bookmarkStart w:id="185" w:name="_Toc184314432"/>
      <w:bookmarkEnd w:id="185"/>
      <w:bookmarkStart w:id="186" w:name="_Toc184314480"/>
      <w:bookmarkEnd w:id="186"/>
      <w:bookmarkStart w:id="187" w:name="_Toc184308042"/>
      <w:bookmarkEnd w:id="187"/>
      <w:bookmarkStart w:id="188" w:name="_Toc184313267"/>
      <w:bookmarkEnd w:id="188"/>
      <w:bookmarkStart w:id="189" w:name="_Toc184313301"/>
      <w:bookmarkEnd w:id="189"/>
      <w:bookmarkStart w:id="190" w:name="_Toc184310333"/>
      <w:bookmarkEnd w:id="190"/>
      <w:bookmarkStart w:id="191" w:name="_Toc184312106"/>
      <w:bookmarkEnd w:id="191"/>
      <w:bookmarkStart w:id="192" w:name="_Toc184312085"/>
      <w:bookmarkEnd w:id="192"/>
      <w:bookmarkStart w:id="193" w:name="_Toc184310297"/>
      <w:bookmarkEnd w:id="193"/>
      <w:bookmarkStart w:id="194" w:name="_Toc184310339"/>
      <w:bookmarkEnd w:id="194"/>
      <w:bookmarkStart w:id="195" w:name="_Toc184312123"/>
      <w:bookmarkEnd w:id="195"/>
      <w:bookmarkStart w:id="196" w:name="_Toc184314482"/>
      <w:bookmarkEnd w:id="196"/>
      <w:bookmarkStart w:id="197" w:name="_Toc184310317"/>
      <w:bookmarkEnd w:id="197"/>
      <w:bookmarkStart w:id="198" w:name="_Toc184312098"/>
      <w:bookmarkEnd w:id="198"/>
      <w:bookmarkStart w:id="199" w:name="_Toc184314412"/>
      <w:bookmarkEnd w:id="199"/>
      <w:bookmarkStart w:id="200" w:name="_Toc184313298"/>
      <w:bookmarkEnd w:id="200"/>
      <w:bookmarkStart w:id="201" w:name="_Toc184314449"/>
      <w:bookmarkEnd w:id="201"/>
      <w:bookmarkStart w:id="202" w:name="_Toc184313288"/>
      <w:bookmarkEnd w:id="202"/>
      <w:bookmarkStart w:id="203" w:name="_Toc184314473"/>
      <w:bookmarkEnd w:id="203"/>
      <w:bookmarkStart w:id="204" w:name="_Toc184310341"/>
      <w:bookmarkEnd w:id="204"/>
      <w:bookmarkStart w:id="205" w:name="_Toc184313274"/>
      <w:bookmarkEnd w:id="205"/>
      <w:bookmarkStart w:id="206" w:name="_Toc184310281"/>
      <w:bookmarkEnd w:id="206"/>
      <w:bookmarkStart w:id="207" w:name="_Toc184312127"/>
      <w:bookmarkEnd w:id="207"/>
      <w:bookmarkStart w:id="208" w:name="_Toc184313241"/>
      <w:bookmarkEnd w:id="208"/>
      <w:bookmarkStart w:id="209" w:name="_Toc184308064"/>
      <w:bookmarkEnd w:id="209"/>
      <w:bookmarkStart w:id="210" w:name="_Toc184314462"/>
      <w:bookmarkEnd w:id="210"/>
      <w:bookmarkStart w:id="211" w:name="_Toc184313290"/>
      <w:bookmarkEnd w:id="211"/>
      <w:bookmarkStart w:id="212" w:name="_Toc184310330"/>
      <w:bookmarkEnd w:id="212"/>
      <w:bookmarkStart w:id="213" w:name="_Toc184310336"/>
      <w:bookmarkEnd w:id="213"/>
      <w:bookmarkStart w:id="214" w:name="_Toc184308083"/>
      <w:bookmarkEnd w:id="214"/>
      <w:bookmarkStart w:id="215" w:name="_Toc184312071"/>
      <w:bookmarkEnd w:id="215"/>
      <w:bookmarkStart w:id="216" w:name="_Toc184310316"/>
      <w:bookmarkEnd w:id="216"/>
      <w:bookmarkStart w:id="217" w:name="_Toc184312113"/>
      <w:bookmarkEnd w:id="217"/>
      <w:bookmarkStart w:id="218" w:name="_Toc184312109"/>
      <w:bookmarkEnd w:id="218"/>
      <w:bookmarkStart w:id="219" w:name="_Toc184313256"/>
      <w:bookmarkEnd w:id="219"/>
      <w:bookmarkStart w:id="220" w:name="_Toc184313249"/>
      <w:bookmarkEnd w:id="220"/>
      <w:bookmarkStart w:id="221" w:name="_Toc184310288"/>
      <w:bookmarkEnd w:id="221"/>
      <w:bookmarkStart w:id="222" w:name="_Toc184310335"/>
      <w:bookmarkEnd w:id="222"/>
      <w:bookmarkStart w:id="223" w:name="_Toc184312137"/>
      <w:bookmarkEnd w:id="223"/>
      <w:bookmarkStart w:id="224" w:name="_Toc184308088"/>
      <w:bookmarkEnd w:id="224"/>
      <w:bookmarkStart w:id="225" w:name="_Toc184308084"/>
      <w:bookmarkEnd w:id="225"/>
      <w:bookmarkStart w:id="226" w:name="_Toc184308071"/>
      <w:bookmarkEnd w:id="226"/>
      <w:bookmarkStart w:id="227" w:name="_Toc184310274"/>
      <w:bookmarkEnd w:id="227"/>
      <w:bookmarkStart w:id="228" w:name="_Toc184310308"/>
      <w:bookmarkEnd w:id="228"/>
      <w:bookmarkStart w:id="229" w:name="_Toc184312069"/>
      <w:bookmarkEnd w:id="229"/>
      <w:bookmarkStart w:id="230" w:name="_Toc184314453"/>
      <w:bookmarkEnd w:id="230"/>
      <w:bookmarkStart w:id="231" w:name="_Toc184312139"/>
      <w:bookmarkEnd w:id="231"/>
      <w:bookmarkStart w:id="232" w:name="_Toc184310289"/>
      <w:bookmarkEnd w:id="232"/>
      <w:bookmarkStart w:id="233" w:name="_Toc184313242"/>
      <w:bookmarkEnd w:id="233"/>
      <w:bookmarkStart w:id="234" w:name="_Toc184310325"/>
      <w:bookmarkEnd w:id="234"/>
      <w:bookmarkStart w:id="235" w:name="_Toc184308041"/>
      <w:bookmarkEnd w:id="235"/>
      <w:bookmarkStart w:id="236" w:name="_Toc184310338"/>
      <w:bookmarkEnd w:id="236"/>
      <w:bookmarkStart w:id="237" w:name="_Toc184312090"/>
      <w:bookmarkEnd w:id="237"/>
      <w:bookmarkStart w:id="238" w:name="_Toc184313277"/>
      <w:bookmarkEnd w:id="238"/>
      <w:bookmarkStart w:id="239" w:name="_Toc184314411"/>
      <w:bookmarkEnd w:id="239"/>
      <w:bookmarkStart w:id="240" w:name="_Toc184314455"/>
      <w:bookmarkEnd w:id="240"/>
      <w:bookmarkStart w:id="241" w:name="_Toc184314478"/>
      <w:bookmarkEnd w:id="241"/>
      <w:bookmarkStart w:id="242" w:name="_Toc184312126"/>
      <w:bookmarkEnd w:id="242"/>
      <w:bookmarkStart w:id="243" w:name="_Toc184313246"/>
      <w:bookmarkEnd w:id="243"/>
      <w:bookmarkStart w:id="244" w:name="_Toc184310293"/>
      <w:bookmarkEnd w:id="244"/>
      <w:bookmarkStart w:id="245" w:name="_Toc184310313"/>
      <w:bookmarkEnd w:id="245"/>
      <w:bookmarkStart w:id="246" w:name="_Toc184314426"/>
      <w:bookmarkEnd w:id="246"/>
      <w:bookmarkStart w:id="247" w:name="_Toc184313268"/>
      <w:bookmarkEnd w:id="247"/>
      <w:bookmarkStart w:id="248" w:name="_Toc184314424"/>
      <w:bookmarkEnd w:id="248"/>
      <w:bookmarkStart w:id="249" w:name="_Toc184314471"/>
      <w:bookmarkEnd w:id="249"/>
      <w:bookmarkStart w:id="250" w:name="_Toc184308052"/>
      <w:bookmarkEnd w:id="250"/>
      <w:bookmarkStart w:id="251" w:name="_Toc184313283"/>
      <w:bookmarkEnd w:id="251"/>
      <w:bookmarkStart w:id="252" w:name="_Toc184310306"/>
      <w:bookmarkEnd w:id="252"/>
      <w:bookmarkStart w:id="253" w:name="_Toc184308049"/>
      <w:bookmarkEnd w:id="253"/>
      <w:bookmarkStart w:id="254" w:name="_Toc184308050"/>
      <w:bookmarkEnd w:id="254"/>
      <w:bookmarkStart w:id="255" w:name="_Toc184312103"/>
      <w:bookmarkEnd w:id="255"/>
      <w:bookmarkStart w:id="256" w:name="_Toc184312080"/>
      <w:bookmarkEnd w:id="256"/>
      <w:bookmarkStart w:id="257" w:name="_Toc184313240"/>
      <w:bookmarkEnd w:id="257"/>
      <w:bookmarkStart w:id="258" w:name="_Toc184308076"/>
      <w:bookmarkEnd w:id="258"/>
      <w:bookmarkStart w:id="259" w:name="_Toc184313258"/>
      <w:bookmarkEnd w:id="259"/>
      <w:bookmarkStart w:id="260" w:name="_Toc184313255"/>
      <w:bookmarkEnd w:id="260"/>
      <w:bookmarkStart w:id="261" w:name="_Toc184314435"/>
      <w:bookmarkEnd w:id="261"/>
      <w:bookmarkStart w:id="262" w:name="_Toc184314410"/>
      <w:bookmarkEnd w:id="262"/>
      <w:bookmarkStart w:id="263" w:name="_Toc184313252"/>
      <w:bookmarkEnd w:id="263"/>
      <w:bookmarkStart w:id="264" w:name="_Toc184310282"/>
      <w:bookmarkEnd w:id="264"/>
      <w:bookmarkStart w:id="265" w:name="_Toc184310305"/>
      <w:bookmarkEnd w:id="265"/>
      <w:bookmarkStart w:id="266" w:name="_Toc184310298"/>
      <w:bookmarkEnd w:id="266"/>
      <w:bookmarkStart w:id="267" w:name="_Toc184308080"/>
      <w:bookmarkEnd w:id="267"/>
      <w:bookmarkStart w:id="268" w:name="_Toc184312138"/>
      <w:bookmarkEnd w:id="268"/>
      <w:bookmarkStart w:id="269" w:name="_Toc184310310"/>
      <w:bookmarkEnd w:id="269"/>
      <w:bookmarkStart w:id="270" w:name="_Toc184313292"/>
      <w:bookmarkEnd w:id="270"/>
      <w:bookmarkStart w:id="271" w:name="_Toc184313286"/>
      <w:bookmarkEnd w:id="271"/>
      <w:bookmarkStart w:id="272" w:name="_Toc184313296"/>
      <w:bookmarkEnd w:id="272"/>
      <w:bookmarkStart w:id="273" w:name="_Toc184314451"/>
      <w:bookmarkEnd w:id="273"/>
      <w:bookmarkStart w:id="274" w:name="_Toc184310295"/>
      <w:bookmarkEnd w:id="274"/>
      <w:bookmarkStart w:id="275" w:name="_Toc184313284"/>
      <w:bookmarkEnd w:id="275"/>
      <w:bookmarkStart w:id="276" w:name="_Toc184308053"/>
      <w:bookmarkEnd w:id="276"/>
      <w:bookmarkStart w:id="277" w:name="_Toc184313271"/>
      <w:bookmarkEnd w:id="277"/>
      <w:bookmarkStart w:id="278" w:name="_Toc184313309"/>
      <w:bookmarkEnd w:id="278"/>
      <w:bookmarkStart w:id="279" w:name="_Toc184310302"/>
      <w:bookmarkEnd w:id="279"/>
      <w:bookmarkStart w:id="280" w:name="_Toc184312119"/>
      <w:bookmarkEnd w:id="280"/>
      <w:bookmarkStart w:id="281" w:name="_Toc184308063"/>
      <w:bookmarkEnd w:id="281"/>
      <w:bookmarkStart w:id="282" w:name="_Toc184314413"/>
      <w:bookmarkEnd w:id="282"/>
      <w:bookmarkStart w:id="283" w:name="_Toc184308073"/>
      <w:bookmarkEnd w:id="283"/>
      <w:bookmarkStart w:id="284" w:name="_Toc184313307"/>
      <w:bookmarkEnd w:id="284"/>
      <w:bookmarkStart w:id="285" w:name="_Toc184310327"/>
      <w:bookmarkEnd w:id="285"/>
      <w:bookmarkStart w:id="286" w:name="_Toc184314437"/>
      <w:bookmarkEnd w:id="286"/>
      <w:bookmarkStart w:id="287" w:name="_Toc184313275"/>
      <w:bookmarkEnd w:id="287"/>
      <w:bookmarkStart w:id="288" w:name="_Toc184314475"/>
      <w:bookmarkEnd w:id="288"/>
      <w:bookmarkStart w:id="289" w:name="_Toc184308046"/>
      <w:bookmarkEnd w:id="289"/>
      <w:bookmarkStart w:id="290" w:name="_Toc184308060"/>
      <w:bookmarkEnd w:id="290"/>
      <w:bookmarkStart w:id="291" w:name="_Toc184313310"/>
      <w:bookmarkEnd w:id="291"/>
      <w:bookmarkStart w:id="292" w:name="_Toc184312134"/>
      <w:bookmarkEnd w:id="292"/>
      <w:bookmarkStart w:id="293" w:name="_Toc184310319"/>
      <w:bookmarkEnd w:id="293"/>
      <w:bookmarkStart w:id="294" w:name="_Toc184313305"/>
      <w:bookmarkEnd w:id="294"/>
      <w:bookmarkStart w:id="295" w:name="_Toc184313291"/>
      <w:bookmarkEnd w:id="295"/>
      <w:bookmarkStart w:id="296" w:name="_Toc184312132"/>
      <w:bookmarkEnd w:id="296"/>
      <w:bookmarkStart w:id="297" w:name="_Toc184314418"/>
      <w:bookmarkEnd w:id="297"/>
      <w:bookmarkStart w:id="298" w:name="_Toc184313295"/>
      <w:bookmarkEnd w:id="298"/>
      <w:bookmarkStart w:id="299" w:name="_Toc184310332"/>
      <w:bookmarkEnd w:id="299"/>
      <w:bookmarkStart w:id="300" w:name="_Toc184308068"/>
      <w:bookmarkEnd w:id="300"/>
      <w:bookmarkStart w:id="301" w:name="_Toc184308036"/>
      <w:bookmarkEnd w:id="301"/>
      <w:bookmarkStart w:id="302" w:name="_Toc184308079"/>
      <w:bookmarkEnd w:id="302"/>
      <w:bookmarkStart w:id="303" w:name="_Toc184314452"/>
      <w:bookmarkEnd w:id="303"/>
      <w:bookmarkStart w:id="304" w:name="_Toc184310340"/>
      <w:bookmarkEnd w:id="304"/>
      <w:bookmarkStart w:id="305" w:name="_Toc184313282"/>
      <w:bookmarkEnd w:id="305"/>
      <w:bookmarkStart w:id="306" w:name="_Toc184314423"/>
      <w:bookmarkEnd w:id="306"/>
      <w:bookmarkStart w:id="307" w:name="_Toc184314430"/>
      <w:bookmarkEnd w:id="307"/>
      <w:bookmarkStart w:id="308" w:name="_Toc184314429"/>
      <w:bookmarkEnd w:id="308"/>
      <w:bookmarkStart w:id="309" w:name="_Toc184313278"/>
      <w:bookmarkEnd w:id="309"/>
      <w:bookmarkStart w:id="310" w:name="_Toc184310320"/>
      <w:bookmarkEnd w:id="310"/>
      <w:bookmarkStart w:id="311" w:name="_Toc184310284"/>
      <w:bookmarkEnd w:id="311"/>
      <w:bookmarkStart w:id="312" w:name="_Toc184312129"/>
      <w:bookmarkEnd w:id="312"/>
      <w:bookmarkStart w:id="313" w:name="_Toc184312088"/>
      <w:bookmarkEnd w:id="313"/>
      <w:bookmarkStart w:id="314" w:name="_Toc184312091"/>
      <w:bookmarkEnd w:id="314"/>
      <w:bookmarkStart w:id="315" w:name="_Toc184310324"/>
      <w:bookmarkEnd w:id="315"/>
      <w:bookmarkStart w:id="316" w:name="_Toc184310304"/>
      <w:bookmarkEnd w:id="316"/>
      <w:bookmarkStart w:id="317" w:name="_Toc184308085"/>
      <w:bookmarkEnd w:id="317"/>
      <w:bookmarkStart w:id="318" w:name="_Toc184314414"/>
      <w:bookmarkEnd w:id="318"/>
      <w:bookmarkStart w:id="319" w:name="_Toc184310285"/>
      <w:bookmarkEnd w:id="319"/>
      <w:bookmarkStart w:id="320" w:name="_Toc184313269"/>
      <w:bookmarkEnd w:id="320"/>
      <w:bookmarkStart w:id="321" w:name="_Toc184314472"/>
      <w:bookmarkEnd w:id="321"/>
      <w:bookmarkStart w:id="322" w:name="_Toc184312075"/>
      <w:bookmarkEnd w:id="322"/>
      <w:bookmarkStart w:id="323" w:name="_Toc184308098"/>
      <w:bookmarkEnd w:id="323"/>
      <w:bookmarkStart w:id="324" w:name="_Toc184312131"/>
      <w:bookmarkEnd w:id="324"/>
      <w:bookmarkStart w:id="325" w:name="_Toc184310280"/>
      <w:bookmarkEnd w:id="325"/>
      <w:bookmarkStart w:id="326" w:name="_Toc184310312"/>
      <w:bookmarkEnd w:id="326"/>
      <w:bookmarkStart w:id="327" w:name="_Toc184308047"/>
      <w:bookmarkEnd w:id="327"/>
      <w:bookmarkStart w:id="328" w:name="_Toc184314460"/>
      <w:bookmarkEnd w:id="328"/>
      <w:bookmarkStart w:id="329" w:name="_Toc184310296"/>
      <w:bookmarkEnd w:id="329"/>
      <w:bookmarkStart w:id="330" w:name="_Toc184314476"/>
      <w:bookmarkEnd w:id="330"/>
      <w:bookmarkStart w:id="331" w:name="_Toc184310323"/>
      <w:bookmarkEnd w:id="331"/>
      <w:bookmarkStart w:id="332" w:name="_Toc184312093"/>
      <w:bookmarkEnd w:id="332"/>
      <w:bookmarkStart w:id="333" w:name="_Toc184313306"/>
      <w:bookmarkEnd w:id="333"/>
      <w:bookmarkStart w:id="334" w:name="_Toc184312112"/>
      <w:bookmarkEnd w:id="334"/>
      <w:bookmarkStart w:id="335" w:name="_Toc184312136"/>
      <w:bookmarkEnd w:id="335"/>
      <w:bookmarkStart w:id="336" w:name="_Toc184310314"/>
      <w:bookmarkEnd w:id="336"/>
      <w:bookmarkStart w:id="337" w:name="_Toc184308101"/>
      <w:bookmarkEnd w:id="337"/>
      <w:bookmarkStart w:id="338" w:name="_Toc184314415"/>
      <w:bookmarkEnd w:id="338"/>
      <w:bookmarkStart w:id="339" w:name="_Toc184312124"/>
      <w:bookmarkEnd w:id="339"/>
      <w:bookmarkStart w:id="340" w:name="_Toc184308039"/>
      <w:bookmarkEnd w:id="340"/>
      <w:bookmarkStart w:id="341" w:name="_Toc184308108"/>
      <w:bookmarkEnd w:id="341"/>
      <w:bookmarkStart w:id="342" w:name="_Toc184312094"/>
      <w:bookmarkEnd w:id="342"/>
      <w:bookmarkStart w:id="343" w:name="_Toc184310273"/>
      <w:bookmarkEnd w:id="343"/>
      <w:bookmarkStart w:id="344" w:name="_Toc184313250"/>
      <w:bookmarkEnd w:id="344"/>
      <w:bookmarkStart w:id="345" w:name="_Toc184308104"/>
      <w:bookmarkEnd w:id="345"/>
      <w:bookmarkStart w:id="346" w:name="_Toc184308100"/>
      <w:bookmarkEnd w:id="346"/>
      <w:bookmarkStart w:id="347" w:name="_Toc184310334"/>
      <w:bookmarkEnd w:id="347"/>
      <w:bookmarkStart w:id="348" w:name="_Toc184314450"/>
      <w:bookmarkEnd w:id="348"/>
      <w:bookmarkStart w:id="349" w:name="_Toc184312086"/>
      <w:bookmarkEnd w:id="349"/>
      <w:bookmarkStart w:id="350" w:name="_Toc184312130"/>
      <w:bookmarkEnd w:id="350"/>
      <w:bookmarkStart w:id="351" w:name="_Toc184312099"/>
      <w:bookmarkEnd w:id="351"/>
      <w:bookmarkStart w:id="352" w:name="_Toc184314427"/>
      <w:bookmarkEnd w:id="352"/>
      <w:bookmarkStart w:id="353" w:name="_Toc184314444"/>
      <w:bookmarkEnd w:id="353"/>
      <w:bookmarkStart w:id="354" w:name="_Toc184310272"/>
      <w:bookmarkEnd w:id="354"/>
      <w:bookmarkStart w:id="355" w:name="_Toc184314421"/>
      <w:bookmarkEnd w:id="355"/>
      <w:bookmarkStart w:id="356" w:name="_Toc184313244"/>
      <w:bookmarkEnd w:id="356"/>
      <w:bookmarkStart w:id="357" w:name="_Toc184312104"/>
      <w:bookmarkEnd w:id="357"/>
      <w:bookmarkStart w:id="358" w:name="_Toc184313302"/>
      <w:bookmarkEnd w:id="358"/>
      <w:bookmarkStart w:id="359" w:name="_Toc184308077"/>
      <w:bookmarkEnd w:id="359"/>
      <w:bookmarkStart w:id="360" w:name="_Toc184314454"/>
      <w:bookmarkEnd w:id="360"/>
      <w:bookmarkStart w:id="361" w:name="_Toc184313247"/>
      <w:bookmarkEnd w:id="361"/>
      <w:bookmarkStart w:id="362" w:name="_Toc184310329"/>
      <w:bookmarkEnd w:id="362"/>
      <w:bookmarkStart w:id="363" w:name="_Toc184314464"/>
      <w:bookmarkEnd w:id="363"/>
      <w:bookmarkStart w:id="364" w:name="_Toc184312078"/>
      <w:bookmarkEnd w:id="364"/>
      <w:bookmarkStart w:id="365" w:name="_Toc184308095"/>
      <w:bookmarkEnd w:id="365"/>
      <w:bookmarkStart w:id="366" w:name="_Toc184308072"/>
      <w:bookmarkEnd w:id="366"/>
      <w:bookmarkStart w:id="367" w:name="_Toc184314445"/>
      <w:bookmarkEnd w:id="367"/>
      <w:bookmarkStart w:id="368" w:name="_Toc184314425"/>
      <w:bookmarkEnd w:id="368"/>
      <w:bookmarkStart w:id="369" w:name="_Toc184314448"/>
      <w:bookmarkEnd w:id="369"/>
      <w:bookmarkStart w:id="370" w:name="_Toc184313294"/>
      <w:bookmarkEnd w:id="370"/>
      <w:bookmarkStart w:id="371" w:name="_Toc184308099"/>
      <w:bookmarkEnd w:id="371"/>
      <w:bookmarkStart w:id="372" w:name="_Toc184308074"/>
      <w:bookmarkEnd w:id="372"/>
      <w:bookmarkStart w:id="373" w:name="_Toc184312089"/>
      <w:bookmarkEnd w:id="373"/>
      <w:bookmarkStart w:id="374" w:name="_Toc184312097"/>
      <w:bookmarkEnd w:id="374"/>
      <w:bookmarkStart w:id="375" w:name="_Toc184308048"/>
      <w:bookmarkEnd w:id="375"/>
      <w:bookmarkStart w:id="376" w:name="_Toc184314439"/>
      <w:bookmarkEnd w:id="376"/>
      <w:bookmarkStart w:id="377" w:name="_Toc184313300"/>
      <w:bookmarkEnd w:id="377"/>
      <w:bookmarkStart w:id="378" w:name="_Toc184313245"/>
      <w:bookmarkEnd w:id="378"/>
      <w:bookmarkStart w:id="379" w:name="_Toc184313251"/>
      <w:bookmarkEnd w:id="379"/>
      <w:bookmarkStart w:id="380" w:name="_Toc184310276"/>
      <w:bookmarkEnd w:id="380"/>
      <w:bookmarkStart w:id="381" w:name="_Toc184313248"/>
      <w:bookmarkEnd w:id="381"/>
      <w:bookmarkStart w:id="382" w:name="_Toc184308045"/>
      <w:bookmarkEnd w:id="382"/>
      <w:bookmarkStart w:id="383" w:name="_Toc184314456"/>
      <w:bookmarkEnd w:id="383"/>
      <w:bookmarkStart w:id="384" w:name="_Toc184312107"/>
      <w:bookmarkEnd w:id="384"/>
      <w:bookmarkStart w:id="385" w:name="_Toc184308092"/>
      <w:bookmarkEnd w:id="385"/>
      <w:bookmarkStart w:id="386" w:name="_Toc184313261"/>
      <w:bookmarkEnd w:id="386"/>
      <w:bookmarkStart w:id="387" w:name="_Toc184313299"/>
      <w:bookmarkEnd w:id="387"/>
      <w:bookmarkStart w:id="388" w:name="_Toc184312121"/>
      <w:bookmarkEnd w:id="388"/>
      <w:bookmarkStart w:id="389" w:name="_Toc184314477"/>
      <w:bookmarkEnd w:id="389"/>
      <w:bookmarkStart w:id="390" w:name="_Toc184312073"/>
      <w:bookmarkEnd w:id="390"/>
      <w:bookmarkStart w:id="391" w:name="_Toc184314433"/>
      <w:bookmarkEnd w:id="391"/>
      <w:bookmarkStart w:id="392" w:name="_Toc184314446"/>
      <w:bookmarkEnd w:id="392"/>
      <w:bookmarkStart w:id="393" w:name="_Toc184310307"/>
      <w:bookmarkEnd w:id="393"/>
      <w:bookmarkStart w:id="394" w:name="_Toc184308103"/>
      <w:bookmarkEnd w:id="394"/>
      <w:bookmarkStart w:id="395" w:name="_Toc184312082"/>
      <w:bookmarkEnd w:id="395"/>
      <w:bookmarkStart w:id="396" w:name="_Toc184313260"/>
      <w:bookmarkEnd w:id="396"/>
      <w:bookmarkStart w:id="397" w:name="_Toc184312116"/>
      <w:bookmarkEnd w:id="397"/>
      <w:bookmarkStart w:id="398" w:name="_Toc184314420"/>
      <w:bookmarkEnd w:id="398"/>
      <w:bookmarkStart w:id="399" w:name="_Toc184308040"/>
      <w:bookmarkEnd w:id="399"/>
      <w:bookmarkStart w:id="400" w:name="_Toc184313276"/>
      <w:bookmarkEnd w:id="400"/>
      <w:bookmarkStart w:id="401" w:name="_Toc184308097"/>
      <w:bookmarkEnd w:id="401"/>
      <w:bookmarkStart w:id="402" w:name="_Toc184312114"/>
      <w:bookmarkEnd w:id="402"/>
      <w:bookmarkStart w:id="403" w:name="_Toc184312070"/>
      <w:bookmarkEnd w:id="403"/>
      <w:r>
        <w:rPr>
          <w:rFonts w:hint="eastAsia" w:ascii="宋体" w:hAnsi="宋体" w:cs="宋体"/>
          <w:b/>
          <w:color w:val="auto"/>
          <w:sz w:val="36"/>
          <w:szCs w:val="36"/>
          <w:highlight w:val="none"/>
        </w:rPr>
        <w:t xml:space="preserve"> 评标办法</w:t>
      </w:r>
      <w:bookmarkEnd w:id="38"/>
    </w:p>
    <w:p w14:paraId="02A9C450">
      <w:pPr>
        <w:snapToGrid w:val="0"/>
        <w:spacing w:line="360" w:lineRule="auto"/>
        <w:jc w:val="center"/>
        <w:outlineLvl w:val="1"/>
        <w:rPr>
          <w:rFonts w:hint="eastAsia" w:ascii="宋体" w:hAnsi="宋体" w:cs="宋体"/>
          <w:b/>
          <w:color w:val="auto"/>
          <w:sz w:val="32"/>
          <w:szCs w:val="20"/>
          <w:highlight w:val="none"/>
        </w:rPr>
      </w:pPr>
      <w:r>
        <w:rPr>
          <w:rFonts w:hint="eastAsia" w:ascii="宋体" w:hAnsi="宋体" w:cs="宋体"/>
          <w:b/>
          <w:color w:val="auto"/>
          <w:sz w:val="32"/>
          <w:szCs w:val="20"/>
          <w:highlight w:val="none"/>
        </w:rPr>
        <w:t>评标办法前附表（适用于</w:t>
      </w:r>
      <w:r>
        <w:rPr>
          <w:rFonts w:hint="eastAsia" w:ascii="宋体" w:hAnsi="宋体" w:cs="宋体"/>
          <w:b/>
          <w:color w:val="auto"/>
          <w:sz w:val="32"/>
          <w:szCs w:val="20"/>
          <w:highlight w:val="none"/>
          <w:lang w:eastAsia="zh-CN"/>
        </w:rPr>
        <w:t>本项目</w:t>
      </w:r>
      <w:r>
        <w:rPr>
          <w:rFonts w:hint="eastAsia" w:ascii="宋体" w:hAnsi="宋体" w:cs="宋体"/>
          <w:b/>
          <w:color w:val="auto"/>
          <w:sz w:val="32"/>
          <w:szCs w:val="20"/>
          <w:highlight w:val="none"/>
        </w:rPr>
        <w:t>所有标项）</w:t>
      </w:r>
    </w:p>
    <w:p w14:paraId="7E1E5D38">
      <w:pPr>
        <w:spacing w:line="440" w:lineRule="exact"/>
        <w:jc w:val="center"/>
        <w:rPr>
          <w:rFonts w:ascii="宋体" w:hAnsi="宋体" w:cs="宋体"/>
          <w:b/>
          <w:bCs/>
          <w:color w:val="auto"/>
          <w:sz w:val="32"/>
          <w:szCs w:val="32"/>
          <w:highlight w:val="none"/>
        </w:rPr>
      </w:pPr>
      <w:r>
        <w:rPr>
          <w:rFonts w:hint="eastAsia" w:ascii="宋体" w:hAnsi="宋体" w:cs="宋体"/>
          <w:b/>
          <w:bCs/>
          <w:color w:val="auto"/>
          <w:sz w:val="32"/>
          <w:szCs w:val="32"/>
          <w:highlight w:val="none"/>
        </w:rPr>
        <w:t>综合评分法</w:t>
      </w:r>
    </w:p>
    <w:p w14:paraId="5D998921">
      <w:pPr>
        <w:adjustRightInd w:val="0"/>
        <w:snapToGrid w:val="0"/>
        <w:spacing w:line="400" w:lineRule="exact"/>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一、评标原则</w:t>
      </w:r>
    </w:p>
    <w:p w14:paraId="1DD6985A">
      <w:pPr>
        <w:adjustRightInd w:val="0"/>
        <w:snapToGrid w:val="0"/>
        <w:spacing w:line="400" w:lineRule="exact"/>
        <w:ind w:firstLine="420" w:firstLineChars="200"/>
        <w:rPr>
          <w:rFonts w:ascii="宋体" w:hAnsi="宋体" w:cs="宋体"/>
          <w:color w:val="auto"/>
          <w:szCs w:val="21"/>
          <w:highlight w:val="none"/>
        </w:rPr>
      </w:pPr>
      <w:r>
        <w:rPr>
          <w:rFonts w:hint="eastAsia" w:ascii="宋体" w:hAnsi="宋体" w:cs="宋体"/>
          <w:color w:val="auto"/>
          <w:szCs w:val="21"/>
          <w:highlight w:val="none"/>
        </w:rPr>
        <w:t>(一)评委组成：本招标采购项目的评标委员会由采购人代表和有关技术、经济等方面的专家组成，成员人数应当为7人以上单数，其中评审专家不得少于成员总数的三分之二。</w:t>
      </w:r>
    </w:p>
    <w:p w14:paraId="5BE0FF73">
      <w:pPr>
        <w:adjustRightInd w:val="0"/>
        <w:snapToGrid w:val="0"/>
        <w:spacing w:line="400" w:lineRule="exact"/>
        <w:ind w:firstLine="420" w:firstLineChars="200"/>
        <w:jc w:val="left"/>
        <w:rPr>
          <w:rFonts w:ascii="宋体" w:hAnsi="宋体" w:cs="宋体"/>
          <w:color w:val="auto"/>
          <w:kern w:val="0"/>
          <w:szCs w:val="21"/>
          <w:highlight w:val="none"/>
        </w:rPr>
      </w:pPr>
      <w:r>
        <w:rPr>
          <w:rFonts w:hint="eastAsia" w:ascii="宋体" w:hAnsi="宋体" w:cs="宋体"/>
          <w:color w:val="auto"/>
          <w:kern w:val="0"/>
          <w:szCs w:val="21"/>
          <w:highlight w:val="none"/>
        </w:rPr>
        <w:t>(二)评标依据：评委将以招投标文件为评标依据，对投标人的投标报价，服务方案，信誉业绩等方面的内容按百分制打分。</w:t>
      </w:r>
    </w:p>
    <w:p w14:paraId="661AA5FC">
      <w:pPr>
        <w:adjustRightInd w:val="0"/>
        <w:snapToGrid w:val="0"/>
        <w:spacing w:line="40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(三)评标方式：以封闭方式进行。</w:t>
      </w:r>
    </w:p>
    <w:p w14:paraId="713A612D">
      <w:pPr>
        <w:adjustRightInd w:val="0"/>
        <w:snapToGrid w:val="0"/>
        <w:spacing w:line="400" w:lineRule="exact"/>
        <w:ind w:firstLine="422" w:firstLineChars="200"/>
        <w:jc w:val="left"/>
        <w:rPr>
          <w:rFonts w:hint="eastAsia" w:ascii="宋体" w:hAnsi="宋体" w:eastAsia="宋体" w:cs="宋体"/>
          <w:b/>
          <w:bCs/>
          <w:color w:val="auto"/>
          <w:kern w:val="0"/>
          <w:szCs w:val="21"/>
          <w:highlight w:val="none"/>
          <w:lang w:eastAsia="zh-CN"/>
        </w:rPr>
      </w:pPr>
      <w:r>
        <w:rPr>
          <w:rFonts w:hint="eastAsia" w:ascii="宋体" w:hAnsi="宋体" w:cs="宋体"/>
          <w:b/>
          <w:bCs/>
          <w:color w:val="auto"/>
          <w:kern w:val="0"/>
          <w:szCs w:val="21"/>
          <w:highlight w:val="none"/>
          <w:lang w:eastAsia="zh-CN"/>
        </w:rPr>
        <w:t>（四）本项目划分为1、2、3、4四个分标，实行兼投不兼中，供应商可以同时参与多个分标投标，但只能中标一个分标。评标委员会严格按照1→2→3→4的顺序依次开展评审；若某供应商在前序分标被确定为第一中标候选人，该供应商不再进入后续所有分标的详细评审及中标候选人推荐环节，在后续所有分标评审中，评标委员会直接对其作符合性审查否决处理，后续分标从剩余有效投标人（不得少于3家）中正常评审。</w:t>
      </w:r>
    </w:p>
    <w:p w14:paraId="072F5321">
      <w:pPr>
        <w:pStyle w:val="513"/>
        <w:rPr>
          <w:rFonts w:hint="eastAsia"/>
          <w:color w:val="auto"/>
          <w:highlight w:val="none"/>
        </w:rPr>
      </w:pPr>
    </w:p>
    <w:tbl>
      <w:tblPr>
        <w:tblStyle w:val="64"/>
        <w:tblW w:w="1000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5"/>
        <w:gridCol w:w="594"/>
        <w:gridCol w:w="928"/>
        <w:gridCol w:w="5716"/>
        <w:gridCol w:w="874"/>
        <w:gridCol w:w="1263"/>
      </w:tblGrid>
      <w:tr w14:paraId="57A51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shd w:val="clear" w:color="auto" w:fill="auto"/>
            <w:tcMar>
              <w:top w:w="0" w:type="dxa"/>
              <w:left w:w="57" w:type="dxa"/>
              <w:bottom w:w="0" w:type="dxa"/>
              <w:right w:w="57" w:type="dxa"/>
            </w:tcMar>
            <w:vAlign w:val="center"/>
          </w:tcPr>
          <w:p w14:paraId="456F9924">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序号</w:t>
            </w:r>
          </w:p>
        </w:tc>
        <w:tc>
          <w:tcPr>
            <w:tcW w:w="1522" w:type="dxa"/>
            <w:gridSpan w:val="2"/>
            <w:shd w:val="clear" w:color="auto" w:fill="auto"/>
            <w:tcMar>
              <w:top w:w="0" w:type="dxa"/>
              <w:left w:w="57" w:type="dxa"/>
              <w:bottom w:w="0" w:type="dxa"/>
              <w:right w:w="57" w:type="dxa"/>
            </w:tcMar>
            <w:vAlign w:val="center"/>
          </w:tcPr>
          <w:p w14:paraId="6D5D85C4">
            <w:pPr>
              <w:keepNext w:val="0"/>
              <w:keepLines w:val="0"/>
              <w:pageBreakBefore w:val="0"/>
              <w:widowControl w:val="0"/>
              <w:kinsoku/>
              <w:wordWrap/>
              <w:overflowPunct/>
              <w:topLinePunct w:val="0"/>
              <w:autoSpaceDE/>
              <w:autoSpaceDN/>
              <w:bidi w:val="0"/>
              <w:adjustRightInd w:val="0"/>
              <w:snapToGrid/>
              <w:spacing w:line="400" w:lineRule="exact"/>
              <w:ind w:firstLine="482"/>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color w:val="auto"/>
                <w:sz w:val="24"/>
                <w:szCs w:val="24"/>
                <w:highlight w:val="none"/>
              </w:rPr>
              <w:t>评分因素</w:t>
            </w:r>
          </w:p>
        </w:tc>
        <w:tc>
          <w:tcPr>
            <w:tcW w:w="5716" w:type="dxa"/>
            <w:shd w:val="clear" w:color="auto" w:fill="auto"/>
            <w:tcMar>
              <w:top w:w="0" w:type="dxa"/>
              <w:left w:w="57" w:type="dxa"/>
              <w:bottom w:w="0" w:type="dxa"/>
              <w:right w:w="57" w:type="dxa"/>
            </w:tcMar>
            <w:vAlign w:val="center"/>
          </w:tcPr>
          <w:p w14:paraId="77990535">
            <w:pPr>
              <w:keepNext w:val="0"/>
              <w:keepLines w:val="0"/>
              <w:pageBreakBefore w:val="0"/>
              <w:widowControl w:val="0"/>
              <w:kinsoku/>
              <w:wordWrap/>
              <w:overflowPunct/>
              <w:topLinePunct w:val="0"/>
              <w:autoSpaceDE/>
              <w:autoSpaceDN/>
              <w:bidi w:val="0"/>
              <w:adjustRightInd w:val="0"/>
              <w:snapToGrid/>
              <w:spacing w:line="400" w:lineRule="exact"/>
              <w:ind w:firstLine="482"/>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评标标准</w:t>
            </w:r>
          </w:p>
        </w:tc>
        <w:tc>
          <w:tcPr>
            <w:tcW w:w="874" w:type="dxa"/>
            <w:shd w:val="clear" w:color="auto" w:fill="auto"/>
            <w:tcMar>
              <w:top w:w="0" w:type="dxa"/>
              <w:left w:w="57" w:type="dxa"/>
              <w:bottom w:w="0" w:type="dxa"/>
              <w:right w:w="57" w:type="dxa"/>
            </w:tcMar>
            <w:vAlign w:val="center"/>
          </w:tcPr>
          <w:p w14:paraId="47675CD4">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w:t>
            </w:r>
          </w:p>
        </w:tc>
        <w:tc>
          <w:tcPr>
            <w:tcW w:w="1263" w:type="dxa"/>
            <w:shd w:val="clear" w:color="auto" w:fill="auto"/>
            <w:tcMar>
              <w:top w:w="0" w:type="dxa"/>
              <w:left w:w="0" w:type="dxa"/>
              <w:bottom w:w="0" w:type="dxa"/>
              <w:right w:w="0" w:type="dxa"/>
            </w:tcMar>
            <w:vAlign w:val="center"/>
          </w:tcPr>
          <w:p w14:paraId="359F3A2A">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主观分/客观分属性</w:t>
            </w:r>
          </w:p>
        </w:tc>
      </w:tr>
      <w:tr w14:paraId="4F340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shd w:val="clear" w:color="auto" w:fill="auto"/>
            <w:tcMar>
              <w:top w:w="0" w:type="dxa"/>
              <w:left w:w="57" w:type="dxa"/>
              <w:bottom w:w="0" w:type="dxa"/>
              <w:right w:w="57" w:type="dxa"/>
            </w:tcMar>
            <w:vAlign w:val="center"/>
          </w:tcPr>
          <w:p w14:paraId="637D8B7B">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p>
        </w:tc>
        <w:tc>
          <w:tcPr>
            <w:tcW w:w="9375" w:type="dxa"/>
            <w:gridSpan w:val="5"/>
            <w:shd w:val="clear" w:color="auto" w:fill="auto"/>
            <w:tcMar>
              <w:top w:w="0" w:type="dxa"/>
              <w:left w:w="57" w:type="dxa"/>
              <w:bottom w:w="0" w:type="dxa"/>
              <w:right w:w="57" w:type="dxa"/>
            </w:tcMar>
            <w:vAlign w:val="center"/>
          </w:tcPr>
          <w:p w14:paraId="3961FCEA">
            <w:pPr>
              <w:keepNext w:val="0"/>
              <w:keepLines w:val="0"/>
              <w:pageBreakBefore w:val="0"/>
              <w:widowControl w:val="0"/>
              <w:kinsoku/>
              <w:wordWrap/>
              <w:overflowPunct/>
              <w:topLinePunct w:val="0"/>
              <w:autoSpaceDE/>
              <w:autoSpaceDN/>
              <w:bidi w:val="0"/>
              <w:adjustRightInd w:val="0"/>
              <w:snapToGrid/>
              <w:spacing w:line="400" w:lineRule="exact"/>
              <w:ind w:firstLine="48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w:t>
            </w:r>
          </w:p>
        </w:tc>
      </w:tr>
      <w:tr w14:paraId="0A2E9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tcMar>
              <w:top w:w="0" w:type="dxa"/>
              <w:left w:w="57" w:type="dxa"/>
              <w:bottom w:w="0" w:type="dxa"/>
              <w:right w:w="57" w:type="dxa"/>
            </w:tcMar>
            <w:vAlign w:val="center"/>
          </w:tcPr>
          <w:p w14:paraId="3EE23B5D">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1.1</w:t>
            </w:r>
          </w:p>
        </w:tc>
        <w:tc>
          <w:tcPr>
            <w:tcW w:w="1522" w:type="dxa"/>
            <w:gridSpan w:val="2"/>
            <w:shd w:val="clear" w:color="auto" w:fill="auto"/>
            <w:tcMar>
              <w:top w:w="0" w:type="dxa"/>
              <w:left w:w="57" w:type="dxa"/>
              <w:bottom w:w="0" w:type="dxa"/>
              <w:right w:w="57" w:type="dxa"/>
            </w:tcMar>
            <w:vAlign w:val="center"/>
          </w:tcPr>
          <w:p w14:paraId="4648A646">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投标报价</w:t>
            </w:r>
          </w:p>
        </w:tc>
        <w:tc>
          <w:tcPr>
            <w:tcW w:w="5716" w:type="dxa"/>
            <w:shd w:val="clear" w:color="auto" w:fill="auto"/>
            <w:tcMar>
              <w:top w:w="0" w:type="dxa"/>
              <w:left w:w="57" w:type="dxa"/>
              <w:bottom w:w="0" w:type="dxa"/>
              <w:right w:w="57" w:type="dxa"/>
            </w:tcMar>
            <w:vAlign w:val="center"/>
          </w:tcPr>
          <w:p w14:paraId="57F0FE8E">
            <w:pPr>
              <w:keepNext w:val="0"/>
              <w:keepLines w:val="0"/>
              <w:pageBreakBefore w:val="0"/>
              <w:widowControl w:val="0"/>
              <w:shd w:val="clear"/>
              <w:kinsoku/>
              <w:wordWrap/>
              <w:overflowPunct/>
              <w:topLinePunct w:val="0"/>
              <w:autoSpaceDE/>
              <w:autoSpaceDN/>
              <w:bidi w:val="0"/>
              <w:adjustRightInd w:val="0"/>
              <w:snapToGrid/>
              <w:spacing w:line="400" w:lineRule="exact"/>
              <w:ind w:left="0" w:leftChars="0" w:firstLine="480" w:firstLineChars="200"/>
              <w:jc w:val="left"/>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1）本项目为专门面向中小企业采购预留项目，根据《政府采购促进中小企业发展管理办法》（财库〔2020〕46号）、《财政部司法部关于政府采购支持监狱企业发展有关问题的通知》（财库〔2014〕68号）及《关于促进残疾人就业政府采购政策的通知》（财库〔2017〕141号）规定，专门面向中小企业采购的政府采购项目或者采购包不再执行价格扣除政策，即</w:t>
            </w:r>
            <w:r>
              <w:rPr>
                <w:rFonts w:hint="eastAsia" w:ascii="宋体" w:hAnsi="宋体" w:eastAsia="宋体" w:cs="宋体"/>
                <w:b/>
                <w:bCs/>
                <w:color w:val="auto"/>
                <w:sz w:val="24"/>
                <w:szCs w:val="24"/>
                <w:highlight w:val="none"/>
                <w:vertAlign w:val="baseline"/>
                <w:lang w:val="en-US" w:eastAsia="zh-CN"/>
              </w:rPr>
              <w:t>评标报价=投标报价</w:t>
            </w:r>
            <w:r>
              <w:rPr>
                <w:rFonts w:hint="eastAsia" w:ascii="宋体" w:hAnsi="宋体" w:eastAsia="宋体" w:cs="宋体"/>
                <w:color w:val="auto"/>
                <w:sz w:val="24"/>
                <w:szCs w:val="24"/>
                <w:highlight w:val="none"/>
                <w:vertAlign w:val="baseline"/>
                <w:lang w:eastAsia="zh-CN"/>
              </w:rPr>
              <w:t>。监狱企业、残疾人福利性单位视同小型和微型企业。</w:t>
            </w:r>
          </w:p>
          <w:p w14:paraId="2E334FFB">
            <w:pPr>
              <w:keepNext w:val="0"/>
              <w:keepLines w:val="0"/>
              <w:pageBreakBefore w:val="0"/>
              <w:widowControl w:val="0"/>
              <w:shd w:val="clear"/>
              <w:kinsoku/>
              <w:wordWrap/>
              <w:overflowPunct/>
              <w:topLinePunct w:val="0"/>
              <w:autoSpaceDE/>
              <w:autoSpaceDN/>
              <w:bidi w:val="0"/>
              <w:adjustRightInd w:val="0"/>
              <w:snapToGrid/>
              <w:spacing w:line="400" w:lineRule="exact"/>
              <w:ind w:left="0" w:leftChars="0" w:firstLine="480" w:firstLineChars="200"/>
              <w:jc w:val="left"/>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w:t>
            </w:r>
            <w:r>
              <w:rPr>
                <w:rFonts w:hint="eastAsia" w:ascii="宋体" w:hAnsi="宋体" w:eastAsia="宋体" w:cs="宋体"/>
                <w:color w:val="auto"/>
                <w:sz w:val="24"/>
                <w:szCs w:val="24"/>
                <w:highlight w:val="none"/>
                <w:vertAlign w:val="baseline"/>
                <w:lang w:val="en-US" w:eastAsia="zh-CN"/>
              </w:rPr>
              <w:t>2</w:t>
            </w:r>
            <w:r>
              <w:rPr>
                <w:rFonts w:hint="eastAsia" w:ascii="宋体" w:hAnsi="宋体" w:eastAsia="宋体" w:cs="宋体"/>
                <w:color w:val="auto"/>
                <w:sz w:val="24"/>
                <w:szCs w:val="24"/>
                <w:highlight w:val="none"/>
                <w:vertAlign w:val="baseline"/>
                <w:lang w:eastAsia="zh-CN"/>
              </w:rPr>
              <w:t>）有效投标报价的最低价作为评标基准价，其最低报价为满分；按下列计算公式计算：</w:t>
            </w:r>
          </w:p>
          <w:p w14:paraId="12A6B9C5">
            <w:pPr>
              <w:keepNext w:val="0"/>
              <w:keepLines w:val="0"/>
              <w:pageBreakBefore w:val="0"/>
              <w:widowControl w:val="0"/>
              <w:shd w:val="clear"/>
              <w:kinsoku/>
              <w:wordWrap/>
              <w:overflowPunct/>
              <w:topLinePunct w:val="0"/>
              <w:autoSpaceDE/>
              <w:autoSpaceDN/>
              <w:bidi w:val="0"/>
              <w:adjustRightInd w:val="0"/>
              <w:snapToGrid/>
              <w:spacing w:line="400" w:lineRule="exact"/>
              <w:ind w:left="0" w:leftChars="0" w:firstLine="480" w:firstLineChars="200"/>
              <w:jc w:val="left"/>
              <w:textAlignment w:val="auto"/>
              <w:rPr>
                <w:rFonts w:hint="eastAsia" w:ascii="宋体" w:hAnsi="宋体" w:eastAsia="宋体" w:cs="宋体"/>
                <w:color w:val="auto"/>
                <w:sz w:val="24"/>
                <w:szCs w:val="24"/>
                <w:highlight w:val="none"/>
                <w:vertAlign w:val="baseline"/>
                <w:lang w:eastAsia="zh-CN"/>
              </w:rPr>
            </w:pPr>
            <w:r>
              <w:rPr>
                <w:rFonts w:hint="eastAsia" w:ascii="宋体" w:hAnsi="宋体" w:eastAsia="宋体" w:cs="宋体"/>
                <w:color w:val="auto"/>
                <w:sz w:val="24"/>
                <w:szCs w:val="24"/>
                <w:highlight w:val="none"/>
                <w:vertAlign w:val="baseline"/>
                <w:lang w:eastAsia="zh-CN"/>
              </w:rPr>
              <w:t>某投标人价格分=（评标基准价/某投标人评标报价）</w:t>
            </w:r>
            <w:r>
              <w:rPr>
                <w:rFonts w:hint="eastAsia" w:ascii="宋体" w:hAnsi="宋体" w:eastAsia="宋体" w:cs="宋体"/>
                <w:color w:val="auto"/>
                <w:sz w:val="24"/>
                <w:szCs w:val="24"/>
                <w:highlight w:val="none"/>
                <w:vertAlign w:val="baseline"/>
                <w:lang w:val="en-US" w:eastAsia="zh-CN"/>
              </w:rPr>
              <w:t>×</w:t>
            </w:r>
            <w:r>
              <w:rPr>
                <w:rFonts w:hint="eastAsia" w:ascii="宋体" w:hAnsi="宋体" w:cs="宋体"/>
                <w:color w:val="auto"/>
                <w:sz w:val="24"/>
                <w:szCs w:val="24"/>
                <w:highlight w:val="none"/>
                <w:vertAlign w:val="baseline"/>
                <w:lang w:val="en-US" w:eastAsia="zh-CN"/>
              </w:rPr>
              <w:t>23</w:t>
            </w:r>
            <w:r>
              <w:rPr>
                <w:rFonts w:hint="eastAsia" w:ascii="宋体" w:hAnsi="宋体" w:eastAsia="宋体" w:cs="宋体"/>
                <w:color w:val="auto"/>
                <w:sz w:val="24"/>
                <w:szCs w:val="24"/>
                <w:highlight w:val="none"/>
                <w:vertAlign w:val="baseline"/>
                <w:lang w:val="en-US" w:eastAsia="zh-CN"/>
              </w:rPr>
              <w:t>分</w:t>
            </w:r>
          </w:p>
          <w:p w14:paraId="2A546719">
            <w:pPr>
              <w:keepNext w:val="0"/>
              <w:keepLines w:val="0"/>
              <w:pageBreakBefore w:val="0"/>
              <w:widowControl w:val="0"/>
              <w:kinsoku/>
              <w:wordWrap/>
              <w:overflowPunct/>
              <w:topLinePunct w:val="0"/>
              <w:autoSpaceDE/>
              <w:autoSpaceDN/>
              <w:bidi w:val="0"/>
              <w:adjustRightInd w:val="0"/>
              <w:snapToGrid/>
              <w:spacing w:line="400" w:lineRule="exact"/>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eastAsia="zh-CN"/>
              </w:rPr>
              <w:t>（</w:t>
            </w:r>
            <w:r>
              <w:rPr>
                <w:rFonts w:hint="eastAsia" w:ascii="宋体" w:hAnsi="宋体" w:eastAsia="宋体" w:cs="宋体"/>
                <w:color w:val="auto"/>
                <w:sz w:val="24"/>
                <w:szCs w:val="24"/>
                <w:highlight w:val="none"/>
                <w:vertAlign w:val="baseline"/>
                <w:lang w:val="en-US" w:eastAsia="zh-CN"/>
              </w:rPr>
              <w:t>3</w:t>
            </w:r>
            <w:r>
              <w:rPr>
                <w:rFonts w:hint="eastAsia" w:ascii="宋体" w:hAnsi="宋体" w:eastAsia="宋体" w:cs="宋体"/>
                <w:color w:val="auto"/>
                <w:sz w:val="24"/>
                <w:szCs w:val="24"/>
                <w:highlight w:val="none"/>
                <w:vertAlign w:val="baseline"/>
                <w:lang w:eastAsia="zh-CN"/>
              </w:rPr>
              <w:t>）报价属于投标文件规定异常低价情形之一，未能按要求提供书面说明或者提交相关证明材料，不能证明其报价合理性的，响应无效。</w:t>
            </w:r>
          </w:p>
        </w:tc>
        <w:tc>
          <w:tcPr>
            <w:tcW w:w="874" w:type="dxa"/>
            <w:tcMar>
              <w:top w:w="0" w:type="dxa"/>
              <w:left w:w="57" w:type="dxa"/>
              <w:bottom w:w="0" w:type="dxa"/>
              <w:right w:w="57" w:type="dxa"/>
            </w:tcMar>
            <w:vAlign w:val="center"/>
          </w:tcPr>
          <w:p w14:paraId="054791E6">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23</w:t>
            </w:r>
            <w:r>
              <w:rPr>
                <w:rFonts w:hint="eastAsia" w:ascii="宋体" w:hAnsi="宋体" w:eastAsia="宋体" w:cs="宋体"/>
                <w:color w:val="auto"/>
                <w:sz w:val="24"/>
                <w:szCs w:val="24"/>
                <w:highlight w:val="none"/>
                <w:lang w:val="en-US" w:eastAsia="zh-CN"/>
              </w:rPr>
              <w:t>分</w:t>
            </w:r>
          </w:p>
        </w:tc>
        <w:tc>
          <w:tcPr>
            <w:tcW w:w="1263" w:type="dxa"/>
            <w:tcMar>
              <w:top w:w="0" w:type="dxa"/>
              <w:left w:w="57" w:type="dxa"/>
              <w:bottom w:w="0" w:type="dxa"/>
              <w:right w:w="57" w:type="dxa"/>
            </w:tcMar>
            <w:vAlign w:val="center"/>
          </w:tcPr>
          <w:p w14:paraId="5D49F854">
            <w:pPr>
              <w:keepNext w:val="0"/>
              <w:keepLines w:val="0"/>
              <w:pageBreakBefore w:val="0"/>
              <w:widowControl w:val="0"/>
              <w:kinsoku/>
              <w:wordWrap/>
              <w:overflowPunct/>
              <w:topLinePunct w:val="0"/>
              <w:autoSpaceDE/>
              <w:autoSpaceDN/>
              <w:bidi w:val="0"/>
              <w:adjustRightInd w:val="0"/>
              <w:snapToGrid/>
              <w:spacing w:line="400" w:lineRule="exac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客观分</w:t>
            </w:r>
          </w:p>
        </w:tc>
      </w:tr>
      <w:tr w14:paraId="17F10A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tcMar>
              <w:top w:w="0" w:type="dxa"/>
              <w:left w:w="57" w:type="dxa"/>
              <w:bottom w:w="0" w:type="dxa"/>
              <w:right w:w="57" w:type="dxa"/>
            </w:tcMar>
            <w:vAlign w:val="center"/>
          </w:tcPr>
          <w:p w14:paraId="17C92810">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p>
        </w:tc>
        <w:tc>
          <w:tcPr>
            <w:tcW w:w="9375" w:type="dxa"/>
            <w:gridSpan w:val="5"/>
            <w:shd w:val="clear" w:color="auto" w:fill="auto"/>
            <w:tcMar>
              <w:top w:w="0" w:type="dxa"/>
              <w:left w:w="57" w:type="dxa"/>
              <w:bottom w:w="0" w:type="dxa"/>
              <w:right w:w="57" w:type="dxa"/>
            </w:tcMar>
            <w:vAlign w:val="center"/>
          </w:tcPr>
          <w:p w14:paraId="12567F34">
            <w:pPr>
              <w:keepNext w:val="0"/>
              <w:keepLines w:val="0"/>
              <w:pageBreakBefore w:val="0"/>
              <w:widowControl w:val="0"/>
              <w:kinsoku/>
              <w:wordWrap/>
              <w:overflowPunct/>
              <w:topLinePunct w:val="0"/>
              <w:autoSpaceDE/>
              <w:autoSpaceDN/>
              <w:bidi w:val="0"/>
              <w:adjustRightInd w:val="0"/>
              <w:snapToGrid/>
              <w:spacing w:line="400" w:lineRule="exact"/>
              <w:ind w:firstLine="48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技术分</w:t>
            </w:r>
          </w:p>
        </w:tc>
      </w:tr>
      <w:tr w14:paraId="3D93E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restart"/>
            <w:tcMar>
              <w:top w:w="0" w:type="dxa"/>
              <w:left w:w="57" w:type="dxa"/>
              <w:bottom w:w="0" w:type="dxa"/>
              <w:right w:w="57" w:type="dxa"/>
            </w:tcMar>
            <w:vAlign w:val="center"/>
          </w:tcPr>
          <w:p w14:paraId="1CAE1CDB">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2.1</w:t>
            </w:r>
          </w:p>
        </w:tc>
        <w:tc>
          <w:tcPr>
            <w:tcW w:w="594" w:type="dxa"/>
            <w:vMerge w:val="restart"/>
            <w:tcMar>
              <w:top w:w="0" w:type="dxa"/>
              <w:left w:w="57" w:type="dxa"/>
              <w:bottom w:w="0" w:type="dxa"/>
              <w:right w:w="57" w:type="dxa"/>
            </w:tcMar>
            <w:vAlign w:val="center"/>
          </w:tcPr>
          <w:p w14:paraId="5E0141FF">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eastAsia="zh-CN"/>
              </w:rPr>
              <w:t>项目实施方案分</w:t>
            </w:r>
            <w:r>
              <w:rPr>
                <w:rFonts w:hint="eastAsia" w:ascii="宋体" w:hAnsi="宋体" w:cs="宋体"/>
                <w:color w:val="auto"/>
                <w:sz w:val="24"/>
                <w:szCs w:val="24"/>
                <w:highlight w:val="none"/>
                <w:vertAlign w:val="baseline"/>
                <w:lang w:eastAsia="zh-CN"/>
              </w:rPr>
              <w:t>（满分</w:t>
            </w:r>
            <w:r>
              <w:rPr>
                <w:rFonts w:hint="eastAsia" w:ascii="宋体" w:hAnsi="宋体" w:cs="宋体"/>
                <w:color w:val="auto"/>
                <w:sz w:val="24"/>
                <w:szCs w:val="24"/>
                <w:highlight w:val="none"/>
                <w:vertAlign w:val="baseline"/>
                <w:lang w:val="en-US" w:eastAsia="zh-CN"/>
              </w:rPr>
              <w:t>55分</w:t>
            </w:r>
            <w:r>
              <w:rPr>
                <w:rFonts w:hint="eastAsia" w:ascii="宋体" w:hAnsi="宋体" w:cs="宋体"/>
                <w:color w:val="auto"/>
                <w:sz w:val="24"/>
                <w:szCs w:val="24"/>
                <w:highlight w:val="none"/>
                <w:vertAlign w:val="baseline"/>
                <w:lang w:eastAsia="zh-CN"/>
              </w:rPr>
              <w:t>）</w:t>
            </w:r>
          </w:p>
        </w:tc>
        <w:tc>
          <w:tcPr>
            <w:tcW w:w="928" w:type="dxa"/>
            <w:tcMar>
              <w:top w:w="0" w:type="dxa"/>
              <w:left w:w="57" w:type="dxa"/>
              <w:bottom w:w="0" w:type="dxa"/>
              <w:right w:w="57" w:type="dxa"/>
            </w:tcMar>
            <w:vAlign w:val="center"/>
          </w:tcPr>
          <w:p w14:paraId="42FF4937">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（1）总体服务方案分</w:t>
            </w:r>
          </w:p>
        </w:tc>
        <w:tc>
          <w:tcPr>
            <w:tcW w:w="5716" w:type="dxa"/>
            <w:shd w:val="clear" w:color="auto" w:fill="auto"/>
            <w:tcMar>
              <w:top w:w="0" w:type="dxa"/>
              <w:left w:w="57" w:type="dxa"/>
              <w:bottom w:w="0" w:type="dxa"/>
              <w:right w:w="57" w:type="dxa"/>
            </w:tcMar>
            <w:vAlign w:val="center"/>
          </w:tcPr>
          <w:p w14:paraId="2CCF6CFE">
            <w:pPr>
              <w:widowControl w:val="0"/>
              <w:adjustRightInd w:val="0"/>
              <w:spacing w:line="46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方案内容包括：针对采购人本项目实际情况及特点提出对本项目服务内容进行理解分析、针对项目特点提出工作思路及方案、分析工作中可能出现的服务重点和难点、提出服务重点和难点相应解决措施、岗位职责、管理目标、管理构架、运作机制（含激励机制、监督机制、自我约束机制、信息反馈处理机制）、档案管理等内容。</w:t>
            </w:r>
          </w:p>
          <w:p w14:paraId="53421E12">
            <w:pPr>
              <w:widowControl w:val="0"/>
              <w:adjustRightInd w:val="0"/>
              <w:spacing w:line="46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一档（</w:t>
            </w: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分）：总体服务方案至少包括上述3项内容，有纲要，内容简略、未展开详细阐述，基本能够适用于本项目；</w:t>
            </w:r>
          </w:p>
          <w:p w14:paraId="5DA4B477">
            <w:pPr>
              <w:widowControl w:val="0"/>
              <w:adjustRightInd w:val="0"/>
              <w:spacing w:line="46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二档（</w:t>
            </w: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分）：总体服务方案至少包含上述6项内容，适用本项目需求，有管理规章制度且架构完整能够开展专业的物业管理工作、管理制度内容针对采购单位实际需求，机构设置合理，各岗位部门职责清晰明确，并能针对各服务区域制定合理的工作方案，项目需求理解到位，难点分析较合理；解决措施可行、较详细；</w:t>
            </w:r>
          </w:p>
          <w:p w14:paraId="2F05B3C3">
            <w:pPr>
              <w:widowControl w:val="0"/>
              <w:adjustRightInd w:val="0"/>
              <w:spacing w:line="460" w:lineRule="exact"/>
              <w:ind w:firstLine="480" w:firstLineChars="200"/>
              <w:jc w:val="left"/>
              <w:rPr>
                <w:rFonts w:ascii="宋体" w:hAnsi="宋体" w:cs="宋体"/>
                <w:color w:val="auto"/>
                <w:sz w:val="24"/>
                <w:szCs w:val="24"/>
                <w:highlight w:val="none"/>
              </w:rPr>
            </w:pPr>
            <w:r>
              <w:rPr>
                <w:rFonts w:hint="eastAsia" w:ascii="宋体" w:hAnsi="宋体" w:cs="宋体"/>
                <w:color w:val="auto"/>
                <w:sz w:val="24"/>
                <w:szCs w:val="24"/>
                <w:highlight w:val="none"/>
              </w:rPr>
              <w:t xml:space="preserve"> 三档（</w:t>
            </w: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分）：在满足二档的基础上，总体服务方案至少包含上述9项内容，对项目需求理解透彻，方案针对服务内容及需求，重点贴合实际，难点定位准确，符合本项目实施情况，分析合理，措施得力并实际实施力度强，内容严谨、详细。档案管理制度详细、完善，贴合采购单位需求，定期组织收集管理工作档案，归类整理定期存档，有完善科学的内部管理构架，激励机制、监督机制、自我约束机制、信息反馈处理机制，每个机制要点均有展开详细阐述，标准体系结构合理，包括上述所有内容。</w:t>
            </w:r>
          </w:p>
          <w:p w14:paraId="5E4F0B51">
            <w:pPr>
              <w:widowControl w:val="0"/>
              <w:adjustRightInd w:val="0"/>
              <w:spacing w:line="460" w:lineRule="exact"/>
              <w:ind w:firstLine="482" w:firstLineChars="200"/>
              <w:jc w:val="left"/>
              <w:rPr>
                <w:rFonts w:hint="eastAsia" w:ascii="宋体" w:hAnsi="宋体" w:eastAsia="宋体" w:cs="宋体"/>
                <w:color w:val="auto"/>
                <w:sz w:val="24"/>
                <w:szCs w:val="24"/>
                <w:highlight w:val="none"/>
              </w:rPr>
            </w:pPr>
            <w:r>
              <w:rPr>
                <w:rFonts w:hint="eastAsia" w:ascii="宋体" w:hAnsi="宋体" w:cs="宋体"/>
                <w:b/>
                <w:bCs/>
                <w:color w:val="auto"/>
                <w:sz w:val="24"/>
                <w:szCs w:val="24"/>
                <w:highlight w:val="none"/>
              </w:rPr>
              <w:t>注：不提供相关内容或方案或方案未达到一档要求的得0分；方案未达到对应档次的，降档得分。</w:t>
            </w:r>
          </w:p>
        </w:tc>
        <w:tc>
          <w:tcPr>
            <w:tcW w:w="874" w:type="dxa"/>
            <w:shd w:val="clear" w:color="auto" w:fill="auto"/>
            <w:tcMar>
              <w:top w:w="0" w:type="dxa"/>
              <w:left w:w="57" w:type="dxa"/>
              <w:bottom w:w="0" w:type="dxa"/>
              <w:right w:w="57" w:type="dxa"/>
            </w:tcMar>
            <w:vAlign w:val="center"/>
          </w:tcPr>
          <w:p w14:paraId="114B1036">
            <w:pPr>
              <w:widowControl w:val="0"/>
              <w:adjustRightInd w:val="0"/>
              <w:spacing w:line="460" w:lineRule="exact"/>
              <w:jc w:val="center"/>
              <w:rPr>
                <w:rFonts w:hint="eastAsia" w:ascii="宋体" w:hAnsi="宋体" w:eastAsia="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分</w:t>
            </w:r>
          </w:p>
        </w:tc>
        <w:tc>
          <w:tcPr>
            <w:tcW w:w="1263" w:type="dxa"/>
            <w:shd w:val="clear" w:color="auto" w:fill="auto"/>
            <w:tcMar>
              <w:top w:w="0" w:type="dxa"/>
              <w:left w:w="57" w:type="dxa"/>
              <w:bottom w:w="0" w:type="dxa"/>
              <w:right w:w="57" w:type="dxa"/>
            </w:tcMar>
            <w:vAlign w:val="center"/>
          </w:tcPr>
          <w:p w14:paraId="06BDB228">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主观分</w:t>
            </w:r>
          </w:p>
        </w:tc>
      </w:tr>
      <w:tr w14:paraId="495FA5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55" w:hRule="atLeast"/>
          <w:jc w:val="center"/>
        </w:trPr>
        <w:tc>
          <w:tcPr>
            <w:tcW w:w="625" w:type="dxa"/>
            <w:vMerge w:val="continue"/>
            <w:tcMar>
              <w:top w:w="0" w:type="dxa"/>
              <w:left w:w="57" w:type="dxa"/>
              <w:bottom w:w="0" w:type="dxa"/>
              <w:right w:w="57" w:type="dxa"/>
            </w:tcMar>
            <w:vAlign w:val="center"/>
          </w:tcPr>
          <w:p w14:paraId="5A01BDE9">
            <w:pPr>
              <w:keepNext w:val="0"/>
              <w:keepLines w:val="0"/>
              <w:pageBreakBefore w:val="0"/>
              <w:widowControl w:val="0"/>
              <w:kinsoku/>
              <w:wordWrap/>
              <w:overflowPunct/>
              <w:topLinePunct w:val="0"/>
              <w:autoSpaceDE/>
              <w:autoSpaceDN/>
              <w:bidi w:val="0"/>
              <w:adjustRightInd w:val="0"/>
              <w:snapToGrid/>
              <w:spacing w:line="400" w:lineRule="exact"/>
              <w:ind w:firstLine="480"/>
              <w:jc w:val="center"/>
              <w:textAlignment w:val="auto"/>
              <w:rPr>
                <w:rFonts w:hint="eastAsia" w:ascii="宋体" w:hAnsi="宋体" w:eastAsia="宋体" w:cs="宋体"/>
                <w:color w:val="auto"/>
                <w:sz w:val="24"/>
                <w:szCs w:val="24"/>
                <w:highlight w:val="none"/>
              </w:rPr>
            </w:pPr>
          </w:p>
        </w:tc>
        <w:tc>
          <w:tcPr>
            <w:tcW w:w="594" w:type="dxa"/>
            <w:vMerge w:val="continue"/>
            <w:tcMar>
              <w:top w:w="0" w:type="dxa"/>
              <w:left w:w="57" w:type="dxa"/>
              <w:bottom w:w="0" w:type="dxa"/>
              <w:right w:w="57" w:type="dxa"/>
            </w:tcMar>
            <w:vAlign w:val="center"/>
          </w:tcPr>
          <w:p w14:paraId="179FEE52">
            <w:pPr>
              <w:keepNext w:val="0"/>
              <w:keepLines w:val="0"/>
              <w:pageBreakBefore w:val="0"/>
              <w:widowControl w:val="0"/>
              <w:kinsoku/>
              <w:wordWrap/>
              <w:overflowPunct/>
              <w:topLinePunct w:val="0"/>
              <w:autoSpaceDE/>
              <w:autoSpaceDN/>
              <w:bidi w:val="0"/>
              <w:adjustRightInd w:val="0"/>
              <w:snapToGrid/>
              <w:spacing w:line="400" w:lineRule="exact"/>
              <w:ind w:firstLine="480"/>
              <w:jc w:val="center"/>
              <w:textAlignment w:val="auto"/>
              <w:rPr>
                <w:rFonts w:hint="eastAsia" w:ascii="宋体" w:hAnsi="宋体" w:eastAsia="宋体" w:cs="宋体"/>
                <w:color w:val="auto"/>
                <w:sz w:val="24"/>
                <w:szCs w:val="24"/>
                <w:highlight w:val="none"/>
              </w:rPr>
            </w:pPr>
          </w:p>
        </w:tc>
        <w:tc>
          <w:tcPr>
            <w:tcW w:w="928" w:type="dxa"/>
            <w:tcMar>
              <w:top w:w="0" w:type="dxa"/>
              <w:left w:w="57" w:type="dxa"/>
              <w:bottom w:w="0" w:type="dxa"/>
              <w:right w:w="57" w:type="dxa"/>
            </w:tcMar>
            <w:vAlign w:val="center"/>
          </w:tcPr>
          <w:p w14:paraId="027AE11F">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（2）拟投入人员、作息时间安排及人员培训方案分</w:t>
            </w:r>
          </w:p>
        </w:tc>
        <w:tc>
          <w:tcPr>
            <w:tcW w:w="5716" w:type="dxa"/>
            <w:shd w:val="clear" w:color="auto" w:fill="auto"/>
            <w:tcMar>
              <w:top w:w="0" w:type="dxa"/>
              <w:left w:w="57" w:type="dxa"/>
              <w:bottom w:w="0" w:type="dxa"/>
              <w:right w:w="57" w:type="dxa"/>
            </w:tcMar>
            <w:vAlign w:val="center"/>
          </w:tcPr>
          <w:p w14:paraId="0BAE6B15">
            <w:pPr>
              <w:widowControl w:val="0"/>
              <w:adjustRightInd w:val="0"/>
              <w:spacing w:line="380" w:lineRule="exact"/>
              <w:ind w:firstLine="480" w:firstLineChars="200"/>
              <w:jc w:val="left"/>
              <w:rPr>
                <w:rFonts w:ascii="宋体" w:hAnsi="宋体" w:cs="宋体"/>
                <w:color w:val="auto"/>
                <w:sz w:val="24"/>
                <w:szCs w:val="24"/>
                <w:highlight w:val="none"/>
              </w:rPr>
            </w:pPr>
            <w:r>
              <w:rPr>
                <w:rFonts w:ascii="宋体" w:hAnsi="宋体" w:cs="宋体"/>
                <w:color w:val="auto"/>
                <w:sz w:val="24"/>
                <w:szCs w:val="24"/>
                <w:highlight w:val="none"/>
              </w:rPr>
              <w:t>方案包括</w:t>
            </w:r>
            <w:r>
              <w:rPr>
                <w:rFonts w:hint="eastAsia" w:ascii="宋体" w:hAnsi="宋体" w:cs="宋体"/>
                <w:color w:val="auto"/>
                <w:sz w:val="24"/>
                <w:szCs w:val="24"/>
                <w:highlight w:val="none"/>
              </w:rPr>
              <w:t>但不限于：</w:t>
            </w:r>
            <w:r>
              <w:rPr>
                <w:rFonts w:hint="eastAsia" w:ascii="微软雅黑" w:hAnsi="微软雅黑" w:eastAsia="微软雅黑" w:cs="微软雅黑"/>
                <w:color w:val="auto"/>
                <w:sz w:val="24"/>
                <w:szCs w:val="24"/>
                <w:highlight w:val="none"/>
              </w:rPr>
              <w:t>①</w:t>
            </w:r>
            <w:r>
              <w:rPr>
                <w:rFonts w:hint="eastAsia" w:ascii="宋体" w:hAnsi="宋体" w:cs="宋体"/>
                <w:color w:val="auto"/>
                <w:sz w:val="24"/>
                <w:szCs w:val="24"/>
                <w:highlight w:val="none"/>
              </w:rPr>
              <w:t>项目管理组织架构与人员配备（各岗位人员数量及职责）、②人员管理制度（含招聘、培训、考核、激励、淘汰及后备机制）、③服务团队稳定性保障方案、④关键岗位人员储备、⑤作息时间安排、⑥人员培训方案（含培训机构、岗前与在岗培训体系、培训资料、培训标准、培训记录、培训大纲、培训方式、培训方法、培训效果评估等内容）。</w:t>
            </w:r>
          </w:p>
          <w:p w14:paraId="254E568C">
            <w:pPr>
              <w:widowControl w:val="0"/>
              <w:spacing w:line="380" w:lineRule="exact"/>
              <w:ind w:firstLine="480" w:firstLineChars="200"/>
              <w:rPr>
                <w:rFonts w:ascii="Times New Roman" w:hAnsi="Times New Roman" w:eastAsia="仿宋_GB2312"/>
                <w:color w:val="auto"/>
                <w:sz w:val="24"/>
                <w:szCs w:val="24"/>
                <w:highlight w:val="none"/>
              </w:rPr>
            </w:pPr>
            <w:r>
              <w:rPr>
                <w:rFonts w:ascii="宋体" w:hAnsi="宋体" w:cs="宋体"/>
                <w:color w:val="auto"/>
                <w:sz w:val="24"/>
                <w:szCs w:val="24"/>
                <w:highlight w:val="none"/>
              </w:rPr>
              <w:t>一档（</w:t>
            </w: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分）：方案</w:t>
            </w:r>
            <w:r>
              <w:rPr>
                <w:rFonts w:hint="eastAsia" w:ascii="宋体" w:hAnsi="宋体" w:cs="宋体"/>
                <w:color w:val="auto"/>
                <w:sz w:val="24"/>
                <w:szCs w:val="24"/>
                <w:highlight w:val="none"/>
              </w:rPr>
              <w:t>至少</w:t>
            </w:r>
            <w:r>
              <w:rPr>
                <w:rFonts w:ascii="宋体" w:hAnsi="宋体" w:cs="宋体"/>
                <w:color w:val="auto"/>
                <w:sz w:val="24"/>
                <w:szCs w:val="24"/>
                <w:highlight w:val="none"/>
              </w:rPr>
              <w:t>包括</w:t>
            </w:r>
            <w:r>
              <w:rPr>
                <w:rFonts w:hint="eastAsia" w:ascii="宋体" w:hAnsi="宋体" w:cs="宋体"/>
                <w:color w:val="auto"/>
                <w:sz w:val="24"/>
                <w:szCs w:val="24"/>
                <w:highlight w:val="none"/>
              </w:rPr>
              <w:t>3</w:t>
            </w:r>
            <w:r>
              <w:rPr>
                <w:rFonts w:ascii="宋体" w:hAnsi="宋体" w:cs="宋体"/>
                <w:color w:val="auto"/>
                <w:sz w:val="24"/>
                <w:szCs w:val="24"/>
                <w:highlight w:val="none"/>
              </w:rPr>
              <w:t>项上述内容</w:t>
            </w:r>
            <w:r>
              <w:rPr>
                <w:rFonts w:hint="eastAsia" w:ascii="宋体" w:hAnsi="宋体" w:cs="宋体"/>
                <w:color w:val="auto"/>
                <w:sz w:val="24"/>
                <w:szCs w:val="24"/>
                <w:highlight w:val="none"/>
              </w:rPr>
              <w:t>，</w:t>
            </w:r>
            <w:r>
              <w:rPr>
                <w:rFonts w:ascii="宋体" w:hAnsi="宋体" w:cs="宋体"/>
                <w:color w:val="auto"/>
                <w:sz w:val="24"/>
                <w:szCs w:val="24"/>
                <w:highlight w:val="none"/>
              </w:rPr>
              <w:t>投入人员安排基本满足要求、作息时间计划基本合理</w:t>
            </w:r>
            <w:r>
              <w:rPr>
                <w:rFonts w:hint="eastAsia" w:ascii="宋体" w:hAnsi="宋体" w:cs="宋体"/>
                <w:color w:val="auto"/>
                <w:sz w:val="24"/>
                <w:szCs w:val="24"/>
                <w:highlight w:val="none"/>
              </w:rPr>
              <w:t>，培训方案</w:t>
            </w:r>
            <w:r>
              <w:rPr>
                <w:rFonts w:ascii="宋体" w:hAnsi="宋体" w:cs="宋体"/>
                <w:color w:val="auto"/>
                <w:sz w:val="24"/>
                <w:szCs w:val="24"/>
                <w:highlight w:val="none"/>
              </w:rPr>
              <w:t xml:space="preserve">适用本项目需求，但仅有纲要、内容简略未展开详细具体的阐述；    </w:t>
            </w:r>
            <w:r>
              <w:rPr>
                <w:rFonts w:ascii="Times New Roman" w:hAnsi="Times New Roman" w:eastAsia="仿宋_GB2312"/>
                <w:color w:val="auto"/>
                <w:sz w:val="24"/>
                <w:szCs w:val="24"/>
                <w:highlight w:val="none"/>
              </w:rPr>
              <w:t xml:space="preserve">                     </w:t>
            </w:r>
          </w:p>
          <w:p w14:paraId="171283AD">
            <w:pPr>
              <w:widowControl w:val="0"/>
              <w:spacing w:line="380" w:lineRule="exact"/>
              <w:ind w:firstLine="480" w:firstLineChars="200"/>
              <w:rPr>
                <w:rFonts w:ascii="Times New Roman" w:hAnsi="Times New Roman" w:eastAsia="仿宋_GB2312"/>
                <w:color w:val="auto"/>
                <w:sz w:val="24"/>
                <w:szCs w:val="24"/>
                <w:highlight w:val="none"/>
              </w:rPr>
            </w:pPr>
            <w:r>
              <w:rPr>
                <w:rFonts w:ascii="宋体" w:hAnsi="宋体" w:cs="宋体"/>
                <w:color w:val="auto"/>
                <w:sz w:val="24"/>
                <w:szCs w:val="24"/>
                <w:highlight w:val="none"/>
              </w:rPr>
              <w:t>二档（</w:t>
            </w: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分）：投标人提供的人员配置方案内容较为系统、完整，方案</w:t>
            </w:r>
            <w:r>
              <w:rPr>
                <w:rFonts w:hint="eastAsia" w:ascii="宋体" w:hAnsi="宋体" w:cs="宋体"/>
                <w:color w:val="auto"/>
                <w:sz w:val="24"/>
                <w:szCs w:val="24"/>
                <w:highlight w:val="none"/>
              </w:rPr>
              <w:t>至少</w:t>
            </w:r>
            <w:r>
              <w:rPr>
                <w:rFonts w:ascii="宋体" w:hAnsi="宋体" w:cs="宋体"/>
                <w:color w:val="auto"/>
                <w:sz w:val="24"/>
                <w:szCs w:val="24"/>
                <w:highlight w:val="none"/>
              </w:rPr>
              <w:t>包括</w:t>
            </w:r>
            <w:r>
              <w:rPr>
                <w:rFonts w:hint="eastAsia" w:ascii="宋体" w:hAnsi="宋体" w:cs="宋体"/>
                <w:color w:val="auto"/>
                <w:sz w:val="24"/>
                <w:szCs w:val="24"/>
                <w:highlight w:val="none"/>
              </w:rPr>
              <w:t>5</w:t>
            </w:r>
            <w:r>
              <w:rPr>
                <w:rFonts w:ascii="宋体" w:hAnsi="宋体" w:cs="宋体"/>
                <w:color w:val="auto"/>
                <w:sz w:val="24"/>
                <w:szCs w:val="24"/>
                <w:highlight w:val="none"/>
              </w:rPr>
              <w:t>项上述内容。方案能针对项目需求合理设置岗位并规划人员配置，制定了基本的人员管理、培训及考核制度</w:t>
            </w:r>
            <w:r>
              <w:rPr>
                <w:rFonts w:hint="eastAsia" w:ascii="宋体" w:hAnsi="宋体" w:cs="宋体"/>
                <w:color w:val="auto"/>
                <w:sz w:val="24"/>
                <w:szCs w:val="24"/>
                <w:highlight w:val="none"/>
              </w:rPr>
              <w:t>，</w:t>
            </w:r>
            <w:r>
              <w:rPr>
                <w:rFonts w:ascii="宋体" w:hAnsi="宋体" w:cs="宋体"/>
                <w:color w:val="auto"/>
                <w:sz w:val="24"/>
                <w:szCs w:val="24"/>
                <w:highlight w:val="none"/>
              </w:rPr>
              <w:t xml:space="preserve">能够满足服务的基本运行需求，方案具备可操作性。有排班表但未区分特殊时期，培训目标清晰明确，注重提供员工综合能力，同时对培训方案展开了详细具体的阐述，有培训计划、落实措施。   </w:t>
            </w:r>
            <w:r>
              <w:rPr>
                <w:rFonts w:ascii="Times New Roman" w:hAnsi="Times New Roman" w:eastAsia="仿宋_GB2312"/>
                <w:color w:val="auto"/>
                <w:sz w:val="24"/>
                <w:szCs w:val="24"/>
                <w:highlight w:val="none"/>
              </w:rPr>
              <w:t xml:space="preserve">                                                                                                                  </w:t>
            </w:r>
          </w:p>
          <w:p w14:paraId="6713CC65">
            <w:pPr>
              <w:pStyle w:val="2"/>
              <w:widowControl w:val="0"/>
              <w:spacing w:line="380" w:lineRule="exact"/>
              <w:rPr>
                <w:rFonts w:ascii="宋体" w:hAnsi="宋体" w:cs="宋体"/>
                <w:color w:val="auto"/>
                <w:kern w:val="2"/>
                <w:sz w:val="24"/>
                <w:szCs w:val="24"/>
                <w:highlight w:val="none"/>
              </w:rPr>
            </w:pPr>
            <w:r>
              <w:rPr>
                <w:rFonts w:ascii="宋体" w:hAnsi="宋体" w:cs="宋体"/>
                <w:color w:val="auto"/>
                <w:kern w:val="2"/>
                <w:sz w:val="24"/>
                <w:szCs w:val="24"/>
                <w:highlight w:val="none"/>
              </w:rPr>
              <w:t>三档（</w:t>
            </w:r>
            <w:r>
              <w:rPr>
                <w:rFonts w:hint="eastAsia" w:hAnsi="宋体" w:cs="宋体"/>
                <w:color w:val="auto"/>
                <w:kern w:val="2"/>
                <w:sz w:val="24"/>
                <w:szCs w:val="24"/>
                <w:highlight w:val="none"/>
                <w:lang w:val="en-US" w:eastAsia="zh-CN"/>
              </w:rPr>
              <w:t>6</w:t>
            </w:r>
            <w:r>
              <w:rPr>
                <w:rFonts w:ascii="宋体" w:hAnsi="宋体" w:cs="宋体"/>
                <w:color w:val="auto"/>
                <w:kern w:val="2"/>
                <w:sz w:val="24"/>
                <w:szCs w:val="24"/>
                <w:highlight w:val="none"/>
              </w:rPr>
              <w:t>分）：投标人提供的方案全面覆盖上述全部内容、作息时间计划切合本项目实际，</w:t>
            </w:r>
            <w:r>
              <w:rPr>
                <w:rFonts w:hint="eastAsia" w:ascii="宋体" w:hAnsi="宋体" w:cs="宋体"/>
                <w:color w:val="auto"/>
                <w:kern w:val="2"/>
                <w:sz w:val="24"/>
                <w:szCs w:val="24"/>
                <w:highlight w:val="none"/>
              </w:rPr>
              <w:t>排班安排切实贴合本项目需求</w:t>
            </w:r>
            <w:r>
              <w:rPr>
                <w:rFonts w:ascii="宋体" w:hAnsi="宋体" w:cs="宋体"/>
                <w:color w:val="auto"/>
                <w:kern w:val="2"/>
                <w:sz w:val="24"/>
                <w:szCs w:val="24"/>
                <w:highlight w:val="none"/>
              </w:rPr>
              <w:t>，区分了正常教学日、周末</w:t>
            </w:r>
            <w:r>
              <w:rPr>
                <w:rFonts w:hint="eastAsia" w:ascii="宋体" w:hAnsi="宋体" w:cs="宋体"/>
                <w:color w:val="auto"/>
                <w:kern w:val="2"/>
                <w:sz w:val="24"/>
                <w:szCs w:val="24"/>
                <w:highlight w:val="none"/>
              </w:rPr>
              <w:t>和</w:t>
            </w:r>
            <w:r>
              <w:rPr>
                <w:rFonts w:ascii="宋体" w:hAnsi="宋体" w:cs="宋体"/>
                <w:color w:val="auto"/>
                <w:kern w:val="2"/>
                <w:sz w:val="24"/>
                <w:szCs w:val="24"/>
                <w:highlight w:val="none"/>
              </w:rPr>
              <w:t>节假日、寒暑假、应急等特殊时期的排班安排，能够灵活应对项目各类突发状况，服务团队组建方案科学合理，切合实际，稳定性、针对性强，有人员考核制度与奖惩制度相配，制度能有效激励服务人员积极工作，</w:t>
            </w:r>
            <w:r>
              <w:rPr>
                <w:rFonts w:hint="eastAsia" w:ascii="宋体" w:hAnsi="宋体" w:cs="宋体"/>
                <w:color w:val="auto"/>
                <w:kern w:val="2"/>
                <w:sz w:val="24"/>
                <w:szCs w:val="24"/>
                <w:highlight w:val="none"/>
              </w:rPr>
              <w:t>有详细的培训方案，</w:t>
            </w:r>
            <w:r>
              <w:rPr>
                <w:rFonts w:ascii="宋体" w:hAnsi="宋体" w:cs="宋体"/>
                <w:color w:val="auto"/>
                <w:kern w:val="2"/>
                <w:sz w:val="24"/>
                <w:szCs w:val="24"/>
                <w:highlight w:val="none"/>
              </w:rPr>
              <w:t>培训时间安排合理，有详尽的培训时间计划表，对人员的培训能够联系实际，专业技术培训与职业道德教育相结合，保证员工能够适应现阶段物业管理服务市场、采购单位等服务对象对物业从业人员的要求。</w:t>
            </w:r>
          </w:p>
          <w:p w14:paraId="0A26DA25">
            <w:pPr>
              <w:widowControl w:val="0"/>
              <w:spacing w:line="380" w:lineRule="exact"/>
              <w:ind w:firstLine="482" w:firstLineChars="200"/>
              <w:rPr>
                <w:rFonts w:hint="eastAsia" w:ascii="宋体" w:hAnsi="宋体" w:eastAsia="宋体" w:cs="宋体"/>
                <w:color w:val="auto"/>
                <w:sz w:val="24"/>
                <w:szCs w:val="24"/>
                <w:highlight w:val="none"/>
              </w:rPr>
            </w:pPr>
            <w:r>
              <w:rPr>
                <w:rFonts w:hint="eastAsia" w:ascii="宋体" w:hAnsi="宋体" w:cs="宋体"/>
                <w:b/>
                <w:bCs/>
                <w:color w:val="auto"/>
                <w:sz w:val="24"/>
                <w:szCs w:val="24"/>
                <w:highlight w:val="none"/>
              </w:rPr>
              <w:t>注：不提供相关内容或方案或方案未达到一档要求的得0分；方案未达到对应档次的，降档得</w:t>
            </w:r>
            <w:r>
              <w:rPr>
                <w:rFonts w:ascii="宋体" w:hAnsi="宋体" w:cs="宋体"/>
                <w:b/>
                <w:bCs/>
                <w:color w:val="auto"/>
                <w:sz w:val="24"/>
                <w:szCs w:val="24"/>
                <w:highlight w:val="none"/>
              </w:rPr>
              <w:t>分。</w:t>
            </w:r>
          </w:p>
        </w:tc>
        <w:tc>
          <w:tcPr>
            <w:tcW w:w="874" w:type="dxa"/>
            <w:shd w:val="clear" w:color="auto" w:fill="auto"/>
            <w:tcMar>
              <w:top w:w="0" w:type="dxa"/>
              <w:left w:w="57" w:type="dxa"/>
              <w:bottom w:w="0" w:type="dxa"/>
              <w:right w:w="57" w:type="dxa"/>
            </w:tcMar>
            <w:vAlign w:val="center"/>
          </w:tcPr>
          <w:p w14:paraId="28B5CC17">
            <w:pPr>
              <w:widowControl w:val="0"/>
              <w:adjustRightInd w:val="0"/>
              <w:spacing w:line="460" w:lineRule="exact"/>
              <w:jc w:val="center"/>
              <w:rPr>
                <w:rFonts w:hint="eastAsia" w:ascii="宋体" w:hAnsi="宋体" w:eastAsia="宋体" w:cs="宋体"/>
                <w:color w:val="auto"/>
                <w:sz w:val="24"/>
                <w:szCs w:val="24"/>
                <w:highlight w:val="none"/>
              </w:rPr>
            </w:pPr>
            <w:r>
              <w:rPr>
                <w:rFonts w:hint="eastAsia" w:eastAsia="仿宋_GB2312"/>
                <w:color w:val="auto"/>
                <w:sz w:val="24"/>
                <w:szCs w:val="24"/>
                <w:highlight w:val="none"/>
                <w:lang w:val="en-US" w:eastAsia="zh-CN"/>
              </w:rPr>
              <w:t>6</w:t>
            </w:r>
            <w:r>
              <w:rPr>
                <w:rFonts w:ascii="Times New Roman" w:hAnsi="Times New Roman" w:eastAsia="仿宋_GB2312"/>
                <w:color w:val="auto"/>
                <w:sz w:val="24"/>
                <w:szCs w:val="24"/>
                <w:highlight w:val="none"/>
              </w:rPr>
              <w:t>分</w:t>
            </w:r>
          </w:p>
        </w:tc>
        <w:tc>
          <w:tcPr>
            <w:tcW w:w="1263" w:type="dxa"/>
            <w:shd w:val="clear" w:color="auto" w:fill="auto"/>
            <w:tcMar>
              <w:top w:w="0" w:type="dxa"/>
              <w:left w:w="57" w:type="dxa"/>
              <w:bottom w:w="0" w:type="dxa"/>
              <w:right w:w="57" w:type="dxa"/>
            </w:tcMar>
            <w:vAlign w:val="center"/>
          </w:tcPr>
          <w:p w14:paraId="53728A1B">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主观分</w:t>
            </w:r>
          </w:p>
        </w:tc>
      </w:tr>
      <w:tr w14:paraId="5C52D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Mar>
              <w:top w:w="0" w:type="dxa"/>
              <w:left w:w="57" w:type="dxa"/>
              <w:bottom w:w="0" w:type="dxa"/>
              <w:right w:w="57" w:type="dxa"/>
            </w:tcMar>
            <w:vAlign w:val="center"/>
          </w:tcPr>
          <w:p w14:paraId="1B79B7D0">
            <w:pPr>
              <w:keepNext w:val="0"/>
              <w:keepLines w:val="0"/>
              <w:pageBreakBefore w:val="0"/>
              <w:widowControl w:val="0"/>
              <w:kinsoku/>
              <w:wordWrap/>
              <w:overflowPunct/>
              <w:topLinePunct w:val="0"/>
              <w:autoSpaceDE/>
              <w:autoSpaceDN/>
              <w:bidi w:val="0"/>
              <w:adjustRightInd w:val="0"/>
              <w:snapToGrid/>
              <w:spacing w:line="400" w:lineRule="exact"/>
              <w:ind w:firstLine="480"/>
              <w:jc w:val="center"/>
              <w:textAlignment w:val="auto"/>
              <w:rPr>
                <w:rFonts w:hint="eastAsia" w:ascii="宋体" w:hAnsi="宋体" w:eastAsia="宋体" w:cs="宋体"/>
                <w:color w:val="auto"/>
                <w:sz w:val="24"/>
                <w:szCs w:val="24"/>
                <w:highlight w:val="none"/>
              </w:rPr>
            </w:pPr>
          </w:p>
        </w:tc>
        <w:tc>
          <w:tcPr>
            <w:tcW w:w="594" w:type="dxa"/>
            <w:vMerge w:val="continue"/>
            <w:tcMar>
              <w:top w:w="0" w:type="dxa"/>
              <w:left w:w="57" w:type="dxa"/>
              <w:bottom w:w="0" w:type="dxa"/>
              <w:right w:w="57" w:type="dxa"/>
            </w:tcMar>
            <w:vAlign w:val="center"/>
          </w:tcPr>
          <w:p w14:paraId="2C717188">
            <w:pPr>
              <w:keepNext w:val="0"/>
              <w:keepLines w:val="0"/>
              <w:pageBreakBefore w:val="0"/>
              <w:widowControl w:val="0"/>
              <w:kinsoku/>
              <w:wordWrap/>
              <w:overflowPunct/>
              <w:topLinePunct w:val="0"/>
              <w:autoSpaceDE/>
              <w:autoSpaceDN/>
              <w:bidi w:val="0"/>
              <w:adjustRightInd w:val="0"/>
              <w:snapToGrid/>
              <w:spacing w:line="400" w:lineRule="exact"/>
              <w:ind w:firstLine="480"/>
              <w:jc w:val="center"/>
              <w:textAlignment w:val="auto"/>
              <w:rPr>
                <w:rFonts w:hint="eastAsia" w:ascii="宋体" w:hAnsi="宋体" w:eastAsia="宋体" w:cs="宋体"/>
                <w:color w:val="auto"/>
                <w:sz w:val="24"/>
                <w:szCs w:val="24"/>
                <w:highlight w:val="none"/>
              </w:rPr>
            </w:pPr>
          </w:p>
        </w:tc>
        <w:tc>
          <w:tcPr>
            <w:tcW w:w="928" w:type="dxa"/>
            <w:tcMar>
              <w:top w:w="0" w:type="dxa"/>
              <w:left w:w="57" w:type="dxa"/>
              <w:bottom w:w="0" w:type="dxa"/>
              <w:right w:w="57" w:type="dxa"/>
            </w:tcMar>
            <w:vAlign w:val="center"/>
          </w:tcPr>
          <w:p w14:paraId="5DA65953">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（3）清洁管理</w:t>
            </w:r>
            <w:r>
              <w:rPr>
                <w:rFonts w:hint="eastAsia" w:ascii="宋体" w:hAnsi="宋体" w:cs="宋体"/>
                <w:color w:val="auto"/>
                <w:sz w:val="24"/>
                <w:szCs w:val="24"/>
                <w:highlight w:val="none"/>
                <w:vertAlign w:val="baseline"/>
                <w:lang w:val="en-US" w:eastAsia="zh-CN"/>
              </w:rPr>
              <w:t>分</w:t>
            </w:r>
          </w:p>
        </w:tc>
        <w:tc>
          <w:tcPr>
            <w:tcW w:w="5716" w:type="dxa"/>
            <w:shd w:val="clear" w:color="auto" w:fill="auto"/>
            <w:tcMar>
              <w:top w:w="0" w:type="dxa"/>
              <w:left w:w="57" w:type="dxa"/>
              <w:bottom w:w="0" w:type="dxa"/>
              <w:right w:w="57" w:type="dxa"/>
            </w:tcMar>
            <w:vAlign w:val="center"/>
          </w:tcPr>
          <w:p w14:paraId="126E4D52">
            <w:pPr>
              <w:widowControl w:val="0"/>
              <w:spacing w:line="46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方案包括但不限于：①服务要求及标准、②作业现场管理、③工作操作规程、④质量标准及频率、⑤工作管理制度、⑥安全保障措施、⑦服务质量保证措施、⑧管理思路及档案管理等内容。</w:t>
            </w:r>
          </w:p>
          <w:p w14:paraId="7A54A691">
            <w:pPr>
              <w:widowControl w:val="0"/>
              <w:spacing w:line="46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一档（</w:t>
            </w:r>
            <w:r>
              <w:rPr>
                <w:rFonts w:hint="eastAsia" w:ascii="宋体" w:hAnsi="宋体" w:cs="宋体"/>
                <w:color w:val="auto"/>
                <w:kern w:val="0"/>
                <w:sz w:val="24"/>
                <w:szCs w:val="24"/>
                <w:highlight w:val="none"/>
                <w:lang w:val="en-US" w:eastAsia="zh-CN"/>
              </w:rPr>
              <w:t>2</w:t>
            </w:r>
            <w:r>
              <w:rPr>
                <w:rFonts w:hint="eastAsia" w:ascii="宋体" w:hAnsi="宋体" w:cs="宋体"/>
                <w:color w:val="auto"/>
                <w:kern w:val="0"/>
                <w:sz w:val="24"/>
                <w:szCs w:val="24"/>
                <w:highlight w:val="none"/>
              </w:rPr>
              <w:t>分）：投标人提供的服务方案包含①校园保洁、②垃圾分类及清运、③雨污排水管（沟）疏通、④“四害”消杀、⑤寒暑假及节假日保洁计划等5个方面，且每个方面至少包括上述3项内容，有纲要，但内容简略，未展开阐述，能基本满足本项目采购需求；</w:t>
            </w:r>
          </w:p>
          <w:p w14:paraId="285C3A0A">
            <w:pPr>
              <w:widowControl w:val="0"/>
              <w:spacing w:line="46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二档（</w:t>
            </w:r>
            <w:r>
              <w:rPr>
                <w:rFonts w:hint="eastAsia" w:ascii="宋体" w:hAnsi="宋体" w:cs="宋体"/>
                <w:color w:val="auto"/>
                <w:kern w:val="0"/>
                <w:sz w:val="24"/>
                <w:szCs w:val="24"/>
                <w:highlight w:val="none"/>
                <w:lang w:val="en-US" w:eastAsia="zh-CN"/>
              </w:rPr>
              <w:t>3</w:t>
            </w:r>
            <w:r>
              <w:rPr>
                <w:rFonts w:hint="eastAsia" w:ascii="宋体" w:hAnsi="宋体" w:cs="宋体"/>
                <w:color w:val="auto"/>
                <w:kern w:val="0"/>
                <w:sz w:val="24"/>
                <w:szCs w:val="24"/>
                <w:highlight w:val="none"/>
              </w:rPr>
              <w:t>分）：投标人提供的服务方案包含①校园保洁、②垃圾分类及清运、③雨污排水管（沟）疏通、④“四害”消杀、⑤寒暑假及节假日保洁计划等5个方面，且每个方面至少包括上述6项内容，内容完整，对服务内容展开了基本的阐述，有详细的服务工作计划、落实措施；</w:t>
            </w:r>
          </w:p>
          <w:p w14:paraId="315BBFAC">
            <w:pPr>
              <w:widowControl w:val="0"/>
              <w:spacing w:line="460" w:lineRule="exact"/>
              <w:ind w:firstLine="480" w:firstLineChars="200"/>
              <w:rPr>
                <w:rFonts w:ascii="宋体" w:hAnsi="宋体" w:cs="宋体"/>
                <w:color w:val="auto"/>
                <w:kern w:val="0"/>
                <w:sz w:val="24"/>
                <w:szCs w:val="24"/>
                <w:highlight w:val="none"/>
              </w:rPr>
            </w:pPr>
            <w:r>
              <w:rPr>
                <w:rFonts w:hint="eastAsia" w:ascii="宋体" w:hAnsi="宋体" w:cs="宋体"/>
                <w:color w:val="auto"/>
                <w:kern w:val="0"/>
                <w:sz w:val="24"/>
                <w:szCs w:val="24"/>
                <w:highlight w:val="none"/>
              </w:rPr>
              <w:t>三档（</w:t>
            </w:r>
            <w:r>
              <w:rPr>
                <w:rFonts w:hint="eastAsia" w:ascii="宋体" w:hAnsi="宋体" w:cs="宋体"/>
                <w:color w:val="auto"/>
                <w:kern w:val="0"/>
                <w:sz w:val="24"/>
                <w:szCs w:val="24"/>
                <w:highlight w:val="none"/>
                <w:lang w:val="en-US" w:eastAsia="zh-CN"/>
              </w:rPr>
              <w:t>5</w:t>
            </w:r>
            <w:r>
              <w:rPr>
                <w:rFonts w:hint="eastAsia" w:ascii="宋体" w:hAnsi="宋体" w:cs="宋体"/>
                <w:color w:val="auto"/>
                <w:kern w:val="0"/>
                <w:sz w:val="24"/>
                <w:szCs w:val="24"/>
                <w:highlight w:val="none"/>
              </w:rPr>
              <w:t>分）：投标人提供的服务方案包含①校园保洁、②垃圾分类及清运、③雨污排水管（沟）疏通、④“四害”消杀、⑤寒暑假及节假日保洁计划等5个方面，且每个方面包括上述所有内容，服务方案内容细致详尽，能够根据服务单位的特点制定详细的方案服务计划、落实措施及服务质量考核办法，整体管理方案完全适用本项目，对于本项目的保洁绿化卫生要点能够展开详细的阐述。服务方案包括上述全部内容。</w:t>
            </w:r>
          </w:p>
          <w:p w14:paraId="3B297DBD">
            <w:pPr>
              <w:widowControl w:val="0"/>
              <w:spacing w:line="460" w:lineRule="exact"/>
              <w:ind w:firstLine="482" w:firstLineChars="200"/>
              <w:rPr>
                <w:rFonts w:hint="eastAsia" w:ascii="宋体" w:hAnsi="宋体" w:eastAsia="宋体" w:cs="宋体"/>
                <w:color w:val="auto"/>
                <w:sz w:val="24"/>
                <w:szCs w:val="24"/>
                <w:highlight w:val="none"/>
              </w:rPr>
            </w:pPr>
            <w:r>
              <w:rPr>
                <w:rFonts w:hint="eastAsia" w:ascii="宋体" w:hAnsi="宋体" w:cs="宋体"/>
                <w:b/>
                <w:bCs/>
                <w:color w:val="auto"/>
                <w:kern w:val="0"/>
                <w:sz w:val="24"/>
                <w:szCs w:val="24"/>
                <w:highlight w:val="none"/>
              </w:rPr>
              <w:t>注：</w:t>
            </w:r>
            <w:r>
              <w:rPr>
                <w:rFonts w:hint="eastAsia" w:ascii="宋体" w:hAnsi="宋体" w:cs="宋体"/>
                <w:b/>
                <w:bCs/>
                <w:color w:val="auto"/>
                <w:sz w:val="24"/>
                <w:szCs w:val="24"/>
                <w:highlight w:val="none"/>
              </w:rPr>
              <w:t>不提供相关内容或方案或方案未达到一档要求的得0分；方案未达到对应档次的，降档得分。</w:t>
            </w:r>
          </w:p>
        </w:tc>
        <w:tc>
          <w:tcPr>
            <w:tcW w:w="874" w:type="dxa"/>
            <w:shd w:val="clear" w:color="auto" w:fill="auto"/>
            <w:tcMar>
              <w:top w:w="0" w:type="dxa"/>
              <w:left w:w="57" w:type="dxa"/>
              <w:bottom w:w="0" w:type="dxa"/>
              <w:right w:w="57" w:type="dxa"/>
            </w:tcMar>
            <w:vAlign w:val="center"/>
          </w:tcPr>
          <w:p w14:paraId="290B67CA">
            <w:pPr>
              <w:widowControl w:val="0"/>
              <w:adjustRightInd w:val="0"/>
              <w:spacing w:line="460" w:lineRule="exact"/>
              <w:jc w:val="center"/>
              <w:rPr>
                <w:rFonts w:hint="eastAsia" w:ascii="宋体" w:hAnsi="宋体" w:eastAsia="宋体" w:cs="宋体"/>
                <w:color w:val="auto"/>
                <w:sz w:val="24"/>
                <w:szCs w:val="24"/>
                <w:highlight w:val="none"/>
              </w:rPr>
            </w:pPr>
            <w:r>
              <w:rPr>
                <w:rFonts w:hint="eastAsia" w:ascii="Times New Roman" w:hAnsi="Times New Roman" w:eastAsia="仿宋_GB2312"/>
                <w:color w:val="auto"/>
                <w:sz w:val="24"/>
                <w:szCs w:val="24"/>
                <w:highlight w:val="none"/>
              </w:rPr>
              <w:t>5</w:t>
            </w:r>
            <w:r>
              <w:rPr>
                <w:rFonts w:ascii="Times New Roman" w:hAnsi="Times New Roman" w:eastAsia="仿宋_GB2312"/>
                <w:color w:val="auto"/>
                <w:sz w:val="24"/>
                <w:szCs w:val="24"/>
                <w:highlight w:val="none"/>
              </w:rPr>
              <w:t>分</w:t>
            </w:r>
          </w:p>
        </w:tc>
        <w:tc>
          <w:tcPr>
            <w:tcW w:w="1263" w:type="dxa"/>
            <w:shd w:val="clear" w:color="auto" w:fill="auto"/>
            <w:tcMar>
              <w:top w:w="0" w:type="dxa"/>
              <w:left w:w="57" w:type="dxa"/>
              <w:bottom w:w="0" w:type="dxa"/>
              <w:right w:w="57" w:type="dxa"/>
            </w:tcMar>
            <w:vAlign w:val="center"/>
          </w:tcPr>
          <w:p w14:paraId="639E8C76">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主观分</w:t>
            </w:r>
          </w:p>
        </w:tc>
      </w:tr>
      <w:tr w14:paraId="657A3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Mar>
              <w:top w:w="0" w:type="dxa"/>
              <w:left w:w="57" w:type="dxa"/>
              <w:bottom w:w="0" w:type="dxa"/>
              <w:right w:w="57" w:type="dxa"/>
            </w:tcMar>
            <w:vAlign w:val="center"/>
          </w:tcPr>
          <w:p w14:paraId="3529A7E5">
            <w:pPr>
              <w:keepNext w:val="0"/>
              <w:keepLines w:val="0"/>
              <w:pageBreakBefore w:val="0"/>
              <w:widowControl w:val="0"/>
              <w:kinsoku/>
              <w:wordWrap/>
              <w:overflowPunct/>
              <w:topLinePunct w:val="0"/>
              <w:autoSpaceDE/>
              <w:autoSpaceDN/>
              <w:bidi w:val="0"/>
              <w:adjustRightInd w:val="0"/>
              <w:snapToGrid/>
              <w:spacing w:line="400" w:lineRule="exact"/>
              <w:ind w:firstLine="480"/>
              <w:jc w:val="center"/>
              <w:textAlignment w:val="auto"/>
              <w:rPr>
                <w:rFonts w:hint="eastAsia" w:ascii="宋体" w:hAnsi="宋体" w:eastAsia="宋体" w:cs="宋体"/>
                <w:color w:val="auto"/>
                <w:sz w:val="24"/>
                <w:szCs w:val="24"/>
                <w:highlight w:val="none"/>
              </w:rPr>
            </w:pPr>
          </w:p>
        </w:tc>
        <w:tc>
          <w:tcPr>
            <w:tcW w:w="594" w:type="dxa"/>
            <w:vMerge w:val="continue"/>
            <w:tcMar>
              <w:top w:w="0" w:type="dxa"/>
              <w:left w:w="57" w:type="dxa"/>
              <w:bottom w:w="0" w:type="dxa"/>
              <w:right w:w="57" w:type="dxa"/>
            </w:tcMar>
            <w:vAlign w:val="center"/>
          </w:tcPr>
          <w:p w14:paraId="0BF26BEF">
            <w:pPr>
              <w:keepNext w:val="0"/>
              <w:keepLines w:val="0"/>
              <w:pageBreakBefore w:val="0"/>
              <w:widowControl w:val="0"/>
              <w:kinsoku/>
              <w:wordWrap/>
              <w:overflowPunct/>
              <w:topLinePunct w:val="0"/>
              <w:autoSpaceDE/>
              <w:autoSpaceDN/>
              <w:bidi w:val="0"/>
              <w:adjustRightInd w:val="0"/>
              <w:snapToGrid/>
              <w:spacing w:line="400" w:lineRule="exact"/>
              <w:ind w:firstLine="480"/>
              <w:jc w:val="center"/>
              <w:textAlignment w:val="auto"/>
              <w:rPr>
                <w:rFonts w:hint="eastAsia" w:ascii="宋体" w:hAnsi="宋体" w:eastAsia="宋体" w:cs="宋体"/>
                <w:color w:val="auto"/>
                <w:sz w:val="24"/>
                <w:szCs w:val="24"/>
                <w:highlight w:val="none"/>
              </w:rPr>
            </w:pPr>
          </w:p>
        </w:tc>
        <w:tc>
          <w:tcPr>
            <w:tcW w:w="928" w:type="dxa"/>
            <w:shd w:val="clear" w:color="auto" w:fill="auto"/>
            <w:tcMar>
              <w:top w:w="0" w:type="dxa"/>
              <w:left w:w="57" w:type="dxa"/>
              <w:bottom w:w="0" w:type="dxa"/>
              <w:right w:w="57" w:type="dxa"/>
            </w:tcMar>
            <w:vAlign w:val="center"/>
          </w:tcPr>
          <w:p w14:paraId="000C3F0A">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b w:val="0"/>
                <w:bCs w:val="0"/>
                <w:color w:val="auto"/>
                <w:sz w:val="24"/>
                <w:szCs w:val="24"/>
                <w:highlight w:val="none"/>
                <w:vertAlign w:val="baseline"/>
                <w:lang w:val="en-US" w:eastAsia="zh-CN"/>
              </w:rPr>
              <w:t>（4）校园水电综合维修、校园建筑设施小型维修方案</w:t>
            </w:r>
            <w:r>
              <w:rPr>
                <w:rFonts w:hint="eastAsia" w:ascii="宋体" w:hAnsi="宋体" w:cs="宋体"/>
                <w:b w:val="0"/>
                <w:bCs w:val="0"/>
                <w:color w:val="auto"/>
                <w:sz w:val="24"/>
                <w:szCs w:val="24"/>
                <w:highlight w:val="none"/>
                <w:vertAlign w:val="baseline"/>
                <w:lang w:val="en-US" w:eastAsia="zh-CN"/>
              </w:rPr>
              <w:t>分</w:t>
            </w:r>
          </w:p>
        </w:tc>
        <w:tc>
          <w:tcPr>
            <w:tcW w:w="5716" w:type="dxa"/>
            <w:shd w:val="clear" w:color="auto" w:fill="auto"/>
            <w:tcMar>
              <w:top w:w="0" w:type="dxa"/>
              <w:left w:w="57" w:type="dxa"/>
              <w:bottom w:w="0" w:type="dxa"/>
              <w:right w:w="57" w:type="dxa"/>
            </w:tcMar>
            <w:vAlign w:val="center"/>
          </w:tcPr>
          <w:p w14:paraId="489D17DB">
            <w:pPr>
              <w:widowControl w:val="0"/>
              <w:spacing w:line="460" w:lineRule="exact"/>
              <w:ind w:firstLine="480" w:firstLineChars="200"/>
              <w:rPr>
                <w:rFonts w:ascii="宋体" w:hAnsi="宋体" w:cs="宋体"/>
                <w:color w:val="auto"/>
                <w:kern w:val="0"/>
                <w:sz w:val="24"/>
                <w:szCs w:val="24"/>
                <w:highlight w:val="none"/>
              </w:rPr>
            </w:pPr>
            <w:r>
              <w:rPr>
                <w:rFonts w:ascii="宋体" w:hAnsi="宋体" w:cs="宋体"/>
                <w:color w:val="auto"/>
                <w:kern w:val="0"/>
                <w:sz w:val="24"/>
                <w:szCs w:val="24"/>
                <w:highlight w:val="none"/>
              </w:rPr>
              <w:t>方案应针对校园物业特点，全面覆盖以下内容：①队伍建设与综合管理机制、②水电日常维修管理、③综合维修管理、④设备及耗材管理、⑤应急维修预案、⑥响应机制、⑦业务及安全培训计划、⑧节能减排管理。</w:t>
            </w:r>
          </w:p>
          <w:p w14:paraId="6B8DE569">
            <w:pPr>
              <w:widowControl w:val="0"/>
              <w:spacing w:line="460" w:lineRule="exact"/>
              <w:ind w:firstLine="480" w:firstLineChars="200"/>
              <w:rPr>
                <w:rFonts w:ascii="宋体" w:hAnsi="宋体" w:cs="宋体"/>
                <w:color w:val="auto"/>
                <w:kern w:val="0"/>
                <w:sz w:val="24"/>
                <w:szCs w:val="24"/>
                <w:highlight w:val="none"/>
              </w:rPr>
            </w:pPr>
            <w:r>
              <w:rPr>
                <w:rFonts w:ascii="宋体" w:hAnsi="宋体" w:cs="宋体"/>
                <w:color w:val="auto"/>
                <w:kern w:val="0"/>
                <w:sz w:val="24"/>
                <w:szCs w:val="24"/>
                <w:highlight w:val="none"/>
              </w:rPr>
              <w:t>一档（</w:t>
            </w:r>
            <w:r>
              <w:rPr>
                <w:rFonts w:hint="eastAsia" w:ascii="宋体" w:hAnsi="宋体" w:cs="宋体"/>
                <w:color w:val="auto"/>
                <w:kern w:val="0"/>
                <w:sz w:val="24"/>
                <w:szCs w:val="24"/>
                <w:highlight w:val="none"/>
                <w:lang w:val="en-US" w:eastAsia="zh-CN"/>
              </w:rPr>
              <w:t>2</w:t>
            </w:r>
            <w:r>
              <w:rPr>
                <w:rFonts w:ascii="宋体" w:hAnsi="宋体" w:cs="宋体"/>
                <w:color w:val="auto"/>
                <w:kern w:val="0"/>
                <w:sz w:val="24"/>
                <w:szCs w:val="24"/>
                <w:highlight w:val="none"/>
              </w:rPr>
              <w:t>分）： 投标人提供的服务方案</w:t>
            </w:r>
            <w:r>
              <w:rPr>
                <w:rFonts w:hint="eastAsia" w:ascii="宋体" w:hAnsi="宋体" w:cs="宋体"/>
                <w:color w:val="auto"/>
                <w:kern w:val="0"/>
                <w:sz w:val="24"/>
                <w:szCs w:val="24"/>
                <w:highlight w:val="none"/>
              </w:rPr>
              <w:t>至少</w:t>
            </w:r>
            <w:r>
              <w:rPr>
                <w:rFonts w:ascii="宋体" w:hAnsi="宋体" w:cs="宋体"/>
                <w:color w:val="auto"/>
                <w:kern w:val="0"/>
                <w:sz w:val="24"/>
                <w:szCs w:val="24"/>
                <w:highlight w:val="none"/>
              </w:rPr>
              <w:t>包含上述8项内容中的3项，方案能满足本项目最基本采购需求，</w:t>
            </w:r>
            <w:r>
              <w:rPr>
                <w:rFonts w:hint="eastAsia" w:ascii="宋体" w:hAnsi="宋体" w:cs="宋体"/>
                <w:color w:val="auto"/>
                <w:kern w:val="0"/>
                <w:sz w:val="24"/>
                <w:szCs w:val="24"/>
                <w:highlight w:val="none"/>
              </w:rPr>
              <w:t>但</w:t>
            </w:r>
            <w:r>
              <w:rPr>
                <w:rFonts w:ascii="宋体" w:hAnsi="宋体" w:cs="宋体"/>
                <w:color w:val="auto"/>
                <w:kern w:val="0"/>
                <w:sz w:val="24"/>
                <w:szCs w:val="24"/>
                <w:highlight w:val="none"/>
              </w:rPr>
              <w:t>内容简略，多为框架性描述，未结合校园设施特点、师生使用习惯及教学作息规律进行具体阐述，缺乏可操作的细节。</w:t>
            </w:r>
          </w:p>
          <w:p w14:paraId="7695F210">
            <w:pPr>
              <w:widowControl w:val="0"/>
              <w:spacing w:line="460" w:lineRule="exact"/>
              <w:ind w:firstLine="480" w:firstLineChars="200"/>
              <w:rPr>
                <w:rFonts w:ascii="宋体" w:hAnsi="宋体" w:cs="宋体"/>
                <w:color w:val="auto"/>
                <w:kern w:val="0"/>
                <w:sz w:val="24"/>
                <w:szCs w:val="24"/>
                <w:highlight w:val="none"/>
              </w:rPr>
            </w:pPr>
            <w:r>
              <w:rPr>
                <w:rFonts w:ascii="宋体" w:hAnsi="宋体" w:cs="宋体"/>
                <w:color w:val="auto"/>
                <w:kern w:val="0"/>
                <w:sz w:val="24"/>
                <w:szCs w:val="24"/>
                <w:highlight w:val="none"/>
              </w:rPr>
              <w:t>二档（</w:t>
            </w:r>
            <w:r>
              <w:rPr>
                <w:rFonts w:hint="eastAsia" w:ascii="宋体" w:hAnsi="宋体" w:cs="宋体"/>
                <w:color w:val="auto"/>
                <w:kern w:val="0"/>
                <w:sz w:val="24"/>
                <w:szCs w:val="24"/>
                <w:highlight w:val="none"/>
                <w:lang w:val="en-US" w:eastAsia="zh-CN"/>
              </w:rPr>
              <w:t>4</w:t>
            </w:r>
            <w:r>
              <w:rPr>
                <w:rFonts w:ascii="宋体" w:hAnsi="宋体" w:cs="宋体"/>
                <w:color w:val="auto"/>
                <w:kern w:val="0"/>
                <w:sz w:val="24"/>
                <w:szCs w:val="24"/>
                <w:highlight w:val="none"/>
              </w:rPr>
              <w:t>分）：投标人提供的服务方案</w:t>
            </w:r>
            <w:r>
              <w:rPr>
                <w:rFonts w:hint="eastAsia" w:ascii="宋体" w:hAnsi="宋体" w:cs="宋体"/>
                <w:color w:val="auto"/>
                <w:kern w:val="0"/>
                <w:sz w:val="24"/>
                <w:szCs w:val="24"/>
                <w:highlight w:val="none"/>
              </w:rPr>
              <w:t>至少</w:t>
            </w:r>
            <w:r>
              <w:rPr>
                <w:rFonts w:ascii="宋体" w:hAnsi="宋体" w:cs="宋体"/>
                <w:color w:val="auto"/>
                <w:kern w:val="0"/>
                <w:sz w:val="24"/>
                <w:szCs w:val="24"/>
                <w:highlight w:val="none"/>
              </w:rPr>
              <w:t>包含上述8项内容中的6项，方案内容较为系统、完整。能对涉及的系统维保服务要求、操作规程、响应机制等展开合理阐述，制定了与校园运行相适应的维保工作计划和落实措施，方案具备可操作性。</w:t>
            </w:r>
          </w:p>
          <w:p w14:paraId="6EC8DF1D">
            <w:pPr>
              <w:widowControl w:val="0"/>
              <w:spacing w:line="460" w:lineRule="exact"/>
              <w:ind w:firstLine="480" w:firstLineChars="200"/>
              <w:rPr>
                <w:rFonts w:ascii="宋体" w:hAnsi="宋体" w:cs="宋体"/>
                <w:color w:val="auto"/>
                <w:sz w:val="24"/>
                <w:szCs w:val="24"/>
                <w:highlight w:val="none"/>
              </w:rPr>
            </w:pPr>
            <w:r>
              <w:rPr>
                <w:rFonts w:ascii="宋体" w:hAnsi="宋体" w:cs="宋体"/>
                <w:color w:val="auto"/>
                <w:kern w:val="0"/>
                <w:sz w:val="24"/>
                <w:szCs w:val="24"/>
                <w:highlight w:val="none"/>
              </w:rPr>
              <w:t>三档（</w:t>
            </w:r>
            <w:r>
              <w:rPr>
                <w:rFonts w:hint="eastAsia" w:ascii="宋体" w:hAnsi="宋体" w:cs="宋体"/>
                <w:color w:val="auto"/>
                <w:kern w:val="0"/>
                <w:sz w:val="24"/>
                <w:szCs w:val="24"/>
                <w:highlight w:val="none"/>
                <w:lang w:val="en-US" w:eastAsia="zh-CN"/>
              </w:rPr>
              <w:t>6</w:t>
            </w:r>
            <w:r>
              <w:rPr>
                <w:rFonts w:ascii="宋体" w:hAnsi="宋体" w:cs="宋体"/>
                <w:color w:val="auto"/>
                <w:kern w:val="0"/>
                <w:sz w:val="24"/>
                <w:szCs w:val="24"/>
                <w:highlight w:val="none"/>
              </w:rPr>
              <w:t>分）：投标人提供的服务方案全面覆盖上述全部</w:t>
            </w:r>
            <w:r>
              <w:rPr>
                <w:rFonts w:ascii="宋体" w:hAnsi="宋体" w:cs="宋体"/>
                <w:color w:val="auto"/>
                <w:sz w:val="24"/>
                <w:szCs w:val="24"/>
                <w:highlight w:val="none"/>
              </w:rPr>
              <w:t>8项内容。方案内容细致、专业、详尽，能够紧密结合校园环境的高标准要求（如教学秩序、师生安全、节能环保等），制定极具针对性的维保服务计划、应急预案、巡检保养流程、质量考核办法及节能减排措施。方案需体现对重点系统（如供电、供电等）的专业管理能力，并对校园设施设备的日常维护要点、预防性维护、快速响应机制等有深入详尽的阐述，整体方案科学完善。</w:t>
            </w:r>
          </w:p>
          <w:p w14:paraId="2B7995A3">
            <w:pPr>
              <w:widowControl w:val="0"/>
              <w:adjustRightInd w:val="0"/>
              <w:spacing w:line="460" w:lineRule="exact"/>
              <w:jc w:val="center"/>
              <w:rPr>
                <w:rFonts w:hint="eastAsia" w:ascii="宋体" w:hAnsi="宋体" w:eastAsia="宋体" w:cs="宋体"/>
                <w:color w:val="auto"/>
                <w:sz w:val="24"/>
                <w:szCs w:val="24"/>
                <w:highlight w:val="none"/>
              </w:rPr>
            </w:pPr>
            <w:r>
              <w:rPr>
                <w:rFonts w:ascii="宋体" w:hAnsi="宋体" w:cs="宋体"/>
                <w:b/>
                <w:bCs/>
                <w:color w:val="auto"/>
                <w:sz w:val="24"/>
                <w:szCs w:val="24"/>
                <w:highlight w:val="none"/>
              </w:rPr>
              <w:t>注：不提供相关内容或方案或方案未达到一档要求的得0分；方案未达到对应档次的，降档得分。</w:t>
            </w:r>
          </w:p>
        </w:tc>
        <w:tc>
          <w:tcPr>
            <w:tcW w:w="874" w:type="dxa"/>
            <w:shd w:val="clear" w:color="auto" w:fill="auto"/>
            <w:tcMar>
              <w:top w:w="0" w:type="dxa"/>
              <w:left w:w="57" w:type="dxa"/>
              <w:bottom w:w="0" w:type="dxa"/>
              <w:right w:w="57" w:type="dxa"/>
            </w:tcMar>
            <w:vAlign w:val="center"/>
          </w:tcPr>
          <w:p w14:paraId="2655FC36">
            <w:pPr>
              <w:widowControl w:val="0"/>
              <w:adjustRightInd w:val="0"/>
              <w:spacing w:line="460" w:lineRule="exact"/>
              <w:jc w:val="center"/>
              <w:rPr>
                <w:rFonts w:hint="eastAsia" w:ascii="宋体" w:hAnsi="宋体" w:eastAsia="宋体" w:cs="宋体"/>
                <w:color w:val="auto"/>
                <w:sz w:val="24"/>
                <w:szCs w:val="24"/>
                <w:highlight w:val="none"/>
              </w:rPr>
            </w:pPr>
            <w:r>
              <w:rPr>
                <w:rFonts w:hint="eastAsia" w:ascii="Times New Roman" w:hAnsi="Times New Roman" w:eastAsia="仿宋_GB2312"/>
                <w:color w:val="auto"/>
                <w:sz w:val="24"/>
                <w:szCs w:val="24"/>
                <w:highlight w:val="none"/>
              </w:rPr>
              <w:t>6</w:t>
            </w:r>
            <w:r>
              <w:rPr>
                <w:rFonts w:ascii="Times New Roman" w:hAnsi="Times New Roman" w:eastAsia="仿宋_GB2312"/>
                <w:color w:val="auto"/>
                <w:sz w:val="24"/>
                <w:szCs w:val="24"/>
                <w:highlight w:val="none"/>
              </w:rPr>
              <w:t>分</w:t>
            </w:r>
          </w:p>
        </w:tc>
        <w:tc>
          <w:tcPr>
            <w:tcW w:w="1263" w:type="dxa"/>
            <w:shd w:val="clear" w:color="auto" w:fill="auto"/>
            <w:tcMar>
              <w:top w:w="0" w:type="dxa"/>
              <w:left w:w="57" w:type="dxa"/>
              <w:bottom w:w="0" w:type="dxa"/>
              <w:right w:w="57" w:type="dxa"/>
            </w:tcMar>
            <w:vAlign w:val="center"/>
          </w:tcPr>
          <w:p w14:paraId="1ACA46A5">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主观分</w:t>
            </w:r>
          </w:p>
        </w:tc>
      </w:tr>
      <w:tr w14:paraId="7C04C3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20" w:hRule="atLeast"/>
          <w:jc w:val="center"/>
        </w:trPr>
        <w:tc>
          <w:tcPr>
            <w:tcW w:w="625" w:type="dxa"/>
            <w:vMerge w:val="continue"/>
            <w:tcMar>
              <w:top w:w="0" w:type="dxa"/>
              <w:left w:w="57" w:type="dxa"/>
              <w:bottom w:w="0" w:type="dxa"/>
              <w:right w:w="57" w:type="dxa"/>
            </w:tcMar>
            <w:vAlign w:val="center"/>
          </w:tcPr>
          <w:p w14:paraId="32962F3D">
            <w:pPr>
              <w:keepNext w:val="0"/>
              <w:keepLines w:val="0"/>
              <w:pageBreakBefore w:val="0"/>
              <w:widowControl w:val="0"/>
              <w:kinsoku/>
              <w:wordWrap/>
              <w:overflowPunct/>
              <w:topLinePunct w:val="0"/>
              <w:autoSpaceDE/>
              <w:autoSpaceDN/>
              <w:bidi w:val="0"/>
              <w:adjustRightInd w:val="0"/>
              <w:snapToGrid/>
              <w:spacing w:line="400" w:lineRule="exact"/>
              <w:ind w:firstLine="480"/>
              <w:jc w:val="center"/>
              <w:textAlignment w:val="auto"/>
              <w:rPr>
                <w:rFonts w:hint="eastAsia" w:ascii="宋体" w:hAnsi="宋体" w:eastAsia="宋体" w:cs="宋体"/>
                <w:color w:val="auto"/>
                <w:sz w:val="24"/>
                <w:szCs w:val="24"/>
                <w:highlight w:val="none"/>
              </w:rPr>
            </w:pPr>
          </w:p>
        </w:tc>
        <w:tc>
          <w:tcPr>
            <w:tcW w:w="594" w:type="dxa"/>
            <w:vMerge w:val="continue"/>
            <w:tcMar>
              <w:top w:w="0" w:type="dxa"/>
              <w:left w:w="57" w:type="dxa"/>
              <w:bottom w:w="0" w:type="dxa"/>
              <w:right w:w="57" w:type="dxa"/>
            </w:tcMar>
            <w:vAlign w:val="center"/>
          </w:tcPr>
          <w:p w14:paraId="00637757">
            <w:pPr>
              <w:keepNext w:val="0"/>
              <w:keepLines w:val="0"/>
              <w:pageBreakBefore w:val="0"/>
              <w:widowControl w:val="0"/>
              <w:kinsoku/>
              <w:wordWrap/>
              <w:overflowPunct/>
              <w:topLinePunct w:val="0"/>
              <w:autoSpaceDE/>
              <w:autoSpaceDN/>
              <w:bidi w:val="0"/>
              <w:adjustRightInd w:val="0"/>
              <w:snapToGrid/>
              <w:spacing w:line="400" w:lineRule="exact"/>
              <w:ind w:firstLine="480"/>
              <w:jc w:val="center"/>
              <w:textAlignment w:val="auto"/>
              <w:rPr>
                <w:rFonts w:hint="eastAsia" w:ascii="宋体" w:hAnsi="宋体" w:eastAsia="宋体" w:cs="宋体"/>
                <w:color w:val="auto"/>
                <w:sz w:val="24"/>
                <w:szCs w:val="24"/>
                <w:highlight w:val="none"/>
              </w:rPr>
            </w:pPr>
          </w:p>
        </w:tc>
        <w:tc>
          <w:tcPr>
            <w:tcW w:w="928" w:type="dxa"/>
            <w:shd w:val="clear" w:color="auto" w:fill="auto"/>
            <w:tcMar>
              <w:top w:w="0" w:type="dxa"/>
              <w:left w:w="57" w:type="dxa"/>
              <w:bottom w:w="0" w:type="dxa"/>
              <w:right w:w="57" w:type="dxa"/>
            </w:tcMar>
            <w:vAlign w:val="center"/>
          </w:tcPr>
          <w:p w14:paraId="0ACDFC00">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（5）绿化、养护方案</w:t>
            </w:r>
            <w:r>
              <w:rPr>
                <w:rFonts w:hint="eastAsia" w:ascii="宋体" w:hAnsi="宋体" w:cs="宋体"/>
                <w:b w:val="0"/>
                <w:bCs w:val="0"/>
                <w:color w:val="auto"/>
                <w:sz w:val="24"/>
                <w:szCs w:val="24"/>
                <w:highlight w:val="none"/>
                <w:vertAlign w:val="baseline"/>
                <w:lang w:val="en-US" w:eastAsia="zh-CN"/>
              </w:rPr>
              <w:t>分</w:t>
            </w:r>
          </w:p>
        </w:tc>
        <w:tc>
          <w:tcPr>
            <w:tcW w:w="5716" w:type="dxa"/>
            <w:shd w:val="clear" w:color="auto" w:fill="auto"/>
            <w:tcMar>
              <w:top w:w="0" w:type="dxa"/>
              <w:left w:w="57" w:type="dxa"/>
              <w:bottom w:w="0" w:type="dxa"/>
              <w:right w:w="57" w:type="dxa"/>
            </w:tcMar>
            <w:vAlign w:val="center"/>
          </w:tcPr>
          <w:p w14:paraId="35E92207">
            <w:pPr>
              <w:widowControl w:val="0"/>
              <w:spacing w:line="46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方案包括但不限于：①养护服务要求及标准、②现场作业管理、③工作操作规程（如修剪、施肥、灌溉等）、④养护质量标准和频率、⑤专项技术方案（如大型乔木病虫害综合防治及保护等）、⑥应急处理预案、⑦机械设备配置计划等内容。</w:t>
            </w:r>
          </w:p>
          <w:p w14:paraId="7F0117E6">
            <w:pPr>
              <w:widowControl w:val="0"/>
              <w:spacing w:line="46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一档（</w:t>
            </w:r>
            <w:r>
              <w:rPr>
                <w:rFonts w:hint="eastAsia" w:ascii="宋体" w:hAnsi="宋体" w:cs="宋体"/>
                <w:color w:val="auto"/>
                <w:sz w:val="24"/>
                <w:szCs w:val="24"/>
                <w:highlight w:val="none"/>
                <w:lang w:val="en-US" w:eastAsia="zh-CN"/>
              </w:rPr>
              <w:t>2</w:t>
            </w:r>
            <w:r>
              <w:rPr>
                <w:rFonts w:ascii="宋体" w:hAnsi="宋体" w:cs="宋体"/>
                <w:color w:val="auto"/>
                <w:sz w:val="24"/>
                <w:szCs w:val="24"/>
                <w:highlight w:val="none"/>
              </w:rPr>
              <w:t>分）：投标人提供的绿化养护服务方案包含①日常养护、②整形修剪、③病虫害防治、④植被培育、补植更新、⑤绿化垃圾处理等5个基本方面，且每个方面对应的方案内容</w:t>
            </w:r>
            <w:r>
              <w:rPr>
                <w:rFonts w:hint="eastAsia" w:ascii="宋体" w:hAnsi="宋体" w:cs="宋体"/>
                <w:color w:val="auto"/>
                <w:sz w:val="24"/>
                <w:szCs w:val="24"/>
                <w:highlight w:val="none"/>
              </w:rPr>
              <w:t>至少</w:t>
            </w:r>
            <w:r>
              <w:rPr>
                <w:rFonts w:ascii="宋体" w:hAnsi="宋体" w:cs="宋体"/>
                <w:color w:val="auto"/>
                <w:sz w:val="24"/>
                <w:szCs w:val="24"/>
                <w:highlight w:val="none"/>
              </w:rPr>
              <w:t>包括上述3项内容，方案</w:t>
            </w:r>
            <w:r>
              <w:rPr>
                <w:rFonts w:hint="eastAsia" w:ascii="宋体" w:hAnsi="宋体" w:cs="宋体"/>
                <w:color w:val="auto"/>
                <w:sz w:val="24"/>
                <w:szCs w:val="24"/>
                <w:highlight w:val="none"/>
              </w:rPr>
              <w:t>基本</w:t>
            </w:r>
            <w:r>
              <w:rPr>
                <w:rFonts w:ascii="宋体" w:hAnsi="宋体" w:cs="宋体"/>
                <w:color w:val="auto"/>
                <w:sz w:val="24"/>
                <w:szCs w:val="24"/>
                <w:highlight w:val="none"/>
              </w:rPr>
              <w:t>满足本项目基本采购需求，但内容简略，多为纲要性描述，未结合校园环境进行具体阐述。</w:t>
            </w:r>
          </w:p>
          <w:p w14:paraId="2CE83099">
            <w:pPr>
              <w:widowControl w:val="0"/>
              <w:spacing w:line="46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二档（</w:t>
            </w:r>
            <w:r>
              <w:rPr>
                <w:rFonts w:hint="eastAsia" w:ascii="宋体" w:hAnsi="宋体" w:cs="宋体"/>
                <w:color w:val="auto"/>
                <w:sz w:val="24"/>
                <w:szCs w:val="24"/>
                <w:highlight w:val="none"/>
                <w:lang w:val="en-US" w:eastAsia="zh-CN"/>
              </w:rPr>
              <w:t>4</w:t>
            </w:r>
            <w:r>
              <w:rPr>
                <w:rFonts w:ascii="宋体" w:hAnsi="宋体" w:cs="宋体"/>
                <w:color w:val="auto"/>
                <w:sz w:val="24"/>
                <w:szCs w:val="24"/>
                <w:highlight w:val="none"/>
              </w:rPr>
              <w:t>分）：投标人提供的绿化养护服务方案包含①日常养护、②整形修剪、③病虫害防治、④植被培育、补植更新、⑤绿化垃圾处理等5个基本方面，且每个方面对应的方案内容</w:t>
            </w:r>
            <w:r>
              <w:rPr>
                <w:rFonts w:hint="eastAsia" w:ascii="宋体" w:hAnsi="宋体" w:cs="宋体"/>
                <w:color w:val="auto"/>
                <w:sz w:val="24"/>
                <w:szCs w:val="24"/>
                <w:highlight w:val="none"/>
              </w:rPr>
              <w:t>至少</w:t>
            </w:r>
            <w:r>
              <w:rPr>
                <w:rFonts w:ascii="宋体" w:hAnsi="宋体" w:cs="宋体"/>
                <w:color w:val="auto"/>
                <w:sz w:val="24"/>
                <w:szCs w:val="24"/>
                <w:highlight w:val="none"/>
              </w:rPr>
              <w:t>包括上述6项内容。方案内容完整，对服务标准、操作规程、养护频率等展开了基本阐述，有详细的年度或季度工作计划和落实措施，具备可操作性。</w:t>
            </w:r>
          </w:p>
          <w:p w14:paraId="19543C6C">
            <w:pPr>
              <w:widowControl w:val="0"/>
              <w:spacing w:line="46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三档（</w:t>
            </w: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分）：投标人提供的绿化养护服务方案包含①日常养护、②整形修剪、③病虫害防治、④植被培育、补植更新、⑤绿化垃圾处理等5个基本方面，且每个方面对应的方案内容包括上述所有</w:t>
            </w:r>
            <w:r>
              <w:rPr>
                <w:rFonts w:hint="eastAsia" w:ascii="宋体" w:hAnsi="宋体" w:cs="宋体"/>
                <w:color w:val="auto"/>
                <w:sz w:val="24"/>
                <w:szCs w:val="24"/>
                <w:highlight w:val="none"/>
              </w:rPr>
              <w:t>7</w:t>
            </w:r>
            <w:r>
              <w:rPr>
                <w:rFonts w:ascii="宋体" w:hAnsi="宋体" w:cs="宋体"/>
                <w:color w:val="auto"/>
                <w:sz w:val="24"/>
                <w:szCs w:val="24"/>
                <w:highlight w:val="none"/>
              </w:rPr>
              <w:t>项内容。服务方案内容细致详尽，能够根据校园的功能分区、师生作息及安全要求等特点，制定差异化的精细养护计划、落实措施及质量考核办法。方案需体现大型乔木保护、极端天气应急响应等专项方案。整体方案科学、系统，完全适用于本项目，并对校园绿化景观效果的提升有详细阐述。</w:t>
            </w:r>
          </w:p>
          <w:p w14:paraId="71321458">
            <w:pPr>
              <w:widowControl w:val="0"/>
              <w:spacing w:line="460" w:lineRule="exact"/>
              <w:ind w:firstLine="482" w:firstLineChars="200"/>
              <w:rPr>
                <w:rFonts w:hint="eastAsia" w:ascii="宋体" w:hAnsi="宋体" w:eastAsia="宋体" w:cs="宋体"/>
                <w:b w:val="0"/>
                <w:bCs w:val="0"/>
                <w:color w:val="auto"/>
                <w:sz w:val="24"/>
                <w:szCs w:val="24"/>
                <w:highlight w:val="none"/>
                <w:vertAlign w:val="baseline"/>
                <w:lang w:val="en-US" w:eastAsia="zh-CN"/>
              </w:rPr>
            </w:pPr>
            <w:r>
              <w:rPr>
                <w:rFonts w:ascii="宋体" w:hAnsi="宋体" w:cs="宋体"/>
                <w:b/>
                <w:bCs/>
                <w:color w:val="auto"/>
                <w:sz w:val="24"/>
                <w:szCs w:val="24"/>
                <w:highlight w:val="none"/>
              </w:rPr>
              <w:t>注：不提供相关内容或方案或方案未达到一档要求的得0分；方案未达到对应档次的，降档得分。</w:t>
            </w:r>
          </w:p>
        </w:tc>
        <w:tc>
          <w:tcPr>
            <w:tcW w:w="874" w:type="dxa"/>
            <w:shd w:val="clear" w:color="auto" w:fill="auto"/>
            <w:tcMar>
              <w:top w:w="0" w:type="dxa"/>
              <w:left w:w="57" w:type="dxa"/>
              <w:bottom w:w="0" w:type="dxa"/>
              <w:right w:w="57" w:type="dxa"/>
            </w:tcMar>
            <w:vAlign w:val="center"/>
          </w:tcPr>
          <w:p w14:paraId="03F24BA1">
            <w:pPr>
              <w:widowControl w:val="0"/>
              <w:spacing w:line="460" w:lineRule="exact"/>
              <w:jc w:val="center"/>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lang w:val="en-US" w:eastAsia="zh-CN"/>
              </w:rPr>
              <w:t>6</w:t>
            </w:r>
            <w:r>
              <w:rPr>
                <w:rFonts w:ascii="宋体" w:hAnsi="宋体" w:cs="宋体"/>
                <w:color w:val="auto"/>
                <w:sz w:val="24"/>
                <w:szCs w:val="24"/>
                <w:highlight w:val="none"/>
              </w:rPr>
              <w:t>分</w:t>
            </w:r>
          </w:p>
        </w:tc>
        <w:tc>
          <w:tcPr>
            <w:tcW w:w="1263" w:type="dxa"/>
            <w:shd w:val="clear" w:color="auto" w:fill="auto"/>
            <w:tcMar>
              <w:top w:w="0" w:type="dxa"/>
              <w:left w:w="57" w:type="dxa"/>
              <w:bottom w:w="0" w:type="dxa"/>
              <w:right w:w="57" w:type="dxa"/>
            </w:tcMar>
            <w:vAlign w:val="center"/>
          </w:tcPr>
          <w:p w14:paraId="66F9EF1F">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主观分</w:t>
            </w:r>
          </w:p>
        </w:tc>
      </w:tr>
      <w:tr w14:paraId="71332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Mar>
              <w:top w:w="0" w:type="dxa"/>
              <w:left w:w="57" w:type="dxa"/>
              <w:bottom w:w="0" w:type="dxa"/>
              <w:right w:w="57" w:type="dxa"/>
            </w:tcMar>
            <w:vAlign w:val="center"/>
          </w:tcPr>
          <w:p w14:paraId="304ED991">
            <w:pPr>
              <w:keepNext w:val="0"/>
              <w:keepLines w:val="0"/>
              <w:pageBreakBefore w:val="0"/>
              <w:widowControl w:val="0"/>
              <w:kinsoku/>
              <w:wordWrap/>
              <w:overflowPunct/>
              <w:topLinePunct w:val="0"/>
              <w:autoSpaceDE/>
              <w:autoSpaceDN/>
              <w:bidi w:val="0"/>
              <w:adjustRightInd w:val="0"/>
              <w:snapToGrid/>
              <w:spacing w:line="400" w:lineRule="exact"/>
              <w:ind w:firstLine="480"/>
              <w:jc w:val="center"/>
              <w:textAlignment w:val="auto"/>
              <w:rPr>
                <w:rFonts w:hint="eastAsia" w:ascii="宋体" w:hAnsi="宋体" w:eastAsia="宋体" w:cs="宋体"/>
                <w:color w:val="auto"/>
                <w:sz w:val="24"/>
                <w:szCs w:val="24"/>
                <w:highlight w:val="none"/>
              </w:rPr>
            </w:pPr>
          </w:p>
        </w:tc>
        <w:tc>
          <w:tcPr>
            <w:tcW w:w="594" w:type="dxa"/>
            <w:vMerge w:val="continue"/>
            <w:tcMar>
              <w:top w:w="0" w:type="dxa"/>
              <w:left w:w="57" w:type="dxa"/>
              <w:bottom w:w="0" w:type="dxa"/>
              <w:right w:w="57" w:type="dxa"/>
            </w:tcMar>
            <w:vAlign w:val="center"/>
          </w:tcPr>
          <w:p w14:paraId="6E875AE8">
            <w:pPr>
              <w:keepNext w:val="0"/>
              <w:keepLines w:val="0"/>
              <w:pageBreakBefore w:val="0"/>
              <w:widowControl w:val="0"/>
              <w:kinsoku/>
              <w:wordWrap/>
              <w:overflowPunct/>
              <w:topLinePunct w:val="0"/>
              <w:autoSpaceDE/>
              <w:autoSpaceDN/>
              <w:bidi w:val="0"/>
              <w:adjustRightInd w:val="0"/>
              <w:snapToGrid/>
              <w:spacing w:line="400" w:lineRule="exact"/>
              <w:ind w:firstLine="480"/>
              <w:jc w:val="center"/>
              <w:textAlignment w:val="auto"/>
              <w:rPr>
                <w:rFonts w:hint="eastAsia" w:ascii="宋体" w:hAnsi="宋体" w:eastAsia="宋体" w:cs="宋体"/>
                <w:color w:val="auto"/>
                <w:sz w:val="24"/>
                <w:szCs w:val="24"/>
                <w:highlight w:val="none"/>
              </w:rPr>
            </w:pPr>
          </w:p>
        </w:tc>
        <w:tc>
          <w:tcPr>
            <w:tcW w:w="928" w:type="dxa"/>
            <w:shd w:val="clear" w:color="auto" w:fill="auto"/>
            <w:tcMar>
              <w:top w:w="0" w:type="dxa"/>
              <w:left w:w="57" w:type="dxa"/>
              <w:bottom w:w="0" w:type="dxa"/>
              <w:right w:w="57" w:type="dxa"/>
            </w:tcMar>
            <w:vAlign w:val="center"/>
          </w:tcPr>
          <w:p w14:paraId="28E662BF">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（6）合理化建议分</w:t>
            </w:r>
          </w:p>
        </w:tc>
        <w:tc>
          <w:tcPr>
            <w:tcW w:w="5716" w:type="dxa"/>
            <w:shd w:val="clear" w:color="auto" w:fill="auto"/>
            <w:tcMar>
              <w:top w:w="0" w:type="dxa"/>
              <w:left w:w="57" w:type="dxa"/>
              <w:bottom w:w="0" w:type="dxa"/>
              <w:right w:w="57" w:type="dxa"/>
            </w:tcMar>
            <w:vAlign w:val="center"/>
          </w:tcPr>
          <w:p w14:paraId="2FE86010">
            <w:pPr>
              <w:widowControl w:val="0"/>
              <w:spacing w:line="460" w:lineRule="exact"/>
              <w:ind w:firstLine="480" w:firstLineChars="200"/>
              <w:rPr>
                <w:rFonts w:ascii="宋体" w:hAnsi="宋体" w:cs="宋体"/>
                <w:sz w:val="24"/>
                <w:szCs w:val="24"/>
                <w:highlight w:val="none"/>
              </w:rPr>
            </w:pPr>
            <w:r>
              <w:rPr>
                <w:rFonts w:ascii="宋体" w:hAnsi="宋体" w:cs="宋体"/>
                <w:sz w:val="24"/>
                <w:szCs w:val="24"/>
                <w:highlight w:val="none"/>
              </w:rPr>
              <w:t>方案</w:t>
            </w:r>
            <w:r>
              <w:rPr>
                <w:rFonts w:hint="eastAsia" w:ascii="宋体" w:hAnsi="宋体" w:cs="宋体"/>
                <w:sz w:val="24"/>
                <w:szCs w:val="24"/>
                <w:highlight w:val="none"/>
              </w:rPr>
              <w:t>内容</w:t>
            </w:r>
            <w:r>
              <w:rPr>
                <w:rFonts w:ascii="宋体" w:hAnsi="宋体" w:cs="宋体"/>
                <w:sz w:val="24"/>
                <w:szCs w:val="24"/>
                <w:highlight w:val="none"/>
              </w:rPr>
              <w:t>包括</w:t>
            </w:r>
            <w:r>
              <w:rPr>
                <w:rFonts w:hint="eastAsia" w:ascii="宋体" w:hAnsi="宋体" w:cs="宋体"/>
                <w:sz w:val="24"/>
                <w:szCs w:val="24"/>
                <w:highlight w:val="none"/>
              </w:rPr>
              <w:t>但不限于</w:t>
            </w:r>
            <w:r>
              <w:rPr>
                <w:rFonts w:hint="eastAsia" w:ascii="宋体" w:hAnsi="宋体" w:cs="宋体"/>
                <w:color w:val="FF0000"/>
                <w:sz w:val="24"/>
                <w:szCs w:val="24"/>
                <w:highlight w:val="none"/>
              </w:rPr>
              <w:t>以下</w:t>
            </w:r>
            <w:r>
              <w:rPr>
                <w:rFonts w:ascii="宋体" w:hAnsi="宋体" w:cs="宋体"/>
                <w:color w:val="FF0000"/>
                <w:sz w:val="24"/>
                <w:szCs w:val="24"/>
                <w:highlight w:val="none"/>
              </w:rPr>
              <w:t>重点难点</w:t>
            </w:r>
            <w:r>
              <w:rPr>
                <w:rFonts w:ascii="宋体" w:hAnsi="宋体" w:cs="宋体"/>
                <w:sz w:val="24"/>
                <w:szCs w:val="24"/>
                <w:highlight w:val="none"/>
              </w:rPr>
              <w:t>：①校园安全防范（门岗、巡逻、消防、突发事件）②环境卫生与消杀（教室、宿舍、公共区域高频接触点消毒、除四害）③设施设备维护（水电、空调、照明、多媒体设备快速响应）④校园大型活动保障（开学</w:t>
            </w:r>
            <w:r>
              <w:rPr>
                <w:rFonts w:hint="eastAsia" w:ascii="宋体" w:hAnsi="宋体" w:cs="宋体"/>
                <w:sz w:val="24"/>
                <w:szCs w:val="24"/>
                <w:highlight w:val="none"/>
                <w:lang w:eastAsia="zh-CN"/>
              </w:rPr>
              <w:t>和</w:t>
            </w:r>
            <w:r>
              <w:rPr>
                <w:rFonts w:ascii="宋体" w:hAnsi="宋体" w:cs="宋体"/>
                <w:sz w:val="24"/>
                <w:szCs w:val="24"/>
                <w:highlight w:val="none"/>
              </w:rPr>
              <w:t>毕业典礼、考试、家长会等）⑤假期及特殊时期服务（寒暑假值班、雨季防汛）。</w:t>
            </w:r>
          </w:p>
          <w:p w14:paraId="73B32612">
            <w:pPr>
              <w:widowControl w:val="0"/>
              <w:spacing w:line="460" w:lineRule="exact"/>
              <w:ind w:firstLine="480" w:firstLineChars="200"/>
              <w:rPr>
                <w:rFonts w:ascii="宋体" w:hAnsi="宋体" w:cs="宋体"/>
                <w:sz w:val="24"/>
                <w:szCs w:val="24"/>
                <w:highlight w:val="none"/>
              </w:rPr>
            </w:pPr>
            <w:r>
              <w:rPr>
                <w:rFonts w:ascii="宋体" w:hAnsi="宋体" w:cs="宋体"/>
                <w:sz w:val="24"/>
                <w:szCs w:val="24"/>
                <w:highlight w:val="none"/>
              </w:rPr>
              <w:t>一档（</w:t>
            </w:r>
            <w:r>
              <w:rPr>
                <w:rFonts w:hint="eastAsia" w:ascii="宋体" w:hAnsi="宋体" w:cs="宋体"/>
                <w:sz w:val="24"/>
                <w:szCs w:val="24"/>
                <w:highlight w:val="none"/>
                <w:lang w:val="en-US" w:eastAsia="zh-CN"/>
              </w:rPr>
              <w:t>2</w:t>
            </w:r>
            <w:r>
              <w:rPr>
                <w:rFonts w:ascii="宋体" w:hAnsi="宋体" w:cs="宋体"/>
                <w:sz w:val="24"/>
                <w:szCs w:val="24"/>
                <w:highlight w:val="none"/>
              </w:rPr>
              <w:t>分）：能提出部分解决方案或建议，但内容不够完整，针对性不强，或涉及的重点难点不足2个；</w:t>
            </w:r>
          </w:p>
          <w:p w14:paraId="4DF4DB40">
            <w:pPr>
              <w:widowControl w:val="0"/>
              <w:spacing w:line="460" w:lineRule="exact"/>
              <w:ind w:firstLine="480" w:firstLineChars="200"/>
              <w:rPr>
                <w:rFonts w:ascii="宋体" w:hAnsi="宋体" w:cs="宋体"/>
                <w:sz w:val="24"/>
                <w:szCs w:val="24"/>
                <w:highlight w:val="none"/>
              </w:rPr>
            </w:pPr>
            <w:r>
              <w:rPr>
                <w:rFonts w:ascii="宋体" w:hAnsi="宋体" w:cs="宋体"/>
                <w:sz w:val="24"/>
                <w:szCs w:val="24"/>
                <w:highlight w:val="none"/>
              </w:rPr>
              <w:t>二档（</w:t>
            </w:r>
            <w:r>
              <w:rPr>
                <w:rFonts w:hint="eastAsia" w:ascii="宋体" w:hAnsi="宋体" w:cs="宋体"/>
                <w:sz w:val="24"/>
                <w:szCs w:val="24"/>
                <w:highlight w:val="none"/>
                <w:lang w:val="en-US" w:eastAsia="zh-CN"/>
              </w:rPr>
              <w:t>4</w:t>
            </w:r>
            <w:r>
              <w:rPr>
                <w:rFonts w:ascii="宋体" w:hAnsi="宋体" w:cs="宋体"/>
                <w:sz w:val="24"/>
                <w:szCs w:val="24"/>
                <w:highlight w:val="none"/>
              </w:rPr>
              <w:t xml:space="preserve">分）：能针对上述至少3个重点难点问题提出解决方案，内容完整、可行、有针对性，但缺乏独特见解或预期效果说明； </w:t>
            </w:r>
          </w:p>
          <w:p w14:paraId="4175CE88">
            <w:pPr>
              <w:widowControl w:val="0"/>
              <w:spacing w:line="460" w:lineRule="exact"/>
              <w:ind w:firstLine="480" w:firstLineChars="200"/>
              <w:rPr>
                <w:rFonts w:ascii="宋体" w:hAnsi="宋体" w:cs="宋体"/>
                <w:sz w:val="24"/>
                <w:szCs w:val="24"/>
                <w:highlight w:val="none"/>
              </w:rPr>
            </w:pPr>
            <w:r>
              <w:rPr>
                <w:rFonts w:ascii="宋体" w:hAnsi="宋体" w:cs="宋体"/>
                <w:sz w:val="24"/>
                <w:szCs w:val="24"/>
                <w:highlight w:val="none"/>
              </w:rPr>
              <w:t>三档（</w:t>
            </w:r>
            <w:r>
              <w:rPr>
                <w:rFonts w:hint="eastAsia" w:ascii="宋体" w:hAnsi="宋体" w:cs="宋体"/>
                <w:sz w:val="24"/>
                <w:szCs w:val="24"/>
                <w:highlight w:val="none"/>
                <w:lang w:val="en-US" w:eastAsia="zh-CN"/>
              </w:rPr>
              <w:t>6</w:t>
            </w:r>
            <w:r>
              <w:rPr>
                <w:rFonts w:ascii="宋体" w:hAnsi="宋体" w:cs="宋体"/>
                <w:sz w:val="24"/>
                <w:szCs w:val="24"/>
                <w:highlight w:val="none"/>
              </w:rPr>
              <w:t>分）：能针对上述至少5个重点难点问题，逐一提出针对性解决方案及优化建议，每个建议均包含问题分析、具体措施、预期效果，内容阐述全面，对校园业态有独特理解。</w:t>
            </w:r>
          </w:p>
          <w:p w14:paraId="185C1D8A">
            <w:pPr>
              <w:widowControl w:val="0"/>
              <w:spacing w:line="460" w:lineRule="exact"/>
              <w:ind w:firstLine="482" w:firstLineChars="200"/>
              <w:rPr>
                <w:rFonts w:hint="eastAsia" w:ascii="宋体" w:hAnsi="宋体" w:eastAsia="宋体" w:cs="宋体"/>
                <w:b/>
                <w:bCs/>
                <w:color w:val="auto"/>
                <w:kern w:val="2"/>
                <w:sz w:val="24"/>
                <w:szCs w:val="24"/>
                <w:highlight w:val="none"/>
                <w:vertAlign w:val="baseline"/>
                <w:lang w:val="en-US" w:eastAsia="zh-CN" w:bidi="ar-SA"/>
              </w:rPr>
            </w:pPr>
            <w:r>
              <w:rPr>
                <w:rFonts w:ascii="宋体" w:hAnsi="宋体" w:cs="宋体"/>
                <w:b/>
                <w:bCs/>
                <w:sz w:val="24"/>
                <w:szCs w:val="24"/>
                <w:highlight w:val="none"/>
              </w:rPr>
              <w:t>注：不提供相关内容或方案或方案未达到一档要求的得0分；方案未达到对应档次的，降档得分</w:t>
            </w:r>
            <w:r>
              <w:rPr>
                <w:rFonts w:ascii="Times New Roman" w:hAnsi="Times New Roman" w:eastAsia="仿宋_GB2312"/>
                <w:sz w:val="24"/>
                <w:szCs w:val="24"/>
                <w:highlight w:val="none"/>
              </w:rPr>
              <w:t>。</w:t>
            </w:r>
          </w:p>
        </w:tc>
        <w:tc>
          <w:tcPr>
            <w:tcW w:w="874" w:type="dxa"/>
            <w:shd w:val="clear" w:color="auto" w:fill="auto"/>
            <w:tcMar>
              <w:top w:w="0" w:type="dxa"/>
              <w:left w:w="57" w:type="dxa"/>
              <w:bottom w:w="0" w:type="dxa"/>
              <w:right w:w="57" w:type="dxa"/>
            </w:tcMar>
            <w:vAlign w:val="center"/>
          </w:tcPr>
          <w:p w14:paraId="0264DE00">
            <w:pPr>
              <w:widowControl w:val="0"/>
              <w:adjustRightInd w:val="0"/>
              <w:spacing w:line="460" w:lineRule="exact"/>
              <w:jc w:val="center"/>
              <w:rPr>
                <w:rFonts w:hint="eastAsia" w:ascii="宋体" w:hAnsi="宋体" w:eastAsia="宋体" w:cs="宋体"/>
                <w:color w:val="auto"/>
                <w:sz w:val="24"/>
                <w:szCs w:val="24"/>
                <w:highlight w:val="none"/>
                <w:vertAlign w:val="baseline"/>
                <w:lang w:val="en-US" w:eastAsia="zh-CN"/>
              </w:rPr>
            </w:pPr>
            <w:r>
              <w:rPr>
                <w:rFonts w:hint="eastAsia" w:eastAsia="仿宋_GB2312"/>
                <w:sz w:val="24"/>
                <w:szCs w:val="24"/>
                <w:highlight w:val="none"/>
                <w:lang w:val="en-US" w:eastAsia="zh-CN"/>
              </w:rPr>
              <w:t>6</w:t>
            </w:r>
            <w:r>
              <w:rPr>
                <w:rFonts w:ascii="Times New Roman" w:hAnsi="Times New Roman" w:eastAsia="仿宋_GB2312"/>
                <w:sz w:val="24"/>
                <w:szCs w:val="24"/>
                <w:highlight w:val="none"/>
              </w:rPr>
              <w:t>分</w:t>
            </w:r>
          </w:p>
        </w:tc>
        <w:tc>
          <w:tcPr>
            <w:tcW w:w="1263" w:type="dxa"/>
            <w:shd w:val="clear" w:color="auto" w:fill="auto"/>
            <w:tcMar>
              <w:top w:w="0" w:type="dxa"/>
              <w:left w:w="57" w:type="dxa"/>
              <w:bottom w:w="0" w:type="dxa"/>
              <w:right w:w="57" w:type="dxa"/>
            </w:tcMar>
            <w:vAlign w:val="center"/>
          </w:tcPr>
          <w:p w14:paraId="14703F80">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主观分</w:t>
            </w:r>
          </w:p>
        </w:tc>
      </w:tr>
      <w:tr w14:paraId="17440D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Mar>
              <w:top w:w="0" w:type="dxa"/>
              <w:left w:w="57" w:type="dxa"/>
              <w:bottom w:w="0" w:type="dxa"/>
              <w:right w:w="57" w:type="dxa"/>
            </w:tcMar>
            <w:vAlign w:val="center"/>
          </w:tcPr>
          <w:p w14:paraId="1359C7A5">
            <w:pPr>
              <w:keepNext w:val="0"/>
              <w:keepLines w:val="0"/>
              <w:pageBreakBefore w:val="0"/>
              <w:widowControl w:val="0"/>
              <w:kinsoku/>
              <w:wordWrap/>
              <w:overflowPunct/>
              <w:topLinePunct w:val="0"/>
              <w:autoSpaceDE/>
              <w:autoSpaceDN/>
              <w:bidi w:val="0"/>
              <w:adjustRightInd w:val="0"/>
              <w:snapToGrid/>
              <w:spacing w:line="400" w:lineRule="exact"/>
              <w:ind w:firstLine="480"/>
              <w:jc w:val="center"/>
              <w:textAlignment w:val="auto"/>
              <w:rPr>
                <w:rFonts w:hint="eastAsia" w:ascii="宋体" w:hAnsi="宋体" w:eastAsia="宋体" w:cs="宋体"/>
                <w:color w:val="auto"/>
                <w:sz w:val="24"/>
                <w:szCs w:val="24"/>
                <w:highlight w:val="none"/>
              </w:rPr>
            </w:pPr>
          </w:p>
        </w:tc>
        <w:tc>
          <w:tcPr>
            <w:tcW w:w="594" w:type="dxa"/>
            <w:vMerge w:val="continue"/>
            <w:tcMar>
              <w:top w:w="0" w:type="dxa"/>
              <w:left w:w="57" w:type="dxa"/>
              <w:bottom w:w="0" w:type="dxa"/>
              <w:right w:w="57" w:type="dxa"/>
            </w:tcMar>
            <w:vAlign w:val="center"/>
          </w:tcPr>
          <w:p w14:paraId="1969BDB9">
            <w:pPr>
              <w:keepNext w:val="0"/>
              <w:keepLines w:val="0"/>
              <w:pageBreakBefore w:val="0"/>
              <w:widowControl w:val="0"/>
              <w:kinsoku/>
              <w:wordWrap/>
              <w:overflowPunct/>
              <w:topLinePunct w:val="0"/>
              <w:autoSpaceDE/>
              <w:autoSpaceDN/>
              <w:bidi w:val="0"/>
              <w:adjustRightInd w:val="0"/>
              <w:snapToGrid/>
              <w:spacing w:line="400" w:lineRule="exact"/>
              <w:ind w:firstLine="480"/>
              <w:jc w:val="center"/>
              <w:textAlignment w:val="auto"/>
              <w:rPr>
                <w:rFonts w:hint="eastAsia" w:ascii="宋体" w:hAnsi="宋体" w:eastAsia="宋体" w:cs="宋体"/>
                <w:color w:val="auto"/>
                <w:sz w:val="24"/>
                <w:szCs w:val="24"/>
                <w:highlight w:val="none"/>
              </w:rPr>
            </w:pPr>
          </w:p>
        </w:tc>
        <w:tc>
          <w:tcPr>
            <w:tcW w:w="928" w:type="dxa"/>
            <w:shd w:val="clear" w:color="auto" w:fill="auto"/>
            <w:tcMar>
              <w:top w:w="0" w:type="dxa"/>
              <w:left w:w="57" w:type="dxa"/>
              <w:bottom w:w="0" w:type="dxa"/>
              <w:right w:w="57" w:type="dxa"/>
            </w:tcMar>
            <w:vAlign w:val="center"/>
          </w:tcPr>
          <w:p w14:paraId="2C9E7BDE">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（7）规章制度及考核管理办法</w:t>
            </w:r>
          </w:p>
        </w:tc>
        <w:tc>
          <w:tcPr>
            <w:tcW w:w="5716" w:type="dxa"/>
            <w:shd w:val="clear" w:color="auto" w:fill="auto"/>
            <w:tcMar>
              <w:top w:w="0" w:type="dxa"/>
              <w:left w:w="57" w:type="dxa"/>
              <w:bottom w:w="0" w:type="dxa"/>
              <w:right w:w="57" w:type="dxa"/>
            </w:tcMar>
            <w:vAlign w:val="center"/>
          </w:tcPr>
          <w:p w14:paraId="5EAE19D7">
            <w:pPr>
              <w:widowControl w:val="0"/>
              <w:spacing w:line="460" w:lineRule="exact"/>
              <w:ind w:firstLine="480" w:firstLineChars="200"/>
              <w:rPr>
                <w:rFonts w:ascii="宋体" w:hAnsi="宋体" w:cs="宋体"/>
                <w:color w:val="auto"/>
                <w:sz w:val="24"/>
                <w:szCs w:val="24"/>
                <w:highlight w:val="none"/>
              </w:rPr>
            </w:pPr>
            <w:r>
              <w:rPr>
                <w:rFonts w:ascii="宋体" w:hAnsi="宋体" w:cs="宋体"/>
                <w:color w:val="auto"/>
                <w:sz w:val="24"/>
                <w:szCs w:val="24"/>
                <w:highlight w:val="none"/>
              </w:rPr>
              <w:t>方案内容包括但不限于：①提供管理制度，至少包含：奖惩制度、管理维护运作制度及标准、安全生产制度、员工培训制度、档案管理制度；②提供考核管理办法，明确考核周期（月/季/年）、考核主体、考核流程、评分标准、奖惩挂钩机制；③内部管理架构图；④提供日常考核表单样本（至少包括日常巡查表、月度考核评分表、整改通知单）</w:t>
            </w:r>
            <w:r>
              <w:rPr>
                <w:rFonts w:hint="eastAsia" w:ascii="宋体" w:hAnsi="宋体" w:cs="宋体"/>
                <w:color w:val="auto"/>
                <w:sz w:val="24"/>
                <w:szCs w:val="24"/>
                <w:highlight w:val="none"/>
              </w:rPr>
              <w:t>等内容</w:t>
            </w:r>
          </w:p>
          <w:p w14:paraId="3373B5F8">
            <w:pPr>
              <w:widowControl w:val="0"/>
              <w:spacing w:line="4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一档（3分）：基本满足采购需求，管理制度内容简单，操作基本可行。；</w:t>
            </w:r>
          </w:p>
          <w:p w14:paraId="26D30C5B">
            <w:pPr>
              <w:widowControl w:val="0"/>
              <w:spacing w:line="4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二档（6分）：满足上述至少2项要求，管理制度内容完整，考核流程清晰，可落地执行；</w:t>
            </w:r>
          </w:p>
          <w:p w14:paraId="46DD0F3B">
            <w:pPr>
              <w:widowControl w:val="0"/>
              <w:spacing w:line="460" w:lineRule="exac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三档（</w:t>
            </w:r>
            <w:r>
              <w:rPr>
                <w:rFonts w:hint="eastAsia" w:ascii="宋体" w:hAnsi="宋体" w:cs="宋体"/>
                <w:color w:val="auto"/>
                <w:sz w:val="24"/>
                <w:szCs w:val="24"/>
                <w:highlight w:val="none"/>
                <w:lang w:val="en-US" w:eastAsia="zh-CN"/>
              </w:rPr>
              <w:t>10</w:t>
            </w:r>
            <w:r>
              <w:rPr>
                <w:rFonts w:hint="eastAsia" w:ascii="宋体" w:hAnsi="宋体" w:cs="宋体"/>
                <w:color w:val="auto"/>
                <w:sz w:val="24"/>
                <w:szCs w:val="24"/>
                <w:highlight w:val="none"/>
              </w:rPr>
              <w:t>分）：完全满足上述4项全部要求，各项制度表述严谨规范，架构设置清晰合理，日常考核表单设计完整，考核机制与奖惩匹配度高，能有效支撑服务管控落地。</w:t>
            </w:r>
          </w:p>
          <w:p w14:paraId="1F217E62">
            <w:pPr>
              <w:widowControl w:val="0"/>
              <w:spacing w:line="460" w:lineRule="exact"/>
              <w:ind w:firstLine="482" w:firstLineChars="200"/>
              <w:rPr>
                <w:rFonts w:hint="eastAsia" w:ascii="宋体" w:hAnsi="宋体" w:eastAsia="宋体" w:cs="宋体"/>
                <w:b/>
                <w:bCs/>
                <w:color w:val="auto"/>
                <w:kern w:val="2"/>
                <w:sz w:val="24"/>
                <w:szCs w:val="24"/>
                <w:highlight w:val="none"/>
                <w:vertAlign w:val="baseline"/>
                <w:lang w:val="en-US" w:eastAsia="zh-CN" w:bidi="ar-SA"/>
              </w:rPr>
            </w:pPr>
            <w:r>
              <w:rPr>
                <w:rFonts w:ascii="Times New Roman" w:hAnsi="Times New Roman" w:eastAsia="仿宋_GB2312"/>
                <w:b/>
                <w:bCs/>
                <w:color w:val="auto"/>
                <w:sz w:val="24"/>
                <w:szCs w:val="24"/>
                <w:highlight w:val="none"/>
              </w:rPr>
              <w:t>注：不提供相关内容或方案或方案未达到一档要求的得0分；方案未达到对应档次的，降档得分。</w:t>
            </w:r>
          </w:p>
        </w:tc>
        <w:tc>
          <w:tcPr>
            <w:tcW w:w="874" w:type="dxa"/>
            <w:shd w:val="clear" w:color="auto" w:fill="auto"/>
            <w:tcMar>
              <w:top w:w="0" w:type="dxa"/>
              <w:left w:w="57" w:type="dxa"/>
              <w:bottom w:w="0" w:type="dxa"/>
              <w:right w:w="57" w:type="dxa"/>
            </w:tcMar>
            <w:vAlign w:val="center"/>
          </w:tcPr>
          <w:p w14:paraId="50054E90">
            <w:pPr>
              <w:widowControl w:val="0"/>
              <w:adjustRightInd w:val="0"/>
              <w:spacing w:line="460" w:lineRule="exact"/>
              <w:jc w:val="center"/>
              <w:rPr>
                <w:rFonts w:hint="eastAsia" w:ascii="宋体" w:hAnsi="宋体" w:eastAsia="宋体" w:cs="宋体"/>
                <w:color w:val="auto"/>
                <w:sz w:val="24"/>
                <w:szCs w:val="24"/>
                <w:highlight w:val="none"/>
                <w:vertAlign w:val="baseline"/>
                <w:lang w:val="en-US" w:eastAsia="zh-CN"/>
              </w:rPr>
            </w:pPr>
            <w:r>
              <w:rPr>
                <w:rFonts w:hint="eastAsia" w:eastAsia="仿宋_GB2312"/>
                <w:color w:val="auto"/>
                <w:sz w:val="24"/>
                <w:szCs w:val="24"/>
                <w:highlight w:val="none"/>
                <w:lang w:val="en-US" w:eastAsia="zh-CN"/>
              </w:rPr>
              <w:t>10</w:t>
            </w:r>
            <w:r>
              <w:rPr>
                <w:rFonts w:ascii="Times New Roman" w:hAnsi="Times New Roman" w:eastAsia="仿宋_GB2312"/>
                <w:color w:val="auto"/>
                <w:sz w:val="24"/>
                <w:szCs w:val="24"/>
                <w:highlight w:val="none"/>
              </w:rPr>
              <w:t>分</w:t>
            </w:r>
          </w:p>
        </w:tc>
        <w:tc>
          <w:tcPr>
            <w:tcW w:w="1263" w:type="dxa"/>
            <w:shd w:val="clear" w:color="auto" w:fill="auto"/>
            <w:tcMar>
              <w:top w:w="0" w:type="dxa"/>
              <w:left w:w="57" w:type="dxa"/>
              <w:bottom w:w="0" w:type="dxa"/>
              <w:right w:w="57" w:type="dxa"/>
            </w:tcMar>
            <w:vAlign w:val="center"/>
          </w:tcPr>
          <w:p w14:paraId="1CDB6264">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主观分</w:t>
            </w:r>
          </w:p>
        </w:tc>
      </w:tr>
      <w:tr w14:paraId="77717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Mar>
              <w:top w:w="0" w:type="dxa"/>
              <w:left w:w="57" w:type="dxa"/>
              <w:bottom w:w="0" w:type="dxa"/>
              <w:right w:w="57" w:type="dxa"/>
            </w:tcMar>
            <w:vAlign w:val="center"/>
          </w:tcPr>
          <w:p w14:paraId="4661275A">
            <w:pPr>
              <w:keepNext w:val="0"/>
              <w:keepLines w:val="0"/>
              <w:pageBreakBefore w:val="0"/>
              <w:widowControl w:val="0"/>
              <w:kinsoku/>
              <w:wordWrap/>
              <w:overflowPunct/>
              <w:topLinePunct w:val="0"/>
              <w:autoSpaceDE/>
              <w:autoSpaceDN/>
              <w:bidi w:val="0"/>
              <w:adjustRightInd w:val="0"/>
              <w:snapToGrid/>
              <w:spacing w:line="400" w:lineRule="exact"/>
              <w:ind w:firstLine="480"/>
              <w:jc w:val="center"/>
              <w:textAlignment w:val="auto"/>
              <w:rPr>
                <w:rFonts w:hint="eastAsia" w:ascii="宋体" w:hAnsi="宋体" w:eastAsia="宋体" w:cs="宋体"/>
                <w:color w:val="auto"/>
                <w:sz w:val="24"/>
                <w:szCs w:val="24"/>
                <w:highlight w:val="none"/>
              </w:rPr>
            </w:pPr>
          </w:p>
        </w:tc>
        <w:tc>
          <w:tcPr>
            <w:tcW w:w="594" w:type="dxa"/>
            <w:vMerge w:val="continue"/>
            <w:tcMar>
              <w:top w:w="0" w:type="dxa"/>
              <w:left w:w="57" w:type="dxa"/>
              <w:bottom w:w="0" w:type="dxa"/>
              <w:right w:w="57" w:type="dxa"/>
            </w:tcMar>
            <w:vAlign w:val="center"/>
          </w:tcPr>
          <w:p w14:paraId="3FCF0F6F">
            <w:pPr>
              <w:keepNext w:val="0"/>
              <w:keepLines w:val="0"/>
              <w:pageBreakBefore w:val="0"/>
              <w:widowControl w:val="0"/>
              <w:kinsoku/>
              <w:wordWrap/>
              <w:overflowPunct/>
              <w:topLinePunct w:val="0"/>
              <w:autoSpaceDE/>
              <w:autoSpaceDN/>
              <w:bidi w:val="0"/>
              <w:adjustRightInd w:val="0"/>
              <w:snapToGrid/>
              <w:spacing w:line="400" w:lineRule="exact"/>
              <w:ind w:firstLine="480"/>
              <w:jc w:val="center"/>
              <w:textAlignment w:val="auto"/>
              <w:rPr>
                <w:rFonts w:hint="eastAsia" w:ascii="宋体" w:hAnsi="宋体" w:eastAsia="宋体" w:cs="宋体"/>
                <w:color w:val="auto"/>
                <w:sz w:val="24"/>
                <w:szCs w:val="24"/>
                <w:highlight w:val="none"/>
              </w:rPr>
            </w:pPr>
          </w:p>
        </w:tc>
        <w:tc>
          <w:tcPr>
            <w:tcW w:w="928" w:type="dxa"/>
            <w:shd w:val="clear" w:color="auto" w:fill="auto"/>
            <w:tcMar>
              <w:top w:w="0" w:type="dxa"/>
              <w:left w:w="57" w:type="dxa"/>
              <w:bottom w:w="0" w:type="dxa"/>
              <w:right w:w="57" w:type="dxa"/>
            </w:tcMar>
            <w:vAlign w:val="center"/>
          </w:tcPr>
          <w:p w14:paraId="6E755B9A">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（8）</w:t>
            </w:r>
            <w:r>
              <w:rPr>
                <w:rFonts w:hint="eastAsia" w:ascii="宋体" w:hAnsi="宋体" w:cs="宋体"/>
                <w:b w:val="0"/>
                <w:bCs w:val="0"/>
                <w:color w:val="auto"/>
                <w:sz w:val="24"/>
                <w:szCs w:val="24"/>
                <w:highlight w:val="none"/>
                <w:vertAlign w:val="baseline"/>
                <w:lang w:val="en-US" w:eastAsia="zh-CN"/>
              </w:rPr>
              <w:t>应急</w:t>
            </w:r>
            <w:r>
              <w:rPr>
                <w:rFonts w:hint="eastAsia" w:ascii="宋体" w:hAnsi="宋体" w:eastAsia="宋体" w:cs="宋体"/>
                <w:b w:val="0"/>
                <w:bCs w:val="0"/>
                <w:color w:val="auto"/>
                <w:sz w:val="24"/>
                <w:szCs w:val="24"/>
                <w:highlight w:val="none"/>
                <w:vertAlign w:val="baseline"/>
                <w:lang w:val="en-US" w:eastAsia="zh-CN"/>
              </w:rPr>
              <w:t>事件处理方案</w:t>
            </w:r>
          </w:p>
        </w:tc>
        <w:tc>
          <w:tcPr>
            <w:tcW w:w="5716" w:type="dxa"/>
            <w:shd w:val="clear" w:color="auto" w:fill="auto"/>
            <w:tcMar>
              <w:top w:w="0" w:type="dxa"/>
              <w:left w:w="57" w:type="dxa"/>
              <w:bottom w:w="0" w:type="dxa"/>
              <w:right w:w="57" w:type="dxa"/>
            </w:tcMar>
            <w:vAlign w:val="center"/>
          </w:tcPr>
          <w:p w14:paraId="5DB6B6E4">
            <w:pPr>
              <w:widowControl w:val="0"/>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方案包括但不限于：①应急组织机构与职责、②预警与信息报告机制、③应急响应启动流程、④各类突发事件（如安全事件、自然灾害、设施故障、公共卫生事件等）专项处置预案、⑤学校重大活动及节假日保障方案、⑥应急人员调配与管理、⑦应急物资与设备保障等内容。</w:t>
            </w:r>
          </w:p>
          <w:p w14:paraId="2D80EE2B">
            <w:pPr>
              <w:widowControl w:val="0"/>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一档（3分）：投标人提供的应急方案内容简略，至少包含上述7项内容中的3项。方案仅为基本框架，对组织机构、处置流程等的描述不具体，未结合校园人员密集、保障要求高的特点进行阐述，缺乏可操作性。</w:t>
            </w:r>
          </w:p>
          <w:p w14:paraId="1E9C8482">
            <w:pPr>
              <w:widowControl w:val="0"/>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二档（6分）：投标人提供的应急方案内容较为系统，至少包含上述7项内容中的6项。方案对应急流程、人员职责、响应机制等有基本阐述，制定了具备可行性的处置预案和保障措施，人员与设备安排能基本满足校园应对突发事件及重大活动保障的需求。</w:t>
            </w:r>
          </w:p>
          <w:p w14:paraId="2528A1A0">
            <w:pPr>
              <w:widowControl w:val="0"/>
              <w:spacing w:line="46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三档（10分）：投标人提供的应急方案全面覆盖上述全部7项内容，且内容细致、专业、可操作性极强。方案能紧密结合校园环境的特殊性（如师生安全、教学秩序等），制定极具针对性的分级响应流程、专项预案（如考试期间停电、群体性活动</w:t>
            </w:r>
            <w:r>
              <w:rPr>
                <w:rFonts w:hint="eastAsia" w:ascii="宋体" w:hAnsi="宋体" w:cs="宋体"/>
                <w:color w:val="auto"/>
                <w:sz w:val="24"/>
                <w:szCs w:val="24"/>
                <w:highlight w:val="none"/>
                <w:lang w:eastAsia="zh-CN"/>
              </w:rPr>
              <w:t>突发状况</w:t>
            </w:r>
            <w:r>
              <w:rPr>
                <w:rFonts w:hint="eastAsia" w:ascii="宋体" w:hAnsi="宋体" w:eastAsia="宋体" w:cs="宋体"/>
                <w:color w:val="auto"/>
                <w:sz w:val="24"/>
                <w:szCs w:val="24"/>
                <w:highlight w:val="none"/>
              </w:rPr>
              <w:t>、突发疫情处置等）及善后恢复机制。方案需配备详细的应急资源清单（如应急人员组织架构图、物资储备清单），充分体现投标人高效、专业的应急保障能力和资源调配能力。</w:t>
            </w:r>
          </w:p>
          <w:p w14:paraId="47E4F61C">
            <w:pPr>
              <w:widowControl w:val="0"/>
              <w:spacing w:line="46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注：不提供相关内容或方案或方案未达到一档要求的得0分；方案未达到对应档次的，降档得分。</w:t>
            </w:r>
          </w:p>
        </w:tc>
        <w:tc>
          <w:tcPr>
            <w:tcW w:w="874" w:type="dxa"/>
            <w:shd w:val="clear" w:color="auto" w:fill="auto"/>
            <w:tcMar>
              <w:top w:w="0" w:type="dxa"/>
              <w:left w:w="57" w:type="dxa"/>
              <w:bottom w:w="0" w:type="dxa"/>
              <w:right w:w="57" w:type="dxa"/>
            </w:tcMar>
            <w:vAlign w:val="center"/>
          </w:tcPr>
          <w:p w14:paraId="4D0CB160">
            <w:pPr>
              <w:widowControl w:val="0"/>
              <w:adjustRightInd w:val="0"/>
              <w:spacing w:line="460" w:lineRule="exact"/>
              <w:jc w:val="center"/>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rPr>
              <w:t>10分</w:t>
            </w:r>
          </w:p>
        </w:tc>
        <w:tc>
          <w:tcPr>
            <w:tcW w:w="1263" w:type="dxa"/>
            <w:shd w:val="clear" w:color="auto" w:fill="auto"/>
            <w:tcMar>
              <w:top w:w="0" w:type="dxa"/>
              <w:left w:w="57" w:type="dxa"/>
              <w:bottom w:w="0" w:type="dxa"/>
              <w:right w:w="57" w:type="dxa"/>
            </w:tcMar>
            <w:vAlign w:val="center"/>
          </w:tcPr>
          <w:p w14:paraId="6275F018">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主观分</w:t>
            </w:r>
          </w:p>
        </w:tc>
      </w:tr>
      <w:tr w14:paraId="1A6B8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tcMar>
              <w:top w:w="0" w:type="dxa"/>
              <w:left w:w="57" w:type="dxa"/>
              <w:bottom w:w="0" w:type="dxa"/>
              <w:right w:w="57" w:type="dxa"/>
            </w:tcMar>
            <w:vAlign w:val="center"/>
          </w:tcPr>
          <w:p w14:paraId="1EE5211C">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p>
        </w:tc>
        <w:tc>
          <w:tcPr>
            <w:tcW w:w="9375" w:type="dxa"/>
            <w:gridSpan w:val="5"/>
            <w:tcMar>
              <w:top w:w="0" w:type="dxa"/>
              <w:left w:w="57" w:type="dxa"/>
              <w:bottom w:w="0" w:type="dxa"/>
              <w:right w:w="57" w:type="dxa"/>
            </w:tcMar>
            <w:vAlign w:val="center"/>
          </w:tcPr>
          <w:p w14:paraId="3C5AA916">
            <w:pPr>
              <w:keepNext w:val="0"/>
              <w:keepLines w:val="0"/>
              <w:pageBreakBefore w:val="0"/>
              <w:widowControl w:val="0"/>
              <w:kinsoku/>
              <w:wordWrap/>
              <w:overflowPunct/>
              <w:topLinePunct w:val="0"/>
              <w:autoSpaceDE/>
              <w:autoSpaceDN/>
              <w:bidi w:val="0"/>
              <w:adjustRightInd w:val="0"/>
              <w:snapToGrid/>
              <w:spacing w:line="400" w:lineRule="exact"/>
              <w:ind w:firstLine="48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商务分</w:t>
            </w:r>
          </w:p>
        </w:tc>
      </w:tr>
      <w:tr w14:paraId="481811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restart"/>
            <w:tcMar>
              <w:top w:w="0" w:type="dxa"/>
              <w:left w:w="57" w:type="dxa"/>
              <w:bottom w:w="0" w:type="dxa"/>
              <w:right w:w="57" w:type="dxa"/>
            </w:tcMar>
            <w:vAlign w:val="center"/>
          </w:tcPr>
          <w:p w14:paraId="388EC014">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3.1</w:t>
            </w:r>
          </w:p>
        </w:tc>
        <w:tc>
          <w:tcPr>
            <w:tcW w:w="1522" w:type="dxa"/>
            <w:gridSpan w:val="2"/>
            <w:vMerge w:val="restart"/>
            <w:tcMar>
              <w:top w:w="0" w:type="dxa"/>
              <w:left w:w="57" w:type="dxa"/>
              <w:bottom w:w="0" w:type="dxa"/>
              <w:right w:w="57" w:type="dxa"/>
            </w:tcMar>
            <w:vAlign w:val="center"/>
          </w:tcPr>
          <w:p w14:paraId="28C394DE">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人员配置情况分</w:t>
            </w:r>
          </w:p>
          <w:p w14:paraId="22A4FCBB">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cs="宋体"/>
                <w:b w:val="0"/>
                <w:bCs w:val="0"/>
                <w:color w:val="auto"/>
                <w:sz w:val="24"/>
                <w:szCs w:val="24"/>
                <w:highlight w:val="none"/>
                <w:vertAlign w:val="baseline"/>
                <w:lang w:val="en-US" w:eastAsia="zh-CN"/>
              </w:rPr>
              <w:t>（满分8分）</w:t>
            </w:r>
          </w:p>
        </w:tc>
        <w:tc>
          <w:tcPr>
            <w:tcW w:w="5716" w:type="dxa"/>
            <w:shd w:val="clear" w:color="auto" w:fill="auto"/>
            <w:tcMar>
              <w:top w:w="0" w:type="dxa"/>
              <w:left w:w="57" w:type="dxa"/>
              <w:bottom w:w="0" w:type="dxa"/>
              <w:right w:w="57" w:type="dxa"/>
            </w:tcMar>
            <w:vAlign w:val="center"/>
          </w:tcPr>
          <w:p w14:paraId="7030BB89">
            <w:pPr>
              <w:keepNext w:val="0"/>
              <w:keepLines w:val="0"/>
              <w:pageBreakBefore w:val="0"/>
              <w:widowControl w:val="0"/>
              <w:shd w:val="clear"/>
              <w:kinsoku/>
              <w:wordWrap/>
              <w:overflowPunct/>
              <w:topLinePunct w:val="0"/>
              <w:autoSpaceDE/>
              <w:autoSpaceDN/>
              <w:bidi w:val="0"/>
              <w:adjustRightInd w:val="0"/>
              <w:snapToGrid/>
              <w:spacing w:line="400" w:lineRule="exact"/>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（1）</w:t>
            </w:r>
            <w:r>
              <w:rPr>
                <w:rFonts w:hint="default" w:ascii="宋体" w:hAnsi="宋体" w:eastAsia="宋体" w:cs="宋体"/>
                <w:b w:val="0"/>
                <w:bCs w:val="0"/>
                <w:color w:val="auto"/>
                <w:kern w:val="2"/>
                <w:sz w:val="24"/>
                <w:szCs w:val="24"/>
                <w:highlight w:val="none"/>
                <w:vertAlign w:val="baseline"/>
                <w:lang w:val="en-US" w:eastAsia="zh-CN" w:bidi="ar-SA"/>
              </w:rPr>
              <w:t>投标人</w:t>
            </w:r>
            <w:r>
              <w:rPr>
                <w:rFonts w:hint="eastAsia" w:ascii="宋体" w:hAnsi="宋体" w:cs="宋体"/>
                <w:b w:val="0"/>
                <w:bCs w:val="0"/>
                <w:color w:val="auto"/>
                <w:kern w:val="2"/>
                <w:sz w:val="24"/>
                <w:szCs w:val="24"/>
                <w:highlight w:val="none"/>
                <w:vertAlign w:val="baseline"/>
                <w:lang w:val="en-US" w:eastAsia="zh-CN" w:bidi="ar-SA"/>
              </w:rPr>
              <w:t>在满足项目采购需求人员配置的基础上，另为项目</w:t>
            </w:r>
            <w:r>
              <w:rPr>
                <w:rFonts w:hint="default" w:ascii="宋体" w:hAnsi="宋体" w:eastAsia="宋体" w:cs="宋体"/>
                <w:b w:val="0"/>
                <w:bCs w:val="0"/>
                <w:color w:val="auto"/>
                <w:kern w:val="2"/>
                <w:sz w:val="24"/>
                <w:szCs w:val="24"/>
                <w:highlight w:val="none"/>
                <w:vertAlign w:val="baseline"/>
                <w:lang w:val="en-US" w:eastAsia="zh-CN" w:bidi="ar-SA"/>
              </w:rPr>
              <w:t>投入项目经理的</w:t>
            </w:r>
            <w:r>
              <w:rPr>
                <w:rFonts w:hint="eastAsia" w:ascii="宋体" w:hAnsi="宋体" w:eastAsia="宋体" w:cs="宋体"/>
                <w:b w:val="0"/>
                <w:bCs w:val="0"/>
                <w:color w:val="auto"/>
                <w:kern w:val="2"/>
                <w:sz w:val="24"/>
                <w:szCs w:val="24"/>
                <w:highlight w:val="none"/>
                <w:vertAlign w:val="baseline"/>
                <w:lang w:val="en-US" w:eastAsia="zh-CN" w:bidi="ar-SA"/>
              </w:rPr>
              <w:t>得</w:t>
            </w:r>
            <w:r>
              <w:rPr>
                <w:rFonts w:hint="eastAsia" w:ascii="宋体" w:hAnsi="宋体" w:cs="宋体"/>
                <w:b w:val="0"/>
                <w:bCs w:val="0"/>
                <w:color w:val="auto"/>
                <w:kern w:val="2"/>
                <w:sz w:val="24"/>
                <w:szCs w:val="24"/>
                <w:highlight w:val="none"/>
                <w:vertAlign w:val="baseline"/>
                <w:lang w:val="en-US" w:eastAsia="zh-CN" w:bidi="ar-SA"/>
              </w:rPr>
              <w:t>1</w:t>
            </w:r>
            <w:r>
              <w:rPr>
                <w:rFonts w:hint="default" w:ascii="宋体" w:hAnsi="宋体" w:eastAsia="宋体" w:cs="宋体"/>
                <w:b w:val="0"/>
                <w:bCs w:val="0"/>
                <w:color w:val="auto"/>
                <w:kern w:val="2"/>
                <w:sz w:val="24"/>
                <w:szCs w:val="24"/>
                <w:highlight w:val="none"/>
                <w:vertAlign w:val="baseline"/>
                <w:lang w:val="en-US" w:eastAsia="zh-CN" w:bidi="ar-SA"/>
              </w:rPr>
              <w:t>分</w:t>
            </w:r>
            <w:r>
              <w:rPr>
                <w:rFonts w:hint="eastAsia" w:ascii="宋体" w:hAnsi="宋体" w:cs="宋体"/>
                <w:b w:val="0"/>
                <w:bCs w:val="0"/>
                <w:color w:val="auto"/>
                <w:kern w:val="2"/>
                <w:sz w:val="24"/>
                <w:szCs w:val="24"/>
                <w:highlight w:val="none"/>
                <w:vertAlign w:val="baseline"/>
                <w:lang w:val="en-US" w:eastAsia="zh-CN" w:bidi="ar-SA"/>
              </w:rPr>
              <w:t>，项目经理持有物业管理相关职业技能等级证或物业项目经理岗位证书（提供相关证书复印件）得1分，满分2分</w:t>
            </w:r>
            <w:r>
              <w:rPr>
                <w:rFonts w:hint="eastAsia" w:ascii="宋体" w:hAnsi="宋体" w:eastAsia="宋体" w:cs="宋体"/>
                <w:b w:val="0"/>
                <w:bCs w:val="0"/>
                <w:color w:val="auto"/>
                <w:kern w:val="2"/>
                <w:sz w:val="24"/>
                <w:szCs w:val="24"/>
                <w:highlight w:val="none"/>
                <w:vertAlign w:val="baseline"/>
                <w:lang w:val="en-US" w:eastAsia="zh-CN" w:bidi="ar-SA"/>
              </w:rPr>
              <w:t>。</w:t>
            </w:r>
          </w:p>
          <w:p w14:paraId="47E0B3FC">
            <w:pPr>
              <w:keepNext w:val="0"/>
              <w:keepLines w:val="0"/>
              <w:pageBreakBefore w:val="0"/>
              <w:widowControl w:val="0"/>
              <w:shd w:val="clear"/>
              <w:kinsoku/>
              <w:wordWrap/>
              <w:overflowPunct/>
              <w:topLinePunct w:val="0"/>
              <w:autoSpaceDE/>
              <w:autoSpaceDN/>
              <w:bidi w:val="0"/>
              <w:adjustRightInd w:val="0"/>
              <w:snapToGrid/>
              <w:spacing w:line="400" w:lineRule="exact"/>
              <w:ind w:firstLine="480"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val="0"/>
                <w:bCs w:val="0"/>
                <w:color w:val="auto"/>
                <w:kern w:val="2"/>
                <w:sz w:val="24"/>
                <w:szCs w:val="24"/>
                <w:highlight w:val="none"/>
                <w:vertAlign w:val="baseline"/>
                <w:lang w:val="en-US" w:eastAsia="zh-CN" w:bidi="ar-SA"/>
              </w:rPr>
              <w:t>注：以上人员需提供2026年1月以来至少一个月依法缴纳社保的证明，未提供者不计分。</w:t>
            </w:r>
          </w:p>
        </w:tc>
        <w:tc>
          <w:tcPr>
            <w:tcW w:w="874" w:type="dxa"/>
            <w:shd w:val="clear" w:color="auto" w:fill="auto"/>
            <w:tcMar>
              <w:top w:w="0" w:type="dxa"/>
              <w:left w:w="57" w:type="dxa"/>
              <w:bottom w:w="0" w:type="dxa"/>
              <w:right w:w="57" w:type="dxa"/>
            </w:tcMar>
            <w:vAlign w:val="center"/>
          </w:tcPr>
          <w:p w14:paraId="630CE579">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2分</w:t>
            </w:r>
          </w:p>
        </w:tc>
        <w:tc>
          <w:tcPr>
            <w:tcW w:w="1263" w:type="dxa"/>
            <w:shd w:val="clear" w:color="auto" w:fill="auto"/>
            <w:tcMar>
              <w:top w:w="0" w:type="dxa"/>
              <w:left w:w="57" w:type="dxa"/>
              <w:bottom w:w="0" w:type="dxa"/>
              <w:right w:w="57" w:type="dxa"/>
            </w:tcMar>
            <w:vAlign w:val="center"/>
          </w:tcPr>
          <w:p w14:paraId="06F8A99C">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客观分</w:t>
            </w:r>
          </w:p>
        </w:tc>
      </w:tr>
      <w:tr w14:paraId="311D0A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Mar>
              <w:top w:w="0" w:type="dxa"/>
              <w:left w:w="57" w:type="dxa"/>
              <w:bottom w:w="0" w:type="dxa"/>
              <w:right w:w="57" w:type="dxa"/>
            </w:tcMar>
            <w:vAlign w:val="center"/>
          </w:tcPr>
          <w:p w14:paraId="6738EC90">
            <w:pPr>
              <w:keepNext w:val="0"/>
              <w:keepLines w:val="0"/>
              <w:pageBreakBefore w:val="0"/>
              <w:widowControl w:val="0"/>
              <w:kinsoku/>
              <w:wordWrap/>
              <w:overflowPunct/>
              <w:topLinePunct w:val="0"/>
              <w:autoSpaceDE/>
              <w:autoSpaceDN/>
              <w:bidi w:val="0"/>
              <w:adjustRightInd w:val="0"/>
              <w:snapToGrid/>
              <w:spacing w:line="400" w:lineRule="exact"/>
              <w:ind w:firstLine="480"/>
              <w:jc w:val="center"/>
              <w:textAlignment w:val="auto"/>
              <w:rPr>
                <w:rFonts w:hint="eastAsia" w:ascii="宋体" w:hAnsi="宋体" w:eastAsia="宋体" w:cs="宋体"/>
                <w:color w:val="auto"/>
                <w:sz w:val="24"/>
                <w:szCs w:val="24"/>
                <w:highlight w:val="none"/>
              </w:rPr>
            </w:pPr>
          </w:p>
        </w:tc>
        <w:tc>
          <w:tcPr>
            <w:tcW w:w="1522" w:type="dxa"/>
            <w:gridSpan w:val="2"/>
            <w:vMerge w:val="continue"/>
            <w:tcMar>
              <w:top w:w="0" w:type="dxa"/>
              <w:left w:w="57" w:type="dxa"/>
              <w:bottom w:w="0" w:type="dxa"/>
              <w:right w:w="57" w:type="dxa"/>
            </w:tcMar>
            <w:vAlign w:val="center"/>
          </w:tcPr>
          <w:p w14:paraId="70CBACF3">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rPr>
            </w:pPr>
          </w:p>
        </w:tc>
        <w:tc>
          <w:tcPr>
            <w:tcW w:w="5716" w:type="dxa"/>
            <w:shd w:val="clear" w:color="auto" w:fill="auto"/>
            <w:tcMar>
              <w:top w:w="0" w:type="dxa"/>
              <w:left w:w="57" w:type="dxa"/>
              <w:bottom w:w="0" w:type="dxa"/>
              <w:right w:w="57" w:type="dxa"/>
            </w:tcMar>
            <w:vAlign w:val="center"/>
          </w:tcPr>
          <w:p w14:paraId="782F13A4">
            <w:pPr>
              <w:keepNext w:val="0"/>
              <w:keepLines w:val="0"/>
              <w:pageBreakBefore w:val="0"/>
              <w:widowControl w:val="0"/>
              <w:shd w:val="clear"/>
              <w:kinsoku/>
              <w:wordWrap/>
              <w:overflowPunct/>
              <w:topLinePunct w:val="0"/>
              <w:autoSpaceDE/>
              <w:autoSpaceDN/>
              <w:bidi w:val="0"/>
              <w:adjustRightInd w:val="0"/>
              <w:snapToGrid/>
              <w:spacing w:line="400" w:lineRule="exact"/>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（2）绿化人员</w:t>
            </w:r>
            <w:r>
              <w:rPr>
                <w:rFonts w:hint="eastAsia" w:ascii="宋体" w:hAnsi="宋体" w:cs="宋体"/>
                <w:b w:val="0"/>
                <w:bCs w:val="0"/>
                <w:color w:val="auto"/>
                <w:kern w:val="2"/>
                <w:sz w:val="24"/>
                <w:szCs w:val="24"/>
                <w:highlight w:val="none"/>
                <w:vertAlign w:val="baseline"/>
                <w:lang w:val="en-US" w:eastAsia="zh-CN" w:bidi="ar-SA"/>
              </w:rPr>
              <w:t>有1人或以上</w:t>
            </w:r>
            <w:r>
              <w:rPr>
                <w:rFonts w:hint="eastAsia" w:ascii="宋体" w:hAnsi="宋体" w:eastAsia="宋体" w:cs="宋体"/>
                <w:b w:val="0"/>
                <w:bCs w:val="0"/>
                <w:color w:val="auto"/>
                <w:kern w:val="2"/>
                <w:sz w:val="24"/>
                <w:szCs w:val="24"/>
                <w:highlight w:val="none"/>
                <w:vertAlign w:val="baseline"/>
                <w:lang w:val="en-US" w:eastAsia="zh-CN" w:bidi="ar-SA"/>
              </w:rPr>
              <w:t>取得绿化工职业资格证的</w:t>
            </w:r>
            <w:r>
              <w:rPr>
                <w:rFonts w:hint="eastAsia" w:ascii="宋体" w:hAnsi="宋体" w:cs="宋体"/>
                <w:b w:val="0"/>
                <w:bCs w:val="0"/>
                <w:color w:val="auto"/>
                <w:kern w:val="2"/>
                <w:sz w:val="24"/>
                <w:szCs w:val="24"/>
                <w:highlight w:val="none"/>
                <w:vertAlign w:val="baseline"/>
                <w:lang w:val="en-US" w:eastAsia="zh-CN" w:bidi="ar-SA"/>
              </w:rPr>
              <w:t>：</w:t>
            </w:r>
            <w:r>
              <w:rPr>
                <w:rFonts w:hint="eastAsia" w:ascii="宋体" w:hAnsi="宋体" w:eastAsia="宋体" w:cs="宋体"/>
                <w:b w:val="0"/>
                <w:bCs w:val="0"/>
                <w:color w:val="auto"/>
                <w:kern w:val="2"/>
                <w:sz w:val="24"/>
                <w:szCs w:val="24"/>
                <w:highlight w:val="none"/>
                <w:vertAlign w:val="baseline"/>
                <w:lang w:val="en-US" w:eastAsia="zh-CN" w:bidi="ar-SA"/>
              </w:rPr>
              <w:t>高级及以上得2分，中级得1分，初级得0.5分。提供相关证明材料。不累计计分，满分</w:t>
            </w:r>
            <w:r>
              <w:rPr>
                <w:rFonts w:hint="eastAsia" w:ascii="宋体" w:hAnsi="宋体" w:cs="宋体"/>
                <w:b w:val="0"/>
                <w:bCs w:val="0"/>
                <w:color w:val="auto"/>
                <w:kern w:val="2"/>
                <w:sz w:val="24"/>
                <w:szCs w:val="24"/>
                <w:highlight w:val="none"/>
                <w:vertAlign w:val="baseline"/>
                <w:lang w:val="en-US" w:eastAsia="zh-CN" w:bidi="ar-SA"/>
              </w:rPr>
              <w:t>2</w:t>
            </w:r>
            <w:r>
              <w:rPr>
                <w:rFonts w:hint="eastAsia" w:ascii="宋体" w:hAnsi="宋体" w:eastAsia="宋体" w:cs="宋体"/>
                <w:b w:val="0"/>
                <w:bCs w:val="0"/>
                <w:color w:val="auto"/>
                <w:kern w:val="2"/>
                <w:sz w:val="24"/>
                <w:szCs w:val="24"/>
                <w:highlight w:val="none"/>
                <w:vertAlign w:val="baseline"/>
                <w:lang w:val="en-US" w:eastAsia="zh-CN" w:bidi="ar-SA"/>
              </w:rPr>
              <w:t>分。</w:t>
            </w:r>
          </w:p>
          <w:p w14:paraId="47CC23BB">
            <w:pPr>
              <w:keepNext w:val="0"/>
              <w:keepLines w:val="0"/>
              <w:pageBreakBefore w:val="0"/>
              <w:widowControl w:val="0"/>
              <w:shd w:val="clear"/>
              <w:kinsoku/>
              <w:wordWrap/>
              <w:overflowPunct/>
              <w:topLinePunct w:val="0"/>
              <w:autoSpaceDE/>
              <w:autoSpaceDN/>
              <w:bidi w:val="0"/>
              <w:adjustRightInd w:val="0"/>
              <w:snapToGrid/>
              <w:spacing w:line="400" w:lineRule="exact"/>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注：以上人员需提供2026年1月以来至少一个月依法缴纳社保的证明，未提供者不计分。</w:t>
            </w:r>
          </w:p>
        </w:tc>
        <w:tc>
          <w:tcPr>
            <w:tcW w:w="874" w:type="dxa"/>
            <w:shd w:val="clear" w:color="auto" w:fill="auto"/>
            <w:tcMar>
              <w:top w:w="0" w:type="dxa"/>
              <w:left w:w="57" w:type="dxa"/>
              <w:bottom w:w="0" w:type="dxa"/>
              <w:right w:w="57" w:type="dxa"/>
            </w:tcMar>
            <w:vAlign w:val="center"/>
          </w:tcPr>
          <w:p w14:paraId="60128EDA">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2</w:t>
            </w:r>
            <w:r>
              <w:rPr>
                <w:rFonts w:hint="eastAsia" w:ascii="宋体" w:hAnsi="宋体" w:eastAsia="宋体" w:cs="宋体"/>
                <w:color w:val="auto"/>
                <w:sz w:val="24"/>
                <w:szCs w:val="24"/>
                <w:highlight w:val="none"/>
                <w:vertAlign w:val="baseline"/>
                <w:lang w:val="en-US" w:eastAsia="zh-CN"/>
              </w:rPr>
              <w:t>分</w:t>
            </w:r>
          </w:p>
        </w:tc>
        <w:tc>
          <w:tcPr>
            <w:tcW w:w="1263" w:type="dxa"/>
            <w:shd w:val="clear" w:color="auto" w:fill="auto"/>
            <w:tcMar>
              <w:top w:w="0" w:type="dxa"/>
              <w:left w:w="57" w:type="dxa"/>
              <w:bottom w:w="0" w:type="dxa"/>
              <w:right w:w="57" w:type="dxa"/>
            </w:tcMar>
            <w:vAlign w:val="center"/>
          </w:tcPr>
          <w:p w14:paraId="35A65E97">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客观分</w:t>
            </w:r>
          </w:p>
        </w:tc>
      </w:tr>
      <w:tr w14:paraId="484361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Mar>
              <w:top w:w="0" w:type="dxa"/>
              <w:left w:w="57" w:type="dxa"/>
              <w:bottom w:w="0" w:type="dxa"/>
              <w:right w:w="57" w:type="dxa"/>
            </w:tcMar>
            <w:vAlign w:val="center"/>
          </w:tcPr>
          <w:p w14:paraId="13B07C62">
            <w:pPr>
              <w:keepNext w:val="0"/>
              <w:keepLines w:val="0"/>
              <w:pageBreakBefore w:val="0"/>
              <w:widowControl w:val="0"/>
              <w:kinsoku/>
              <w:wordWrap/>
              <w:overflowPunct/>
              <w:topLinePunct w:val="0"/>
              <w:autoSpaceDE/>
              <w:autoSpaceDN/>
              <w:bidi w:val="0"/>
              <w:adjustRightInd w:val="0"/>
              <w:snapToGrid/>
              <w:spacing w:line="400" w:lineRule="exact"/>
              <w:ind w:firstLine="480"/>
              <w:jc w:val="center"/>
              <w:textAlignment w:val="auto"/>
              <w:rPr>
                <w:rFonts w:hint="eastAsia" w:ascii="宋体" w:hAnsi="宋体" w:eastAsia="宋体" w:cs="宋体"/>
                <w:color w:val="auto"/>
                <w:sz w:val="24"/>
                <w:szCs w:val="24"/>
                <w:highlight w:val="none"/>
              </w:rPr>
            </w:pPr>
          </w:p>
        </w:tc>
        <w:tc>
          <w:tcPr>
            <w:tcW w:w="1522" w:type="dxa"/>
            <w:gridSpan w:val="2"/>
            <w:vMerge w:val="continue"/>
            <w:tcMar>
              <w:top w:w="0" w:type="dxa"/>
              <w:left w:w="57" w:type="dxa"/>
              <w:bottom w:w="0" w:type="dxa"/>
              <w:right w:w="57" w:type="dxa"/>
            </w:tcMar>
            <w:vAlign w:val="center"/>
          </w:tcPr>
          <w:p w14:paraId="12EE4978">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rPr>
            </w:pPr>
          </w:p>
        </w:tc>
        <w:tc>
          <w:tcPr>
            <w:tcW w:w="5716" w:type="dxa"/>
            <w:shd w:val="clear" w:color="auto" w:fill="auto"/>
            <w:tcMar>
              <w:top w:w="0" w:type="dxa"/>
              <w:left w:w="57" w:type="dxa"/>
              <w:bottom w:w="0" w:type="dxa"/>
              <w:right w:w="57" w:type="dxa"/>
            </w:tcMar>
            <w:vAlign w:val="center"/>
          </w:tcPr>
          <w:p w14:paraId="5396397A">
            <w:pPr>
              <w:keepNext w:val="0"/>
              <w:keepLines w:val="0"/>
              <w:pageBreakBefore w:val="0"/>
              <w:widowControl w:val="0"/>
              <w:shd w:val="clear"/>
              <w:kinsoku/>
              <w:wordWrap/>
              <w:overflowPunct/>
              <w:topLinePunct w:val="0"/>
              <w:autoSpaceDE/>
              <w:autoSpaceDN/>
              <w:bidi w:val="0"/>
              <w:adjustRightInd w:val="0"/>
              <w:snapToGrid/>
              <w:spacing w:line="400" w:lineRule="exact"/>
              <w:ind w:firstLine="240" w:firstLineChars="100"/>
              <w:jc w:val="left"/>
              <w:textAlignment w:val="auto"/>
              <w:rPr>
                <w:rFonts w:hint="default"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（3）拟投入的所有电工具备2年以上相关的工作经验，得1分，同时持有应急管理部门颁发的低压电工特种作业操作证，得2分。</w:t>
            </w:r>
            <w:r>
              <w:rPr>
                <w:rFonts w:hint="eastAsia" w:ascii="宋体" w:hAnsi="宋体" w:cs="宋体"/>
                <w:b w:val="0"/>
                <w:bCs w:val="0"/>
                <w:color w:val="auto"/>
                <w:kern w:val="2"/>
                <w:sz w:val="24"/>
                <w:szCs w:val="24"/>
                <w:highlight w:val="none"/>
                <w:vertAlign w:val="baseline"/>
                <w:lang w:val="en-US" w:eastAsia="zh-CN" w:bidi="ar-SA"/>
              </w:rPr>
              <w:t>本项满分3分。</w:t>
            </w:r>
          </w:p>
          <w:p w14:paraId="10AB469E">
            <w:pPr>
              <w:keepNext w:val="0"/>
              <w:keepLines w:val="0"/>
              <w:pageBreakBefore w:val="0"/>
              <w:widowControl w:val="0"/>
              <w:shd w:val="clear"/>
              <w:kinsoku/>
              <w:wordWrap/>
              <w:overflowPunct/>
              <w:topLinePunct w:val="0"/>
              <w:autoSpaceDE/>
              <w:autoSpaceDN/>
              <w:bidi w:val="0"/>
              <w:adjustRightInd w:val="0"/>
              <w:snapToGrid/>
              <w:spacing w:line="400" w:lineRule="exact"/>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注：以上人员需提供</w:t>
            </w:r>
            <w:r>
              <w:rPr>
                <w:rFonts w:hint="eastAsia" w:ascii="宋体" w:hAnsi="宋体" w:cs="宋体"/>
                <w:b w:val="0"/>
                <w:bCs w:val="0"/>
                <w:color w:val="auto"/>
                <w:kern w:val="2"/>
                <w:sz w:val="24"/>
                <w:szCs w:val="24"/>
                <w:highlight w:val="none"/>
                <w:vertAlign w:val="baseline"/>
                <w:lang w:val="en-US" w:eastAsia="zh-CN" w:bidi="ar-SA"/>
              </w:rPr>
              <w:t>劳动合同、</w:t>
            </w:r>
            <w:r>
              <w:rPr>
                <w:rFonts w:hint="eastAsia" w:ascii="宋体" w:hAnsi="宋体" w:eastAsia="宋体" w:cs="宋体"/>
                <w:b w:val="0"/>
                <w:bCs w:val="0"/>
                <w:color w:val="auto"/>
                <w:kern w:val="2"/>
                <w:sz w:val="24"/>
                <w:szCs w:val="24"/>
                <w:highlight w:val="none"/>
                <w:vertAlign w:val="baseline"/>
                <w:lang w:val="en-US" w:eastAsia="zh-CN" w:bidi="ar-SA"/>
              </w:rPr>
              <w:t>2026年1月以来至少一个月依法缴纳社保的证明，</w:t>
            </w:r>
            <w:r>
              <w:rPr>
                <w:rFonts w:hint="eastAsia" w:ascii="宋体" w:hAnsi="宋体" w:cs="宋体"/>
                <w:b w:val="0"/>
                <w:bCs w:val="0"/>
                <w:color w:val="auto"/>
                <w:kern w:val="2"/>
                <w:sz w:val="24"/>
                <w:szCs w:val="24"/>
                <w:highlight w:val="none"/>
                <w:vertAlign w:val="baseline"/>
                <w:lang w:val="en-US" w:eastAsia="zh-CN" w:bidi="ar-SA"/>
              </w:rPr>
              <w:t>证书复印件、网上查询截图佐证，证书不在有效期内的视为无效</w:t>
            </w:r>
            <w:r>
              <w:rPr>
                <w:rFonts w:hint="eastAsia" w:ascii="宋体" w:hAnsi="宋体" w:eastAsia="宋体" w:cs="宋体"/>
                <w:b w:val="0"/>
                <w:bCs w:val="0"/>
                <w:color w:val="auto"/>
                <w:kern w:val="2"/>
                <w:sz w:val="24"/>
                <w:szCs w:val="24"/>
                <w:highlight w:val="none"/>
                <w:vertAlign w:val="baseline"/>
                <w:lang w:val="en-US" w:eastAsia="zh-CN" w:bidi="ar-SA"/>
              </w:rPr>
              <w:t>。未提供不计分。</w:t>
            </w:r>
          </w:p>
        </w:tc>
        <w:tc>
          <w:tcPr>
            <w:tcW w:w="874" w:type="dxa"/>
            <w:shd w:val="clear" w:color="auto" w:fill="auto"/>
            <w:tcMar>
              <w:top w:w="0" w:type="dxa"/>
              <w:left w:w="57" w:type="dxa"/>
              <w:bottom w:w="0" w:type="dxa"/>
              <w:right w:w="57" w:type="dxa"/>
            </w:tcMar>
            <w:vAlign w:val="center"/>
          </w:tcPr>
          <w:p w14:paraId="4F8E6450">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cs="宋体"/>
                <w:color w:val="auto"/>
                <w:sz w:val="24"/>
                <w:szCs w:val="24"/>
                <w:highlight w:val="none"/>
                <w:vertAlign w:val="baseline"/>
                <w:lang w:val="en-US" w:eastAsia="zh-CN"/>
              </w:rPr>
              <w:t>3</w:t>
            </w:r>
            <w:r>
              <w:rPr>
                <w:rFonts w:hint="eastAsia" w:ascii="宋体" w:hAnsi="宋体" w:eastAsia="宋体" w:cs="宋体"/>
                <w:color w:val="auto"/>
                <w:sz w:val="24"/>
                <w:szCs w:val="24"/>
                <w:highlight w:val="none"/>
                <w:vertAlign w:val="baseline"/>
                <w:lang w:val="en-US" w:eastAsia="zh-CN"/>
              </w:rPr>
              <w:t>分</w:t>
            </w:r>
          </w:p>
        </w:tc>
        <w:tc>
          <w:tcPr>
            <w:tcW w:w="1263" w:type="dxa"/>
            <w:shd w:val="clear" w:color="auto" w:fill="auto"/>
            <w:tcMar>
              <w:top w:w="0" w:type="dxa"/>
              <w:left w:w="57" w:type="dxa"/>
              <w:bottom w:w="0" w:type="dxa"/>
              <w:right w:w="57" w:type="dxa"/>
            </w:tcMar>
            <w:vAlign w:val="center"/>
          </w:tcPr>
          <w:p w14:paraId="4F8B45DB">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客观分</w:t>
            </w:r>
          </w:p>
        </w:tc>
      </w:tr>
      <w:tr w14:paraId="0E3B3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vMerge w:val="continue"/>
            <w:tcMar>
              <w:top w:w="0" w:type="dxa"/>
              <w:left w:w="57" w:type="dxa"/>
              <w:bottom w:w="0" w:type="dxa"/>
              <w:right w:w="57" w:type="dxa"/>
            </w:tcMar>
            <w:vAlign w:val="center"/>
          </w:tcPr>
          <w:p w14:paraId="4A647BBF">
            <w:pPr>
              <w:keepNext w:val="0"/>
              <w:keepLines w:val="0"/>
              <w:pageBreakBefore w:val="0"/>
              <w:widowControl w:val="0"/>
              <w:kinsoku/>
              <w:wordWrap/>
              <w:overflowPunct/>
              <w:topLinePunct w:val="0"/>
              <w:autoSpaceDE/>
              <w:autoSpaceDN/>
              <w:bidi w:val="0"/>
              <w:adjustRightInd w:val="0"/>
              <w:snapToGrid/>
              <w:spacing w:line="400" w:lineRule="exact"/>
              <w:ind w:firstLine="480"/>
              <w:jc w:val="center"/>
              <w:textAlignment w:val="auto"/>
              <w:rPr>
                <w:rFonts w:hint="eastAsia" w:ascii="宋体" w:hAnsi="宋体" w:eastAsia="宋体" w:cs="宋体"/>
                <w:color w:val="auto"/>
                <w:sz w:val="24"/>
                <w:szCs w:val="24"/>
                <w:highlight w:val="none"/>
              </w:rPr>
            </w:pPr>
          </w:p>
        </w:tc>
        <w:tc>
          <w:tcPr>
            <w:tcW w:w="1522" w:type="dxa"/>
            <w:gridSpan w:val="2"/>
            <w:vMerge w:val="continue"/>
            <w:tcMar>
              <w:top w:w="0" w:type="dxa"/>
              <w:left w:w="57" w:type="dxa"/>
              <w:bottom w:w="0" w:type="dxa"/>
              <w:right w:w="57" w:type="dxa"/>
            </w:tcMar>
            <w:vAlign w:val="center"/>
          </w:tcPr>
          <w:p w14:paraId="713736D5">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rPr>
            </w:pPr>
          </w:p>
        </w:tc>
        <w:tc>
          <w:tcPr>
            <w:tcW w:w="5716" w:type="dxa"/>
            <w:shd w:val="clear" w:color="auto" w:fill="auto"/>
            <w:tcMar>
              <w:top w:w="0" w:type="dxa"/>
              <w:left w:w="57" w:type="dxa"/>
              <w:bottom w:w="0" w:type="dxa"/>
              <w:right w:w="57" w:type="dxa"/>
            </w:tcMar>
            <w:vAlign w:val="center"/>
          </w:tcPr>
          <w:p w14:paraId="23FA4D9D">
            <w:pPr>
              <w:keepNext w:val="0"/>
              <w:keepLines w:val="0"/>
              <w:pageBreakBefore w:val="0"/>
              <w:widowControl w:val="0"/>
              <w:shd w:val="clear"/>
              <w:kinsoku/>
              <w:wordWrap/>
              <w:overflowPunct/>
              <w:topLinePunct w:val="0"/>
              <w:autoSpaceDE/>
              <w:autoSpaceDN/>
              <w:bidi w:val="0"/>
              <w:adjustRightInd w:val="0"/>
              <w:snapToGrid/>
              <w:spacing w:line="400" w:lineRule="exact"/>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w:t>
            </w:r>
            <w:r>
              <w:rPr>
                <w:rFonts w:hint="eastAsia" w:ascii="宋体" w:hAnsi="宋体" w:cs="宋体"/>
                <w:b w:val="0"/>
                <w:bCs w:val="0"/>
                <w:color w:val="auto"/>
                <w:kern w:val="2"/>
                <w:sz w:val="24"/>
                <w:szCs w:val="24"/>
                <w:highlight w:val="none"/>
                <w:vertAlign w:val="baseline"/>
                <w:lang w:val="en-US" w:eastAsia="zh-CN" w:bidi="ar-SA"/>
              </w:rPr>
              <w:t>4</w:t>
            </w:r>
            <w:r>
              <w:rPr>
                <w:rFonts w:hint="eastAsia" w:ascii="宋体" w:hAnsi="宋体" w:eastAsia="宋体" w:cs="宋体"/>
                <w:b w:val="0"/>
                <w:bCs w:val="0"/>
                <w:color w:val="auto"/>
                <w:kern w:val="2"/>
                <w:sz w:val="24"/>
                <w:szCs w:val="24"/>
                <w:highlight w:val="none"/>
                <w:vertAlign w:val="baseline"/>
                <w:lang w:val="en-US" w:eastAsia="zh-CN" w:bidi="ar-SA"/>
              </w:rPr>
              <w:t>）投入人员中具有大专学历的，每人得0.2分。本科及以上学历的，每人得0.5分。需提供相关</w:t>
            </w:r>
            <w:r>
              <w:rPr>
                <w:rFonts w:hint="eastAsia" w:ascii="宋体" w:hAnsi="宋体" w:cs="宋体"/>
                <w:b w:val="0"/>
                <w:bCs w:val="0"/>
                <w:color w:val="auto"/>
                <w:kern w:val="2"/>
                <w:sz w:val="24"/>
                <w:szCs w:val="24"/>
                <w:highlight w:val="none"/>
                <w:vertAlign w:val="baseline"/>
                <w:lang w:val="en-US" w:eastAsia="zh-CN" w:bidi="ar-SA"/>
              </w:rPr>
              <w:t>学历</w:t>
            </w:r>
            <w:r>
              <w:rPr>
                <w:rFonts w:hint="eastAsia" w:ascii="宋体" w:hAnsi="宋体" w:eastAsia="宋体" w:cs="宋体"/>
                <w:b w:val="0"/>
                <w:bCs w:val="0"/>
                <w:color w:val="auto"/>
                <w:kern w:val="2"/>
                <w:sz w:val="24"/>
                <w:szCs w:val="24"/>
                <w:highlight w:val="none"/>
                <w:vertAlign w:val="baseline"/>
                <w:lang w:val="en-US" w:eastAsia="zh-CN" w:bidi="ar-SA"/>
              </w:rPr>
              <w:t>证书复印件。满分1分。</w:t>
            </w:r>
          </w:p>
          <w:p w14:paraId="174BDEFF">
            <w:pPr>
              <w:keepNext w:val="0"/>
              <w:keepLines w:val="0"/>
              <w:pageBreakBefore w:val="0"/>
              <w:widowControl w:val="0"/>
              <w:shd w:val="clear"/>
              <w:kinsoku/>
              <w:wordWrap/>
              <w:overflowPunct/>
              <w:topLinePunct w:val="0"/>
              <w:autoSpaceDE/>
              <w:autoSpaceDN/>
              <w:bidi w:val="0"/>
              <w:adjustRightInd w:val="0"/>
              <w:snapToGrid/>
              <w:spacing w:line="400" w:lineRule="exact"/>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eastAsia="宋体" w:cs="宋体"/>
                <w:b w:val="0"/>
                <w:bCs w:val="0"/>
                <w:color w:val="auto"/>
                <w:kern w:val="2"/>
                <w:sz w:val="24"/>
                <w:szCs w:val="24"/>
                <w:highlight w:val="none"/>
                <w:vertAlign w:val="baseline"/>
                <w:lang w:val="en-US" w:eastAsia="zh-CN" w:bidi="ar-SA"/>
              </w:rPr>
              <w:t>注：以上人员需提供2026年1月以来至少一个月依法缴纳社保的证明，未提供者不计分。</w:t>
            </w:r>
          </w:p>
        </w:tc>
        <w:tc>
          <w:tcPr>
            <w:tcW w:w="874" w:type="dxa"/>
            <w:shd w:val="clear" w:color="auto" w:fill="auto"/>
            <w:tcMar>
              <w:top w:w="0" w:type="dxa"/>
              <w:left w:w="57" w:type="dxa"/>
              <w:bottom w:w="0" w:type="dxa"/>
              <w:right w:w="57" w:type="dxa"/>
            </w:tcMar>
            <w:vAlign w:val="center"/>
          </w:tcPr>
          <w:p w14:paraId="16CE357D">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1分</w:t>
            </w:r>
          </w:p>
        </w:tc>
        <w:tc>
          <w:tcPr>
            <w:tcW w:w="1263" w:type="dxa"/>
            <w:shd w:val="clear" w:color="auto" w:fill="auto"/>
            <w:tcMar>
              <w:top w:w="0" w:type="dxa"/>
              <w:left w:w="57" w:type="dxa"/>
              <w:bottom w:w="0" w:type="dxa"/>
              <w:right w:w="57" w:type="dxa"/>
            </w:tcMar>
            <w:vAlign w:val="center"/>
          </w:tcPr>
          <w:p w14:paraId="582F7661">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客观分</w:t>
            </w:r>
          </w:p>
        </w:tc>
      </w:tr>
      <w:tr w14:paraId="4659C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tcMar>
              <w:top w:w="0" w:type="dxa"/>
              <w:left w:w="57" w:type="dxa"/>
              <w:bottom w:w="0" w:type="dxa"/>
              <w:right w:w="57" w:type="dxa"/>
            </w:tcMar>
            <w:vAlign w:val="center"/>
          </w:tcPr>
          <w:p w14:paraId="7FE808D6">
            <w:pPr>
              <w:keepNext w:val="0"/>
              <w:keepLines w:val="0"/>
              <w:pageBreakBefore w:val="0"/>
              <w:widowControl w:val="0"/>
              <w:kinsoku/>
              <w:wordWrap/>
              <w:overflowPunct/>
              <w:topLinePunct w:val="0"/>
              <w:autoSpaceDE/>
              <w:autoSpaceDN/>
              <w:bidi w:val="0"/>
              <w:adjustRightInd w:val="0"/>
              <w:snapToGrid/>
              <w:spacing w:line="400" w:lineRule="exact"/>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3.2</w:t>
            </w:r>
          </w:p>
        </w:tc>
        <w:tc>
          <w:tcPr>
            <w:tcW w:w="1522" w:type="dxa"/>
            <w:gridSpan w:val="2"/>
            <w:tcMar>
              <w:top w:w="0" w:type="dxa"/>
              <w:left w:w="57" w:type="dxa"/>
              <w:bottom w:w="0" w:type="dxa"/>
              <w:right w:w="57" w:type="dxa"/>
            </w:tcMar>
            <w:vAlign w:val="center"/>
          </w:tcPr>
          <w:p w14:paraId="5E76E66D">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人员风险保障配置</w:t>
            </w:r>
          </w:p>
          <w:p w14:paraId="20F30D85">
            <w:pPr>
              <w:pStyle w:val="2"/>
              <w:ind w:left="0" w:leftChars="0" w:firstLine="0" w:firstLineChars="0"/>
              <w:rPr>
                <w:rFonts w:hint="eastAsia"/>
                <w:highlight w:val="none"/>
              </w:rPr>
            </w:pPr>
            <w:r>
              <w:rPr>
                <w:rFonts w:hint="eastAsia" w:ascii="宋体" w:hAnsi="宋体" w:cs="宋体"/>
                <w:b w:val="0"/>
                <w:bCs w:val="0"/>
                <w:color w:val="auto"/>
                <w:sz w:val="24"/>
                <w:szCs w:val="24"/>
                <w:highlight w:val="none"/>
                <w:vertAlign w:val="baseline"/>
                <w:lang w:val="en-US" w:eastAsia="zh-CN"/>
              </w:rPr>
              <w:t>（满分</w:t>
            </w:r>
            <w:r>
              <w:rPr>
                <w:rFonts w:hint="eastAsia" w:hAnsi="宋体" w:cs="宋体"/>
                <w:b w:val="0"/>
                <w:bCs w:val="0"/>
                <w:color w:val="auto"/>
                <w:sz w:val="24"/>
                <w:szCs w:val="24"/>
                <w:highlight w:val="none"/>
                <w:vertAlign w:val="baseline"/>
                <w:lang w:val="en-US" w:eastAsia="zh-CN"/>
              </w:rPr>
              <w:t>4</w:t>
            </w:r>
            <w:r>
              <w:rPr>
                <w:rFonts w:hint="eastAsia" w:ascii="宋体" w:hAnsi="宋体" w:cs="宋体"/>
                <w:b w:val="0"/>
                <w:bCs w:val="0"/>
                <w:color w:val="auto"/>
                <w:sz w:val="24"/>
                <w:szCs w:val="24"/>
                <w:highlight w:val="none"/>
                <w:vertAlign w:val="baseline"/>
                <w:lang w:val="en-US" w:eastAsia="zh-CN"/>
              </w:rPr>
              <w:t>分）</w:t>
            </w:r>
          </w:p>
        </w:tc>
        <w:tc>
          <w:tcPr>
            <w:tcW w:w="5716" w:type="dxa"/>
            <w:shd w:val="clear" w:color="auto" w:fill="auto"/>
            <w:tcMar>
              <w:top w:w="0" w:type="dxa"/>
              <w:left w:w="57" w:type="dxa"/>
              <w:bottom w:w="0" w:type="dxa"/>
              <w:right w:w="57" w:type="dxa"/>
            </w:tcMar>
            <w:vAlign w:val="center"/>
          </w:tcPr>
          <w:p w14:paraId="337B15FE">
            <w:pPr>
              <w:keepNext w:val="0"/>
              <w:keepLines w:val="0"/>
              <w:pageBreakBefore w:val="0"/>
              <w:widowControl w:val="0"/>
              <w:shd w:val="clear"/>
              <w:kinsoku/>
              <w:wordWrap/>
              <w:overflowPunct/>
              <w:topLinePunct w:val="0"/>
              <w:autoSpaceDE/>
              <w:autoSpaceDN/>
              <w:bidi w:val="0"/>
              <w:adjustRightInd w:val="0"/>
              <w:snapToGrid/>
              <w:spacing w:line="400" w:lineRule="exact"/>
              <w:ind w:firstLine="480" w:firstLineChars="200"/>
              <w:jc w:val="left"/>
              <w:textAlignment w:val="auto"/>
              <w:rPr>
                <w:rFonts w:hint="eastAsia" w:ascii="宋体" w:hAnsi="宋体" w:cs="宋体"/>
                <w:b w:val="0"/>
                <w:bCs w:val="0"/>
                <w:color w:val="auto"/>
                <w:kern w:val="2"/>
                <w:sz w:val="24"/>
                <w:szCs w:val="24"/>
                <w:highlight w:val="none"/>
                <w:vertAlign w:val="baseline"/>
                <w:lang w:val="en-US" w:eastAsia="zh-CN" w:bidi="ar-SA"/>
              </w:rPr>
            </w:pPr>
            <w:r>
              <w:rPr>
                <w:rFonts w:hint="eastAsia" w:ascii="宋体" w:hAnsi="宋体" w:cs="宋体"/>
                <w:b w:val="0"/>
                <w:bCs w:val="0"/>
                <w:color w:val="auto"/>
                <w:kern w:val="2"/>
                <w:sz w:val="24"/>
                <w:szCs w:val="24"/>
                <w:highlight w:val="none"/>
                <w:vertAlign w:val="baseline"/>
                <w:lang w:val="en-US" w:eastAsia="zh-CN" w:bidi="ar-SA"/>
              </w:rPr>
              <w:t>1.供应商承诺为本项目派驻全体安保人员统一投保雇主责任险或人身意外保险（二选一），身故伤残责任保额不低于20万元/人、医疗费用责任保额不低于2万元/人。</w:t>
            </w:r>
          </w:p>
          <w:p w14:paraId="250355BA">
            <w:pPr>
              <w:keepNext w:val="0"/>
              <w:keepLines w:val="0"/>
              <w:pageBreakBefore w:val="0"/>
              <w:widowControl w:val="0"/>
              <w:shd w:val="clear"/>
              <w:kinsoku/>
              <w:wordWrap/>
              <w:overflowPunct/>
              <w:topLinePunct w:val="0"/>
              <w:autoSpaceDE/>
              <w:autoSpaceDN/>
              <w:bidi w:val="0"/>
              <w:adjustRightInd w:val="0"/>
              <w:snapToGrid/>
              <w:spacing w:line="400" w:lineRule="exact"/>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cs="宋体"/>
                <w:b w:val="0"/>
                <w:bCs w:val="0"/>
                <w:color w:val="auto"/>
                <w:kern w:val="2"/>
                <w:sz w:val="24"/>
                <w:szCs w:val="24"/>
                <w:highlight w:val="none"/>
                <w:vertAlign w:val="baseline"/>
                <w:lang w:val="en-US" w:eastAsia="zh-CN" w:bidi="ar-SA"/>
              </w:rPr>
              <w:t>2.在上述最低保额基础上，</w:t>
            </w:r>
            <w:r>
              <w:rPr>
                <w:rFonts w:hint="eastAsia" w:ascii="宋体" w:hAnsi="宋体" w:eastAsia="宋体" w:cs="宋体"/>
                <w:b w:val="0"/>
                <w:bCs w:val="0"/>
                <w:color w:val="auto"/>
                <w:kern w:val="2"/>
                <w:sz w:val="24"/>
                <w:szCs w:val="24"/>
                <w:highlight w:val="none"/>
                <w:vertAlign w:val="baseline"/>
                <w:lang w:val="en-US" w:eastAsia="zh-CN" w:bidi="ar-SA"/>
              </w:rPr>
              <w:t>身故伤残责任保额每增加20万元/人，加1分，本项累计加分最高4分，保额超过100万元/人不再额外加分。</w:t>
            </w:r>
          </w:p>
          <w:p w14:paraId="0356BF86">
            <w:pPr>
              <w:keepNext w:val="0"/>
              <w:keepLines w:val="0"/>
              <w:pageBreakBefore w:val="0"/>
              <w:widowControl w:val="0"/>
              <w:shd w:val="clear"/>
              <w:kinsoku/>
              <w:wordWrap/>
              <w:overflowPunct/>
              <w:topLinePunct w:val="0"/>
              <w:autoSpaceDE/>
              <w:autoSpaceDN/>
              <w:bidi w:val="0"/>
              <w:adjustRightInd w:val="0"/>
              <w:snapToGrid/>
              <w:spacing w:line="400" w:lineRule="exact"/>
              <w:ind w:firstLine="480" w:firstLineChars="200"/>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val="0"/>
                <w:bCs w:val="0"/>
                <w:color w:val="auto"/>
                <w:kern w:val="2"/>
                <w:sz w:val="24"/>
                <w:szCs w:val="24"/>
                <w:highlight w:val="none"/>
                <w:vertAlign w:val="baseline"/>
                <w:lang w:val="en-US" w:eastAsia="zh-CN" w:bidi="ar-SA"/>
              </w:rPr>
              <w:t>注：投标文件中须附</w:t>
            </w:r>
            <w:r>
              <w:rPr>
                <w:rFonts w:hint="eastAsia" w:ascii="宋体" w:hAnsi="宋体" w:cs="宋体"/>
                <w:b w:val="0"/>
                <w:bCs w:val="0"/>
                <w:color w:val="auto"/>
                <w:kern w:val="2"/>
                <w:sz w:val="24"/>
                <w:szCs w:val="24"/>
                <w:highlight w:val="none"/>
                <w:vertAlign w:val="baseline"/>
                <w:lang w:val="en-US" w:eastAsia="zh-CN" w:bidi="ar-SA"/>
              </w:rPr>
              <w:t>投</w:t>
            </w:r>
            <w:r>
              <w:rPr>
                <w:rFonts w:hint="eastAsia" w:ascii="宋体" w:hAnsi="宋体" w:eastAsia="宋体" w:cs="宋体"/>
                <w:b w:val="0"/>
                <w:bCs w:val="0"/>
                <w:color w:val="auto"/>
                <w:kern w:val="2"/>
                <w:sz w:val="24"/>
                <w:szCs w:val="24"/>
                <w:highlight w:val="none"/>
                <w:vertAlign w:val="baseline"/>
                <w:lang w:val="en-US" w:eastAsia="zh-CN" w:bidi="ar-SA"/>
              </w:rPr>
              <w:t>保承诺函</w:t>
            </w:r>
            <w:r>
              <w:rPr>
                <w:rFonts w:hint="eastAsia" w:ascii="宋体" w:hAnsi="宋体" w:cs="宋体"/>
                <w:b w:val="0"/>
                <w:bCs w:val="0"/>
                <w:color w:val="auto"/>
                <w:kern w:val="2"/>
                <w:sz w:val="24"/>
                <w:szCs w:val="24"/>
                <w:highlight w:val="none"/>
                <w:vertAlign w:val="baseline"/>
                <w:lang w:val="en-US" w:eastAsia="zh-CN" w:bidi="ar-SA"/>
              </w:rPr>
              <w:t>（格式自拟）</w:t>
            </w:r>
            <w:r>
              <w:rPr>
                <w:rFonts w:hint="eastAsia" w:ascii="宋体" w:hAnsi="宋体" w:eastAsia="宋体" w:cs="宋体"/>
                <w:b w:val="0"/>
                <w:bCs w:val="0"/>
                <w:color w:val="auto"/>
                <w:kern w:val="2"/>
                <w:sz w:val="24"/>
                <w:szCs w:val="24"/>
                <w:highlight w:val="none"/>
                <w:vertAlign w:val="baseline"/>
                <w:lang w:val="en-US" w:eastAsia="zh-CN" w:bidi="ar-SA"/>
              </w:rPr>
              <w:t>，未提供的，本项不予计分。中标后供应商须向采购人提供雇主责任险或人身意外保险合同复印件或保单、购买保险发票等复印件并加盖单位公章，提供原件核查，否则按虚假应标处理。</w:t>
            </w:r>
          </w:p>
        </w:tc>
        <w:tc>
          <w:tcPr>
            <w:tcW w:w="874" w:type="dxa"/>
            <w:shd w:val="clear" w:color="auto" w:fill="auto"/>
            <w:tcMar>
              <w:top w:w="0" w:type="dxa"/>
              <w:left w:w="57" w:type="dxa"/>
              <w:bottom w:w="0" w:type="dxa"/>
              <w:right w:w="57" w:type="dxa"/>
            </w:tcMar>
            <w:vAlign w:val="center"/>
          </w:tcPr>
          <w:p w14:paraId="4649FAF0">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cs="宋体"/>
                <w:color w:val="auto"/>
                <w:sz w:val="24"/>
                <w:szCs w:val="24"/>
                <w:highlight w:val="none"/>
                <w:vertAlign w:val="baseline"/>
                <w:lang w:val="en-US" w:eastAsia="zh-CN"/>
              </w:rPr>
              <w:t>4</w:t>
            </w:r>
            <w:r>
              <w:rPr>
                <w:rFonts w:hint="eastAsia" w:ascii="宋体" w:hAnsi="宋体" w:eastAsia="宋体" w:cs="宋体"/>
                <w:color w:val="auto"/>
                <w:sz w:val="24"/>
                <w:szCs w:val="24"/>
                <w:highlight w:val="none"/>
                <w:vertAlign w:val="baseline"/>
                <w:lang w:val="en-US" w:eastAsia="zh-CN"/>
              </w:rPr>
              <w:t>分</w:t>
            </w:r>
          </w:p>
        </w:tc>
        <w:tc>
          <w:tcPr>
            <w:tcW w:w="1263" w:type="dxa"/>
            <w:shd w:val="clear" w:color="auto" w:fill="auto"/>
            <w:tcMar>
              <w:top w:w="0" w:type="dxa"/>
              <w:left w:w="57" w:type="dxa"/>
              <w:bottom w:w="0" w:type="dxa"/>
              <w:right w:w="57" w:type="dxa"/>
            </w:tcMar>
            <w:vAlign w:val="center"/>
          </w:tcPr>
          <w:p w14:paraId="3C0DA463">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客观分</w:t>
            </w:r>
          </w:p>
        </w:tc>
      </w:tr>
      <w:tr w14:paraId="32CD8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625" w:type="dxa"/>
            <w:tcMar>
              <w:top w:w="0" w:type="dxa"/>
              <w:left w:w="57" w:type="dxa"/>
              <w:bottom w:w="0" w:type="dxa"/>
              <w:right w:w="57" w:type="dxa"/>
            </w:tcMar>
            <w:vAlign w:val="center"/>
          </w:tcPr>
          <w:p w14:paraId="7751EA1D">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vertAlign w:val="baseline"/>
                <w:lang w:val="en-US" w:eastAsia="zh-CN"/>
              </w:rPr>
              <w:t>3.3</w:t>
            </w:r>
          </w:p>
        </w:tc>
        <w:tc>
          <w:tcPr>
            <w:tcW w:w="1522" w:type="dxa"/>
            <w:gridSpan w:val="2"/>
            <w:tcMar>
              <w:top w:w="0" w:type="dxa"/>
              <w:left w:w="57" w:type="dxa"/>
              <w:bottom w:w="0" w:type="dxa"/>
              <w:right w:w="57" w:type="dxa"/>
            </w:tcMar>
            <w:vAlign w:val="center"/>
          </w:tcPr>
          <w:p w14:paraId="45F578B9">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b w:val="0"/>
                <w:bCs w:val="0"/>
                <w:color w:val="auto"/>
                <w:sz w:val="24"/>
                <w:szCs w:val="24"/>
                <w:highlight w:val="none"/>
                <w:vertAlign w:val="baseline"/>
                <w:lang w:val="en-US" w:eastAsia="zh-CN"/>
              </w:rPr>
            </w:pPr>
            <w:r>
              <w:rPr>
                <w:rFonts w:hint="eastAsia" w:ascii="宋体" w:hAnsi="宋体" w:eastAsia="宋体" w:cs="宋体"/>
                <w:b w:val="0"/>
                <w:bCs w:val="0"/>
                <w:color w:val="auto"/>
                <w:sz w:val="24"/>
                <w:szCs w:val="24"/>
                <w:highlight w:val="none"/>
                <w:vertAlign w:val="baseline"/>
                <w:lang w:val="en-US" w:eastAsia="zh-CN"/>
              </w:rPr>
              <w:t>业绩分</w:t>
            </w:r>
          </w:p>
          <w:p w14:paraId="012EC181">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rPr>
            </w:pPr>
            <w:r>
              <w:rPr>
                <w:rFonts w:hint="eastAsia" w:ascii="宋体" w:hAnsi="宋体" w:cs="宋体"/>
                <w:b w:val="0"/>
                <w:bCs w:val="0"/>
                <w:color w:val="auto"/>
                <w:sz w:val="24"/>
                <w:szCs w:val="24"/>
                <w:highlight w:val="none"/>
                <w:vertAlign w:val="baseline"/>
                <w:lang w:val="en-US" w:eastAsia="zh-CN"/>
              </w:rPr>
              <w:t>（满分10分）</w:t>
            </w:r>
          </w:p>
        </w:tc>
        <w:tc>
          <w:tcPr>
            <w:tcW w:w="5716" w:type="dxa"/>
            <w:shd w:val="clear" w:color="auto" w:fill="auto"/>
            <w:tcMar>
              <w:top w:w="0" w:type="dxa"/>
              <w:left w:w="57" w:type="dxa"/>
              <w:bottom w:w="0" w:type="dxa"/>
              <w:right w:w="57" w:type="dxa"/>
            </w:tcMar>
            <w:vAlign w:val="center"/>
          </w:tcPr>
          <w:p w14:paraId="3A51D410">
            <w:pPr>
              <w:keepNext w:val="0"/>
              <w:keepLines w:val="0"/>
              <w:pageBreakBefore w:val="0"/>
              <w:widowControl w:val="0"/>
              <w:shd w:val="clear"/>
              <w:kinsoku/>
              <w:wordWrap/>
              <w:overflowPunct/>
              <w:topLinePunct w:val="0"/>
              <w:autoSpaceDE/>
              <w:autoSpaceDN/>
              <w:bidi w:val="0"/>
              <w:adjustRightInd w:val="0"/>
              <w:snapToGrid/>
              <w:spacing w:line="400" w:lineRule="exact"/>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cs="宋体"/>
                <w:b w:val="0"/>
                <w:bCs w:val="0"/>
                <w:color w:val="auto"/>
                <w:kern w:val="2"/>
                <w:sz w:val="24"/>
                <w:szCs w:val="24"/>
                <w:highlight w:val="none"/>
                <w:vertAlign w:val="baseline"/>
                <w:lang w:val="en-US" w:eastAsia="zh-CN" w:bidi="ar-SA"/>
              </w:rPr>
              <w:t>1、</w:t>
            </w:r>
            <w:r>
              <w:rPr>
                <w:rFonts w:hint="eastAsia" w:ascii="宋体" w:hAnsi="宋体" w:eastAsia="宋体" w:cs="宋体"/>
                <w:b w:val="0"/>
                <w:bCs w:val="0"/>
                <w:color w:val="auto"/>
                <w:kern w:val="2"/>
                <w:sz w:val="24"/>
                <w:szCs w:val="24"/>
                <w:highlight w:val="none"/>
                <w:vertAlign w:val="baseline"/>
                <w:lang w:val="en-US" w:eastAsia="zh-CN" w:bidi="ar-SA"/>
              </w:rPr>
              <w:t>投标人2021年1月1日以来至投标文件递交截止时间前承接过的同类</w:t>
            </w:r>
            <w:r>
              <w:rPr>
                <w:rFonts w:hint="eastAsia" w:ascii="宋体" w:hAnsi="宋体" w:cs="宋体"/>
                <w:b w:val="0"/>
                <w:bCs w:val="0"/>
                <w:color w:val="auto"/>
                <w:kern w:val="2"/>
                <w:sz w:val="24"/>
                <w:szCs w:val="24"/>
                <w:highlight w:val="none"/>
                <w:vertAlign w:val="baseline"/>
                <w:lang w:val="en-US" w:eastAsia="zh-CN" w:bidi="ar-SA"/>
              </w:rPr>
              <w:t>项目</w:t>
            </w:r>
            <w:r>
              <w:rPr>
                <w:rFonts w:hint="eastAsia" w:ascii="宋体" w:hAnsi="宋体" w:eastAsia="宋体" w:cs="宋体"/>
                <w:b w:val="0"/>
                <w:bCs w:val="0"/>
                <w:color w:val="auto"/>
                <w:kern w:val="2"/>
                <w:sz w:val="24"/>
                <w:szCs w:val="24"/>
                <w:highlight w:val="none"/>
                <w:vertAlign w:val="baseline"/>
                <w:lang w:val="en-US" w:eastAsia="zh-CN" w:bidi="ar-SA"/>
              </w:rPr>
              <w:t>业绩（</w:t>
            </w:r>
            <w:r>
              <w:rPr>
                <w:rFonts w:hint="eastAsia" w:ascii="宋体" w:hAnsi="宋体" w:cs="宋体"/>
                <w:b w:val="0"/>
                <w:bCs w:val="0"/>
                <w:color w:val="auto"/>
                <w:kern w:val="2"/>
                <w:sz w:val="24"/>
                <w:szCs w:val="24"/>
                <w:highlight w:val="none"/>
                <w:vertAlign w:val="baseline"/>
                <w:lang w:val="en-US" w:eastAsia="zh-CN" w:bidi="ar-SA"/>
              </w:rPr>
              <w:t>至少包含保洁、设备维护和绿化服务内容之一</w:t>
            </w:r>
            <w:r>
              <w:rPr>
                <w:rFonts w:hint="eastAsia" w:ascii="宋体" w:hAnsi="宋体" w:eastAsia="宋体" w:cs="宋体"/>
                <w:b w:val="0"/>
                <w:bCs w:val="0"/>
                <w:color w:val="auto"/>
                <w:kern w:val="2"/>
                <w:sz w:val="24"/>
                <w:szCs w:val="24"/>
                <w:highlight w:val="none"/>
                <w:vertAlign w:val="baseline"/>
                <w:lang w:val="en-US" w:eastAsia="zh-CN" w:bidi="ar-SA"/>
              </w:rPr>
              <w:t>），</w:t>
            </w:r>
            <w:r>
              <w:rPr>
                <w:rFonts w:hint="eastAsia" w:ascii="宋体" w:hAnsi="宋体" w:cs="宋体"/>
                <w:b w:val="0"/>
                <w:bCs w:val="0"/>
                <w:color w:val="auto"/>
                <w:kern w:val="2"/>
                <w:sz w:val="24"/>
                <w:szCs w:val="24"/>
                <w:highlight w:val="none"/>
                <w:vertAlign w:val="baseline"/>
                <w:lang w:val="en-US" w:eastAsia="zh-CN" w:bidi="ar-SA"/>
              </w:rPr>
              <w:t>每有一个得0.2分</w:t>
            </w:r>
            <w:r>
              <w:rPr>
                <w:rFonts w:hint="eastAsia" w:ascii="宋体" w:hAnsi="宋体" w:eastAsia="宋体" w:cs="宋体"/>
                <w:b w:val="0"/>
                <w:bCs w:val="0"/>
                <w:color w:val="auto"/>
                <w:kern w:val="2"/>
                <w:sz w:val="24"/>
                <w:szCs w:val="24"/>
                <w:highlight w:val="none"/>
                <w:vertAlign w:val="baseline"/>
                <w:lang w:val="en-US" w:eastAsia="zh-CN" w:bidi="ar-SA"/>
              </w:rPr>
              <w:t>，满分5分（投标文件中提供合同复印件</w:t>
            </w:r>
            <w:r>
              <w:rPr>
                <w:rFonts w:hint="eastAsia" w:ascii="宋体" w:hAnsi="宋体" w:cs="宋体"/>
                <w:b w:val="0"/>
                <w:bCs w:val="0"/>
                <w:color w:val="auto"/>
                <w:kern w:val="2"/>
                <w:sz w:val="24"/>
                <w:szCs w:val="24"/>
                <w:highlight w:val="none"/>
                <w:vertAlign w:val="baseline"/>
                <w:lang w:val="en-US" w:eastAsia="zh-CN" w:bidi="ar-SA"/>
              </w:rPr>
              <w:t>）</w:t>
            </w:r>
            <w:r>
              <w:rPr>
                <w:rFonts w:hint="eastAsia" w:ascii="宋体" w:hAnsi="宋体" w:eastAsia="宋体" w:cs="宋体"/>
                <w:b w:val="0"/>
                <w:bCs w:val="0"/>
                <w:color w:val="auto"/>
                <w:kern w:val="2"/>
                <w:sz w:val="24"/>
                <w:szCs w:val="24"/>
                <w:highlight w:val="none"/>
                <w:vertAlign w:val="baseline"/>
                <w:lang w:val="en-US" w:eastAsia="zh-CN" w:bidi="ar-SA"/>
              </w:rPr>
              <w:t>。</w:t>
            </w:r>
          </w:p>
          <w:p w14:paraId="740D3645">
            <w:pPr>
              <w:keepNext w:val="0"/>
              <w:keepLines w:val="0"/>
              <w:pageBreakBefore w:val="0"/>
              <w:widowControl w:val="0"/>
              <w:shd w:val="clear"/>
              <w:kinsoku/>
              <w:wordWrap/>
              <w:overflowPunct/>
              <w:topLinePunct w:val="0"/>
              <w:autoSpaceDE/>
              <w:autoSpaceDN/>
              <w:bidi w:val="0"/>
              <w:adjustRightInd w:val="0"/>
              <w:snapToGrid/>
              <w:spacing w:line="400" w:lineRule="exact"/>
              <w:ind w:firstLine="480" w:firstLineChars="200"/>
              <w:jc w:val="left"/>
              <w:textAlignment w:val="auto"/>
              <w:rPr>
                <w:rFonts w:hint="eastAsia" w:ascii="宋体" w:hAnsi="宋体" w:eastAsia="宋体" w:cs="宋体"/>
                <w:b w:val="0"/>
                <w:bCs w:val="0"/>
                <w:color w:val="auto"/>
                <w:kern w:val="2"/>
                <w:sz w:val="24"/>
                <w:szCs w:val="24"/>
                <w:highlight w:val="none"/>
                <w:vertAlign w:val="baseline"/>
                <w:lang w:val="en-US" w:eastAsia="zh-CN" w:bidi="ar-SA"/>
              </w:rPr>
            </w:pPr>
            <w:r>
              <w:rPr>
                <w:rFonts w:hint="eastAsia" w:ascii="宋体" w:hAnsi="宋体" w:cs="宋体"/>
                <w:b w:val="0"/>
                <w:bCs w:val="0"/>
                <w:color w:val="auto"/>
                <w:kern w:val="2"/>
                <w:sz w:val="24"/>
                <w:szCs w:val="24"/>
                <w:highlight w:val="none"/>
                <w:vertAlign w:val="baseline"/>
                <w:lang w:val="en-US" w:eastAsia="zh-CN" w:bidi="ar-SA"/>
              </w:rPr>
              <w:t>2、</w:t>
            </w:r>
            <w:r>
              <w:rPr>
                <w:rFonts w:hint="eastAsia" w:ascii="宋体" w:hAnsi="宋体" w:eastAsia="宋体" w:cs="宋体"/>
                <w:b w:val="0"/>
                <w:bCs w:val="0"/>
                <w:color w:val="auto"/>
                <w:kern w:val="2"/>
                <w:sz w:val="24"/>
                <w:szCs w:val="24"/>
                <w:highlight w:val="none"/>
                <w:vertAlign w:val="baseline"/>
                <w:lang w:val="en-US" w:eastAsia="zh-CN" w:bidi="ar-SA"/>
              </w:rPr>
              <w:t>上述业绩的服务考核评价为优或者满意调查度为优的，每个得1分，满分5分（提供对应的同类</w:t>
            </w:r>
            <w:bookmarkStart w:id="422" w:name="_GoBack"/>
            <w:bookmarkEnd w:id="422"/>
            <w:r>
              <w:rPr>
                <w:rFonts w:hint="eastAsia" w:ascii="宋体" w:hAnsi="宋体" w:eastAsia="宋体" w:cs="宋体"/>
                <w:b w:val="0"/>
                <w:bCs w:val="0"/>
                <w:color w:val="auto"/>
                <w:kern w:val="2"/>
                <w:sz w:val="24"/>
                <w:szCs w:val="24"/>
                <w:highlight w:val="none"/>
                <w:vertAlign w:val="baseline"/>
                <w:lang w:val="en-US" w:eastAsia="zh-CN" w:bidi="ar-SA"/>
              </w:rPr>
              <w:t>项目考核评价表扫描件，否则不计分）。</w:t>
            </w:r>
          </w:p>
          <w:p w14:paraId="26642B36">
            <w:pPr>
              <w:keepNext w:val="0"/>
              <w:keepLines w:val="0"/>
              <w:pageBreakBefore w:val="0"/>
              <w:widowControl w:val="0"/>
              <w:shd w:val="clear"/>
              <w:kinsoku/>
              <w:wordWrap/>
              <w:overflowPunct/>
              <w:topLinePunct w:val="0"/>
              <w:autoSpaceDE/>
              <w:autoSpaceDN/>
              <w:bidi w:val="0"/>
              <w:adjustRightInd w:val="0"/>
              <w:snapToGrid/>
              <w:spacing w:line="400" w:lineRule="exact"/>
              <w:ind w:firstLine="482" w:firstLineChars="200"/>
              <w:jc w:val="left"/>
              <w:textAlignment w:val="auto"/>
              <w:rPr>
                <w:rFonts w:hint="eastAsia" w:ascii="宋体" w:hAnsi="宋体" w:eastAsia="宋体" w:cs="宋体"/>
                <w:b/>
                <w:bCs/>
                <w:color w:val="auto"/>
                <w:kern w:val="2"/>
                <w:sz w:val="24"/>
                <w:szCs w:val="24"/>
                <w:highlight w:val="none"/>
                <w:vertAlign w:val="baseline"/>
                <w:lang w:val="en-US" w:eastAsia="zh-CN" w:bidi="ar-SA"/>
              </w:rPr>
            </w:pPr>
            <w:r>
              <w:rPr>
                <w:rFonts w:hint="eastAsia" w:ascii="宋体" w:hAnsi="宋体" w:eastAsia="宋体" w:cs="宋体"/>
                <w:b/>
                <w:bCs/>
                <w:color w:val="auto"/>
                <w:kern w:val="2"/>
                <w:sz w:val="24"/>
                <w:szCs w:val="24"/>
                <w:highlight w:val="none"/>
                <w:vertAlign w:val="baseline"/>
                <w:lang w:val="en-US" w:eastAsia="zh-CN" w:bidi="ar-SA"/>
              </w:rPr>
              <w:t>注：类似业绩指包括但不限于国家机关、事业单位和团体组织的物业管理服务项目业绩。</w:t>
            </w:r>
          </w:p>
        </w:tc>
        <w:tc>
          <w:tcPr>
            <w:tcW w:w="874" w:type="dxa"/>
            <w:shd w:val="clear" w:color="auto" w:fill="auto"/>
            <w:tcMar>
              <w:top w:w="0" w:type="dxa"/>
              <w:left w:w="57" w:type="dxa"/>
              <w:bottom w:w="0" w:type="dxa"/>
              <w:right w:w="57" w:type="dxa"/>
            </w:tcMar>
            <w:vAlign w:val="center"/>
          </w:tcPr>
          <w:p w14:paraId="7F32072D">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10分</w:t>
            </w:r>
          </w:p>
        </w:tc>
        <w:tc>
          <w:tcPr>
            <w:tcW w:w="1263" w:type="dxa"/>
            <w:shd w:val="clear" w:color="auto" w:fill="auto"/>
            <w:tcMar>
              <w:top w:w="0" w:type="dxa"/>
              <w:left w:w="57" w:type="dxa"/>
              <w:bottom w:w="0" w:type="dxa"/>
              <w:right w:w="57" w:type="dxa"/>
            </w:tcMar>
            <w:vAlign w:val="center"/>
          </w:tcPr>
          <w:p w14:paraId="4658FD0E">
            <w:pPr>
              <w:keepNext w:val="0"/>
              <w:keepLines w:val="0"/>
              <w:pageBreakBefore w:val="0"/>
              <w:widowControl w:val="0"/>
              <w:shd w:val="clear"/>
              <w:kinsoku/>
              <w:wordWrap/>
              <w:overflowPunct/>
              <w:topLinePunct w:val="0"/>
              <w:autoSpaceDE/>
              <w:autoSpaceDN/>
              <w:bidi w:val="0"/>
              <w:adjustRightInd w:val="0"/>
              <w:snapToGrid/>
              <w:spacing w:line="400" w:lineRule="exact"/>
              <w:ind w:firstLine="0" w:firstLineChars="0"/>
              <w:jc w:val="center"/>
              <w:textAlignment w:val="auto"/>
              <w:rPr>
                <w:rFonts w:hint="eastAsia" w:ascii="宋体" w:hAnsi="宋体" w:eastAsia="宋体" w:cs="宋体"/>
                <w:color w:val="auto"/>
                <w:sz w:val="24"/>
                <w:szCs w:val="24"/>
                <w:highlight w:val="none"/>
                <w:vertAlign w:val="baseline"/>
                <w:lang w:val="en-US" w:eastAsia="zh-CN"/>
              </w:rPr>
            </w:pPr>
            <w:r>
              <w:rPr>
                <w:rFonts w:hint="eastAsia" w:ascii="宋体" w:hAnsi="宋体" w:eastAsia="宋体" w:cs="宋体"/>
                <w:color w:val="auto"/>
                <w:sz w:val="24"/>
                <w:szCs w:val="24"/>
                <w:highlight w:val="none"/>
                <w:vertAlign w:val="baseline"/>
                <w:lang w:val="en-US" w:eastAsia="zh-CN"/>
              </w:rPr>
              <w:t>客观分</w:t>
            </w:r>
          </w:p>
        </w:tc>
      </w:tr>
      <w:tr w14:paraId="04583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10000" w:type="dxa"/>
            <w:gridSpan w:val="6"/>
            <w:tcMar>
              <w:top w:w="0" w:type="dxa"/>
              <w:left w:w="57" w:type="dxa"/>
              <w:bottom w:w="0" w:type="dxa"/>
              <w:right w:w="57" w:type="dxa"/>
            </w:tcMar>
            <w:vAlign w:val="center"/>
          </w:tcPr>
          <w:p w14:paraId="6FBECEA7">
            <w:pPr>
              <w:keepNext w:val="0"/>
              <w:keepLines w:val="0"/>
              <w:pageBreakBefore w:val="0"/>
              <w:widowControl w:val="0"/>
              <w:kinsoku/>
              <w:wordWrap/>
              <w:overflowPunct/>
              <w:topLinePunct w:val="0"/>
              <w:autoSpaceDE/>
              <w:autoSpaceDN/>
              <w:bidi w:val="0"/>
              <w:adjustRightInd w:val="0"/>
              <w:snapToGrid/>
              <w:spacing w:line="400" w:lineRule="exact"/>
              <w:ind w:firstLine="482"/>
              <w:jc w:val="left"/>
              <w:textAlignment w:val="auto"/>
              <w:rPr>
                <w:rFonts w:hint="eastAsia" w:ascii="宋体" w:hAnsi="宋体" w:eastAsia="宋体" w:cs="宋体"/>
                <w:color w:val="auto"/>
                <w:sz w:val="24"/>
                <w:szCs w:val="24"/>
                <w:highlight w:val="none"/>
              </w:rPr>
            </w:pPr>
            <w:r>
              <w:rPr>
                <w:rFonts w:hint="eastAsia" w:ascii="宋体" w:hAnsi="宋体" w:eastAsia="宋体" w:cs="宋体"/>
                <w:b/>
                <w:bCs/>
                <w:color w:val="auto"/>
                <w:sz w:val="24"/>
                <w:szCs w:val="24"/>
                <w:highlight w:val="none"/>
              </w:rPr>
              <w:t>总得分=1+2+3</w:t>
            </w:r>
          </w:p>
        </w:tc>
      </w:tr>
    </w:tbl>
    <w:p w14:paraId="16C7FD8B">
      <w:pPr>
        <w:pStyle w:val="4"/>
        <w:rPr>
          <w:color w:val="auto"/>
          <w:highlight w:val="none"/>
          <w:lang w:val="en-US"/>
        </w:rPr>
      </w:pPr>
    </w:p>
    <w:p w14:paraId="09182E8B">
      <w:pPr>
        <w:snapToGrid w:val="0"/>
        <w:spacing w:line="360" w:lineRule="auto"/>
        <w:ind w:firstLine="400" w:firstLineChars="200"/>
        <w:rPr>
          <w:rFonts w:ascii="宋体" w:hAnsi="宋体" w:cs="宋体"/>
          <w:color w:val="auto"/>
          <w:sz w:val="24"/>
          <w:highlight w:val="none"/>
        </w:rPr>
      </w:pPr>
      <w:r>
        <w:rPr>
          <w:rFonts w:hint="eastAsia" w:ascii="宋体" w:hAnsi="宋体" w:cs="宋体"/>
          <w:color w:val="auto"/>
          <w:sz w:val="20"/>
          <w:szCs w:val="20"/>
          <w:highlight w:val="none"/>
          <w:shd w:val="clear" w:color="auto" w:fill="FFFFFF"/>
        </w:rPr>
        <w:t> </w:t>
      </w:r>
      <w:r>
        <w:rPr>
          <w:rFonts w:hint="eastAsia" w:cs="仿宋_GB2312" w:asciiTheme="minorEastAsia" w:hAnsiTheme="minorEastAsia" w:eastAsiaTheme="minorEastAsia"/>
          <w:bCs/>
          <w:color w:val="auto"/>
          <w:sz w:val="24"/>
          <w:highlight w:val="none"/>
        </w:rPr>
        <w:t>*</w:t>
      </w:r>
      <w:r>
        <w:rPr>
          <w:rFonts w:hint="eastAsia" w:ascii="宋体" w:hAnsi="宋体" w:cs="宋体"/>
          <w:b/>
          <w:color w:val="auto"/>
          <w:sz w:val="24"/>
          <w:highlight w:val="none"/>
        </w:rPr>
        <w:t>备注：</w:t>
      </w:r>
      <w:r>
        <w:rPr>
          <w:rFonts w:hint="eastAsia" w:ascii="宋体" w:hAnsi="宋体" w:cs="宋体"/>
          <w:color w:val="auto"/>
          <w:sz w:val="24"/>
          <w:highlight w:val="none"/>
        </w:rPr>
        <w:t>投标人编制投标文件（商务技术文件部分）时，建议按此目录（序号和内容）提供评标标准相应的商务技术资料。</w:t>
      </w:r>
    </w:p>
    <w:p w14:paraId="5C9230C3">
      <w:pPr>
        <w:snapToGrid w:val="0"/>
        <w:spacing w:line="360" w:lineRule="auto"/>
        <w:rPr>
          <w:rFonts w:ascii="宋体" w:hAnsi="宋体" w:cs="宋体"/>
          <w:b/>
          <w:color w:val="auto"/>
          <w:sz w:val="28"/>
          <w:szCs w:val="28"/>
          <w:highlight w:val="none"/>
        </w:rPr>
      </w:pPr>
      <w:r>
        <w:rPr>
          <w:rFonts w:hint="eastAsia" w:ascii="宋体" w:hAnsi="宋体" w:cs="宋体"/>
          <w:color w:val="auto"/>
          <w:sz w:val="24"/>
          <w:highlight w:val="none"/>
        </w:rPr>
        <w:t> </w:t>
      </w:r>
      <w:r>
        <w:rPr>
          <w:rFonts w:hint="eastAsia" w:ascii="宋体" w:hAnsi="宋体" w:cs="宋体"/>
          <w:b/>
          <w:color w:val="auto"/>
          <w:sz w:val="32"/>
          <w:highlight w:val="none"/>
        </w:rPr>
        <w:t>一、评标方法</w:t>
      </w:r>
    </w:p>
    <w:p w14:paraId="0880CEA7">
      <w:pPr>
        <w:adjustRightInd/>
        <w:spacing w:line="360" w:lineRule="auto"/>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1.本项目采用的评标方法:</w:t>
      </w:r>
    </w:p>
    <w:p w14:paraId="3F5612DB">
      <w:pPr>
        <w:adjustRightInd/>
        <w:spacing w:line="360" w:lineRule="auto"/>
        <w:ind w:firstLine="480" w:firstLineChars="200"/>
        <w:rPr>
          <w:rFonts w:ascii="宋体" w:hAnsi="宋体" w:cs="宋体"/>
          <w:color w:val="auto"/>
          <w:kern w:val="0"/>
          <w:sz w:val="24"/>
          <w:highlight w:val="none"/>
        </w:rPr>
      </w:pPr>
      <w:sdt>
        <w:sdtPr>
          <w:rPr>
            <w:rFonts w:hint="eastAsia" w:ascii="宋体" w:hAnsi="宋体" w:cs="宋体"/>
            <w:color w:val="auto"/>
            <w:kern w:val="0"/>
            <w:sz w:val="24"/>
            <w:highlight w:val="none"/>
          </w:rPr>
          <w:id w:val="-747492348"/>
          <w14:checkbox>
            <w14:checked w14:val="1"/>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宋体" w:hAnsi="宋体" w:cs="宋体"/>
              <w:color w:val="auto"/>
              <w:kern w:val="0"/>
              <w:sz w:val="24"/>
              <w:highlight w:val="none"/>
            </w:rPr>
            <w:sym w:font="Wingdings" w:char="F0FE"/>
          </w:r>
        </w:sdtContent>
      </w:sdt>
      <w:r>
        <w:rPr>
          <w:rFonts w:hint="eastAsia" w:ascii="宋体" w:hAnsi="宋体" w:cs="宋体"/>
          <w:color w:val="auto"/>
          <w:kern w:val="0"/>
          <w:sz w:val="24"/>
          <w:highlight w:val="none"/>
        </w:rPr>
        <w:t>A</w:t>
      </w:r>
      <w:r>
        <w:rPr>
          <w:rFonts w:hint="eastAsia" w:ascii="宋体" w:hAnsi="宋体" w:cs="宋体"/>
          <w:b/>
          <w:color w:val="auto"/>
          <w:kern w:val="0"/>
          <w:sz w:val="24"/>
          <w:highlight w:val="none"/>
        </w:rPr>
        <w:t>综合评分法</w:t>
      </w:r>
      <w:r>
        <w:rPr>
          <w:rFonts w:hint="eastAsia" w:ascii="宋体" w:hAnsi="宋体" w:cs="宋体"/>
          <w:color w:val="auto"/>
          <w:sz w:val="24"/>
          <w:highlight w:val="none"/>
        </w:rPr>
        <w:t>。</w:t>
      </w:r>
      <w:r>
        <w:rPr>
          <w:rFonts w:hint="eastAsia" w:ascii="宋体" w:hAnsi="宋体" w:cs="宋体"/>
          <w:color w:val="auto"/>
          <w:kern w:val="0"/>
          <w:sz w:val="24"/>
          <w:highlight w:val="none"/>
        </w:rPr>
        <w:t>综合评分法，是指投标文件满足招标文件全部实质性要求，且按照评审因素的量化指标评审得分最高的投标人为中标候选人的评标方法。</w:t>
      </w:r>
    </w:p>
    <w:p w14:paraId="6E626640">
      <w:pPr>
        <w:adjustRightInd/>
        <w:spacing w:line="360" w:lineRule="auto"/>
        <w:ind w:firstLine="480" w:firstLineChars="200"/>
        <w:rPr>
          <w:rFonts w:ascii="宋体" w:hAnsi="宋体" w:cs="宋体"/>
          <w:b/>
          <w:color w:val="auto"/>
          <w:kern w:val="0"/>
          <w:sz w:val="24"/>
          <w:highlight w:val="none"/>
        </w:rPr>
      </w:pPr>
      <w:sdt>
        <w:sdtPr>
          <w:rPr>
            <w:rFonts w:hint="eastAsia" w:ascii="宋体" w:hAnsi="宋体" w:cs="宋体"/>
            <w:color w:val="auto"/>
            <w:kern w:val="0"/>
            <w:sz w:val="24"/>
            <w:highlight w:val="none"/>
          </w:rPr>
          <w:id w:val="-461342234"/>
          <w14:checkbox>
            <w14:checked w14:val="0"/>
            <w14:checkedState w14:val="00FE" w14:font="Wingdings"/>
            <w14:uncheckedState w14:val="2610" w14:font="MS Gothic"/>
          </w14:checkbox>
        </w:sdtPr>
        <w:sdtEndPr>
          <w:rPr>
            <w:rFonts w:hint="eastAsia" w:ascii="宋体" w:hAnsi="宋体" w:cs="宋体"/>
            <w:color w:val="auto"/>
            <w:kern w:val="0"/>
            <w:sz w:val="24"/>
            <w:highlight w:val="none"/>
          </w:rPr>
        </w:sdtEndPr>
        <w:sdtContent>
          <w:r>
            <w:rPr>
              <w:rFonts w:hint="eastAsia" w:ascii="MS Mincho" w:hAnsi="MS Mincho" w:eastAsia="MS Mincho" w:cs="MS Mincho"/>
              <w:color w:val="auto"/>
              <w:kern w:val="0"/>
              <w:sz w:val="24"/>
              <w:highlight w:val="none"/>
            </w:rPr>
            <w:t>☐</w:t>
          </w:r>
        </w:sdtContent>
      </w:sdt>
      <w:r>
        <w:rPr>
          <w:rFonts w:hint="eastAsia" w:ascii="宋体" w:hAnsi="宋体" w:cs="宋体"/>
          <w:color w:val="auto"/>
          <w:kern w:val="0"/>
          <w:sz w:val="24"/>
          <w:highlight w:val="none"/>
        </w:rPr>
        <w:t>B</w:t>
      </w:r>
      <w:r>
        <w:rPr>
          <w:rFonts w:hint="eastAsia" w:ascii="宋体" w:hAnsi="宋体" w:cs="宋体"/>
          <w:color w:val="auto"/>
          <w:sz w:val="24"/>
          <w:highlight w:val="none"/>
        </w:rPr>
        <w:t>最低评标价法</w:t>
      </w:r>
      <w:r>
        <w:rPr>
          <w:rFonts w:hint="eastAsia" w:ascii="宋体" w:hAnsi="宋体" w:cs="宋体"/>
          <w:b/>
          <w:color w:val="auto"/>
          <w:kern w:val="0"/>
          <w:sz w:val="24"/>
          <w:highlight w:val="none"/>
        </w:rPr>
        <w:t>。</w:t>
      </w:r>
      <w:r>
        <w:rPr>
          <w:rFonts w:hint="eastAsia" w:ascii="宋体" w:hAnsi="宋体" w:cs="宋体"/>
          <w:color w:val="auto"/>
          <w:kern w:val="0"/>
          <w:sz w:val="24"/>
          <w:highlight w:val="none"/>
        </w:rPr>
        <w:t>最低评标价法，是指投标文件满足招标文件全部实质性要求，且投标报价最低的投标人为中标候选人的评标方法。</w:t>
      </w:r>
    </w:p>
    <w:p w14:paraId="79C18672">
      <w:pPr>
        <w:adjustRightInd/>
        <w:spacing w:line="360" w:lineRule="auto"/>
        <w:outlineLvl w:val="1"/>
        <w:rPr>
          <w:rFonts w:ascii="宋体" w:hAnsi="宋体" w:cs="宋体"/>
          <w:color w:val="auto"/>
          <w:kern w:val="0"/>
          <w:sz w:val="24"/>
          <w:highlight w:val="none"/>
        </w:rPr>
      </w:pPr>
      <w:r>
        <w:rPr>
          <w:rFonts w:hint="eastAsia" w:ascii="宋体" w:hAnsi="宋体" w:cs="宋体"/>
          <w:b/>
          <w:color w:val="auto"/>
          <w:sz w:val="32"/>
          <w:highlight w:val="none"/>
        </w:rPr>
        <w:t>二、评标标准</w:t>
      </w:r>
    </w:p>
    <w:p w14:paraId="43EF8089">
      <w:pPr>
        <w:spacing w:line="360" w:lineRule="auto"/>
        <w:ind w:firstLine="472" w:firstLineChars="196"/>
        <w:rPr>
          <w:rFonts w:ascii="宋体" w:hAnsi="宋体" w:cs="宋体"/>
          <w:b/>
          <w:color w:val="auto"/>
          <w:sz w:val="24"/>
          <w:highlight w:val="none"/>
        </w:rPr>
      </w:pPr>
      <w:r>
        <w:rPr>
          <w:rFonts w:hint="eastAsia" w:ascii="宋体" w:hAnsi="宋体" w:cs="宋体"/>
          <w:b/>
          <w:color w:val="auto"/>
          <w:sz w:val="24"/>
          <w:highlight w:val="none"/>
        </w:rPr>
        <w:t>2.</w:t>
      </w:r>
      <w:r>
        <w:rPr>
          <w:rFonts w:hint="eastAsia" w:ascii="宋体" w:hAnsi="宋体" w:cs="宋体"/>
          <w:color w:val="auto"/>
          <w:highlight w:val="none"/>
        </w:rPr>
        <w:t xml:space="preserve"> </w:t>
      </w:r>
      <w:r>
        <w:rPr>
          <w:rFonts w:hint="eastAsia" w:ascii="宋体" w:hAnsi="宋体" w:cs="宋体"/>
          <w:b/>
          <w:color w:val="auto"/>
          <w:sz w:val="24"/>
          <w:highlight w:val="none"/>
        </w:rPr>
        <w:t>评标标准：</w:t>
      </w:r>
      <w:r>
        <w:rPr>
          <w:rFonts w:hint="eastAsia" w:ascii="宋体" w:hAnsi="宋体" w:cs="宋体"/>
          <w:color w:val="auto"/>
          <w:sz w:val="24"/>
          <w:highlight w:val="none"/>
        </w:rPr>
        <w:t>采用综合评分法的，评标标准</w:t>
      </w:r>
      <w:r>
        <w:rPr>
          <w:rFonts w:hint="eastAsia" w:ascii="宋体" w:hAnsi="宋体" w:cs="宋体"/>
          <w:color w:val="auto"/>
          <w:kern w:val="0"/>
          <w:sz w:val="24"/>
          <w:highlight w:val="none"/>
        </w:rPr>
        <w:t>见评标办法前附表。采用最低评标价法评标时，除了算术修正和落实政府采购政策需进行的价格扣除外，不能对投标人的投标价格进行任何调整。</w:t>
      </w:r>
    </w:p>
    <w:p w14:paraId="401C377B">
      <w:pPr>
        <w:spacing w:line="360" w:lineRule="auto"/>
        <w:outlineLvl w:val="1"/>
        <w:rPr>
          <w:rFonts w:ascii="宋体" w:hAnsi="宋体" w:cs="宋体"/>
          <w:b/>
          <w:color w:val="auto"/>
          <w:sz w:val="36"/>
          <w:szCs w:val="36"/>
          <w:highlight w:val="none"/>
        </w:rPr>
      </w:pPr>
      <w:r>
        <w:rPr>
          <w:rFonts w:hint="eastAsia" w:ascii="宋体" w:hAnsi="宋体" w:cs="宋体"/>
          <w:b/>
          <w:color w:val="auto"/>
          <w:sz w:val="36"/>
          <w:szCs w:val="36"/>
          <w:highlight w:val="none"/>
        </w:rPr>
        <w:t>三、评标程序</w:t>
      </w:r>
    </w:p>
    <w:p w14:paraId="3EA8D4C4">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3.1符合性审查。</w:t>
      </w:r>
      <w:r>
        <w:rPr>
          <w:rFonts w:hint="eastAsia" w:ascii="宋体" w:hAnsi="宋体" w:cs="宋体"/>
          <w:color w:val="auto"/>
          <w:kern w:val="0"/>
          <w:sz w:val="24"/>
          <w:highlight w:val="none"/>
        </w:rPr>
        <w:t>评标委员会应当对符合资格的投标人的投标文件进行符合性审查，以确定其是否满足招标文件的实质性要求。不满足招标文件的实质性要求的，投标无效。</w:t>
      </w:r>
    </w:p>
    <w:p w14:paraId="06FCED0C">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3.2 比较与评价。</w:t>
      </w:r>
      <w:r>
        <w:rPr>
          <w:rFonts w:hint="eastAsia" w:ascii="宋体" w:hAnsi="宋体" w:cs="宋体"/>
          <w:color w:val="auto"/>
          <w:kern w:val="0"/>
          <w:sz w:val="24"/>
          <w:highlight w:val="none"/>
        </w:rPr>
        <w:t>评标委员会应当按照招标文件中规定的评标方法和标准，对符合性审查合格的投标文件进行商务和技术评估，综合比较与评价。</w:t>
      </w:r>
    </w:p>
    <w:p w14:paraId="36D2F9B9">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3.3汇总商务技术得分。</w:t>
      </w:r>
      <w:r>
        <w:rPr>
          <w:rFonts w:hint="eastAsia" w:ascii="宋体" w:hAnsi="宋体" w:cs="宋体"/>
          <w:color w:val="auto"/>
          <w:kern w:val="0"/>
          <w:sz w:val="24"/>
          <w:highlight w:val="none"/>
        </w:rPr>
        <w:t>采用综合评分法时，评标委员会各成员应当独立对每个投标人的商务和技术文件进行评价，并汇总商务技术得分情况。</w:t>
      </w:r>
    </w:p>
    <w:p w14:paraId="07239649">
      <w:pPr>
        <w:spacing w:line="360" w:lineRule="auto"/>
        <w:ind w:firstLine="472" w:firstLineChars="196"/>
        <w:rPr>
          <w:rFonts w:ascii="宋体" w:hAnsi="宋体" w:cs="宋体"/>
          <w:b/>
          <w:color w:val="auto"/>
          <w:kern w:val="0"/>
          <w:sz w:val="24"/>
          <w:highlight w:val="none"/>
        </w:rPr>
      </w:pPr>
      <w:r>
        <w:rPr>
          <w:rFonts w:hint="eastAsia" w:ascii="宋体" w:hAnsi="宋体" w:cs="宋体"/>
          <w:b/>
          <w:color w:val="auto"/>
          <w:kern w:val="0"/>
          <w:sz w:val="24"/>
          <w:highlight w:val="none"/>
        </w:rPr>
        <w:t>3.4报价评审。</w:t>
      </w:r>
    </w:p>
    <w:p w14:paraId="3B4D38B1">
      <w:pPr>
        <w:pStyle w:val="129"/>
        <w:spacing w:before="0"/>
        <w:ind w:firstLine="508" w:firstLineChars="212"/>
        <w:rPr>
          <w:rFonts w:ascii="宋体" w:hAnsi="宋体" w:cs="宋体"/>
          <w:color w:val="auto"/>
          <w:kern w:val="0"/>
          <w:highlight w:val="none"/>
        </w:rPr>
      </w:pPr>
      <w:r>
        <w:rPr>
          <w:rFonts w:hint="eastAsia" w:ascii="宋体" w:hAnsi="宋体" w:cs="宋体"/>
          <w:color w:val="auto"/>
          <w:kern w:val="0"/>
          <w:highlight w:val="none"/>
        </w:rPr>
        <w:t>3.4.1投标文件报价出现前后不一致的，按照下列规定修正：</w:t>
      </w:r>
    </w:p>
    <w:p w14:paraId="61739DA7">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3.4.1.1投标文件中开标一览表(报价表)内容与投标文件中相应内容不一致的，以开标一览表(报价表)为准;</w:t>
      </w:r>
    </w:p>
    <w:p w14:paraId="65631908">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3.4.1.2大写金额和小写金额不一致的，以大写金额为准;</w:t>
      </w:r>
    </w:p>
    <w:p w14:paraId="16FCBDA6">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3.4.1.3单价金额小数点或者百分比有明显错位的，以开标一览表的总价为准，并修改单价;</w:t>
      </w:r>
    </w:p>
    <w:p w14:paraId="74B6C7A4">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3.4.1.4总价金额与按单价汇总金额不一致的，以单价金额计算结果为准。</w:t>
      </w:r>
    </w:p>
    <w:p w14:paraId="4A2240C7">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3.4.1.5同时出现两种以上不一致的，按照3.4.1规定的顺序修正。修正后的报价按照财政部第87号令 《政府采购货物和服务招标投标管理办法》第五十一条第二款的规定经投标人确认后产生约束力。</w:t>
      </w:r>
    </w:p>
    <w:p w14:paraId="7E5A3B81">
      <w:pPr>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3.4.2投标文件出现不是唯一的、有选择性投标报价的，投标无效。</w:t>
      </w:r>
    </w:p>
    <w:p w14:paraId="71CD42ED">
      <w:pPr>
        <w:snapToGrid w:val="0"/>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3.4.3投标报价超过招标文件中规定的预算金额或者最高限价的，投标无效。</w:t>
      </w:r>
    </w:p>
    <w:p w14:paraId="68475182">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3.4.4政府采购异常低价审查：</w:t>
      </w:r>
    </w:p>
    <w:p w14:paraId="675B5289">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3.4.4.1按照《关于推动解决政府采购异常低价问题的通知》（财库〔2026〕2号）有关规定，本项目评审中出现下列情形之一的，评标委员会应当启动异常低价投标审查程序：</w:t>
      </w:r>
    </w:p>
    <w:p w14:paraId="5DD1415E">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（1）投标报价低于全部通过符合性审查供应商投标报价平均值50%的，即投标报价&lt;全部通过符合性审查供应商投标报价平均值×50%；</w:t>
      </w:r>
    </w:p>
    <w:p w14:paraId="43AA5AC2">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（2）投标报价低于通过符合性审查的次低报价供应商投标报价50%的，即投标报价&lt;通过符合性审查的次低报价供应商投标报价×50%；</w:t>
      </w:r>
    </w:p>
    <w:p w14:paraId="1E74F62D">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（3）投标报价低于采购项目最高限价45%的，即投标报价&lt;采购项目最高限价×45%；</w:t>
      </w:r>
    </w:p>
    <w:p w14:paraId="6D28E5AB">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（4）评标委员会基于专业判断，认为供应商报价过低，有可能影响产品质量或者不能诚信履约的其他情形。</w:t>
      </w:r>
    </w:p>
    <w:p w14:paraId="2F73C3EA">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按照规定，采购人可以结合具体项目实际情况，提高上述第（1）项至第（3）项中启动异常低价投标审查的数值标准，但是最高不得超过65%，本项目采购人决定将上述（1）（2）（3）数值标准分别确定为</w:t>
      </w:r>
      <w:r>
        <w:rPr>
          <w:rFonts w:hint="eastAsia" w:ascii="宋体" w:hAnsi="宋体" w:cs="宋体"/>
          <w:color w:val="auto"/>
          <w:kern w:val="0"/>
          <w:szCs w:val="24"/>
          <w:highlight w:val="none"/>
          <w:u w:val="single"/>
        </w:rPr>
        <w:t>50%</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rPr>
        <w:t>50%</w:t>
      </w:r>
      <w:r>
        <w:rPr>
          <w:rFonts w:hint="eastAsia" w:ascii="宋体" w:hAnsi="宋体" w:cs="宋体"/>
          <w:color w:val="auto"/>
          <w:kern w:val="0"/>
          <w:szCs w:val="24"/>
          <w:highlight w:val="none"/>
        </w:rPr>
        <w:t>，</w:t>
      </w:r>
      <w:r>
        <w:rPr>
          <w:rFonts w:hint="eastAsia" w:ascii="宋体" w:hAnsi="宋体" w:cs="宋体"/>
          <w:color w:val="auto"/>
          <w:kern w:val="0"/>
          <w:szCs w:val="24"/>
          <w:highlight w:val="none"/>
          <w:u w:val="single"/>
        </w:rPr>
        <w:t>45%</w:t>
      </w:r>
      <w:r>
        <w:rPr>
          <w:rFonts w:hint="eastAsia" w:ascii="宋体" w:hAnsi="宋体" w:cs="宋体"/>
          <w:color w:val="auto"/>
          <w:kern w:val="0"/>
          <w:szCs w:val="24"/>
          <w:highlight w:val="none"/>
        </w:rPr>
        <w:t>。</w:t>
      </w:r>
      <w:r>
        <w:rPr>
          <w:rFonts w:hint="eastAsia" w:ascii="宋体" w:hAnsi="宋体" w:cs="宋体"/>
          <w:color w:val="auto"/>
          <w:kern w:val="0"/>
          <w:highlight w:val="none"/>
        </w:rPr>
        <w:t>采购项目未设定最高限价的，审查时取项目预算金额作为最高限价。</w:t>
      </w:r>
    </w:p>
    <w:p w14:paraId="2E069EF3">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3.4.4.2评标委员会启动异常低价投标审查后，属于前述第（1）项至第（4）项情形的，应当要求相关供应商在评审现场合理的时间内对投标价格作出解释，提供项目具体成本测算等与报价合理性相关的书面说明及必要的证明材料，包括但不限于原材料成本、人工成本、制造费用等，给予相关供应商的合理时间一般不少于30分钟。其中，属于第（3）项情形，供应商已随投标文件一并提交相关书面说明及必要的证明材料的，在评审现场可不再重复提交。</w:t>
      </w:r>
    </w:p>
    <w:p w14:paraId="6EDCF925">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审委员会应当将其作为无效投标处理。</w:t>
      </w:r>
    </w:p>
    <w:p w14:paraId="59E3DD68">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w:t>
      </w:r>
    </w:p>
    <w:p w14:paraId="397667E5">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异常低价投标审查的启动原因、审查意见和审查结果应当在评审报告中记录，并随供应商提供的相关书面说明及证明材料，以及评标委员会有关互联网浏览、查询历史一并归档。</w:t>
      </w:r>
    </w:p>
    <w:p w14:paraId="6DF20800">
      <w:pPr>
        <w:pStyle w:val="129"/>
        <w:spacing w:before="0"/>
        <w:ind w:firstLine="480"/>
        <w:rPr>
          <w:rFonts w:ascii="宋体" w:hAnsi="宋体" w:cs="宋体"/>
          <w:color w:val="auto"/>
          <w:kern w:val="0"/>
          <w:szCs w:val="24"/>
          <w:highlight w:val="none"/>
        </w:rPr>
      </w:pPr>
      <w:r>
        <w:rPr>
          <w:rFonts w:hint="eastAsia" w:ascii="宋体" w:hAnsi="宋体" w:cs="宋体"/>
          <w:color w:val="auto"/>
          <w:kern w:val="0"/>
          <w:szCs w:val="24"/>
          <w:highlight w:val="none"/>
        </w:rPr>
        <w:t>3.4.5对于未预留份额专门面向中小企业采购的政府采购项目，以及预留份额政府采购项目中的非预留部分标项，对小型和微型企业的投标报价给予</w:t>
      </w:r>
      <w:r>
        <w:rPr>
          <w:rFonts w:ascii="宋体" w:hAnsi="宋体" w:cs="宋体"/>
          <w:color w:val="auto"/>
          <w:kern w:val="0"/>
          <w:szCs w:val="24"/>
          <w:highlight w:val="none"/>
        </w:rPr>
        <w:t>20</w:t>
      </w:r>
      <w:r>
        <w:rPr>
          <w:rFonts w:hint="eastAsia" w:ascii="宋体" w:hAnsi="宋体" w:cs="宋体"/>
          <w:color w:val="auto"/>
          <w:kern w:val="0"/>
          <w:szCs w:val="24"/>
          <w:highlight w:val="none"/>
        </w:rPr>
        <w:t>%的扣除，用扣除后的价格参与评审。接受大中型企业与小微企业组成联合体或者允许大中型企业向一家或者多家小微企业分包的政府采购项目，对于联合协议或者分包意向协议约定小微企业的合同份额占到合同总金额30%以上的，对联合体或者大中型企业的报价给予</w:t>
      </w:r>
      <w:r>
        <w:rPr>
          <w:rFonts w:ascii="宋体" w:hAnsi="宋体" w:cs="宋体"/>
          <w:color w:val="auto"/>
          <w:kern w:val="0"/>
          <w:szCs w:val="24"/>
          <w:highlight w:val="none"/>
        </w:rPr>
        <w:t>6</w:t>
      </w:r>
      <w:r>
        <w:rPr>
          <w:rFonts w:hint="eastAsia" w:ascii="宋体" w:hAnsi="宋体" w:cs="宋体"/>
          <w:color w:val="auto"/>
          <w:kern w:val="0"/>
          <w:szCs w:val="24"/>
          <w:highlight w:val="none"/>
        </w:rPr>
        <w:t>%的扣除，用扣除后的价格参加评审。组成联合体或者接受分包的小微企业与联合体内其他企业、分包企业之间存在直接控股、管理关系的，不享受价格扣除优惠政策。对于专门面向中小企业采购的项目或者采购包，不再执行价格评审优惠的扶持政策。</w:t>
      </w:r>
    </w:p>
    <w:p w14:paraId="52B06780">
      <w:pPr>
        <w:spacing w:line="360" w:lineRule="auto"/>
        <w:ind w:firstLine="480" w:firstLineChars="200"/>
        <w:rPr>
          <w:rFonts w:ascii="宋体" w:hAnsi="宋体" w:cs="宋体"/>
          <w:color w:val="auto"/>
          <w:sz w:val="24"/>
          <w:highlight w:val="none"/>
        </w:rPr>
      </w:pPr>
      <w:bookmarkStart w:id="404" w:name="OLE_LINK9"/>
      <w:bookmarkStart w:id="405" w:name="OLE_LINK10"/>
      <w:r>
        <w:rPr>
          <w:rFonts w:hint="eastAsia" w:ascii="宋体" w:hAnsi="宋体" w:cs="宋体"/>
          <w:color w:val="auto"/>
          <w:kern w:val="0"/>
          <w:sz w:val="24"/>
          <w:highlight w:val="none"/>
        </w:rPr>
        <w:t>3.4.6</w:t>
      </w:r>
      <w:r>
        <w:rPr>
          <w:rFonts w:hint="eastAsia" w:ascii="宋体" w:hAnsi="宋体" w:cs="宋体"/>
          <w:color w:val="auto"/>
          <w:sz w:val="24"/>
          <w:highlight w:val="none"/>
        </w:rPr>
        <w:t>政府采购活动中既有本国产品又有非本国产品参与竞争的，依法对本国产品给予价格评审优惠，对本国产品的报价给予20%的价格扣除，用扣除后的价格参与评审。仅有本国产品参与竞争的，不执行本国产品价格扣除政策。</w:t>
      </w:r>
    </w:p>
    <w:p w14:paraId="1A6DC72F">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前述全部产品是指货物或服务采购项目或采购包中包含的全部货物、服务产品。</w:t>
      </w:r>
    </w:p>
    <w:p w14:paraId="3AE72BD1">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供应商拟享受该政策的，应当对其提供的产品出具《关于符合本国产品标准的声明函》或财政部会同有关部门规定的有关证明文件，否则视为非本国产品，不能享受本国产品价格扣除政策。当采购项目或者采购包中含有多种产品时，供应商拟享受该政策的，除了对其提供的产品出具《关于符合本国产品标准的声明函》或财政部会同有关部门规定的有关证明文件外，还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否则不能享受本国产品价格扣除政策。</w:t>
      </w:r>
    </w:p>
    <w:p w14:paraId="1FC6EBE6">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对于未预留份额专门面向中小企业采购的采购项目，以及预留份额项目中的非预留部分采购包，投标人提供的产品同时满足《国务院办公厅关于在政府采购中实施本国产品标准及相关政策的通知》（国办发〔2025〕34号）和《政府采购促进中小企业发展管理办法》（财库〔2020〕46号）有关规定的，叠加享受本国产品价格扣除和小微企业产品价格扣除政策。</w:t>
      </w:r>
    </w:p>
    <w:bookmarkEnd w:id="404"/>
    <w:bookmarkEnd w:id="405"/>
    <w:p w14:paraId="319D26AA">
      <w:pPr>
        <w:spacing w:line="360" w:lineRule="auto"/>
        <w:ind w:firstLine="482" w:firstLineChars="200"/>
        <w:rPr>
          <w:rFonts w:ascii="宋体" w:hAnsi="宋体" w:cs="宋体"/>
          <w:b/>
          <w:color w:val="auto"/>
          <w:kern w:val="0"/>
          <w:sz w:val="24"/>
          <w:highlight w:val="none"/>
        </w:rPr>
      </w:pPr>
      <w:r>
        <w:rPr>
          <w:rFonts w:hint="eastAsia" w:ascii="宋体" w:hAnsi="宋体" w:cs="宋体"/>
          <w:b/>
          <w:color w:val="auto"/>
          <w:kern w:val="0"/>
          <w:sz w:val="24"/>
          <w:highlight w:val="none"/>
        </w:rPr>
        <w:t>3.5排序与推荐。</w:t>
      </w:r>
    </w:p>
    <w:p w14:paraId="0EB90AE7">
      <w:pPr>
        <w:spacing w:line="360" w:lineRule="auto"/>
        <w:ind w:firstLine="482" w:firstLineChars="200"/>
        <w:rPr>
          <w:rFonts w:ascii="宋体" w:hAnsi="宋体" w:cs="宋体"/>
          <w:color w:val="auto"/>
          <w:kern w:val="0"/>
          <w:sz w:val="24"/>
          <w:highlight w:val="none"/>
        </w:rPr>
      </w:pPr>
      <w:r>
        <w:rPr>
          <w:rFonts w:hint="eastAsia" w:ascii="宋体" w:hAnsi="宋体" w:cs="宋体"/>
          <w:b/>
          <w:color w:val="auto"/>
          <w:kern w:val="0"/>
          <w:sz w:val="24"/>
          <w:highlight w:val="none"/>
        </w:rPr>
        <w:t>3.5.1</w:t>
      </w:r>
      <w:r>
        <w:rPr>
          <w:rFonts w:hint="eastAsia" w:ascii="宋体" w:hAnsi="宋体" w:cs="宋体"/>
          <w:color w:val="auto"/>
          <w:kern w:val="0"/>
          <w:sz w:val="24"/>
          <w:highlight w:val="none"/>
        </w:rPr>
        <w:t>采用综合评分法的，评标结果按评审后得分由高到低顺序排列。得分相同的，按投标报价由低到高顺序排列。得分相同且投标报价相同的，按技术指标优劣顺序排列。投标文件满足招标文件全部实质性要求，且按照评审因素的量化指标评审得分最高的投标人为排名第一的中标候选人。</w:t>
      </w:r>
    </w:p>
    <w:p w14:paraId="04CDEF24">
      <w:pPr>
        <w:pStyle w:val="83"/>
        <w:rPr>
          <w:rFonts w:cs="宋体"/>
          <w:color w:val="auto"/>
          <w:highlight w:val="none"/>
        </w:rPr>
      </w:pPr>
      <w:r>
        <w:rPr>
          <w:rFonts w:hint="eastAsia" w:cs="宋体"/>
          <w:color w:val="auto"/>
          <w:highlight w:val="none"/>
        </w:rPr>
        <w:t>3.5.2采用最低评标价法的，评标结果按投标报价由低到高顺序排列。评标价相同时，由评标委员会根据投标文件中技术、服务、合同条款及其它实质性要求等情况，按照择优选择的原则，集体讨论确定排序，并按确定排序由优到劣的原则推荐中标候选人。投标文件满足招标文件全部实质性要求且投标报价最低的投标人为排名第一的中标候选人。</w:t>
      </w:r>
    </w:p>
    <w:p w14:paraId="73A57956">
      <w:pPr>
        <w:spacing w:line="360" w:lineRule="auto"/>
        <w:ind w:firstLine="472" w:firstLineChars="196"/>
        <w:rPr>
          <w:rFonts w:ascii="宋体" w:hAnsi="宋体" w:cs="宋体"/>
          <w:color w:val="auto"/>
          <w:kern w:val="0"/>
          <w:sz w:val="24"/>
          <w:highlight w:val="none"/>
        </w:rPr>
      </w:pPr>
      <w:r>
        <w:rPr>
          <w:rFonts w:hint="eastAsia" w:ascii="宋体" w:hAnsi="宋体" w:cs="宋体"/>
          <w:b/>
          <w:color w:val="auto"/>
          <w:kern w:val="0"/>
          <w:sz w:val="24"/>
          <w:highlight w:val="none"/>
        </w:rPr>
        <w:t>3.6编写评标报告。</w:t>
      </w:r>
      <w:r>
        <w:rPr>
          <w:rFonts w:hint="eastAsia" w:ascii="宋体" w:hAnsi="宋体" w:cs="宋体"/>
          <w:color w:val="auto"/>
          <w:kern w:val="0"/>
          <w:sz w:val="24"/>
          <w:highlight w:val="none"/>
        </w:rPr>
        <w:t>评标委员会根据全体评标成员签字的原始评标记录和评标结果编写评标报告。评标委员会成员对需要共同认定的事项存在争议的，应当按照少数服从多数的原则作出结论。持不同意见的评标委员会成员应当在评标报告上签署不同意见及理由，否则视为同意评标报告。</w:t>
      </w:r>
    </w:p>
    <w:p w14:paraId="5E595E4F">
      <w:pPr>
        <w:widowControl/>
        <w:shd w:val="clear" w:color="auto" w:fill="FFFFFF"/>
        <w:adjustRightInd/>
        <w:spacing w:after="225" w:line="315" w:lineRule="atLeast"/>
        <w:jc w:val="left"/>
        <w:outlineLvl w:val="1"/>
        <w:rPr>
          <w:rFonts w:ascii="宋体" w:hAnsi="宋体" w:cs="宋体"/>
          <w:b/>
          <w:color w:val="auto"/>
          <w:sz w:val="32"/>
          <w:highlight w:val="none"/>
        </w:rPr>
      </w:pPr>
      <w:r>
        <w:rPr>
          <w:rFonts w:hint="eastAsia" w:ascii="宋体" w:hAnsi="宋体" w:cs="宋体"/>
          <w:b/>
          <w:color w:val="auto"/>
          <w:sz w:val="32"/>
          <w:highlight w:val="none"/>
        </w:rPr>
        <w:t>四、评标中的其他事项</w:t>
      </w:r>
    </w:p>
    <w:p w14:paraId="18A3BEF6">
      <w:pPr>
        <w:pStyle w:val="129"/>
        <w:spacing w:before="0"/>
        <w:ind w:firstLine="472" w:firstLineChars="196"/>
        <w:rPr>
          <w:rFonts w:ascii="宋体" w:hAnsi="宋体" w:cs="宋体"/>
          <w:color w:val="auto"/>
          <w:kern w:val="0"/>
          <w:szCs w:val="24"/>
          <w:highlight w:val="none"/>
        </w:rPr>
      </w:pPr>
      <w:r>
        <w:rPr>
          <w:rFonts w:hint="eastAsia" w:ascii="宋体" w:hAnsi="宋体" w:cs="宋体"/>
          <w:b/>
          <w:color w:val="auto"/>
          <w:kern w:val="0"/>
          <w:szCs w:val="24"/>
          <w:highlight w:val="none"/>
        </w:rPr>
        <w:t>4.1投标人澄清、说明或者补正。</w:t>
      </w:r>
      <w:r>
        <w:rPr>
          <w:rFonts w:hint="eastAsia" w:ascii="宋体" w:hAnsi="宋体" w:cs="宋体"/>
          <w:color w:val="auto"/>
          <w:kern w:val="0"/>
          <w:szCs w:val="24"/>
          <w:highlight w:val="none"/>
        </w:rPr>
        <w:t>对于投标文件中含义不明确、同类问题表述不一致或者有明显文字和计算错误的内容需要投标人作出必要的澄清、说明或者补正的，评标委员会和投标人通过电子交易平台交换数据电文，投标人提交使用电子签名的相关数据电文或通过平台上传加盖公章的扫描件。给予投标人提交澄清、说明或补正的时间不得少于半小时，投标人已经明确表示澄清说明或补正完毕的除外。投标人的澄清、说明或者补正不得超出投标文件的范围或者改变投标文件的实质性内容。</w:t>
      </w:r>
    </w:p>
    <w:p w14:paraId="386BF1D9">
      <w:pPr>
        <w:pStyle w:val="26"/>
        <w:spacing w:line="360" w:lineRule="auto"/>
        <w:ind w:left="954" w:leftChars="226" w:hanging="479" w:firstLineChars="0"/>
        <w:rPr>
          <w:rFonts w:cs="宋体"/>
          <w:color w:val="auto"/>
          <w:szCs w:val="21"/>
          <w:highlight w:val="none"/>
        </w:rPr>
      </w:pPr>
      <w:r>
        <w:rPr>
          <w:rFonts w:hint="eastAsia" w:cs="宋体"/>
          <w:b/>
          <w:color w:val="auto"/>
          <w:kern w:val="0"/>
          <w:highlight w:val="none"/>
        </w:rPr>
        <w:t>4.2投标无效。</w:t>
      </w:r>
      <w:r>
        <w:rPr>
          <w:rFonts w:hint="eastAsia" w:cs="宋体"/>
          <w:color w:val="auto"/>
          <w:szCs w:val="21"/>
          <w:highlight w:val="none"/>
        </w:rPr>
        <w:t>有下列情形之一的，投标无效：</w:t>
      </w:r>
    </w:p>
    <w:p w14:paraId="0D3FE264">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4.2.1投标人不具备招标文件中规定的资格要求的（投标人未提供有效的资格文件的，视为投标人不具备招标文件中规定的资格要求）；</w:t>
      </w:r>
    </w:p>
    <w:p w14:paraId="34034C5C">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4.2.2投标文件未按照招标文件要求签署、盖章的；</w:t>
      </w:r>
    </w:p>
    <w:p w14:paraId="5C0B65B1">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4.2.3采购人拟采购的产品属于政府强制采购的节能产品品目清单范围的，投标人相应的投标产品未获得国家确定的认证机构出具的、处于有效期之内的节能产品认证证书的；</w:t>
      </w:r>
    </w:p>
    <w:p w14:paraId="5524D008">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4.2.4投标文件含有采购人不能接受的附加条件的；</w:t>
      </w:r>
    </w:p>
    <w:p w14:paraId="18E8FB7A">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4.2.5投标文件中承诺的投标有效期少于招标文件中载明的投标有效期的；</w:t>
      </w:r>
    </w:p>
    <w:p w14:paraId="0A8D38AA">
      <w:pPr>
        <w:snapToGrid w:val="0"/>
        <w:spacing w:line="360" w:lineRule="auto"/>
        <w:ind w:firstLine="120" w:firstLineChars="50"/>
        <w:jc w:val="left"/>
        <w:rPr>
          <w:rFonts w:ascii="宋体" w:hAnsi="宋体" w:cs="宋体"/>
          <w:color w:val="auto"/>
          <w:kern w:val="0"/>
          <w:sz w:val="24"/>
          <w:highlight w:val="none"/>
        </w:rPr>
      </w:pPr>
      <w:r>
        <w:rPr>
          <w:rFonts w:hint="eastAsia" w:ascii="宋体" w:hAnsi="宋体" w:cs="宋体"/>
          <w:color w:val="auto"/>
          <w:kern w:val="0"/>
          <w:sz w:val="24"/>
          <w:highlight w:val="none"/>
        </w:rPr>
        <w:t xml:space="preserve">   4.2.6投标文件出现不是唯一的、有选择性投标报价的;</w:t>
      </w:r>
    </w:p>
    <w:p w14:paraId="6AC2C7C7">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4.2.7投标报价超过招标文件中规定的预算金额或者最高限价的;</w:t>
      </w:r>
    </w:p>
    <w:p w14:paraId="730B95B1">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4.2.8投标报价属于招标文件规定的政府采购异常低价情形之一，且投标人不能提供书面说明、证明材料，或者提供的书面说明、证明材料不能证明其报价合理性的</w:t>
      </w:r>
      <w:r>
        <w:rPr>
          <w:rFonts w:hint="eastAsia" w:ascii="宋体" w:hAnsi="宋体" w:cs="宋体"/>
          <w:color w:val="auto"/>
          <w:sz w:val="24"/>
          <w:szCs w:val="21"/>
          <w:highlight w:val="none"/>
        </w:rPr>
        <w:t>;</w:t>
      </w:r>
    </w:p>
    <w:p w14:paraId="6F061180">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4.2.9投标人对根据修正原则修正后的报价不确认的；</w:t>
      </w:r>
    </w:p>
    <w:p w14:paraId="3B6D528B">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4.2.10投标人提供虚假材料投标的；</w:t>
      </w:r>
    </w:p>
    <w:p w14:paraId="00B41C8E">
      <w:pPr>
        <w:spacing w:line="360" w:lineRule="auto"/>
        <w:ind w:firstLine="240" w:firstLineChars="100"/>
        <w:rPr>
          <w:rFonts w:ascii="宋体" w:hAnsi="宋体" w:cs="宋体"/>
          <w:color w:val="auto"/>
          <w:kern w:val="0"/>
          <w:sz w:val="24"/>
          <w:highlight w:val="none"/>
        </w:rPr>
      </w:pPr>
      <w:r>
        <w:rPr>
          <w:rFonts w:hint="eastAsia" w:ascii="宋体" w:hAnsi="宋体" w:cs="宋体"/>
          <w:color w:val="auto"/>
          <w:kern w:val="0"/>
          <w:sz w:val="24"/>
          <w:highlight w:val="none"/>
        </w:rPr>
        <w:t xml:space="preserve">  4.2.11投标人有恶意串通、妨碍其他投标人的竞争行为、损害采购人或者其他投标人的合法权益情形的；</w:t>
      </w:r>
    </w:p>
    <w:p w14:paraId="5DAB1FBC">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4.2.12投标人仅提交备份投标文件，未在电子交易平台传输递交投标文件的，投标无效；</w:t>
      </w:r>
    </w:p>
    <w:p w14:paraId="08BABE56">
      <w:pPr>
        <w:pStyle w:val="83"/>
        <w:rPr>
          <w:b/>
          <w:bCs/>
          <w:color w:val="auto"/>
          <w:highlight w:val="none"/>
        </w:rPr>
      </w:pPr>
      <w:r>
        <w:rPr>
          <w:rFonts w:hint="eastAsia"/>
          <w:color w:val="auto"/>
          <w:highlight w:val="none"/>
        </w:rPr>
        <w:t>4.2.13 投标文件不满足招标文件的其它实质性要求的；</w:t>
      </w:r>
    </w:p>
    <w:p w14:paraId="3E410311">
      <w:pPr>
        <w:pStyle w:val="83"/>
        <w:rPr>
          <w:rFonts w:cs="宋体"/>
          <w:color w:val="auto"/>
          <w:highlight w:val="none"/>
        </w:rPr>
      </w:pPr>
      <w:r>
        <w:rPr>
          <w:rFonts w:hint="eastAsia"/>
          <w:color w:val="auto"/>
          <w:highlight w:val="none"/>
        </w:rPr>
        <w:t>4.2.14</w:t>
      </w:r>
      <w:r>
        <w:rPr>
          <w:rFonts w:hint="eastAsia" w:cs="宋体"/>
          <w:color w:val="auto"/>
          <w:highlight w:val="none"/>
        </w:rPr>
        <w:t>投标人存在下列情形之一且无法合理解释的：（1</w:t>
      </w:r>
      <w:r>
        <w:rPr>
          <w:rFonts w:cs="宋体"/>
          <w:color w:val="auto"/>
          <w:highlight w:val="none"/>
        </w:rPr>
        <w:t>）</w:t>
      </w:r>
      <w:r>
        <w:rPr>
          <w:rFonts w:hint="eastAsia" w:cs="宋体"/>
          <w:color w:val="auto"/>
          <w:highlight w:val="none"/>
        </w:rPr>
        <w:t>不同投标人的电子投标文件上传计算机的网卡MAC 地址或硬盘序列号等硬件信息相同的；（2）上传的电子投标文件若出现使用本项目其他投标人的数字证书加密的，或者加盖本项目其他投标人的电子印章的；（3）不同投标人的投标文件的内容存在3 处（含）以上错误一致的；（4）不同投标人联系人为同一人或不同联系人的联系电话一致的。</w:t>
      </w:r>
    </w:p>
    <w:p w14:paraId="72502110">
      <w:pPr>
        <w:spacing w:line="360" w:lineRule="auto"/>
        <w:ind w:firstLine="480" w:firstLineChars="200"/>
        <w:rPr>
          <w:rFonts w:ascii="宋体" w:hAnsi="宋体" w:cs="宋体"/>
          <w:color w:val="auto"/>
          <w:kern w:val="0"/>
          <w:sz w:val="24"/>
          <w:highlight w:val="none"/>
        </w:rPr>
      </w:pPr>
      <w:r>
        <w:rPr>
          <w:rFonts w:hint="eastAsia" w:ascii="宋体" w:hAnsi="宋体" w:cs="宋体"/>
          <w:color w:val="auto"/>
          <w:kern w:val="0"/>
          <w:sz w:val="24"/>
          <w:highlight w:val="none"/>
        </w:rPr>
        <w:t>4.2.15法律、法规、规章（适用本市的）及省级以上规范性文件（适用本市的）规定的其他无效情形。</w:t>
      </w:r>
    </w:p>
    <w:p w14:paraId="58F53835">
      <w:pPr>
        <w:pStyle w:val="26"/>
        <w:snapToGrid w:val="0"/>
        <w:spacing w:line="360" w:lineRule="auto"/>
        <w:ind w:firstLine="472" w:firstLineChars="196"/>
        <w:rPr>
          <w:rFonts w:cs="宋体"/>
          <w:color w:val="auto"/>
          <w:highlight w:val="none"/>
        </w:rPr>
      </w:pPr>
      <w:r>
        <w:rPr>
          <w:rFonts w:hint="eastAsia" w:cs="宋体"/>
          <w:b/>
          <w:color w:val="auto"/>
          <w:highlight w:val="none"/>
        </w:rPr>
        <w:t>5.废标。</w:t>
      </w:r>
      <w:r>
        <w:rPr>
          <w:rFonts w:hint="eastAsia" w:cs="宋体"/>
          <w:color w:val="auto"/>
          <w:highlight w:val="none"/>
        </w:rPr>
        <w:t>根据《中华人民共和国政府采购法》第三十六条之规定，在采购中，出现下列情形之一的，应予废标：</w:t>
      </w:r>
    </w:p>
    <w:p w14:paraId="0B4598A5">
      <w:pPr>
        <w:pStyle w:val="26"/>
        <w:snapToGrid w:val="0"/>
        <w:spacing w:line="360" w:lineRule="auto"/>
        <w:rPr>
          <w:rFonts w:cs="宋体"/>
          <w:color w:val="auto"/>
          <w:highlight w:val="none"/>
        </w:rPr>
      </w:pPr>
      <w:r>
        <w:rPr>
          <w:rFonts w:hint="eastAsia" w:cs="宋体"/>
          <w:color w:val="auto"/>
          <w:highlight w:val="none"/>
        </w:rPr>
        <w:t>5.1符合专业条件的供应商或者对招标文件作实质响应的供应商不足3家的；</w:t>
      </w:r>
    </w:p>
    <w:p w14:paraId="283709FC">
      <w:pPr>
        <w:pStyle w:val="26"/>
        <w:snapToGrid w:val="0"/>
        <w:spacing w:line="360" w:lineRule="auto"/>
        <w:rPr>
          <w:rFonts w:cs="宋体"/>
          <w:color w:val="auto"/>
          <w:highlight w:val="none"/>
        </w:rPr>
      </w:pPr>
      <w:r>
        <w:rPr>
          <w:rFonts w:hint="eastAsia" w:cs="宋体"/>
          <w:color w:val="auto"/>
          <w:highlight w:val="none"/>
        </w:rPr>
        <w:t>5.2出现影响采购公正的违法、违规行为的；</w:t>
      </w:r>
    </w:p>
    <w:p w14:paraId="2D7F5EE0">
      <w:pPr>
        <w:pStyle w:val="26"/>
        <w:snapToGrid w:val="0"/>
        <w:spacing w:line="360" w:lineRule="auto"/>
        <w:rPr>
          <w:rFonts w:cs="宋体"/>
          <w:color w:val="auto"/>
          <w:highlight w:val="none"/>
        </w:rPr>
      </w:pPr>
      <w:r>
        <w:rPr>
          <w:rFonts w:hint="eastAsia" w:cs="宋体"/>
          <w:color w:val="auto"/>
          <w:highlight w:val="none"/>
        </w:rPr>
        <w:t>5.3投标人的报价均超过了采购预算，采购人不能支付的；</w:t>
      </w:r>
    </w:p>
    <w:p w14:paraId="00ECC82F">
      <w:pPr>
        <w:pStyle w:val="26"/>
        <w:snapToGrid w:val="0"/>
        <w:spacing w:line="360" w:lineRule="auto"/>
        <w:rPr>
          <w:rFonts w:cs="宋体"/>
          <w:color w:val="auto"/>
          <w:highlight w:val="none"/>
        </w:rPr>
      </w:pPr>
      <w:r>
        <w:rPr>
          <w:rFonts w:hint="eastAsia" w:cs="宋体"/>
          <w:color w:val="auto"/>
          <w:highlight w:val="none"/>
        </w:rPr>
        <w:t>5.4因重大变故，采购任务取消的。</w:t>
      </w:r>
    </w:p>
    <w:p w14:paraId="277F542B">
      <w:pPr>
        <w:pStyle w:val="26"/>
        <w:snapToGrid w:val="0"/>
        <w:spacing w:line="360" w:lineRule="auto"/>
        <w:rPr>
          <w:rFonts w:cs="宋体"/>
          <w:color w:val="auto"/>
          <w:highlight w:val="none"/>
        </w:rPr>
      </w:pPr>
      <w:r>
        <w:rPr>
          <w:rFonts w:hint="eastAsia" w:cs="宋体"/>
          <w:color w:val="auto"/>
          <w:highlight w:val="none"/>
        </w:rPr>
        <w:t>废标后，采购代理机构应当将废标理由通知所有投标人。</w:t>
      </w:r>
    </w:p>
    <w:p w14:paraId="63886968">
      <w:pPr>
        <w:pStyle w:val="26"/>
        <w:snapToGrid w:val="0"/>
        <w:spacing w:line="360" w:lineRule="auto"/>
        <w:ind w:firstLine="590" w:firstLineChars="245"/>
        <w:rPr>
          <w:rFonts w:cs="宋体"/>
          <w:color w:val="auto"/>
          <w:highlight w:val="none"/>
        </w:rPr>
      </w:pPr>
      <w:r>
        <w:rPr>
          <w:rFonts w:hint="eastAsia" w:cs="宋体"/>
          <w:b/>
          <w:color w:val="auto"/>
          <w:highlight w:val="none"/>
        </w:rPr>
        <w:t>6.修改招标文件，重新组织采购活动。</w:t>
      </w:r>
      <w:r>
        <w:rPr>
          <w:rFonts w:hint="eastAsia" w:cs="宋体"/>
          <w:color w:val="auto"/>
          <w:highlight w:val="none"/>
        </w:rPr>
        <w:t>评标委员会发现招标文件存在歧义、重大缺陷导致评标工作无法进行，或者招标文件内容违反国家有关强制性规定的，将停止评标工作，并与采购人、采购代理机构沟通并作书面记录。采购人、采购代理机构确认后，将修改招标文件，重新组织采购活动。</w:t>
      </w:r>
    </w:p>
    <w:p w14:paraId="75B35043">
      <w:pPr>
        <w:pStyle w:val="26"/>
        <w:snapToGrid w:val="0"/>
        <w:spacing w:line="360" w:lineRule="auto"/>
        <w:ind w:firstLine="482"/>
        <w:rPr>
          <w:rFonts w:cs="宋体"/>
          <w:color w:val="auto"/>
          <w:highlight w:val="none"/>
        </w:rPr>
      </w:pPr>
      <w:r>
        <w:rPr>
          <w:rFonts w:hint="eastAsia" w:cs="宋体"/>
          <w:b/>
          <w:color w:val="auto"/>
          <w:kern w:val="0"/>
          <w:highlight w:val="none"/>
        </w:rPr>
        <w:t>7.重新开展采购。</w:t>
      </w:r>
      <w:r>
        <w:rPr>
          <w:rFonts w:hint="eastAsia" w:cs="宋体"/>
          <w:color w:val="auto"/>
          <w:highlight w:val="none"/>
        </w:rPr>
        <w:t>有政府采购法第七十一条、第七十二条规定的违法行为之一，影响或者可能影响中标结果的，依照下列规定处理：</w:t>
      </w:r>
    </w:p>
    <w:p w14:paraId="01084319">
      <w:pPr>
        <w:pStyle w:val="26"/>
        <w:snapToGrid w:val="0"/>
        <w:spacing w:line="360" w:lineRule="auto"/>
        <w:rPr>
          <w:rFonts w:cs="宋体"/>
          <w:color w:val="auto"/>
          <w:highlight w:val="none"/>
        </w:rPr>
      </w:pPr>
      <w:r>
        <w:rPr>
          <w:rFonts w:hint="eastAsia" w:cs="宋体"/>
          <w:color w:val="auto"/>
          <w:highlight w:val="none"/>
        </w:rPr>
        <w:t>7.1未确定中标供应商的，终止本次政府采购活动，重新开展政府采购活动。</w:t>
      </w:r>
    </w:p>
    <w:p w14:paraId="473E34DB">
      <w:pPr>
        <w:pStyle w:val="26"/>
        <w:snapToGrid w:val="0"/>
        <w:spacing w:line="360" w:lineRule="auto"/>
        <w:rPr>
          <w:rFonts w:cs="宋体"/>
          <w:color w:val="auto"/>
          <w:highlight w:val="none"/>
        </w:rPr>
      </w:pPr>
      <w:r>
        <w:rPr>
          <w:rFonts w:hint="eastAsia" w:cs="宋体"/>
          <w:color w:val="auto"/>
          <w:highlight w:val="none"/>
        </w:rPr>
        <w:t>7.2已确定中标供应商但尚未签订政府采购合同的，中标结果无效，从合格的中标候选人中另行确定中标供应商；没有合格的中标候选人的，重新开展政府采购活动。</w:t>
      </w:r>
    </w:p>
    <w:p w14:paraId="04EA86CC">
      <w:pPr>
        <w:pStyle w:val="26"/>
        <w:snapToGrid w:val="0"/>
        <w:spacing w:line="360" w:lineRule="auto"/>
        <w:rPr>
          <w:rFonts w:cs="宋体"/>
          <w:color w:val="auto"/>
          <w:highlight w:val="none"/>
        </w:rPr>
      </w:pPr>
      <w:r>
        <w:rPr>
          <w:rFonts w:hint="eastAsia" w:cs="宋体"/>
          <w:color w:val="auto"/>
          <w:highlight w:val="none"/>
        </w:rPr>
        <w:t>7.3政府采购合同已签订但尚未履行的，撤销合同，从合格的中标候选人中另行确定中标供应商；没有合格的中标候选人的，重新开展政府采购活动。</w:t>
      </w:r>
    </w:p>
    <w:p w14:paraId="5FE22560">
      <w:pPr>
        <w:pStyle w:val="26"/>
        <w:snapToGrid w:val="0"/>
        <w:spacing w:line="360" w:lineRule="auto"/>
        <w:rPr>
          <w:rFonts w:cs="宋体"/>
          <w:color w:val="auto"/>
          <w:highlight w:val="none"/>
        </w:rPr>
      </w:pPr>
      <w:r>
        <w:rPr>
          <w:rFonts w:hint="eastAsia" w:cs="宋体"/>
          <w:color w:val="auto"/>
          <w:highlight w:val="none"/>
        </w:rPr>
        <w:t>7.4政府采购合同已经履行，给采购人、供应商造成损失的，由责任人承担赔偿责任。</w:t>
      </w:r>
    </w:p>
    <w:p w14:paraId="257D018B">
      <w:pPr>
        <w:pStyle w:val="26"/>
        <w:snapToGrid w:val="0"/>
        <w:spacing w:line="360" w:lineRule="auto"/>
        <w:rPr>
          <w:rFonts w:cs="宋体"/>
          <w:color w:val="auto"/>
          <w:highlight w:val="none"/>
        </w:rPr>
      </w:pPr>
      <w:r>
        <w:rPr>
          <w:rFonts w:hint="eastAsia" w:cs="宋体"/>
          <w:color w:val="auto"/>
          <w:highlight w:val="none"/>
        </w:rPr>
        <w:t>7.5政府采购当事人有其他违反政府采购法或者政府采购法实施条例等法律法规规定的行为，经改正后仍然影响或者可能影响中标结果或者依法被认定为中标无效的，依照7.1-7.4规定处理。</w:t>
      </w:r>
    </w:p>
    <w:p w14:paraId="32CD95E4">
      <w:pPr>
        <w:pStyle w:val="83"/>
        <w:ind w:firstLine="0"/>
        <w:rPr>
          <w:b/>
          <w:color w:val="auto"/>
          <w:sz w:val="32"/>
          <w:szCs w:val="32"/>
          <w:highlight w:val="none"/>
        </w:rPr>
      </w:pPr>
      <w:r>
        <w:rPr>
          <w:rFonts w:hint="eastAsia"/>
          <w:b/>
          <w:color w:val="auto"/>
          <w:sz w:val="32"/>
          <w:szCs w:val="32"/>
          <w:highlight w:val="none"/>
        </w:rPr>
        <w:t>五、评审过程的保密与录像</w:t>
      </w:r>
    </w:p>
    <w:p w14:paraId="267E3CD6">
      <w:pPr>
        <w:widowControl/>
        <w:spacing w:line="360" w:lineRule="auto"/>
        <w:ind w:firstLine="482" w:firstLineChars="200"/>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b/>
          <w:color w:val="auto"/>
          <w:sz w:val="24"/>
          <w:highlight w:val="none"/>
        </w:rPr>
        <w:t>8.1.保密。</w:t>
      </w:r>
      <w:r>
        <w:rPr>
          <w:rFonts w:hint="eastAsia" w:cs="仿宋_GB2312" w:asciiTheme="minorEastAsia" w:hAnsiTheme="minorEastAsia" w:eastAsiaTheme="minorEastAsia"/>
          <w:color w:val="auto"/>
          <w:sz w:val="24"/>
          <w:highlight w:val="none"/>
        </w:rPr>
        <w:t>评审活动在严格保密的情况下进行。评审过程中凡是与投标文件评审和比较、中标供应商推荐等评审有关的情况，以及涉及国家秘密和商业秘密等信息，评标委员会成员、采购人和采购代理机构工作人员、相关监督人员等与评审有关的人员应当予以保密。</w:t>
      </w:r>
    </w:p>
    <w:p w14:paraId="5F2B10F8">
      <w:pPr>
        <w:pStyle w:val="26"/>
        <w:snapToGrid w:val="0"/>
        <w:spacing w:line="360" w:lineRule="auto"/>
        <w:ind w:firstLine="482"/>
        <w:rPr>
          <w:rFonts w:cs="宋体"/>
          <w:color w:val="auto"/>
          <w:highlight w:val="none"/>
        </w:rPr>
      </w:pPr>
      <w:r>
        <w:rPr>
          <w:rFonts w:hint="eastAsia" w:cs="仿宋_GB2312" w:asciiTheme="minorEastAsia" w:hAnsiTheme="minorEastAsia" w:eastAsiaTheme="minorEastAsia"/>
          <w:b/>
          <w:color w:val="auto"/>
          <w:highlight w:val="none"/>
        </w:rPr>
        <w:t>8.2.录音录像。</w:t>
      </w:r>
      <w:r>
        <w:rPr>
          <w:rFonts w:hint="eastAsia" w:cs="仿宋_GB2312" w:asciiTheme="minorEastAsia" w:hAnsiTheme="minorEastAsia" w:eastAsiaTheme="minorEastAsia"/>
          <w:color w:val="auto"/>
          <w:highlight w:val="none"/>
        </w:rPr>
        <w:t>采购代理机构对评审工作现场进行全过程录音录像，录音录像资料作为采购项目文件随其他文件一并存档。</w:t>
      </w:r>
    </w:p>
    <w:p w14:paraId="0818A280">
      <w:pPr>
        <w:pStyle w:val="26"/>
        <w:snapToGrid w:val="0"/>
        <w:spacing w:line="360" w:lineRule="auto"/>
        <w:ind w:firstLine="0" w:firstLineChars="0"/>
        <w:rPr>
          <w:rFonts w:cs="宋体"/>
          <w:color w:val="auto"/>
          <w:highlight w:val="none"/>
        </w:rPr>
      </w:pPr>
    </w:p>
    <w:bookmarkEnd w:id="36"/>
    <w:p w14:paraId="25653076">
      <w:pPr>
        <w:spacing w:line="360" w:lineRule="auto"/>
        <w:ind w:left="720" w:leftChars="343" w:firstLine="1084" w:firstLineChars="300"/>
        <w:outlineLvl w:val="0"/>
        <w:rPr>
          <w:rFonts w:hint="eastAsia" w:ascii="宋体" w:hAnsi="宋体" w:cs="宋体"/>
          <w:b/>
          <w:color w:val="auto"/>
          <w:sz w:val="36"/>
          <w:szCs w:val="36"/>
          <w:highlight w:val="none"/>
        </w:rPr>
      </w:pPr>
      <w:bookmarkStart w:id="406" w:name="_Toc176368906"/>
      <w:bookmarkStart w:id="407" w:name="第五部分"/>
      <w:bookmarkStart w:id="408" w:name="_Toc86217003"/>
    </w:p>
    <w:p w14:paraId="34C0A9D1">
      <w:pPr>
        <w:spacing w:line="360" w:lineRule="auto"/>
        <w:ind w:left="720" w:leftChars="343" w:firstLine="1084" w:firstLineChars="300"/>
        <w:outlineLvl w:val="0"/>
        <w:rPr>
          <w:rFonts w:ascii="宋体" w:hAnsi="宋体" w:cs="宋体"/>
          <w:b/>
          <w:color w:val="auto"/>
          <w:sz w:val="36"/>
          <w:szCs w:val="36"/>
          <w:highlight w:val="none"/>
        </w:rPr>
      </w:pPr>
      <w:r>
        <w:rPr>
          <w:rFonts w:hint="eastAsia" w:ascii="宋体" w:hAnsi="宋体" w:cs="宋体"/>
          <w:b/>
          <w:color w:val="auto"/>
          <w:sz w:val="36"/>
          <w:szCs w:val="36"/>
          <w:highlight w:val="none"/>
        </w:rPr>
        <w:t>第五部分 拟签订的合同文本</w:t>
      </w:r>
      <w:bookmarkEnd w:id="406"/>
    </w:p>
    <w:p w14:paraId="33303ED6">
      <w:pPr>
        <w:spacing w:line="480" w:lineRule="auto"/>
        <w:jc w:val="center"/>
        <w:rPr>
          <w:rFonts w:ascii="宋体" w:hAnsi="宋体" w:cs="宋体"/>
          <w:b/>
          <w:color w:val="auto"/>
          <w:sz w:val="28"/>
          <w:szCs w:val="28"/>
          <w:highlight w:val="none"/>
        </w:rPr>
      </w:pPr>
    </w:p>
    <w:p w14:paraId="5DC9891A">
      <w:pPr>
        <w:spacing w:line="480" w:lineRule="auto"/>
        <w:jc w:val="center"/>
        <w:rPr>
          <w:rFonts w:ascii="宋体" w:hAnsi="宋体" w:cs="宋体"/>
          <w:b/>
          <w:color w:val="auto"/>
          <w:sz w:val="24"/>
          <w:highlight w:val="none"/>
        </w:rPr>
      </w:pPr>
    </w:p>
    <w:p w14:paraId="13918252">
      <w:pPr>
        <w:spacing w:line="480" w:lineRule="auto"/>
        <w:jc w:val="center"/>
        <w:rPr>
          <w:rFonts w:ascii="宋体" w:hAnsi="宋体" w:cs="宋体"/>
          <w:b/>
          <w:color w:val="auto"/>
          <w:sz w:val="24"/>
          <w:highlight w:val="none"/>
        </w:rPr>
      </w:pPr>
    </w:p>
    <w:p w14:paraId="56B27B4B">
      <w:pPr>
        <w:jc w:val="center"/>
        <w:rPr>
          <w:rFonts w:ascii="宋体" w:hAnsi="宋体"/>
          <w:b/>
          <w:color w:val="000000"/>
          <w:sz w:val="52"/>
          <w:szCs w:val="52"/>
          <w:highlight w:val="none"/>
        </w:rPr>
      </w:pPr>
      <w:r>
        <w:rPr>
          <w:rFonts w:hint="eastAsia" w:ascii="宋体" w:hAnsi="宋体"/>
          <w:b/>
          <w:color w:val="000000"/>
          <w:sz w:val="52"/>
          <w:szCs w:val="52"/>
          <w:highlight w:val="none"/>
        </w:rPr>
        <w:t>北海市政府采购合同</w:t>
      </w:r>
    </w:p>
    <w:p w14:paraId="6D497EA8">
      <w:pPr>
        <w:rPr>
          <w:rFonts w:ascii="宋体" w:hAnsi="宋体"/>
          <w:color w:val="000000"/>
          <w:szCs w:val="20"/>
          <w:highlight w:val="none"/>
        </w:rPr>
      </w:pPr>
    </w:p>
    <w:p w14:paraId="3F2981C0">
      <w:pPr>
        <w:rPr>
          <w:rFonts w:ascii="宋体" w:hAnsi="宋体"/>
          <w:color w:val="000000"/>
          <w:szCs w:val="20"/>
          <w:highlight w:val="none"/>
        </w:rPr>
      </w:pPr>
    </w:p>
    <w:p w14:paraId="1DF5B52F">
      <w:pPr>
        <w:rPr>
          <w:rFonts w:ascii="宋体" w:hAnsi="宋体"/>
          <w:color w:val="000000"/>
          <w:szCs w:val="20"/>
          <w:highlight w:val="none"/>
        </w:rPr>
      </w:pPr>
    </w:p>
    <w:p w14:paraId="4DE3BCD1">
      <w:pPr>
        <w:rPr>
          <w:rFonts w:ascii="宋体" w:hAnsi="宋体"/>
          <w:color w:val="000000"/>
          <w:szCs w:val="20"/>
          <w:highlight w:val="none"/>
        </w:rPr>
      </w:pPr>
    </w:p>
    <w:p w14:paraId="4F73A8FF">
      <w:pPr>
        <w:ind w:firstLine="1606" w:firstLineChars="500"/>
        <w:rPr>
          <w:rFonts w:ascii="宋体" w:hAnsi="宋体"/>
          <w:b/>
          <w:color w:val="000000"/>
          <w:sz w:val="32"/>
          <w:szCs w:val="32"/>
          <w:highlight w:val="none"/>
          <w:u w:val="single"/>
        </w:rPr>
      </w:pPr>
      <w:r>
        <w:rPr>
          <w:rFonts w:hint="eastAsia" w:ascii="宋体" w:hAnsi="宋体"/>
          <w:b/>
          <w:color w:val="000000"/>
          <w:sz w:val="32"/>
          <w:szCs w:val="32"/>
          <w:highlight w:val="none"/>
        </w:rPr>
        <w:t>合同名称：</w:t>
      </w:r>
      <w:r>
        <w:rPr>
          <w:rFonts w:ascii="宋体" w:hAnsi="宋体"/>
          <w:b/>
          <w:color w:val="000000"/>
          <w:sz w:val="32"/>
          <w:szCs w:val="32"/>
          <w:highlight w:val="none"/>
          <w:u w:val="single"/>
        </w:rPr>
        <w:t xml:space="preserve">                            </w:t>
      </w:r>
    </w:p>
    <w:p w14:paraId="4097F1E3">
      <w:pPr>
        <w:ind w:firstLine="1606" w:firstLineChars="500"/>
        <w:rPr>
          <w:rFonts w:ascii="宋体" w:hAnsi="宋体"/>
          <w:b/>
          <w:color w:val="000000"/>
          <w:sz w:val="32"/>
          <w:szCs w:val="32"/>
          <w:highlight w:val="none"/>
          <w:u w:val="single"/>
        </w:rPr>
      </w:pPr>
      <w:r>
        <w:rPr>
          <w:rFonts w:hint="eastAsia" w:ascii="宋体" w:hAnsi="宋体"/>
          <w:b/>
          <w:color w:val="000000"/>
          <w:sz w:val="32"/>
          <w:szCs w:val="32"/>
          <w:highlight w:val="none"/>
        </w:rPr>
        <w:t>合同编号：</w:t>
      </w:r>
      <w:r>
        <w:rPr>
          <w:rFonts w:hint="eastAsia" w:ascii="宋体" w:hAnsi="宋体"/>
          <w:b/>
          <w:sz w:val="32"/>
          <w:szCs w:val="32"/>
          <w:highlight w:val="none"/>
          <w:u w:val="single"/>
        </w:rPr>
        <w:t xml:space="preserve">                            </w:t>
      </w:r>
    </w:p>
    <w:p w14:paraId="10B3FBFB">
      <w:pPr>
        <w:jc w:val="center"/>
        <w:rPr>
          <w:rFonts w:ascii="宋体" w:hAnsi="宋体"/>
          <w:color w:val="000000"/>
          <w:szCs w:val="20"/>
          <w:highlight w:val="none"/>
        </w:rPr>
      </w:pPr>
    </w:p>
    <w:p w14:paraId="2A575CF9">
      <w:pPr>
        <w:jc w:val="center"/>
        <w:rPr>
          <w:rFonts w:ascii="宋体" w:hAnsi="宋体"/>
          <w:color w:val="000000"/>
          <w:szCs w:val="20"/>
          <w:highlight w:val="none"/>
        </w:rPr>
      </w:pPr>
    </w:p>
    <w:p w14:paraId="73D49A18">
      <w:pPr>
        <w:jc w:val="center"/>
        <w:rPr>
          <w:rFonts w:ascii="宋体" w:hAnsi="宋体"/>
          <w:color w:val="000000"/>
          <w:szCs w:val="20"/>
          <w:highlight w:val="none"/>
        </w:rPr>
      </w:pPr>
    </w:p>
    <w:p w14:paraId="2A991627">
      <w:pPr>
        <w:spacing w:line="340" w:lineRule="exact"/>
        <w:ind w:firstLine="1590" w:firstLineChars="495"/>
        <w:rPr>
          <w:rFonts w:ascii="宋体" w:hAnsi="宋体"/>
          <w:b/>
          <w:color w:val="000000"/>
          <w:sz w:val="32"/>
          <w:szCs w:val="32"/>
          <w:highlight w:val="none"/>
          <w:u w:val="single"/>
        </w:rPr>
      </w:pPr>
      <w:r>
        <w:rPr>
          <w:rFonts w:hint="eastAsia" w:ascii="宋体" w:hAnsi="宋体"/>
          <w:b/>
          <w:color w:val="000000"/>
          <w:sz w:val="32"/>
          <w:szCs w:val="32"/>
          <w:highlight w:val="none"/>
        </w:rPr>
        <w:t>采购人（甲方）：</w:t>
      </w:r>
      <w:r>
        <w:rPr>
          <w:rFonts w:hint="eastAsia" w:ascii="宋体" w:hAnsi="宋体"/>
          <w:b/>
          <w:color w:val="000000"/>
          <w:sz w:val="32"/>
          <w:szCs w:val="32"/>
          <w:highlight w:val="none"/>
          <w:u w:val="single"/>
        </w:rPr>
        <w:t>北海市教育局</w:t>
      </w:r>
    </w:p>
    <w:p w14:paraId="537CEFAD">
      <w:pPr>
        <w:spacing w:line="340" w:lineRule="exact"/>
        <w:ind w:firstLine="1590" w:firstLineChars="495"/>
        <w:rPr>
          <w:rFonts w:ascii="宋体" w:hAnsi="宋体"/>
          <w:b/>
          <w:color w:val="000000"/>
          <w:sz w:val="32"/>
          <w:szCs w:val="32"/>
          <w:highlight w:val="none"/>
        </w:rPr>
      </w:pPr>
    </w:p>
    <w:p w14:paraId="39EBFBE5">
      <w:pPr>
        <w:spacing w:line="360" w:lineRule="auto"/>
        <w:ind w:left="3965" w:leftChars="741" w:hanging="2409" w:hangingChars="750"/>
        <w:rPr>
          <w:rFonts w:ascii="宋体" w:hAnsi="宋体"/>
          <w:b/>
          <w:color w:val="000000"/>
          <w:sz w:val="32"/>
          <w:szCs w:val="32"/>
          <w:highlight w:val="none"/>
          <w:u w:val="single"/>
        </w:rPr>
      </w:pPr>
      <w:r>
        <w:rPr>
          <w:rFonts w:hint="eastAsia" w:ascii="宋体" w:hAnsi="宋体"/>
          <w:b/>
          <w:color w:val="000000"/>
          <w:sz w:val="32"/>
          <w:szCs w:val="32"/>
          <w:highlight w:val="none"/>
        </w:rPr>
        <w:t>供应商（乙方）：</w:t>
      </w:r>
      <w:r>
        <w:rPr>
          <w:rFonts w:hint="eastAsia" w:ascii="宋体" w:hAnsi="宋体"/>
          <w:b/>
          <w:color w:val="000000"/>
          <w:sz w:val="32"/>
          <w:szCs w:val="32"/>
          <w:highlight w:val="none"/>
          <w:u w:val="single"/>
        </w:rPr>
        <w:t xml:space="preserve">                       </w:t>
      </w:r>
    </w:p>
    <w:p w14:paraId="1D324008">
      <w:pPr>
        <w:spacing w:before="312" w:beforeLines="100" w:line="360" w:lineRule="auto"/>
        <w:ind w:left="3965" w:leftChars="741" w:hanging="2409" w:hangingChars="750"/>
        <w:jc w:val="left"/>
        <w:rPr>
          <w:rFonts w:ascii="宋体" w:hAnsi="宋体"/>
          <w:b/>
          <w:color w:val="000000"/>
          <w:sz w:val="32"/>
          <w:szCs w:val="32"/>
          <w:highlight w:val="none"/>
          <w:u w:val="single"/>
        </w:rPr>
      </w:pPr>
      <w:r>
        <w:rPr>
          <w:rFonts w:hint="eastAsia" w:ascii="宋体" w:hAnsi="宋体"/>
          <w:b/>
          <w:color w:val="000000"/>
          <w:sz w:val="32"/>
          <w:szCs w:val="32"/>
          <w:highlight w:val="none"/>
        </w:rPr>
        <w:t>使用方（丙方）：</w:t>
      </w:r>
      <w:r>
        <w:rPr>
          <w:rFonts w:hint="eastAsia" w:ascii="宋体" w:hAnsi="宋体"/>
          <w:b/>
          <w:color w:val="000000"/>
          <w:sz w:val="32"/>
          <w:szCs w:val="32"/>
          <w:highlight w:val="none"/>
          <w:u w:val="single"/>
        </w:rPr>
        <w:t xml:space="preserve">                       </w:t>
      </w:r>
    </w:p>
    <w:p w14:paraId="597E46AA">
      <w:pPr>
        <w:jc w:val="center"/>
        <w:rPr>
          <w:rFonts w:ascii="宋体" w:hAnsi="宋体"/>
          <w:color w:val="000000"/>
          <w:szCs w:val="20"/>
          <w:highlight w:val="none"/>
        </w:rPr>
      </w:pPr>
    </w:p>
    <w:p w14:paraId="5ED0BFA2">
      <w:pPr>
        <w:jc w:val="center"/>
        <w:rPr>
          <w:rFonts w:ascii="宋体" w:hAnsi="宋体"/>
          <w:color w:val="000000"/>
          <w:szCs w:val="20"/>
          <w:highlight w:val="none"/>
        </w:rPr>
      </w:pPr>
    </w:p>
    <w:p w14:paraId="05501FBB">
      <w:pPr>
        <w:jc w:val="center"/>
        <w:rPr>
          <w:rFonts w:ascii="宋体" w:hAnsi="宋体"/>
          <w:color w:val="000000"/>
          <w:szCs w:val="20"/>
          <w:highlight w:val="none"/>
        </w:rPr>
      </w:pPr>
    </w:p>
    <w:p w14:paraId="6AD0BEE5">
      <w:pPr>
        <w:ind w:firstLine="1590" w:firstLineChars="495"/>
        <w:rPr>
          <w:rFonts w:ascii="宋体" w:hAnsi="宋体"/>
          <w:b/>
          <w:color w:val="000000"/>
          <w:sz w:val="32"/>
          <w:szCs w:val="32"/>
          <w:highlight w:val="none"/>
          <w:u w:val="single"/>
        </w:rPr>
      </w:pPr>
      <w:r>
        <w:rPr>
          <w:rFonts w:hint="eastAsia" w:ascii="宋体" w:hAnsi="宋体"/>
          <w:b/>
          <w:color w:val="000000"/>
          <w:sz w:val="32"/>
          <w:szCs w:val="32"/>
          <w:highlight w:val="none"/>
        </w:rPr>
        <w:t>签订合同地点：</w:t>
      </w:r>
      <w:r>
        <w:rPr>
          <w:rFonts w:hint="eastAsia" w:ascii="宋体" w:hAnsi="宋体"/>
          <w:b/>
          <w:color w:val="000000"/>
          <w:sz w:val="32"/>
          <w:szCs w:val="32"/>
          <w:highlight w:val="none"/>
          <w:u w:val="single"/>
        </w:rPr>
        <w:t xml:space="preserve">   </w:t>
      </w:r>
      <w:r>
        <w:rPr>
          <w:rFonts w:hint="eastAsia" w:ascii="宋体" w:hAnsi="宋体"/>
          <w:bCs/>
          <w:color w:val="000000"/>
          <w:sz w:val="32"/>
          <w:szCs w:val="32"/>
          <w:highlight w:val="none"/>
          <w:u w:val="single"/>
        </w:rPr>
        <w:t xml:space="preserve">北海市教育局  </w:t>
      </w:r>
      <w:r>
        <w:rPr>
          <w:rFonts w:hint="eastAsia" w:ascii="宋体" w:hAnsi="宋体"/>
          <w:b/>
          <w:color w:val="000000"/>
          <w:sz w:val="32"/>
          <w:szCs w:val="32"/>
          <w:highlight w:val="none"/>
          <w:u w:val="single"/>
        </w:rPr>
        <w:t xml:space="preserve">  </w:t>
      </w:r>
    </w:p>
    <w:p w14:paraId="2D329304">
      <w:pPr>
        <w:ind w:firstLine="1590" w:firstLineChars="495"/>
        <w:rPr>
          <w:rFonts w:ascii="宋体" w:hAnsi="宋体"/>
          <w:b/>
          <w:color w:val="000000"/>
          <w:sz w:val="32"/>
          <w:szCs w:val="32"/>
          <w:highlight w:val="none"/>
        </w:rPr>
      </w:pPr>
      <w:r>
        <w:rPr>
          <w:rFonts w:hint="eastAsia" w:ascii="宋体" w:hAnsi="宋体"/>
          <w:b/>
          <w:color w:val="000000"/>
          <w:sz w:val="32"/>
          <w:szCs w:val="32"/>
          <w:highlight w:val="none"/>
        </w:rPr>
        <w:t>签订合同时间：</w:t>
      </w:r>
      <w:r>
        <w:rPr>
          <w:rFonts w:hint="eastAsia" w:ascii="宋体" w:hAnsi="宋体"/>
          <w:b/>
          <w:color w:val="000000"/>
          <w:sz w:val="32"/>
          <w:szCs w:val="32"/>
          <w:highlight w:val="none"/>
          <w:u w:val="single"/>
        </w:rPr>
        <w:t xml:space="preserve">    </w:t>
      </w:r>
      <w:r>
        <w:rPr>
          <w:rFonts w:hint="eastAsia" w:ascii="宋体" w:hAnsi="宋体"/>
          <w:bCs/>
          <w:color w:val="000000"/>
          <w:sz w:val="32"/>
          <w:szCs w:val="32"/>
          <w:highlight w:val="none"/>
          <w:u w:val="single"/>
        </w:rPr>
        <w:t xml:space="preserve">年  月  日    </w:t>
      </w:r>
      <w:r>
        <w:rPr>
          <w:rFonts w:hint="eastAsia" w:ascii="宋体" w:hAnsi="宋体"/>
          <w:b/>
          <w:color w:val="000000"/>
          <w:sz w:val="32"/>
          <w:szCs w:val="32"/>
          <w:highlight w:val="none"/>
          <w:u w:val="single"/>
        </w:rPr>
        <w:t xml:space="preserve"> </w:t>
      </w:r>
    </w:p>
    <w:p w14:paraId="0594ACF8">
      <w:pPr>
        <w:jc w:val="center"/>
        <w:rPr>
          <w:rFonts w:ascii="宋体" w:hAnsi="宋体"/>
          <w:color w:val="000000"/>
          <w:szCs w:val="20"/>
          <w:highlight w:val="none"/>
        </w:rPr>
      </w:pPr>
      <w:r>
        <w:rPr>
          <w:rFonts w:hint="eastAsia" w:ascii="宋体" w:hAnsi="宋体"/>
          <w:color w:val="000000"/>
          <w:szCs w:val="20"/>
          <w:highlight w:val="none"/>
        </w:rPr>
        <w:t xml:space="preserve"> </w:t>
      </w:r>
    </w:p>
    <w:p w14:paraId="4F035180">
      <w:pPr>
        <w:jc w:val="center"/>
        <w:rPr>
          <w:rFonts w:ascii="宋体" w:hAnsi="宋体"/>
          <w:color w:val="000000"/>
          <w:szCs w:val="20"/>
          <w:highlight w:val="none"/>
        </w:rPr>
      </w:pPr>
    </w:p>
    <w:p w14:paraId="2CAE9A5B">
      <w:pPr>
        <w:jc w:val="center"/>
        <w:rPr>
          <w:rFonts w:ascii="宋体" w:hAnsi="宋体"/>
          <w:color w:val="000000"/>
          <w:szCs w:val="20"/>
          <w:highlight w:val="none"/>
        </w:rPr>
      </w:pPr>
    </w:p>
    <w:p w14:paraId="31A88E54">
      <w:pPr>
        <w:jc w:val="center"/>
        <w:rPr>
          <w:rFonts w:ascii="宋体" w:hAnsi="宋体"/>
          <w:color w:val="000000"/>
          <w:szCs w:val="20"/>
          <w:highlight w:val="none"/>
        </w:rPr>
      </w:pPr>
    </w:p>
    <w:p w14:paraId="40FC6A0A">
      <w:pPr>
        <w:jc w:val="center"/>
        <w:rPr>
          <w:rFonts w:ascii="宋体" w:hAnsi="宋体"/>
          <w:color w:val="000000"/>
          <w:szCs w:val="20"/>
          <w:highlight w:val="none"/>
        </w:rPr>
      </w:pPr>
    </w:p>
    <w:p w14:paraId="6C8ECDE5">
      <w:pPr>
        <w:jc w:val="center"/>
        <w:rPr>
          <w:rFonts w:ascii="宋体" w:hAnsi="宋体"/>
          <w:color w:val="000000"/>
          <w:szCs w:val="20"/>
          <w:highlight w:val="none"/>
        </w:rPr>
      </w:pPr>
    </w:p>
    <w:p w14:paraId="4821079E">
      <w:pPr>
        <w:jc w:val="center"/>
        <w:rPr>
          <w:rFonts w:ascii="宋体" w:hAnsi="宋体"/>
          <w:color w:val="000000"/>
          <w:szCs w:val="20"/>
          <w:highlight w:val="none"/>
        </w:rPr>
      </w:pPr>
    </w:p>
    <w:p w14:paraId="2730A7AA">
      <w:pPr>
        <w:jc w:val="center"/>
        <w:rPr>
          <w:rFonts w:ascii="宋体" w:hAnsi="宋体"/>
          <w:color w:val="000000"/>
          <w:szCs w:val="20"/>
          <w:highlight w:val="none"/>
        </w:rPr>
      </w:pPr>
    </w:p>
    <w:p w14:paraId="3FC923EC">
      <w:pPr>
        <w:spacing w:line="300" w:lineRule="auto"/>
        <w:ind w:left="420" w:hanging="420"/>
        <w:jc w:val="center"/>
        <w:rPr>
          <w:rFonts w:ascii="黑体" w:hAnsi="宋体" w:eastAsia="黑体"/>
          <w:b/>
          <w:color w:val="000000"/>
          <w:kern w:val="0"/>
          <w:sz w:val="32"/>
          <w:szCs w:val="32"/>
          <w:highlight w:val="none"/>
        </w:rPr>
      </w:pPr>
    </w:p>
    <w:p w14:paraId="354EF278">
      <w:pPr>
        <w:spacing w:line="300" w:lineRule="auto"/>
        <w:ind w:left="420" w:hanging="420"/>
        <w:jc w:val="center"/>
        <w:rPr>
          <w:rFonts w:ascii="黑体" w:hAnsi="宋体" w:eastAsia="黑体"/>
          <w:b/>
          <w:color w:val="000000"/>
          <w:kern w:val="0"/>
          <w:sz w:val="32"/>
          <w:szCs w:val="32"/>
          <w:highlight w:val="none"/>
        </w:rPr>
      </w:pPr>
    </w:p>
    <w:p w14:paraId="37B766A2">
      <w:pPr>
        <w:spacing w:line="300" w:lineRule="auto"/>
        <w:ind w:left="420" w:hanging="420"/>
        <w:jc w:val="center"/>
        <w:rPr>
          <w:rFonts w:ascii="黑体" w:hAnsi="宋体" w:eastAsia="黑体"/>
          <w:b/>
          <w:color w:val="000000"/>
          <w:kern w:val="0"/>
          <w:sz w:val="32"/>
          <w:szCs w:val="32"/>
          <w:highlight w:val="none"/>
        </w:rPr>
      </w:pPr>
      <w:r>
        <w:rPr>
          <w:rFonts w:hint="eastAsia" w:ascii="黑体" w:hAnsi="宋体" w:eastAsia="黑体"/>
          <w:b/>
          <w:color w:val="000000"/>
          <w:kern w:val="0"/>
          <w:sz w:val="32"/>
          <w:szCs w:val="32"/>
          <w:highlight w:val="none"/>
        </w:rPr>
        <w:t>采购合同文本</w:t>
      </w:r>
    </w:p>
    <w:p w14:paraId="591E0282">
      <w:pPr>
        <w:snapToGrid w:val="0"/>
        <w:spacing w:line="400" w:lineRule="exact"/>
        <w:jc w:val="center"/>
        <w:rPr>
          <w:rFonts w:ascii="宋体" w:hAnsi="宋体"/>
          <w:b/>
          <w:bCs/>
          <w:color w:val="000000"/>
          <w:szCs w:val="21"/>
          <w:highlight w:val="none"/>
        </w:rPr>
      </w:pPr>
      <w:r>
        <w:rPr>
          <w:rFonts w:hint="eastAsia" w:ascii="宋体" w:hAnsi="宋体"/>
          <w:b/>
          <w:bCs/>
          <w:color w:val="000000"/>
          <w:szCs w:val="21"/>
          <w:highlight w:val="none"/>
        </w:rPr>
        <w:t>北海市政府采购合同</w:t>
      </w:r>
    </w:p>
    <w:p w14:paraId="0D176D34">
      <w:pPr>
        <w:snapToGrid w:val="0"/>
        <w:spacing w:line="400" w:lineRule="exact"/>
        <w:jc w:val="center"/>
        <w:rPr>
          <w:rFonts w:ascii="宋体" w:hAnsi="宋体"/>
          <w:b/>
          <w:bCs/>
          <w:color w:val="000000"/>
          <w:szCs w:val="21"/>
          <w:highlight w:val="none"/>
        </w:rPr>
      </w:pPr>
    </w:p>
    <w:p w14:paraId="3D083644">
      <w:pPr>
        <w:snapToGrid w:val="0"/>
        <w:spacing w:line="420" w:lineRule="exact"/>
        <w:ind w:right="480"/>
        <w:rPr>
          <w:rFonts w:ascii="宋体" w:hAnsi="宋体"/>
          <w:bCs/>
          <w:color w:val="000000"/>
          <w:szCs w:val="21"/>
          <w:highlight w:val="none"/>
        </w:rPr>
      </w:pPr>
      <w:r>
        <w:rPr>
          <w:rFonts w:hint="eastAsia" w:ascii="宋体" w:hAnsi="宋体"/>
          <w:bCs/>
          <w:color w:val="000000"/>
          <w:szCs w:val="21"/>
          <w:highlight w:val="none"/>
        </w:rPr>
        <w:t>合同编号：</w:t>
      </w:r>
    </w:p>
    <w:p w14:paraId="02B1F09C">
      <w:pPr>
        <w:snapToGrid w:val="0"/>
        <w:spacing w:line="440" w:lineRule="exact"/>
        <w:rPr>
          <w:rFonts w:ascii="宋体" w:hAnsi="宋体"/>
          <w:bCs/>
          <w:color w:val="000000"/>
          <w:szCs w:val="21"/>
          <w:highlight w:val="none"/>
        </w:rPr>
      </w:pPr>
      <w:r>
        <w:rPr>
          <w:rFonts w:hint="eastAsia" w:ascii="宋体" w:hAnsi="宋体"/>
          <w:color w:val="000000"/>
          <w:szCs w:val="21"/>
          <w:highlight w:val="none"/>
        </w:rPr>
        <w:t>采购人（甲方）：</w:t>
      </w:r>
      <w:r>
        <w:rPr>
          <w:rFonts w:hint="eastAsia" w:ascii="宋体" w:hAnsi="宋体"/>
          <w:color w:val="000000"/>
          <w:szCs w:val="21"/>
          <w:highlight w:val="none"/>
          <w:u w:val="single"/>
        </w:rPr>
        <w:t>北海市教育局</w:t>
      </w:r>
      <w:r>
        <w:rPr>
          <w:rFonts w:hint="eastAsia" w:ascii="宋体" w:hAnsi="宋体"/>
          <w:color w:val="000000"/>
          <w:szCs w:val="21"/>
          <w:highlight w:val="none"/>
        </w:rPr>
        <w:t xml:space="preserve">   </w:t>
      </w:r>
      <w:r>
        <w:rPr>
          <w:rFonts w:hint="eastAsia" w:ascii="宋体" w:hAnsi="宋体"/>
          <w:color w:val="000000"/>
          <w:spacing w:val="-20"/>
          <w:szCs w:val="21"/>
          <w:highlight w:val="none"/>
        </w:rPr>
        <w:t>采 购 计 划 号</w:t>
      </w:r>
      <w:r>
        <w:rPr>
          <w:rFonts w:hint="eastAsia" w:ascii="宋体" w:hAnsi="宋体"/>
          <w:color w:val="000000"/>
          <w:szCs w:val="21"/>
          <w:highlight w:val="none"/>
        </w:rPr>
        <w:t xml:space="preserve">：  </w:t>
      </w:r>
      <w:r>
        <w:rPr>
          <w:rFonts w:hint="eastAsia" w:ascii="宋体" w:hAnsi="宋体"/>
          <w:color w:val="000000"/>
          <w:szCs w:val="21"/>
          <w:highlight w:val="none"/>
          <w:u w:val="single"/>
        </w:rPr>
        <w:t xml:space="preserve">                          </w:t>
      </w:r>
      <w:r>
        <w:rPr>
          <w:rFonts w:hint="eastAsia" w:ascii="宋体" w:hAnsi="宋体"/>
          <w:color w:val="000000"/>
          <w:szCs w:val="21"/>
          <w:highlight w:val="none"/>
        </w:rPr>
        <w:t xml:space="preserve"> </w:t>
      </w:r>
    </w:p>
    <w:p w14:paraId="4A6B8FF6">
      <w:pPr>
        <w:snapToGrid w:val="0"/>
        <w:spacing w:line="440" w:lineRule="exact"/>
        <w:rPr>
          <w:rFonts w:ascii="宋体" w:hAnsi="宋体"/>
          <w:color w:val="000000"/>
          <w:szCs w:val="21"/>
          <w:highlight w:val="none"/>
          <w:u w:val="single"/>
        </w:rPr>
      </w:pPr>
      <w:r>
        <w:rPr>
          <w:rFonts w:hint="eastAsia" w:ascii="宋体" w:hAnsi="宋体"/>
          <w:color w:val="000000"/>
          <w:szCs w:val="21"/>
          <w:highlight w:val="none"/>
        </w:rPr>
        <w:t>供应商（乙方）：</w:t>
      </w:r>
      <w:r>
        <w:rPr>
          <w:rFonts w:hint="eastAsia" w:ascii="宋体" w:hAnsi="宋体"/>
          <w:color w:val="000000"/>
          <w:szCs w:val="21"/>
          <w:highlight w:val="none"/>
          <w:u w:val="single"/>
        </w:rPr>
        <w:t xml:space="preserve">                        </w:t>
      </w:r>
    </w:p>
    <w:p w14:paraId="04DB03C0">
      <w:pPr>
        <w:spacing w:line="440" w:lineRule="exact"/>
        <w:rPr>
          <w:rFonts w:ascii="宋体" w:hAnsi="宋体"/>
          <w:color w:val="000000"/>
          <w:szCs w:val="21"/>
          <w:highlight w:val="none"/>
          <w:u w:val="single"/>
        </w:rPr>
      </w:pPr>
      <w:r>
        <w:rPr>
          <w:rFonts w:hint="eastAsia" w:ascii="宋体" w:hAnsi="宋体"/>
          <w:color w:val="000000"/>
          <w:szCs w:val="21"/>
          <w:highlight w:val="none"/>
        </w:rPr>
        <w:t>使用方（丙方）：</w:t>
      </w:r>
      <w:r>
        <w:rPr>
          <w:rFonts w:hint="eastAsia" w:ascii="宋体" w:hAnsi="宋体"/>
          <w:color w:val="000000"/>
          <w:szCs w:val="21"/>
          <w:highlight w:val="none"/>
          <w:u w:val="single"/>
        </w:rPr>
        <w:t xml:space="preserve">                        </w:t>
      </w:r>
    </w:p>
    <w:p w14:paraId="3AA94BA0">
      <w:pPr>
        <w:snapToGrid w:val="0"/>
        <w:spacing w:line="440" w:lineRule="exact"/>
        <w:rPr>
          <w:rFonts w:ascii="宋体" w:hAnsi="宋体"/>
          <w:color w:val="000000"/>
          <w:szCs w:val="21"/>
          <w:highlight w:val="none"/>
        </w:rPr>
      </w:pPr>
      <w:r>
        <w:rPr>
          <w:rFonts w:hint="eastAsia" w:ascii="宋体" w:hAnsi="宋体"/>
          <w:color w:val="000000"/>
          <w:szCs w:val="21"/>
          <w:highlight w:val="none"/>
        </w:rPr>
        <w:t>项目名称：</w:t>
      </w:r>
      <w:r>
        <w:rPr>
          <w:rFonts w:hint="eastAsia" w:ascii="宋体" w:hAnsi="宋体"/>
          <w:b/>
          <w:color w:val="000000"/>
          <w:sz w:val="32"/>
          <w:szCs w:val="32"/>
          <w:highlight w:val="none"/>
          <w:u w:val="single"/>
        </w:rPr>
        <w:t xml:space="preserve">              </w:t>
      </w:r>
      <w:r>
        <w:rPr>
          <w:rFonts w:hint="eastAsia" w:ascii="宋体" w:hAnsi="宋体"/>
          <w:color w:val="000000"/>
          <w:szCs w:val="21"/>
          <w:highlight w:val="none"/>
        </w:rPr>
        <w:t>(项目编号：   )</w:t>
      </w:r>
    </w:p>
    <w:p w14:paraId="6BA99779">
      <w:pPr>
        <w:snapToGrid w:val="0"/>
        <w:spacing w:line="440" w:lineRule="exact"/>
        <w:rPr>
          <w:rFonts w:ascii="宋体" w:hAnsi="宋体"/>
          <w:color w:val="000000"/>
          <w:szCs w:val="21"/>
          <w:highlight w:val="none"/>
          <w:u w:val="single"/>
        </w:rPr>
      </w:pPr>
      <w:r>
        <w:rPr>
          <w:rFonts w:hint="eastAsia" w:ascii="宋体" w:hAnsi="宋体"/>
          <w:color w:val="000000"/>
          <w:szCs w:val="21"/>
          <w:highlight w:val="none"/>
        </w:rPr>
        <w:t xml:space="preserve">签  订  地  点： </w:t>
      </w:r>
      <w:r>
        <w:rPr>
          <w:rFonts w:hint="eastAsia" w:ascii="宋体" w:hAnsi="宋体"/>
          <w:color w:val="000000"/>
          <w:szCs w:val="21"/>
          <w:highlight w:val="none"/>
          <w:u w:val="single"/>
        </w:rPr>
        <w:t xml:space="preserve"> 北海市教育局     </w:t>
      </w:r>
      <w:r>
        <w:rPr>
          <w:rFonts w:hint="eastAsia" w:ascii="宋体" w:hAnsi="宋体"/>
          <w:color w:val="000000"/>
          <w:szCs w:val="21"/>
          <w:highlight w:val="none"/>
        </w:rPr>
        <w:t xml:space="preserve">  签 订 时 间：</w:t>
      </w:r>
      <w:r>
        <w:rPr>
          <w:rFonts w:hint="eastAsia" w:ascii="宋体" w:hAnsi="宋体"/>
          <w:color w:val="000000"/>
          <w:szCs w:val="21"/>
          <w:highlight w:val="none"/>
          <w:u w:val="single"/>
        </w:rPr>
        <w:t xml:space="preserve">     年   月    日    </w:t>
      </w:r>
    </w:p>
    <w:p w14:paraId="036E0837">
      <w:pPr>
        <w:snapToGrid w:val="0"/>
        <w:spacing w:line="440" w:lineRule="exact"/>
        <w:ind w:firstLine="420" w:firstLineChars="200"/>
        <w:rPr>
          <w:rFonts w:ascii="宋体" w:hAnsi="宋体"/>
          <w:color w:val="000000"/>
          <w:szCs w:val="21"/>
          <w:highlight w:val="none"/>
        </w:rPr>
      </w:pPr>
    </w:p>
    <w:p w14:paraId="1C0FE932">
      <w:pPr>
        <w:snapToGrid w:val="0"/>
        <w:spacing w:line="440" w:lineRule="exact"/>
        <w:ind w:firstLine="420" w:firstLineChars="200"/>
        <w:rPr>
          <w:rFonts w:ascii="宋体" w:hAnsi="宋体"/>
          <w:color w:val="000000"/>
          <w:szCs w:val="21"/>
          <w:highlight w:val="none"/>
        </w:rPr>
      </w:pPr>
      <w:r>
        <w:rPr>
          <w:rFonts w:hint="eastAsia" w:ascii="宋体" w:hAnsi="宋体"/>
          <w:color w:val="000000"/>
          <w:szCs w:val="21"/>
          <w:highlight w:val="none"/>
        </w:rPr>
        <w:t>根据《中华人民共和国民法典》、《中华人民共和国政府采购法》等法律、法规规定，按照公开招标采购文件（以下简称“招标文件”）规定条款和乙方投标文件（以下简称“投标文件”）及其承诺，甲、乙、丙三方签订本合同。</w:t>
      </w:r>
    </w:p>
    <w:p w14:paraId="372C4ABB">
      <w:pPr>
        <w:snapToGrid w:val="0"/>
        <w:spacing w:line="440" w:lineRule="exact"/>
        <w:ind w:firstLine="422" w:firstLineChars="200"/>
        <w:rPr>
          <w:rFonts w:ascii="宋体" w:hAnsi="宋体"/>
          <w:b/>
          <w:color w:val="000000"/>
          <w:szCs w:val="21"/>
          <w:highlight w:val="none"/>
        </w:rPr>
      </w:pPr>
      <w:r>
        <w:rPr>
          <w:rFonts w:hint="eastAsia" w:ascii="宋体" w:hAnsi="宋体"/>
          <w:b/>
          <w:color w:val="000000"/>
          <w:szCs w:val="21"/>
          <w:highlight w:val="none"/>
        </w:rPr>
        <w:t>第一条　合同标的</w:t>
      </w:r>
    </w:p>
    <w:p w14:paraId="016E7F47">
      <w:pPr>
        <w:snapToGrid w:val="0"/>
        <w:spacing w:line="440" w:lineRule="exact"/>
        <w:ind w:firstLine="420" w:firstLineChars="200"/>
        <w:rPr>
          <w:rFonts w:ascii="宋体" w:hAnsi="宋体"/>
          <w:color w:val="000000"/>
          <w:szCs w:val="21"/>
          <w:highlight w:val="none"/>
        </w:rPr>
      </w:pPr>
      <w:r>
        <w:rPr>
          <w:rFonts w:hint="eastAsia" w:ascii="宋体" w:hAnsi="宋体"/>
          <w:color w:val="000000"/>
          <w:szCs w:val="21"/>
          <w:highlight w:val="none"/>
        </w:rPr>
        <w:t>1、服务一览表</w:t>
      </w:r>
    </w:p>
    <w:tbl>
      <w:tblPr>
        <w:tblStyle w:val="63"/>
        <w:tblW w:w="0" w:type="auto"/>
        <w:tblInd w:w="-7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15"/>
        <w:gridCol w:w="1703"/>
        <w:gridCol w:w="2979"/>
        <w:gridCol w:w="1958"/>
        <w:gridCol w:w="2003"/>
      </w:tblGrid>
      <w:tr w14:paraId="080E0C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683" w:hRule="atLeast"/>
        </w:trPr>
        <w:tc>
          <w:tcPr>
            <w:tcW w:w="747" w:type="dxa"/>
            <w:vAlign w:val="center"/>
          </w:tcPr>
          <w:p w14:paraId="497372F9">
            <w:pPr>
              <w:snapToGrid w:val="0"/>
              <w:spacing w:line="440" w:lineRule="exact"/>
              <w:jc w:val="center"/>
              <w:rPr>
                <w:rFonts w:ascii="宋体" w:hAnsi="宋体"/>
                <w:b/>
                <w:color w:val="000000"/>
                <w:szCs w:val="21"/>
                <w:highlight w:val="none"/>
              </w:rPr>
            </w:pPr>
            <w:r>
              <w:rPr>
                <w:rFonts w:hint="eastAsia" w:ascii="宋体" w:hAnsi="宋体"/>
                <w:b/>
                <w:color w:val="000000"/>
                <w:szCs w:val="21"/>
                <w:highlight w:val="none"/>
              </w:rPr>
              <w:t>序号</w:t>
            </w:r>
          </w:p>
        </w:tc>
        <w:tc>
          <w:tcPr>
            <w:tcW w:w="1843" w:type="dxa"/>
            <w:vAlign w:val="center"/>
          </w:tcPr>
          <w:p w14:paraId="6B85F7E9">
            <w:pPr>
              <w:snapToGrid w:val="0"/>
              <w:spacing w:line="440" w:lineRule="exact"/>
              <w:jc w:val="center"/>
              <w:rPr>
                <w:rFonts w:ascii="宋体" w:hAnsi="宋体"/>
                <w:b/>
                <w:color w:val="000000"/>
                <w:szCs w:val="21"/>
                <w:highlight w:val="none"/>
              </w:rPr>
            </w:pPr>
            <w:r>
              <w:rPr>
                <w:rFonts w:hint="eastAsia" w:ascii="宋体" w:hAnsi="宋体"/>
                <w:b/>
                <w:color w:val="000000"/>
                <w:szCs w:val="21"/>
                <w:highlight w:val="none"/>
              </w:rPr>
              <w:t>服务内容</w:t>
            </w:r>
          </w:p>
        </w:tc>
        <w:tc>
          <w:tcPr>
            <w:tcW w:w="3260" w:type="dxa"/>
            <w:vAlign w:val="center"/>
          </w:tcPr>
          <w:p w14:paraId="61D608E7">
            <w:pPr>
              <w:snapToGrid w:val="0"/>
              <w:spacing w:line="440" w:lineRule="exact"/>
              <w:jc w:val="center"/>
              <w:rPr>
                <w:rFonts w:ascii="宋体" w:hAnsi="宋体"/>
                <w:b/>
                <w:color w:val="000000"/>
                <w:szCs w:val="21"/>
                <w:highlight w:val="none"/>
              </w:rPr>
            </w:pPr>
            <w:r>
              <w:rPr>
                <w:rFonts w:hint="eastAsia" w:ascii="宋体" w:hAnsi="宋体" w:cs="宋体"/>
                <w:b/>
                <w:kern w:val="0"/>
                <w:szCs w:val="21"/>
                <w:highlight w:val="none"/>
              </w:rPr>
              <w:t>详细内容及要求</w:t>
            </w:r>
          </w:p>
        </w:tc>
        <w:tc>
          <w:tcPr>
            <w:tcW w:w="2127" w:type="dxa"/>
            <w:vAlign w:val="center"/>
          </w:tcPr>
          <w:p w14:paraId="72228499">
            <w:pPr>
              <w:snapToGrid w:val="0"/>
              <w:spacing w:line="440" w:lineRule="exact"/>
              <w:jc w:val="center"/>
              <w:rPr>
                <w:rFonts w:ascii="宋体" w:hAnsi="宋体"/>
                <w:b/>
                <w:color w:val="000000"/>
                <w:szCs w:val="21"/>
                <w:highlight w:val="none"/>
              </w:rPr>
            </w:pPr>
            <w:r>
              <w:rPr>
                <w:rFonts w:hint="eastAsia" w:ascii="宋体" w:hAnsi="宋体"/>
                <w:b/>
                <w:color w:val="000000"/>
                <w:szCs w:val="21"/>
                <w:highlight w:val="none"/>
              </w:rPr>
              <w:t>服务人数</w:t>
            </w:r>
          </w:p>
        </w:tc>
        <w:tc>
          <w:tcPr>
            <w:tcW w:w="2176" w:type="dxa"/>
            <w:vAlign w:val="center"/>
          </w:tcPr>
          <w:p w14:paraId="55E9DF8B">
            <w:pPr>
              <w:snapToGrid w:val="0"/>
              <w:spacing w:line="440" w:lineRule="exact"/>
              <w:jc w:val="center"/>
              <w:rPr>
                <w:rFonts w:ascii="宋体" w:hAnsi="宋体"/>
                <w:b/>
                <w:color w:val="000000"/>
                <w:szCs w:val="21"/>
                <w:highlight w:val="none"/>
              </w:rPr>
            </w:pPr>
            <w:r>
              <w:rPr>
                <w:rFonts w:hint="eastAsia" w:ascii="宋体" w:hAnsi="宋体" w:cs="宋体"/>
                <w:b/>
                <w:kern w:val="0"/>
                <w:szCs w:val="21"/>
                <w:highlight w:val="none"/>
              </w:rPr>
              <w:t>合同金额</w:t>
            </w:r>
          </w:p>
        </w:tc>
      </w:tr>
      <w:tr w14:paraId="3554D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47" w:type="dxa"/>
            <w:vAlign w:val="center"/>
          </w:tcPr>
          <w:p w14:paraId="38AA3690">
            <w:pPr>
              <w:snapToGrid w:val="0"/>
              <w:spacing w:line="440" w:lineRule="exact"/>
              <w:jc w:val="center"/>
              <w:rPr>
                <w:rFonts w:ascii="宋体" w:hAnsi="宋体"/>
                <w:color w:val="000000"/>
                <w:szCs w:val="21"/>
                <w:highlight w:val="none"/>
              </w:rPr>
            </w:pPr>
            <w:r>
              <w:rPr>
                <w:rFonts w:hint="eastAsia" w:ascii="宋体" w:hAnsi="宋体"/>
                <w:color w:val="000000"/>
                <w:szCs w:val="21"/>
                <w:highlight w:val="none"/>
              </w:rPr>
              <w:t>1</w:t>
            </w:r>
          </w:p>
        </w:tc>
        <w:tc>
          <w:tcPr>
            <w:tcW w:w="1843" w:type="dxa"/>
            <w:vAlign w:val="center"/>
          </w:tcPr>
          <w:p w14:paraId="26CFF2B3">
            <w:pPr>
              <w:widowControl/>
              <w:adjustRightInd w:val="0"/>
              <w:snapToGrid w:val="0"/>
              <w:spacing w:line="440" w:lineRule="exact"/>
              <w:jc w:val="center"/>
              <w:rPr>
                <w:rFonts w:ascii="宋体" w:cs="宋体"/>
                <w:color w:val="000000"/>
                <w:kern w:val="0"/>
                <w:szCs w:val="21"/>
                <w:highlight w:val="none"/>
              </w:rPr>
            </w:pPr>
          </w:p>
        </w:tc>
        <w:tc>
          <w:tcPr>
            <w:tcW w:w="3260" w:type="dxa"/>
            <w:vAlign w:val="center"/>
          </w:tcPr>
          <w:p w14:paraId="01DC8284">
            <w:pPr>
              <w:spacing w:line="440" w:lineRule="exact"/>
              <w:jc w:val="center"/>
              <w:rPr>
                <w:rFonts w:ascii="宋体" w:hAnsi="宋体" w:cs="宋体"/>
                <w:sz w:val="24"/>
                <w:highlight w:val="none"/>
              </w:rPr>
            </w:pPr>
            <w:r>
              <w:rPr>
                <w:rFonts w:hint="eastAsia" w:ascii="宋体" w:hAnsi="宋体"/>
                <w:szCs w:val="21"/>
                <w:highlight w:val="none"/>
              </w:rPr>
              <w:t>见投标标文件报价表及附件</w:t>
            </w:r>
          </w:p>
        </w:tc>
        <w:tc>
          <w:tcPr>
            <w:tcW w:w="2127" w:type="dxa"/>
          </w:tcPr>
          <w:p w14:paraId="6F341DAD">
            <w:pPr>
              <w:spacing w:line="440" w:lineRule="exact"/>
              <w:jc w:val="center"/>
              <w:rPr>
                <w:rFonts w:ascii="宋体" w:hAnsi="宋体"/>
                <w:szCs w:val="21"/>
                <w:highlight w:val="none"/>
              </w:rPr>
            </w:pPr>
          </w:p>
        </w:tc>
        <w:tc>
          <w:tcPr>
            <w:tcW w:w="2176" w:type="dxa"/>
          </w:tcPr>
          <w:p w14:paraId="70936279">
            <w:pPr>
              <w:spacing w:line="440" w:lineRule="exact"/>
              <w:jc w:val="center"/>
              <w:rPr>
                <w:rFonts w:ascii="宋体" w:hAnsi="宋体"/>
                <w:szCs w:val="21"/>
                <w:highlight w:val="none"/>
              </w:rPr>
            </w:pPr>
          </w:p>
        </w:tc>
      </w:tr>
      <w:tr w14:paraId="24954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trPr>
        <w:tc>
          <w:tcPr>
            <w:tcW w:w="10153" w:type="dxa"/>
            <w:gridSpan w:val="5"/>
            <w:vAlign w:val="center"/>
          </w:tcPr>
          <w:p w14:paraId="78524701">
            <w:pPr>
              <w:snapToGrid w:val="0"/>
              <w:spacing w:line="440" w:lineRule="exact"/>
              <w:rPr>
                <w:szCs w:val="21"/>
                <w:highlight w:val="none"/>
              </w:rPr>
            </w:pPr>
            <w:r>
              <w:rPr>
                <w:rFonts w:hint="eastAsia"/>
                <w:szCs w:val="21"/>
                <w:highlight w:val="none"/>
              </w:rPr>
              <w:t>合同金额为：</w:t>
            </w:r>
          </w:p>
        </w:tc>
      </w:tr>
    </w:tbl>
    <w:p w14:paraId="43F9A480">
      <w:pPr>
        <w:snapToGrid w:val="0"/>
        <w:spacing w:line="440" w:lineRule="exact"/>
        <w:ind w:right="420" w:firstLine="420" w:firstLineChars="200"/>
        <w:rPr>
          <w:rFonts w:ascii="宋体" w:hAnsi="宋体"/>
          <w:color w:val="000000"/>
          <w:szCs w:val="21"/>
          <w:highlight w:val="none"/>
        </w:rPr>
      </w:pPr>
      <w:r>
        <w:rPr>
          <w:rFonts w:hint="eastAsia" w:ascii="宋体" w:cs="宋体"/>
          <w:color w:val="000000"/>
          <w:kern w:val="0"/>
          <w:szCs w:val="21"/>
          <w:highlight w:val="none"/>
        </w:rPr>
        <w:t>2、合同合计金额包括服务费、设备费、管理费、验收费、利润、税金及其它所有成本、费用的总</w:t>
      </w:r>
      <w:r>
        <w:rPr>
          <w:rFonts w:hint="eastAsia" w:hAnsi="宋体"/>
          <w:bCs/>
          <w:color w:val="000000"/>
          <w:szCs w:val="20"/>
          <w:highlight w:val="none"/>
        </w:rPr>
        <w:t>和</w:t>
      </w:r>
      <w:r>
        <w:rPr>
          <w:rFonts w:hint="eastAsia" w:ascii="宋体" w:hAnsi="宋体"/>
          <w:color w:val="000000"/>
          <w:szCs w:val="21"/>
          <w:highlight w:val="none"/>
        </w:rPr>
        <w:t>。如招标文件、投标文件对其另有规定的，从其规定。</w:t>
      </w:r>
    </w:p>
    <w:p w14:paraId="4F5CD876">
      <w:pPr>
        <w:snapToGrid w:val="0"/>
        <w:spacing w:line="440" w:lineRule="exact"/>
        <w:ind w:firstLine="422" w:firstLineChars="200"/>
        <w:rPr>
          <w:rFonts w:ascii="宋体" w:hAnsi="宋体"/>
          <w:color w:val="000000"/>
          <w:szCs w:val="21"/>
          <w:highlight w:val="none"/>
        </w:rPr>
      </w:pPr>
      <w:r>
        <w:rPr>
          <w:rFonts w:hint="eastAsia" w:ascii="宋体" w:hAnsi="宋体"/>
          <w:b/>
          <w:color w:val="000000"/>
          <w:szCs w:val="21"/>
          <w:highlight w:val="none"/>
        </w:rPr>
        <w:t>第二条　质量保证</w:t>
      </w:r>
    </w:p>
    <w:p w14:paraId="103E672B">
      <w:pPr>
        <w:snapToGrid w:val="0"/>
        <w:spacing w:line="440" w:lineRule="exact"/>
        <w:ind w:firstLine="420" w:firstLineChars="200"/>
        <w:rPr>
          <w:rFonts w:ascii="宋体" w:hAnsi="宋体"/>
          <w:color w:val="000000"/>
          <w:szCs w:val="21"/>
          <w:highlight w:val="none"/>
        </w:rPr>
      </w:pPr>
      <w:r>
        <w:rPr>
          <w:rFonts w:hint="eastAsia" w:ascii="宋体" w:hAnsi="宋体"/>
          <w:color w:val="000000"/>
          <w:szCs w:val="21"/>
          <w:highlight w:val="none"/>
        </w:rPr>
        <w:t>1.乙方所提供的服务质量必须与招标文件、投标文件和承诺相一致。</w:t>
      </w:r>
    </w:p>
    <w:p w14:paraId="078A8F5F">
      <w:pPr>
        <w:spacing w:line="440" w:lineRule="exact"/>
        <w:ind w:firstLine="420" w:firstLineChars="200"/>
        <w:rPr>
          <w:rFonts w:ascii="宋体" w:hAnsi="宋体"/>
          <w:color w:val="000000"/>
          <w:szCs w:val="21"/>
          <w:highlight w:val="none"/>
        </w:rPr>
      </w:pPr>
      <w:r>
        <w:rPr>
          <w:rFonts w:hint="eastAsia" w:ascii="宋体" w:hAnsi="宋体"/>
          <w:color w:val="000000"/>
          <w:szCs w:val="21"/>
          <w:highlight w:val="none"/>
        </w:rPr>
        <w:t>2.乙方应按照甲方的要求和丙方的实际需要,为丙方提供物业服务，包括但不限于保洁、绿化、设备维护等。</w:t>
      </w:r>
    </w:p>
    <w:p w14:paraId="4E3F718F">
      <w:pPr>
        <w:spacing w:line="440" w:lineRule="exact"/>
        <w:ind w:firstLine="420" w:firstLineChars="200"/>
        <w:rPr>
          <w:sz w:val="24"/>
          <w:szCs w:val="20"/>
          <w:highlight w:val="none"/>
        </w:rPr>
      </w:pPr>
      <w:r>
        <w:rPr>
          <w:rFonts w:hint="eastAsia" w:ascii="宋体" w:hAnsi="宋体"/>
          <w:color w:val="000000"/>
          <w:szCs w:val="21"/>
          <w:highlight w:val="none"/>
        </w:rPr>
        <w:t>3.乙方应确保服务质量达到合同约定的标准和丙方的满意度。</w:t>
      </w:r>
    </w:p>
    <w:p w14:paraId="3B8C0704">
      <w:pPr>
        <w:snapToGrid w:val="0"/>
        <w:spacing w:line="440" w:lineRule="exact"/>
        <w:ind w:firstLine="422" w:firstLineChars="200"/>
        <w:rPr>
          <w:rFonts w:ascii="宋体" w:hAnsi="宋体"/>
          <w:b/>
          <w:color w:val="000000"/>
          <w:szCs w:val="21"/>
          <w:highlight w:val="none"/>
        </w:rPr>
      </w:pPr>
      <w:r>
        <w:rPr>
          <w:rFonts w:hint="eastAsia" w:ascii="宋体" w:hAnsi="宋体"/>
          <w:b/>
          <w:color w:val="000000"/>
          <w:szCs w:val="21"/>
          <w:highlight w:val="none"/>
        </w:rPr>
        <w:t>第三条　交付和验收</w:t>
      </w:r>
    </w:p>
    <w:p w14:paraId="63F7EDFD">
      <w:pPr>
        <w:snapToGrid w:val="0"/>
        <w:spacing w:line="440" w:lineRule="exact"/>
        <w:ind w:firstLine="420" w:firstLineChars="200"/>
        <w:rPr>
          <w:rFonts w:ascii="宋体" w:hAnsi="宋体"/>
          <w:color w:val="000000"/>
          <w:szCs w:val="21"/>
          <w:highlight w:val="none"/>
        </w:rPr>
      </w:pPr>
      <w:r>
        <w:rPr>
          <w:rFonts w:hint="eastAsia" w:ascii="宋体" w:hAnsi="宋体"/>
          <w:color w:val="000000"/>
          <w:szCs w:val="21"/>
          <w:highlight w:val="none"/>
        </w:rPr>
        <w:t xml:space="preserve">1.服务开始时间：  </w:t>
      </w:r>
      <w:r>
        <w:rPr>
          <w:rFonts w:hint="eastAsia" w:ascii="宋体" w:hAnsi="宋体"/>
          <w:szCs w:val="21"/>
          <w:highlight w:val="none"/>
          <w:u w:val="single"/>
        </w:rPr>
        <w:t>年   月   日至年   月   日，共两年（具体时间以进点时间为准）</w:t>
      </w:r>
      <w:r>
        <w:rPr>
          <w:rFonts w:hint="eastAsia" w:ascii="宋体" w:hAnsi="宋体"/>
          <w:color w:val="000000"/>
          <w:szCs w:val="21"/>
          <w:highlight w:val="none"/>
        </w:rPr>
        <w:t>。</w:t>
      </w:r>
    </w:p>
    <w:p w14:paraId="64300870">
      <w:pPr>
        <w:snapToGrid w:val="0"/>
        <w:spacing w:line="440" w:lineRule="exact"/>
        <w:ind w:firstLine="420" w:firstLineChars="200"/>
        <w:jc w:val="left"/>
        <w:rPr>
          <w:rFonts w:ascii="宋体" w:hAnsi="宋体"/>
          <w:color w:val="000000"/>
          <w:szCs w:val="21"/>
          <w:highlight w:val="none"/>
        </w:rPr>
      </w:pPr>
      <w:r>
        <w:rPr>
          <w:rFonts w:hint="eastAsia" w:ascii="宋体" w:hAnsi="宋体"/>
          <w:color w:val="000000"/>
          <w:szCs w:val="21"/>
          <w:highlight w:val="none"/>
        </w:rPr>
        <w:t>2.服务地点：</w:t>
      </w:r>
      <w:r>
        <w:rPr>
          <w:rFonts w:hint="eastAsia" w:ascii="宋体" w:hAnsi="宋体"/>
          <w:color w:val="000000"/>
          <w:szCs w:val="21"/>
          <w:highlight w:val="none"/>
          <w:u w:val="single"/>
        </w:rPr>
        <w:t xml:space="preserve"> </w:t>
      </w:r>
      <w:r>
        <w:rPr>
          <w:rFonts w:hint="eastAsia" w:ascii="宋体" w:hAnsi="宋体"/>
          <w:b/>
          <w:color w:val="000000"/>
          <w:sz w:val="32"/>
          <w:szCs w:val="32"/>
          <w:highlight w:val="none"/>
          <w:u w:val="single"/>
        </w:rPr>
        <w:t xml:space="preserve">                       </w:t>
      </w:r>
      <w:r>
        <w:rPr>
          <w:rFonts w:hint="eastAsia" w:ascii="宋体" w:hAnsi="宋体"/>
          <w:color w:val="000000"/>
          <w:szCs w:val="21"/>
          <w:highlight w:val="none"/>
          <w:u w:val="single"/>
        </w:rPr>
        <w:t xml:space="preserve">   </w:t>
      </w:r>
      <w:r>
        <w:rPr>
          <w:rFonts w:hint="eastAsia" w:ascii="宋体" w:hAnsi="宋体"/>
          <w:color w:val="000000"/>
          <w:szCs w:val="21"/>
          <w:highlight w:val="none"/>
        </w:rPr>
        <w:t>。</w:t>
      </w:r>
    </w:p>
    <w:p w14:paraId="5256CC36">
      <w:pPr>
        <w:snapToGrid w:val="0"/>
        <w:spacing w:line="440" w:lineRule="exact"/>
        <w:ind w:firstLine="420" w:firstLineChars="200"/>
        <w:rPr>
          <w:rFonts w:ascii="宋体" w:hAnsi="宋体"/>
          <w:color w:val="000000"/>
          <w:szCs w:val="21"/>
          <w:highlight w:val="none"/>
        </w:rPr>
      </w:pPr>
      <w:r>
        <w:rPr>
          <w:rFonts w:hint="eastAsia" w:ascii="宋体" w:hAnsi="宋体"/>
          <w:color w:val="000000"/>
          <w:szCs w:val="21"/>
          <w:highlight w:val="none"/>
        </w:rPr>
        <w:t>3.</w:t>
      </w:r>
      <w:r>
        <w:rPr>
          <w:rFonts w:hint="eastAsia" w:ascii="宋体" w:hAnsi="宋体"/>
          <w:b/>
          <w:color w:val="000000"/>
          <w:szCs w:val="21"/>
          <w:highlight w:val="none"/>
        </w:rPr>
        <w:t>验收方式：</w:t>
      </w:r>
    </w:p>
    <w:p w14:paraId="4FFF6E5B">
      <w:pPr>
        <w:snapToGrid w:val="0"/>
        <w:spacing w:line="440" w:lineRule="exact"/>
        <w:ind w:firstLine="422" w:firstLineChars="200"/>
        <w:rPr>
          <w:rFonts w:ascii="宋体" w:hAnsi="宋体"/>
          <w:b/>
          <w:color w:val="000000"/>
          <w:szCs w:val="21"/>
          <w:highlight w:val="none"/>
        </w:rPr>
      </w:pPr>
      <w:r>
        <w:rPr>
          <w:rFonts w:hint="eastAsia" w:ascii="宋体" w:hAnsi="宋体"/>
          <w:b/>
          <w:color w:val="000000"/>
          <w:szCs w:val="21"/>
          <w:highlight w:val="none"/>
        </w:rPr>
        <w:t>第四条  付款方式</w:t>
      </w:r>
    </w:p>
    <w:p w14:paraId="0459C15D">
      <w:pPr>
        <w:snapToGrid w:val="0"/>
        <w:spacing w:line="440" w:lineRule="exact"/>
        <w:ind w:firstLine="420" w:firstLineChars="200"/>
        <w:rPr>
          <w:rFonts w:ascii="宋体" w:hAnsi="宋体"/>
          <w:szCs w:val="21"/>
          <w:highlight w:val="none"/>
          <w:u w:val="single"/>
        </w:rPr>
      </w:pPr>
      <w:r>
        <w:rPr>
          <w:rFonts w:hint="eastAsia" w:ascii="宋体" w:hAnsi="宋体"/>
          <w:szCs w:val="21"/>
          <w:highlight w:val="none"/>
        </w:rPr>
        <w:t>1.资金性质：</w:t>
      </w:r>
      <w:r>
        <w:rPr>
          <w:rFonts w:hint="eastAsia" w:ascii="宋体" w:hAnsi="宋体"/>
          <w:szCs w:val="21"/>
          <w:highlight w:val="none"/>
          <w:u w:val="single"/>
        </w:rPr>
        <w:t xml:space="preserve"> 财政性资金。</w:t>
      </w:r>
    </w:p>
    <w:p w14:paraId="2F85A512">
      <w:pPr>
        <w:snapToGrid w:val="0"/>
        <w:spacing w:line="440" w:lineRule="exact"/>
        <w:ind w:right="33" w:firstLine="420" w:firstLineChars="200"/>
        <w:rPr>
          <w:rFonts w:hint="eastAsia" w:ascii="宋体" w:hAnsi="宋体" w:cs="宋体"/>
          <w:szCs w:val="21"/>
          <w:highlight w:val="none"/>
          <w:u w:val="single"/>
        </w:rPr>
      </w:pPr>
      <w:r>
        <w:rPr>
          <w:rFonts w:hint="eastAsia" w:ascii="宋体" w:hAnsi="宋体"/>
          <w:szCs w:val="21"/>
          <w:highlight w:val="none"/>
        </w:rPr>
        <w:t>2.付款方式：</w:t>
      </w:r>
      <w:r>
        <w:rPr>
          <w:rFonts w:hint="eastAsia" w:ascii="宋体" w:hAnsi="宋体" w:cs="宋体"/>
          <w:szCs w:val="21"/>
          <w:highlight w:val="none"/>
          <w:u w:val="single"/>
        </w:rPr>
        <w:t>自合同签订后且中标单位服务人员进场、财政资金到位后，预付合同总金额的10%;剩余款项按季度平均支付，每季度第一个月支付上季度服务费。</w:t>
      </w:r>
    </w:p>
    <w:p w14:paraId="5CAAD152">
      <w:pPr>
        <w:snapToGrid w:val="0"/>
        <w:spacing w:line="440" w:lineRule="exact"/>
        <w:ind w:right="33" w:firstLine="420" w:firstLineChars="200"/>
        <w:rPr>
          <w:rFonts w:ascii="宋体"/>
          <w:szCs w:val="21"/>
          <w:highlight w:val="none"/>
        </w:rPr>
      </w:pPr>
      <w:r>
        <w:rPr>
          <w:rFonts w:hint="eastAsia" w:ascii="宋体" w:hAnsi="宋体" w:cs="宋体"/>
          <w:szCs w:val="21"/>
          <w:highlight w:val="none"/>
          <w:u w:val="single"/>
        </w:rPr>
        <w:t>采购人根据每季度考核结果结算支付。三方在签订合同时可就服务质量及检查标准制定奖罚细则，在支付服务费用时采购人（甲方）、服务单位（丙方）有权根据奖罚细则增减服务费用的支付或终止合同。每次请款供应商（乙方）先交请款申请函，后根据要求开具发票，再根据实际情况、考核情况付款。</w:t>
      </w:r>
    </w:p>
    <w:p w14:paraId="5F804C46">
      <w:pPr>
        <w:adjustRightInd w:val="0"/>
        <w:snapToGrid w:val="0"/>
        <w:spacing w:line="440" w:lineRule="exact"/>
        <w:ind w:right="33" w:firstLine="420" w:firstLineChars="200"/>
        <w:rPr>
          <w:rFonts w:ascii="宋体"/>
          <w:szCs w:val="21"/>
          <w:highlight w:val="none"/>
        </w:rPr>
      </w:pPr>
      <w:r>
        <w:rPr>
          <w:rFonts w:hint="eastAsia" w:ascii="宋体"/>
          <w:szCs w:val="21"/>
          <w:highlight w:val="none"/>
        </w:rPr>
        <w:t>3.政府采购合同信用融资：如乙方需要向金融机构申请本项目融资贷款，甲方不得违规干预。如乙方向金融机构申请本项目融资贷款，则本项目资金支付时必须将采购资金支付到合同中注明的贷款金融机构还款账号，如需要变更还款账号，必须由甲方、乙方、贷款金融机构三方签订书面协议。</w:t>
      </w:r>
    </w:p>
    <w:p w14:paraId="471B5240">
      <w:pPr>
        <w:tabs>
          <w:tab w:val="right" w:pos="9639"/>
        </w:tabs>
        <w:snapToGrid w:val="0"/>
        <w:spacing w:line="440" w:lineRule="exact"/>
        <w:ind w:firstLine="422" w:firstLineChars="200"/>
        <w:rPr>
          <w:rFonts w:ascii="宋体" w:hAnsi="宋体"/>
          <w:b/>
          <w:color w:val="000000"/>
          <w:szCs w:val="21"/>
          <w:highlight w:val="none"/>
        </w:rPr>
      </w:pPr>
      <w:r>
        <w:rPr>
          <w:rFonts w:hint="eastAsia" w:ascii="宋体" w:hAnsi="宋体"/>
          <w:b/>
          <w:color w:val="000000"/>
          <w:szCs w:val="21"/>
          <w:highlight w:val="none"/>
        </w:rPr>
        <w:t>第五条　履约保证金</w:t>
      </w:r>
      <w:r>
        <w:rPr>
          <w:rFonts w:ascii="宋体" w:hAnsi="宋体"/>
          <w:b/>
          <w:color w:val="000000"/>
          <w:szCs w:val="21"/>
          <w:highlight w:val="none"/>
        </w:rPr>
        <w:tab/>
      </w:r>
    </w:p>
    <w:p w14:paraId="22110D8D">
      <w:pPr>
        <w:spacing w:line="440" w:lineRule="exact"/>
        <w:ind w:firstLine="420" w:firstLineChars="200"/>
        <w:rPr>
          <w:szCs w:val="20"/>
          <w:highlight w:val="none"/>
        </w:rPr>
      </w:pPr>
      <w:r>
        <w:rPr>
          <w:rFonts w:hint="eastAsia" w:ascii="宋体" w:hAnsi="宋体"/>
          <w:color w:val="000000"/>
          <w:szCs w:val="21"/>
          <w:highlight w:val="none"/>
        </w:rPr>
        <w:t>本项目不收取履约保证金。乙方未按合同约定履行合同义务，给甲方造成损失的，按实际损失进行赔偿。</w:t>
      </w:r>
    </w:p>
    <w:p w14:paraId="5A62F895">
      <w:pPr>
        <w:numPr>
          <w:ilvl w:val="0"/>
          <w:numId w:val="1"/>
        </w:numPr>
        <w:snapToGrid w:val="0"/>
        <w:spacing w:line="440" w:lineRule="exact"/>
        <w:ind w:firstLine="422" w:firstLineChars="200"/>
        <w:rPr>
          <w:rFonts w:ascii="宋体" w:hAnsi="宋体"/>
          <w:b/>
          <w:color w:val="000000"/>
          <w:szCs w:val="21"/>
          <w:highlight w:val="none"/>
        </w:rPr>
      </w:pPr>
      <w:r>
        <w:rPr>
          <w:rFonts w:hint="eastAsia" w:ascii="宋体" w:hAnsi="宋体"/>
          <w:b/>
          <w:color w:val="000000"/>
          <w:szCs w:val="21"/>
          <w:highlight w:val="none"/>
        </w:rPr>
        <w:t xml:space="preserve">税费  </w:t>
      </w:r>
    </w:p>
    <w:p w14:paraId="55916528">
      <w:pPr>
        <w:snapToGrid w:val="0"/>
        <w:spacing w:line="440" w:lineRule="exact"/>
        <w:ind w:firstLine="420" w:firstLineChars="200"/>
        <w:rPr>
          <w:rFonts w:ascii="宋体" w:hAnsi="宋体"/>
          <w:bCs/>
          <w:color w:val="000000"/>
          <w:szCs w:val="21"/>
          <w:highlight w:val="none"/>
        </w:rPr>
      </w:pPr>
      <w:r>
        <w:rPr>
          <w:rFonts w:hint="eastAsia" w:ascii="宋体" w:hAnsi="宋体"/>
          <w:bCs/>
          <w:color w:val="000000"/>
          <w:szCs w:val="21"/>
          <w:highlight w:val="none"/>
        </w:rPr>
        <w:t>本合同执行中相关的一切税费均由乙方负担。</w:t>
      </w:r>
    </w:p>
    <w:p w14:paraId="6A314A17">
      <w:pPr>
        <w:spacing w:line="440" w:lineRule="exact"/>
        <w:ind w:firstLine="422" w:firstLineChars="200"/>
        <w:rPr>
          <w:rFonts w:ascii="宋体"/>
          <w:szCs w:val="21"/>
          <w:highlight w:val="none"/>
        </w:rPr>
      </w:pPr>
      <w:r>
        <w:rPr>
          <w:rFonts w:hint="eastAsia" w:ascii="宋体" w:hAnsi="宋体"/>
          <w:b/>
          <w:color w:val="000000"/>
          <w:szCs w:val="21"/>
          <w:highlight w:val="none"/>
        </w:rPr>
        <w:t xml:space="preserve">第七条 </w:t>
      </w:r>
      <w:r>
        <w:rPr>
          <w:rFonts w:hint="eastAsia" w:ascii="宋体"/>
          <w:b/>
          <w:bCs/>
          <w:szCs w:val="21"/>
          <w:highlight w:val="none"/>
        </w:rPr>
        <w:t>甲方的权利和义务</w:t>
      </w:r>
    </w:p>
    <w:p w14:paraId="478B37A2">
      <w:pPr>
        <w:spacing w:line="440" w:lineRule="exact"/>
        <w:ind w:firstLine="420" w:firstLineChars="200"/>
        <w:rPr>
          <w:rFonts w:ascii="宋体"/>
          <w:szCs w:val="21"/>
          <w:highlight w:val="none"/>
        </w:rPr>
      </w:pPr>
      <w:r>
        <w:rPr>
          <w:rFonts w:hint="eastAsia" w:ascii="宋体"/>
          <w:szCs w:val="21"/>
          <w:highlight w:val="none"/>
        </w:rPr>
        <w:t>1.甲方有权对乙方的服务质量和丙方的满意度进行监督和评估。</w:t>
      </w:r>
    </w:p>
    <w:p w14:paraId="6B3396FA">
      <w:pPr>
        <w:spacing w:line="440" w:lineRule="exact"/>
        <w:ind w:firstLine="420" w:firstLineChars="200"/>
        <w:rPr>
          <w:rFonts w:ascii="宋体"/>
          <w:szCs w:val="21"/>
          <w:highlight w:val="none"/>
        </w:rPr>
      </w:pPr>
      <w:r>
        <w:rPr>
          <w:rFonts w:hint="eastAsia" w:ascii="宋体"/>
          <w:szCs w:val="21"/>
          <w:highlight w:val="none"/>
        </w:rPr>
        <w:t>2.甲方应按照约定向乙方支付服务费用。</w:t>
      </w:r>
    </w:p>
    <w:p w14:paraId="6468024A">
      <w:pPr>
        <w:spacing w:line="440" w:lineRule="exact"/>
        <w:ind w:firstLine="422" w:firstLineChars="200"/>
        <w:rPr>
          <w:rFonts w:ascii="宋体"/>
          <w:szCs w:val="21"/>
          <w:highlight w:val="none"/>
        </w:rPr>
      </w:pPr>
      <w:r>
        <w:rPr>
          <w:rFonts w:hint="eastAsia" w:ascii="宋体" w:hAnsi="宋体"/>
          <w:b/>
          <w:color w:val="000000"/>
          <w:szCs w:val="21"/>
          <w:highlight w:val="none"/>
        </w:rPr>
        <w:t xml:space="preserve">第八条 </w:t>
      </w:r>
      <w:r>
        <w:rPr>
          <w:rFonts w:hint="eastAsia" w:ascii="宋体"/>
          <w:b/>
          <w:bCs/>
          <w:szCs w:val="21"/>
          <w:highlight w:val="none"/>
        </w:rPr>
        <w:t>乙方的权利和义务</w:t>
      </w:r>
    </w:p>
    <w:p w14:paraId="4CDB180C">
      <w:pPr>
        <w:spacing w:line="440" w:lineRule="exact"/>
        <w:ind w:firstLine="420" w:firstLineChars="200"/>
        <w:rPr>
          <w:rFonts w:ascii="宋体"/>
          <w:szCs w:val="21"/>
          <w:highlight w:val="none"/>
        </w:rPr>
      </w:pPr>
      <w:r>
        <w:rPr>
          <w:rFonts w:hint="eastAsia" w:ascii="宋体"/>
          <w:szCs w:val="21"/>
          <w:highlight w:val="none"/>
        </w:rPr>
        <w:t>1.乙方应按照合同约定向丙方提供优质的物业服务。</w:t>
      </w:r>
    </w:p>
    <w:p w14:paraId="6CBAE562">
      <w:pPr>
        <w:spacing w:line="440" w:lineRule="exact"/>
        <w:ind w:firstLine="420" w:firstLineChars="200"/>
        <w:rPr>
          <w:rFonts w:ascii="宋体"/>
          <w:szCs w:val="21"/>
          <w:highlight w:val="none"/>
        </w:rPr>
      </w:pPr>
      <w:r>
        <w:rPr>
          <w:rFonts w:hint="eastAsia" w:ascii="宋体"/>
          <w:szCs w:val="21"/>
          <w:highlight w:val="none"/>
        </w:rPr>
        <w:t>2.乙方有权按照约定向甲方收取服务费用。</w:t>
      </w:r>
    </w:p>
    <w:p w14:paraId="7BE523BF">
      <w:pPr>
        <w:spacing w:line="440" w:lineRule="exact"/>
        <w:ind w:firstLine="422" w:firstLineChars="200"/>
        <w:rPr>
          <w:rFonts w:ascii="宋体"/>
          <w:szCs w:val="21"/>
          <w:highlight w:val="none"/>
        </w:rPr>
      </w:pPr>
      <w:r>
        <w:rPr>
          <w:rFonts w:hint="eastAsia" w:ascii="宋体" w:hAnsi="宋体"/>
          <w:b/>
          <w:color w:val="000000"/>
          <w:szCs w:val="21"/>
          <w:highlight w:val="none"/>
        </w:rPr>
        <w:t>第九条</w:t>
      </w:r>
      <w:r>
        <w:rPr>
          <w:rFonts w:hint="eastAsia" w:ascii="宋体" w:hAnsi="宋体"/>
          <w:bCs/>
          <w:color w:val="000000"/>
          <w:szCs w:val="21"/>
          <w:highlight w:val="none"/>
        </w:rPr>
        <w:t xml:space="preserve"> </w:t>
      </w:r>
      <w:r>
        <w:rPr>
          <w:rFonts w:hint="eastAsia" w:ascii="宋体"/>
          <w:b/>
          <w:szCs w:val="21"/>
          <w:highlight w:val="none"/>
        </w:rPr>
        <w:t>丙方的权利和义务</w:t>
      </w:r>
    </w:p>
    <w:p w14:paraId="7554AB27">
      <w:pPr>
        <w:spacing w:line="440" w:lineRule="exact"/>
        <w:ind w:firstLine="420" w:firstLineChars="200"/>
        <w:rPr>
          <w:rFonts w:ascii="宋体"/>
          <w:szCs w:val="21"/>
          <w:highlight w:val="none"/>
        </w:rPr>
      </w:pPr>
      <w:r>
        <w:rPr>
          <w:rFonts w:hint="eastAsia" w:ascii="宋体"/>
          <w:szCs w:val="21"/>
          <w:highlight w:val="none"/>
        </w:rPr>
        <w:t>1.丙方有权要求乙方提供符合合同约定的物业服务。</w:t>
      </w:r>
    </w:p>
    <w:p w14:paraId="61FBF420">
      <w:pPr>
        <w:spacing w:line="440" w:lineRule="exact"/>
        <w:ind w:firstLine="420" w:firstLineChars="200"/>
        <w:rPr>
          <w:sz w:val="24"/>
          <w:szCs w:val="20"/>
          <w:highlight w:val="none"/>
        </w:rPr>
      </w:pPr>
      <w:r>
        <w:rPr>
          <w:rFonts w:hint="eastAsia" w:ascii="宋体"/>
          <w:szCs w:val="21"/>
          <w:highlight w:val="none"/>
        </w:rPr>
        <w:t>2.丙方应协助乙方开展工作，提供必要的支持和便利。</w:t>
      </w:r>
    </w:p>
    <w:p w14:paraId="0C30511B">
      <w:pPr>
        <w:snapToGrid w:val="0"/>
        <w:spacing w:line="440" w:lineRule="exact"/>
        <w:ind w:firstLine="413" w:firstLineChars="196"/>
        <w:rPr>
          <w:rFonts w:ascii="宋体" w:hAnsi="宋体"/>
          <w:b/>
          <w:color w:val="000000"/>
          <w:szCs w:val="20"/>
          <w:highlight w:val="none"/>
        </w:rPr>
      </w:pPr>
      <w:r>
        <w:rPr>
          <w:rFonts w:hint="eastAsia" w:ascii="宋体" w:hAnsi="宋体"/>
          <w:b/>
          <w:color w:val="000000"/>
          <w:szCs w:val="20"/>
          <w:highlight w:val="none"/>
        </w:rPr>
        <w:t>第十条　违约责任</w:t>
      </w:r>
    </w:p>
    <w:p w14:paraId="74135369">
      <w:pPr>
        <w:adjustRightInd w:val="0"/>
        <w:snapToGrid w:val="0"/>
        <w:spacing w:line="440" w:lineRule="exact"/>
        <w:ind w:firstLine="420" w:firstLineChars="200"/>
        <w:rPr>
          <w:rFonts w:ascii="宋体" w:hAnsi="宋体"/>
          <w:color w:val="FF0000"/>
          <w:szCs w:val="21"/>
          <w:highlight w:val="none"/>
        </w:rPr>
      </w:pPr>
      <w:r>
        <w:rPr>
          <w:rFonts w:hint="eastAsia" w:ascii="宋体"/>
          <w:szCs w:val="21"/>
          <w:highlight w:val="none"/>
        </w:rPr>
        <w:t>1.如</w:t>
      </w:r>
      <w:r>
        <w:rPr>
          <w:rFonts w:hint="eastAsia" w:ascii="宋体"/>
          <w:spacing w:val="-4"/>
          <w:szCs w:val="21"/>
          <w:highlight w:val="none"/>
        </w:rPr>
        <w:t>乙方</w:t>
      </w:r>
      <w:r>
        <w:rPr>
          <w:rFonts w:hint="eastAsia"/>
          <w:spacing w:val="-4"/>
          <w:szCs w:val="20"/>
          <w:highlight w:val="none"/>
        </w:rPr>
        <w:t>违约（包括但不限于</w:t>
      </w:r>
      <w:r>
        <w:rPr>
          <w:rFonts w:hint="eastAsia" w:ascii="宋体"/>
          <w:szCs w:val="21"/>
          <w:highlight w:val="none"/>
        </w:rPr>
        <w:t>延迟履约、不完全履约或提供的服务质量不符合磋商文件和响应文件要求的</w:t>
      </w:r>
      <w:r>
        <w:rPr>
          <w:rFonts w:hint="eastAsia"/>
          <w:spacing w:val="-4"/>
          <w:szCs w:val="20"/>
          <w:highlight w:val="none"/>
        </w:rPr>
        <w:t>），每发生一次，需</w:t>
      </w:r>
      <w:r>
        <w:rPr>
          <w:rFonts w:hint="eastAsia" w:ascii="宋体"/>
          <w:spacing w:val="-4"/>
          <w:szCs w:val="21"/>
          <w:highlight w:val="none"/>
        </w:rPr>
        <w:t>向甲方支付合同总金额0.3‰的违约金，违约金从合同价款中扣除，且乙方应根据甲方要求限期整改</w:t>
      </w:r>
      <w:r>
        <w:rPr>
          <w:rFonts w:hint="eastAsia" w:ascii="宋体"/>
          <w:szCs w:val="21"/>
          <w:highlight w:val="none"/>
        </w:rPr>
        <w:t>；</w:t>
      </w:r>
      <w:r>
        <w:rPr>
          <w:rFonts w:hint="eastAsia" w:ascii="宋体"/>
          <w:spacing w:val="-4"/>
          <w:szCs w:val="21"/>
          <w:highlight w:val="none"/>
        </w:rPr>
        <w:t>乙方违约次数超过三次或经整改仍不符合甲方要求的，甲方有权解除合同，乙方应</w:t>
      </w:r>
      <w:r>
        <w:rPr>
          <w:rFonts w:ascii="宋体"/>
          <w:spacing w:val="-4"/>
          <w:szCs w:val="21"/>
          <w:highlight w:val="none"/>
        </w:rPr>
        <w:t>返还未服务部分款项并向甲方支付合同总金额</w:t>
      </w:r>
      <w:r>
        <w:rPr>
          <w:rFonts w:hint="eastAsia" w:ascii="宋体"/>
          <w:spacing w:val="-4"/>
          <w:szCs w:val="21"/>
          <w:highlight w:val="none"/>
        </w:rPr>
        <w:t>1</w:t>
      </w:r>
      <w:r>
        <w:rPr>
          <w:rFonts w:ascii="宋体"/>
          <w:spacing w:val="-4"/>
          <w:szCs w:val="21"/>
          <w:highlight w:val="none"/>
        </w:rPr>
        <w:t>0%的违约金</w:t>
      </w:r>
      <w:r>
        <w:rPr>
          <w:rFonts w:hint="eastAsia" w:ascii="宋体"/>
          <w:spacing w:val="-4"/>
          <w:szCs w:val="21"/>
          <w:highlight w:val="none"/>
        </w:rPr>
        <w:t>。本合同其他内容、</w:t>
      </w:r>
      <w:r>
        <w:rPr>
          <w:rFonts w:hint="eastAsia" w:ascii="宋体" w:hAnsi="宋体" w:cs="宋体"/>
          <w:szCs w:val="21"/>
          <w:highlight w:val="none"/>
        </w:rPr>
        <w:t>磋商文件或相应文件内容与本款约定不一致的，以本款约定为准。</w:t>
      </w:r>
    </w:p>
    <w:p w14:paraId="4682FDB6">
      <w:pPr>
        <w:adjustRightInd w:val="0"/>
        <w:snapToGrid w:val="0"/>
        <w:spacing w:line="440" w:lineRule="exact"/>
        <w:ind w:firstLine="404" w:firstLineChars="200"/>
        <w:rPr>
          <w:rFonts w:ascii="宋体"/>
          <w:spacing w:val="-4"/>
          <w:szCs w:val="21"/>
          <w:highlight w:val="none"/>
        </w:rPr>
      </w:pPr>
      <w:r>
        <w:rPr>
          <w:rFonts w:hint="eastAsia" w:ascii="宋体"/>
          <w:spacing w:val="-4"/>
          <w:szCs w:val="21"/>
          <w:highlight w:val="none"/>
        </w:rPr>
        <w:t>2.如甲方逾期付款的，</w:t>
      </w:r>
      <w:r>
        <w:rPr>
          <w:rFonts w:hint="eastAsia" w:ascii="宋体"/>
          <w:szCs w:val="21"/>
          <w:highlight w:val="none"/>
        </w:rPr>
        <w:t>违约金按中国人民银行授权全国银行间同业拆借中心公布的1年期贷款市场报价利率(LPR)计算，但违约金累计不得超过合同总金额的1%。</w:t>
      </w:r>
    </w:p>
    <w:p w14:paraId="0EB1B45F">
      <w:pPr>
        <w:adjustRightInd w:val="0"/>
        <w:snapToGrid w:val="0"/>
        <w:spacing w:line="440" w:lineRule="exact"/>
        <w:ind w:firstLine="420" w:firstLineChars="200"/>
        <w:rPr>
          <w:rFonts w:ascii="宋体"/>
          <w:szCs w:val="21"/>
          <w:highlight w:val="none"/>
        </w:rPr>
      </w:pPr>
      <w:r>
        <w:rPr>
          <w:rFonts w:hint="eastAsia" w:ascii="宋体"/>
          <w:szCs w:val="21"/>
          <w:highlight w:val="none"/>
        </w:rPr>
        <w:t>3.乙方给甲方造成的损失超过违约金额的，乙方应给甲方高出违约金的部分予以赔偿。</w:t>
      </w:r>
    </w:p>
    <w:p w14:paraId="178E466D">
      <w:pPr>
        <w:adjustRightInd w:val="0"/>
        <w:snapToGrid w:val="0"/>
        <w:spacing w:line="440" w:lineRule="exact"/>
        <w:ind w:firstLine="420" w:firstLineChars="200"/>
        <w:rPr>
          <w:rFonts w:ascii="宋体" w:hAnsi="宋体" w:cs="宋体"/>
          <w:szCs w:val="21"/>
          <w:highlight w:val="none"/>
        </w:rPr>
      </w:pPr>
      <w:r>
        <w:rPr>
          <w:rFonts w:hint="eastAsia" w:ascii="宋体" w:hAnsi="宋体" w:cs="宋体"/>
          <w:szCs w:val="21"/>
          <w:highlight w:val="none"/>
        </w:rPr>
        <w:t>4.乙方延迟履约、不完全履约或提供的服务不符合磋商文件和响应文件要求的。除支付违约金外，仍需继续履行合同或重新提供符合要求的服务。</w:t>
      </w:r>
    </w:p>
    <w:p w14:paraId="6A083251">
      <w:pPr>
        <w:snapToGrid w:val="0"/>
        <w:spacing w:line="440" w:lineRule="exact"/>
        <w:ind w:firstLine="413" w:firstLineChars="196"/>
        <w:rPr>
          <w:rFonts w:ascii="宋体" w:hAnsi="宋体"/>
          <w:b/>
          <w:color w:val="000000"/>
          <w:szCs w:val="20"/>
          <w:highlight w:val="none"/>
        </w:rPr>
      </w:pPr>
      <w:r>
        <w:rPr>
          <w:rFonts w:hint="eastAsia" w:ascii="宋体" w:hAnsi="宋体"/>
          <w:b/>
          <w:color w:val="000000"/>
          <w:szCs w:val="20"/>
          <w:highlight w:val="none"/>
        </w:rPr>
        <w:t>第十一条 不可抗力事件处理</w:t>
      </w:r>
    </w:p>
    <w:p w14:paraId="417E0B7B">
      <w:pPr>
        <w:snapToGrid w:val="0"/>
        <w:spacing w:line="440" w:lineRule="exact"/>
        <w:ind w:firstLine="420" w:firstLineChars="200"/>
        <w:rPr>
          <w:rFonts w:ascii="宋体" w:hAnsi="宋体"/>
          <w:color w:val="000000"/>
          <w:szCs w:val="21"/>
          <w:highlight w:val="none"/>
        </w:rPr>
      </w:pPr>
      <w:r>
        <w:rPr>
          <w:rFonts w:hint="eastAsia" w:ascii="宋体" w:hAnsi="宋体"/>
          <w:color w:val="000000"/>
          <w:szCs w:val="21"/>
          <w:highlight w:val="none"/>
        </w:rPr>
        <w:t>1. 在合同有效期内，任何一方因不可抗力事件导致不能履行合同，则合同履行期可延长，其延长期与不可抗力影响期相同。</w:t>
      </w:r>
    </w:p>
    <w:p w14:paraId="08E9BF12">
      <w:pPr>
        <w:snapToGrid w:val="0"/>
        <w:spacing w:line="440" w:lineRule="exact"/>
        <w:ind w:firstLine="420" w:firstLineChars="200"/>
        <w:rPr>
          <w:rFonts w:ascii="宋体" w:hAnsi="宋体"/>
          <w:color w:val="000000"/>
          <w:szCs w:val="21"/>
          <w:highlight w:val="none"/>
        </w:rPr>
      </w:pPr>
      <w:r>
        <w:rPr>
          <w:rFonts w:hint="eastAsia" w:ascii="宋体" w:hAnsi="宋体"/>
          <w:color w:val="000000"/>
          <w:szCs w:val="21"/>
          <w:highlight w:val="none"/>
        </w:rPr>
        <w:t>2. 不可抗力事件发生后，应立即通知对方，并寄送有关权威机构出具的证明。</w:t>
      </w:r>
    </w:p>
    <w:p w14:paraId="0868C342">
      <w:pPr>
        <w:snapToGrid w:val="0"/>
        <w:spacing w:line="440" w:lineRule="exact"/>
        <w:ind w:firstLine="420" w:firstLineChars="200"/>
        <w:rPr>
          <w:rFonts w:ascii="宋体" w:hAnsi="宋体"/>
          <w:color w:val="000000"/>
          <w:szCs w:val="21"/>
          <w:highlight w:val="none"/>
        </w:rPr>
      </w:pPr>
      <w:r>
        <w:rPr>
          <w:rFonts w:hint="eastAsia" w:ascii="宋体" w:hAnsi="宋体"/>
          <w:color w:val="000000"/>
          <w:szCs w:val="21"/>
          <w:highlight w:val="none"/>
        </w:rPr>
        <w:t>3. 不可抗力事件延续一百二十天以上，三方应通过友好协商，确定是否继续履行合同。</w:t>
      </w:r>
    </w:p>
    <w:p w14:paraId="6902A2E8">
      <w:pPr>
        <w:snapToGrid w:val="0"/>
        <w:spacing w:line="440" w:lineRule="exact"/>
        <w:ind w:firstLine="422" w:firstLineChars="200"/>
        <w:rPr>
          <w:rFonts w:ascii="宋体" w:hAnsi="宋体"/>
          <w:color w:val="000000"/>
          <w:szCs w:val="21"/>
          <w:highlight w:val="none"/>
        </w:rPr>
      </w:pPr>
      <w:r>
        <w:rPr>
          <w:rFonts w:hint="eastAsia" w:ascii="宋体" w:hAnsi="宋体"/>
          <w:b/>
          <w:color w:val="000000"/>
          <w:szCs w:val="21"/>
          <w:highlight w:val="none"/>
        </w:rPr>
        <w:t>第十二条  合同争议解决</w:t>
      </w:r>
    </w:p>
    <w:p w14:paraId="35DC7EB7">
      <w:pPr>
        <w:snapToGrid w:val="0"/>
        <w:spacing w:line="440" w:lineRule="exact"/>
        <w:ind w:firstLine="420" w:firstLineChars="200"/>
        <w:rPr>
          <w:rFonts w:ascii="宋体" w:hAnsi="宋体"/>
          <w:color w:val="000000"/>
          <w:szCs w:val="21"/>
          <w:highlight w:val="none"/>
        </w:rPr>
      </w:pPr>
      <w:r>
        <w:rPr>
          <w:rFonts w:hint="eastAsia" w:ascii="宋体" w:hAnsi="宋体"/>
          <w:color w:val="000000"/>
          <w:szCs w:val="21"/>
          <w:highlight w:val="none"/>
        </w:rPr>
        <w:t>1.因服务质量问题发生争议的，应邀请国家认可的质量检测机构对服务质量进行鉴定。服务符合标准或要求的，鉴定费由甲方承担；服务不符合标准或要求的，鉴定费由乙方承担。</w:t>
      </w:r>
    </w:p>
    <w:p w14:paraId="236B91F2">
      <w:pPr>
        <w:adjustRightInd w:val="0"/>
        <w:snapToGrid w:val="0"/>
        <w:spacing w:line="440" w:lineRule="exact"/>
        <w:ind w:firstLine="420" w:firstLineChars="200"/>
        <w:rPr>
          <w:rFonts w:ascii="宋体" w:hAnsi="宋体"/>
          <w:szCs w:val="21"/>
          <w:highlight w:val="none"/>
        </w:rPr>
      </w:pPr>
      <w:r>
        <w:rPr>
          <w:rFonts w:hint="eastAsia" w:ascii="宋体" w:hAnsi="宋体"/>
          <w:szCs w:val="21"/>
          <w:highlight w:val="none"/>
        </w:rPr>
        <w:t>2.因履行本合同引起的或与本合同有关的争议，甲乙丙三方应首先通过友好协商解决，如果协商不能解决，可向甲方所在地的</w:t>
      </w:r>
      <w:r>
        <w:rPr>
          <w:rFonts w:hint="eastAsia" w:ascii="宋体" w:hAnsi="宋体"/>
          <w:szCs w:val="21"/>
          <w:highlight w:val="none"/>
          <w:u w:val="single"/>
        </w:rPr>
        <w:t xml:space="preserve">  北海市中级人民法院提出诉讼</w:t>
      </w:r>
      <w:r>
        <w:rPr>
          <w:rFonts w:hint="eastAsia" w:ascii="宋体" w:hAnsi="宋体"/>
          <w:szCs w:val="21"/>
          <w:highlight w:val="none"/>
        </w:rPr>
        <w:t>。</w:t>
      </w:r>
    </w:p>
    <w:p w14:paraId="094AAB6D">
      <w:pPr>
        <w:adjustRightInd w:val="0"/>
        <w:snapToGrid w:val="0"/>
        <w:spacing w:line="440" w:lineRule="exact"/>
        <w:ind w:firstLine="420" w:firstLineChars="200"/>
        <w:rPr>
          <w:rFonts w:ascii="宋体" w:hAnsi="宋体"/>
          <w:szCs w:val="21"/>
          <w:highlight w:val="none"/>
        </w:rPr>
      </w:pPr>
      <w:r>
        <w:rPr>
          <w:rFonts w:hint="eastAsia" w:ascii="宋体" w:hAnsi="宋体"/>
          <w:szCs w:val="21"/>
          <w:highlight w:val="none"/>
        </w:rPr>
        <w:t>3.仲裁或诉讼期间，本合同继续履行。</w:t>
      </w:r>
    </w:p>
    <w:p w14:paraId="299C0A7B">
      <w:pPr>
        <w:adjustRightInd w:val="0"/>
        <w:snapToGrid w:val="0"/>
        <w:spacing w:line="440" w:lineRule="exact"/>
        <w:ind w:firstLine="422" w:firstLineChars="200"/>
        <w:rPr>
          <w:rFonts w:ascii="宋体"/>
          <w:b/>
          <w:szCs w:val="21"/>
          <w:highlight w:val="none"/>
        </w:rPr>
      </w:pPr>
      <w:r>
        <w:rPr>
          <w:rFonts w:hint="eastAsia" w:ascii="宋体"/>
          <w:b/>
          <w:szCs w:val="21"/>
          <w:highlight w:val="none"/>
        </w:rPr>
        <w:t>第十三条 通知</w:t>
      </w:r>
    </w:p>
    <w:p w14:paraId="6EE578CF">
      <w:pPr>
        <w:spacing w:line="440" w:lineRule="exact"/>
        <w:ind w:firstLine="420" w:firstLineChars="200"/>
        <w:rPr>
          <w:szCs w:val="20"/>
          <w:highlight w:val="none"/>
        </w:rPr>
      </w:pPr>
      <w:r>
        <w:rPr>
          <w:rFonts w:hint="eastAsia" w:ascii="宋体"/>
          <w:szCs w:val="21"/>
          <w:highlight w:val="none"/>
        </w:rPr>
        <w:t>本合同约定地址及各自注册地址均可作为接受</w:t>
      </w:r>
      <w:r>
        <w:rPr>
          <w:rFonts w:hint="eastAsia" w:ascii="宋体" w:hAnsi="宋体"/>
          <w:color w:val="000000"/>
          <w:szCs w:val="21"/>
          <w:highlight w:val="none"/>
        </w:rPr>
        <w:t>三</w:t>
      </w:r>
      <w:r>
        <w:rPr>
          <w:rFonts w:hint="eastAsia" w:ascii="宋体"/>
          <w:szCs w:val="21"/>
          <w:highlight w:val="none"/>
        </w:rPr>
        <w:t>方书面往来文件及争议解决法院诉讼文书等相关材料。一方变更联系地址应提前三日书面通知对方，未书面通知的，视为未变更。因载明的地址有误或未及时告知变更后的地址，导致相关材料未能实际被接收的，邮寄方式通知的，材料退回之日或交邮后第3日（以两者先到为准）即视为送达之日，此而引发的全部责任和损失均由该方自行承担。</w:t>
      </w:r>
    </w:p>
    <w:p w14:paraId="269F06B6">
      <w:pPr>
        <w:snapToGrid w:val="0"/>
        <w:spacing w:line="440" w:lineRule="exact"/>
        <w:ind w:firstLine="413" w:firstLineChars="196"/>
        <w:rPr>
          <w:rFonts w:ascii="宋体" w:hAnsi="宋体"/>
          <w:b/>
          <w:color w:val="000000"/>
          <w:szCs w:val="20"/>
          <w:highlight w:val="none"/>
        </w:rPr>
      </w:pPr>
      <w:r>
        <w:rPr>
          <w:rFonts w:hint="eastAsia" w:ascii="宋体" w:hAnsi="宋体"/>
          <w:b/>
          <w:color w:val="000000"/>
          <w:szCs w:val="20"/>
          <w:highlight w:val="none"/>
        </w:rPr>
        <w:t>第十四条 合同生效及其它</w:t>
      </w:r>
    </w:p>
    <w:p w14:paraId="467FDC76">
      <w:pPr>
        <w:snapToGrid w:val="0"/>
        <w:spacing w:line="440" w:lineRule="exact"/>
        <w:ind w:firstLine="420" w:firstLineChars="200"/>
        <w:rPr>
          <w:rFonts w:ascii="宋体" w:hAnsi="宋体"/>
          <w:color w:val="000000"/>
          <w:szCs w:val="21"/>
          <w:highlight w:val="none"/>
        </w:rPr>
      </w:pPr>
      <w:r>
        <w:rPr>
          <w:rFonts w:hint="eastAsia" w:ascii="宋体" w:hAnsi="宋体"/>
          <w:color w:val="000000"/>
          <w:szCs w:val="21"/>
          <w:highlight w:val="none"/>
        </w:rPr>
        <w:t>1．合同经三方法定代表人（负责人）或授权代表（委托代理人）签字并加盖单位公章后生效。</w:t>
      </w:r>
    </w:p>
    <w:p w14:paraId="015E5486">
      <w:pPr>
        <w:snapToGrid w:val="0"/>
        <w:spacing w:line="440" w:lineRule="exact"/>
        <w:ind w:firstLine="420" w:firstLineChars="200"/>
        <w:rPr>
          <w:rFonts w:ascii="宋体" w:hAnsi="宋体"/>
          <w:color w:val="000000"/>
          <w:szCs w:val="21"/>
          <w:highlight w:val="none"/>
        </w:rPr>
      </w:pPr>
      <w:r>
        <w:rPr>
          <w:rFonts w:hint="eastAsia" w:ascii="宋体" w:hAnsi="宋体"/>
          <w:color w:val="000000"/>
          <w:szCs w:val="21"/>
          <w:highlight w:val="none"/>
        </w:rPr>
        <w:t>2．合同执行中涉及采购资金和采购内容修改或补充的，须经北海市政府采购监督管理科审批，并签书面补充协议报北海市财政局政府采购监督管理科备案，方可作为主合同不可分割的一部分。</w:t>
      </w:r>
    </w:p>
    <w:p w14:paraId="27BA71C8">
      <w:pPr>
        <w:snapToGrid w:val="0"/>
        <w:spacing w:line="440" w:lineRule="exact"/>
        <w:ind w:firstLine="420" w:firstLineChars="200"/>
        <w:rPr>
          <w:rFonts w:ascii="宋体" w:hAnsi="宋体"/>
          <w:color w:val="000000"/>
          <w:szCs w:val="21"/>
          <w:highlight w:val="none"/>
        </w:rPr>
      </w:pPr>
      <w:r>
        <w:rPr>
          <w:rFonts w:hint="eastAsia" w:ascii="宋体" w:hAnsi="宋体"/>
          <w:color w:val="000000"/>
          <w:szCs w:val="21"/>
          <w:highlight w:val="none"/>
        </w:rPr>
        <w:t>3．本合同未尽事宜，遵照《中华人民共和国民法典》有关条文执行。</w:t>
      </w:r>
    </w:p>
    <w:p w14:paraId="7BFECFE8">
      <w:pPr>
        <w:snapToGrid w:val="0"/>
        <w:spacing w:line="440" w:lineRule="exact"/>
        <w:ind w:firstLine="413" w:firstLineChars="196"/>
        <w:rPr>
          <w:rFonts w:ascii="宋体" w:hAnsi="宋体"/>
          <w:b/>
          <w:color w:val="000000"/>
          <w:szCs w:val="20"/>
          <w:highlight w:val="none"/>
        </w:rPr>
      </w:pPr>
      <w:r>
        <w:rPr>
          <w:rFonts w:hint="eastAsia" w:ascii="宋体" w:hAnsi="宋体"/>
          <w:b/>
          <w:color w:val="000000"/>
          <w:szCs w:val="20"/>
          <w:highlight w:val="none"/>
        </w:rPr>
        <w:t>第十五条　合同的变更、终止与转让</w:t>
      </w:r>
    </w:p>
    <w:p w14:paraId="44FF26CF">
      <w:pPr>
        <w:snapToGrid w:val="0"/>
        <w:spacing w:line="440" w:lineRule="exact"/>
        <w:ind w:firstLine="420" w:firstLineChars="200"/>
        <w:rPr>
          <w:rFonts w:ascii="宋体" w:hAnsi="宋体"/>
          <w:color w:val="000000"/>
          <w:szCs w:val="21"/>
          <w:highlight w:val="none"/>
        </w:rPr>
      </w:pPr>
      <w:r>
        <w:rPr>
          <w:rFonts w:hint="eastAsia" w:ascii="宋体" w:hAnsi="宋体"/>
          <w:color w:val="000000"/>
          <w:szCs w:val="21"/>
          <w:highlight w:val="none"/>
        </w:rPr>
        <w:t>1.除《中华人民共和国政府采购法》第五十条规定的情形外，本合同一经签订，甲乙丙三方不得擅自变更、中止或终止。</w:t>
      </w:r>
    </w:p>
    <w:p w14:paraId="1F384083">
      <w:pPr>
        <w:snapToGrid w:val="0"/>
        <w:spacing w:line="440" w:lineRule="exact"/>
        <w:ind w:firstLine="411" w:firstLineChars="196"/>
        <w:rPr>
          <w:rFonts w:ascii="宋体" w:hAnsi="宋体"/>
          <w:color w:val="000000"/>
          <w:szCs w:val="20"/>
          <w:highlight w:val="none"/>
        </w:rPr>
      </w:pPr>
      <w:r>
        <w:rPr>
          <w:rFonts w:hint="eastAsia" w:ascii="宋体" w:hAnsi="宋体"/>
          <w:color w:val="000000"/>
          <w:szCs w:val="20"/>
          <w:highlight w:val="none"/>
        </w:rPr>
        <w:t>2.乙方不得擅自转让其应履行的合同义务。</w:t>
      </w:r>
    </w:p>
    <w:p w14:paraId="6AF4CFBA">
      <w:pPr>
        <w:snapToGrid w:val="0"/>
        <w:spacing w:line="440" w:lineRule="exact"/>
        <w:ind w:firstLine="422" w:firstLineChars="200"/>
        <w:rPr>
          <w:rFonts w:ascii="宋体" w:hAnsi="宋体"/>
          <w:b/>
          <w:color w:val="000000"/>
          <w:szCs w:val="21"/>
          <w:highlight w:val="none"/>
        </w:rPr>
      </w:pPr>
      <w:r>
        <w:rPr>
          <w:rFonts w:hint="eastAsia" w:ascii="宋体" w:hAnsi="宋体"/>
          <w:b/>
          <w:color w:val="000000"/>
          <w:szCs w:val="21"/>
          <w:highlight w:val="none"/>
        </w:rPr>
        <w:t>第十六条　签订本合同依据</w:t>
      </w:r>
    </w:p>
    <w:p w14:paraId="2910B041">
      <w:pPr>
        <w:snapToGrid w:val="0"/>
        <w:spacing w:line="440" w:lineRule="exact"/>
        <w:ind w:firstLine="420" w:firstLineChars="200"/>
        <w:rPr>
          <w:rFonts w:ascii="宋体" w:hAnsi="宋体"/>
          <w:color w:val="000000"/>
          <w:szCs w:val="21"/>
          <w:highlight w:val="none"/>
        </w:rPr>
      </w:pPr>
      <w:r>
        <w:rPr>
          <w:rFonts w:hint="eastAsia" w:ascii="宋体" w:hAnsi="宋体"/>
          <w:color w:val="000000"/>
          <w:szCs w:val="21"/>
          <w:highlight w:val="none"/>
        </w:rPr>
        <w:t>1.招标文件；</w:t>
      </w:r>
    </w:p>
    <w:p w14:paraId="73FA4028">
      <w:pPr>
        <w:snapToGrid w:val="0"/>
        <w:spacing w:line="440" w:lineRule="exact"/>
        <w:ind w:firstLine="420" w:firstLineChars="200"/>
        <w:rPr>
          <w:rFonts w:ascii="宋体" w:hAnsi="宋体"/>
          <w:color w:val="000000"/>
          <w:szCs w:val="21"/>
          <w:highlight w:val="none"/>
        </w:rPr>
      </w:pPr>
      <w:r>
        <w:rPr>
          <w:rFonts w:hint="eastAsia" w:ascii="宋体" w:hAnsi="宋体"/>
          <w:color w:val="000000"/>
          <w:szCs w:val="21"/>
          <w:highlight w:val="none"/>
        </w:rPr>
        <w:t>2.投标文件；</w:t>
      </w:r>
    </w:p>
    <w:p w14:paraId="2EEF092A">
      <w:pPr>
        <w:snapToGrid w:val="0"/>
        <w:spacing w:line="440" w:lineRule="exact"/>
        <w:ind w:firstLine="420" w:firstLineChars="200"/>
        <w:rPr>
          <w:rFonts w:ascii="宋体" w:hAnsi="宋体"/>
          <w:color w:val="000000"/>
          <w:szCs w:val="21"/>
          <w:highlight w:val="none"/>
        </w:rPr>
      </w:pPr>
      <w:r>
        <w:rPr>
          <w:rFonts w:hint="eastAsia" w:ascii="宋体" w:hAnsi="宋体"/>
          <w:color w:val="000000"/>
          <w:szCs w:val="21"/>
          <w:highlight w:val="none"/>
        </w:rPr>
        <w:t xml:space="preserve">3.承诺函； </w:t>
      </w:r>
    </w:p>
    <w:p w14:paraId="055443FE">
      <w:pPr>
        <w:snapToGrid w:val="0"/>
        <w:spacing w:line="440" w:lineRule="exact"/>
        <w:ind w:firstLine="420" w:firstLineChars="200"/>
        <w:rPr>
          <w:rFonts w:ascii="宋体" w:hAnsi="宋体"/>
          <w:color w:val="000000"/>
          <w:szCs w:val="21"/>
          <w:highlight w:val="none"/>
          <w:u w:val="single"/>
        </w:rPr>
      </w:pPr>
      <w:r>
        <w:rPr>
          <w:rFonts w:hint="eastAsia" w:ascii="宋体" w:hAnsi="宋体"/>
          <w:color w:val="000000"/>
          <w:szCs w:val="21"/>
          <w:highlight w:val="none"/>
        </w:rPr>
        <w:t>4.中标通知书。</w:t>
      </w:r>
    </w:p>
    <w:p w14:paraId="338D46DD">
      <w:pPr>
        <w:snapToGrid w:val="0"/>
        <w:spacing w:line="440" w:lineRule="exact"/>
        <w:ind w:firstLine="422" w:firstLineChars="200"/>
        <w:rPr>
          <w:rFonts w:ascii="宋体" w:hAnsi="宋体"/>
          <w:color w:val="000000"/>
          <w:szCs w:val="21"/>
          <w:highlight w:val="none"/>
        </w:rPr>
      </w:pPr>
      <w:r>
        <w:rPr>
          <w:rFonts w:hint="eastAsia" w:ascii="宋体" w:hAnsi="宋体"/>
          <w:b/>
          <w:color w:val="000000"/>
          <w:szCs w:val="21"/>
          <w:highlight w:val="none"/>
        </w:rPr>
        <w:t>第十七条　</w:t>
      </w:r>
      <w:r>
        <w:rPr>
          <w:rFonts w:hint="eastAsia" w:ascii="宋体" w:hAnsi="宋体"/>
          <w:color w:val="000000"/>
          <w:szCs w:val="21"/>
          <w:highlight w:val="none"/>
        </w:rPr>
        <w:t>本合同一式伍份，具有同等法律效力，北海市财政局政府采购监督管理科、采购代理机构各一份，甲乙丙三方各一份（可根据需要另增加）。</w:t>
      </w:r>
    </w:p>
    <w:p w14:paraId="2D573638">
      <w:pPr>
        <w:spacing w:line="440" w:lineRule="exact"/>
        <w:ind w:firstLine="420" w:firstLineChars="200"/>
        <w:rPr>
          <w:rFonts w:ascii="宋体" w:hAnsi="宋体"/>
          <w:color w:val="000000"/>
          <w:szCs w:val="21"/>
          <w:highlight w:val="none"/>
        </w:rPr>
      </w:pPr>
      <w:r>
        <w:rPr>
          <w:rFonts w:hint="eastAsia" w:ascii="宋体" w:hAnsi="宋体"/>
          <w:color w:val="000000"/>
          <w:szCs w:val="21"/>
          <w:highlight w:val="none"/>
        </w:rPr>
        <w:t>本合同甲乙丙三方签字盖章后生效，自签订之日起七个工作日内，采购人或采购代理机构应当将合同副本报北海市财政局政府采购监督管理科备案。</w:t>
      </w:r>
    </w:p>
    <w:p w14:paraId="2CA6A57A">
      <w:pPr>
        <w:keepNext/>
        <w:keepLines/>
        <w:widowControl/>
        <w:tabs>
          <w:tab w:val="left" w:pos="360"/>
        </w:tabs>
        <w:adjustRightInd w:val="0"/>
        <w:snapToGrid w:val="0"/>
        <w:spacing w:before="156" w:beforeLines="50" w:after="156" w:afterLines="50" w:line="420" w:lineRule="exact"/>
        <w:ind w:firstLine="422" w:firstLineChars="200"/>
        <w:outlineLvl w:val="1"/>
        <w:rPr>
          <w:rFonts w:ascii="宋体" w:hAnsi="宋体"/>
          <w:b/>
          <w:color w:val="000000"/>
          <w:szCs w:val="21"/>
          <w:highlight w:val="none"/>
        </w:rPr>
      </w:pPr>
      <w:r>
        <w:rPr>
          <w:rFonts w:hint="eastAsia" w:ascii="宋体" w:hAnsi="宋体"/>
          <w:b/>
          <w:color w:val="000000"/>
          <w:szCs w:val="21"/>
          <w:highlight w:val="none"/>
        </w:rPr>
        <w:t>（下无正文）</w:t>
      </w:r>
    </w:p>
    <w:tbl>
      <w:tblPr>
        <w:tblStyle w:val="6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63"/>
        <w:gridCol w:w="3367"/>
        <w:gridCol w:w="3267"/>
      </w:tblGrid>
      <w:tr w14:paraId="790E5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78" w:hRule="atLeast"/>
        </w:trPr>
        <w:tc>
          <w:tcPr>
            <w:tcW w:w="3163" w:type="dxa"/>
            <w:vAlign w:val="center"/>
          </w:tcPr>
          <w:p w14:paraId="78B090F6">
            <w:pPr>
              <w:snapToGrid w:val="0"/>
              <w:spacing w:line="420" w:lineRule="exact"/>
              <w:rPr>
                <w:rFonts w:ascii="宋体" w:hAnsi="宋体"/>
                <w:color w:val="000000"/>
                <w:szCs w:val="21"/>
                <w:highlight w:val="none"/>
              </w:rPr>
            </w:pPr>
            <w:r>
              <w:rPr>
                <w:rFonts w:hint="eastAsia" w:ascii="宋体" w:hAnsi="宋体"/>
                <w:color w:val="000000"/>
                <w:szCs w:val="21"/>
                <w:highlight w:val="none"/>
              </w:rPr>
              <w:t xml:space="preserve">甲方（章）           </w:t>
            </w:r>
          </w:p>
          <w:p w14:paraId="14206927">
            <w:pPr>
              <w:snapToGrid w:val="0"/>
              <w:spacing w:line="420" w:lineRule="exact"/>
              <w:rPr>
                <w:rFonts w:ascii="宋体" w:hAnsi="宋体"/>
                <w:color w:val="000000"/>
                <w:szCs w:val="21"/>
                <w:highlight w:val="none"/>
              </w:rPr>
            </w:pPr>
          </w:p>
          <w:p w14:paraId="78BF13E4">
            <w:pPr>
              <w:snapToGrid w:val="0"/>
              <w:spacing w:line="420" w:lineRule="exact"/>
              <w:ind w:right="210" w:firstLine="945" w:firstLineChars="450"/>
              <w:jc w:val="right"/>
              <w:rPr>
                <w:rFonts w:ascii="宋体" w:hAnsi="宋体"/>
                <w:color w:val="000000"/>
                <w:szCs w:val="21"/>
                <w:highlight w:val="none"/>
              </w:rPr>
            </w:pPr>
            <w:r>
              <w:rPr>
                <w:rFonts w:hint="eastAsia" w:ascii="宋体" w:hAnsi="宋体"/>
                <w:color w:val="000000"/>
                <w:szCs w:val="21"/>
                <w:highlight w:val="none"/>
              </w:rPr>
              <w:t>年   月   日</w:t>
            </w:r>
          </w:p>
        </w:tc>
        <w:tc>
          <w:tcPr>
            <w:tcW w:w="3367" w:type="dxa"/>
            <w:vAlign w:val="center"/>
          </w:tcPr>
          <w:p w14:paraId="66D67E60">
            <w:pPr>
              <w:snapToGrid w:val="0"/>
              <w:spacing w:line="420" w:lineRule="exact"/>
              <w:rPr>
                <w:rFonts w:ascii="宋体" w:hAnsi="宋体"/>
                <w:szCs w:val="21"/>
                <w:highlight w:val="none"/>
              </w:rPr>
            </w:pPr>
            <w:r>
              <w:rPr>
                <w:rFonts w:hint="eastAsia" w:ascii="宋体" w:hAnsi="宋体"/>
                <w:szCs w:val="21"/>
                <w:highlight w:val="none"/>
              </w:rPr>
              <w:t xml:space="preserve">乙方（章）              </w:t>
            </w:r>
          </w:p>
          <w:p w14:paraId="4358EBC8">
            <w:pPr>
              <w:snapToGrid w:val="0"/>
              <w:spacing w:line="420" w:lineRule="exact"/>
              <w:rPr>
                <w:rFonts w:ascii="宋体" w:hAnsi="宋体"/>
                <w:szCs w:val="21"/>
                <w:highlight w:val="none"/>
              </w:rPr>
            </w:pPr>
          </w:p>
          <w:p w14:paraId="4BBCCFCB">
            <w:pPr>
              <w:snapToGrid w:val="0"/>
              <w:spacing w:line="420" w:lineRule="exact"/>
              <w:jc w:val="right"/>
              <w:rPr>
                <w:rFonts w:ascii="宋体" w:hAnsi="宋体"/>
                <w:szCs w:val="21"/>
                <w:highlight w:val="none"/>
              </w:rPr>
            </w:pPr>
            <w:r>
              <w:rPr>
                <w:rFonts w:hint="eastAsia" w:ascii="宋体" w:hAnsi="宋体"/>
                <w:szCs w:val="21"/>
                <w:highlight w:val="none"/>
              </w:rPr>
              <w:t xml:space="preserve"> 年   月   日</w:t>
            </w:r>
          </w:p>
        </w:tc>
        <w:tc>
          <w:tcPr>
            <w:tcW w:w="3267" w:type="dxa"/>
            <w:vAlign w:val="center"/>
          </w:tcPr>
          <w:p w14:paraId="2465EAB0">
            <w:pPr>
              <w:snapToGrid w:val="0"/>
              <w:spacing w:line="420" w:lineRule="exact"/>
              <w:rPr>
                <w:rFonts w:ascii="宋体" w:hAnsi="宋体"/>
                <w:szCs w:val="21"/>
                <w:highlight w:val="none"/>
              </w:rPr>
            </w:pPr>
            <w:r>
              <w:rPr>
                <w:rFonts w:hint="eastAsia" w:ascii="宋体" w:hAnsi="宋体"/>
                <w:szCs w:val="21"/>
                <w:highlight w:val="none"/>
              </w:rPr>
              <w:t xml:space="preserve">丙方（章）              </w:t>
            </w:r>
          </w:p>
          <w:p w14:paraId="185C4A04">
            <w:pPr>
              <w:snapToGrid w:val="0"/>
              <w:spacing w:line="420" w:lineRule="exact"/>
              <w:rPr>
                <w:rFonts w:ascii="宋体" w:hAnsi="宋体"/>
                <w:szCs w:val="21"/>
                <w:highlight w:val="none"/>
              </w:rPr>
            </w:pPr>
          </w:p>
          <w:p w14:paraId="3A5F901D">
            <w:pPr>
              <w:snapToGrid w:val="0"/>
              <w:spacing w:line="420" w:lineRule="exact"/>
              <w:jc w:val="right"/>
              <w:rPr>
                <w:rFonts w:ascii="宋体" w:hAnsi="宋体"/>
                <w:szCs w:val="21"/>
                <w:highlight w:val="none"/>
              </w:rPr>
            </w:pPr>
            <w:r>
              <w:rPr>
                <w:rFonts w:hint="eastAsia" w:ascii="宋体" w:hAnsi="宋体"/>
                <w:szCs w:val="21"/>
                <w:highlight w:val="none"/>
              </w:rPr>
              <w:t xml:space="preserve"> 年   月   日</w:t>
            </w:r>
          </w:p>
        </w:tc>
      </w:tr>
      <w:tr w14:paraId="00F9D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3163" w:type="dxa"/>
            <w:vAlign w:val="center"/>
          </w:tcPr>
          <w:p w14:paraId="06076B3F">
            <w:pPr>
              <w:snapToGrid w:val="0"/>
              <w:spacing w:line="420" w:lineRule="exact"/>
              <w:rPr>
                <w:rFonts w:ascii="宋体" w:hAnsi="宋体"/>
                <w:color w:val="000000"/>
                <w:szCs w:val="21"/>
                <w:highlight w:val="none"/>
              </w:rPr>
            </w:pPr>
            <w:r>
              <w:rPr>
                <w:rFonts w:hint="eastAsia" w:ascii="宋体" w:hAnsi="宋体"/>
                <w:color w:val="000000"/>
                <w:szCs w:val="21"/>
                <w:highlight w:val="none"/>
              </w:rPr>
              <w:t>单位地址：</w:t>
            </w:r>
          </w:p>
        </w:tc>
        <w:tc>
          <w:tcPr>
            <w:tcW w:w="3367" w:type="dxa"/>
            <w:vAlign w:val="center"/>
          </w:tcPr>
          <w:p w14:paraId="59FB6CDD">
            <w:pPr>
              <w:snapToGrid w:val="0"/>
              <w:spacing w:line="420" w:lineRule="exact"/>
              <w:rPr>
                <w:rFonts w:ascii="宋体" w:hAnsi="宋体"/>
                <w:szCs w:val="21"/>
                <w:highlight w:val="none"/>
              </w:rPr>
            </w:pPr>
            <w:r>
              <w:rPr>
                <w:rFonts w:hint="eastAsia" w:ascii="宋体" w:hAnsi="宋体"/>
                <w:szCs w:val="21"/>
                <w:highlight w:val="none"/>
              </w:rPr>
              <w:t>单位地址：</w:t>
            </w:r>
          </w:p>
        </w:tc>
        <w:tc>
          <w:tcPr>
            <w:tcW w:w="3267" w:type="dxa"/>
            <w:vAlign w:val="center"/>
          </w:tcPr>
          <w:p w14:paraId="7BEA6B2F">
            <w:pPr>
              <w:snapToGrid w:val="0"/>
              <w:spacing w:line="420" w:lineRule="exact"/>
              <w:rPr>
                <w:rFonts w:ascii="宋体" w:hAnsi="宋体"/>
                <w:szCs w:val="21"/>
                <w:highlight w:val="none"/>
              </w:rPr>
            </w:pPr>
            <w:r>
              <w:rPr>
                <w:rFonts w:hint="eastAsia" w:ascii="宋体" w:hAnsi="宋体"/>
                <w:szCs w:val="21"/>
                <w:highlight w:val="none"/>
              </w:rPr>
              <w:t>单位地址：</w:t>
            </w:r>
          </w:p>
        </w:tc>
      </w:tr>
      <w:tr w14:paraId="1ED183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3163" w:type="dxa"/>
            <w:vAlign w:val="center"/>
          </w:tcPr>
          <w:p w14:paraId="08F285F9">
            <w:pPr>
              <w:snapToGrid w:val="0"/>
              <w:spacing w:line="420" w:lineRule="exact"/>
              <w:rPr>
                <w:rFonts w:ascii="宋体" w:hAnsi="宋体"/>
                <w:color w:val="000000"/>
                <w:szCs w:val="21"/>
                <w:highlight w:val="none"/>
              </w:rPr>
            </w:pPr>
            <w:r>
              <w:rPr>
                <w:rFonts w:hint="eastAsia" w:ascii="宋体" w:hAnsi="宋体"/>
                <w:color w:val="000000"/>
                <w:szCs w:val="21"/>
                <w:highlight w:val="none"/>
              </w:rPr>
              <w:t>法定代表人（负责人）：</w:t>
            </w:r>
          </w:p>
        </w:tc>
        <w:tc>
          <w:tcPr>
            <w:tcW w:w="3367" w:type="dxa"/>
            <w:vAlign w:val="center"/>
          </w:tcPr>
          <w:p w14:paraId="120118FF">
            <w:pPr>
              <w:snapToGrid w:val="0"/>
              <w:spacing w:line="420" w:lineRule="exact"/>
              <w:rPr>
                <w:rFonts w:ascii="宋体" w:hAnsi="宋体"/>
                <w:szCs w:val="21"/>
                <w:highlight w:val="none"/>
              </w:rPr>
            </w:pPr>
            <w:r>
              <w:rPr>
                <w:rFonts w:hint="eastAsia" w:ascii="宋体" w:hAnsi="宋体"/>
                <w:szCs w:val="21"/>
                <w:highlight w:val="none"/>
              </w:rPr>
              <w:t>法定代表人（负责人）：</w:t>
            </w:r>
          </w:p>
        </w:tc>
        <w:tc>
          <w:tcPr>
            <w:tcW w:w="3267" w:type="dxa"/>
            <w:vAlign w:val="center"/>
          </w:tcPr>
          <w:p w14:paraId="5EAA3F5D">
            <w:pPr>
              <w:snapToGrid w:val="0"/>
              <w:spacing w:line="420" w:lineRule="exact"/>
              <w:rPr>
                <w:rFonts w:ascii="宋体" w:hAnsi="宋体"/>
                <w:szCs w:val="21"/>
                <w:highlight w:val="none"/>
              </w:rPr>
            </w:pPr>
            <w:r>
              <w:rPr>
                <w:rFonts w:hint="eastAsia" w:ascii="宋体" w:hAnsi="宋体"/>
                <w:szCs w:val="21"/>
                <w:highlight w:val="none"/>
              </w:rPr>
              <w:t>法定代表人（负责人）：</w:t>
            </w:r>
          </w:p>
        </w:tc>
      </w:tr>
      <w:tr w14:paraId="600CE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3163" w:type="dxa"/>
            <w:vAlign w:val="center"/>
          </w:tcPr>
          <w:p w14:paraId="285988C5">
            <w:pPr>
              <w:snapToGrid w:val="0"/>
              <w:spacing w:line="420" w:lineRule="exact"/>
              <w:rPr>
                <w:rFonts w:ascii="宋体" w:hAnsi="宋体"/>
                <w:color w:val="000000"/>
                <w:szCs w:val="21"/>
                <w:highlight w:val="none"/>
              </w:rPr>
            </w:pPr>
            <w:r>
              <w:rPr>
                <w:rFonts w:hint="eastAsia" w:ascii="宋体" w:hAnsi="宋体"/>
                <w:color w:val="000000"/>
                <w:szCs w:val="21"/>
                <w:highlight w:val="none"/>
              </w:rPr>
              <w:t>委托代理人：</w:t>
            </w:r>
          </w:p>
        </w:tc>
        <w:tc>
          <w:tcPr>
            <w:tcW w:w="3367" w:type="dxa"/>
            <w:vAlign w:val="center"/>
          </w:tcPr>
          <w:p w14:paraId="0FEB89E8">
            <w:pPr>
              <w:snapToGrid w:val="0"/>
              <w:spacing w:line="420" w:lineRule="exact"/>
              <w:rPr>
                <w:rFonts w:ascii="宋体" w:hAnsi="宋体"/>
                <w:szCs w:val="21"/>
                <w:highlight w:val="none"/>
              </w:rPr>
            </w:pPr>
            <w:r>
              <w:rPr>
                <w:rFonts w:hint="eastAsia" w:ascii="宋体" w:hAnsi="宋体"/>
                <w:szCs w:val="21"/>
                <w:highlight w:val="none"/>
              </w:rPr>
              <w:t>委托代理人</w:t>
            </w:r>
          </w:p>
        </w:tc>
        <w:tc>
          <w:tcPr>
            <w:tcW w:w="3267" w:type="dxa"/>
            <w:vAlign w:val="center"/>
          </w:tcPr>
          <w:p w14:paraId="3AC1B0D1">
            <w:pPr>
              <w:snapToGrid w:val="0"/>
              <w:spacing w:line="420" w:lineRule="exact"/>
              <w:rPr>
                <w:rFonts w:ascii="宋体" w:hAnsi="宋体"/>
                <w:szCs w:val="21"/>
                <w:highlight w:val="none"/>
              </w:rPr>
            </w:pPr>
            <w:r>
              <w:rPr>
                <w:rFonts w:hint="eastAsia" w:ascii="宋体" w:hAnsi="宋体"/>
                <w:szCs w:val="21"/>
                <w:highlight w:val="none"/>
              </w:rPr>
              <w:t>委托代理人</w:t>
            </w:r>
          </w:p>
        </w:tc>
      </w:tr>
      <w:tr w14:paraId="2FF988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3163" w:type="dxa"/>
            <w:vAlign w:val="center"/>
          </w:tcPr>
          <w:p w14:paraId="04478D8E">
            <w:pPr>
              <w:snapToGrid w:val="0"/>
              <w:spacing w:line="420" w:lineRule="exact"/>
              <w:rPr>
                <w:rFonts w:ascii="宋体" w:hAnsi="宋体"/>
                <w:color w:val="000000"/>
                <w:szCs w:val="21"/>
                <w:highlight w:val="none"/>
              </w:rPr>
            </w:pPr>
            <w:r>
              <w:rPr>
                <w:rFonts w:hint="eastAsia" w:ascii="宋体" w:hAnsi="宋体"/>
                <w:color w:val="000000"/>
                <w:szCs w:val="21"/>
                <w:highlight w:val="none"/>
              </w:rPr>
              <w:t>电话：</w:t>
            </w:r>
          </w:p>
        </w:tc>
        <w:tc>
          <w:tcPr>
            <w:tcW w:w="3367" w:type="dxa"/>
            <w:vAlign w:val="center"/>
          </w:tcPr>
          <w:p w14:paraId="426A77F8">
            <w:pPr>
              <w:snapToGrid w:val="0"/>
              <w:spacing w:line="420" w:lineRule="exact"/>
              <w:rPr>
                <w:rFonts w:ascii="宋体" w:hAnsi="宋体"/>
                <w:szCs w:val="21"/>
                <w:highlight w:val="none"/>
              </w:rPr>
            </w:pPr>
            <w:r>
              <w:rPr>
                <w:rFonts w:hint="eastAsia" w:ascii="宋体" w:hAnsi="宋体"/>
                <w:szCs w:val="21"/>
                <w:highlight w:val="none"/>
              </w:rPr>
              <w:t>电话：</w:t>
            </w:r>
          </w:p>
        </w:tc>
        <w:tc>
          <w:tcPr>
            <w:tcW w:w="3267" w:type="dxa"/>
            <w:vAlign w:val="center"/>
          </w:tcPr>
          <w:p w14:paraId="19C6A05A">
            <w:pPr>
              <w:snapToGrid w:val="0"/>
              <w:spacing w:line="420" w:lineRule="exact"/>
              <w:rPr>
                <w:rFonts w:ascii="宋体" w:hAnsi="宋体"/>
                <w:szCs w:val="21"/>
                <w:highlight w:val="none"/>
              </w:rPr>
            </w:pPr>
            <w:r>
              <w:rPr>
                <w:rFonts w:hint="eastAsia" w:ascii="宋体" w:hAnsi="宋体"/>
                <w:szCs w:val="21"/>
                <w:highlight w:val="none"/>
              </w:rPr>
              <w:t>电话：</w:t>
            </w:r>
          </w:p>
        </w:tc>
      </w:tr>
      <w:tr w14:paraId="7730C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3163" w:type="dxa"/>
            <w:vAlign w:val="center"/>
          </w:tcPr>
          <w:p w14:paraId="02B79597">
            <w:pPr>
              <w:snapToGrid w:val="0"/>
              <w:spacing w:line="420" w:lineRule="exact"/>
              <w:rPr>
                <w:rFonts w:ascii="宋体" w:hAnsi="宋体"/>
                <w:color w:val="000000"/>
                <w:szCs w:val="21"/>
                <w:highlight w:val="none"/>
              </w:rPr>
            </w:pPr>
            <w:r>
              <w:rPr>
                <w:rFonts w:hint="eastAsia" w:ascii="宋体" w:hAnsi="宋体"/>
                <w:color w:val="000000"/>
                <w:szCs w:val="21"/>
                <w:highlight w:val="none"/>
              </w:rPr>
              <w:t>电子邮箱：</w:t>
            </w:r>
          </w:p>
        </w:tc>
        <w:tc>
          <w:tcPr>
            <w:tcW w:w="3367" w:type="dxa"/>
            <w:vAlign w:val="center"/>
          </w:tcPr>
          <w:p w14:paraId="100B6944">
            <w:pPr>
              <w:snapToGrid w:val="0"/>
              <w:spacing w:line="420" w:lineRule="exact"/>
              <w:rPr>
                <w:rFonts w:ascii="宋体" w:hAnsi="宋体"/>
                <w:szCs w:val="21"/>
                <w:highlight w:val="none"/>
              </w:rPr>
            </w:pPr>
            <w:r>
              <w:rPr>
                <w:rFonts w:hint="eastAsia" w:ascii="宋体" w:hAnsi="宋体"/>
                <w:szCs w:val="21"/>
                <w:highlight w:val="none"/>
              </w:rPr>
              <w:t>电子邮箱：</w:t>
            </w:r>
          </w:p>
        </w:tc>
        <w:tc>
          <w:tcPr>
            <w:tcW w:w="3267" w:type="dxa"/>
            <w:vAlign w:val="center"/>
          </w:tcPr>
          <w:p w14:paraId="1A66ABEA">
            <w:pPr>
              <w:snapToGrid w:val="0"/>
              <w:spacing w:line="420" w:lineRule="exact"/>
              <w:rPr>
                <w:rFonts w:ascii="宋体" w:hAnsi="宋体"/>
                <w:szCs w:val="21"/>
                <w:highlight w:val="none"/>
              </w:rPr>
            </w:pPr>
            <w:r>
              <w:rPr>
                <w:rFonts w:hint="eastAsia" w:ascii="宋体" w:hAnsi="宋体"/>
                <w:szCs w:val="21"/>
                <w:highlight w:val="none"/>
              </w:rPr>
              <w:t>电子邮箱：</w:t>
            </w:r>
          </w:p>
        </w:tc>
      </w:tr>
      <w:tr w14:paraId="27B7F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3163" w:type="dxa"/>
            <w:vAlign w:val="center"/>
          </w:tcPr>
          <w:p w14:paraId="46E1EAA3">
            <w:pPr>
              <w:snapToGrid w:val="0"/>
              <w:spacing w:line="420" w:lineRule="exact"/>
              <w:rPr>
                <w:rFonts w:ascii="宋体" w:hAnsi="宋体"/>
                <w:color w:val="000000"/>
                <w:szCs w:val="21"/>
                <w:highlight w:val="none"/>
              </w:rPr>
            </w:pPr>
            <w:r>
              <w:rPr>
                <w:rFonts w:hint="eastAsia" w:ascii="宋体" w:hAnsi="宋体"/>
                <w:color w:val="000000"/>
                <w:szCs w:val="21"/>
                <w:highlight w:val="none"/>
              </w:rPr>
              <w:t>开户银行：</w:t>
            </w:r>
          </w:p>
        </w:tc>
        <w:tc>
          <w:tcPr>
            <w:tcW w:w="3367" w:type="dxa"/>
            <w:vAlign w:val="center"/>
          </w:tcPr>
          <w:p w14:paraId="253AAA28">
            <w:pPr>
              <w:snapToGrid w:val="0"/>
              <w:spacing w:line="420" w:lineRule="exact"/>
              <w:rPr>
                <w:rFonts w:ascii="宋体" w:hAnsi="宋体"/>
                <w:szCs w:val="21"/>
                <w:highlight w:val="none"/>
              </w:rPr>
            </w:pPr>
            <w:r>
              <w:rPr>
                <w:rFonts w:hint="eastAsia" w:ascii="宋体" w:hAnsi="宋体"/>
                <w:szCs w:val="21"/>
                <w:highlight w:val="none"/>
              </w:rPr>
              <w:t>开户银行：</w:t>
            </w:r>
          </w:p>
        </w:tc>
        <w:tc>
          <w:tcPr>
            <w:tcW w:w="3267" w:type="dxa"/>
            <w:vAlign w:val="center"/>
          </w:tcPr>
          <w:p w14:paraId="1F5A3143">
            <w:pPr>
              <w:snapToGrid w:val="0"/>
              <w:spacing w:line="420" w:lineRule="exact"/>
              <w:rPr>
                <w:rFonts w:ascii="宋体" w:hAnsi="宋体"/>
                <w:szCs w:val="21"/>
                <w:highlight w:val="none"/>
              </w:rPr>
            </w:pPr>
            <w:r>
              <w:rPr>
                <w:rFonts w:hint="eastAsia" w:ascii="宋体" w:hAnsi="宋体"/>
                <w:szCs w:val="21"/>
                <w:highlight w:val="none"/>
              </w:rPr>
              <w:t>开户银行：</w:t>
            </w:r>
          </w:p>
        </w:tc>
      </w:tr>
      <w:tr w14:paraId="2299B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3163" w:type="dxa"/>
            <w:vAlign w:val="center"/>
          </w:tcPr>
          <w:p w14:paraId="12259FD2">
            <w:pPr>
              <w:snapToGrid w:val="0"/>
              <w:spacing w:line="420" w:lineRule="exact"/>
              <w:rPr>
                <w:rFonts w:ascii="宋体" w:hAnsi="宋体"/>
                <w:color w:val="000000"/>
                <w:szCs w:val="21"/>
                <w:highlight w:val="none"/>
              </w:rPr>
            </w:pPr>
            <w:r>
              <w:rPr>
                <w:rFonts w:hint="eastAsia" w:ascii="宋体" w:hAnsi="宋体"/>
                <w:color w:val="000000"/>
                <w:szCs w:val="21"/>
                <w:highlight w:val="none"/>
              </w:rPr>
              <w:t>账号：</w:t>
            </w:r>
          </w:p>
        </w:tc>
        <w:tc>
          <w:tcPr>
            <w:tcW w:w="3367" w:type="dxa"/>
            <w:vAlign w:val="center"/>
          </w:tcPr>
          <w:p w14:paraId="496FE709">
            <w:pPr>
              <w:snapToGrid w:val="0"/>
              <w:spacing w:line="420" w:lineRule="exact"/>
              <w:rPr>
                <w:rFonts w:ascii="宋体" w:hAnsi="宋体"/>
                <w:szCs w:val="21"/>
                <w:highlight w:val="none"/>
              </w:rPr>
            </w:pPr>
            <w:r>
              <w:rPr>
                <w:rFonts w:hint="eastAsia" w:ascii="宋体" w:hAnsi="宋体"/>
                <w:szCs w:val="21"/>
                <w:highlight w:val="none"/>
              </w:rPr>
              <w:t>账号：</w:t>
            </w:r>
          </w:p>
        </w:tc>
        <w:tc>
          <w:tcPr>
            <w:tcW w:w="3267" w:type="dxa"/>
            <w:vAlign w:val="center"/>
          </w:tcPr>
          <w:p w14:paraId="54EE4BB5">
            <w:pPr>
              <w:snapToGrid w:val="0"/>
              <w:spacing w:line="420" w:lineRule="exact"/>
              <w:rPr>
                <w:rFonts w:ascii="宋体" w:hAnsi="宋体"/>
                <w:szCs w:val="21"/>
                <w:highlight w:val="none"/>
              </w:rPr>
            </w:pPr>
            <w:r>
              <w:rPr>
                <w:rFonts w:hint="eastAsia" w:ascii="宋体" w:hAnsi="宋体"/>
                <w:szCs w:val="21"/>
                <w:highlight w:val="none"/>
              </w:rPr>
              <w:t>账号：</w:t>
            </w:r>
          </w:p>
        </w:tc>
      </w:tr>
      <w:tr w14:paraId="07DA2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 w:hRule="atLeast"/>
        </w:trPr>
        <w:tc>
          <w:tcPr>
            <w:tcW w:w="3163" w:type="dxa"/>
            <w:vAlign w:val="center"/>
          </w:tcPr>
          <w:p w14:paraId="7DF3DEE9">
            <w:pPr>
              <w:snapToGrid w:val="0"/>
              <w:spacing w:line="420" w:lineRule="exact"/>
              <w:rPr>
                <w:rFonts w:ascii="宋体" w:hAnsi="宋体"/>
                <w:color w:val="000000"/>
                <w:szCs w:val="21"/>
                <w:highlight w:val="none"/>
              </w:rPr>
            </w:pPr>
            <w:r>
              <w:rPr>
                <w:rFonts w:hint="eastAsia" w:ascii="宋体" w:hAnsi="宋体"/>
                <w:color w:val="000000"/>
                <w:szCs w:val="21"/>
                <w:highlight w:val="none"/>
              </w:rPr>
              <w:t>邮政编码：</w:t>
            </w:r>
          </w:p>
        </w:tc>
        <w:tc>
          <w:tcPr>
            <w:tcW w:w="3367" w:type="dxa"/>
            <w:vAlign w:val="center"/>
          </w:tcPr>
          <w:p w14:paraId="357EB31E">
            <w:pPr>
              <w:snapToGrid w:val="0"/>
              <w:spacing w:line="420" w:lineRule="exact"/>
              <w:rPr>
                <w:rFonts w:ascii="宋体" w:hAnsi="宋体"/>
                <w:szCs w:val="21"/>
                <w:highlight w:val="none"/>
              </w:rPr>
            </w:pPr>
            <w:r>
              <w:rPr>
                <w:rFonts w:hint="eastAsia" w:ascii="宋体" w:hAnsi="宋体"/>
                <w:szCs w:val="21"/>
                <w:highlight w:val="none"/>
              </w:rPr>
              <w:t>邮政编码：</w:t>
            </w:r>
          </w:p>
        </w:tc>
        <w:tc>
          <w:tcPr>
            <w:tcW w:w="3267" w:type="dxa"/>
            <w:vAlign w:val="center"/>
          </w:tcPr>
          <w:p w14:paraId="3E8F100D">
            <w:pPr>
              <w:snapToGrid w:val="0"/>
              <w:spacing w:line="420" w:lineRule="exact"/>
              <w:rPr>
                <w:rFonts w:ascii="宋体" w:hAnsi="宋体"/>
                <w:szCs w:val="21"/>
                <w:highlight w:val="none"/>
              </w:rPr>
            </w:pPr>
            <w:r>
              <w:rPr>
                <w:rFonts w:hint="eastAsia" w:ascii="宋体" w:hAnsi="宋体"/>
                <w:szCs w:val="21"/>
                <w:highlight w:val="none"/>
              </w:rPr>
              <w:t>邮政编码：</w:t>
            </w:r>
          </w:p>
        </w:tc>
      </w:tr>
      <w:tr w14:paraId="65481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5" w:hRule="atLeast"/>
        </w:trPr>
        <w:tc>
          <w:tcPr>
            <w:tcW w:w="9797" w:type="dxa"/>
            <w:gridSpan w:val="3"/>
          </w:tcPr>
          <w:p w14:paraId="2288E73E">
            <w:pPr>
              <w:snapToGrid w:val="0"/>
              <w:spacing w:line="420" w:lineRule="exact"/>
              <w:rPr>
                <w:rFonts w:ascii="宋体" w:hAnsi="宋体"/>
                <w:color w:val="000000"/>
                <w:szCs w:val="21"/>
                <w:highlight w:val="none"/>
              </w:rPr>
            </w:pPr>
            <w:r>
              <w:rPr>
                <w:rFonts w:hint="eastAsia" w:ascii="宋体" w:hAnsi="宋体"/>
                <w:color w:val="000000"/>
                <w:szCs w:val="21"/>
                <w:highlight w:val="none"/>
              </w:rPr>
              <w:t>经办人：</w:t>
            </w:r>
          </w:p>
          <w:p w14:paraId="3779BF6D">
            <w:pPr>
              <w:snapToGrid w:val="0"/>
              <w:spacing w:line="420" w:lineRule="exact"/>
              <w:rPr>
                <w:rFonts w:ascii="宋体" w:hAnsi="宋体"/>
                <w:color w:val="000000"/>
                <w:szCs w:val="21"/>
                <w:highlight w:val="none"/>
              </w:rPr>
            </w:pPr>
          </w:p>
          <w:p w14:paraId="427B2712">
            <w:pPr>
              <w:snapToGrid w:val="0"/>
              <w:spacing w:line="420" w:lineRule="exact"/>
              <w:rPr>
                <w:rFonts w:ascii="宋体" w:hAnsi="宋体"/>
                <w:color w:val="000000"/>
                <w:szCs w:val="21"/>
                <w:highlight w:val="none"/>
              </w:rPr>
            </w:pPr>
          </w:p>
          <w:p w14:paraId="5D79A3B4">
            <w:pPr>
              <w:snapToGrid w:val="0"/>
              <w:spacing w:line="420" w:lineRule="exact"/>
              <w:rPr>
                <w:rFonts w:ascii="宋体" w:hAnsi="宋体"/>
                <w:color w:val="000000"/>
                <w:szCs w:val="21"/>
                <w:highlight w:val="none"/>
              </w:rPr>
            </w:pPr>
          </w:p>
          <w:p w14:paraId="088F6A40">
            <w:pPr>
              <w:snapToGrid w:val="0"/>
              <w:spacing w:line="420" w:lineRule="exact"/>
              <w:ind w:firstLine="630" w:firstLineChars="300"/>
              <w:jc w:val="right"/>
              <w:rPr>
                <w:rFonts w:ascii="宋体" w:hAnsi="宋体"/>
                <w:color w:val="000000"/>
                <w:szCs w:val="21"/>
                <w:highlight w:val="none"/>
              </w:rPr>
            </w:pPr>
            <w:r>
              <w:rPr>
                <w:rFonts w:hint="eastAsia" w:ascii="宋体" w:hAnsi="宋体"/>
                <w:color w:val="000000"/>
                <w:szCs w:val="21"/>
                <w:highlight w:val="none"/>
              </w:rPr>
              <w:t>年    月    日</w:t>
            </w:r>
          </w:p>
        </w:tc>
      </w:tr>
    </w:tbl>
    <w:p w14:paraId="34FF95D7">
      <w:pPr>
        <w:snapToGrid w:val="0"/>
        <w:spacing w:line="420" w:lineRule="exact"/>
        <w:rPr>
          <w:rFonts w:ascii="宋体" w:hAnsi="宋体"/>
          <w:b/>
          <w:color w:val="000000"/>
          <w:szCs w:val="21"/>
          <w:highlight w:val="none"/>
        </w:rPr>
      </w:pPr>
    </w:p>
    <w:p w14:paraId="608D9981">
      <w:pPr>
        <w:snapToGrid w:val="0"/>
        <w:spacing w:line="420" w:lineRule="exact"/>
        <w:jc w:val="center"/>
        <w:rPr>
          <w:rFonts w:ascii="宋体" w:hAnsi="宋体"/>
          <w:b/>
          <w:color w:val="000000"/>
          <w:sz w:val="28"/>
          <w:szCs w:val="28"/>
          <w:highlight w:val="none"/>
        </w:rPr>
      </w:pPr>
      <w:r>
        <w:rPr>
          <w:rFonts w:hint="eastAsia" w:ascii="宋体" w:hAnsi="宋体"/>
          <w:b/>
          <w:color w:val="000000"/>
          <w:sz w:val="28"/>
          <w:szCs w:val="28"/>
          <w:highlight w:val="none"/>
        </w:rPr>
        <w:t>合 同 附 件</w:t>
      </w:r>
    </w:p>
    <w:tbl>
      <w:tblPr>
        <w:tblStyle w:val="63"/>
        <w:tblW w:w="0" w:type="auto"/>
        <w:tblInd w:w="0" w:type="dxa"/>
        <w:tblLayout w:type="fixed"/>
        <w:tblCellMar>
          <w:top w:w="0" w:type="dxa"/>
          <w:left w:w="108" w:type="dxa"/>
          <w:bottom w:w="0" w:type="dxa"/>
          <w:right w:w="108" w:type="dxa"/>
        </w:tblCellMar>
      </w:tblPr>
      <w:tblGrid>
        <w:gridCol w:w="4623"/>
        <w:gridCol w:w="4665"/>
      </w:tblGrid>
      <w:tr w14:paraId="1537754F">
        <w:tblPrEx>
          <w:tblCellMar>
            <w:top w:w="0" w:type="dxa"/>
            <w:left w:w="108" w:type="dxa"/>
            <w:bottom w:w="0" w:type="dxa"/>
            <w:right w:w="108" w:type="dxa"/>
          </w:tblCellMar>
        </w:tblPrEx>
        <w:trPr>
          <w:trHeight w:val="1202" w:hRule="atLeast"/>
        </w:trPr>
        <w:tc>
          <w:tcPr>
            <w:tcW w:w="9288" w:type="dxa"/>
            <w:gridSpan w:val="2"/>
            <w:tcBorders>
              <w:top w:val="single" w:color="auto" w:sz="4" w:space="0"/>
              <w:left w:val="single" w:color="auto" w:sz="4" w:space="0"/>
              <w:right w:val="single" w:color="auto" w:sz="4" w:space="0"/>
            </w:tcBorders>
          </w:tcPr>
          <w:p w14:paraId="07ADB395">
            <w:pPr>
              <w:snapToGrid w:val="0"/>
              <w:spacing w:line="420" w:lineRule="exact"/>
              <w:ind w:firstLine="422" w:firstLineChars="200"/>
              <w:rPr>
                <w:rFonts w:ascii="宋体" w:hAnsi="宋体"/>
                <w:b/>
                <w:color w:val="000000"/>
                <w:szCs w:val="21"/>
                <w:highlight w:val="none"/>
              </w:rPr>
            </w:pPr>
            <w:r>
              <w:rPr>
                <w:rFonts w:hint="eastAsia" w:ascii="宋体" w:hAnsi="宋体"/>
                <w:b/>
                <w:szCs w:val="21"/>
                <w:highlight w:val="none"/>
              </w:rPr>
              <w:t>1、供应商承诺具体事项：</w:t>
            </w:r>
            <w:r>
              <w:rPr>
                <w:rFonts w:hint="eastAsia" w:ascii="宋体" w:hAnsi="宋体"/>
                <w:bCs/>
                <w:szCs w:val="21"/>
                <w:highlight w:val="none"/>
              </w:rPr>
              <w:t>见招投标文件</w:t>
            </w:r>
          </w:p>
        </w:tc>
      </w:tr>
      <w:tr w14:paraId="32F5D90A">
        <w:tblPrEx>
          <w:tblCellMar>
            <w:top w:w="0" w:type="dxa"/>
            <w:left w:w="108" w:type="dxa"/>
            <w:bottom w:w="0" w:type="dxa"/>
            <w:right w:w="108" w:type="dxa"/>
          </w:tblCellMar>
        </w:tblPrEx>
        <w:trPr>
          <w:trHeight w:val="1385" w:hRule="atLeast"/>
        </w:trPr>
        <w:tc>
          <w:tcPr>
            <w:tcW w:w="9288" w:type="dxa"/>
            <w:gridSpan w:val="2"/>
            <w:tcBorders>
              <w:top w:val="single" w:color="auto" w:sz="4" w:space="0"/>
              <w:left w:val="single" w:color="auto" w:sz="4" w:space="0"/>
              <w:right w:val="single" w:color="auto" w:sz="4" w:space="0"/>
            </w:tcBorders>
          </w:tcPr>
          <w:p w14:paraId="52AD226F">
            <w:pPr>
              <w:snapToGrid w:val="0"/>
              <w:spacing w:line="420" w:lineRule="exact"/>
              <w:ind w:firstLine="422" w:firstLineChars="200"/>
              <w:rPr>
                <w:rFonts w:ascii="宋体" w:hAnsi="宋体"/>
                <w:b/>
                <w:color w:val="000000"/>
                <w:szCs w:val="21"/>
                <w:highlight w:val="none"/>
              </w:rPr>
            </w:pPr>
            <w:r>
              <w:rPr>
                <w:rFonts w:hint="eastAsia" w:ascii="宋体" w:hAnsi="宋体"/>
                <w:b/>
                <w:szCs w:val="21"/>
                <w:highlight w:val="none"/>
              </w:rPr>
              <w:t>2、服务期责任：</w:t>
            </w:r>
            <w:r>
              <w:rPr>
                <w:rFonts w:hint="eastAsia" w:ascii="宋体" w:hAnsi="宋体"/>
                <w:bCs/>
                <w:szCs w:val="21"/>
                <w:highlight w:val="none"/>
              </w:rPr>
              <w:t>见招投标文件</w:t>
            </w:r>
          </w:p>
        </w:tc>
      </w:tr>
      <w:tr w14:paraId="7D0D400E">
        <w:tblPrEx>
          <w:tblCellMar>
            <w:top w:w="0" w:type="dxa"/>
            <w:left w:w="108" w:type="dxa"/>
            <w:bottom w:w="0" w:type="dxa"/>
            <w:right w:w="108" w:type="dxa"/>
          </w:tblCellMar>
        </w:tblPrEx>
        <w:trPr>
          <w:trHeight w:val="1810" w:hRule="atLeast"/>
        </w:trPr>
        <w:tc>
          <w:tcPr>
            <w:tcW w:w="9288" w:type="dxa"/>
            <w:gridSpan w:val="2"/>
            <w:tcBorders>
              <w:top w:val="single" w:color="auto" w:sz="4" w:space="0"/>
              <w:left w:val="single" w:color="auto" w:sz="4" w:space="0"/>
              <w:right w:val="single" w:color="auto" w:sz="4" w:space="0"/>
            </w:tcBorders>
          </w:tcPr>
          <w:p w14:paraId="31D73813">
            <w:pPr>
              <w:snapToGrid w:val="0"/>
              <w:spacing w:line="420" w:lineRule="exact"/>
              <w:ind w:firstLine="422" w:firstLineChars="200"/>
              <w:rPr>
                <w:rFonts w:ascii="宋体" w:hAnsi="宋体"/>
                <w:b/>
                <w:color w:val="000000"/>
                <w:szCs w:val="21"/>
                <w:highlight w:val="none"/>
              </w:rPr>
            </w:pPr>
            <w:r>
              <w:rPr>
                <w:rFonts w:hint="eastAsia" w:ascii="宋体" w:hAnsi="宋体"/>
                <w:b/>
                <w:color w:val="000000"/>
                <w:szCs w:val="21"/>
                <w:highlight w:val="none"/>
              </w:rPr>
              <w:t>3、其他具体事项：</w:t>
            </w:r>
          </w:p>
          <w:p w14:paraId="63FA3214">
            <w:pPr>
              <w:snapToGrid w:val="0"/>
              <w:spacing w:line="420" w:lineRule="exact"/>
              <w:ind w:firstLine="420" w:firstLineChars="200"/>
              <w:rPr>
                <w:rFonts w:ascii="宋体" w:hAnsi="宋体"/>
                <w:b/>
                <w:color w:val="000000"/>
                <w:szCs w:val="21"/>
                <w:highlight w:val="none"/>
              </w:rPr>
            </w:pPr>
            <w:r>
              <w:rPr>
                <w:rFonts w:hint="eastAsia" w:ascii="宋体" w:hAnsi="宋体"/>
                <w:bCs/>
                <w:szCs w:val="21"/>
                <w:highlight w:val="none"/>
              </w:rPr>
              <w:t>中标供应商每月接受采购人或校方单位质量考核，未达标准从承包价中扣除。满意率至少在85％以上（各服务学校另有要求的该学校要求为准）、合同履约率达98%以上、上岗培训合格率达100%、合理投诉解决率达100%，连续两个月达不到，采购人可以终止合同。</w:t>
            </w:r>
          </w:p>
        </w:tc>
      </w:tr>
      <w:tr w14:paraId="7BAFF37F">
        <w:tblPrEx>
          <w:tblCellMar>
            <w:top w:w="0" w:type="dxa"/>
            <w:left w:w="108" w:type="dxa"/>
            <w:bottom w:w="0" w:type="dxa"/>
            <w:right w:w="108" w:type="dxa"/>
          </w:tblCellMar>
        </w:tblPrEx>
        <w:trPr>
          <w:trHeight w:val="2705" w:hRule="atLeast"/>
        </w:trPr>
        <w:tc>
          <w:tcPr>
            <w:tcW w:w="4623" w:type="dxa"/>
            <w:tcBorders>
              <w:top w:val="single" w:color="auto" w:sz="4" w:space="0"/>
              <w:left w:val="single" w:color="auto" w:sz="4" w:space="0"/>
              <w:bottom w:val="single" w:color="auto" w:sz="4" w:space="0"/>
              <w:right w:val="single" w:color="auto" w:sz="4" w:space="0"/>
            </w:tcBorders>
            <w:vAlign w:val="center"/>
          </w:tcPr>
          <w:p w14:paraId="14310721">
            <w:pPr>
              <w:snapToGrid w:val="0"/>
              <w:spacing w:line="420" w:lineRule="exact"/>
              <w:ind w:firstLine="422" w:firstLineChars="200"/>
              <w:rPr>
                <w:rFonts w:ascii="宋体" w:hAnsi="宋体"/>
                <w:b/>
                <w:color w:val="000000"/>
                <w:szCs w:val="21"/>
                <w:highlight w:val="none"/>
              </w:rPr>
            </w:pPr>
            <w:r>
              <w:rPr>
                <w:rFonts w:hint="eastAsia" w:ascii="宋体" w:hAnsi="宋体"/>
                <w:b/>
                <w:color w:val="000000"/>
                <w:szCs w:val="21"/>
                <w:highlight w:val="none"/>
              </w:rPr>
              <w:t>甲方（章）</w:t>
            </w:r>
          </w:p>
          <w:p w14:paraId="30566DC4">
            <w:pPr>
              <w:snapToGrid w:val="0"/>
              <w:spacing w:line="420" w:lineRule="exact"/>
              <w:ind w:firstLine="422" w:firstLineChars="200"/>
              <w:rPr>
                <w:rFonts w:ascii="宋体" w:hAnsi="宋体"/>
                <w:b/>
                <w:color w:val="000000"/>
                <w:szCs w:val="21"/>
                <w:highlight w:val="none"/>
              </w:rPr>
            </w:pPr>
          </w:p>
          <w:p w14:paraId="473AF0CD">
            <w:pPr>
              <w:snapToGrid w:val="0"/>
              <w:spacing w:line="420" w:lineRule="exact"/>
              <w:ind w:firstLine="422" w:firstLineChars="200"/>
              <w:rPr>
                <w:rFonts w:ascii="宋体" w:hAnsi="宋体"/>
                <w:b/>
                <w:color w:val="000000"/>
                <w:szCs w:val="21"/>
                <w:highlight w:val="none"/>
              </w:rPr>
            </w:pPr>
          </w:p>
          <w:p w14:paraId="431B97E2">
            <w:pPr>
              <w:snapToGrid w:val="0"/>
              <w:spacing w:line="420" w:lineRule="exact"/>
              <w:ind w:firstLine="422" w:firstLineChars="200"/>
              <w:rPr>
                <w:rFonts w:ascii="宋体" w:hAnsi="宋体"/>
                <w:b/>
                <w:color w:val="000000"/>
                <w:szCs w:val="21"/>
                <w:highlight w:val="none"/>
              </w:rPr>
            </w:pPr>
          </w:p>
          <w:p w14:paraId="4A8C105F">
            <w:pPr>
              <w:snapToGrid w:val="0"/>
              <w:spacing w:line="420" w:lineRule="exact"/>
              <w:ind w:firstLine="422" w:firstLineChars="200"/>
              <w:rPr>
                <w:rFonts w:ascii="宋体" w:hAnsi="宋体"/>
                <w:b/>
                <w:color w:val="000000"/>
                <w:szCs w:val="21"/>
                <w:highlight w:val="none"/>
              </w:rPr>
            </w:pPr>
          </w:p>
          <w:p w14:paraId="28AB74E3">
            <w:pPr>
              <w:snapToGrid w:val="0"/>
              <w:spacing w:line="420" w:lineRule="exact"/>
              <w:ind w:firstLine="422" w:firstLineChars="200"/>
              <w:rPr>
                <w:rFonts w:ascii="宋体" w:hAnsi="宋体"/>
                <w:b/>
                <w:color w:val="000000"/>
                <w:szCs w:val="21"/>
                <w:highlight w:val="none"/>
              </w:rPr>
            </w:pPr>
          </w:p>
          <w:p w14:paraId="2E2BCCEB">
            <w:pPr>
              <w:snapToGrid w:val="0"/>
              <w:spacing w:line="420" w:lineRule="exact"/>
              <w:ind w:firstLine="422" w:firstLineChars="200"/>
              <w:rPr>
                <w:rFonts w:ascii="宋体" w:hAnsi="宋体"/>
                <w:b/>
                <w:color w:val="000000"/>
                <w:szCs w:val="21"/>
                <w:highlight w:val="none"/>
              </w:rPr>
            </w:pPr>
          </w:p>
          <w:p w14:paraId="00537DB3">
            <w:pPr>
              <w:snapToGrid w:val="0"/>
              <w:spacing w:line="420" w:lineRule="exact"/>
              <w:ind w:firstLine="422" w:firstLineChars="200"/>
              <w:rPr>
                <w:rFonts w:ascii="宋体" w:hAnsi="宋体"/>
                <w:b/>
                <w:color w:val="000000"/>
                <w:szCs w:val="21"/>
                <w:highlight w:val="none"/>
              </w:rPr>
            </w:pPr>
            <w:r>
              <w:rPr>
                <w:rFonts w:hint="eastAsia" w:ascii="宋体" w:hAnsi="宋体"/>
                <w:b/>
                <w:color w:val="000000"/>
                <w:szCs w:val="21"/>
                <w:highlight w:val="none"/>
              </w:rPr>
              <w:t xml:space="preserve">                 年   月   日 </w:t>
            </w:r>
          </w:p>
        </w:tc>
        <w:tc>
          <w:tcPr>
            <w:tcW w:w="4665" w:type="dxa"/>
            <w:tcBorders>
              <w:top w:val="single" w:color="auto" w:sz="4" w:space="0"/>
              <w:left w:val="single" w:color="auto" w:sz="4" w:space="0"/>
              <w:bottom w:val="single" w:color="auto" w:sz="4" w:space="0"/>
              <w:right w:val="single" w:color="auto" w:sz="4" w:space="0"/>
            </w:tcBorders>
            <w:vAlign w:val="center"/>
          </w:tcPr>
          <w:p w14:paraId="499B37B6">
            <w:pPr>
              <w:snapToGrid w:val="0"/>
              <w:spacing w:line="420" w:lineRule="exact"/>
              <w:ind w:firstLine="422" w:firstLineChars="200"/>
              <w:rPr>
                <w:rFonts w:ascii="宋体" w:hAnsi="宋体"/>
                <w:b/>
                <w:color w:val="000000"/>
                <w:szCs w:val="21"/>
                <w:highlight w:val="none"/>
              </w:rPr>
            </w:pPr>
            <w:r>
              <w:rPr>
                <w:rFonts w:hint="eastAsia" w:ascii="宋体" w:hAnsi="宋体"/>
                <w:b/>
                <w:color w:val="000000"/>
                <w:szCs w:val="21"/>
                <w:highlight w:val="none"/>
              </w:rPr>
              <w:t>乙方（章）</w:t>
            </w:r>
          </w:p>
          <w:p w14:paraId="569D0A47">
            <w:pPr>
              <w:snapToGrid w:val="0"/>
              <w:spacing w:line="420" w:lineRule="exact"/>
              <w:ind w:firstLine="422" w:firstLineChars="200"/>
              <w:rPr>
                <w:rFonts w:ascii="宋体" w:hAnsi="宋体"/>
                <w:b/>
                <w:color w:val="000000"/>
                <w:szCs w:val="21"/>
                <w:highlight w:val="none"/>
              </w:rPr>
            </w:pPr>
          </w:p>
          <w:p w14:paraId="53D9DADB">
            <w:pPr>
              <w:snapToGrid w:val="0"/>
              <w:spacing w:line="420" w:lineRule="exact"/>
              <w:ind w:firstLine="422" w:firstLineChars="200"/>
              <w:rPr>
                <w:rFonts w:ascii="宋体" w:hAnsi="宋体"/>
                <w:b/>
                <w:color w:val="000000"/>
                <w:szCs w:val="21"/>
                <w:highlight w:val="none"/>
              </w:rPr>
            </w:pPr>
          </w:p>
          <w:p w14:paraId="406DAB46">
            <w:pPr>
              <w:snapToGrid w:val="0"/>
              <w:spacing w:line="420" w:lineRule="exact"/>
              <w:ind w:firstLine="422" w:firstLineChars="200"/>
              <w:rPr>
                <w:rFonts w:ascii="宋体" w:hAnsi="宋体"/>
                <w:b/>
                <w:color w:val="000000"/>
                <w:szCs w:val="21"/>
                <w:highlight w:val="none"/>
              </w:rPr>
            </w:pPr>
          </w:p>
          <w:p w14:paraId="4F57D2DD">
            <w:pPr>
              <w:snapToGrid w:val="0"/>
              <w:spacing w:line="420" w:lineRule="exact"/>
              <w:ind w:firstLine="422" w:firstLineChars="200"/>
              <w:rPr>
                <w:rFonts w:ascii="宋体" w:hAnsi="宋体"/>
                <w:b/>
                <w:color w:val="000000"/>
                <w:szCs w:val="21"/>
                <w:highlight w:val="none"/>
              </w:rPr>
            </w:pPr>
          </w:p>
          <w:p w14:paraId="2A6DDD04">
            <w:pPr>
              <w:snapToGrid w:val="0"/>
              <w:spacing w:line="420" w:lineRule="exact"/>
              <w:ind w:firstLine="422" w:firstLineChars="200"/>
              <w:rPr>
                <w:rFonts w:ascii="宋体" w:hAnsi="宋体"/>
                <w:b/>
                <w:color w:val="000000"/>
                <w:szCs w:val="21"/>
                <w:highlight w:val="none"/>
              </w:rPr>
            </w:pPr>
          </w:p>
          <w:p w14:paraId="692EBE38">
            <w:pPr>
              <w:snapToGrid w:val="0"/>
              <w:spacing w:line="420" w:lineRule="exact"/>
              <w:ind w:firstLine="422" w:firstLineChars="200"/>
              <w:rPr>
                <w:rFonts w:ascii="宋体" w:hAnsi="宋体"/>
                <w:b/>
                <w:color w:val="000000"/>
                <w:szCs w:val="21"/>
                <w:highlight w:val="none"/>
              </w:rPr>
            </w:pPr>
          </w:p>
          <w:p w14:paraId="62FA36EE">
            <w:pPr>
              <w:snapToGrid w:val="0"/>
              <w:spacing w:line="420" w:lineRule="exact"/>
              <w:ind w:firstLine="422" w:firstLineChars="200"/>
              <w:rPr>
                <w:rFonts w:ascii="宋体" w:hAnsi="宋体"/>
                <w:b/>
                <w:color w:val="000000"/>
                <w:szCs w:val="21"/>
                <w:highlight w:val="none"/>
              </w:rPr>
            </w:pPr>
            <w:r>
              <w:rPr>
                <w:rFonts w:hint="eastAsia" w:ascii="宋体" w:hAnsi="宋体"/>
                <w:b/>
                <w:color w:val="000000"/>
                <w:szCs w:val="21"/>
                <w:highlight w:val="none"/>
              </w:rPr>
              <w:t xml:space="preserve">                年   月   日</w:t>
            </w:r>
          </w:p>
        </w:tc>
      </w:tr>
      <w:tr w14:paraId="1D2BF244">
        <w:tblPrEx>
          <w:tblCellMar>
            <w:top w:w="0" w:type="dxa"/>
            <w:left w:w="108" w:type="dxa"/>
            <w:bottom w:w="0" w:type="dxa"/>
            <w:right w:w="108" w:type="dxa"/>
          </w:tblCellMar>
        </w:tblPrEx>
        <w:trPr>
          <w:trHeight w:val="3230" w:hRule="atLeast"/>
        </w:trPr>
        <w:tc>
          <w:tcPr>
            <w:tcW w:w="4623" w:type="dxa"/>
            <w:tcBorders>
              <w:top w:val="single" w:color="auto" w:sz="4" w:space="0"/>
              <w:left w:val="single" w:color="auto" w:sz="4" w:space="0"/>
              <w:bottom w:val="single" w:color="auto" w:sz="4" w:space="0"/>
              <w:right w:val="single" w:color="auto" w:sz="4" w:space="0"/>
            </w:tcBorders>
            <w:vAlign w:val="center"/>
          </w:tcPr>
          <w:p w14:paraId="69691F60">
            <w:pPr>
              <w:snapToGrid w:val="0"/>
              <w:spacing w:line="420" w:lineRule="exact"/>
              <w:ind w:firstLine="422" w:firstLineChars="200"/>
              <w:rPr>
                <w:rFonts w:ascii="宋体" w:hAnsi="宋体"/>
                <w:b/>
                <w:color w:val="000000"/>
                <w:szCs w:val="21"/>
                <w:highlight w:val="none"/>
              </w:rPr>
            </w:pPr>
            <w:r>
              <w:rPr>
                <w:rFonts w:hint="eastAsia" w:ascii="宋体" w:hAnsi="宋体"/>
                <w:b/>
                <w:color w:val="000000"/>
                <w:szCs w:val="21"/>
                <w:highlight w:val="none"/>
              </w:rPr>
              <w:t>丙方（章）</w:t>
            </w:r>
          </w:p>
          <w:p w14:paraId="658196CD">
            <w:pPr>
              <w:snapToGrid w:val="0"/>
              <w:spacing w:line="420" w:lineRule="exact"/>
              <w:ind w:firstLine="422" w:firstLineChars="200"/>
              <w:rPr>
                <w:rFonts w:ascii="宋体" w:hAnsi="宋体"/>
                <w:b/>
                <w:color w:val="000000"/>
                <w:szCs w:val="21"/>
                <w:highlight w:val="none"/>
              </w:rPr>
            </w:pPr>
          </w:p>
          <w:p w14:paraId="57582098">
            <w:pPr>
              <w:snapToGrid w:val="0"/>
              <w:spacing w:line="420" w:lineRule="exact"/>
              <w:ind w:firstLine="422" w:firstLineChars="200"/>
              <w:rPr>
                <w:rFonts w:ascii="宋体" w:hAnsi="宋体"/>
                <w:b/>
                <w:color w:val="000000"/>
                <w:szCs w:val="21"/>
                <w:highlight w:val="none"/>
              </w:rPr>
            </w:pPr>
          </w:p>
          <w:p w14:paraId="451A6EA0">
            <w:pPr>
              <w:snapToGrid w:val="0"/>
              <w:spacing w:line="420" w:lineRule="exact"/>
              <w:ind w:firstLine="422" w:firstLineChars="200"/>
              <w:rPr>
                <w:rFonts w:ascii="宋体" w:hAnsi="宋体"/>
                <w:b/>
                <w:color w:val="000000"/>
                <w:szCs w:val="21"/>
                <w:highlight w:val="none"/>
              </w:rPr>
            </w:pPr>
          </w:p>
          <w:p w14:paraId="44183CD4">
            <w:pPr>
              <w:snapToGrid w:val="0"/>
              <w:spacing w:line="420" w:lineRule="exact"/>
              <w:ind w:firstLine="422" w:firstLineChars="200"/>
              <w:rPr>
                <w:rFonts w:ascii="宋体" w:hAnsi="宋体"/>
                <w:b/>
                <w:color w:val="000000"/>
                <w:szCs w:val="21"/>
                <w:highlight w:val="none"/>
              </w:rPr>
            </w:pPr>
          </w:p>
          <w:p w14:paraId="15D65DEB">
            <w:pPr>
              <w:snapToGrid w:val="0"/>
              <w:spacing w:line="420" w:lineRule="exact"/>
              <w:ind w:firstLine="422" w:firstLineChars="200"/>
              <w:rPr>
                <w:rFonts w:ascii="宋体" w:hAnsi="宋体"/>
                <w:b/>
                <w:color w:val="000000"/>
                <w:szCs w:val="21"/>
                <w:highlight w:val="none"/>
              </w:rPr>
            </w:pPr>
          </w:p>
          <w:p w14:paraId="7B244C77">
            <w:pPr>
              <w:snapToGrid w:val="0"/>
              <w:spacing w:line="420" w:lineRule="exact"/>
              <w:ind w:firstLine="422" w:firstLineChars="200"/>
              <w:rPr>
                <w:rFonts w:ascii="宋体" w:hAnsi="宋体"/>
                <w:b/>
                <w:color w:val="000000"/>
                <w:szCs w:val="21"/>
                <w:highlight w:val="none"/>
              </w:rPr>
            </w:pPr>
          </w:p>
          <w:p w14:paraId="23F16779">
            <w:pPr>
              <w:snapToGrid w:val="0"/>
              <w:spacing w:line="420" w:lineRule="exact"/>
              <w:ind w:firstLine="422" w:firstLineChars="200"/>
              <w:rPr>
                <w:rFonts w:ascii="宋体" w:hAnsi="宋体"/>
                <w:b/>
                <w:color w:val="000000"/>
                <w:szCs w:val="21"/>
                <w:highlight w:val="none"/>
              </w:rPr>
            </w:pPr>
            <w:r>
              <w:rPr>
                <w:rFonts w:hint="eastAsia" w:ascii="宋体" w:hAnsi="宋体"/>
                <w:b/>
                <w:color w:val="000000"/>
                <w:szCs w:val="21"/>
                <w:highlight w:val="none"/>
              </w:rPr>
              <w:t xml:space="preserve">                 年   月   日 </w:t>
            </w:r>
          </w:p>
        </w:tc>
        <w:tc>
          <w:tcPr>
            <w:tcW w:w="4665" w:type="dxa"/>
            <w:tcBorders>
              <w:top w:val="single" w:color="auto" w:sz="4" w:space="0"/>
              <w:left w:val="single" w:color="auto" w:sz="4" w:space="0"/>
              <w:bottom w:val="single" w:color="auto" w:sz="4" w:space="0"/>
              <w:right w:val="single" w:color="auto" w:sz="4" w:space="0"/>
            </w:tcBorders>
            <w:vAlign w:val="center"/>
          </w:tcPr>
          <w:p w14:paraId="2283E4D6">
            <w:pPr>
              <w:snapToGrid w:val="0"/>
              <w:spacing w:line="420" w:lineRule="exact"/>
              <w:ind w:firstLine="422" w:firstLineChars="200"/>
              <w:rPr>
                <w:rFonts w:ascii="宋体" w:hAnsi="宋体"/>
                <w:b/>
                <w:color w:val="000000"/>
                <w:szCs w:val="21"/>
                <w:highlight w:val="none"/>
              </w:rPr>
            </w:pPr>
          </w:p>
        </w:tc>
      </w:tr>
    </w:tbl>
    <w:p w14:paraId="4821962D">
      <w:pPr>
        <w:snapToGrid w:val="0"/>
        <w:spacing w:line="420" w:lineRule="exact"/>
        <w:rPr>
          <w:szCs w:val="20"/>
          <w:highlight w:val="none"/>
        </w:rPr>
      </w:pPr>
      <w:r>
        <w:rPr>
          <w:rFonts w:hint="eastAsia" w:ascii="宋体" w:hAnsi="宋体"/>
          <w:color w:val="000000"/>
          <w:szCs w:val="21"/>
          <w:highlight w:val="none"/>
        </w:rPr>
        <w:t xml:space="preserve">  注：填不下时可另加附页</w:t>
      </w:r>
    </w:p>
    <w:p w14:paraId="639B7ACF">
      <w:pPr>
        <w:rPr>
          <w:highlight w:val="none"/>
        </w:rPr>
      </w:pPr>
    </w:p>
    <w:p w14:paraId="75055E4A">
      <w:pPr>
        <w:spacing w:line="360" w:lineRule="auto"/>
        <w:ind w:left="-420" w:leftChars="-200" w:right="-420" w:rightChars="-200" w:firstLine="480" w:firstLineChars="200"/>
        <w:jc w:val="center"/>
        <w:rPr>
          <w:rFonts w:ascii="宋体" w:hAnsi="宋体" w:cs="宋体"/>
          <w:color w:val="auto"/>
          <w:sz w:val="24"/>
          <w:highlight w:val="none"/>
        </w:rPr>
      </w:pPr>
    </w:p>
    <w:p w14:paraId="27A7E7CF">
      <w:pPr>
        <w:widowControl/>
        <w:adjustRightInd/>
        <w:jc w:val="center"/>
        <w:outlineLvl w:val="0"/>
        <w:rPr>
          <w:rFonts w:hint="eastAsia" w:ascii="宋体" w:hAnsi="宋体" w:cs="宋体"/>
          <w:b/>
          <w:color w:val="auto"/>
          <w:sz w:val="36"/>
          <w:szCs w:val="20"/>
          <w:highlight w:val="none"/>
        </w:rPr>
      </w:pPr>
      <w:bookmarkStart w:id="409" w:name="_Toc176368907"/>
    </w:p>
    <w:p w14:paraId="376741C3">
      <w:pPr>
        <w:widowControl/>
        <w:adjustRightInd/>
        <w:jc w:val="center"/>
        <w:outlineLvl w:val="0"/>
        <w:rPr>
          <w:rFonts w:hint="eastAsia" w:ascii="宋体" w:hAnsi="宋体" w:cs="宋体"/>
          <w:b/>
          <w:color w:val="auto"/>
          <w:sz w:val="36"/>
          <w:szCs w:val="20"/>
          <w:highlight w:val="none"/>
        </w:rPr>
      </w:pPr>
    </w:p>
    <w:p w14:paraId="232EBBC6">
      <w:pPr>
        <w:widowControl/>
        <w:adjustRightInd/>
        <w:jc w:val="center"/>
        <w:outlineLvl w:val="0"/>
        <w:rPr>
          <w:rFonts w:hint="eastAsia" w:ascii="宋体" w:hAnsi="宋体" w:cs="宋体"/>
          <w:b/>
          <w:color w:val="auto"/>
          <w:sz w:val="36"/>
          <w:szCs w:val="20"/>
          <w:highlight w:val="none"/>
        </w:rPr>
      </w:pPr>
    </w:p>
    <w:p w14:paraId="1D42AD26">
      <w:pPr>
        <w:widowControl/>
        <w:adjustRightInd/>
        <w:jc w:val="center"/>
        <w:outlineLvl w:val="0"/>
        <w:rPr>
          <w:rFonts w:hint="eastAsia" w:ascii="宋体" w:hAnsi="宋体" w:cs="宋体"/>
          <w:b/>
          <w:color w:val="auto"/>
          <w:sz w:val="36"/>
          <w:szCs w:val="20"/>
          <w:highlight w:val="none"/>
        </w:rPr>
      </w:pPr>
    </w:p>
    <w:p w14:paraId="6DB3E970">
      <w:pPr>
        <w:widowControl/>
        <w:adjustRightInd/>
        <w:jc w:val="center"/>
        <w:outlineLvl w:val="0"/>
        <w:rPr>
          <w:rFonts w:hint="eastAsia" w:ascii="宋体" w:hAnsi="宋体" w:cs="宋体"/>
          <w:b/>
          <w:color w:val="auto"/>
          <w:sz w:val="36"/>
          <w:szCs w:val="20"/>
          <w:highlight w:val="none"/>
        </w:rPr>
      </w:pPr>
    </w:p>
    <w:p w14:paraId="4254E02E">
      <w:pPr>
        <w:widowControl/>
        <w:adjustRightInd/>
        <w:jc w:val="center"/>
        <w:outlineLvl w:val="0"/>
        <w:rPr>
          <w:rFonts w:hint="eastAsia" w:ascii="宋体" w:hAnsi="宋体" w:cs="宋体"/>
          <w:b/>
          <w:color w:val="auto"/>
          <w:sz w:val="36"/>
          <w:szCs w:val="20"/>
          <w:highlight w:val="none"/>
        </w:rPr>
      </w:pPr>
    </w:p>
    <w:p w14:paraId="5109F3B3">
      <w:pPr>
        <w:widowControl/>
        <w:adjustRightInd/>
        <w:jc w:val="center"/>
        <w:outlineLvl w:val="0"/>
        <w:rPr>
          <w:rFonts w:hint="eastAsia" w:ascii="宋体" w:hAnsi="宋体" w:cs="宋体"/>
          <w:b/>
          <w:color w:val="auto"/>
          <w:sz w:val="36"/>
          <w:szCs w:val="20"/>
          <w:highlight w:val="none"/>
        </w:rPr>
      </w:pPr>
    </w:p>
    <w:p w14:paraId="13BEDD67">
      <w:pPr>
        <w:widowControl/>
        <w:adjustRightInd/>
        <w:jc w:val="center"/>
        <w:outlineLvl w:val="0"/>
        <w:rPr>
          <w:rFonts w:ascii="宋体" w:hAnsi="宋体" w:cs="宋体"/>
          <w:b/>
          <w:color w:val="auto"/>
          <w:sz w:val="36"/>
          <w:szCs w:val="20"/>
          <w:highlight w:val="none"/>
        </w:rPr>
      </w:pPr>
      <w:r>
        <w:rPr>
          <w:rFonts w:hint="eastAsia" w:ascii="宋体" w:hAnsi="宋体" w:cs="宋体"/>
          <w:b/>
          <w:color w:val="auto"/>
          <w:sz w:val="36"/>
          <w:szCs w:val="20"/>
          <w:highlight w:val="none"/>
        </w:rPr>
        <w:t>第六部分</w:t>
      </w:r>
      <w:bookmarkEnd w:id="407"/>
      <w:r>
        <w:rPr>
          <w:rFonts w:hint="eastAsia" w:ascii="宋体" w:hAnsi="宋体" w:cs="宋体"/>
          <w:b/>
          <w:color w:val="auto"/>
          <w:sz w:val="36"/>
          <w:szCs w:val="20"/>
          <w:highlight w:val="none"/>
        </w:rPr>
        <w:t xml:space="preserve"> </w:t>
      </w:r>
      <w:bookmarkEnd w:id="408"/>
      <w:r>
        <w:rPr>
          <w:rFonts w:hint="eastAsia" w:ascii="宋体" w:hAnsi="宋体" w:cs="宋体"/>
          <w:b/>
          <w:color w:val="auto"/>
          <w:sz w:val="36"/>
          <w:szCs w:val="20"/>
          <w:highlight w:val="none"/>
        </w:rPr>
        <w:t>应提交的有关格式范例</w:t>
      </w:r>
      <w:bookmarkEnd w:id="409"/>
    </w:p>
    <w:p w14:paraId="729A5A46">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（适用于本项目所有标项）</w:t>
      </w:r>
    </w:p>
    <w:p w14:paraId="1495622A">
      <w:pPr>
        <w:spacing w:line="360" w:lineRule="auto"/>
        <w:jc w:val="center"/>
        <w:rPr>
          <w:rFonts w:hint="eastAsia" w:ascii="宋体" w:hAnsi="宋体" w:cs="宋体"/>
          <w:b/>
          <w:color w:val="auto"/>
          <w:kern w:val="0"/>
          <w:sz w:val="36"/>
          <w:szCs w:val="36"/>
          <w:highlight w:val="none"/>
        </w:rPr>
      </w:pPr>
    </w:p>
    <w:p w14:paraId="7F1100A3">
      <w:pPr>
        <w:spacing w:line="360" w:lineRule="auto"/>
        <w:jc w:val="center"/>
        <w:rPr>
          <w:rFonts w:hint="eastAsia" w:ascii="宋体" w:hAnsi="宋体" w:cs="宋体"/>
          <w:b/>
          <w:color w:val="auto"/>
          <w:kern w:val="0"/>
          <w:sz w:val="36"/>
          <w:szCs w:val="36"/>
          <w:highlight w:val="none"/>
        </w:rPr>
      </w:pPr>
    </w:p>
    <w:p w14:paraId="6DCC7962">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资格文件部分</w:t>
      </w:r>
    </w:p>
    <w:p w14:paraId="4A13FACB">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14:paraId="389E5701">
      <w:pPr>
        <w:spacing w:line="360" w:lineRule="auto"/>
        <w:jc w:val="center"/>
        <w:rPr>
          <w:rFonts w:ascii="宋体" w:hAnsi="宋体" w:cs="宋体"/>
          <w:b/>
          <w:color w:val="auto"/>
          <w:kern w:val="0"/>
          <w:sz w:val="36"/>
          <w:szCs w:val="36"/>
          <w:highlight w:val="none"/>
        </w:rPr>
      </w:pPr>
    </w:p>
    <w:p w14:paraId="39FDD47F">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（1）符合参加政府采购活动应当具备的一般条件的承诺函……………（页码）</w:t>
      </w:r>
    </w:p>
    <w:p w14:paraId="1119B3F7">
      <w:pPr>
        <w:snapToGrid w:val="0"/>
        <w:spacing w:line="360" w:lineRule="auto"/>
        <w:rPr>
          <w:rFonts w:ascii="宋体" w:hAnsi="宋体" w:cs="宋体"/>
          <w:color w:val="auto"/>
          <w:sz w:val="24"/>
          <w:highlight w:val="none"/>
        </w:rPr>
      </w:pPr>
      <w:r>
        <w:rPr>
          <w:rFonts w:hint="eastAsia" w:ascii="宋体" w:hAnsi="宋体" w:cs="宋体"/>
          <w:snapToGrid w:val="0"/>
          <w:color w:val="auto"/>
          <w:kern w:val="28"/>
          <w:sz w:val="24"/>
          <w:szCs w:val="20"/>
          <w:highlight w:val="none"/>
        </w:rPr>
        <w:t>（2）联合协议</w:t>
      </w:r>
      <w:r>
        <w:rPr>
          <w:rFonts w:hint="eastAsia" w:ascii="宋体" w:hAnsi="宋体" w:cs="宋体"/>
          <w:color w:val="auto"/>
          <w:sz w:val="24"/>
          <w:highlight w:val="none"/>
        </w:rPr>
        <w:t>………………………………………………………………（页码）</w:t>
      </w:r>
    </w:p>
    <w:p w14:paraId="7AFC7DAD">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）落实政府采购政策需满足的资格要求………………………………（页码）</w:t>
      </w:r>
    </w:p>
    <w:p w14:paraId="75FF100A">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r>
        <w:rPr>
          <w:rFonts w:ascii="宋体" w:hAnsi="宋体" w:cs="宋体"/>
          <w:color w:val="auto"/>
          <w:sz w:val="24"/>
          <w:highlight w:val="none"/>
        </w:rPr>
        <w:t>4</w:t>
      </w:r>
      <w:r>
        <w:rPr>
          <w:rFonts w:hint="eastAsia" w:ascii="宋体" w:hAnsi="宋体" w:cs="宋体"/>
          <w:color w:val="auto"/>
          <w:sz w:val="24"/>
          <w:highlight w:val="none"/>
        </w:rPr>
        <w:t>）本项目的特定资格要求………………………………………………（页码）</w:t>
      </w:r>
    </w:p>
    <w:p w14:paraId="079DA55E">
      <w:pPr>
        <w:snapToGrid w:val="0"/>
        <w:spacing w:line="360" w:lineRule="auto"/>
        <w:ind w:firstLine="480" w:firstLineChars="200"/>
        <w:rPr>
          <w:rFonts w:ascii="宋体" w:hAnsi="宋体" w:cs="宋体"/>
          <w:color w:val="auto"/>
          <w:sz w:val="24"/>
          <w:highlight w:val="none"/>
        </w:rPr>
      </w:pPr>
    </w:p>
    <w:p w14:paraId="52BD4DCC">
      <w:pPr>
        <w:spacing w:line="360" w:lineRule="auto"/>
        <w:ind w:firstLine="480" w:firstLineChars="200"/>
        <w:rPr>
          <w:rFonts w:ascii="宋体" w:hAnsi="宋体" w:cs="宋体"/>
          <w:color w:val="auto"/>
          <w:sz w:val="24"/>
          <w:highlight w:val="none"/>
        </w:rPr>
      </w:pPr>
    </w:p>
    <w:p w14:paraId="289F9A16">
      <w:pPr>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color w:val="auto"/>
          <w:kern w:val="0"/>
          <w:sz w:val="24"/>
          <w:highlight w:val="none"/>
        </w:rPr>
        <w:br w:type="page"/>
      </w:r>
      <w:r>
        <w:rPr>
          <w:rFonts w:hint="eastAsia" w:ascii="宋体" w:hAnsi="宋体" w:cs="宋体"/>
          <w:b/>
          <w:color w:val="auto"/>
          <w:kern w:val="0"/>
          <w:sz w:val="32"/>
          <w:szCs w:val="32"/>
          <w:highlight w:val="none"/>
        </w:rPr>
        <w:t xml:space="preserve">  一、 符合参加政府采购活动应当具备的一般条件的承诺函</w:t>
      </w:r>
    </w:p>
    <w:p w14:paraId="51908DCB">
      <w:pPr>
        <w:snapToGrid w:val="0"/>
        <w:spacing w:line="360" w:lineRule="auto"/>
        <w:ind w:right="480"/>
        <w:jc w:val="center"/>
        <w:rPr>
          <w:rFonts w:ascii="宋体" w:hAnsi="宋体" w:cs="宋体"/>
          <w:color w:val="auto"/>
          <w:sz w:val="24"/>
          <w:highlight w:val="none"/>
        </w:rPr>
      </w:pPr>
    </w:p>
    <w:p w14:paraId="02DC2599">
      <w:pPr>
        <w:snapToGrid w:val="0"/>
        <w:spacing w:line="360" w:lineRule="auto"/>
        <w:ind w:right="480"/>
        <w:jc w:val="center"/>
        <w:rPr>
          <w:rFonts w:ascii="宋体" w:hAnsi="宋体" w:cs="宋体"/>
          <w:color w:val="auto"/>
          <w:sz w:val="24"/>
          <w:highlight w:val="none"/>
        </w:rPr>
      </w:pPr>
      <w:r>
        <w:rPr>
          <w:rFonts w:hint="eastAsia" w:ascii="宋体" w:hAnsi="宋体" w:cs="宋体"/>
          <w:color w:val="auto"/>
          <w:sz w:val="24"/>
          <w:highlight w:val="none"/>
        </w:rPr>
        <w:t>北海市政府采购供应商信用承诺函（格式）</w:t>
      </w:r>
    </w:p>
    <w:p w14:paraId="6912DF2D">
      <w:pPr>
        <w:snapToGrid w:val="0"/>
        <w:spacing w:line="360" w:lineRule="auto"/>
        <w:rPr>
          <w:rFonts w:ascii="宋体" w:hAnsi="宋体" w:cs="宋体"/>
          <w:color w:val="auto"/>
          <w:sz w:val="24"/>
          <w:highlight w:val="none"/>
        </w:rPr>
      </w:pPr>
    </w:p>
    <w:p w14:paraId="1C20A17C">
      <w:pPr>
        <w:snapToGrid w:val="0"/>
        <w:spacing w:line="360" w:lineRule="auto"/>
        <w:ind w:right="480"/>
        <w:rPr>
          <w:rFonts w:ascii="宋体" w:hAnsi="宋体" w:cs="宋体"/>
          <w:color w:val="auto"/>
          <w:sz w:val="24"/>
          <w:highlight w:val="none"/>
        </w:rPr>
      </w:pPr>
      <w:r>
        <w:rPr>
          <w:rFonts w:hint="eastAsia" w:ascii="宋体" w:hAnsi="宋体" w:cs="宋体"/>
          <w:color w:val="auto"/>
          <w:sz w:val="24"/>
          <w:highlight w:val="none"/>
        </w:rPr>
        <w:t>（采购人）、（采购代理机构） ：</w:t>
      </w:r>
    </w:p>
    <w:p w14:paraId="57598FCB">
      <w:pPr>
        <w:snapToGrid w:val="0"/>
        <w:spacing w:line="360" w:lineRule="auto"/>
        <w:ind w:right="480"/>
        <w:rPr>
          <w:rFonts w:ascii="宋体" w:hAnsi="宋体" w:cs="宋体"/>
          <w:color w:val="auto"/>
          <w:sz w:val="24"/>
          <w:highlight w:val="none"/>
        </w:rPr>
      </w:pPr>
      <w:r>
        <w:rPr>
          <w:rFonts w:hint="eastAsia" w:ascii="宋体" w:hAnsi="宋体" w:cs="宋体"/>
          <w:color w:val="auto"/>
          <w:sz w:val="24"/>
          <w:highlight w:val="none"/>
        </w:rPr>
        <w:t>供应商名称：</w:t>
      </w:r>
    </w:p>
    <w:p w14:paraId="0C19D47E">
      <w:pPr>
        <w:snapToGrid w:val="0"/>
        <w:spacing w:line="360" w:lineRule="auto"/>
        <w:ind w:right="480"/>
        <w:rPr>
          <w:rFonts w:ascii="宋体" w:hAnsi="宋体" w:cs="宋体"/>
          <w:color w:val="auto"/>
          <w:sz w:val="24"/>
          <w:highlight w:val="none"/>
        </w:rPr>
      </w:pPr>
      <w:r>
        <w:rPr>
          <w:rFonts w:hint="eastAsia" w:ascii="宋体" w:hAnsi="宋体" w:cs="宋体"/>
          <w:color w:val="auto"/>
          <w:sz w:val="24"/>
          <w:highlight w:val="none"/>
        </w:rPr>
        <w:t>统一社会信用代码：</w:t>
      </w:r>
    </w:p>
    <w:p w14:paraId="497A9380">
      <w:pPr>
        <w:snapToGrid w:val="0"/>
        <w:spacing w:line="360" w:lineRule="auto"/>
        <w:ind w:right="480"/>
        <w:rPr>
          <w:rFonts w:ascii="宋体" w:hAnsi="宋体" w:cs="宋体"/>
          <w:color w:val="auto"/>
          <w:sz w:val="24"/>
          <w:highlight w:val="none"/>
        </w:rPr>
      </w:pPr>
      <w:r>
        <w:rPr>
          <w:rFonts w:hint="eastAsia" w:ascii="宋体" w:hAnsi="宋体" w:cs="宋体"/>
          <w:color w:val="auto"/>
          <w:sz w:val="24"/>
          <w:highlight w:val="none"/>
        </w:rPr>
        <w:t>供应商地址：</w:t>
      </w:r>
    </w:p>
    <w:p w14:paraId="152B13B5">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我单位自愿参加本次政府采购活动，严格遵守《中华人民共和国政府采购法》及相关法律法规，依法诚信经营，无条件遵守本次政府采购活动的各项规定。我单位郑重承诺，本单位符合《中华人民共和国政府采购法》第二十二条规定的条件：</w:t>
      </w:r>
    </w:p>
    <w:p w14:paraId="29F3D78D">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1.我单位具有符合采购文件资格要求独立承担民事责任的能力。</w:t>
      </w:r>
    </w:p>
    <w:p w14:paraId="41A0411E">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2.我单位具有符合采购文件资格要求的财务状况报告。</w:t>
      </w:r>
    </w:p>
    <w:p w14:paraId="6F01E647">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3.我单位具有符合采购文件资格要求的依法缴纳税收和社会保障记录的良好记录。</w:t>
      </w:r>
    </w:p>
    <w:p w14:paraId="1B19E2FC">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4.我单位具有符合采购文件资格要求履行合同所必需的设备和专业技术能力。</w:t>
      </w:r>
    </w:p>
    <w:p w14:paraId="647E0775">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5.参加政府采购活动前三年内，在经营活动中没有重大违法记录。</w:t>
      </w:r>
    </w:p>
    <w:p w14:paraId="3139A4C7">
      <w:pPr>
        <w:snapToGrid w:val="0"/>
        <w:spacing w:line="360" w:lineRule="auto"/>
        <w:ind w:right="482" w:firstLine="480" w:firstLineChars="200"/>
        <w:rPr>
          <w:rFonts w:ascii="宋体" w:hAnsi="宋体" w:cs="宋体"/>
          <w:color w:val="auto"/>
          <w:sz w:val="24"/>
          <w:highlight w:val="none"/>
        </w:rPr>
      </w:pPr>
      <w:r>
        <w:rPr>
          <w:rFonts w:hint="eastAsia" w:ascii="宋体" w:hAnsi="宋体" w:cs="宋体"/>
          <w:color w:val="auto"/>
          <w:sz w:val="24"/>
          <w:highlight w:val="none"/>
        </w:rPr>
        <w:t>若我单位承诺不实，自愿承担提供虚假材料谋取中标、成交的法律责任。</w:t>
      </w:r>
    </w:p>
    <w:p w14:paraId="78736884">
      <w:pPr>
        <w:snapToGrid w:val="0"/>
        <w:spacing w:line="360" w:lineRule="auto"/>
        <w:ind w:right="480"/>
        <w:rPr>
          <w:rFonts w:ascii="宋体" w:hAnsi="宋体" w:cs="宋体"/>
          <w:color w:val="auto"/>
          <w:sz w:val="24"/>
          <w:highlight w:val="none"/>
        </w:rPr>
      </w:pPr>
    </w:p>
    <w:p w14:paraId="489C55B4">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14:paraId="5CC8597E">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6954A174">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634D9071">
      <w:pPr>
        <w:snapToGrid w:val="0"/>
        <w:spacing w:line="360" w:lineRule="auto"/>
        <w:ind w:right="480"/>
        <w:rPr>
          <w:rFonts w:ascii="宋体" w:hAnsi="宋体" w:cs="宋体"/>
          <w:color w:val="auto"/>
          <w:sz w:val="24"/>
          <w:highlight w:val="none"/>
        </w:rPr>
      </w:pPr>
    </w:p>
    <w:p w14:paraId="4E589232">
      <w:pPr>
        <w:snapToGrid w:val="0"/>
        <w:spacing w:line="360" w:lineRule="auto"/>
        <w:ind w:right="480"/>
        <w:jc w:val="center"/>
        <w:rPr>
          <w:rFonts w:ascii="宋体" w:hAnsi="宋体" w:cs="宋体"/>
          <w:b/>
          <w:color w:val="auto"/>
          <w:kern w:val="0"/>
          <w:sz w:val="32"/>
          <w:szCs w:val="32"/>
          <w:highlight w:val="none"/>
        </w:rPr>
      </w:pPr>
    </w:p>
    <w:p w14:paraId="2DB8FAF9">
      <w:pPr>
        <w:rPr>
          <w:rFonts w:ascii="宋体" w:hAnsi="宋体" w:cs="宋体"/>
          <w:color w:val="auto"/>
          <w:highlight w:val="none"/>
        </w:rPr>
      </w:pPr>
    </w:p>
    <w:p w14:paraId="16426E65">
      <w:pPr>
        <w:widowControl/>
        <w:spacing w:line="360" w:lineRule="auto"/>
        <w:ind w:firstLine="643" w:firstLineChars="20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二、联合协议（如果有）</w:t>
      </w:r>
    </w:p>
    <w:p w14:paraId="707AA05C">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[以联合体形式投标的，提供联合协议（附件5）；本项目不接受联合体投标或者投标人不以联合体形式投标的，则不需要提供）]</w:t>
      </w:r>
    </w:p>
    <w:p w14:paraId="2756DD44">
      <w:pPr>
        <w:snapToGrid w:val="0"/>
        <w:spacing w:line="360" w:lineRule="auto"/>
        <w:ind w:right="480"/>
        <w:jc w:val="center"/>
        <w:rPr>
          <w:rFonts w:ascii="宋体" w:hAnsi="宋体" w:cs="宋体"/>
          <w:b/>
          <w:color w:val="auto"/>
          <w:kern w:val="0"/>
          <w:sz w:val="32"/>
          <w:szCs w:val="32"/>
          <w:highlight w:val="none"/>
        </w:rPr>
      </w:pPr>
    </w:p>
    <w:p w14:paraId="6036525F">
      <w:pPr>
        <w:snapToGrid w:val="0"/>
        <w:spacing w:line="360" w:lineRule="auto"/>
        <w:ind w:right="48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三、落实政府采购政策需满足的资格要求</w:t>
      </w:r>
    </w:p>
    <w:p w14:paraId="496D45A8">
      <w:pPr>
        <w:spacing w:line="360" w:lineRule="auto"/>
        <w:rPr>
          <w:rFonts w:ascii="宋体" w:hAnsi="宋体" w:cs="宋体"/>
          <w:color w:val="auto"/>
          <w:sz w:val="24"/>
          <w:highlight w:val="none"/>
        </w:rPr>
      </w:pPr>
      <w:r>
        <w:rPr>
          <w:rFonts w:hint="eastAsia" w:ascii="宋体" w:hAnsi="宋体" w:cs="宋体"/>
          <w:color w:val="auto"/>
          <w:sz w:val="24"/>
          <w:highlight w:val="none"/>
        </w:rPr>
        <w:t>（根据招标公告落实政府采购政策需满足的资格要求选择提供相应的材料；未要求的，无需提供）</w:t>
      </w:r>
    </w:p>
    <w:p w14:paraId="3ED5F3DE">
      <w:pPr>
        <w:snapToGrid w:val="0"/>
        <w:spacing w:before="50" w:after="50" w:line="360" w:lineRule="auto"/>
        <w:ind w:firstLine="472" w:firstLineChars="196"/>
        <w:jc w:val="left"/>
        <w:rPr>
          <w:rFonts w:ascii="宋体" w:hAnsi="宋体" w:cs="宋体"/>
          <w:color w:val="auto"/>
          <w:sz w:val="24"/>
          <w:highlight w:val="none"/>
        </w:rPr>
      </w:pPr>
      <w:r>
        <w:rPr>
          <w:rFonts w:hint="eastAsia" w:ascii="宋体" w:hAnsi="宋体" w:cs="宋体"/>
          <w:b/>
          <w:color w:val="auto"/>
          <w:sz w:val="24"/>
          <w:highlight w:val="none"/>
        </w:rPr>
        <w:t>A</w:t>
      </w:r>
      <w:r>
        <w:rPr>
          <w:rFonts w:hint="eastAsia" w:ascii="宋体" w:hAnsi="宋体" w:cs="宋体"/>
          <w:color w:val="auto"/>
          <w:sz w:val="24"/>
          <w:highlight w:val="none"/>
        </w:rPr>
        <w:t>.专门面向中小企业，服务全部由符合政策要求的中小企业（或小微企业）承接的，提供相应的中小企业声明函（附件</w:t>
      </w:r>
      <w:r>
        <w:rPr>
          <w:rFonts w:ascii="宋体" w:hAnsi="宋体" w:cs="宋体"/>
          <w:color w:val="auto"/>
          <w:sz w:val="24"/>
          <w:highlight w:val="none"/>
        </w:rPr>
        <w:t>7</w:t>
      </w:r>
      <w:r>
        <w:rPr>
          <w:rFonts w:hint="eastAsia" w:ascii="宋体" w:hAnsi="宋体" w:cs="宋体"/>
          <w:color w:val="auto"/>
          <w:sz w:val="24"/>
          <w:highlight w:val="none"/>
        </w:rPr>
        <w:t xml:space="preserve">）。 </w:t>
      </w:r>
    </w:p>
    <w:p w14:paraId="5F1C1CC1">
      <w:pPr>
        <w:widowControl/>
        <w:spacing w:line="360" w:lineRule="auto"/>
        <w:ind w:firstLine="480"/>
        <w:jc w:val="left"/>
        <w:rPr>
          <w:rFonts w:ascii="宋体" w:hAnsi="宋体" w:cs="宋体"/>
          <w:color w:val="auto"/>
          <w:sz w:val="24"/>
          <w:highlight w:val="none"/>
        </w:rPr>
      </w:pPr>
    </w:p>
    <w:p w14:paraId="3E3B2DEA">
      <w:pPr>
        <w:widowControl/>
        <w:spacing w:line="360" w:lineRule="auto"/>
        <w:ind w:firstLine="472" w:firstLineChars="196"/>
        <w:jc w:val="left"/>
        <w:rPr>
          <w:rFonts w:ascii="宋体" w:hAnsi="宋体" w:cs="宋体"/>
          <w:color w:val="auto"/>
          <w:sz w:val="24"/>
          <w:highlight w:val="none"/>
        </w:rPr>
      </w:pPr>
      <w:r>
        <w:rPr>
          <w:rFonts w:hint="eastAsia" w:ascii="宋体" w:hAnsi="宋体" w:cs="宋体"/>
          <w:b/>
          <w:color w:val="auto"/>
          <w:sz w:val="24"/>
          <w:highlight w:val="none"/>
        </w:rPr>
        <w:t>B.</w:t>
      </w:r>
      <w:r>
        <w:rPr>
          <w:rFonts w:hint="eastAsia" w:ascii="宋体" w:hAnsi="宋体" w:cs="宋体"/>
          <w:color w:val="auto"/>
          <w:sz w:val="24"/>
          <w:highlight w:val="none"/>
        </w:rPr>
        <w:t>要求以联合体形式参加的，提供联合协议（附件</w:t>
      </w:r>
      <w:r>
        <w:rPr>
          <w:rFonts w:ascii="宋体" w:hAnsi="宋体" w:cs="宋体"/>
          <w:color w:val="auto"/>
          <w:sz w:val="24"/>
          <w:highlight w:val="none"/>
        </w:rPr>
        <w:t>5</w:t>
      </w:r>
      <w:r>
        <w:rPr>
          <w:rFonts w:hint="eastAsia" w:ascii="宋体" w:hAnsi="宋体" w:cs="宋体"/>
          <w:color w:val="auto"/>
          <w:sz w:val="24"/>
          <w:highlight w:val="none"/>
        </w:rPr>
        <w:t>）和中小企业声明函（附件</w:t>
      </w:r>
      <w:r>
        <w:rPr>
          <w:rFonts w:ascii="宋体" w:hAnsi="宋体" w:cs="宋体"/>
          <w:color w:val="auto"/>
          <w:sz w:val="24"/>
          <w:highlight w:val="none"/>
        </w:rPr>
        <w:t>7</w:t>
      </w:r>
      <w:r>
        <w:rPr>
          <w:rFonts w:hint="eastAsia" w:ascii="宋体" w:hAnsi="宋体" w:cs="宋体"/>
          <w:color w:val="auto"/>
          <w:sz w:val="24"/>
          <w:highlight w:val="none"/>
        </w:rPr>
        <w:t>），联合协议中中小企业合同金额应当达到招标公告载明的比例；如果供应商本身提供所有标的均由中小企业承接的，</w:t>
      </w:r>
      <w:r>
        <w:rPr>
          <w:rFonts w:hint="eastAsia" w:ascii="宋体" w:hAnsi="宋体" w:cs="宋体"/>
          <w:color w:val="auto"/>
          <w:spacing w:val="8"/>
          <w:kern w:val="0"/>
          <w:sz w:val="24"/>
          <w:highlight w:val="none"/>
        </w:rPr>
        <w:t>并相应达到了前述比例要求，</w:t>
      </w:r>
      <w:r>
        <w:rPr>
          <w:rFonts w:hint="eastAsia" w:ascii="宋体" w:hAnsi="宋体" w:cs="宋体"/>
          <w:color w:val="auto"/>
          <w:sz w:val="24"/>
          <w:highlight w:val="none"/>
        </w:rPr>
        <w:t>视同符合了资格条件，无需再与其他中小企业组成联合体参加政府采购活动，无需提供联合协议。</w:t>
      </w:r>
    </w:p>
    <w:p w14:paraId="3205B720">
      <w:pPr>
        <w:snapToGrid w:val="0"/>
        <w:spacing w:before="50" w:after="50" w:line="360" w:lineRule="auto"/>
        <w:jc w:val="center"/>
        <w:rPr>
          <w:rFonts w:ascii="宋体" w:hAnsi="宋体" w:cs="宋体"/>
          <w:color w:val="auto"/>
          <w:sz w:val="24"/>
          <w:highlight w:val="none"/>
        </w:rPr>
      </w:pPr>
      <w:r>
        <w:rPr>
          <w:rFonts w:hint="eastAsia" w:ascii="宋体" w:hAnsi="宋体" w:cs="宋体"/>
          <w:b/>
          <w:color w:val="auto"/>
          <w:sz w:val="24"/>
          <w:highlight w:val="none"/>
        </w:rPr>
        <w:t xml:space="preserve">    </w:t>
      </w:r>
    </w:p>
    <w:p w14:paraId="4C5542FF">
      <w:pPr>
        <w:spacing w:line="360" w:lineRule="auto"/>
        <w:ind w:firstLine="482" w:firstLineChars="200"/>
        <w:rPr>
          <w:rFonts w:ascii="宋体" w:hAnsi="宋体" w:cs="宋体"/>
          <w:color w:val="auto"/>
          <w:sz w:val="24"/>
          <w:highlight w:val="none"/>
        </w:rPr>
      </w:pPr>
      <w:r>
        <w:rPr>
          <w:rFonts w:hint="eastAsia" w:ascii="宋体" w:hAnsi="宋体" w:cs="宋体"/>
          <w:b/>
          <w:color w:val="auto"/>
          <w:sz w:val="24"/>
          <w:highlight w:val="none"/>
        </w:rPr>
        <w:t>C、</w:t>
      </w:r>
      <w:r>
        <w:rPr>
          <w:rFonts w:hint="eastAsia" w:ascii="宋体" w:hAnsi="宋体" w:cs="宋体"/>
          <w:color w:val="auto"/>
          <w:sz w:val="24"/>
          <w:highlight w:val="none"/>
        </w:rPr>
        <w:t>要求合同分包的，提供分包意向协议（附件6）和中小企业声明函（附件</w:t>
      </w:r>
      <w:r>
        <w:rPr>
          <w:rFonts w:ascii="宋体" w:hAnsi="宋体" w:cs="宋体"/>
          <w:color w:val="auto"/>
          <w:sz w:val="24"/>
          <w:highlight w:val="none"/>
        </w:rPr>
        <w:t>7</w:t>
      </w:r>
      <w:r>
        <w:rPr>
          <w:rFonts w:hint="eastAsia" w:ascii="宋体" w:hAnsi="宋体" w:cs="宋体"/>
          <w:color w:val="auto"/>
          <w:sz w:val="24"/>
          <w:highlight w:val="none"/>
        </w:rPr>
        <w:t>），分包意向协议中中小企业合同金额应当达到招标公告载明的比例；如果供应商本身提供所有标的均由中小企业承接的，</w:t>
      </w:r>
      <w:r>
        <w:rPr>
          <w:rFonts w:hint="eastAsia" w:ascii="宋体" w:hAnsi="宋体" w:cs="宋体"/>
          <w:color w:val="auto"/>
          <w:spacing w:val="8"/>
          <w:kern w:val="0"/>
          <w:sz w:val="24"/>
          <w:highlight w:val="none"/>
        </w:rPr>
        <w:t>并相应达到了前述比例要求，</w:t>
      </w:r>
      <w:r>
        <w:rPr>
          <w:rFonts w:hint="eastAsia" w:ascii="宋体" w:hAnsi="宋体" w:cs="宋体"/>
          <w:color w:val="auto"/>
          <w:sz w:val="24"/>
          <w:highlight w:val="none"/>
        </w:rPr>
        <w:t>视同符合了资格条件，无需再向中小企业分包，无需提供分包意向协议。</w:t>
      </w:r>
    </w:p>
    <w:p w14:paraId="5D6AF883">
      <w:pPr>
        <w:widowControl/>
        <w:spacing w:line="360" w:lineRule="auto"/>
        <w:ind w:left="150"/>
        <w:jc w:val="center"/>
        <w:rPr>
          <w:rFonts w:ascii="宋体" w:hAnsi="宋体" w:cs="宋体"/>
          <w:b/>
          <w:color w:val="auto"/>
          <w:kern w:val="0"/>
          <w:sz w:val="32"/>
          <w:szCs w:val="32"/>
          <w:highlight w:val="none"/>
        </w:rPr>
      </w:pPr>
    </w:p>
    <w:p w14:paraId="414C1407">
      <w:pPr>
        <w:widowControl/>
        <w:spacing w:line="360" w:lineRule="auto"/>
        <w:ind w:left="150"/>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四、本项目的特定资格要求</w:t>
      </w:r>
    </w:p>
    <w:p w14:paraId="03C5B50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（根据招标公告本项目的特定资格要求提供相应的材料；未要求的，无需提供）</w:t>
      </w:r>
    </w:p>
    <w:p w14:paraId="1FB9B888">
      <w:pPr>
        <w:rPr>
          <w:rFonts w:ascii="宋体" w:hAnsi="宋体" w:cs="宋体"/>
          <w:color w:val="auto"/>
          <w:highlight w:val="none"/>
        </w:rPr>
      </w:pPr>
    </w:p>
    <w:p w14:paraId="723A0FB8">
      <w:pPr>
        <w:snapToGrid w:val="0"/>
        <w:spacing w:line="360" w:lineRule="auto"/>
        <w:ind w:right="480"/>
        <w:jc w:val="center"/>
        <w:rPr>
          <w:rFonts w:ascii="宋体" w:hAnsi="宋体" w:cs="宋体"/>
          <w:b/>
          <w:color w:val="auto"/>
          <w:kern w:val="0"/>
          <w:sz w:val="32"/>
          <w:szCs w:val="32"/>
          <w:highlight w:val="none"/>
        </w:rPr>
      </w:pPr>
    </w:p>
    <w:p w14:paraId="74331BF1">
      <w:pPr>
        <w:widowControl/>
        <w:adjustRightInd/>
        <w:jc w:val="left"/>
        <w:rPr>
          <w:rFonts w:ascii="宋体" w:hAnsi="宋体" w:cs="宋体"/>
          <w:b/>
          <w:color w:val="auto"/>
          <w:kern w:val="0"/>
          <w:sz w:val="36"/>
          <w:szCs w:val="36"/>
          <w:highlight w:val="none"/>
        </w:rPr>
      </w:pPr>
      <w:r>
        <w:rPr>
          <w:rFonts w:ascii="宋体" w:hAnsi="宋体" w:cs="宋体"/>
          <w:b/>
          <w:color w:val="auto"/>
          <w:kern w:val="0"/>
          <w:sz w:val="36"/>
          <w:szCs w:val="36"/>
          <w:highlight w:val="none"/>
        </w:rPr>
        <w:br w:type="page"/>
      </w:r>
    </w:p>
    <w:p w14:paraId="75564715">
      <w:pPr>
        <w:spacing w:line="360" w:lineRule="auto"/>
        <w:ind w:right="420" w:firstLine="3614" w:firstLineChars="1000"/>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商务技术文件部分</w:t>
      </w:r>
    </w:p>
    <w:p w14:paraId="77B0A4CA">
      <w:pPr>
        <w:spacing w:line="360" w:lineRule="auto"/>
        <w:jc w:val="center"/>
        <w:rPr>
          <w:rFonts w:ascii="宋体" w:hAnsi="宋体" w:cs="宋体"/>
          <w:b/>
          <w:color w:val="auto"/>
          <w:kern w:val="0"/>
          <w:sz w:val="28"/>
          <w:szCs w:val="28"/>
          <w:highlight w:val="none"/>
        </w:rPr>
      </w:pPr>
      <w:r>
        <w:rPr>
          <w:rFonts w:hint="eastAsia" w:ascii="宋体" w:hAnsi="宋体" w:cs="宋体"/>
          <w:b/>
          <w:color w:val="auto"/>
          <w:kern w:val="0"/>
          <w:sz w:val="28"/>
          <w:szCs w:val="28"/>
          <w:highlight w:val="none"/>
        </w:rPr>
        <w:t>目录</w:t>
      </w:r>
    </w:p>
    <w:p w14:paraId="7C060145">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（1）投标函</w:t>
      </w:r>
      <w:r>
        <w:rPr>
          <w:rFonts w:hint="eastAsia" w:ascii="宋体" w:hAnsi="宋体" w:cs="宋体"/>
          <w:color w:val="auto"/>
          <w:highlight w:val="none"/>
        </w:rPr>
        <w:t>…………………………………………………………………………………（页码）</w:t>
      </w:r>
      <w:r>
        <w:rPr>
          <w:rFonts w:hint="eastAsia" w:ascii="宋体" w:hAnsi="宋体" w:cs="宋体"/>
          <w:color w:val="auto"/>
          <w:sz w:val="24"/>
          <w:highlight w:val="none"/>
        </w:rPr>
        <w:t>（2）授权委托书或法定代表人（单位负责人、自然人本人）身份证明</w:t>
      </w:r>
      <w:r>
        <w:rPr>
          <w:rFonts w:hint="eastAsia" w:ascii="宋体" w:hAnsi="宋体" w:cs="宋体"/>
          <w:color w:val="auto"/>
          <w:highlight w:val="none"/>
        </w:rPr>
        <w:t>………（页码）</w:t>
      </w:r>
    </w:p>
    <w:p w14:paraId="49EB9E1D">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3</w:t>
      </w:r>
      <w:r>
        <w:rPr>
          <w:rFonts w:hint="eastAsia" w:ascii="宋体" w:hAnsi="宋体" w:cs="宋体"/>
          <w:color w:val="auto"/>
          <w:sz w:val="24"/>
          <w:highlight w:val="none"/>
        </w:rPr>
        <w:t>）分包意向协议</w:t>
      </w:r>
      <w:r>
        <w:rPr>
          <w:rFonts w:hint="eastAsia" w:ascii="宋体" w:hAnsi="宋体" w:cs="宋体"/>
          <w:color w:val="auto"/>
          <w:highlight w:val="none"/>
        </w:rPr>
        <w:t>…………………………………………………………………………（页码）</w:t>
      </w:r>
    </w:p>
    <w:p w14:paraId="1B8BBB33">
      <w:pPr>
        <w:snapToGrid w:val="0"/>
        <w:spacing w:line="360" w:lineRule="auto"/>
        <w:ind w:firstLine="480" w:firstLineChars="200"/>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4</w:t>
      </w:r>
      <w:r>
        <w:rPr>
          <w:rFonts w:hint="eastAsia" w:ascii="宋体" w:hAnsi="宋体" w:cs="宋体"/>
          <w:color w:val="auto"/>
          <w:sz w:val="24"/>
          <w:highlight w:val="none"/>
        </w:rPr>
        <w:t>）符合性审查资料</w:t>
      </w:r>
      <w:r>
        <w:rPr>
          <w:rFonts w:hint="eastAsia" w:ascii="宋体" w:hAnsi="宋体" w:cs="宋体"/>
          <w:color w:val="auto"/>
          <w:highlight w:val="none"/>
        </w:rPr>
        <w:t>………………………………………………………………………（页码）</w:t>
      </w:r>
    </w:p>
    <w:p w14:paraId="1A65C16A">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rPr>
        <w:t>（</w:t>
      </w:r>
      <w:r>
        <w:rPr>
          <w:rFonts w:ascii="宋体" w:hAnsi="宋体" w:cs="宋体"/>
          <w:color w:val="auto"/>
          <w:sz w:val="24"/>
          <w:highlight w:val="none"/>
        </w:rPr>
        <w:t>5</w:t>
      </w:r>
      <w:r>
        <w:rPr>
          <w:rFonts w:hint="eastAsia" w:ascii="宋体" w:hAnsi="宋体" w:cs="宋体"/>
          <w:color w:val="auto"/>
          <w:sz w:val="24"/>
          <w:highlight w:val="none"/>
        </w:rPr>
        <w:t>）评标标准相应的商务技术资料</w:t>
      </w:r>
      <w:r>
        <w:rPr>
          <w:rFonts w:hint="eastAsia" w:ascii="宋体" w:hAnsi="宋体" w:cs="宋体"/>
          <w:color w:val="auto"/>
          <w:highlight w:val="none"/>
        </w:rPr>
        <w:t>……………………………………………………（页码）</w:t>
      </w:r>
      <w:r>
        <w:rPr>
          <w:rFonts w:hint="eastAsia" w:ascii="宋体" w:hAnsi="宋体" w:cs="宋体"/>
          <w:color w:val="auto"/>
          <w:sz w:val="24"/>
          <w:highlight w:val="none"/>
        </w:rPr>
        <w:t>（</w:t>
      </w:r>
      <w:r>
        <w:rPr>
          <w:rFonts w:ascii="宋体" w:hAnsi="宋体" w:cs="宋体"/>
          <w:color w:val="auto"/>
          <w:sz w:val="24"/>
          <w:highlight w:val="none"/>
        </w:rPr>
        <w:t>6</w:t>
      </w:r>
      <w:r>
        <w:rPr>
          <w:rFonts w:hint="eastAsia" w:ascii="宋体" w:hAnsi="宋体" w:cs="宋体"/>
          <w:color w:val="auto"/>
          <w:sz w:val="24"/>
          <w:highlight w:val="none"/>
        </w:rPr>
        <w:t>）投标标的清单</w:t>
      </w:r>
      <w:r>
        <w:rPr>
          <w:rFonts w:hint="eastAsia" w:ascii="宋体" w:hAnsi="宋体" w:cs="宋体"/>
          <w:color w:val="auto"/>
          <w:highlight w:val="none"/>
        </w:rPr>
        <w:t>…………………………………………………………………………（页码）</w:t>
      </w:r>
      <w:r>
        <w:rPr>
          <w:rFonts w:hint="eastAsia" w:ascii="宋体" w:hAnsi="宋体" w:cs="宋体"/>
          <w:color w:val="auto"/>
          <w:sz w:val="24"/>
          <w:highlight w:val="none"/>
        </w:rPr>
        <w:t>（</w:t>
      </w:r>
      <w:r>
        <w:rPr>
          <w:rFonts w:ascii="宋体" w:hAnsi="宋体" w:cs="宋体"/>
          <w:color w:val="auto"/>
          <w:sz w:val="24"/>
          <w:highlight w:val="none"/>
        </w:rPr>
        <w:t>7</w:t>
      </w:r>
      <w:r>
        <w:rPr>
          <w:rFonts w:hint="eastAsia" w:ascii="宋体" w:hAnsi="宋体" w:cs="宋体"/>
          <w:color w:val="auto"/>
          <w:sz w:val="24"/>
          <w:highlight w:val="none"/>
        </w:rPr>
        <w:t>）商务技术偏离表</w:t>
      </w:r>
      <w:r>
        <w:rPr>
          <w:rFonts w:hint="eastAsia" w:ascii="宋体" w:hAnsi="宋体" w:cs="宋体"/>
          <w:color w:val="auto"/>
          <w:highlight w:val="none"/>
        </w:rPr>
        <w:t>………………………………………………………………………（页码）</w:t>
      </w:r>
    </w:p>
    <w:p w14:paraId="60FF5149">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r>
        <w:rPr>
          <w:rFonts w:hint="eastAsia" w:ascii="宋体" w:hAnsi="宋体" w:cs="宋体"/>
          <w:color w:val="auto"/>
          <w:highlight w:val="none"/>
        </w:rPr>
        <w:t>…………………………………………………（页码）</w:t>
      </w:r>
    </w:p>
    <w:p w14:paraId="0DF1D246">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lang w:val="zh-CN"/>
        </w:rPr>
        <w:t>（</w:t>
      </w:r>
      <w:r>
        <w:rPr>
          <w:rFonts w:hint="eastAsia" w:ascii="宋体" w:hAnsi="宋体" w:cs="宋体"/>
          <w:color w:val="auto"/>
          <w:sz w:val="24"/>
          <w:highlight w:val="none"/>
        </w:rPr>
        <w:t>9</w:t>
      </w:r>
      <w:r>
        <w:rPr>
          <w:rFonts w:hint="eastAsia" w:ascii="宋体" w:hAnsi="宋体" w:cs="宋体"/>
          <w:color w:val="auto"/>
          <w:sz w:val="24"/>
          <w:highlight w:val="none"/>
          <w:lang w:val="zh-CN"/>
        </w:rPr>
        <w:t>）承诺函</w:t>
      </w:r>
      <w:r>
        <w:rPr>
          <w:rFonts w:hint="eastAsia" w:ascii="宋体" w:hAnsi="宋体" w:cs="宋体"/>
          <w:color w:val="auto"/>
          <w:highlight w:val="none"/>
        </w:rPr>
        <w:t>……………………………………………………………………………………（页码）</w:t>
      </w:r>
    </w:p>
    <w:p w14:paraId="00B49B9D">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lang w:val="zh-CN"/>
        </w:rPr>
        <w:t>（</w:t>
      </w:r>
      <w:r>
        <w:rPr>
          <w:rFonts w:hint="eastAsia" w:ascii="宋体" w:hAnsi="宋体" w:cs="宋体"/>
          <w:color w:val="auto"/>
          <w:sz w:val="24"/>
          <w:highlight w:val="none"/>
        </w:rPr>
        <w:t>10</w:t>
      </w:r>
      <w:r>
        <w:rPr>
          <w:rFonts w:hint="eastAsia" w:ascii="宋体" w:hAnsi="宋体" w:cs="宋体"/>
          <w:color w:val="auto"/>
          <w:sz w:val="24"/>
          <w:highlight w:val="none"/>
          <w:lang w:val="zh-CN"/>
        </w:rPr>
        <w:t>）技术解决方案</w:t>
      </w:r>
      <w:r>
        <w:rPr>
          <w:rFonts w:hint="eastAsia" w:ascii="宋体" w:hAnsi="宋体" w:cs="宋体"/>
          <w:color w:val="auto"/>
          <w:highlight w:val="none"/>
        </w:rPr>
        <w:t>…………………………………………………………………………（页码）</w:t>
      </w:r>
    </w:p>
    <w:p w14:paraId="62AFE5E3">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lang w:val="zh-CN"/>
        </w:rPr>
        <w:t>（</w:t>
      </w:r>
      <w:r>
        <w:rPr>
          <w:rFonts w:hint="eastAsia" w:ascii="宋体" w:hAnsi="宋体" w:cs="宋体"/>
          <w:color w:val="auto"/>
          <w:sz w:val="24"/>
          <w:highlight w:val="none"/>
        </w:rPr>
        <w:t>11</w:t>
      </w:r>
      <w:r>
        <w:rPr>
          <w:rFonts w:hint="eastAsia" w:ascii="宋体" w:hAnsi="宋体" w:cs="宋体"/>
          <w:color w:val="auto"/>
          <w:sz w:val="24"/>
          <w:highlight w:val="none"/>
          <w:lang w:val="zh-CN"/>
        </w:rPr>
        <w:t>）组织实施方案</w:t>
      </w:r>
      <w:r>
        <w:rPr>
          <w:rFonts w:hint="eastAsia" w:ascii="宋体" w:hAnsi="宋体" w:cs="宋体"/>
          <w:color w:val="auto"/>
          <w:highlight w:val="none"/>
        </w:rPr>
        <w:t>…………………………………………………………………………（页码）</w:t>
      </w:r>
    </w:p>
    <w:p w14:paraId="5D09999F">
      <w:pPr>
        <w:snapToGrid w:val="0"/>
        <w:spacing w:line="360" w:lineRule="auto"/>
        <w:ind w:left="479" w:leftChars="228"/>
        <w:rPr>
          <w:rFonts w:ascii="宋体" w:hAnsi="宋体" w:cs="宋体"/>
          <w:color w:val="auto"/>
          <w:highlight w:val="none"/>
        </w:rPr>
      </w:pPr>
      <w:r>
        <w:rPr>
          <w:rFonts w:hint="eastAsia" w:ascii="宋体" w:hAnsi="宋体" w:cs="宋体"/>
          <w:color w:val="auto"/>
          <w:sz w:val="24"/>
          <w:highlight w:val="none"/>
          <w:lang w:val="zh-CN"/>
        </w:rPr>
        <w:t>（</w:t>
      </w:r>
      <w:r>
        <w:rPr>
          <w:rFonts w:hint="eastAsia" w:ascii="宋体" w:hAnsi="宋体" w:cs="宋体"/>
          <w:color w:val="auto"/>
          <w:sz w:val="24"/>
          <w:highlight w:val="none"/>
        </w:rPr>
        <w:t>12</w:t>
      </w:r>
      <w:r>
        <w:rPr>
          <w:rFonts w:hint="eastAsia" w:ascii="宋体" w:hAnsi="宋体" w:cs="宋体"/>
          <w:color w:val="auto"/>
          <w:sz w:val="24"/>
          <w:highlight w:val="none"/>
          <w:lang w:val="zh-CN"/>
        </w:rPr>
        <w:t>）售后服务方案</w:t>
      </w:r>
      <w:r>
        <w:rPr>
          <w:rFonts w:hint="eastAsia" w:ascii="宋体" w:hAnsi="宋体" w:cs="宋体"/>
          <w:color w:val="auto"/>
          <w:highlight w:val="none"/>
        </w:rPr>
        <w:t>…………………………………………………………………………（页码）</w:t>
      </w:r>
    </w:p>
    <w:p w14:paraId="1DA72A8A">
      <w:pPr>
        <w:snapToGrid w:val="0"/>
        <w:spacing w:line="360" w:lineRule="auto"/>
        <w:jc w:val="center"/>
        <w:rPr>
          <w:rFonts w:ascii="宋体" w:hAnsi="宋体" w:cs="宋体"/>
          <w:b/>
          <w:color w:val="auto"/>
          <w:kern w:val="0"/>
          <w:sz w:val="32"/>
          <w:szCs w:val="32"/>
          <w:highlight w:val="none"/>
          <w:lang w:val="zh-CN"/>
        </w:rPr>
      </w:pPr>
    </w:p>
    <w:p w14:paraId="00FE2A55">
      <w:pPr>
        <w:snapToGrid w:val="0"/>
        <w:spacing w:line="360" w:lineRule="auto"/>
        <w:jc w:val="center"/>
        <w:rPr>
          <w:rFonts w:ascii="宋体" w:hAnsi="宋体" w:cs="宋体"/>
          <w:b/>
          <w:color w:val="auto"/>
          <w:kern w:val="0"/>
          <w:sz w:val="32"/>
          <w:szCs w:val="32"/>
          <w:highlight w:val="none"/>
          <w:lang w:val="zh-CN"/>
        </w:rPr>
      </w:pPr>
    </w:p>
    <w:p w14:paraId="0077502B">
      <w:pPr>
        <w:snapToGrid w:val="0"/>
        <w:spacing w:line="360" w:lineRule="auto"/>
        <w:jc w:val="center"/>
        <w:rPr>
          <w:rFonts w:ascii="宋体" w:hAnsi="宋体" w:cs="宋体"/>
          <w:b/>
          <w:color w:val="auto"/>
          <w:kern w:val="0"/>
          <w:sz w:val="32"/>
          <w:szCs w:val="32"/>
          <w:highlight w:val="none"/>
          <w:lang w:val="zh-CN"/>
        </w:rPr>
      </w:pPr>
    </w:p>
    <w:p w14:paraId="705BBB70">
      <w:pPr>
        <w:snapToGrid w:val="0"/>
        <w:spacing w:line="360" w:lineRule="auto"/>
        <w:jc w:val="center"/>
        <w:rPr>
          <w:rFonts w:ascii="宋体" w:hAnsi="宋体" w:cs="宋体"/>
          <w:b/>
          <w:color w:val="auto"/>
          <w:kern w:val="0"/>
          <w:sz w:val="32"/>
          <w:szCs w:val="32"/>
          <w:highlight w:val="none"/>
          <w:lang w:val="zh-CN"/>
        </w:rPr>
      </w:pPr>
    </w:p>
    <w:p w14:paraId="520903C6">
      <w:pPr>
        <w:snapToGrid w:val="0"/>
        <w:spacing w:line="360" w:lineRule="auto"/>
        <w:jc w:val="center"/>
        <w:rPr>
          <w:rFonts w:ascii="宋体" w:hAnsi="宋体" w:cs="宋体"/>
          <w:b/>
          <w:color w:val="auto"/>
          <w:kern w:val="0"/>
          <w:sz w:val="32"/>
          <w:szCs w:val="32"/>
          <w:highlight w:val="none"/>
          <w:lang w:val="zh-CN"/>
        </w:rPr>
      </w:pPr>
    </w:p>
    <w:p w14:paraId="03DDB44D">
      <w:pPr>
        <w:snapToGrid w:val="0"/>
        <w:spacing w:line="360" w:lineRule="auto"/>
        <w:jc w:val="center"/>
        <w:rPr>
          <w:rFonts w:ascii="宋体" w:hAnsi="宋体" w:cs="宋体"/>
          <w:b/>
          <w:color w:val="auto"/>
          <w:kern w:val="0"/>
          <w:sz w:val="32"/>
          <w:szCs w:val="32"/>
          <w:highlight w:val="none"/>
          <w:lang w:val="zh-CN"/>
        </w:rPr>
      </w:pPr>
    </w:p>
    <w:p w14:paraId="55EB2299">
      <w:pPr>
        <w:snapToGrid w:val="0"/>
        <w:spacing w:line="360" w:lineRule="auto"/>
        <w:jc w:val="center"/>
        <w:rPr>
          <w:rFonts w:ascii="宋体" w:hAnsi="宋体" w:cs="宋体"/>
          <w:b/>
          <w:color w:val="auto"/>
          <w:kern w:val="0"/>
          <w:sz w:val="32"/>
          <w:szCs w:val="32"/>
          <w:highlight w:val="none"/>
          <w:lang w:val="zh-CN"/>
        </w:rPr>
      </w:pPr>
    </w:p>
    <w:p w14:paraId="0BF0BE95">
      <w:pPr>
        <w:snapToGrid w:val="0"/>
        <w:spacing w:line="360" w:lineRule="auto"/>
        <w:jc w:val="center"/>
        <w:rPr>
          <w:rFonts w:ascii="宋体" w:hAnsi="宋体" w:cs="宋体"/>
          <w:b/>
          <w:color w:val="auto"/>
          <w:kern w:val="0"/>
          <w:sz w:val="32"/>
          <w:szCs w:val="32"/>
          <w:highlight w:val="none"/>
          <w:lang w:val="zh-CN"/>
        </w:rPr>
      </w:pPr>
    </w:p>
    <w:p w14:paraId="2AA4362F">
      <w:pPr>
        <w:snapToGrid w:val="0"/>
        <w:spacing w:line="360" w:lineRule="auto"/>
        <w:jc w:val="center"/>
        <w:rPr>
          <w:rFonts w:ascii="宋体" w:hAnsi="宋体" w:cs="宋体"/>
          <w:b/>
          <w:color w:val="auto"/>
          <w:kern w:val="0"/>
          <w:sz w:val="32"/>
          <w:szCs w:val="32"/>
          <w:highlight w:val="none"/>
          <w:lang w:val="zh-CN"/>
        </w:rPr>
      </w:pPr>
    </w:p>
    <w:p w14:paraId="071AA4C2">
      <w:pPr>
        <w:rPr>
          <w:rFonts w:ascii="宋体" w:hAnsi="宋体" w:cs="宋体"/>
          <w:b/>
          <w:color w:val="auto"/>
          <w:kern w:val="0"/>
          <w:sz w:val="32"/>
          <w:szCs w:val="32"/>
          <w:highlight w:val="none"/>
          <w:lang w:val="zh-CN"/>
        </w:rPr>
      </w:pPr>
    </w:p>
    <w:p w14:paraId="7834E9C7">
      <w:pPr>
        <w:widowControl/>
        <w:adjustRightInd/>
        <w:jc w:val="left"/>
        <w:rPr>
          <w:rFonts w:ascii="宋体" w:hAnsi="宋体" w:cs="宋体"/>
          <w:b/>
          <w:color w:val="auto"/>
          <w:kern w:val="0"/>
          <w:sz w:val="32"/>
          <w:szCs w:val="32"/>
          <w:highlight w:val="none"/>
        </w:rPr>
      </w:pPr>
      <w:r>
        <w:rPr>
          <w:rFonts w:ascii="宋体" w:hAnsi="宋体" w:cs="宋体"/>
          <w:b/>
          <w:color w:val="auto"/>
          <w:kern w:val="0"/>
          <w:sz w:val="32"/>
          <w:szCs w:val="32"/>
          <w:highlight w:val="none"/>
        </w:rPr>
        <w:br w:type="page"/>
      </w:r>
    </w:p>
    <w:p w14:paraId="0E707F3B">
      <w:pPr>
        <w:snapToGrid w:val="0"/>
        <w:spacing w:line="360" w:lineRule="auto"/>
        <w:jc w:val="center"/>
        <w:rPr>
          <w:rFonts w:ascii="宋体" w:hAnsi="宋体" w:cs="宋体"/>
          <w:b/>
          <w:color w:val="auto"/>
          <w:sz w:val="32"/>
          <w:szCs w:val="32"/>
          <w:highlight w:val="none"/>
        </w:rPr>
      </w:pPr>
      <w:r>
        <w:rPr>
          <w:rFonts w:hint="eastAsia" w:ascii="宋体" w:hAnsi="宋体" w:cs="宋体"/>
          <w:b/>
          <w:color w:val="auto"/>
          <w:kern w:val="0"/>
          <w:sz w:val="32"/>
          <w:szCs w:val="32"/>
          <w:highlight w:val="none"/>
        </w:rPr>
        <w:t>一、投标</w:t>
      </w:r>
      <w:r>
        <w:rPr>
          <w:rFonts w:hint="eastAsia" w:ascii="宋体" w:hAnsi="宋体" w:cs="宋体"/>
          <w:b/>
          <w:color w:val="auto"/>
          <w:sz w:val="32"/>
          <w:szCs w:val="32"/>
          <w:highlight w:val="none"/>
        </w:rPr>
        <w:t>函</w:t>
      </w:r>
    </w:p>
    <w:p w14:paraId="051F4EF9">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（采购人）、（采购代理机构）：</w:t>
      </w:r>
    </w:p>
    <w:p w14:paraId="5E5ECDFB">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我方参加你方组织的（项目名称）【招标编号：（采购编号）】招标的有关活动，并对此项目进行投标。为此：</w:t>
      </w:r>
    </w:p>
    <w:p w14:paraId="0FB9608B">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1、我方承诺投标有效期从提交投标文件的截止之日起</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天（不少于60天）</w:t>
      </w:r>
      <w:r>
        <w:rPr>
          <w:rFonts w:hint="eastAsia" w:ascii="宋体" w:hAnsi="宋体" w:cs="宋体"/>
          <w:color w:val="auto"/>
          <w:highlight w:val="none"/>
        </w:rPr>
        <w:t>，</w:t>
      </w:r>
      <w:r>
        <w:rPr>
          <w:rFonts w:hint="eastAsia" w:ascii="宋体" w:hAnsi="宋体" w:cs="宋体"/>
          <w:color w:val="auto"/>
          <w:sz w:val="24"/>
          <w:highlight w:val="none"/>
        </w:rPr>
        <w:t>本投标文件在投标有效期满之前均具有约束力。</w:t>
      </w:r>
    </w:p>
    <w:p w14:paraId="6161CF85">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2、我方的投标文件包括以下内容：</w:t>
      </w:r>
    </w:p>
    <w:p w14:paraId="310C2324">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2.1资格文件：</w:t>
      </w:r>
    </w:p>
    <w:p w14:paraId="1E3701B0">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2.1.1承诺函；</w:t>
      </w:r>
    </w:p>
    <w:p w14:paraId="6D7F5DC7">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2.1.2</w:t>
      </w:r>
      <w:r>
        <w:rPr>
          <w:rFonts w:hint="eastAsia" w:ascii="宋体" w:hAnsi="宋体" w:cs="宋体"/>
          <w:snapToGrid w:val="0"/>
          <w:color w:val="auto"/>
          <w:kern w:val="28"/>
          <w:sz w:val="24"/>
          <w:szCs w:val="20"/>
          <w:highlight w:val="none"/>
        </w:rPr>
        <w:t>联合协议</w:t>
      </w:r>
      <w:bookmarkStart w:id="410" w:name="_Hlk101257010"/>
      <w:r>
        <w:rPr>
          <w:rFonts w:hint="eastAsia" w:ascii="宋体" w:hAnsi="宋体" w:cs="宋体"/>
          <w:color w:val="auto"/>
          <w:sz w:val="24"/>
          <w:highlight w:val="none"/>
        </w:rPr>
        <w:t>（如果有)</w:t>
      </w:r>
      <w:bookmarkEnd w:id="410"/>
      <w:r>
        <w:rPr>
          <w:rFonts w:hint="eastAsia" w:ascii="宋体" w:hAnsi="宋体" w:cs="宋体"/>
          <w:snapToGrid w:val="0"/>
          <w:color w:val="auto"/>
          <w:kern w:val="28"/>
          <w:sz w:val="24"/>
          <w:szCs w:val="20"/>
          <w:highlight w:val="none"/>
        </w:rPr>
        <w:t>；</w:t>
      </w:r>
    </w:p>
    <w:p w14:paraId="4A44E1F8">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ascii="宋体" w:hAnsi="宋体" w:cs="宋体"/>
          <w:color w:val="auto"/>
          <w:sz w:val="24"/>
          <w:highlight w:val="none"/>
        </w:rPr>
        <w:t>.1.3</w:t>
      </w:r>
      <w:r>
        <w:rPr>
          <w:rFonts w:hint="eastAsia" w:ascii="宋体" w:hAnsi="宋体" w:cs="宋体"/>
          <w:color w:val="auto"/>
          <w:sz w:val="24"/>
          <w:highlight w:val="none"/>
        </w:rPr>
        <w:t>落实政府采购政策需满足的资格要求（如果有）；</w:t>
      </w:r>
    </w:p>
    <w:p w14:paraId="2B39C7D8">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2.1.</w:t>
      </w:r>
      <w:r>
        <w:rPr>
          <w:rFonts w:ascii="宋体" w:hAnsi="宋体" w:cs="宋体"/>
          <w:color w:val="auto"/>
          <w:sz w:val="24"/>
          <w:highlight w:val="none"/>
        </w:rPr>
        <w:t>4</w:t>
      </w:r>
      <w:r>
        <w:rPr>
          <w:rFonts w:hint="eastAsia" w:ascii="宋体" w:hAnsi="宋体" w:cs="宋体"/>
          <w:color w:val="auto"/>
          <w:sz w:val="24"/>
          <w:highlight w:val="none"/>
        </w:rPr>
        <w:t>本项目的特定资格要求（如果有)。</w:t>
      </w:r>
    </w:p>
    <w:p w14:paraId="55637A24">
      <w:pPr>
        <w:snapToGrid w:val="0"/>
        <w:spacing w:line="360" w:lineRule="auto"/>
        <w:ind w:left="210" w:leftChars="100" w:firstLine="480" w:firstLineChars="200"/>
        <w:rPr>
          <w:rFonts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2</w:t>
      </w:r>
      <w:r>
        <w:rPr>
          <w:rFonts w:hint="eastAsia" w:ascii="宋体" w:hAnsi="宋体" w:cs="宋体"/>
          <w:color w:val="auto"/>
          <w:sz w:val="24"/>
          <w:highlight w:val="none"/>
          <w:lang w:val="zh-CN"/>
        </w:rPr>
        <w:t xml:space="preserve"> </w:t>
      </w:r>
      <w:r>
        <w:rPr>
          <w:rFonts w:hint="eastAsia" w:ascii="宋体" w:hAnsi="宋体" w:cs="宋体"/>
          <w:color w:val="auto"/>
          <w:sz w:val="24"/>
          <w:highlight w:val="none"/>
        </w:rPr>
        <w:t>商务技术</w:t>
      </w:r>
      <w:r>
        <w:rPr>
          <w:rFonts w:hint="eastAsia" w:ascii="宋体" w:hAnsi="宋体" w:cs="宋体"/>
          <w:color w:val="auto"/>
          <w:sz w:val="24"/>
          <w:highlight w:val="none"/>
          <w:lang w:val="zh-CN"/>
        </w:rPr>
        <w:t>文件：</w:t>
      </w:r>
    </w:p>
    <w:p w14:paraId="5771BA23">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2.2.1投标函；</w:t>
      </w:r>
      <w:r>
        <w:rPr>
          <w:rFonts w:hint="eastAsia" w:ascii="宋体" w:hAnsi="宋体" w:cs="宋体"/>
          <w:color w:val="auto"/>
          <w:sz w:val="24"/>
          <w:highlight w:val="none"/>
          <w:lang w:val="zh-CN"/>
        </w:rPr>
        <w:t xml:space="preserve"> </w:t>
      </w:r>
    </w:p>
    <w:p w14:paraId="27628AE0">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2.2.2授权委托书或法定代表人（单位负责人）身份证明；</w:t>
      </w:r>
    </w:p>
    <w:p w14:paraId="38C46AC0">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3</w:t>
      </w:r>
      <w:r>
        <w:rPr>
          <w:rFonts w:hint="eastAsia" w:ascii="宋体" w:hAnsi="宋体" w:cs="宋体"/>
          <w:color w:val="auto"/>
          <w:sz w:val="24"/>
          <w:highlight w:val="none"/>
        </w:rPr>
        <w:t>分包意向协议（如果有)；</w:t>
      </w:r>
    </w:p>
    <w:p w14:paraId="53CC5B33">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4</w:t>
      </w:r>
      <w:r>
        <w:rPr>
          <w:rFonts w:hint="eastAsia" w:ascii="宋体" w:hAnsi="宋体" w:cs="宋体"/>
          <w:color w:val="auto"/>
          <w:sz w:val="24"/>
          <w:highlight w:val="none"/>
        </w:rPr>
        <w:t>符合性审查资料（如果有）；</w:t>
      </w:r>
    </w:p>
    <w:p w14:paraId="57BBFDDB">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5</w:t>
      </w:r>
      <w:r>
        <w:rPr>
          <w:rFonts w:hint="eastAsia" w:ascii="宋体" w:hAnsi="宋体" w:cs="宋体"/>
          <w:color w:val="auto"/>
          <w:sz w:val="24"/>
          <w:highlight w:val="none"/>
        </w:rPr>
        <w:t>评标标准相应的商务技术资料（如果有）；</w:t>
      </w:r>
    </w:p>
    <w:p w14:paraId="7820AB5E">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6</w:t>
      </w:r>
      <w:r>
        <w:rPr>
          <w:rFonts w:hint="eastAsia" w:ascii="宋体" w:hAnsi="宋体" w:cs="宋体"/>
          <w:color w:val="auto"/>
          <w:sz w:val="24"/>
          <w:highlight w:val="none"/>
        </w:rPr>
        <w:t>投标标的清单（如果有）；</w:t>
      </w:r>
    </w:p>
    <w:p w14:paraId="571921A9">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2.2.</w:t>
      </w:r>
      <w:r>
        <w:rPr>
          <w:rFonts w:ascii="宋体" w:hAnsi="宋体" w:cs="宋体"/>
          <w:color w:val="auto"/>
          <w:sz w:val="24"/>
          <w:highlight w:val="none"/>
        </w:rPr>
        <w:t>7</w:t>
      </w:r>
      <w:r>
        <w:rPr>
          <w:rFonts w:hint="eastAsia" w:ascii="宋体" w:hAnsi="宋体" w:cs="宋体"/>
          <w:color w:val="auto"/>
          <w:sz w:val="24"/>
          <w:highlight w:val="none"/>
        </w:rPr>
        <w:t>商务技术偏离表；</w:t>
      </w:r>
    </w:p>
    <w:p w14:paraId="74C8EB12">
      <w:pPr>
        <w:snapToGrid w:val="0"/>
        <w:spacing w:line="360" w:lineRule="auto"/>
        <w:ind w:left="420" w:leftChars="200" w:firstLine="480" w:firstLineChars="200"/>
        <w:rPr>
          <w:rFonts w:ascii="宋体" w:hAnsi="宋体" w:cs="宋体"/>
          <w:color w:val="auto"/>
          <w:sz w:val="24"/>
          <w:highlight w:val="none"/>
          <w:lang w:val="zh-CN"/>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ascii="宋体" w:hAnsi="宋体" w:cs="宋体"/>
          <w:color w:val="auto"/>
          <w:sz w:val="24"/>
          <w:highlight w:val="none"/>
        </w:rPr>
        <w:t>8</w:t>
      </w:r>
      <w:r>
        <w:rPr>
          <w:rFonts w:hint="eastAsia" w:ascii="宋体" w:hAnsi="宋体" w:cs="宋体"/>
          <w:color w:val="auto"/>
          <w:sz w:val="24"/>
          <w:highlight w:val="none"/>
          <w:lang w:val="zh-CN"/>
        </w:rPr>
        <w:t>政府采购供应商廉洁自律承诺书；</w:t>
      </w:r>
    </w:p>
    <w:p w14:paraId="3A004834">
      <w:pPr>
        <w:pStyle w:val="83"/>
        <w:ind w:left="420" w:leftChars="200" w:firstLine="480" w:firstLineChars="200"/>
        <w:rPr>
          <w:rFonts w:cs="宋体"/>
          <w:color w:val="auto"/>
          <w:highlight w:val="none"/>
          <w:lang w:val="zh-CN"/>
        </w:rPr>
      </w:pPr>
      <w:r>
        <w:rPr>
          <w:rFonts w:hint="eastAsia" w:cs="宋体"/>
          <w:color w:val="auto"/>
          <w:highlight w:val="none"/>
        </w:rPr>
        <w:t>2</w:t>
      </w:r>
      <w:r>
        <w:rPr>
          <w:rFonts w:hint="eastAsia" w:cs="宋体"/>
          <w:color w:val="auto"/>
          <w:highlight w:val="none"/>
          <w:lang w:val="zh-CN"/>
        </w:rPr>
        <w:t>.</w:t>
      </w:r>
      <w:r>
        <w:rPr>
          <w:rFonts w:hint="eastAsia" w:cs="宋体"/>
          <w:color w:val="auto"/>
          <w:highlight w:val="none"/>
        </w:rPr>
        <w:t>2</w:t>
      </w:r>
      <w:r>
        <w:rPr>
          <w:rFonts w:hint="eastAsia" w:cs="宋体"/>
          <w:color w:val="auto"/>
          <w:highlight w:val="none"/>
          <w:lang w:val="zh-CN"/>
        </w:rPr>
        <w:t>.</w:t>
      </w:r>
      <w:r>
        <w:rPr>
          <w:rFonts w:hint="eastAsia" w:cs="宋体"/>
          <w:color w:val="auto"/>
          <w:highlight w:val="none"/>
        </w:rPr>
        <w:t>9</w:t>
      </w:r>
      <w:r>
        <w:rPr>
          <w:rFonts w:hint="eastAsia" w:cs="宋体"/>
          <w:color w:val="auto"/>
          <w:highlight w:val="none"/>
          <w:lang w:val="zh-CN"/>
        </w:rPr>
        <w:t>承诺函；</w:t>
      </w:r>
    </w:p>
    <w:p w14:paraId="2ADED3A6">
      <w:pPr>
        <w:pStyle w:val="83"/>
        <w:ind w:left="420" w:leftChars="200" w:firstLine="480" w:firstLineChars="200"/>
        <w:rPr>
          <w:rFonts w:cs="宋体"/>
          <w:color w:val="auto"/>
          <w:highlight w:val="none"/>
          <w:lang w:val="zh-CN"/>
        </w:rPr>
      </w:pPr>
      <w:r>
        <w:rPr>
          <w:rFonts w:hint="eastAsia" w:cs="宋体"/>
          <w:color w:val="auto"/>
          <w:highlight w:val="none"/>
        </w:rPr>
        <w:t>2</w:t>
      </w:r>
      <w:r>
        <w:rPr>
          <w:rFonts w:hint="eastAsia" w:cs="宋体"/>
          <w:color w:val="auto"/>
          <w:highlight w:val="none"/>
          <w:lang w:val="zh-CN"/>
        </w:rPr>
        <w:t>.</w:t>
      </w:r>
      <w:r>
        <w:rPr>
          <w:rFonts w:hint="eastAsia" w:cs="宋体"/>
          <w:color w:val="auto"/>
          <w:highlight w:val="none"/>
        </w:rPr>
        <w:t>2</w:t>
      </w:r>
      <w:r>
        <w:rPr>
          <w:rFonts w:hint="eastAsia" w:cs="宋体"/>
          <w:color w:val="auto"/>
          <w:highlight w:val="none"/>
          <w:lang w:val="zh-CN"/>
        </w:rPr>
        <w:t>.</w:t>
      </w:r>
      <w:r>
        <w:rPr>
          <w:rFonts w:hint="eastAsia" w:cs="宋体"/>
          <w:color w:val="auto"/>
          <w:highlight w:val="none"/>
        </w:rPr>
        <w:t>10</w:t>
      </w:r>
      <w:r>
        <w:rPr>
          <w:rFonts w:hint="eastAsia" w:cs="宋体"/>
          <w:color w:val="auto"/>
          <w:highlight w:val="none"/>
          <w:lang w:val="zh-CN"/>
        </w:rPr>
        <w:t>技术解决方案</w:t>
      </w:r>
      <w:r>
        <w:rPr>
          <w:rFonts w:hint="eastAsia" w:cs="宋体"/>
          <w:snapToGrid w:val="0"/>
          <w:color w:val="auto"/>
          <w:kern w:val="28"/>
          <w:highlight w:val="none"/>
        </w:rPr>
        <w:t>（如果有）</w:t>
      </w:r>
      <w:r>
        <w:rPr>
          <w:rFonts w:hint="eastAsia" w:cs="宋体"/>
          <w:color w:val="auto"/>
          <w:highlight w:val="none"/>
          <w:lang w:val="zh-CN"/>
        </w:rPr>
        <w:t>；</w:t>
      </w:r>
    </w:p>
    <w:p w14:paraId="4CEB2488">
      <w:pPr>
        <w:pStyle w:val="83"/>
        <w:ind w:left="420" w:leftChars="200" w:firstLine="480" w:firstLineChars="200"/>
        <w:rPr>
          <w:rFonts w:cs="宋体"/>
          <w:color w:val="auto"/>
          <w:highlight w:val="none"/>
          <w:lang w:val="zh-CN"/>
        </w:rPr>
      </w:pPr>
      <w:r>
        <w:rPr>
          <w:rFonts w:hint="eastAsia" w:cs="宋体"/>
          <w:color w:val="auto"/>
          <w:highlight w:val="none"/>
        </w:rPr>
        <w:t>2</w:t>
      </w:r>
      <w:r>
        <w:rPr>
          <w:rFonts w:hint="eastAsia" w:cs="宋体"/>
          <w:color w:val="auto"/>
          <w:highlight w:val="none"/>
          <w:lang w:val="zh-CN"/>
        </w:rPr>
        <w:t>.</w:t>
      </w:r>
      <w:r>
        <w:rPr>
          <w:rFonts w:hint="eastAsia" w:cs="宋体"/>
          <w:color w:val="auto"/>
          <w:highlight w:val="none"/>
        </w:rPr>
        <w:t>2</w:t>
      </w:r>
      <w:r>
        <w:rPr>
          <w:rFonts w:hint="eastAsia" w:cs="宋体"/>
          <w:color w:val="auto"/>
          <w:highlight w:val="none"/>
          <w:lang w:val="zh-CN"/>
        </w:rPr>
        <w:t>.</w:t>
      </w:r>
      <w:r>
        <w:rPr>
          <w:rFonts w:hint="eastAsia" w:cs="宋体"/>
          <w:color w:val="auto"/>
          <w:highlight w:val="none"/>
        </w:rPr>
        <w:t>11</w:t>
      </w:r>
      <w:r>
        <w:rPr>
          <w:rFonts w:hint="eastAsia" w:cs="宋体"/>
          <w:color w:val="auto"/>
          <w:highlight w:val="none"/>
          <w:lang w:val="zh-CN"/>
        </w:rPr>
        <w:t>组织实施方案</w:t>
      </w:r>
      <w:r>
        <w:rPr>
          <w:rFonts w:hint="eastAsia" w:cs="宋体"/>
          <w:snapToGrid w:val="0"/>
          <w:color w:val="auto"/>
          <w:kern w:val="28"/>
          <w:highlight w:val="none"/>
        </w:rPr>
        <w:t>（如果有）</w:t>
      </w:r>
      <w:r>
        <w:rPr>
          <w:rFonts w:hint="eastAsia" w:cs="宋体"/>
          <w:color w:val="auto"/>
          <w:highlight w:val="none"/>
          <w:lang w:val="zh-CN"/>
        </w:rPr>
        <w:t>；</w:t>
      </w:r>
    </w:p>
    <w:p w14:paraId="76398831">
      <w:pPr>
        <w:pStyle w:val="83"/>
        <w:ind w:left="420" w:leftChars="200" w:firstLine="480" w:firstLineChars="200"/>
        <w:rPr>
          <w:color w:val="auto"/>
          <w:highlight w:val="none"/>
        </w:rPr>
      </w:pPr>
      <w:r>
        <w:rPr>
          <w:rFonts w:hint="eastAsia" w:cs="宋体"/>
          <w:color w:val="auto"/>
          <w:highlight w:val="none"/>
        </w:rPr>
        <w:t>2</w:t>
      </w:r>
      <w:r>
        <w:rPr>
          <w:rFonts w:hint="eastAsia" w:cs="宋体"/>
          <w:color w:val="auto"/>
          <w:highlight w:val="none"/>
          <w:lang w:val="zh-CN"/>
        </w:rPr>
        <w:t>.</w:t>
      </w:r>
      <w:r>
        <w:rPr>
          <w:rFonts w:hint="eastAsia" w:cs="宋体"/>
          <w:color w:val="auto"/>
          <w:highlight w:val="none"/>
        </w:rPr>
        <w:t>2</w:t>
      </w:r>
      <w:r>
        <w:rPr>
          <w:rFonts w:hint="eastAsia" w:cs="宋体"/>
          <w:color w:val="auto"/>
          <w:highlight w:val="none"/>
          <w:lang w:val="zh-CN"/>
        </w:rPr>
        <w:t>.</w:t>
      </w:r>
      <w:r>
        <w:rPr>
          <w:rFonts w:hint="eastAsia" w:cs="宋体"/>
          <w:color w:val="auto"/>
          <w:highlight w:val="none"/>
        </w:rPr>
        <w:t>12</w:t>
      </w:r>
      <w:r>
        <w:rPr>
          <w:rFonts w:hint="eastAsia" w:cs="宋体"/>
          <w:color w:val="auto"/>
          <w:highlight w:val="none"/>
          <w:lang w:val="zh-CN"/>
        </w:rPr>
        <w:t>售后服务方案</w:t>
      </w:r>
      <w:r>
        <w:rPr>
          <w:rFonts w:hint="eastAsia" w:cs="宋体"/>
          <w:snapToGrid w:val="0"/>
          <w:color w:val="auto"/>
          <w:kern w:val="28"/>
          <w:highlight w:val="none"/>
        </w:rPr>
        <w:t>（如果有）</w:t>
      </w:r>
      <w:r>
        <w:rPr>
          <w:rFonts w:hint="eastAsia" w:cs="宋体"/>
          <w:color w:val="auto"/>
          <w:highlight w:val="none"/>
          <w:lang w:val="zh-CN"/>
        </w:rPr>
        <w:t>。</w:t>
      </w:r>
    </w:p>
    <w:p w14:paraId="1922FDD5">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lang w:val="zh-CN"/>
        </w:rPr>
        <w:t>.</w:t>
      </w:r>
      <w:r>
        <w:rPr>
          <w:rFonts w:hint="eastAsia" w:ascii="宋体" w:hAnsi="宋体" w:cs="宋体"/>
          <w:color w:val="auto"/>
          <w:sz w:val="24"/>
          <w:highlight w:val="none"/>
        </w:rPr>
        <w:t>3报价文件</w:t>
      </w:r>
    </w:p>
    <w:p w14:paraId="1BB62EEB">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2.3.1开标一览表（报价表）；</w:t>
      </w:r>
    </w:p>
    <w:p w14:paraId="74B2059C">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2.3.2中小企业声明函（如果有）；</w:t>
      </w:r>
    </w:p>
    <w:p w14:paraId="62D44BA3">
      <w:pPr>
        <w:snapToGrid w:val="0"/>
        <w:spacing w:line="360" w:lineRule="auto"/>
        <w:ind w:left="420" w:leftChars="200" w:firstLine="480" w:firstLineChars="200"/>
        <w:rPr>
          <w:rFonts w:ascii="宋体" w:hAnsi="宋体" w:cs="宋体"/>
          <w:color w:val="auto"/>
          <w:sz w:val="24"/>
          <w:highlight w:val="none"/>
        </w:rPr>
      </w:pPr>
      <w:r>
        <w:rPr>
          <w:rFonts w:hint="eastAsia" w:ascii="宋体" w:hAnsi="宋体" w:cs="宋体"/>
          <w:color w:val="auto"/>
          <w:sz w:val="24"/>
          <w:highlight w:val="none"/>
        </w:rPr>
        <w:t>2.3.3关于符合本国产品标准的声明函（如果有) ；</w:t>
      </w:r>
    </w:p>
    <w:p w14:paraId="3B06DE54">
      <w:pPr>
        <w:snapToGrid w:val="0"/>
        <w:spacing w:line="360" w:lineRule="auto"/>
        <w:ind w:left="420" w:leftChars="200" w:firstLine="480" w:firstLineChars="200"/>
        <w:rPr>
          <w:color w:val="auto"/>
          <w:highlight w:val="none"/>
        </w:rPr>
      </w:pPr>
      <w:r>
        <w:rPr>
          <w:rFonts w:hint="eastAsia" w:ascii="宋体" w:hAnsi="宋体" w:cs="宋体"/>
          <w:color w:val="auto"/>
          <w:sz w:val="24"/>
          <w:highlight w:val="none"/>
        </w:rPr>
        <w:t>2.3.4关于符合本国产品标准的产品成本之和占所提供的全部产品成本之和的比例达到80%以上的声明函</w:t>
      </w:r>
      <w:r>
        <w:rPr>
          <w:rFonts w:hint="eastAsia" w:ascii="宋体" w:hAnsi="宋体" w:cs="宋体"/>
          <w:snapToGrid w:val="0"/>
          <w:color w:val="auto"/>
          <w:kern w:val="28"/>
          <w:sz w:val="24"/>
          <w:szCs w:val="20"/>
          <w:highlight w:val="none"/>
        </w:rPr>
        <w:t>（如果有)</w:t>
      </w:r>
      <w:r>
        <w:rPr>
          <w:rFonts w:hint="eastAsia" w:ascii="宋体" w:hAnsi="宋体" w:cs="宋体"/>
          <w:color w:val="auto"/>
          <w:sz w:val="24"/>
          <w:highlight w:val="none"/>
        </w:rPr>
        <w:t>。</w:t>
      </w:r>
    </w:p>
    <w:p w14:paraId="53F861A4">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3、我方承诺除商务技术偏离表列出的偏离外，我方响应招标文件的全部要求。</w:t>
      </w:r>
    </w:p>
    <w:p w14:paraId="268D617C">
      <w:pPr>
        <w:snapToGrid w:val="0"/>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4、如我方中标，我方承诺：</w:t>
      </w:r>
    </w:p>
    <w:p w14:paraId="58ED7148">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4.1在收到中标通知书后，在中标通知书规定的期限内与你方签订合同； </w:t>
      </w:r>
    </w:p>
    <w:p w14:paraId="02CE58EC">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4.2在签订合同时不向你方提出附加条件； </w:t>
      </w:r>
    </w:p>
    <w:p w14:paraId="24F4967E">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4.3按照招标文件要求提交履约保证金； </w:t>
      </w:r>
    </w:p>
    <w:p w14:paraId="46DA24E1">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 xml:space="preserve">4.4在合同约定的期限内完成合同规定的全部义务。 </w:t>
      </w:r>
    </w:p>
    <w:p w14:paraId="34A2437F">
      <w:pPr>
        <w:snapToGrid w:val="0"/>
        <w:spacing w:line="360" w:lineRule="auto"/>
        <w:ind w:left="210" w:leftChars="100" w:firstLine="480" w:firstLineChars="200"/>
        <w:rPr>
          <w:rFonts w:ascii="宋体" w:hAnsi="宋体" w:cs="宋体"/>
          <w:color w:val="auto"/>
          <w:sz w:val="24"/>
          <w:highlight w:val="none"/>
        </w:rPr>
      </w:pPr>
      <w:r>
        <w:rPr>
          <w:rFonts w:hint="eastAsia" w:ascii="宋体" w:hAnsi="宋体" w:cs="宋体"/>
          <w:color w:val="auto"/>
          <w:sz w:val="24"/>
          <w:highlight w:val="none"/>
        </w:rPr>
        <w:t>5、其他补充说明: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3763F233">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14:paraId="42DDC088">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41D1890A">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6A149508">
      <w:pPr>
        <w:snapToGrid w:val="0"/>
        <w:spacing w:line="360" w:lineRule="auto"/>
        <w:ind w:left="420" w:leftChars="200" w:firstLine="4200" w:firstLineChars="1750"/>
        <w:rPr>
          <w:rFonts w:ascii="宋体" w:hAnsi="宋体" w:cs="宋体"/>
          <w:color w:val="auto"/>
          <w:kern w:val="0"/>
          <w:sz w:val="24"/>
          <w:highlight w:val="none"/>
          <w:u w:val="single"/>
        </w:rPr>
      </w:pPr>
    </w:p>
    <w:p w14:paraId="058CCB82">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5EE7BFF3">
      <w:pPr>
        <w:snapToGrid w:val="0"/>
        <w:spacing w:line="360" w:lineRule="auto"/>
        <w:jc w:val="center"/>
        <w:rPr>
          <w:rFonts w:ascii="宋体" w:hAnsi="宋体" w:cs="宋体"/>
          <w:b/>
          <w:color w:val="auto"/>
          <w:kern w:val="0"/>
          <w:sz w:val="32"/>
          <w:szCs w:val="32"/>
          <w:highlight w:val="none"/>
        </w:rPr>
      </w:pPr>
    </w:p>
    <w:p w14:paraId="1490C594">
      <w:pPr>
        <w:snapToGrid w:val="0"/>
        <w:spacing w:line="360" w:lineRule="auto"/>
        <w:rPr>
          <w:rFonts w:ascii="宋体" w:hAnsi="宋体" w:cs="宋体"/>
          <w:color w:val="auto"/>
          <w:sz w:val="24"/>
          <w:highlight w:val="none"/>
        </w:rPr>
      </w:pPr>
    </w:p>
    <w:p w14:paraId="24B2439D">
      <w:pPr>
        <w:jc w:val="center"/>
        <w:rPr>
          <w:rFonts w:ascii="宋体" w:hAnsi="宋体" w:cs="宋体"/>
          <w:b/>
          <w:color w:val="auto"/>
          <w:kern w:val="0"/>
          <w:sz w:val="32"/>
          <w:szCs w:val="32"/>
          <w:highlight w:val="none"/>
        </w:rPr>
      </w:pPr>
    </w:p>
    <w:p w14:paraId="4F5CB3BB">
      <w:pPr>
        <w:jc w:val="center"/>
        <w:rPr>
          <w:rFonts w:ascii="宋体" w:hAnsi="宋体" w:cs="宋体"/>
          <w:b/>
          <w:color w:val="auto"/>
          <w:kern w:val="0"/>
          <w:sz w:val="32"/>
          <w:szCs w:val="32"/>
          <w:highlight w:val="none"/>
        </w:rPr>
      </w:pPr>
    </w:p>
    <w:p w14:paraId="7F23652D">
      <w:pPr>
        <w:jc w:val="center"/>
        <w:rPr>
          <w:rFonts w:ascii="宋体" w:hAnsi="宋体" w:cs="宋体"/>
          <w:b/>
          <w:color w:val="auto"/>
          <w:kern w:val="0"/>
          <w:sz w:val="32"/>
          <w:szCs w:val="32"/>
          <w:highlight w:val="none"/>
        </w:rPr>
      </w:pPr>
    </w:p>
    <w:p w14:paraId="11B49705">
      <w:pPr>
        <w:jc w:val="center"/>
        <w:rPr>
          <w:rFonts w:ascii="宋体" w:hAnsi="宋体" w:cs="宋体"/>
          <w:b/>
          <w:color w:val="auto"/>
          <w:kern w:val="0"/>
          <w:sz w:val="32"/>
          <w:szCs w:val="32"/>
          <w:highlight w:val="none"/>
        </w:rPr>
      </w:pPr>
    </w:p>
    <w:p w14:paraId="1AAA4D62">
      <w:pPr>
        <w:jc w:val="center"/>
        <w:rPr>
          <w:rFonts w:ascii="宋体" w:hAnsi="宋体" w:cs="宋体"/>
          <w:b/>
          <w:color w:val="auto"/>
          <w:kern w:val="0"/>
          <w:sz w:val="32"/>
          <w:szCs w:val="32"/>
          <w:highlight w:val="none"/>
        </w:rPr>
      </w:pPr>
    </w:p>
    <w:p w14:paraId="1C949679">
      <w:pPr>
        <w:jc w:val="center"/>
        <w:rPr>
          <w:rFonts w:ascii="宋体" w:hAnsi="宋体" w:cs="宋体"/>
          <w:b/>
          <w:color w:val="auto"/>
          <w:kern w:val="0"/>
          <w:sz w:val="32"/>
          <w:szCs w:val="32"/>
          <w:highlight w:val="none"/>
        </w:rPr>
      </w:pPr>
    </w:p>
    <w:p w14:paraId="576C4EE7">
      <w:pPr>
        <w:jc w:val="center"/>
        <w:rPr>
          <w:rFonts w:ascii="宋体" w:hAnsi="宋体" w:cs="宋体"/>
          <w:b/>
          <w:color w:val="auto"/>
          <w:kern w:val="0"/>
          <w:sz w:val="32"/>
          <w:szCs w:val="32"/>
          <w:highlight w:val="none"/>
        </w:rPr>
      </w:pPr>
    </w:p>
    <w:p w14:paraId="61B5389C">
      <w:pPr>
        <w:jc w:val="center"/>
        <w:rPr>
          <w:rFonts w:ascii="宋体" w:hAnsi="宋体" w:cs="宋体"/>
          <w:b/>
          <w:color w:val="auto"/>
          <w:kern w:val="0"/>
          <w:sz w:val="32"/>
          <w:szCs w:val="32"/>
          <w:highlight w:val="none"/>
        </w:rPr>
      </w:pPr>
    </w:p>
    <w:p w14:paraId="1D3CBA2B">
      <w:pPr>
        <w:jc w:val="center"/>
        <w:rPr>
          <w:rFonts w:ascii="宋体" w:hAnsi="宋体" w:cs="宋体"/>
          <w:b/>
          <w:color w:val="auto"/>
          <w:kern w:val="0"/>
          <w:sz w:val="32"/>
          <w:szCs w:val="32"/>
          <w:highlight w:val="none"/>
        </w:rPr>
      </w:pPr>
    </w:p>
    <w:p w14:paraId="1700BBBC">
      <w:pPr>
        <w:jc w:val="center"/>
        <w:rPr>
          <w:rFonts w:ascii="宋体" w:hAnsi="宋体" w:cs="宋体"/>
          <w:b/>
          <w:color w:val="auto"/>
          <w:kern w:val="0"/>
          <w:sz w:val="32"/>
          <w:szCs w:val="32"/>
          <w:highlight w:val="none"/>
        </w:rPr>
      </w:pPr>
    </w:p>
    <w:p w14:paraId="0BFEA69F">
      <w:pPr>
        <w:jc w:val="center"/>
        <w:rPr>
          <w:rFonts w:ascii="宋体" w:hAnsi="宋体" w:cs="宋体"/>
          <w:b/>
          <w:color w:val="auto"/>
          <w:kern w:val="0"/>
          <w:sz w:val="32"/>
          <w:szCs w:val="32"/>
          <w:highlight w:val="none"/>
        </w:rPr>
      </w:pPr>
    </w:p>
    <w:p w14:paraId="43258DEB">
      <w:pPr>
        <w:jc w:val="center"/>
        <w:rPr>
          <w:rFonts w:ascii="宋体" w:hAnsi="宋体" w:cs="宋体"/>
          <w:b/>
          <w:color w:val="auto"/>
          <w:kern w:val="0"/>
          <w:sz w:val="32"/>
          <w:szCs w:val="32"/>
          <w:highlight w:val="none"/>
        </w:rPr>
      </w:pPr>
    </w:p>
    <w:p w14:paraId="1EC6F242">
      <w:pPr>
        <w:jc w:val="center"/>
        <w:rPr>
          <w:rFonts w:ascii="宋体" w:hAnsi="宋体" w:cs="宋体"/>
          <w:b/>
          <w:color w:val="auto"/>
          <w:kern w:val="0"/>
          <w:sz w:val="32"/>
          <w:szCs w:val="32"/>
          <w:highlight w:val="none"/>
        </w:rPr>
      </w:pPr>
    </w:p>
    <w:p w14:paraId="3C52DBF1">
      <w:pPr>
        <w:jc w:val="center"/>
        <w:rPr>
          <w:rFonts w:ascii="宋体" w:hAnsi="宋体" w:cs="宋体"/>
          <w:b/>
          <w:color w:val="auto"/>
          <w:kern w:val="0"/>
          <w:sz w:val="32"/>
          <w:szCs w:val="32"/>
          <w:highlight w:val="none"/>
        </w:rPr>
      </w:pPr>
    </w:p>
    <w:p w14:paraId="71F5ACAE">
      <w:pPr>
        <w:pStyle w:val="83"/>
        <w:rPr>
          <w:color w:val="auto"/>
          <w:highlight w:val="none"/>
        </w:rPr>
      </w:pPr>
    </w:p>
    <w:p w14:paraId="68A9EDE0">
      <w:pPr>
        <w:jc w:val="center"/>
        <w:rPr>
          <w:rFonts w:ascii="宋体" w:hAnsi="宋体" w:cs="宋体"/>
          <w:b/>
          <w:color w:val="auto"/>
          <w:kern w:val="0"/>
          <w:sz w:val="32"/>
          <w:szCs w:val="32"/>
          <w:highlight w:val="none"/>
        </w:rPr>
      </w:pPr>
    </w:p>
    <w:p w14:paraId="30D85C40">
      <w:pPr>
        <w:jc w:val="center"/>
        <w:rPr>
          <w:rFonts w:ascii="宋体" w:hAnsi="宋体" w:cs="宋体"/>
          <w:b/>
          <w:color w:val="auto"/>
          <w:kern w:val="0"/>
          <w:sz w:val="32"/>
          <w:szCs w:val="32"/>
          <w:highlight w:val="none"/>
        </w:rPr>
      </w:pPr>
    </w:p>
    <w:p w14:paraId="5042011B">
      <w:pPr>
        <w:jc w:val="center"/>
        <w:rPr>
          <w:rFonts w:ascii="宋体" w:hAnsi="宋体" w:cs="宋体"/>
          <w:b/>
          <w:color w:val="auto"/>
          <w:kern w:val="0"/>
          <w:sz w:val="32"/>
          <w:szCs w:val="32"/>
          <w:highlight w:val="none"/>
        </w:rPr>
      </w:pPr>
    </w:p>
    <w:p w14:paraId="25D33AEA">
      <w:pPr>
        <w:jc w:val="center"/>
        <w:rPr>
          <w:rFonts w:ascii="宋体" w:hAnsi="宋体" w:cs="宋体"/>
          <w:b/>
          <w:color w:val="auto"/>
          <w:kern w:val="0"/>
          <w:sz w:val="32"/>
          <w:szCs w:val="32"/>
          <w:highlight w:val="none"/>
        </w:rPr>
      </w:pPr>
    </w:p>
    <w:p w14:paraId="24F7B828">
      <w:pPr>
        <w:jc w:val="center"/>
        <w:rPr>
          <w:rFonts w:ascii="宋体" w:hAnsi="宋体" w:cs="宋体"/>
          <w:b/>
          <w:color w:val="auto"/>
          <w:kern w:val="0"/>
          <w:sz w:val="32"/>
          <w:szCs w:val="32"/>
          <w:highlight w:val="none"/>
          <w:lang w:val="zh-CN"/>
        </w:rPr>
      </w:pPr>
      <w:r>
        <w:rPr>
          <w:rFonts w:hint="eastAsia" w:ascii="宋体" w:hAnsi="宋体" w:cs="宋体"/>
          <w:b/>
          <w:color w:val="auto"/>
          <w:kern w:val="0"/>
          <w:sz w:val="32"/>
          <w:szCs w:val="32"/>
          <w:highlight w:val="none"/>
          <w:lang w:val="zh-CN"/>
        </w:rPr>
        <w:t>二、授权委托书或法定代表人（单位负责人、自然人本人）身份证明</w:t>
      </w:r>
    </w:p>
    <w:p w14:paraId="2196AFA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                                </w:t>
      </w:r>
    </w:p>
    <w:p w14:paraId="2AE9F0AE">
      <w:pPr>
        <w:snapToGrid w:val="0"/>
        <w:spacing w:line="360" w:lineRule="auto"/>
        <w:ind w:firstLine="2872" w:firstLineChars="894"/>
        <w:rPr>
          <w:rFonts w:ascii="宋体" w:hAnsi="宋体" w:cs="宋体"/>
          <w:color w:val="auto"/>
          <w:highlight w:val="none"/>
        </w:rPr>
      </w:pPr>
      <w:r>
        <w:rPr>
          <w:rFonts w:hint="eastAsia" w:ascii="宋体" w:hAnsi="宋体" w:cs="宋体"/>
          <w:b/>
          <w:color w:val="auto"/>
          <w:kern w:val="0"/>
          <w:sz w:val="32"/>
          <w:szCs w:val="32"/>
          <w:highlight w:val="none"/>
          <w:lang w:val="zh-CN"/>
        </w:rPr>
        <w:t>授权委托书（适用于非联合体投标）</w:t>
      </w:r>
      <w:r>
        <w:rPr>
          <w:rFonts w:hint="eastAsia" w:ascii="宋体" w:hAnsi="宋体" w:cs="宋体"/>
          <w:color w:val="auto"/>
          <w:highlight w:val="none"/>
        </w:rPr>
        <w:t xml:space="preserve">                               </w:t>
      </w:r>
    </w:p>
    <w:p w14:paraId="1AAE1222">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5AC56142">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政府采购投标的一切事项，其法律后果由我方承担。</w:t>
      </w:r>
    </w:p>
    <w:p w14:paraId="7E164AD6">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14:paraId="4B02BC02">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14:paraId="322756DA">
      <w:pPr>
        <w:spacing w:line="360" w:lineRule="auto"/>
        <w:ind w:left="4649" w:leftChars="2214" w:firstLine="3600" w:firstLineChars="1500"/>
        <w:rPr>
          <w:rFonts w:ascii="宋体" w:hAnsi="宋体" w:cs="宋体"/>
          <w:color w:val="auto"/>
          <w:sz w:val="24"/>
          <w:highlight w:val="none"/>
        </w:rPr>
      </w:pPr>
      <w:r>
        <w:rPr>
          <w:rFonts w:hint="eastAsia" w:ascii="宋体" w:hAnsi="宋体" w:cs="宋体"/>
          <w:color w:val="auto"/>
          <w:kern w:val="0"/>
          <w:sz w:val="24"/>
          <w:highlight w:val="none"/>
          <w:lang w:val="zh-CN"/>
        </w:rPr>
        <w:t xml:space="preserve">                                                 </w:t>
      </w:r>
      <w:r>
        <w:rPr>
          <w:rFonts w:hint="eastAsia" w:ascii="宋体" w:hAnsi="宋体" w:cs="宋体"/>
          <w:color w:val="auto"/>
          <w:sz w:val="24"/>
          <w:highlight w:val="none"/>
        </w:rPr>
        <w:t>投标人名称（公章）：</w:t>
      </w:r>
    </w:p>
    <w:p w14:paraId="1B7A2DC2">
      <w:pPr>
        <w:snapToGrid w:val="0"/>
        <w:spacing w:line="360" w:lineRule="auto"/>
        <w:ind w:left="4649" w:leftChars="2214"/>
        <w:rPr>
          <w:rFonts w:ascii="宋体" w:hAnsi="宋体" w:cs="宋体"/>
          <w:color w:val="auto"/>
          <w:kern w:val="0"/>
          <w:sz w:val="24"/>
          <w:highlight w:val="none"/>
        </w:rPr>
      </w:pPr>
      <w:r>
        <w:rPr>
          <w:rFonts w:hint="eastAsia" w:ascii="宋体" w:hAnsi="宋体" w:cs="宋体"/>
          <w:color w:val="auto"/>
          <w:sz w:val="24"/>
          <w:highlight w:val="none"/>
        </w:rPr>
        <w:t>法定代表人（负责人） (签名)：</w:t>
      </w:r>
    </w:p>
    <w:p w14:paraId="4B78AF26">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签发日期：  年  月   日</w:t>
      </w:r>
    </w:p>
    <w:p w14:paraId="72329B87">
      <w:pPr>
        <w:adjustRightInd/>
        <w:spacing w:line="360" w:lineRule="auto"/>
        <w:rPr>
          <w:rFonts w:ascii="宋体" w:hAnsi="宋体"/>
          <w:color w:val="auto"/>
          <w:sz w:val="24"/>
          <w:szCs w:val="21"/>
          <w:highlight w:val="none"/>
        </w:rPr>
      </w:pPr>
    </w:p>
    <w:p w14:paraId="3980A42C">
      <w:pPr>
        <w:adjustRightInd/>
        <w:spacing w:line="360" w:lineRule="auto"/>
        <w:rPr>
          <w:rFonts w:ascii="宋体" w:hAnsi="宋体" w:cs="宋体"/>
          <w:bCs/>
          <w:color w:val="auto"/>
          <w:sz w:val="24"/>
          <w:szCs w:val="21"/>
          <w:highlight w:val="none"/>
        </w:rPr>
      </w:pPr>
      <w:r>
        <w:rPr>
          <w:rFonts w:hint="eastAsia" w:ascii="宋体" w:hAnsi="宋体"/>
          <w:color w:val="auto"/>
          <w:sz w:val="24"/>
          <w:szCs w:val="21"/>
          <w:highlight w:val="none"/>
        </w:rPr>
        <w:t>委托代理人和法定代表人</w:t>
      </w:r>
      <w:r>
        <w:rPr>
          <w:rFonts w:hint="eastAsia" w:ascii="宋体" w:hAnsi="宋体" w:cs="宋体"/>
          <w:color w:val="auto"/>
          <w:kern w:val="0"/>
          <w:sz w:val="24"/>
          <w:szCs w:val="21"/>
          <w:highlight w:val="none"/>
        </w:rPr>
        <w:t>（负责人）</w:t>
      </w:r>
      <w:r>
        <w:rPr>
          <w:rFonts w:hint="eastAsia" w:ascii="宋体" w:hAnsi="宋体" w:cs="宋体"/>
          <w:bCs/>
          <w:color w:val="auto"/>
          <w:sz w:val="24"/>
          <w:szCs w:val="21"/>
          <w:highlight w:val="none"/>
        </w:rPr>
        <w:t>身份证件扫描件：</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526A19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60FF5342">
            <w:pPr>
              <w:spacing w:line="360" w:lineRule="auto"/>
              <w:rPr>
                <w:rFonts w:ascii="宋体" w:hAnsi="宋体" w:cs="宋体"/>
                <w:bCs/>
                <w:color w:val="auto"/>
                <w:sz w:val="24"/>
                <w:szCs w:val="21"/>
                <w:highlight w:val="none"/>
              </w:rPr>
            </w:pPr>
            <w:r>
              <w:rPr>
                <w:rFonts w:hint="eastAsia" w:ascii="宋体" w:hAnsi="宋体" w:cs="宋体"/>
                <w:bCs/>
                <w:color w:val="auto"/>
                <w:sz w:val="24"/>
                <w:szCs w:val="21"/>
                <w:highlight w:val="none"/>
              </w:rPr>
              <w:t>正面：                                 反面：</w:t>
            </w:r>
          </w:p>
          <w:p w14:paraId="4D6915DF">
            <w:pPr>
              <w:spacing w:line="360" w:lineRule="auto"/>
              <w:rPr>
                <w:rFonts w:ascii="宋体" w:hAnsi="宋体" w:cs="宋体"/>
                <w:bCs/>
                <w:color w:val="auto"/>
                <w:sz w:val="24"/>
                <w:szCs w:val="21"/>
                <w:highlight w:val="none"/>
              </w:rPr>
            </w:pPr>
          </w:p>
          <w:p w14:paraId="33ADB918">
            <w:pPr>
              <w:spacing w:line="360" w:lineRule="auto"/>
              <w:rPr>
                <w:rFonts w:ascii="宋体" w:hAnsi="宋体" w:cs="宋体"/>
                <w:bCs/>
                <w:color w:val="auto"/>
                <w:sz w:val="24"/>
                <w:szCs w:val="21"/>
                <w:highlight w:val="none"/>
              </w:rPr>
            </w:pPr>
          </w:p>
          <w:p w14:paraId="6623736D">
            <w:pPr>
              <w:spacing w:line="360" w:lineRule="auto"/>
              <w:rPr>
                <w:rFonts w:ascii="宋体" w:hAnsi="宋体" w:cs="宋体"/>
                <w:bCs/>
                <w:color w:val="auto"/>
                <w:sz w:val="24"/>
                <w:szCs w:val="21"/>
                <w:highlight w:val="none"/>
              </w:rPr>
            </w:pPr>
          </w:p>
          <w:p w14:paraId="6CE039E2">
            <w:pPr>
              <w:spacing w:line="360" w:lineRule="auto"/>
              <w:rPr>
                <w:rFonts w:ascii="宋体" w:hAnsi="宋体" w:cs="宋体"/>
                <w:bCs/>
                <w:color w:val="auto"/>
                <w:sz w:val="24"/>
                <w:szCs w:val="21"/>
                <w:highlight w:val="none"/>
              </w:rPr>
            </w:pPr>
            <w:r>
              <w:rPr>
                <w:rFonts w:hint="eastAsia" w:ascii="宋体" w:hAnsi="宋体" w:cs="宋体"/>
                <w:bCs/>
                <w:color w:val="auto"/>
                <w:sz w:val="24"/>
                <w:szCs w:val="21"/>
                <w:highlight w:val="none"/>
              </w:rPr>
              <w:t>正面：                                 反面：</w:t>
            </w:r>
          </w:p>
          <w:p w14:paraId="5C1751DD">
            <w:pPr>
              <w:spacing w:line="360" w:lineRule="auto"/>
              <w:rPr>
                <w:rFonts w:ascii="宋体" w:hAnsi="宋体" w:cs="宋体"/>
                <w:bCs/>
                <w:color w:val="auto"/>
                <w:sz w:val="24"/>
                <w:szCs w:val="21"/>
                <w:highlight w:val="none"/>
              </w:rPr>
            </w:pPr>
          </w:p>
        </w:tc>
      </w:tr>
    </w:tbl>
    <w:p w14:paraId="6EB9A3D7">
      <w:pPr>
        <w:snapToGrid w:val="0"/>
        <w:spacing w:line="360" w:lineRule="auto"/>
        <w:ind w:firstLine="576"/>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w:t>
      </w:r>
    </w:p>
    <w:p w14:paraId="6CAC5BA5">
      <w:pPr>
        <w:snapToGrid w:val="0"/>
        <w:spacing w:line="360" w:lineRule="auto"/>
        <w:ind w:right="480"/>
        <w:rPr>
          <w:rFonts w:ascii="宋体" w:hAnsi="宋体" w:cs="宋体"/>
          <w:b/>
          <w:color w:val="auto"/>
          <w:kern w:val="0"/>
          <w:sz w:val="32"/>
          <w:szCs w:val="32"/>
          <w:highlight w:val="none"/>
        </w:rPr>
        <w:sectPr>
          <w:headerReference r:id="rId9" w:type="first"/>
          <w:footerReference r:id="rId11" w:type="first"/>
          <w:headerReference r:id="rId8" w:type="default"/>
          <w:footerReference r:id="rId10" w:type="default"/>
          <w:pgSz w:w="11906" w:h="16838"/>
          <w:pgMar w:top="1276" w:right="1418" w:bottom="1247" w:left="1418" w:header="851" w:footer="992" w:gutter="0"/>
          <w:cols w:space="720" w:num="1"/>
          <w:titlePg/>
          <w:docGrid w:linePitch="312" w:charSpace="0"/>
        </w:sectPr>
      </w:pPr>
    </w:p>
    <w:p w14:paraId="658882AB">
      <w:pPr>
        <w:snapToGrid w:val="0"/>
        <w:spacing w:line="360" w:lineRule="auto"/>
        <w:rPr>
          <w:rFonts w:ascii="宋体" w:hAnsi="宋体" w:cs="宋体"/>
          <w:color w:val="auto"/>
          <w:sz w:val="24"/>
          <w:highlight w:val="none"/>
        </w:rPr>
      </w:pPr>
    </w:p>
    <w:p w14:paraId="3BD90256">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 xml:space="preserve">       </w:t>
      </w:r>
      <w:r>
        <w:rPr>
          <w:rFonts w:hint="eastAsia" w:ascii="宋体" w:hAnsi="宋体" w:cs="宋体"/>
          <w:b/>
          <w:color w:val="auto"/>
          <w:kern w:val="0"/>
          <w:sz w:val="32"/>
          <w:szCs w:val="32"/>
          <w:highlight w:val="none"/>
          <w:lang w:val="zh-CN"/>
        </w:rPr>
        <w:t>授权委托书（适用于联合体投标）</w:t>
      </w:r>
    </w:p>
    <w:p w14:paraId="2765B698">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72512DA7">
      <w:pPr>
        <w:snapToGrid w:val="0"/>
        <w:spacing w:line="360" w:lineRule="auto"/>
        <w:ind w:firstLine="576"/>
        <w:rPr>
          <w:rFonts w:ascii="宋体" w:hAnsi="宋体" w:cs="宋体"/>
          <w:color w:val="auto"/>
          <w:kern w:val="0"/>
          <w:sz w:val="24"/>
          <w:highlight w:val="none"/>
        </w:rPr>
      </w:pPr>
      <w:r>
        <w:rPr>
          <w:rFonts w:hint="eastAsia" w:ascii="宋体" w:hAnsi="宋体" w:cs="宋体"/>
          <w:color w:val="auto"/>
          <w:kern w:val="0"/>
          <w:sz w:val="24"/>
          <w:highlight w:val="none"/>
        </w:rPr>
        <w:t>现</w:t>
      </w:r>
      <w:r>
        <w:rPr>
          <w:rFonts w:hint="eastAsia" w:ascii="宋体" w:hAnsi="宋体" w:cs="宋体"/>
          <w:color w:val="auto"/>
          <w:kern w:val="0"/>
          <w:sz w:val="24"/>
          <w:highlight w:val="none"/>
          <w:lang w:val="zh-CN"/>
        </w:rPr>
        <w:t>委托</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（姓名）为我方代理人（身份证号码：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），以我方名义处理</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政府采购投标的一切事项，其法律后果由我方承担。</w:t>
      </w:r>
    </w:p>
    <w:p w14:paraId="626A46AC">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委托期限</w:t>
      </w:r>
      <w:r>
        <w:rPr>
          <w:rFonts w:hint="eastAsia" w:ascii="宋体" w:hAnsi="宋体" w:cs="宋体"/>
          <w:color w:val="auto"/>
          <w:kern w:val="0"/>
          <w:sz w:val="24"/>
          <w:highlight w:val="none"/>
        </w:rPr>
        <w:t>：</w:t>
      </w:r>
      <w:r>
        <w:rPr>
          <w:rFonts w:hint="eastAsia" w:ascii="宋体" w:hAnsi="宋体" w:cs="宋体"/>
          <w:color w:val="auto"/>
          <w:kern w:val="0"/>
          <w:sz w:val="24"/>
          <w:highlight w:val="none"/>
          <w:lang w:val="zh-CN"/>
        </w:rPr>
        <w:t>自</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日起至</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年</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日止。</w:t>
      </w:r>
    </w:p>
    <w:p w14:paraId="13E071C7">
      <w:pPr>
        <w:snapToGrid w:val="0"/>
        <w:spacing w:line="360" w:lineRule="auto"/>
        <w:rPr>
          <w:rFonts w:ascii="宋体" w:hAnsi="宋体" w:cs="宋体"/>
          <w:color w:val="auto"/>
          <w:kern w:val="0"/>
          <w:sz w:val="24"/>
          <w:highlight w:val="none"/>
        </w:rPr>
      </w:pP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特此告知。</w:t>
      </w:r>
    </w:p>
    <w:p w14:paraId="5FDE4EEE">
      <w:pPr>
        <w:jc w:val="center"/>
        <w:rPr>
          <w:rFonts w:ascii="宋体" w:hAnsi="宋体" w:cs="宋体"/>
          <w:b/>
          <w:color w:val="auto"/>
          <w:kern w:val="0"/>
          <w:sz w:val="32"/>
          <w:szCs w:val="32"/>
          <w:highlight w:val="none"/>
        </w:rPr>
      </w:pPr>
    </w:p>
    <w:p w14:paraId="6EF3C4BD">
      <w:pPr>
        <w:jc w:val="center"/>
        <w:rPr>
          <w:rFonts w:ascii="宋体" w:hAnsi="宋体" w:cs="宋体"/>
          <w:b/>
          <w:color w:val="auto"/>
          <w:kern w:val="0"/>
          <w:sz w:val="32"/>
          <w:szCs w:val="32"/>
          <w:highlight w:val="none"/>
        </w:rPr>
      </w:pPr>
    </w:p>
    <w:p w14:paraId="2017BB5F">
      <w:pPr>
        <w:jc w:val="center"/>
        <w:rPr>
          <w:rFonts w:ascii="宋体" w:hAnsi="宋体" w:cs="宋体"/>
          <w:b/>
          <w:color w:val="auto"/>
          <w:kern w:val="0"/>
          <w:sz w:val="32"/>
          <w:szCs w:val="32"/>
          <w:highlight w:val="none"/>
        </w:rPr>
      </w:pPr>
    </w:p>
    <w:p w14:paraId="13E6E35C">
      <w:pPr>
        <w:rPr>
          <w:rFonts w:ascii="宋体" w:hAnsi="宋体" w:cs="宋体"/>
          <w:color w:val="auto"/>
          <w:highlight w:val="none"/>
        </w:rPr>
      </w:pPr>
    </w:p>
    <w:p w14:paraId="75CE0951">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联合体成员名称(公章)：</w:t>
      </w:r>
    </w:p>
    <w:p w14:paraId="1F20123D">
      <w:pPr>
        <w:snapToGrid w:val="0"/>
        <w:spacing w:line="360" w:lineRule="auto"/>
        <w:ind w:firstLine="5040" w:firstLineChars="2100"/>
        <w:rPr>
          <w:rFonts w:ascii="宋体" w:hAnsi="宋体"/>
          <w:color w:val="auto"/>
          <w:sz w:val="24"/>
          <w:highlight w:val="none"/>
        </w:rPr>
      </w:pPr>
      <w:r>
        <w:rPr>
          <w:rFonts w:hint="eastAsia" w:ascii="宋体" w:hAnsi="宋体"/>
          <w:color w:val="auto"/>
          <w:sz w:val="24"/>
          <w:highlight w:val="none"/>
        </w:rPr>
        <w:t>法定代表人（负责人） (签名)：</w:t>
      </w:r>
    </w:p>
    <w:p w14:paraId="02D9AA78">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olor w:val="auto"/>
          <w:sz w:val="24"/>
          <w:highlight w:val="none"/>
        </w:rPr>
        <w:t>联合体成</w:t>
      </w:r>
      <w:r>
        <w:rPr>
          <w:rFonts w:hint="eastAsia" w:ascii="宋体" w:hAnsi="宋体" w:cs="宋体"/>
          <w:color w:val="auto"/>
          <w:kern w:val="0"/>
          <w:sz w:val="24"/>
          <w:highlight w:val="none"/>
          <w:lang w:val="zh-CN"/>
        </w:rPr>
        <w:t>员名称(公章)：</w:t>
      </w:r>
    </w:p>
    <w:p w14:paraId="742803BD">
      <w:pPr>
        <w:snapToGrid w:val="0"/>
        <w:spacing w:line="360" w:lineRule="auto"/>
        <w:ind w:firstLine="5040" w:firstLineChars="2100"/>
        <w:jc w:val="left"/>
        <w:rPr>
          <w:rFonts w:ascii="宋体" w:hAnsi="宋体"/>
          <w:color w:val="auto"/>
          <w:kern w:val="0"/>
          <w:sz w:val="24"/>
          <w:szCs w:val="20"/>
          <w:highlight w:val="none"/>
        </w:rPr>
      </w:pPr>
      <w:r>
        <w:rPr>
          <w:rFonts w:hint="eastAsia" w:ascii="宋体" w:hAnsi="宋体"/>
          <w:color w:val="auto"/>
          <w:kern w:val="0"/>
          <w:sz w:val="24"/>
          <w:szCs w:val="20"/>
          <w:highlight w:val="none"/>
        </w:rPr>
        <w:t>法定代表人（负责人） (签名)：</w:t>
      </w:r>
    </w:p>
    <w:p w14:paraId="15FE77C6">
      <w:pPr>
        <w:snapToGrid w:val="0"/>
        <w:spacing w:line="360" w:lineRule="auto"/>
        <w:ind w:firstLine="5040" w:firstLineChars="2100"/>
        <w:rPr>
          <w:rFonts w:ascii="宋体" w:hAnsi="宋体" w:cs="宋体"/>
          <w:color w:val="auto"/>
          <w:kern w:val="0"/>
          <w:sz w:val="24"/>
          <w:highlight w:val="none"/>
          <w:lang w:val="zh-CN"/>
        </w:rPr>
      </w:pPr>
    </w:p>
    <w:p w14:paraId="0DE4EFBA">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lang w:val="zh-CN"/>
        </w:rPr>
        <w:t>……</w:t>
      </w:r>
    </w:p>
    <w:p w14:paraId="446891AA">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7094CA58">
      <w:pPr>
        <w:adjustRightInd/>
        <w:spacing w:line="360" w:lineRule="auto"/>
        <w:rPr>
          <w:rFonts w:ascii="宋体" w:hAnsi="宋体"/>
          <w:color w:val="auto"/>
          <w:sz w:val="24"/>
          <w:szCs w:val="21"/>
          <w:highlight w:val="none"/>
        </w:rPr>
      </w:pPr>
    </w:p>
    <w:p w14:paraId="1DA1E101">
      <w:pPr>
        <w:adjustRightInd/>
        <w:spacing w:line="360" w:lineRule="auto"/>
        <w:rPr>
          <w:rFonts w:ascii="宋体" w:hAnsi="宋体" w:cs="宋体"/>
          <w:bCs/>
          <w:color w:val="auto"/>
          <w:sz w:val="24"/>
          <w:szCs w:val="21"/>
          <w:highlight w:val="none"/>
        </w:rPr>
      </w:pPr>
      <w:r>
        <w:rPr>
          <w:rFonts w:hint="eastAsia" w:ascii="宋体" w:hAnsi="宋体"/>
          <w:color w:val="auto"/>
          <w:sz w:val="24"/>
          <w:szCs w:val="21"/>
          <w:highlight w:val="none"/>
        </w:rPr>
        <w:t>委托代理人和联合体牵头单位法定代表人</w:t>
      </w:r>
      <w:r>
        <w:rPr>
          <w:rFonts w:hint="eastAsia" w:ascii="宋体" w:hAnsi="宋体" w:cs="宋体"/>
          <w:color w:val="auto"/>
          <w:kern w:val="0"/>
          <w:sz w:val="24"/>
          <w:szCs w:val="21"/>
          <w:highlight w:val="none"/>
        </w:rPr>
        <w:t>（负责人）</w:t>
      </w:r>
      <w:r>
        <w:rPr>
          <w:rFonts w:hint="eastAsia" w:ascii="宋体" w:hAnsi="宋体" w:cs="宋体"/>
          <w:bCs/>
          <w:color w:val="auto"/>
          <w:sz w:val="24"/>
          <w:szCs w:val="21"/>
          <w:highlight w:val="none"/>
        </w:rPr>
        <w:t>身份证件扫描件：</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6A3640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36F4BC53">
            <w:pPr>
              <w:spacing w:line="360" w:lineRule="auto"/>
              <w:rPr>
                <w:rFonts w:ascii="宋体" w:hAnsi="宋体" w:cs="宋体"/>
                <w:bCs/>
                <w:color w:val="auto"/>
                <w:sz w:val="24"/>
                <w:szCs w:val="21"/>
                <w:highlight w:val="none"/>
              </w:rPr>
            </w:pPr>
            <w:r>
              <w:rPr>
                <w:rFonts w:hint="eastAsia" w:ascii="宋体" w:hAnsi="宋体" w:cs="宋体"/>
                <w:bCs/>
                <w:color w:val="auto"/>
                <w:sz w:val="24"/>
                <w:szCs w:val="21"/>
                <w:highlight w:val="none"/>
              </w:rPr>
              <w:t>正面：                                 反面：</w:t>
            </w:r>
          </w:p>
          <w:p w14:paraId="076EF34C">
            <w:pPr>
              <w:spacing w:line="360" w:lineRule="auto"/>
              <w:rPr>
                <w:rFonts w:ascii="宋体" w:hAnsi="宋体" w:cs="宋体"/>
                <w:bCs/>
                <w:color w:val="auto"/>
                <w:sz w:val="24"/>
                <w:szCs w:val="21"/>
                <w:highlight w:val="none"/>
              </w:rPr>
            </w:pPr>
          </w:p>
          <w:p w14:paraId="04488945">
            <w:pPr>
              <w:spacing w:line="360" w:lineRule="auto"/>
              <w:rPr>
                <w:rFonts w:ascii="宋体" w:hAnsi="宋体" w:cs="宋体"/>
                <w:bCs/>
                <w:color w:val="auto"/>
                <w:sz w:val="24"/>
                <w:szCs w:val="21"/>
                <w:highlight w:val="none"/>
              </w:rPr>
            </w:pPr>
          </w:p>
          <w:p w14:paraId="009FE6E1">
            <w:pPr>
              <w:spacing w:line="360" w:lineRule="auto"/>
              <w:rPr>
                <w:rFonts w:ascii="宋体" w:hAnsi="宋体" w:cs="宋体"/>
                <w:bCs/>
                <w:color w:val="auto"/>
                <w:sz w:val="24"/>
                <w:szCs w:val="21"/>
                <w:highlight w:val="none"/>
              </w:rPr>
            </w:pPr>
          </w:p>
          <w:p w14:paraId="2B29C58D">
            <w:pPr>
              <w:spacing w:line="360" w:lineRule="auto"/>
              <w:rPr>
                <w:rFonts w:ascii="宋体" w:hAnsi="宋体" w:cs="宋体"/>
                <w:bCs/>
                <w:color w:val="auto"/>
                <w:sz w:val="24"/>
                <w:szCs w:val="21"/>
                <w:highlight w:val="none"/>
              </w:rPr>
            </w:pPr>
            <w:r>
              <w:rPr>
                <w:rFonts w:hint="eastAsia" w:ascii="宋体" w:hAnsi="宋体" w:cs="宋体"/>
                <w:bCs/>
                <w:color w:val="auto"/>
                <w:sz w:val="24"/>
                <w:szCs w:val="21"/>
                <w:highlight w:val="none"/>
              </w:rPr>
              <w:t>正面：                                 反面：</w:t>
            </w:r>
          </w:p>
          <w:p w14:paraId="4DA04FFF">
            <w:pPr>
              <w:spacing w:line="360" w:lineRule="auto"/>
              <w:rPr>
                <w:rFonts w:ascii="宋体" w:hAnsi="宋体" w:cs="宋体"/>
                <w:bCs/>
                <w:color w:val="auto"/>
                <w:sz w:val="24"/>
                <w:szCs w:val="21"/>
                <w:highlight w:val="none"/>
              </w:rPr>
            </w:pPr>
          </w:p>
        </w:tc>
      </w:tr>
    </w:tbl>
    <w:p w14:paraId="0F829BDF">
      <w:pPr>
        <w:snapToGrid w:val="0"/>
        <w:spacing w:line="360" w:lineRule="auto"/>
        <w:ind w:firstLine="576"/>
        <w:jc w:val="center"/>
        <w:rPr>
          <w:rFonts w:ascii="宋体" w:hAnsi="宋体" w:cs="宋体"/>
          <w:color w:val="auto"/>
          <w:kern w:val="0"/>
          <w:sz w:val="24"/>
          <w:highlight w:val="none"/>
        </w:rPr>
      </w:pPr>
      <w:r>
        <w:rPr>
          <w:rFonts w:hint="eastAsia" w:ascii="宋体" w:hAnsi="宋体" w:cs="宋体"/>
          <w:color w:val="auto"/>
          <w:kern w:val="0"/>
          <w:sz w:val="24"/>
          <w:highlight w:val="none"/>
        </w:rPr>
        <w:t xml:space="preserve">                 </w:t>
      </w:r>
    </w:p>
    <w:p w14:paraId="7DF151E7">
      <w:pPr>
        <w:snapToGrid w:val="0"/>
        <w:spacing w:line="360" w:lineRule="auto"/>
        <w:ind w:right="480"/>
        <w:rPr>
          <w:rFonts w:ascii="宋体" w:hAnsi="宋体" w:cs="宋体"/>
          <w:b/>
          <w:color w:val="auto"/>
          <w:kern w:val="0"/>
          <w:sz w:val="32"/>
          <w:szCs w:val="32"/>
          <w:highlight w:val="none"/>
        </w:rPr>
        <w:sectPr>
          <w:headerReference r:id="rId13" w:type="first"/>
          <w:footerReference r:id="rId15" w:type="first"/>
          <w:headerReference r:id="rId12" w:type="default"/>
          <w:footerReference r:id="rId14" w:type="default"/>
          <w:pgSz w:w="11906" w:h="16838"/>
          <w:pgMar w:top="1276" w:right="1418" w:bottom="1247" w:left="1418" w:header="851" w:footer="992" w:gutter="0"/>
          <w:cols w:space="720" w:num="1"/>
          <w:titlePg/>
          <w:docGrid w:linePitch="312" w:charSpace="0"/>
        </w:sectPr>
      </w:pPr>
    </w:p>
    <w:p w14:paraId="52E8E303">
      <w:pPr>
        <w:autoSpaceDE w:val="0"/>
        <w:autoSpaceDN w:val="0"/>
        <w:spacing w:line="360" w:lineRule="auto"/>
        <w:jc w:val="center"/>
        <w:rPr>
          <w:rFonts w:ascii="宋体" w:hAnsi="宋体" w:cs="宋体"/>
          <w:b/>
          <w:color w:val="auto"/>
          <w:sz w:val="24"/>
          <w:highlight w:val="none"/>
        </w:rPr>
      </w:pPr>
      <w:r>
        <w:rPr>
          <w:rFonts w:hint="eastAsia" w:ascii="宋体" w:hAnsi="宋体" w:cs="宋体"/>
          <w:b/>
          <w:color w:val="auto"/>
          <w:kern w:val="0"/>
          <w:sz w:val="32"/>
          <w:szCs w:val="32"/>
          <w:highlight w:val="none"/>
          <w:lang w:val="zh-CN"/>
        </w:rPr>
        <w:t>法定代表人、单位负责人或自然人本人</w:t>
      </w:r>
      <w:r>
        <w:rPr>
          <w:rFonts w:hint="eastAsia" w:ascii="宋体" w:hAnsi="宋体" w:cs="宋体"/>
          <w:b/>
          <w:color w:val="auto"/>
          <w:sz w:val="30"/>
          <w:szCs w:val="30"/>
          <w:highlight w:val="none"/>
        </w:rPr>
        <w:t>的身份证明（适用于法定代表人、单位负责人或者自然人本人代表投标人参加投标）</w:t>
      </w:r>
    </w:p>
    <w:p w14:paraId="4831825C">
      <w:pPr>
        <w:adjustRightInd/>
        <w:spacing w:line="360" w:lineRule="auto"/>
        <w:rPr>
          <w:rFonts w:ascii="宋体" w:hAnsi="宋体" w:cs="宋体"/>
          <w:bCs/>
          <w:color w:val="auto"/>
          <w:sz w:val="24"/>
          <w:szCs w:val="21"/>
          <w:highlight w:val="none"/>
        </w:rPr>
      </w:pPr>
    </w:p>
    <w:p w14:paraId="58B141BF">
      <w:pPr>
        <w:adjustRightInd/>
        <w:snapToGrid w:val="0"/>
        <w:spacing w:before="120" w:beforeLines="50" w:after="50" w:line="600" w:lineRule="exact"/>
        <w:jc w:val="center"/>
        <w:rPr>
          <w:rFonts w:ascii="宋体" w:hAnsi="宋体"/>
          <w:b/>
          <w:color w:val="auto"/>
          <w:sz w:val="30"/>
          <w:szCs w:val="30"/>
          <w:highlight w:val="none"/>
        </w:rPr>
      </w:pPr>
      <w:r>
        <w:rPr>
          <w:rFonts w:hint="eastAsia" w:ascii="宋体" w:hAnsi="宋体"/>
          <w:b/>
          <w:color w:val="auto"/>
          <w:sz w:val="30"/>
          <w:szCs w:val="30"/>
          <w:highlight w:val="none"/>
        </w:rPr>
        <w:t>法定代表人、单位负责人或自然人身份证明书</w:t>
      </w:r>
    </w:p>
    <w:p w14:paraId="676BA631">
      <w:pPr>
        <w:snapToGrid w:val="0"/>
        <w:spacing w:line="276" w:lineRule="auto"/>
        <w:ind w:firstLine="960" w:firstLineChars="400"/>
        <w:rPr>
          <w:rFonts w:ascii="宋体" w:hAnsi="宋体"/>
          <w:color w:val="auto"/>
          <w:sz w:val="24"/>
          <w:highlight w:val="none"/>
          <w:u w:val="single"/>
        </w:rPr>
      </w:pPr>
    </w:p>
    <w:p w14:paraId="431A564F">
      <w:pPr>
        <w:snapToGrid w:val="0"/>
        <w:spacing w:line="720" w:lineRule="exact"/>
        <w:ind w:firstLine="960" w:firstLineChars="400"/>
        <w:rPr>
          <w:rFonts w:ascii="宋体" w:hAnsi="宋体"/>
          <w:color w:val="auto"/>
          <w:sz w:val="24"/>
          <w:highlight w:val="none"/>
        </w:rPr>
      </w:pP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（姓名）（身份证号码：</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，手机：</w:t>
      </w:r>
      <w:r>
        <w:rPr>
          <w:rFonts w:hint="eastAsia" w:ascii="宋体" w:hAnsi="宋体" w:cs="宋体"/>
          <w:color w:val="auto"/>
          <w:kern w:val="0"/>
          <w:sz w:val="24"/>
          <w:highlight w:val="none"/>
          <w:u w:val="single"/>
          <w:lang w:val="zh-CN"/>
        </w:rPr>
        <w:t xml:space="preserve">          </w:t>
      </w:r>
      <w:r>
        <w:rPr>
          <w:rFonts w:hint="eastAsia" w:ascii="宋体" w:hAnsi="宋体" w:cs="宋体"/>
          <w:color w:val="auto"/>
          <w:kern w:val="0"/>
          <w:sz w:val="24"/>
          <w:highlight w:val="none"/>
          <w:lang w:val="zh-CN"/>
        </w:rPr>
        <w:t>）</w:t>
      </w:r>
      <w:r>
        <w:rPr>
          <w:rFonts w:hint="eastAsia" w:ascii="宋体" w:hAnsi="宋体"/>
          <w:color w:val="auto"/>
          <w:sz w:val="24"/>
          <w:highlight w:val="none"/>
        </w:rPr>
        <w:t>在我公司（单位）任</w:t>
      </w:r>
      <w:r>
        <w:rPr>
          <w:rFonts w:hint="eastAsia" w:ascii="宋体" w:hAnsi="宋体"/>
          <w:color w:val="auto"/>
          <w:sz w:val="24"/>
          <w:highlight w:val="none"/>
          <w:u w:val="single"/>
        </w:rPr>
        <w:t xml:space="preserve">          </w:t>
      </w:r>
      <w:r>
        <w:rPr>
          <w:rFonts w:hint="eastAsia" w:ascii="宋体" w:hAnsi="宋体"/>
          <w:color w:val="auto"/>
          <w:sz w:val="24"/>
          <w:highlight w:val="none"/>
        </w:rPr>
        <w:t>职务，是我公司（单位）</w:t>
      </w:r>
      <w:r>
        <w:rPr>
          <w:rFonts w:hint="eastAsia" w:ascii="宋体" w:hAnsi="宋体"/>
          <w:color w:val="auto"/>
          <w:sz w:val="24"/>
          <w:highlight w:val="none"/>
          <w:u w:val="single"/>
        </w:rPr>
        <w:t xml:space="preserve">          </w:t>
      </w:r>
      <w:r>
        <w:rPr>
          <w:rFonts w:hint="eastAsia" w:ascii="宋体" w:hAnsi="宋体"/>
          <w:color w:val="auto"/>
          <w:sz w:val="24"/>
          <w:highlight w:val="none"/>
        </w:rPr>
        <w:t>的法定代表人</w:t>
      </w:r>
      <w:r>
        <w:rPr>
          <w:rFonts w:hint="eastAsia" w:ascii="宋体" w:hAnsi="宋体" w:cs="宋体"/>
          <w:color w:val="auto"/>
          <w:kern w:val="0"/>
          <w:sz w:val="24"/>
          <w:highlight w:val="none"/>
        </w:rPr>
        <w:t>（负责人）</w:t>
      </w:r>
      <w:r>
        <w:rPr>
          <w:rFonts w:hint="eastAsia" w:ascii="宋体" w:hAnsi="宋体"/>
          <w:color w:val="auto"/>
          <w:sz w:val="24"/>
          <w:highlight w:val="none"/>
        </w:rPr>
        <w:t>。</w:t>
      </w:r>
    </w:p>
    <w:p w14:paraId="52D9C57D">
      <w:pPr>
        <w:snapToGrid w:val="0"/>
        <w:spacing w:line="720" w:lineRule="exact"/>
        <w:ind w:firstLine="840" w:firstLineChars="350"/>
        <w:rPr>
          <w:rFonts w:ascii="宋体" w:hAnsi="宋体"/>
          <w:color w:val="auto"/>
          <w:sz w:val="24"/>
          <w:highlight w:val="none"/>
        </w:rPr>
      </w:pPr>
      <w:r>
        <w:rPr>
          <w:rFonts w:hint="eastAsia" w:ascii="宋体" w:hAnsi="宋体"/>
          <w:color w:val="auto"/>
          <w:sz w:val="24"/>
          <w:highlight w:val="none"/>
        </w:rPr>
        <w:t>特此证明。</w:t>
      </w:r>
    </w:p>
    <w:p w14:paraId="22D1C06D">
      <w:pPr>
        <w:snapToGrid w:val="0"/>
        <w:spacing w:line="276" w:lineRule="auto"/>
        <w:rPr>
          <w:rFonts w:ascii="宋体" w:hAnsi="宋体"/>
          <w:color w:val="auto"/>
          <w:sz w:val="24"/>
          <w:highlight w:val="none"/>
        </w:rPr>
      </w:pPr>
    </w:p>
    <w:p w14:paraId="1C14DC80">
      <w:pPr>
        <w:snapToGrid w:val="0"/>
        <w:spacing w:line="276" w:lineRule="auto"/>
        <w:rPr>
          <w:rFonts w:ascii="宋体" w:hAnsi="宋体"/>
          <w:color w:val="auto"/>
          <w:sz w:val="24"/>
          <w:highlight w:val="none"/>
        </w:rPr>
      </w:pPr>
      <w:r>
        <w:rPr>
          <w:rFonts w:hint="eastAsia" w:ascii="宋体" w:hAnsi="宋体"/>
          <w:color w:val="auto"/>
          <w:sz w:val="24"/>
          <w:highlight w:val="none"/>
        </w:rPr>
        <w:t xml:space="preserve">                        </w:t>
      </w:r>
    </w:p>
    <w:p w14:paraId="3DEA4CC9">
      <w:pPr>
        <w:snapToGrid w:val="0"/>
        <w:spacing w:line="276" w:lineRule="auto"/>
        <w:rPr>
          <w:rFonts w:ascii="宋体" w:hAnsi="宋体"/>
          <w:color w:val="auto"/>
          <w:sz w:val="24"/>
          <w:highlight w:val="none"/>
        </w:rPr>
      </w:pPr>
    </w:p>
    <w:p w14:paraId="2F54DE81">
      <w:pPr>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投标人名称(公章)：                              </w:t>
      </w:r>
    </w:p>
    <w:p w14:paraId="5CE34B89">
      <w:pPr>
        <w:adjustRightInd/>
        <w:spacing w:line="360" w:lineRule="auto"/>
        <w:rPr>
          <w:rFonts w:ascii="宋体" w:hAnsi="宋体" w:cs="宋体"/>
          <w:bCs/>
          <w:color w:val="auto"/>
          <w:sz w:val="24"/>
          <w:szCs w:val="21"/>
          <w:highlight w:val="none"/>
        </w:rPr>
      </w:pPr>
      <w:r>
        <w:rPr>
          <w:rFonts w:hint="eastAsia" w:ascii="宋体" w:hAnsi="宋体" w:cs="宋体"/>
          <w:color w:val="auto"/>
          <w:kern w:val="0"/>
          <w:sz w:val="24"/>
          <w:szCs w:val="21"/>
          <w:highlight w:val="none"/>
          <w:lang w:val="zh-CN"/>
        </w:rPr>
        <w:t xml:space="preserve">                               日期：  年  月  日</w:t>
      </w:r>
    </w:p>
    <w:p w14:paraId="5F7F6C8F">
      <w:pPr>
        <w:adjustRightInd/>
        <w:spacing w:line="360" w:lineRule="auto"/>
        <w:rPr>
          <w:rFonts w:ascii="宋体" w:hAnsi="宋体" w:cs="宋体"/>
          <w:bCs/>
          <w:color w:val="auto"/>
          <w:sz w:val="24"/>
          <w:szCs w:val="21"/>
          <w:highlight w:val="none"/>
        </w:rPr>
      </w:pPr>
    </w:p>
    <w:p w14:paraId="4E86B16B">
      <w:pPr>
        <w:adjustRightInd/>
        <w:spacing w:line="360" w:lineRule="auto"/>
        <w:rPr>
          <w:rFonts w:ascii="宋体" w:hAnsi="宋体" w:cs="宋体"/>
          <w:bCs/>
          <w:color w:val="auto"/>
          <w:sz w:val="24"/>
          <w:szCs w:val="21"/>
          <w:highlight w:val="none"/>
        </w:rPr>
      </w:pPr>
      <w:r>
        <w:rPr>
          <w:rFonts w:hint="eastAsia" w:ascii="宋体" w:hAnsi="宋体"/>
          <w:color w:val="auto"/>
          <w:sz w:val="24"/>
          <w:szCs w:val="21"/>
          <w:highlight w:val="none"/>
        </w:rPr>
        <w:t>法定代表人</w:t>
      </w:r>
      <w:r>
        <w:rPr>
          <w:rFonts w:hint="eastAsia" w:ascii="宋体" w:hAnsi="宋体" w:cs="宋体"/>
          <w:color w:val="auto"/>
          <w:kern w:val="0"/>
          <w:sz w:val="24"/>
          <w:szCs w:val="21"/>
          <w:highlight w:val="none"/>
        </w:rPr>
        <w:t>（负责人）</w:t>
      </w:r>
      <w:r>
        <w:rPr>
          <w:rFonts w:hint="eastAsia" w:ascii="宋体" w:hAnsi="宋体" w:cs="宋体"/>
          <w:bCs/>
          <w:color w:val="auto"/>
          <w:sz w:val="24"/>
          <w:szCs w:val="21"/>
          <w:highlight w:val="none"/>
        </w:rPr>
        <w:t>身份证件扫描件：</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07"/>
      </w:tblGrid>
      <w:tr w14:paraId="1CB66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4" w:hRule="atLeast"/>
          <w:jc w:val="center"/>
        </w:trPr>
        <w:tc>
          <w:tcPr>
            <w:tcW w:w="9207" w:type="dxa"/>
          </w:tcPr>
          <w:p w14:paraId="470E3718">
            <w:pPr>
              <w:spacing w:line="360" w:lineRule="auto"/>
              <w:rPr>
                <w:rFonts w:ascii="宋体" w:hAnsi="宋体" w:cs="宋体"/>
                <w:bCs/>
                <w:color w:val="auto"/>
                <w:sz w:val="24"/>
                <w:szCs w:val="21"/>
                <w:highlight w:val="none"/>
              </w:rPr>
            </w:pPr>
            <w:r>
              <w:rPr>
                <w:rFonts w:hint="eastAsia" w:ascii="宋体" w:hAnsi="宋体" w:cs="宋体"/>
                <w:bCs/>
                <w:color w:val="auto"/>
                <w:sz w:val="24"/>
                <w:szCs w:val="21"/>
                <w:highlight w:val="none"/>
              </w:rPr>
              <w:t>正面：                                 反面：</w:t>
            </w:r>
          </w:p>
          <w:p w14:paraId="471906D5">
            <w:pPr>
              <w:spacing w:line="360" w:lineRule="auto"/>
              <w:rPr>
                <w:rFonts w:ascii="宋体" w:hAnsi="宋体" w:cs="宋体"/>
                <w:bCs/>
                <w:color w:val="auto"/>
                <w:sz w:val="24"/>
                <w:szCs w:val="21"/>
                <w:highlight w:val="none"/>
              </w:rPr>
            </w:pPr>
          </w:p>
        </w:tc>
      </w:tr>
    </w:tbl>
    <w:p w14:paraId="70F262D8">
      <w:pPr>
        <w:snapToGrid w:val="0"/>
        <w:spacing w:line="360" w:lineRule="auto"/>
        <w:ind w:firstLine="576"/>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272BE190">
      <w:pPr>
        <w:snapToGrid w:val="0"/>
        <w:spacing w:line="360" w:lineRule="auto"/>
        <w:ind w:right="480"/>
        <w:rPr>
          <w:rFonts w:ascii="宋体" w:hAnsi="宋体" w:cs="宋体"/>
          <w:b/>
          <w:color w:val="auto"/>
          <w:kern w:val="0"/>
          <w:sz w:val="32"/>
          <w:szCs w:val="32"/>
          <w:highlight w:val="none"/>
        </w:rPr>
        <w:sectPr>
          <w:headerReference r:id="rId17" w:type="first"/>
          <w:footerReference r:id="rId19" w:type="first"/>
          <w:headerReference r:id="rId16" w:type="default"/>
          <w:footerReference r:id="rId18" w:type="default"/>
          <w:pgSz w:w="11906" w:h="16838"/>
          <w:pgMar w:top="1276" w:right="1418" w:bottom="1247" w:left="1418" w:header="851" w:footer="992" w:gutter="0"/>
          <w:cols w:space="720" w:num="1"/>
          <w:titlePg/>
          <w:docGrid w:linePitch="312" w:charSpace="0"/>
        </w:sectPr>
      </w:pPr>
    </w:p>
    <w:p w14:paraId="4A7A612F">
      <w:pPr>
        <w:snapToGrid w:val="0"/>
        <w:spacing w:line="360" w:lineRule="auto"/>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三、分包意向协议（如果有）</w:t>
      </w:r>
    </w:p>
    <w:p w14:paraId="5F7DAAA5">
      <w:pPr>
        <w:widowControl/>
        <w:spacing w:line="360" w:lineRule="auto"/>
        <w:ind w:firstLine="120" w:firstLineChars="50"/>
        <w:jc w:val="left"/>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b/>
          <w:color w:val="auto"/>
          <w:sz w:val="24"/>
          <w:highlight w:val="none"/>
        </w:rPr>
        <w:t>中标后以分包方式履行合同的，提供分包意向协议(附件6</w:t>
      </w:r>
      <w:r>
        <w:rPr>
          <w:rFonts w:ascii="宋体" w:hAnsi="宋体" w:cs="宋体"/>
          <w:b/>
          <w:color w:val="auto"/>
          <w:sz w:val="24"/>
          <w:highlight w:val="none"/>
        </w:rPr>
        <w:t>)</w:t>
      </w:r>
      <w:r>
        <w:rPr>
          <w:rFonts w:hint="eastAsia" w:ascii="宋体" w:hAnsi="宋体" w:cs="宋体"/>
          <w:b/>
          <w:color w:val="auto"/>
          <w:sz w:val="24"/>
          <w:highlight w:val="none"/>
        </w:rPr>
        <w:t>；采购人不同意分包或者投标人中标后不以分包方式履行合同的，则不需要提供。</w:t>
      </w:r>
      <w:r>
        <w:rPr>
          <w:rFonts w:hint="eastAsia" w:ascii="宋体" w:hAnsi="宋体" w:cs="宋体"/>
          <w:color w:val="auto"/>
          <w:sz w:val="24"/>
          <w:highlight w:val="none"/>
        </w:rPr>
        <w:t>]</w:t>
      </w:r>
    </w:p>
    <w:p w14:paraId="2E889FC3">
      <w:pPr>
        <w:snapToGrid w:val="0"/>
        <w:spacing w:line="360" w:lineRule="auto"/>
        <w:rPr>
          <w:rFonts w:ascii="宋体" w:hAnsi="宋体" w:cs="宋体"/>
          <w:color w:val="auto"/>
          <w:kern w:val="0"/>
          <w:sz w:val="24"/>
          <w:highlight w:val="none"/>
        </w:rPr>
      </w:pPr>
    </w:p>
    <w:p w14:paraId="08EFF20A">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四、符合性审查资料</w:t>
      </w:r>
    </w:p>
    <w:p w14:paraId="75F52CA9">
      <w:pPr>
        <w:jc w:val="center"/>
        <w:rPr>
          <w:rFonts w:ascii="宋体" w:hAnsi="宋体" w:cs="宋体"/>
          <w:b/>
          <w:color w:val="auto"/>
          <w:kern w:val="0"/>
          <w:sz w:val="32"/>
          <w:szCs w:val="32"/>
          <w:highlight w:val="none"/>
        </w:rPr>
      </w:pPr>
    </w:p>
    <w:tbl>
      <w:tblPr>
        <w:tblStyle w:val="63"/>
        <w:tblW w:w="960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6"/>
        <w:gridCol w:w="4991"/>
        <w:gridCol w:w="2551"/>
        <w:gridCol w:w="1418"/>
      </w:tblGrid>
      <w:tr w14:paraId="116E7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trPr>
        <w:tc>
          <w:tcPr>
            <w:tcW w:w="646" w:type="dxa"/>
            <w:vAlign w:val="center"/>
          </w:tcPr>
          <w:p w14:paraId="4BBBC8CA">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4991" w:type="dxa"/>
            <w:vAlign w:val="center"/>
          </w:tcPr>
          <w:p w14:paraId="7C6BCFBD">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实质性要求</w:t>
            </w:r>
          </w:p>
        </w:tc>
        <w:tc>
          <w:tcPr>
            <w:tcW w:w="2551" w:type="dxa"/>
            <w:vAlign w:val="center"/>
          </w:tcPr>
          <w:p w14:paraId="704FD249">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需要提供的符合性审查资料</w:t>
            </w:r>
          </w:p>
        </w:tc>
        <w:tc>
          <w:tcPr>
            <w:tcW w:w="1418" w:type="dxa"/>
            <w:vAlign w:val="center"/>
          </w:tcPr>
          <w:p w14:paraId="20A5B422">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投标文件中的</w:t>
            </w:r>
          </w:p>
          <w:p w14:paraId="0236E7FC">
            <w:pPr>
              <w:snapToGrid w:val="0"/>
              <w:spacing w:line="240" w:lineRule="atLeast"/>
              <w:jc w:val="center"/>
              <w:rPr>
                <w:rFonts w:ascii="宋体" w:hAnsi="宋体" w:cs="宋体"/>
                <w:b/>
                <w:color w:val="auto"/>
                <w:sz w:val="24"/>
                <w:highlight w:val="none"/>
              </w:rPr>
            </w:pPr>
            <w:r>
              <w:rPr>
                <w:rFonts w:hint="eastAsia" w:ascii="宋体" w:hAnsi="宋体" w:cs="宋体"/>
                <w:b/>
                <w:color w:val="auto"/>
                <w:sz w:val="24"/>
                <w:highlight w:val="none"/>
              </w:rPr>
              <w:t>页码位置</w:t>
            </w:r>
          </w:p>
        </w:tc>
      </w:tr>
      <w:tr w14:paraId="0239CA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58DDFF18">
            <w:pPr>
              <w:jc w:val="center"/>
              <w:rPr>
                <w:rFonts w:ascii="宋体" w:hAnsi="宋体" w:cs="宋体"/>
                <w:color w:val="auto"/>
                <w:sz w:val="24"/>
                <w:highlight w:val="none"/>
              </w:rPr>
            </w:pPr>
            <w:r>
              <w:rPr>
                <w:rFonts w:hint="eastAsia" w:ascii="宋体" w:hAnsi="宋体" w:cs="宋体"/>
                <w:color w:val="auto"/>
                <w:sz w:val="24"/>
                <w:highlight w:val="none"/>
              </w:rPr>
              <w:t>1</w:t>
            </w:r>
          </w:p>
        </w:tc>
        <w:tc>
          <w:tcPr>
            <w:tcW w:w="4991" w:type="dxa"/>
          </w:tcPr>
          <w:p w14:paraId="6FC2C7A3">
            <w:pPr>
              <w:spacing w:line="360" w:lineRule="auto"/>
              <w:rPr>
                <w:rFonts w:ascii="宋体" w:hAnsi="宋体" w:cs="宋体"/>
                <w:color w:val="auto"/>
                <w:sz w:val="24"/>
                <w:highlight w:val="none"/>
              </w:rPr>
            </w:pPr>
            <w:r>
              <w:rPr>
                <w:rFonts w:hint="eastAsia" w:ascii="宋体" w:hAnsi="宋体" w:cs="宋体"/>
                <w:color w:val="auto"/>
                <w:sz w:val="24"/>
                <w:highlight w:val="none"/>
              </w:rPr>
              <w:t>投标文件按照招标文件要求签署、盖章。</w:t>
            </w:r>
          </w:p>
        </w:tc>
        <w:tc>
          <w:tcPr>
            <w:tcW w:w="2551" w:type="dxa"/>
            <w:vAlign w:val="center"/>
          </w:tcPr>
          <w:p w14:paraId="7FE7DAB5">
            <w:pPr>
              <w:rPr>
                <w:rFonts w:ascii="宋体" w:hAnsi="宋体" w:cs="宋体"/>
                <w:color w:val="auto"/>
                <w:sz w:val="24"/>
                <w:highlight w:val="none"/>
              </w:rPr>
            </w:pPr>
            <w:r>
              <w:rPr>
                <w:rFonts w:hint="eastAsia" w:ascii="宋体" w:hAnsi="宋体" w:cs="宋体"/>
                <w:color w:val="auto"/>
                <w:sz w:val="24"/>
                <w:highlight w:val="none"/>
              </w:rPr>
              <w:t>需要使用电子签名或者签字盖章的投标文件的组成部分</w:t>
            </w:r>
          </w:p>
        </w:tc>
        <w:tc>
          <w:tcPr>
            <w:tcW w:w="1418" w:type="dxa"/>
          </w:tcPr>
          <w:p w14:paraId="0A2C07A9">
            <w:pPr>
              <w:rPr>
                <w:rFonts w:ascii="宋体" w:hAnsi="宋体" w:cs="宋体"/>
                <w:color w:val="auto"/>
                <w:sz w:val="24"/>
                <w:highlight w:val="none"/>
              </w:rPr>
            </w:pPr>
          </w:p>
          <w:p w14:paraId="6E2A7AC1">
            <w:pPr>
              <w:rPr>
                <w:rFonts w:ascii="宋体" w:hAnsi="宋体" w:cs="宋体"/>
                <w:color w:val="auto"/>
                <w:sz w:val="24"/>
                <w:highlight w:val="none"/>
              </w:rPr>
            </w:pPr>
            <w:r>
              <w:rPr>
                <w:rFonts w:hint="eastAsia" w:ascii="宋体" w:hAnsi="宋体" w:cs="宋体"/>
                <w:color w:val="auto"/>
                <w:sz w:val="24"/>
                <w:highlight w:val="none"/>
              </w:rPr>
              <w:t>见投标文件</w:t>
            </w:r>
          </w:p>
          <w:p w14:paraId="73EA77B8">
            <w:pPr>
              <w:rPr>
                <w:rFonts w:ascii="宋体" w:hAnsi="宋体" w:cs="宋体"/>
                <w:color w:val="auto"/>
                <w:highlight w:val="none"/>
              </w:rPr>
            </w:pPr>
            <w:r>
              <w:rPr>
                <w:rFonts w:hint="eastAsia" w:ascii="宋体" w:hAnsi="宋体" w:cs="宋体"/>
                <w:color w:val="auto"/>
                <w:sz w:val="24"/>
                <w:highlight w:val="none"/>
              </w:rPr>
              <w:t>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r w14:paraId="0F5E9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50F2A752">
            <w:pPr>
              <w:jc w:val="center"/>
              <w:rPr>
                <w:rFonts w:ascii="宋体" w:hAnsi="宋体" w:cs="宋体"/>
                <w:color w:val="auto"/>
                <w:sz w:val="24"/>
                <w:highlight w:val="none"/>
              </w:rPr>
            </w:pPr>
            <w:r>
              <w:rPr>
                <w:rFonts w:hint="eastAsia" w:ascii="宋体" w:hAnsi="宋体" w:cs="宋体"/>
                <w:color w:val="auto"/>
                <w:sz w:val="24"/>
                <w:highlight w:val="none"/>
              </w:rPr>
              <w:t>2</w:t>
            </w:r>
          </w:p>
        </w:tc>
        <w:tc>
          <w:tcPr>
            <w:tcW w:w="4991" w:type="dxa"/>
          </w:tcPr>
          <w:p w14:paraId="29489411">
            <w:pPr>
              <w:spacing w:line="360" w:lineRule="auto"/>
              <w:rPr>
                <w:rFonts w:ascii="宋体" w:hAnsi="宋体" w:cs="宋体"/>
                <w:color w:val="auto"/>
                <w:sz w:val="24"/>
                <w:highlight w:val="none"/>
              </w:rPr>
            </w:pPr>
            <w:r>
              <w:rPr>
                <w:rFonts w:hint="eastAsia" w:ascii="宋体" w:hAnsi="宋体" w:cs="宋体"/>
                <w:color w:val="auto"/>
                <w:sz w:val="24"/>
                <w:highlight w:val="none"/>
              </w:rPr>
              <w:t>投标文件中承诺的投标有效期不少于招标文件中载明的投标有效期。</w:t>
            </w:r>
          </w:p>
        </w:tc>
        <w:tc>
          <w:tcPr>
            <w:tcW w:w="2551" w:type="dxa"/>
            <w:vAlign w:val="center"/>
          </w:tcPr>
          <w:p w14:paraId="07F11CBC">
            <w:pPr>
              <w:rPr>
                <w:rFonts w:ascii="宋体" w:hAnsi="宋体" w:cs="宋体"/>
                <w:color w:val="auto"/>
                <w:sz w:val="24"/>
                <w:highlight w:val="none"/>
              </w:rPr>
            </w:pPr>
            <w:r>
              <w:rPr>
                <w:rFonts w:hint="eastAsia" w:ascii="宋体" w:hAnsi="宋体" w:cs="宋体"/>
                <w:color w:val="auto"/>
                <w:sz w:val="24"/>
                <w:highlight w:val="none"/>
              </w:rPr>
              <w:t>投标函</w:t>
            </w:r>
          </w:p>
        </w:tc>
        <w:tc>
          <w:tcPr>
            <w:tcW w:w="1418" w:type="dxa"/>
          </w:tcPr>
          <w:p w14:paraId="21C82A77">
            <w:pPr>
              <w:rPr>
                <w:rFonts w:ascii="宋体" w:hAnsi="宋体" w:cs="宋体"/>
                <w:color w:val="auto"/>
                <w:highlight w:val="none"/>
              </w:rPr>
            </w:pPr>
            <w:r>
              <w:rPr>
                <w:rFonts w:hint="eastAsia" w:ascii="宋体" w:hAnsi="宋体" w:cs="宋体"/>
                <w:color w:val="auto"/>
                <w:sz w:val="24"/>
                <w:highlight w:val="none"/>
              </w:rPr>
              <w:t>见投标文件第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r w14:paraId="382AB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646" w:type="dxa"/>
            <w:vAlign w:val="center"/>
          </w:tcPr>
          <w:p w14:paraId="0CDF7BC6">
            <w:pPr>
              <w:jc w:val="center"/>
              <w:rPr>
                <w:rFonts w:ascii="宋体" w:hAnsi="宋体" w:cs="宋体"/>
                <w:color w:val="auto"/>
                <w:sz w:val="24"/>
                <w:highlight w:val="none"/>
              </w:rPr>
            </w:pPr>
            <w:r>
              <w:rPr>
                <w:rFonts w:hint="eastAsia" w:ascii="宋体" w:hAnsi="宋体" w:cs="宋体"/>
                <w:color w:val="auto"/>
                <w:sz w:val="24"/>
                <w:highlight w:val="none"/>
              </w:rPr>
              <w:t>3</w:t>
            </w:r>
          </w:p>
        </w:tc>
        <w:tc>
          <w:tcPr>
            <w:tcW w:w="4991" w:type="dxa"/>
          </w:tcPr>
          <w:p w14:paraId="74414922">
            <w:pPr>
              <w:spacing w:line="360" w:lineRule="auto"/>
              <w:rPr>
                <w:rFonts w:ascii="宋体" w:hAnsi="宋体" w:cs="宋体"/>
                <w:color w:val="auto"/>
                <w:sz w:val="24"/>
                <w:highlight w:val="none"/>
              </w:rPr>
            </w:pPr>
            <w:r>
              <w:rPr>
                <w:rFonts w:hint="eastAsia" w:ascii="宋体" w:hAnsi="宋体" w:cs="宋体"/>
                <w:color w:val="auto"/>
                <w:sz w:val="24"/>
                <w:highlight w:val="none"/>
              </w:rPr>
              <w:t>投标文件满足招标文件的其它实质性要求。</w:t>
            </w:r>
          </w:p>
        </w:tc>
        <w:tc>
          <w:tcPr>
            <w:tcW w:w="2551" w:type="dxa"/>
            <w:vAlign w:val="center"/>
          </w:tcPr>
          <w:p w14:paraId="22DBCE53">
            <w:pPr>
              <w:rPr>
                <w:rFonts w:ascii="宋体" w:hAnsi="宋体" w:cs="宋体"/>
                <w:color w:val="auto"/>
                <w:sz w:val="24"/>
                <w:highlight w:val="none"/>
              </w:rPr>
            </w:pPr>
            <w:r>
              <w:rPr>
                <w:rFonts w:hint="eastAsia" w:ascii="宋体" w:hAnsi="宋体" w:cs="宋体"/>
                <w:color w:val="auto"/>
                <w:kern w:val="0"/>
                <w:sz w:val="24"/>
                <w:highlight w:val="none"/>
              </w:rPr>
              <w:t>招标文件其它实质性要求相应的材料（“▲” 系指实质性要求条款，招标文件无其它实质性要求的，无需提供）</w:t>
            </w:r>
          </w:p>
        </w:tc>
        <w:tc>
          <w:tcPr>
            <w:tcW w:w="1418" w:type="dxa"/>
          </w:tcPr>
          <w:p w14:paraId="4F7D47B8">
            <w:pPr>
              <w:rPr>
                <w:rFonts w:ascii="宋体" w:hAnsi="宋体" w:cs="宋体"/>
                <w:color w:val="auto"/>
                <w:highlight w:val="none"/>
              </w:rPr>
            </w:pPr>
            <w:r>
              <w:rPr>
                <w:rFonts w:hint="eastAsia" w:ascii="宋体" w:hAnsi="宋体" w:cs="宋体"/>
                <w:color w:val="auto"/>
                <w:sz w:val="24"/>
                <w:highlight w:val="none"/>
              </w:rPr>
              <w:t>见投标文件第</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页</w:t>
            </w:r>
          </w:p>
        </w:tc>
      </w:tr>
    </w:tbl>
    <w:p w14:paraId="7FDF9C17">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76EA9586">
      <w:pPr>
        <w:jc w:val="center"/>
        <w:rPr>
          <w:rFonts w:ascii="宋体" w:hAnsi="宋体" w:cs="宋体"/>
          <w:b/>
          <w:color w:val="auto"/>
          <w:kern w:val="0"/>
          <w:sz w:val="32"/>
          <w:szCs w:val="32"/>
          <w:highlight w:val="none"/>
        </w:rPr>
      </w:pPr>
    </w:p>
    <w:p w14:paraId="38445C63">
      <w:pPr>
        <w:jc w:val="center"/>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 xml:space="preserve">            </w:t>
      </w:r>
    </w:p>
    <w:p w14:paraId="54D8DF8B">
      <w:pPr>
        <w:jc w:val="center"/>
        <w:rPr>
          <w:rFonts w:ascii="宋体" w:hAnsi="宋体" w:cs="宋体"/>
          <w:b/>
          <w:color w:val="auto"/>
          <w:kern w:val="0"/>
          <w:sz w:val="32"/>
          <w:szCs w:val="32"/>
          <w:highlight w:val="none"/>
        </w:rPr>
      </w:pPr>
    </w:p>
    <w:p w14:paraId="4E5CF992">
      <w:pPr>
        <w:jc w:val="center"/>
        <w:rPr>
          <w:rFonts w:ascii="宋体" w:hAnsi="宋体" w:cs="宋体"/>
          <w:b/>
          <w:color w:val="auto"/>
          <w:kern w:val="0"/>
          <w:sz w:val="32"/>
          <w:szCs w:val="32"/>
          <w:highlight w:val="none"/>
        </w:rPr>
      </w:pPr>
    </w:p>
    <w:p w14:paraId="3E5C4CC6">
      <w:pPr>
        <w:jc w:val="center"/>
        <w:rPr>
          <w:rFonts w:ascii="宋体" w:hAnsi="宋体" w:cs="宋体"/>
          <w:b/>
          <w:color w:val="auto"/>
          <w:kern w:val="0"/>
          <w:sz w:val="32"/>
          <w:szCs w:val="32"/>
          <w:highlight w:val="none"/>
        </w:rPr>
      </w:pPr>
    </w:p>
    <w:p w14:paraId="433E08C2">
      <w:pPr>
        <w:jc w:val="center"/>
        <w:rPr>
          <w:rFonts w:ascii="宋体" w:hAnsi="宋体" w:cs="宋体"/>
          <w:b/>
          <w:color w:val="auto"/>
          <w:kern w:val="0"/>
          <w:sz w:val="32"/>
          <w:szCs w:val="32"/>
          <w:highlight w:val="none"/>
        </w:rPr>
      </w:pPr>
    </w:p>
    <w:p w14:paraId="6628E6AD">
      <w:pPr>
        <w:jc w:val="center"/>
        <w:rPr>
          <w:rFonts w:ascii="宋体" w:hAnsi="宋体" w:cs="宋体"/>
          <w:b/>
          <w:color w:val="auto"/>
          <w:kern w:val="0"/>
          <w:sz w:val="32"/>
          <w:szCs w:val="32"/>
          <w:highlight w:val="none"/>
        </w:rPr>
      </w:pPr>
    </w:p>
    <w:p w14:paraId="68A99DEC">
      <w:pPr>
        <w:jc w:val="center"/>
        <w:rPr>
          <w:rFonts w:ascii="宋体" w:hAnsi="宋体" w:cs="宋体"/>
          <w:b/>
          <w:color w:val="auto"/>
          <w:kern w:val="0"/>
          <w:sz w:val="32"/>
          <w:szCs w:val="32"/>
          <w:highlight w:val="none"/>
        </w:rPr>
      </w:pPr>
    </w:p>
    <w:p w14:paraId="332668D2">
      <w:pPr>
        <w:jc w:val="center"/>
        <w:rPr>
          <w:rFonts w:ascii="宋体" w:hAnsi="宋体" w:cs="宋体"/>
          <w:b/>
          <w:color w:val="auto"/>
          <w:kern w:val="0"/>
          <w:sz w:val="32"/>
          <w:szCs w:val="32"/>
          <w:highlight w:val="none"/>
        </w:rPr>
      </w:pPr>
    </w:p>
    <w:p w14:paraId="3B37D90D">
      <w:pPr>
        <w:jc w:val="center"/>
        <w:rPr>
          <w:rFonts w:ascii="宋体" w:hAnsi="宋体" w:cs="宋体"/>
          <w:b/>
          <w:color w:val="auto"/>
          <w:kern w:val="0"/>
          <w:sz w:val="32"/>
          <w:szCs w:val="32"/>
          <w:highlight w:val="none"/>
        </w:rPr>
      </w:pPr>
    </w:p>
    <w:p w14:paraId="1196D236">
      <w:pPr>
        <w:jc w:val="center"/>
        <w:rPr>
          <w:rFonts w:ascii="宋体" w:hAnsi="宋体" w:cs="宋体"/>
          <w:b/>
          <w:color w:val="auto"/>
          <w:kern w:val="0"/>
          <w:sz w:val="32"/>
          <w:szCs w:val="32"/>
          <w:highlight w:val="none"/>
        </w:rPr>
      </w:pPr>
    </w:p>
    <w:p w14:paraId="37F4BCDF">
      <w:pPr>
        <w:jc w:val="center"/>
        <w:rPr>
          <w:rFonts w:ascii="宋体" w:hAnsi="宋体" w:cs="宋体"/>
          <w:b/>
          <w:color w:val="auto"/>
          <w:kern w:val="0"/>
          <w:sz w:val="32"/>
          <w:szCs w:val="32"/>
          <w:highlight w:val="none"/>
        </w:rPr>
      </w:pPr>
    </w:p>
    <w:p w14:paraId="7CADA795">
      <w:pPr>
        <w:jc w:val="center"/>
        <w:rPr>
          <w:rFonts w:ascii="宋体" w:hAnsi="宋体" w:cs="宋体"/>
          <w:b/>
          <w:color w:val="auto"/>
          <w:kern w:val="0"/>
          <w:sz w:val="32"/>
          <w:szCs w:val="32"/>
          <w:highlight w:val="none"/>
        </w:rPr>
      </w:pPr>
    </w:p>
    <w:p w14:paraId="1CA31089">
      <w:pPr>
        <w:jc w:val="center"/>
        <w:rPr>
          <w:rFonts w:ascii="宋体" w:hAnsi="宋体" w:cs="宋体"/>
          <w:b/>
          <w:color w:val="auto"/>
          <w:kern w:val="0"/>
          <w:sz w:val="32"/>
          <w:szCs w:val="32"/>
          <w:highlight w:val="none"/>
        </w:rPr>
      </w:pPr>
    </w:p>
    <w:p w14:paraId="729002E1">
      <w:pPr>
        <w:jc w:val="center"/>
        <w:rPr>
          <w:rFonts w:ascii="宋体" w:hAnsi="宋体" w:cs="宋体"/>
          <w:color w:val="auto"/>
          <w:highlight w:val="none"/>
        </w:rPr>
      </w:pPr>
      <w:r>
        <w:rPr>
          <w:rFonts w:hint="eastAsia" w:ascii="宋体" w:hAnsi="宋体" w:cs="宋体"/>
          <w:b/>
          <w:color w:val="auto"/>
          <w:kern w:val="0"/>
          <w:sz w:val="32"/>
          <w:szCs w:val="32"/>
          <w:highlight w:val="none"/>
        </w:rPr>
        <w:t>五、评标标准相应的商务技术资料</w:t>
      </w:r>
    </w:p>
    <w:p w14:paraId="4279F193">
      <w:pPr>
        <w:snapToGrid w:val="0"/>
        <w:spacing w:line="360" w:lineRule="auto"/>
        <w:jc w:val="left"/>
        <w:rPr>
          <w:rFonts w:ascii="宋体" w:hAnsi="宋体" w:cs="宋体"/>
          <w:b/>
          <w:color w:val="auto"/>
          <w:sz w:val="24"/>
          <w:highlight w:val="none"/>
        </w:rPr>
      </w:pPr>
      <w:r>
        <w:rPr>
          <w:rFonts w:hint="eastAsia" w:ascii="宋体" w:hAnsi="宋体" w:cs="宋体"/>
          <w:b/>
          <w:color w:val="auto"/>
          <w:sz w:val="24"/>
          <w:highlight w:val="none"/>
        </w:rPr>
        <w:t>（按招标文件第四部分评标办法前附表中“投标文件中评标标准相应的商务技术资料目录”提供资料。）</w:t>
      </w:r>
    </w:p>
    <w:p w14:paraId="0E091AC5">
      <w:pPr>
        <w:jc w:val="center"/>
        <w:rPr>
          <w:rFonts w:ascii="宋体" w:hAnsi="宋体" w:cs="宋体"/>
          <w:b/>
          <w:color w:val="auto"/>
          <w:kern w:val="0"/>
          <w:sz w:val="32"/>
          <w:szCs w:val="32"/>
          <w:highlight w:val="none"/>
        </w:rPr>
      </w:pPr>
    </w:p>
    <w:p w14:paraId="52A0F700">
      <w:pPr>
        <w:jc w:val="center"/>
        <w:rPr>
          <w:rFonts w:ascii="宋体" w:hAnsi="宋体" w:cs="宋体"/>
          <w:b/>
          <w:color w:val="auto"/>
          <w:kern w:val="0"/>
          <w:sz w:val="32"/>
          <w:szCs w:val="32"/>
          <w:highlight w:val="none"/>
        </w:rPr>
      </w:pPr>
    </w:p>
    <w:p w14:paraId="3F59EF4F">
      <w:pPr>
        <w:jc w:val="center"/>
        <w:rPr>
          <w:rFonts w:ascii="宋体" w:hAnsi="宋体" w:cs="宋体"/>
          <w:b/>
          <w:color w:val="auto"/>
          <w:kern w:val="0"/>
          <w:sz w:val="32"/>
          <w:szCs w:val="32"/>
          <w:highlight w:val="none"/>
        </w:rPr>
      </w:pPr>
    </w:p>
    <w:p w14:paraId="4D9BC3F3">
      <w:pPr>
        <w:ind w:firstLine="2891" w:firstLineChars="900"/>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六、投标标的清单</w:t>
      </w:r>
    </w:p>
    <w:tbl>
      <w:tblPr>
        <w:tblStyle w:val="63"/>
        <w:tblW w:w="97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369"/>
        <w:gridCol w:w="1114"/>
        <w:gridCol w:w="1260"/>
        <w:gridCol w:w="2775"/>
        <w:gridCol w:w="930"/>
        <w:gridCol w:w="1526"/>
      </w:tblGrid>
      <w:tr w14:paraId="35B6D0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43169082">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1369" w:type="dxa"/>
            <w:tcBorders>
              <w:top w:val="single" w:color="auto" w:sz="4" w:space="0"/>
              <w:left w:val="single" w:color="auto" w:sz="4" w:space="0"/>
              <w:bottom w:val="single" w:color="auto" w:sz="4" w:space="0"/>
              <w:right w:val="single" w:color="auto" w:sz="4" w:space="0"/>
            </w:tcBorders>
            <w:vAlign w:val="center"/>
          </w:tcPr>
          <w:p w14:paraId="1B63F8E8">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名称</w:t>
            </w:r>
          </w:p>
        </w:tc>
        <w:tc>
          <w:tcPr>
            <w:tcW w:w="1114" w:type="dxa"/>
            <w:tcBorders>
              <w:top w:val="single" w:color="auto" w:sz="4" w:space="0"/>
              <w:left w:val="single" w:color="auto" w:sz="4" w:space="0"/>
              <w:bottom w:val="single" w:color="auto" w:sz="4" w:space="0"/>
              <w:right w:val="single" w:color="auto" w:sz="4" w:space="0"/>
            </w:tcBorders>
          </w:tcPr>
          <w:p w14:paraId="05ECB7C7">
            <w:pPr>
              <w:spacing w:line="360" w:lineRule="auto"/>
              <w:jc w:val="center"/>
              <w:rPr>
                <w:rFonts w:ascii="宋体" w:hAnsi="宋体" w:cs="宋体"/>
                <w:b/>
                <w:color w:val="auto"/>
                <w:sz w:val="24"/>
                <w:highlight w:val="none"/>
              </w:rPr>
            </w:pPr>
          </w:p>
          <w:p w14:paraId="705C4493">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服务范围</w:t>
            </w:r>
          </w:p>
        </w:tc>
        <w:tc>
          <w:tcPr>
            <w:tcW w:w="1260" w:type="dxa"/>
            <w:tcBorders>
              <w:top w:val="single" w:color="auto" w:sz="4" w:space="0"/>
              <w:left w:val="single" w:color="auto" w:sz="4" w:space="0"/>
              <w:bottom w:val="single" w:color="auto" w:sz="4" w:space="0"/>
              <w:right w:val="single" w:color="auto" w:sz="4" w:space="0"/>
            </w:tcBorders>
            <w:vAlign w:val="center"/>
          </w:tcPr>
          <w:p w14:paraId="2F5F5017">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服务要求</w:t>
            </w:r>
          </w:p>
        </w:tc>
        <w:tc>
          <w:tcPr>
            <w:tcW w:w="2775" w:type="dxa"/>
            <w:tcBorders>
              <w:top w:val="single" w:color="auto" w:sz="4" w:space="0"/>
              <w:left w:val="single" w:color="auto" w:sz="4" w:space="0"/>
              <w:bottom w:val="single" w:color="auto" w:sz="4" w:space="0"/>
              <w:right w:val="single" w:color="auto" w:sz="4" w:space="0"/>
            </w:tcBorders>
            <w:vAlign w:val="center"/>
          </w:tcPr>
          <w:p w14:paraId="56C83D58">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服务时间</w:t>
            </w:r>
          </w:p>
        </w:tc>
        <w:tc>
          <w:tcPr>
            <w:tcW w:w="930" w:type="dxa"/>
            <w:tcBorders>
              <w:top w:val="single" w:color="auto" w:sz="4" w:space="0"/>
              <w:left w:val="single" w:color="auto" w:sz="4" w:space="0"/>
              <w:bottom w:val="single" w:color="auto" w:sz="4" w:space="0"/>
              <w:right w:val="single" w:color="auto" w:sz="4" w:space="0"/>
            </w:tcBorders>
            <w:vAlign w:val="center"/>
          </w:tcPr>
          <w:p w14:paraId="253A2D1A">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服务标准</w:t>
            </w:r>
          </w:p>
        </w:tc>
        <w:tc>
          <w:tcPr>
            <w:tcW w:w="1526" w:type="dxa"/>
            <w:tcBorders>
              <w:top w:val="single" w:color="auto" w:sz="4" w:space="0"/>
              <w:left w:val="single" w:color="auto" w:sz="4" w:space="0"/>
              <w:bottom w:val="single" w:color="auto" w:sz="4" w:space="0"/>
              <w:right w:val="single" w:color="auto" w:sz="4" w:space="0"/>
            </w:tcBorders>
            <w:vAlign w:val="center"/>
          </w:tcPr>
          <w:p w14:paraId="01D66480">
            <w:pPr>
              <w:spacing w:line="360" w:lineRule="auto"/>
              <w:jc w:val="center"/>
              <w:rPr>
                <w:rFonts w:ascii="宋体" w:hAnsi="宋体" w:cs="宋体"/>
                <w:b/>
                <w:color w:val="auto"/>
                <w:sz w:val="24"/>
                <w:highlight w:val="none"/>
              </w:rPr>
            </w:pPr>
          </w:p>
          <w:p w14:paraId="3B375007">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备注（如果有）</w:t>
            </w:r>
          </w:p>
          <w:p w14:paraId="412DA99F">
            <w:pPr>
              <w:spacing w:line="360" w:lineRule="auto"/>
              <w:jc w:val="center"/>
              <w:rPr>
                <w:rFonts w:ascii="宋体" w:hAnsi="宋体" w:cs="宋体"/>
                <w:b/>
                <w:color w:val="auto"/>
                <w:sz w:val="24"/>
                <w:highlight w:val="none"/>
              </w:rPr>
            </w:pPr>
          </w:p>
        </w:tc>
      </w:tr>
      <w:tr w14:paraId="1482B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13B2EF9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1369" w:type="dxa"/>
            <w:tcBorders>
              <w:top w:val="single" w:color="auto" w:sz="4" w:space="0"/>
              <w:left w:val="single" w:color="auto" w:sz="4" w:space="0"/>
              <w:bottom w:val="single" w:color="auto" w:sz="4" w:space="0"/>
              <w:right w:val="single" w:color="auto" w:sz="4" w:space="0"/>
            </w:tcBorders>
            <w:vAlign w:val="center"/>
          </w:tcPr>
          <w:p w14:paraId="5E6D6F68">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14:paraId="48C9634C">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3C8A7C29">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14:paraId="0164CA0D">
            <w:pPr>
              <w:spacing w:line="360" w:lineRule="auto"/>
              <w:jc w:val="center"/>
              <w:rPr>
                <w:rFonts w:ascii="宋体" w:hAnsi="宋体" w:cs="宋体"/>
                <w:color w:val="auto"/>
                <w:sz w:val="24"/>
                <w:highlight w:val="none"/>
              </w:rPr>
            </w:pPr>
          </w:p>
        </w:tc>
        <w:tc>
          <w:tcPr>
            <w:tcW w:w="930" w:type="dxa"/>
            <w:tcBorders>
              <w:top w:val="single" w:color="auto" w:sz="4" w:space="0"/>
              <w:left w:val="single" w:color="auto" w:sz="4" w:space="0"/>
              <w:bottom w:val="single" w:color="auto" w:sz="4" w:space="0"/>
              <w:right w:val="single" w:color="auto" w:sz="4" w:space="0"/>
            </w:tcBorders>
            <w:vAlign w:val="center"/>
          </w:tcPr>
          <w:p w14:paraId="58AD7D3E">
            <w:pPr>
              <w:spacing w:line="360" w:lineRule="auto"/>
              <w:jc w:val="center"/>
              <w:rPr>
                <w:rFonts w:ascii="宋体" w:hAnsi="宋体" w:cs="宋体"/>
                <w:color w:val="auto"/>
                <w:sz w:val="24"/>
                <w:highlight w:val="none"/>
              </w:rPr>
            </w:pPr>
          </w:p>
        </w:tc>
        <w:tc>
          <w:tcPr>
            <w:tcW w:w="1526" w:type="dxa"/>
            <w:tcBorders>
              <w:top w:val="single" w:color="auto" w:sz="4" w:space="0"/>
              <w:left w:val="single" w:color="auto" w:sz="4" w:space="0"/>
              <w:bottom w:val="single" w:color="auto" w:sz="4" w:space="0"/>
              <w:right w:val="single" w:color="auto" w:sz="4" w:space="0"/>
            </w:tcBorders>
            <w:vAlign w:val="center"/>
          </w:tcPr>
          <w:p w14:paraId="3B1A0B27">
            <w:pPr>
              <w:spacing w:line="360" w:lineRule="auto"/>
              <w:jc w:val="center"/>
              <w:rPr>
                <w:rFonts w:ascii="宋体" w:hAnsi="宋体" w:cs="宋体"/>
                <w:color w:val="auto"/>
                <w:sz w:val="24"/>
                <w:highlight w:val="none"/>
              </w:rPr>
            </w:pPr>
          </w:p>
        </w:tc>
      </w:tr>
      <w:tr w14:paraId="3F0F91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111487C9">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1369" w:type="dxa"/>
            <w:tcBorders>
              <w:top w:val="single" w:color="auto" w:sz="4" w:space="0"/>
              <w:left w:val="single" w:color="auto" w:sz="4" w:space="0"/>
              <w:bottom w:val="single" w:color="auto" w:sz="4" w:space="0"/>
              <w:right w:val="single" w:color="auto" w:sz="4" w:space="0"/>
            </w:tcBorders>
            <w:vAlign w:val="center"/>
          </w:tcPr>
          <w:p w14:paraId="164DFDB6">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14:paraId="4CB3341B">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098F79FC">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14:paraId="39EB02BC">
            <w:pPr>
              <w:spacing w:line="360" w:lineRule="auto"/>
              <w:jc w:val="center"/>
              <w:rPr>
                <w:rFonts w:ascii="宋体" w:hAnsi="宋体" w:cs="宋体"/>
                <w:color w:val="auto"/>
                <w:sz w:val="24"/>
                <w:highlight w:val="none"/>
              </w:rPr>
            </w:pPr>
          </w:p>
        </w:tc>
        <w:tc>
          <w:tcPr>
            <w:tcW w:w="930" w:type="dxa"/>
            <w:tcBorders>
              <w:top w:val="single" w:color="auto" w:sz="4" w:space="0"/>
              <w:left w:val="single" w:color="auto" w:sz="4" w:space="0"/>
              <w:bottom w:val="single" w:color="auto" w:sz="4" w:space="0"/>
              <w:right w:val="single" w:color="auto" w:sz="4" w:space="0"/>
            </w:tcBorders>
            <w:vAlign w:val="center"/>
          </w:tcPr>
          <w:p w14:paraId="59798D68">
            <w:pPr>
              <w:spacing w:line="360" w:lineRule="auto"/>
              <w:jc w:val="center"/>
              <w:rPr>
                <w:rFonts w:ascii="宋体" w:hAnsi="宋体" w:cs="宋体"/>
                <w:color w:val="auto"/>
                <w:sz w:val="24"/>
                <w:highlight w:val="none"/>
              </w:rPr>
            </w:pPr>
          </w:p>
        </w:tc>
        <w:tc>
          <w:tcPr>
            <w:tcW w:w="1526" w:type="dxa"/>
            <w:tcBorders>
              <w:top w:val="single" w:color="auto" w:sz="4" w:space="0"/>
              <w:left w:val="single" w:color="auto" w:sz="4" w:space="0"/>
              <w:bottom w:val="single" w:color="auto" w:sz="4" w:space="0"/>
              <w:right w:val="single" w:color="auto" w:sz="4" w:space="0"/>
            </w:tcBorders>
            <w:vAlign w:val="center"/>
          </w:tcPr>
          <w:p w14:paraId="5661BF03">
            <w:pPr>
              <w:spacing w:line="360" w:lineRule="auto"/>
              <w:jc w:val="center"/>
              <w:rPr>
                <w:rFonts w:ascii="宋体" w:hAnsi="宋体" w:cs="宋体"/>
                <w:color w:val="auto"/>
                <w:sz w:val="24"/>
                <w:highlight w:val="none"/>
              </w:rPr>
            </w:pPr>
          </w:p>
        </w:tc>
      </w:tr>
      <w:tr w14:paraId="33505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737" w:type="dxa"/>
            <w:tcBorders>
              <w:top w:val="single" w:color="auto" w:sz="4" w:space="0"/>
              <w:left w:val="single" w:color="auto" w:sz="4" w:space="0"/>
              <w:bottom w:val="single" w:color="auto" w:sz="4" w:space="0"/>
              <w:right w:val="single" w:color="auto" w:sz="4" w:space="0"/>
            </w:tcBorders>
            <w:vAlign w:val="center"/>
          </w:tcPr>
          <w:p w14:paraId="26A3D21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1369" w:type="dxa"/>
            <w:tcBorders>
              <w:top w:val="single" w:color="auto" w:sz="4" w:space="0"/>
              <w:left w:val="single" w:color="auto" w:sz="4" w:space="0"/>
              <w:bottom w:val="single" w:color="auto" w:sz="4" w:space="0"/>
              <w:right w:val="single" w:color="auto" w:sz="4" w:space="0"/>
            </w:tcBorders>
            <w:vAlign w:val="center"/>
          </w:tcPr>
          <w:p w14:paraId="0CD0DBBE">
            <w:pPr>
              <w:snapToGrid w:val="0"/>
              <w:spacing w:line="360" w:lineRule="auto"/>
              <w:jc w:val="center"/>
              <w:rPr>
                <w:rFonts w:ascii="宋体" w:hAnsi="宋体" w:cs="宋体"/>
                <w:color w:val="auto"/>
                <w:sz w:val="24"/>
                <w:highlight w:val="none"/>
              </w:rPr>
            </w:pPr>
          </w:p>
        </w:tc>
        <w:tc>
          <w:tcPr>
            <w:tcW w:w="1114" w:type="dxa"/>
            <w:tcBorders>
              <w:top w:val="single" w:color="auto" w:sz="4" w:space="0"/>
              <w:left w:val="single" w:color="auto" w:sz="4" w:space="0"/>
              <w:bottom w:val="single" w:color="auto" w:sz="4" w:space="0"/>
              <w:right w:val="single" w:color="auto" w:sz="4" w:space="0"/>
            </w:tcBorders>
            <w:vAlign w:val="center"/>
          </w:tcPr>
          <w:p w14:paraId="475FFC21">
            <w:pPr>
              <w:snapToGrid w:val="0"/>
              <w:spacing w:line="360" w:lineRule="auto"/>
              <w:jc w:val="center"/>
              <w:rPr>
                <w:rFonts w:ascii="宋体" w:hAnsi="宋体" w:cs="宋体"/>
                <w:color w:val="auto"/>
                <w:sz w:val="24"/>
                <w:highlight w:val="none"/>
              </w:rPr>
            </w:pPr>
          </w:p>
        </w:tc>
        <w:tc>
          <w:tcPr>
            <w:tcW w:w="1260" w:type="dxa"/>
            <w:tcBorders>
              <w:top w:val="single" w:color="auto" w:sz="4" w:space="0"/>
              <w:left w:val="single" w:color="auto" w:sz="4" w:space="0"/>
              <w:bottom w:val="single" w:color="auto" w:sz="4" w:space="0"/>
              <w:right w:val="single" w:color="auto" w:sz="4" w:space="0"/>
            </w:tcBorders>
            <w:vAlign w:val="center"/>
          </w:tcPr>
          <w:p w14:paraId="794A6944">
            <w:pPr>
              <w:snapToGrid w:val="0"/>
              <w:spacing w:line="360" w:lineRule="auto"/>
              <w:jc w:val="center"/>
              <w:rPr>
                <w:rFonts w:ascii="宋体" w:hAnsi="宋体" w:cs="宋体"/>
                <w:color w:val="auto"/>
                <w:sz w:val="24"/>
                <w:highlight w:val="none"/>
              </w:rPr>
            </w:pPr>
          </w:p>
        </w:tc>
        <w:tc>
          <w:tcPr>
            <w:tcW w:w="2775" w:type="dxa"/>
            <w:tcBorders>
              <w:top w:val="single" w:color="auto" w:sz="4" w:space="0"/>
              <w:left w:val="single" w:color="auto" w:sz="4" w:space="0"/>
              <w:bottom w:val="single" w:color="auto" w:sz="4" w:space="0"/>
              <w:right w:val="single" w:color="auto" w:sz="4" w:space="0"/>
            </w:tcBorders>
            <w:vAlign w:val="center"/>
          </w:tcPr>
          <w:p w14:paraId="4B42B9C2">
            <w:pPr>
              <w:spacing w:line="360" w:lineRule="auto"/>
              <w:jc w:val="center"/>
              <w:rPr>
                <w:rFonts w:ascii="宋体" w:hAnsi="宋体" w:cs="宋体"/>
                <w:color w:val="auto"/>
                <w:sz w:val="24"/>
                <w:highlight w:val="none"/>
              </w:rPr>
            </w:pPr>
          </w:p>
        </w:tc>
        <w:tc>
          <w:tcPr>
            <w:tcW w:w="930" w:type="dxa"/>
            <w:tcBorders>
              <w:top w:val="single" w:color="auto" w:sz="4" w:space="0"/>
              <w:left w:val="single" w:color="auto" w:sz="4" w:space="0"/>
              <w:bottom w:val="single" w:color="auto" w:sz="4" w:space="0"/>
              <w:right w:val="single" w:color="auto" w:sz="4" w:space="0"/>
            </w:tcBorders>
            <w:vAlign w:val="center"/>
          </w:tcPr>
          <w:p w14:paraId="0D83DD70">
            <w:pPr>
              <w:spacing w:line="360" w:lineRule="auto"/>
              <w:jc w:val="center"/>
              <w:rPr>
                <w:rFonts w:ascii="宋体" w:hAnsi="宋体" w:cs="宋体"/>
                <w:color w:val="auto"/>
                <w:sz w:val="24"/>
                <w:highlight w:val="none"/>
              </w:rPr>
            </w:pPr>
          </w:p>
        </w:tc>
        <w:tc>
          <w:tcPr>
            <w:tcW w:w="1526" w:type="dxa"/>
            <w:tcBorders>
              <w:top w:val="single" w:color="auto" w:sz="4" w:space="0"/>
              <w:left w:val="single" w:color="auto" w:sz="4" w:space="0"/>
              <w:bottom w:val="single" w:color="auto" w:sz="4" w:space="0"/>
              <w:right w:val="single" w:color="auto" w:sz="4" w:space="0"/>
            </w:tcBorders>
            <w:vAlign w:val="center"/>
          </w:tcPr>
          <w:p w14:paraId="3307754F">
            <w:pPr>
              <w:spacing w:line="360" w:lineRule="auto"/>
              <w:jc w:val="center"/>
              <w:rPr>
                <w:rFonts w:ascii="宋体" w:hAnsi="宋体" w:cs="宋体"/>
                <w:color w:val="auto"/>
                <w:sz w:val="24"/>
                <w:highlight w:val="none"/>
              </w:rPr>
            </w:pPr>
          </w:p>
        </w:tc>
      </w:tr>
    </w:tbl>
    <w:p w14:paraId="4C67BD96">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1DB55C78">
      <w:pPr>
        <w:jc w:val="center"/>
        <w:rPr>
          <w:rFonts w:ascii="宋体" w:hAnsi="宋体" w:cs="宋体"/>
          <w:b/>
          <w:color w:val="auto"/>
          <w:kern w:val="0"/>
          <w:sz w:val="32"/>
          <w:szCs w:val="32"/>
          <w:highlight w:val="none"/>
        </w:rPr>
      </w:pPr>
    </w:p>
    <w:p w14:paraId="756CC52B">
      <w:pPr>
        <w:jc w:val="center"/>
        <w:rPr>
          <w:rFonts w:ascii="宋体" w:hAnsi="宋体" w:cs="宋体"/>
          <w:b/>
          <w:color w:val="auto"/>
          <w:kern w:val="0"/>
          <w:sz w:val="32"/>
          <w:szCs w:val="32"/>
          <w:highlight w:val="none"/>
        </w:rPr>
      </w:pPr>
    </w:p>
    <w:p w14:paraId="24675415">
      <w:pPr>
        <w:jc w:val="center"/>
        <w:rPr>
          <w:rFonts w:ascii="宋体" w:hAnsi="宋体" w:cs="宋体"/>
          <w:b/>
          <w:color w:val="auto"/>
          <w:kern w:val="0"/>
          <w:sz w:val="32"/>
          <w:szCs w:val="32"/>
          <w:highlight w:val="none"/>
        </w:rPr>
      </w:pPr>
    </w:p>
    <w:p w14:paraId="58CF5CE9">
      <w:pPr>
        <w:jc w:val="center"/>
        <w:rPr>
          <w:color w:val="auto"/>
          <w:highlight w:val="none"/>
        </w:rPr>
      </w:pPr>
      <w:r>
        <w:rPr>
          <w:rFonts w:hint="eastAsia" w:ascii="宋体" w:hAnsi="宋体" w:cs="宋体"/>
          <w:b/>
          <w:color w:val="auto"/>
          <w:kern w:val="0"/>
          <w:sz w:val="32"/>
          <w:szCs w:val="32"/>
          <w:highlight w:val="none"/>
        </w:rPr>
        <w:t>七、商务技术偏离表</w:t>
      </w:r>
    </w:p>
    <w:p w14:paraId="25DE7C1B">
      <w:pPr>
        <w:snapToGrid w:val="0"/>
        <w:spacing w:line="400" w:lineRule="exact"/>
        <w:ind w:firstLine="480" w:firstLineChars="200"/>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项目名称:</w:t>
      </w:r>
    </w:p>
    <w:p w14:paraId="7ED4951A">
      <w:pPr>
        <w:snapToGrid w:val="0"/>
        <w:spacing w:line="400" w:lineRule="exact"/>
        <w:ind w:firstLine="480" w:firstLineChars="2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项目编号:   </w:t>
      </w:r>
    </w:p>
    <w:p w14:paraId="59525019">
      <w:pPr>
        <w:autoSpaceDE w:val="0"/>
        <w:autoSpaceDN w:val="0"/>
        <w:snapToGrid w:val="0"/>
        <w:spacing w:after="120" w:line="400" w:lineRule="exact"/>
        <w:ind w:firstLine="480" w:firstLineChars="200"/>
        <w:jc w:val="left"/>
        <w:rPr>
          <w:rFonts w:hint="eastAsia" w:cs="仿宋_GB2312" w:asciiTheme="minorEastAsia" w:hAnsiTheme="minorEastAsia" w:eastAsiaTheme="minorEastAsia"/>
          <w:color w:val="auto"/>
          <w:kern w:val="0"/>
          <w:sz w:val="24"/>
          <w:highlight w:val="none"/>
          <w:lang w:eastAsia="zh-CN"/>
        </w:rPr>
      </w:pPr>
      <w:r>
        <w:rPr>
          <w:rFonts w:hint="eastAsia" w:cs="仿宋_GB2312" w:asciiTheme="minorEastAsia" w:hAnsiTheme="minorEastAsia" w:eastAsiaTheme="minorEastAsia"/>
          <w:color w:val="auto"/>
          <w:kern w:val="0"/>
          <w:sz w:val="24"/>
          <w:highlight w:val="none"/>
          <w:lang w:eastAsia="zh-CN"/>
        </w:rPr>
        <w:t>标项号：</w:t>
      </w:r>
    </w:p>
    <w:tbl>
      <w:tblPr>
        <w:tblStyle w:val="63"/>
        <w:tblW w:w="0" w:type="auto"/>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06"/>
        <w:gridCol w:w="2809"/>
        <w:gridCol w:w="2945"/>
        <w:gridCol w:w="1464"/>
        <w:gridCol w:w="1361"/>
      </w:tblGrid>
      <w:tr w14:paraId="08C105E8">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4" w:space="0"/>
              <w:left w:val="single" w:color="auto" w:sz="4" w:space="0"/>
              <w:bottom w:val="single" w:color="auto" w:sz="6" w:space="0"/>
              <w:right w:val="single" w:color="auto" w:sz="6" w:space="0"/>
            </w:tcBorders>
            <w:vAlign w:val="center"/>
          </w:tcPr>
          <w:p w14:paraId="6C37039A">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 xml:space="preserve">                     序号</w:t>
            </w:r>
          </w:p>
        </w:tc>
        <w:tc>
          <w:tcPr>
            <w:tcW w:w="2809" w:type="dxa"/>
            <w:tcBorders>
              <w:top w:val="single" w:color="auto" w:sz="4" w:space="0"/>
              <w:left w:val="single" w:color="auto" w:sz="6" w:space="0"/>
              <w:bottom w:val="single" w:color="auto" w:sz="6" w:space="0"/>
              <w:right w:val="single" w:color="auto" w:sz="6" w:space="0"/>
            </w:tcBorders>
            <w:vAlign w:val="center"/>
          </w:tcPr>
          <w:p w14:paraId="58866157">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招标文件要求</w:t>
            </w:r>
          </w:p>
        </w:tc>
        <w:tc>
          <w:tcPr>
            <w:tcW w:w="2945" w:type="dxa"/>
            <w:tcBorders>
              <w:top w:val="single" w:color="auto" w:sz="4" w:space="0"/>
              <w:left w:val="single" w:color="auto" w:sz="6" w:space="0"/>
              <w:bottom w:val="single" w:color="auto" w:sz="6" w:space="0"/>
              <w:right w:val="single" w:color="auto" w:sz="6" w:space="0"/>
            </w:tcBorders>
            <w:vAlign w:val="center"/>
          </w:tcPr>
          <w:p w14:paraId="02653952">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投标文件具体响应</w:t>
            </w:r>
          </w:p>
        </w:tc>
        <w:tc>
          <w:tcPr>
            <w:tcW w:w="1464" w:type="dxa"/>
            <w:tcBorders>
              <w:top w:val="single" w:color="auto" w:sz="4" w:space="0"/>
              <w:left w:val="single" w:color="auto" w:sz="6" w:space="0"/>
              <w:bottom w:val="single" w:color="auto" w:sz="6" w:space="0"/>
              <w:right w:val="single" w:color="auto" w:sz="6" w:space="0"/>
            </w:tcBorders>
            <w:vAlign w:val="center"/>
          </w:tcPr>
          <w:p w14:paraId="45DC8298">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正偏离/无偏离/负偏离</w:t>
            </w:r>
          </w:p>
        </w:tc>
        <w:tc>
          <w:tcPr>
            <w:tcW w:w="1361" w:type="dxa"/>
            <w:tcBorders>
              <w:top w:val="single" w:color="auto" w:sz="4" w:space="0"/>
              <w:left w:val="single" w:color="auto" w:sz="6" w:space="0"/>
              <w:bottom w:val="single" w:color="auto" w:sz="6" w:space="0"/>
              <w:right w:val="single" w:color="auto" w:sz="4" w:space="0"/>
            </w:tcBorders>
            <w:vAlign w:val="center"/>
          </w:tcPr>
          <w:p w14:paraId="06D8A58C">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说明</w:t>
            </w:r>
          </w:p>
        </w:tc>
      </w:tr>
      <w:tr w14:paraId="6F47A9A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5CD8D01B">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商务部分</w:t>
            </w:r>
          </w:p>
        </w:tc>
      </w:tr>
      <w:tr w14:paraId="7F1085D2">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20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60115475">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14:paraId="1092DD8F">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4C5718EE">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37AC334A">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634B4C41">
            <w:pPr>
              <w:snapToGrid w:val="0"/>
              <w:spacing w:line="400" w:lineRule="exact"/>
              <w:jc w:val="center"/>
              <w:rPr>
                <w:rFonts w:asciiTheme="minorEastAsia" w:hAnsiTheme="minorEastAsia" w:eastAsiaTheme="minorEastAsia"/>
                <w:color w:val="auto"/>
                <w:sz w:val="24"/>
                <w:highlight w:val="none"/>
              </w:rPr>
            </w:pPr>
          </w:p>
        </w:tc>
      </w:tr>
      <w:tr w14:paraId="5AE2453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1FF0DD0">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14:paraId="3D484454">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6308D1B6">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322D27C6">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0543D52A">
            <w:pPr>
              <w:snapToGrid w:val="0"/>
              <w:spacing w:line="400" w:lineRule="exact"/>
              <w:jc w:val="center"/>
              <w:rPr>
                <w:rFonts w:asciiTheme="minorEastAsia" w:hAnsiTheme="minorEastAsia" w:eastAsiaTheme="minorEastAsia"/>
                <w:color w:val="auto"/>
                <w:sz w:val="24"/>
                <w:highlight w:val="none"/>
              </w:rPr>
            </w:pPr>
          </w:p>
        </w:tc>
      </w:tr>
      <w:tr w14:paraId="4C5D92C0">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0A30AB6F">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14:paraId="028103BB">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6CCA159C">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35416BEA">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CFFD39B">
            <w:pPr>
              <w:snapToGrid w:val="0"/>
              <w:spacing w:line="400" w:lineRule="exact"/>
              <w:jc w:val="center"/>
              <w:rPr>
                <w:rFonts w:asciiTheme="minorEastAsia" w:hAnsiTheme="minorEastAsia" w:eastAsiaTheme="minorEastAsia"/>
                <w:color w:val="auto"/>
                <w:sz w:val="24"/>
                <w:highlight w:val="none"/>
              </w:rPr>
            </w:pPr>
          </w:p>
        </w:tc>
      </w:tr>
      <w:tr w14:paraId="7BD82B1C">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40507EC">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2809" w:type="dxa"/>
            <w:tcBorders>
              <w:top w:val="single" w:color="auto" w:sz="6" w:space="0"/>
              <w:left w:val="single" w:color="auto" w:sz="6" w:space="0"/>
              <w:bottom w:val="single" w:color="auto" w:sz="6" w:space="0"/>
              <w:right w:val="single" w:color="auto" w:sz="6" w:space="0"/>
            </w:tcBorders>
            <w:vAlign w:val="center"/>
          </w:tcPr>
          <w:p w14:paraId="3E13CA4A">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47447CC4">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06E29D0A">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2A91EDE5">
            <w:pPr>
              <w:snapToGrid w:val="0"/>
              <w:spacing w:line="400" w:lineRule="exact"/>
              <w:jc w:val="center"/>
              <w:rPr>
                <w:rFonts w:asciiTheme="minorEastAsia" w:hAnsiTheme="minorEastAsia" w:eastAsiaTheme="minorEastAsia"/>
                <w:color w:val="auto"/>
                <w:sz w:val="24"/>
                <w:highlight w:val="none"/>
              </w:rPr>
            </w:pPr>
          </w:p>
        </w:tc>
      </w:tr>
      <w:tr w14:paraId="78BF45F9">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9185" w:type="dxa"/>
            <w:gridSpan w:val="5"/>
            <w:tcBorders>
              <w:top w:val="single" w:color="auto" w:sz="6" w:space="0"/>
              <w:left w:val="single" w:color="auto" w:sz="4" w:space="0"/>
              <w:bottom w:val="single" w:color="auto" w:sz="6" w:space="0"/>
              <w:right w:val="single" w:color="auto" w:sz="4" w:space="0"/>
            </w:tcBorders>
            <w:vAlign w:val="center"/>
          </w:tcPr>
          <w:p w14:paraId="1BBECAF4">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技术（服务）部分</w:t>
            </w:r>
          </w:p>
        </w:tc>
      </w:tr>
      <w:tr w14:paraId="4CDEDB1B">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2D9EE046">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p>
        </w:tc>
        <w:tc>
          <w:tcPr>
            <w:tcW w:w="2809" w:type="dxa"/>
            <w:tcBorders>
              <w:top w:val="single" w:color="auto" w:sz="6" w:space="0"/>
              <w:left w:val="single" w:color="auto" w:sz="6" w:space="0"/>
              <w:bottom w:val="single" w:color="auto" w:sz="6" w:space="0"/>
              <w:right w:val="single" w:color="auto" w:sz="6" w:space="0"/>
            </w:tcBorders>
            <w:vAlign w:val="center"/>
          </w:tcPr>
          <w:p w14:paraId="0EAFEDE0">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204C9DF9">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5A79DB7E">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3A4B13B2">
            <w:pPr>
              <w:snapToGrid w:val="0"/>
              <w:spacing w:line="400" w:lineRule="exact"/>
              <w:jc w:val="center"/>
              <w:rPr>
                <w:rFonts w:asciiTheme="minorEastAsia" w:hAnsiTheme="minorEastAsia" w:eastAsiaTheme="minorEastAsia"/>
                <w:color w:val="auto"/>
                <w:sz w:val="24"/>
                <w:highlight w:val="none"/>
              </w:rPr>
            </w:pPr>
          </w:p>
        </w:tc>
      </w:tr>
      <w:tr w14:paraId="002916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14954FD0">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w:t>
            </w:r>
          </w:p>
        </w:tc>
        <w:tc>
          <w:tcPr>
            <w:tcW w:w="2809" w:type="dxa"/>
            <w:tcBorders>
              <w:top w:val="single" w:color="auto" w:sz="6" w:space="0"/>
              <w:left w:val="single" w:color="auto" w:sz="6" w:space="0"/>
              <w:bottom w:val="single" w:color="auto" w:sz="6" w:space="0"/>
              <w:right w:val="single" w:color="auto" w:sz="6" w:space="0"/>
            </w:tcBorders>
            <w:vAlign w:val="center"/>
          </w:tcPr>
          <w:p w14:paraId="7ACB09EA">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20B7770F">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30BCCB21">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6F886CCD">
            <w:pPr>
              <w:snapToGrid w:val="0"/>
              <w:spacing w:line="400" w:lineRule="exact"/>
              <w:jc w:val="center"/>
              <w:rPr>
                <w:rFonts w:asciiTheme="minorEastAsia" w:hAnsiTheme="minorEastAsia" w:eastAsiaTheme="minorEastAsia"/>
                <w:color w:val="auto"/>
                <w:sz w:val="24"/>
                <w:highlight w:val="none"/>
              </w:rPr>
            </w:pPr>
          </w:p>
        </w:tc>
      </w:tr>
      <w:tr w14:paraId="0D1D8CA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06" w:type="dxa"/>
            <w:tcBorders>
              <w:top w:val="single" w:color="auto" w:sz="6" w:space="0"/>
              <w:left w:val="single" w:color="auto" w:sz="4" w:space="0"/>
              <w:bottom w:val="single" w:color="auto" w:sz="6" w:space="0"/>
              <w:right w:val="single" w:color="auto" w:sz="6" w:space="0"/>
            </w:tcBorders>
            <w:vAlign w:val="center"/>
          </w:tcPr>
          <w:p w14:paraId="40D72C0B">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w:t>
            </w:r>
          </w:p>
        </w:tc>
        <w:tc>
          <w:tcPr>
            <w:tcW w:w="2809" w:type="dxa"/>
            <w:tcBorders>
              <w:top w:val="single" w:color="auto" w:sz="6" w:space="0"/>
              <w:left w:val="single" w:color="auto" w:sz="6" w:space="0"/>
              <w:bottom w:val="single" w:color="auto" w:sz="6" w:space="0"/>
              <w:right w:val="single" w:color="auto" w:sz="6" w:space="0"/>
            </w:tcBorders>
            <w:vAlign w:val="center"/>
          </w:tcPr>
          <w:p w14:paraId="10594C05">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6" w:space="0"/>
              <w:right w:val="single" w:color="auto" w:sz="6" w:space="0"/>
            </w:tcBorders>
            <w:vAlign w:val="center"/>
          </w:tcPr>
          <w:p w14:paraId="05DB5BE1">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6" w:space="0"/>
              <w:right w:val="single" w:color="auto" w:sz="6" w:space="0"/>
            </w:tcBorders>
            <w:vAlign w:val="center"/>
          </w:tcPr>
          <w:p w14:paraId="7CA5D7F1">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6" w:space="0"/>
              <w:bottom w:val="single" w:color="auto" w:sz="6" w:space="0"/>
              <w:right w:val="single" w:color="auto" w:sz="4" w:space="0"/>
            </w:tcBorders>
            <w:vAlign w:val="center"/>
          </w:tcPr>
          <w:p w14:paraId="5FF9220F">
            <w:pPr>
              <w:snapToGrid w:val="0"/>
              <w:spacing w:line="400" w:lineRule="exact"/>
              <w:jc w:val="center"/>
              <w:rPr>
                <w:rFonts w:asciiTheme="minorEastAsia" w:hAnsiTheme="minorEastAsia" w:eastAsiaTheme="minorEastAsia"/>
                <w:color w:val="auto"/>
                <w:sz w:val="24"/>
                <w:highlight w:val="none"/>
              </w:rPr>
            </w:pPr>
          </w:p>
        </w:tc>
      </w:tr>
      <w:tr w14:paraId="55C99AE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190" w:hRule="atLeast"/>
          <w:jc w:val="center"/>
        </w:trPr>
        <w:tc>
          <w:tcPr>
            <w:tcW w:w="606" w:type="dxa"/>
            <w:tcBorders>
              <w:top w:val="single" w:color="auto" w:sz="6" w:space="0"/>
              <w:left w:val="single" w:color="auto" w:sz="4" w:space="0"/>
              <w:bottom w:val="single" w:color="auto" w:sz="4" w:space="0"/>
              <w:right w:val="single" w:color="auto" w:sz="6" w:space="0"/>
            </w:tcBorders>
            <w:vAlign w:val="center"/>
          </w:tcPr>
          <w:p w14:paraId="342F5DB6">
            <w:pPr>
              <w:snapToGrid w:val="0"/>
              <w:spacing w:line="400" w:lineRule="exact"/>
              <w:jc w:val="center"/>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w:t>
            </w:r>
          </w:p>
        </w:tc>
        <w:tc>
          <w:tcPr>
            <w:tcW w:w="2809" w:type="dxa"/>
            <w:tcBorders>
              <w:top w:val="single" w:color="auto" w:sz="6" w:space="0"/>
              <w:left w:val="single" w:color="auto" w:sz="6" w:space="0"/>
              <w:bottom w:val="single" w:color="auto" w:sz="4" w:space="0"/>
              <w:right w:val="single" w:color="auto" w:sz="6" w:space="0"/>
            </w:tcBorders>
            <w:vAlign w:val="center"/>
          </w:tcPr>
          <w:p w14:paraId="0F8049AD">
            <w:pPr>
              <w:snapToGrid w:val="0"/>
              <w:spacing w:line="400" w:lineRule="exact"/>
              <w:jc w:val="center"/>
              <w:rPr>
                <w:rFonts w:asciiTheme="minorEastAsia" w:hAnsiTheme="minorEastAsia" w:eastAsiaTheme="minorEastAsia"/>
                <w:color w:val="auto"/>
                <w:sz w:val="24"/>
                <w:highlight w:val="none"/>
              </w:rPr>
            </w:pPr>
          </w:p>
        </w:tc>
        <w:tc>
          <w:tcPr>
            <w:tcW w:w="2945" w:type="dxa"/>
            <w:tcBorders>
              <w:top w:val="single" w:color="auto" w:sz="6" w:space="0"/>
              <w:left w:val="single" w:color="auto" w:sz="6" w:space="0"/>
              <w:bottom w:val="single" w:color="auto" w:sz="4" w:space="0"/>
              <w:right w:val="single" w:color="auto" w:sz="6" w:space="0"/>
            </w:tcBorders>
            <w:vAlign w:val="center"/>
          </w:tcPr>
          <w:p w14:paraId="6851D9EC">
            <w:pPr>
              <w:snapToGrid w:val="0"/>
              <w:spacing w:line="400" w:lineRule="exact"/>
              <w:jc w:val="center"/>
              <w:rPr>
                <w:rFonts w:asciiTheme="minorEastAsia" w:hAnsiTheme="minorEastAsia" w:eastAsiaTheme="minorEastAsia"/>
                <w:color w:val="auto"/>
                <w:sz w:val="24"/>
                <w:highlight w:val="none"/>
              </w:rPr>
            </w:pPr>
          </w:p>
        </w:tc>
        <w:tc>
          <w:tcPr>
            <w:tcW w:w="1464" w:type="dxa"/>
            <w:tcBorders>
              <w:top w:val="single" w:color="auto" w:sz="6" w:space="0"/>
              <w:left w:val="single" w:color="auto" w:sz="6" w:space="0"/>
              <w:bottom w:val="single" w:color="auto" w:sz="4" w:space="0"/>
              <w:right w:val="single" w:color="auto" w:sz="4" w:space="0"/>
            </w:tcBorders>
            <w:vAlign w:val="center"/>
          </w:tcPr>
          <w:p w14:paraId="4F5E2875">
            <w:pPr>
              <w:snapToGrid w:val="0"/>
              <w:spacing w:line="400" w:lineRule="exact"/>
              <w:jc w:val="center"/>
              <w:rPr>
                <w:rFonts w:asciiTheme="minorEastAsia" w:hAnsiTheme="minorEastAsia" w:eastAsiaTheme="minorEastAsia"/>
                <w:color w:val="auto"/>
                <w:sz w:val="24"/>
                <w:highlight w:val="none"/>
              </w:rPr>
            </w:pPr>
          </w:p>
        </w:tc>
        <w:tc>
          <w:tcPr>
            <w:tcW w:w="1361" w:type="dxa"/>
            <w:tcBorders>
              <w:top w:val="single" w:color="auto" w:sz="6" w:space="0"/>
              <w:left w:val="single" w:color="auto" w:sz="4" w:space="0"/>
              <w:bottom w:val="single" w:color="auto" w:sz="4" w:space="0"/>
              <w:right w:val="single" w:color="auto" w:sz="4" w:space="0"/>
            </w:tcBorders>
            <w:vAlign w:val="center"/>
          </w:tcPr>
          <w:p w14:paraId="317540DD">
            <w:pPr>
              <w:snapToGrid w:val="0"/>
              <w:spacing w:line="400" w:lineRule="exact"/>
              <w:jc w:val="center"/>
              <w:rPr>
                <w:rFonts w:asciiTheme="minorEastAsia" w:hAnsiTheme="minorEastAsia" w:eastAsiaTheme="minorEastAsia"/>
                <w:color w:val="auto"/>
                <w:sz w:val="24"/>
                <w:highlight w:val="none"/>
              </w:rPr>
            </w:pPr>
          </w:p>
        </w:tc>
      </w:tr>
    </w:tbl>
    <w:p w14:paraId="3E56F5C0">
      <w:pPr>
        <w:snapToGrid w:val="0"/>
        <w:spacing w:line="400" w:lineRule="exact"/>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说明：1.应写明招标文件对商务与服务技术要求的响应和偏离情况</w:t>
      </w:r>
      <w:r>
        <w:rPr>
          <w:rFonts w:hint="eastAsia" w:asciiTheme="minorEastAsia" w:hAnsiTheme="minorEastAsia" w:eastAsiaTheme="minorEastAsia"/>
          <w:bCs/>
          <w:color w:val="auto"/>
          <w:sz w:val="24"/>
          <w:highlight w:val="none"/>
        </w:rPr>
        <w:t>；</w:t>
      </w:r>
    </w:p>
    <w:p w14:paraId="652F3C89">
      <w:pPr>
        <w:snapToGrid w:val="0"/>
        <w:spacing w:line="400" w:lineRule="exact"/>
        <w:ind w:firstLine="720" w:firstLineChars="30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2.应对照招标文件“第三部分  采购需求”，逐条说明所提供货物、服务已对招标文件的商务、技术（服务）要求做出了实质性的响应，并申明与采购项目要求的偏离情况。特别对有具体商务、技术（服务）要求的，</w:t>
      </w:r>
      <w:r>
        <w:rPr>
          <w:rFonts w:hint="eastAsia" w:ascii="宋体" w:hAnsi="宋体" w:cs="宋体"/>
          <w:color w:val="auto"/>
          <w:sz w:val="24"/>
          <w:highlight w:val="none"/>
        </w:rPr>
        <w:t>投标人</w:t>
      </w:r>
      <w:r>
        <w:rPr>
          <w:rFonts w:hint="eastAsia" w:asciiTheme="minorEastAsia" w:hAnsiTheme="minorEastAsia" w:eastAsiaTheme="minorEastAsia"/>
          <w:color w:val="auto"/>
          <w:sz w:val="24"/>
          <w:highlight w:val="none"/>
        </w:rPr>
        <w:t xml:space="preserve">必须提供对应的详细应答。如果仅注明“符合”、“满足”或简单复制招标文件要求，将导致投标被拒绝。 </w:t>
      </w:r>
    </w:p>
    <w:p w14:paraId="7FFD0334">
      <w:pPr>
        <w:snapToGrid w:val="0"/>
        <w:spacing w:line="400" w:lineRule="exact"/>
        <w:rPr>
          <w:rFonts w:cs="Courier New" w:asciiTheme="minorEastAsia" w:hAnsiTheme="minorEastAsia" w:eastAsiaTheme="minorEastAsia"/>
          <w:color w:val="auto"/>
          <w:sz w:val="24"/>
          <w:highlight w:val="none"/>
        </w:rPr>
      </w:pPr>
    </w:p>
    <w:p w14:paraId="76493277">
      <w:pPr>
        <w:spacing w:line="360" w:lineRule="auto"/>
        <w:ind w:firstLine="3600" w:firstLineChars="1500"/>
        <w:rPr>
          <w:rFonts w:ascii="宋体" w:hAnsi="宋体" w:cs="宋体"/>
          <w:color w:val="auto"/>
          <w:sz w:val="24"/>
          <w:highlight w:val="none"/>
        </w:rPr>
      </w:pPr>
    </w:p>
    <w:p w14:paraId="67FC30EA">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14:paraId="3A297639">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7356C05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61763DC6">
      <w:pPr>
        <w:jc w:val="center"/>
        <w:rPr>
          <w:rFonts w:ascii="宋体" w:hAnsi="宋体" w:cs="宋体"/>
          <w:b/>
          <w:color w:val="auto"/>
          <w:kern w:val="0"/>
          <w:sz w:val="32"/>
          <w:szCs w:val="32"/>
          <w:highlight w:val="none"/>
        </w:rPr>
      </w:pPr>
    </w:p>
    <w:p w14:paraId="0B981592">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168BC96A">
      <w:pPr>
        <w:ind w:firstLine="1911" w:firstLineChars="595"/>
        <w:rPr>
          <w:rFonts w:ascii="宋体" w:hAnsi="宋体" w:cs="宋体"/>
          <w:b/>
          <w:bCs/>
          <w:color w:val="auto"/>
          <w:sz w:val="32"/>
          <w:szCs w:val="32"/>
          <w:highlight w:val="none"/>
        </w:rPr>
      </w:pPr>
    </w:p>
    <w:p w14:paraId="012758DE">
      <w:pPr>
        <w:widowControl/>
        <w:adjustRightInd/>
        <w:jc w:val="left"/>
        <w:rPr>
          <w:rFonts w:ascii="宋体" w:hAnsi="宋体" w:cs="宋体"/>
          <w:b/>
          <w:bCs/>
          <w:color w:val="auto"/>
          <w:sz w:val="32"/>
          <w:szCs w:val="32"/>
          <w:highlight w:val="none"/>
        </w:rPr>
      </w:pPr>
      <w:r>
        <w:rPr>
          <w:rFonts w:ascii="宋体" w:hAnsi="宋体" w:cs="宋体"/>
          <w:b/>
          <w:bCs/>
          <w:color w:val="auto"/>
          <w:sz w:val="32"/>
          <w:szCs w:val="32"/>
          <w:highlight w:val="none"/>
        </w:rPr>
        <w:br w:type="page"/>
      </w:r>
    </w:p>
    <w:p w14:paraId="2D769A45">
      <w:pPr>
        <w:ind w:firstLine="1911" w:firstLineChars="595"/>
        <w:rPr>
          <w:rFonts w:ascii="宋体" w:hAnsi="宋体" w:cs="宋体"/>
          <w:b/>
          <w:color w:val="auto"/>
          <w:kern w:val="0"/>
          <w:sz w:val="32"/>
          <w:szCs w:val="32"/>
          <w:highlight w:val="none"/>
        </w:rPr>
      </w:pPr>
      <w:r>
        <w:rPr>
          <w:rFonts w:hint="eastAsia" w:ascii="宋体" w:hAnsi="宋体" w:cs="宋体"/>
          <w:b/>
          <w:bCs/>
          <w:color w:val="auto"/>
          <w:sz w:val="32"/>
          <w:szCs w:val="32"/>
          <w:highlight w:val="none"/>
        </w:rPr>
        <w:t>八</w:t>
      </w:r>
      <w:r>
        <w:rPr>
          <w:rFonts w:hint="eastAsia" w:ascii="宋体" w:hAnsi="宋体" w:cs="宋体"/>
          <w:b/>
          <w:color w:val="auto"/>
          <w:kern w:val="0"/>
          <w:sz w:val="32"/>
          <w:szCs w:val="32"/>
          <w:highlight w:val="none"/>
        </w:rPr>
        <w:t>、</w:t>
      </w:r>
      <w:r>
        <w:rPr>
          <w:rFonts w:hint="eastAsia" w:ascii="宋体" w:hAnsi="宋体" w:cs="宋体"/>
          <w:b/>
          <w:color w:val="auto"/>
          <w:kern w:val="0"/>
          <w:sz w:val="32"/>
          <w:szCs w:val="32"/>
          <w:highlight w:val="none"/>
          <w:lang w:val="zh-CN"/>
        </w:rPr>
        <w:t>政府采购供应商廉洁自律承诺书</w:t>
      </w:r>
    </w:p>
    <w:p w14:paraId="37473757">
      <w:pPr>
        <w:snapToGrid w:val="0"/>
        <w:spacing w:line="360" w:lineRule="auto"/>
        <w:rPr>
          <w:rFonts w:ascii="宋体" w:hAnsi="宋体" w:cs="宋体"/>
          <w:color w:val="auto"/>
          <w:sz w:val="24"/>
          <w:highlight w:val="none"/>
        </w:rPr>
      </w:pPr>
    </w:p>
    <w:p w14:paraId="4F16280E">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51ADC33C">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我单位响应你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项目招标要求参加投标。在这次投标过程中和中标后，我们将严格遵守国家法律法规要求，并郑重承诺：</w:t>
      </w:r>
    </w:p>
    <w:p w14:paraId="51C70685">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一、不向项目有关人员及部门赠送礼金礼物、有价证券、回扣以及中介费、介绍费、咨询费等好处费； </w:t>
      </w:r>
    </w:p>
    <w:p w14:paraId="2177F3F9">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二、不为项目有关人员及部门报销应由你方单位或个人支付的费用； </w:t>
      </w:r>
    </w:p>
    <w:p w14:paraId="6DF7A6FF">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三、不向项目有关人员及部门提供有可能影响公正的宴请和健身娱乐等活动； </w:t>
      </w:r>
    </w:p>
    <w:p w14:paraId="3E02BE7C">
      <w:pPr>
        <w:autoSpaceDE w:val="0"/>
        <w:autoSpaceDN w:val="0"/>
        <w:spacing w:line="360" w:lineRule="auto"/>
        <w:ind w:left="2" w:leftChars="1"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四、不为项目有关人员及部门出国（境）、旅游等提供方便；</w:t>
      </w:r>
    </w:p>
    <w:p w14:paraId="54A0BEEE">
      <w:pPr>
        <w:autoSpaceDE w:val="0"/>
        <w:autoSpaceDN w:val="0"/>
        <w:spacing w:line="360" w:lineRule="auto"/>
        <w:ind w:left="481" w:leftChars="229"/>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五、不为项目有关人员个人装修住房、婚丧嫁娶、配偶子女工作安排等提供</w:t>
      </w:r>
    </w:p>
    <w:p w14:paraId="718F7B7E">
      <w:pPr>
        <w:autoSpaceDE w:val="0"/>
        <w:autoSpaceDN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好处；</w:t>
      </w:r>
    </w:p>
    <w:p w14:paraId="3DD09DD7">
      <w:pPr>
        <w:autoSpaceDE w:val="0"/>
        <w:autoSpaceDN w:val="0"/>
        <w:spacing w:line="360" w:lineRule="auto"/>
        <w:ind w:left="481" w:leftChars="229"/>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六、严格遵守《</w:t>
      </w:r>
      <w:r>
        <w:rPr>
          <w:rFonts w:hint="eastAsia" w:ascii="宋体" w:hAnsi="宋体" w:cs="宋体"/>
          <w:color w:val="auto"/>
          <w:sz w:val="24"/>
          <w:highlight w:val="none"/>
          <w:lang w:val="zh-CN"/>
        </w:rPr>
        <w:t>中华人民共和国</w:t>
      </w:r>
      <w:r>
        <w:rPr>
          <w:rFonts w:hint="eastAsia" w:ascii="宋体" w:hAnsi="宋体" w:cs="宋体"/>
          <w:color w:val="auto"/>
          <w:kern w:val="0"/>
          <w:sz w:val="24"/>
          <w:highlight w:val="none"/>
          <w:lang w:val="zh-CN"/>
        </w:rPr>
        <w:t>政府采购法》《</w:t>
      </w:r>
      <w:r>
        <w:rPr>
          <w:rFonts w:hint="eastAsia" w:ascii="宋体" w:hAnsi="宋体" w:cs="宋体"/>
          <w:color w:val="auto"/>
          <w:sz w:val="24"/>
          <w:highlight w:val="none"/>
          <w:lang w:val="zh-CN"/>
        </w:rPr>
        <w:t>中华人民共和国</w:t>
      </w:r>
      <w:r>
        <w:rPr>
          <w:rFonts w:hint="eastAsia" w:ascii="宋体" w:hAnsi="宋体" w:cs="宋体"/>
          <w:color w:val="auto"/>
          <w:kern w:val="0"/>
          <w:sz w:val="24"/>
          <w:highlight w:val="none"/>
          <w:lang w:val="zh-CN"/>
        </w:rPr>
        <w:t>招标投标</w:t>
      </w:r>
    </w:p>
    <w:p w14:paraId="04756688">
      <w:pPr>
        <w:autoSpaceDE w:val="0"/>
        <w:autoSpaceDN w:val="0"/>
        <w:spacing w:line="360" w:lineRule="auto"/>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法》</w:t>
      </w:r>
      <w:r>
        <w:rPr>
          <w:rFonts w:hint="eastAsia" w:ascii="宋体" w:hAnsi="宋体" w:cs="宋体"/>
          <w:color w:val="auto"/>
          <w:sz w:val="24"/>
          <w:highlight w:val="none"/>
          <w:lang w:val="zh-CN"/>
        </w:rPr>
        <w:t>《中华人民共和国民法典》</w:t>
      </w:r>
      <w:r>
        <w:rPr>
          <w:rFonts w:hint="eastAsia" w:ascii="宋体" w:hAnsi="宋体" w:cs="宋体"/>
          <w:color w:val="auto"/>
          <w:kern w:val="0"/>
          <w:sz w:val="24"/>
          <w:highlight w:val="none"/>
          <w:lang w:val="zh-CN"/>
        </w:rPr>
        <w:t xml:space="preserve">等法律法规，诚实守信，合法经营，坚决抵制各种违法违纪行为。 </w:t>
      </w:r>
    </w:p>
    <w:p w14:paraId="45EC2052">
      <w:pPr>
        <w:autoSpaceDE w:val="0"/>
        <w:autoSpaceDN w:val="0"/>
        <w:spacing w:line="360" w:lineRule="auto"/>
        <w:ind w:firstLine="480" w:firstLineChars="200"/>
        <w:jc w:val="lef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如违反上述承诺，你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有权立即取消我单位投标、中标或在建项目的建设资格，有权拒绝我单位在一定时期内进入你</w:t>
      </w:r>
      <w:r>
        <w:rPr>
          <w:rFonts w:hint="eastAsia" w:ascii="宋体" w:hAnsi="宋体" w:cs="宋体"/>
          <w:color w:val="auto"/>
          <w:sz w:val="24"/>
          <w:highlight w:val="none"/>
        </w:rPr>
        <w:t>单位</w:t>
      </w:r>
      <w:r>
        <w:rPr>
          <w:rFonts w:hint="eastAsia" w:ascii="宋体" w:hAnsi="宋体" w:cs="宋体"/>
          <w:color w:val="auto"/>
          <w:kern w:val="0"/>
          <w:sz w:val="24"/>
          <w:highlight w:val="none"/>
          <w:lang w:val="zh-CN"/>
        </w:rPr>
        <w:t>进行项目建设或其他经营活动，并通报市财政局。由此引起的相应损失均由我单位承担。</w:t>
      </w:r>
    </w:p>
    <w:p w14:paraId="6E0D85A0">
      <w:pPr>
        <w:autoSpaceDE w:val="0"/>
        <w:autoSpaceDN w:val="0"/>
        <w:spacing w:line="360" w:lineRule="auto"/>
        <w:ind w:left="2"/>
        <w:jc w:val="left"/>
        <w:rPr>
          <w:rFonts w:ascii="宋体" w:hAnsi="宋体" w:cs="宋体"/>
          <w:color w:val="auto"/>
          <w:kern w:val="0"/>
          <w:sz w:val="24"/>
          <w:highlight w:val="none"/>
          <w:lang w:val="zh-CN"/>
        </w:rPr>
      </w:pPr>
    </w:p>
    <w:p w14:paraId="2741529C">
      <w:pPr>
        <w:autoSpaceDE w:val="0"/>
        <w:autoSpaceDN w:val="0"/>
        <w:spacing w:line="360" w:lineRule="auto"/>
        <w:ind w:left="2"/>
        <w:jc w:val="left"/>
        <w:rPr>
          <w:rFonts w:ascii="宋体" w:hAnsi="宋体" w:cs="宋体"/>
          <w:color w:val="auto"/>
          <w:kern w:val="0"/>
          <w:sz w:val="24"/>
          <w:highlight w:val="none"/>
          <w:lang w:val="zh-CN"/>
        </w:rPr>
      </w:pPr>
    </w:p>
    <w:p w14:paraId="47D4F4CF">
      <w:pPr>
        <w:autoSpaceDE w:val="0"/>
        <w:autoSpaceDN w:val="0"/>
        <w:spacing w:line="360" w:lineRule="auto"/>
        <w:ind w:left="2"/>
        <w:jc w:val="left"/>
        <w:rPr>
          <w:rFonts w:ascii="宋体" w:hAnsi="宋体" w:cs="宋体"/>
          <w:color w:val="auto"/>
          <w:kern w:val="0"/>
          <w:sz w:val="24"/>
          <w:highlight w:val="none"/>
          <w:lang w:val="zh-CN"/>
        </w:rPr>
      </w:pPr>
    </w:p>
    <w:p w14:paraId="0C7E5C87">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14:paraId="5FFD5C4A">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4D20C88E">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286087BD">
      <w:pPr>
        <w:spacing w:line="360" w:lineRule="auto"/>
        <w:ind w:left="4620" w:leftChars="2200"/>
        <w:rPr>
          <w:rFonts w:ascii="宋体" w:hAnsi="宋体" w:cs="宋体"/>
          <w:color w:val="auto"/>
          <w:sz w:val="24"/>
          <w:highlight w:val="none"/>
        </w:rPr>
      </w:pPr>
    </w:p>
    <w:p w14:paraId="5854069F">
      <w:pPr>
        <w:spacing w:line="360" w:lineRule="auto"/>
        <w:jc w:val="center"/>
        <w:rPr>
          <w:rFonts w:ascii="宋体" w:hAnsi="宋体" w:cs="宋体"/>
          <w:b/>
          <w:bCs/>
          <w:color w:val="auto"/>
          <w:sz w:val="24"/>
          <w:highlight w:val="none"/>
        </w:rPr>
      </w:pPr>
    </w:p>
    <w:p w14:paraId="364BB7B1">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3ED41075">
      <w:pPr>
        <w:pStyle w:val="83"/>
        <w:rPr>
          <w:color w:val="auto"/>
          <w:highlight w:val="none"/>
        </w:rPr>
      </w:pPr>
    </w:p>
    <w:p w14:paraId="3A2E41DF">
      <w:pPr>
        <w:pStyle w:val="83"/>
        <w:rPr>
          <w:color w:val="auto"/>
          <w:highlight w:val="none"/>
        </w:rPr>
      </w:pPr>
    </w:p>
    <w:p w14:paraId="7676FB4B">
      <w:pPr>
        <w:jc w:val="center"/>
        <w:rPr>
          <w:rFonts w:hint="eastAsia" w:ascii="宋体" w:hAnsi="宋体" w:cs="宋体"/>
          <w:b/>
          <w:bCs/>
          <w:color w:val="auto"/>
          <w:sz w:val="32"/>
          <w:szCs w:val="32"/>
          <w:highlight w:val="none"/>
        </w:rPr>
      </w:pPr>
    </w:p>
    <w:p w14:paraId="2208EC31">
      <w:pPr>
        <w:jc w:val="center"/>
        <w:rPr>
          <w:rFonts w:ascii="宋体" w:hAnsi="宋体" w:cs="宋体"/>
          <w:b/>
          <w:color w:val="auto"/>
          <w:kern w:val="0"/>
          <w:sz w:val="32"/>
          <w:szCs w:val="21"/>
          <w:highlight w:val="none"/>
        </w:rPr>
      </w:pPr>
      <w:r>
        <w:rPr>
          <w:rFonts w:hint="eastAsia" w:ascii="宋体" w:hAnsi="宋体" w:cs="宋体"/>
          <w:b/>
          <w:bCs/>
          <w:color w:val="auto"/>
          <w:sz w:val="32"/>
          <w:szCs w:val="32"/>
          <w:highlight w:val="none"/>
        </w:rPr>
        <w:t>九</w:t>
      </w:r>
      <w:r>
        <w:rPr>
          <w:rFonts w:hint="eastAsia" w:ascii="宋体" w:hAnsi="宋体" w:cs="宋体"/>
          <w:b/>
          <w:color w:val="auto"/>
          <w:kern w:val="0"/>
          <w:sz w:val="32"/>
          <w:szCs w:val="32"/>
          <w:highlight w:val="none"/>
        </w:rPr>
        <w:t>、</w:t>
      </w:r>
      <w:r>
        <w:rPr>
          <w:rFonts w:hint="eastAsia" w:ascii="宋体" w:hAnsi="宋体" w:cs="宋体"/>
          <w:b/>
          <w:color w:val="auto"/>
          <w:kern w:val="0"/>
          <w:sz w:val="32"/>
          <w:szCs w:val="21"/>
          <w:highlight w:val="none"/>
        </w:rPr>
        <w:t>承诺函</w:t>
      </w:r>
    </w:p>
    <w:p w14:paraId="71A2EB7D">
      <w:pPr>
        <w:widowControl/>
        <w:adjustRightInd/>
        <w:ind w:firstLine="640" w:firstLineChars="200"/>
        <w:jc w:val="left"/>
        <w:rPr>
          <w:rFonts w:ascii="宋体" w:hAnsi="宋体" w:cs="宋体"/>
          <w:color w:val="auto"/>
          <w:kern w:val="0"/>
          <w:sz w:val="32"/>
          <w:szCs w:val="21"/>
          <w:highlight w:val="none"/>
        </w:rPr>
      </w:pPr>
    </w:p>
    <w:p w14:paraId="6DB45E4B">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33AF312E">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我方作为本次采购项目的投标人，根据招标文件要求，现郑重承诺如下：</w:t>
      </w:r>
    </w:p>
    <w:p w14:paraId="2DD91891">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一、我方已认真阅读并接受本项目招标文件第二部分的全部实质性要求，如对招标文件有异议，已依法进行维权救济，不存在对招标文件有异议的同时又参加投标以求侥幸中标或者为实现其他非法目的的行为。</w:t>
      </w:r>
    </w:p>
    <w:p w14:paraId="7450E73F">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二、参加本次招标采购活动，不存在与单位负责人为同一人或者存在直接控股、管理关系的其他供应商参与同一合同项下的政府采购活动的行为。</w:t>
      </w:r>
    </w:p>
    <w:p w14:paraId="4D393C19">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三、为采购项目提供整体设计、规范编制或者项目管理、监理、检测等服务的供应商，不得再参加该采购项目的其他采购活动，我方承诺不属于此类禁止参加本项目的供应商。</w:t>
      </w:r>
    </w:p>
    <w:p w14:paraId="3C09AEC3">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四、参加本次招标采购活动，不存在和其他供应商在同一合同项下的采购项目中，同时委托同一个自然人、同一家庭的人员、同一单位的人员作为代理人的行为。</w:t>
      </w:r>
    </w:p>
    <w:p w14:paraId="35449F41">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五、投标文件中提供的能够给予我方带来优惠、好处的任何材料资料和技术、服务、商务、响应产品等响应承诺情况都是真实的、有效的、合法的。</w:t>
      </w:r>
    </w:p>
    <w:p w14:paraId="62596B1C">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六、如本项目评标过程中需要提供样品，则我方提供的样品即为中标后将要提供的中标产品，我方对提供样品的性能和质量负责，因样品存在缺陷或者不符合招标文件要求导致未能中标的，我方愿意承担相应不利后果。</w:t>
      </w:r>
    </w:p>
    <w:p w14:paraId="2CC85482">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七、国家或行业主管部门对采购产品的技术标准、质量标准和资格资质条件等有强制性规定的，我方承诺符合其要求。</w:t>
      </w:r>
    </w:p>
    <w:p w14:paraId="72223722">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八、参加本次招标采购活动，我方完全同意招标文件第二部分关于“投标费用”、“合同分包”、“合同转包”、“履约保证金”的实质性要求，并承诺严格按照招标文件要求履行。</w:t>
      </w:r>
    </w:p>
    <w:p w14:paraId="51E6EF79">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九、我方保证在本项目使用的任何产品和服务（包括部分使用）时，不会产生因第三方提出侵犯其专利权、商标权或其它知识产权而引起的法律和经济纠纷，如因专利权、商标权或其它知识产权而引起法律和经济纠纷，由我方承担所有相关责任。采购人享有本项目实施过程中产生的知识成果及知识产权。如我方在项目实施过程中采用自有知识成果，我方承诺提供开发接口和开发手册等技术文档，并提供无限期技术支持，采购人享有永久使用权（含采购人委托第三方在该项目后续开发的使用权）。如我方在项目实施过程中采用非自有的知识产权，则在投标报价中已包括合法获取该知识产权的相关费用。</w:t>
      </w:r>
    </w:p>
    <w:p w14:paraId="5AE1C921">
      <w:pPr>
        <w:widowControl/>
        <w:adjustRightInd/>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kern w:val="0"/>
          <w:sz w:val="24"/>
          <w:highlight w:val="none"/>
        </w:rPr>
        <w:t>我方对上述承诺的内容事项真实性负责。如经查实上述承诺的内容事项存在虚假，我方愿意接受以提供虚假材料谋取中标追究法律责任。</w:t>
      </w:r>
    </w:p>
    <w:p w14:paraId="3A4EA0B6">
      <w:pPr>
        <w:widowControl/>
        <w:adjustRightInd/>
        <w:spacing w:line="360" w:lineRule="auto"/>
        <w:ind w:firstLine="480" w:firstLineChars="200"/>
        <w:jc w:val="left"/>
        <w:rPr>
          <w:rFonts w:ascii="宋体" w:hAnsi="宋体" w:cs="宋体"/>
          <w:color w:val="auto"/>
          <w:kern w:val="0"/>
          <w:sz w:val="24"/>
          <w:highlight w:val="none"/>
        </w:rPr>
      </w:pPr>
    </w:p>
    <w:p w14:paraId="4A335C51">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投标人名称（公章）：</w:t>
      </w:r>
    </w:p>
    <w:p w14:paraId="6B270768">
      <w:pPr>
        <w:spacing w:line="360" w:lineRule="auto"/>
        <w:ind w:firstLine="3600" w:firstLineChars="1500"/>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3EA5F237">
      <w:pPr>
        <w:spacing w:line="360" w:lineRule="auto"/>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387FB84E">
      <w:pPr>
        <w:spacing w:line="360" w:lineRule="auto"/>
        <w:jc w:val="center"/>
        <w:rPr>
          <w:rFonts w:ascii="宋体" w:hAnsi="宋体" w:cs="宋体"/>
          <w:b/>
          <w:bCs/>
          <w:color w:val="auto"/>
          <w:sz w:val="24"/>
          <w:highlight w:val="none"/>
        </w:rPr>
      </w:pPr>
    </w:p>
    <w:p w14:paraId="7F305128">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4A86559F">
      <w:pPr>
        <w:spacing w:line="360" w:lineRule="auto"/>
        <w:jc w:val="center"/>
        <w:rPr>
          <w:rFonts w:cs="仿宋_GB2312" w:asciiTheme="minorEastAsia" w:hAnsiTheme="minorEastAsia" w:eastAsiaTheme="minorEastAsia"/>
          <w:b/>
          <w:bCs/>
          <w:color w:val="auto"/>
          <w:sz w:val="32"/>
          <w:szCs w:val="32"/>
          <w:highlight w:val="none"/>
        </w:rPr>
      </w:pPr>
      <w:r>
        <w:rPr>
          <w:rFonts w:hint="eastAsia" w:cs="仿宋_GB2312" w:asciiTheme="minorEastAsia" w:hAnsiTheme="minorEastAsia" w:eastAsiaTheme="minorEastAsia"/>
          <w:b/>
          <w:bCs/>
          <w:color w:val="auto"/>
          <w:sz w:val="32"/>
          <w:szCs w:val="32"/>
          <w:highlight w:val="none"/>
        </w:rPr>
        <w:t>十、技术解决方案</w:t>
      </w:r>
    </w:p>
    <w:p w14:paraId="2FF16A2D">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（由供应商根据采购需求及招标文件要求编制）</w:t>
      </w:r>
    </w:p>
    <w:p w14:paraId="4225C545">
      <w:pPr>
        <w:autoSpaceDE w:val="0"/>
        <w:autoSpaceDN w:val="0"/>
        <w:spacing w:line="360" w:lineRule="auto"/>
        <w:rPr>
          <w:rFonts w:cs="仿宋_GB2312" w:asciiTheme="minorEastAsia" w:hAnsiTheme="minorEastAsia" w:eastAsiaTheme="minorEastAsia"/>
          <w:color w:val="auto"/>
          <w:kern w:val="0"/>
          <w:sz w:val="24"/>
          <w:highlight w:val="none"/>
        </w:rPr>
      </w:pPr>
    </w:p>
    <w:p w14:paraId="2DDA554E">
      <w:pPr>
        <w:autoSpaceDE w:val="0"/>
        <w:autoSpaceDN w:val="0"/>
        <w:spacing w:line="360" w:lineRule="auto"/>
        <w:ind w:firstLine="4560" w:firstLineChars="190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投标人名称（公章）：</w:t>
      </w:r>
      <w:r>
        <w:rPr>
          <w:rFonts w:hint="eastAsia" w:cs="仿宋_GB2312" w:asciiTheme="minorEastAsia" w:hAnsiTheme="minorEastAsia" w:eastAsiaTheme="minorEastAsia"/>
          <w:color w:val="auto"/>
          <w:kern w:val="0"/>
          <w:sz w:val="24"/>
          <w:highlight w:val="none"/>
        </w:rPr>
        <w:t xml:space="preserve">                       </w:t>
      </w:r>
    </w:p>
    <w:p w14:paraId="62560E31">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rPr>
        <w:t xml:space="preserve">                                      日期：  年  月   日</w:t>
      </w:r>
    </w:p>
    <w:p w14:paraId="4ED43682">
      <w:pPr>
        <w:spacing w:line="360" w:lineRule="auto"/>
        <w:jc w:val="center"/>
        <w:rPr>
          <w:rFonts w:cs="仿宋_GB2312" w:asciiTheme="minorEastAsia" w:hAnsiTheme="minorEastAsia" w:eastAsiaTheme="minorEastAsia"/>
          <w:b/>
          <w:bCs/>
          <w:color w:val="auto"/>
          <w:sz w:val="32"/>
          <w:szCs w:val="32"/>
          <w:highlight w:val="none"/>
        </w:rPr>
      </w:pPr>
    </w:p>
    <w:p w14:paraId="7CB1CEF1">
      <w:pPr>
        <w:spacing w:line="360" w:lineRule="auto"/>
        <w:jc w:val="center"/>
        <w:rPr>
          <w:rFonts w:cs="仿宋_GB2312" w:asciiTheme="minorEastAsia" w:hAnsiTheme="minorEastAsia" w:eastAsiaTheme="minorEastAsia"/>
          <w:b/>
          <w:bCs/>
          <w:color w:val="auto"/>
          <w:sz w:val="32"/>
          <w:szCs w:val="32"/>
          <w:highlight w:val="none"/>
        </w:rPr>
      </w:pPr>
      <w:r>
        <w:rPr>
          <w:rFonts w:hint="eastAsia" w:cs="仿宋_GB2312" w:asciiTheme="minorEastAsia" w:hAnsiTheme="minorEastAsia" w:eastAsiaTheme="minorEastAsia"/>
          <w:b/>
          <w:bCs/>
          <w:color w:val="auto"/>
          <w:sz w:val="32"/>
          <w:szCs w:val="32"/>
          <w:highlight w:val="none"/>
        </w:rPr>
        <w:t>十一、组织实施方案</w:t>
      </w:r>
    </w:p>
    <w:p w14:paraId="703605E5">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（由供应商根据采购需求及招标文件要求编制）</w:t>
      </w:r>
    </w:p>
    <w:p w14:paraId="0710DA4A">
      <w:pPr>
        <w:autoSpaceDE w:val="0"/>
        <w:autoSpaceDN w:val="0"/>
        <w:spacing w:line="360" w:lineRule="auto"/>
        <w:rPr>
          <w:rFonts w:cs="仿宋_GB2312" w:asciiTheme="minorEastAsia" w:hAnsiTheme="minorEastAsia" w:eastAsiaTheme="minorEastAsia"/>
          <w:color w:val="auto"/>
          <w:kern w:val="0"/>
          <w:sz w:val="24"/>
          <w:highlight w:val="none"/>
        </w:rPr>
      </w:pPr>
    </w:p>
    <w:p w14:paraId="0E4B9F0B">
      <w:pPr>
        <w:autoSpaceDE w:val="0"/>
        <w:autoSpaceDN w:val="0"/>
        <w:spacing w:line="360" w:lineRule="auto"/>
        <w:ind w:firstLine="4560" w:firstLineChars="190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投标人名称（公章）：</w:t>
      </w:r>
      <w:r>
        <w:rPr>
          <w:rFonts w:hint="eastAsia" w:cs="仿宋_GB2312" w:asciiTheme="minorEastAsia" w:hAnsiTheme="minorEastAsia" w:eastAsiaTheme="minorEastAsia"/>
          <w:color w:val="auto"/>
          <w:kern w:val="0"/>
          <w:sz w:val="24"/>
          <w:highlight w:val="none"/>
        </w:rPr>
        <w:t xml:space="preserve">                       </w:t>
      </w:r>
    </w:p>
    <w:p w14:paraId="4F7E39D4">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rPr>
        <w:t xml:space="preserve">                                      日期：  年  月   日</w:t>
      </w:r>
    </w:p>
    <w:p w14:paraId="12CC1C6F">
      <w:pPr>
        <w:spacing w:line="360" w:lineRule="auto"/>
        <w:jc w:val="center"/>
        <w:rPr>
          <w:rFonts w:cs="仿宋_GB2312" w:asciiTheme="minorEastAsia" w:hAnsiTheme="minorEastAsia" w:eastAsiaTheme="minorEastAsia"/>
          <w:b/>
          <w:bCs/>
          <w:color w:val="auto"/>
          <w:sz w:val="32"/>
          <w:szCs w:val="32"/>
          <w:highlight w:val="none"/>
        </w:rPr>
      </w:pPr>
    </w:p>
    <w:p w14:paraId="1F9A3F28">
      <w:pPr>
        <w:spacing w:line="360" w:lineRule="auto"/>
        <w:jc w:val="center"/>
        <w:rPr>
          <w:rFonts w:cs="仿宋_GB2312" w:asciiTheme="minorEastAsia" w:hAnsiTheme="minorEastAsia" w:eastAsiaTheme="minorEastAsia"/>
          <w:b/>
          <w:bCs/>
          <w:color w:val="auto"/>
          <w:sz w:val="32"/>
          <w:szCs w:val="32"/>
          <w:highlight w:val="none"/>
        </w:rPr>
      </w:pPr>
      <w:r>
        <w:rPr>
          <w:rFonts w:hint="eastAsia" w:cs="仿宋_GB2312" w:asciiTheme="minorEastAsia" w:hAnsiTheme="minorEastAsia" w:eastAsiaTheme="minorEastAsia"/>
          <w:b/>
          <w:bCs/>
          <w:color w:val="auto"/>
          <w:sz w:val="32"/>
          <w:szCs w:val="32"/>
          <w:highlight w:val="none"/>
        </w:rPr>
        <w:t>十二、售后服务方案</w:t>
      </w:r>
    </w:p>
    <w:p w14:paraId="42C334C4">
      <w:pPr>
        <w:spacing w:line="360" w:lineRule="auto"/>
        <w:jc w:val="center"/>
        <w:rPr>
          <w:rFonts w:cs="仿宋_GB2312" w:asciiTheme="minorEastAsia" w:hAnsiTheme="minorEastAsia" w:eastAsiaTheme="minorEastAsia"/>
          <w:color w:val="auto"/>
          <w:sz w:val="24"/>
          <w:highlight w:val="none"/>
        </w:rPr>
      </w:pPr>
      <w:r>
        <w:rPr>
          <w:rFonts w:hint="eastAsia" w:cs="仿宋_GB2312" w:asciiTheme="minorEastAsia" w:hAnsiTheme="minorEastAsia" w:eastAsiaTheme="minorEastAsia"/>
          <w:color w:val="auto"/>
          <w:sz w:val="24"/>
          <w:highlight w:val="none"/>
        </w:rPr>
        <w:t>（由供应商根据采购需求及招标文件要求编制）</w:t>
      </w:r>
    </w:p>
    <w:p w14:paraId="34AE4BB2">
      <w:pPr>
        <w:spacing w:line="360" w:lineRule="auto"/>
        <w:jc w:val="center"/>
        <w:rPr>
          <w:rFonts w:cs="仿宋_GB2312" w:asciiTheme="minorEastAsia" w:hAnsiTheme="minorEastAsia" w:eastAsiaTheme="minorEastAsia"/>
          <w:color w:val="auto"/>
          <w:sz w:val="24"/>
          <w:highlight w:val="none"/>
        </w:rPr>
      </w:pPr>
    </w:p>
    <w:p w14:paraId="1B200A69">
      <w:pPr>
        <w:autoSpaceDE w:val="0"/>
        <w:autoSpaceDN w:val="0"/>
        <w:spacing w:line="360" w:lineRule="auto"/>
        <w:ind w:firstLine="4560" w:firstLineChars="1900"/>
        <w:rPr>
          <w:rFonts w:cs="仿宋_GB2312" w:asciiTheme="minorEastAsia" w:hAnsiTheme="minorEastAsia" w:eastAsiaTheme="minorEastAsia"/>
          <w:color w:val="auto"/>
          <w:kern w:val="0"/>
          <w:sz w:val="24"/>
          <w:highlight w:val="none"/>
        </w:rPr>
      </w:pPr>
      <w:r>
        <w:rPr>
          <w:rFonts w:hint="eastAsia" w:cs="宋体" w:asciiTheme="minorEastAsia" w:hAnsiTheme="minorEastAsia" w:eastAsiaTheme="minorEastAsia"/>
          <w:color w:val="auto"/>
          <w:kern w:val="0"/>
          <w:sz w:val="24"/>
          <w:highlight w:val="none"/>
          <w:lang w:val="zh-CN"/>
        </w:rPr>
        <w:t>投标人名称（公章）：</w:t>
      </w:r>
      <w:r>
        <w:rPr>
          <w:rFonts w:hint="eastAsia" w:cs="仿宋_GB2312" w:asciiTheme="minorEastAsia" w:hAnsiTheme="minorEastAsia" w:eastAsiaTheme="minorEastAsia"/>
          <w:color w:val="auto"/>
          <w:kern w:val="0"/>
          <w:sz w:val="24"/>
          <w:highlight w:val="none"/>
        </w:rPr>
        <w:t xml:space="preserve">                       </w:t>
      </w:r>
    </w:p>
    <w:p w14:paraId="093FB0D2">
      <w:pPr>
        <w:spacing w:line="360" w:lineRule="auto"/>
        <w:rPr>
          <w:rFonts w:cs="仿宋_GB2312" w:asciiTheme="minorEastAsia" w:hAnsiTheme="minorEastAsia" w:eastAsiaTheme="minorEastAsia"/>
          <w:b/>
          <w:bCs/>
          <w:color w:val="auto"/>
          <w:sz w:val="24"/>
          <w:highlight w:val="none"/>
        </w:rPr>
      </w:pPr>
      <w:r>
        <w:rPr>
          <w:rFonts w:hint="eastAsia" w:cs="仿宋_GB2312" w:asciiTheme="minorEastAsia" w:hAnsiTheme="minorEastAsia" w:eastAsiaTheme="minorEastAsia"/>
          <w:color w:val="auto"/>
          <w:kern w:val="0"/>
          <w:sz w:val="24"/>
          <w:highlight w:val="none"/>
        </w:rPr>
        <w:t xml:space="preserve">                                      日期：  年  月   日</w:t>
      </w:r>
    </w:p>
    <w:p w14:paraId="04029F27">
      <w:pPr>
        <w:spacing w:line="360" w:lineRule="auto"/>
        <w:jc w:val="center"/>
        <w:rPr>
          <w:rFonts w:ascii="宋体" w:hAnsi="宋体" w:cs="宋体"/>
          <w:b/>
          <w:bCs/>
          <w:color w:val="auto"/>
          <w:sz w:val="24"/>
          <w:highlight w:val="none"/>
        </w:rPr>
      </w:pPr>
    </w:p>
    <w:p w14:paraId="681A0B84">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报价文件部分</w:t>
      </w:r>
    </w:p>
    <w:p w14:paraId="5F2DB306">
      <w:pPr>
        <w:spacing w:line="360" w:lineRule="auto"/>
        <w:jc w:val="center"/>
        <w:rPr>
          <w:rFonts w:ascii="宋体" w:hAnsi="宋体" w:cs="宋体"/>
          <w:b/>
          <w:color w:val="auto"/>
          <w:kern w:val="0"/>
          <w:sz w:val="36"/>
          <w:szCs w:val="36"/>
          <w:highlight w:val="none"/>
        </w:rPr>
      </w:pPr>
      <w:r>
        <w:rPr>
          <w:rFonts w:hint="eastAsia" w:ascii="宋体" w:hAnsi="宋体" w:cs="宋体"/>
          <w:b/>
          <w:color w:val="auto"/>
          <w:kern w:val="0"/>
          <w:sz w:val="36"/>
          <w:szCs w:val="36"/>
          <w:highlight w:val="none"/>
        </w:rPr>
        <w:t>目录</w:t>
      </w:r>
    </w:p>
    <w:p w14:paraId="7F0ED683">
      <w:pPr>
        <w:spacing w:line="360" w:lineRule="auto"/>
        <w:jc w:val="center"/>
        <w:rPr>
          <w:rFonts w:ascii="宋体" w:hAnsi="宋体" w:cs="宋体"/>
          <w:b/>
          <w:color w:val="auto"/>
          <w:kern w:val="0"/>
          <w:sz w:val="36"/>
          <w:szCs w:val="36"/>
          <w:highlight w:val="none"/>
        </w:rPr>
      </w:pPr>
    </w:p>
    <w:p w14:paraId="111DFBE4">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（1）开标一览表（报价表）………………………………………………………（页码）</w:t>
      </w:r>
    </w:p>
    <w:p w14:paraId="1CDE99AF">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（2）中小企业声明函………………………………………………………………（页码）</w:t>
      </w:r>
    </w:p>
    <w:p w14:paraId="410702E1">
      <w:pPr>
        <w:snapToGrid w:val="0"/>
        <w:spacing w:line="360" w:lineRule="auto"/>
        <w:rPr>
          <w:rFonts w:ascii="宋体" w:hAnsi="宋体" w:cs="宋体"/>
          <w:color w:val="auto"/>
          <w:sz w:val="24"/>
          <w:highlight w:val="none"/>
        </w:rPr>
      </w:pPr>
      <w:bookmarkStart w:id="411" w:name="OLE_LINK11"/>
      <w:bookmarkStart w:id="412" w:name="OLE_LINK12"/>
      <w:r>
        <w:rPr>
          <w:rFonts w:hint="eastAsia" w:ascii="宋体" w:hAnsi="宋体" w:cs="宋体"/>
          <w:color w:val="auto"/>
          <w:sz w:val="24"/>
          <w:highlight w:val="none"/>
        </w:rPr>
        <w:t>（3）关于符合本国产品标准的声明函……………………………………………（页码）</w:t>
      </w:r>
      <w:bookmarkEnd w:id="411"/>
      <w:bookmarkEnd w:id="412"/>
    </w:p>
    <w:p w14:paraId="460EBA78">
      <w:pPr>
        <w:snapToGrid w:val="0"/>
        <w:spacing w:line="360" w:lineRule="auto"/>
        <w:ind w:right="480"/>
        <w:jc w:val="center"/>
        <w:rPr>
          <w:rFonts w:ascii="宋体" w:hAnsi="宋体" w:cs="宋体"/>
          <w:b/>
          <w:color w:val="auto"/>
          <w:kern w:val="0"/>
          <w:sz w:val="32"/>
          <w:szCs w:val="32"/>
          <w:highlight w:val="none"/>
        </w:rPr>
      </w:pPr>
    </w:p>
    <w:p w14:paraId="007C8541">
      <w:pPr>
        <w:snapToGrid w:val="0"/>
        <w:spacing w:line="360" w:lineRule="auto"/>
        <w:ind w:right="480"/>
        <w:jc w:val="center"/>
        <w:rPr>
          <w:rFonts w:ascii="宋体" w:hAnsi="宋体" w:cs="宋体"/>
          <w:b/>
          <w:color w:val="auto"/>
          <w:kern w:val="0"/>
          <w:sz w:val="32"/>
          <w:szCs w:val="32"/>
          <w:highlight w:val="none"/>
        </w:rPr>
      </w:pPr>
    </w:p>
    <w:p w14:paraId="30A59E4A">
      <w:pPr>
        <w:snapToGrid w:val="0"/>
        <w:spacing w:line="360" w:lineRule="auto"/>
        <w:ind w:right="480"/>
        <w:jc w:val="center"/>
        <w:rPr>
          <w:rFonts w:ascii="宋体" w:hAnsi="宋体" w:cs="宋体"/>
          <w:b/>
          <w:color w:val="auto"/>
          <w:kern w:val="0"/>
          <w:sz w:val="32"/>
          <w:szCs w:val="32"/>
          <w:highlight w:val="none"/>
        </w:rPr>
      </w:pPr>
    </w:p>
    <w:p w14:paraId="0A2F6F0F">
      <w:pPr>
        <w:snapToGrid w:val="0"/>
        <w:spacing w:line="360" w:lineRule="auto"/>
        <w:ind w:right="480"/>
        <w:jc w:val="center"/>
        <w:rPr>
          <w:rFonts w:ascii="宋体" w:hAnsi="宋体" w:cs="宋体"/>
          <w:b/>
          <w:color w:val="auto"/>
          <w:kern w:val="0"/>
          <w:sz w:val="32"/>
          <w:szCs w:val="32"/>
          <w:highlight w:val="none"/>
        </w:rPr>
      </w:pPr>
    </w:p>
    <w:p w14:paraId="5441CA94">
      <w:pPr>
        <w:snapToGrid w:val="0"/>
        <w:spacing w:line="360" w:lineRule="auto"/>
        <w:ind w:right="480"/>
        <w:jc w:val="center"/>
        <w:rPr>
          <w:rFonts w:ascii="宋体" w:hAnsi="宋体" w:cs="宋体"/>
          <w:b/>
          <w:color w:val="auto"/>
          <w:kern w:val="0"/>
          <w:sz w:val="32"/>
          <w:szCs w:val="32"/>
          <w:highlight w:val="none"/>
        </w:rPr>
      </w:pPr>
    </w:p>
    <w:p w14:paraId="742EB319">
      <w:pPr>
        <w:snapToGrid w:val="0"/>
        <w:spacing w:line="360" w:lineRule="auto"/>
        <w:ind w:right="480"/>
        <w:jc w:val="center"/>
        <w:rPr>
          <w:rFonts w:ascii="宋体" w:hAnsi="宋体" w:cs="宋体"/>
          <w:b/>
          <w:color w:val="auto"/>
          <w:kern w:val="0"/>
          <w:sz w:val="32"/>
          <w:szCs w:val="32"/>
          <w:highlight w:val="none"/>
        </w:rPr>
      </w:pPr>
    </w:p>
    <w:p w14:paraId="76F28423">
      <w:pPr>
        <w:snapToGrid w:val="0"/>
        <w:spacing w:line="360" w:lineRule="auto"/>
        <w:ind w:right="480"/>
        <w:jc w:val="center"/>
        <w:rPr>
          <w:rFonts w:ascii="宋体" w:hAnsi="宋体" w:cs="宋体"/>
          <w:b/>
          <w:color w:val="auto"/>
          <w:kern w:val="0"/>
          <w:sz w:val="32"/>
          <w:szCs w:val="32"/>
          <w:highlight w:val="none"/>
        </w:rPr>
      </w:pPr>
    </w:p>
    <w:p w14:paraId="5410673A">
      <w:pPr>
        <w:snapToGrid w:val="0"/>
        <w:spacing w:line="360" w:lineRule="auto"/>
        <w:ind w:right="480"/>
        <w:jc w:val="center"/>
        <w:rPr>
          <w:rFonts w:ascii="宋体" w:hAnsi="宋体" w:cs="宋体"/>
          <w:b/>
          <w:color w:val="auto"/>
          <w:kern w:val="0"/>
          <w:sz w:val="32"/>
          <w:szCs w:val="32"/>
          <w:highlight w:val="none"/>
        </w:rPr>
      </w:pPr>
    </w:p>
    <w:p w14:paraId="219F32A5">
      <w:pPr>
        <w:snapToGrid w:val="0"/>
        <w:spacing w:line="360" w:lineRule="auto"/>
        <w:ind w:right="480"/>
        <w:jc w:val="center"/>
        <w:rPr>
          <w:rFonts w:ascii="宋体" w:hAnsi="宋体" w:cs="宋体"/>
          <w:b/>
          <w:color w:val="auto"/>
          <w:kern w:val="0"/>
          <w:sz w:val="32"/>
          <w:szCs w:val="32"/>
          <w:highlight w:val="none"/>
        </w:rPr>
      </w:pPr>
    </w:p>
    <w:p w14:paraId="68160418">
      <w:pPr>
        <w:snapToGrid w:val="0"/>
        <w:spacing w:line="360" w:lineRule="auto"/>
        <w:ind w:right="480"/>
        <w:jc w:val="center"/>
        <w:rPr>
          <w:rFonts w:ascii="宋体" w:hAnsi="宋体" w:cs="宋体"/>
          <w:b/>
          <w:color w:val="auto"/>
          <w:kern w:val="0"/>
          <w:sz w:val="32"/>
          <w:szCs w:val="32"/>
          <w:highlight w:val="none"/>
        </w:rPr>
      </w:pPr>
    </w:p>
    <w:p w14:paraId="27382DF4">
      <w:pPr>
        <w:snapToGrid w:val="0"/>
        <w:spacing w:line="360" w:lineRule="auto"/>
        <w:ind w:right="480"/>
        <w:jc w:val="center"/>
        <w:rPr>
          <w:rFonts w:ascii="宋体" w:hAnsi="宋体" w:cs="宋体"/>
          <w:b/>
          <w:color w:val="auto"/>
          <w:kern w:val="0"/>
          <w:sz w:val="32"/>
          <w:szCs w:val="32"/>
          <w:highlight w:val="none"/>
        </w:rPr>
      </w:pPr>
    </w:p>
    <w:p w14:paraId="75EE1329">
      <w:pPr>
        <w:snapToGrid w:val="0"/>
        <w:spacing w:line="360" w:lineRule="auto"/>
        <w:ind w:right="480"/>
        <w:jc w:val="center"/>
        <w:rPr>
          <w:rFonts w:ascii="宋体" w:hAnsi="宋体" w:cs="宋体"/>
          <w:b/>
          <w:color w:val="auto"/>
          <w:kern w:val="0"/>
          <w:sz w:val="32"/>
          <w:szCs w:val="32"/>
          <w:highlight w:val="none"/>
        </w:rPr>
      </w:pPr>
    </w:p>
    <w:p w14:paraId="4CDB0DE9">
      <w:pPr>
        <w:snapToGrid w:val="0"/>
        <w:spacing w:line="360" w:lineRule="auto"/>
        <w:ind w:right="480"/>
        <w:jc w:val="center"/>
        <w:rPr>
          <w:rFonts w:ascii="宋体" w:hAnsi="宋体" w:cs="宋体"/>
          <w:b/>
          <w:color w:val="auto"/>
          <w:kern w:val="0"/>
          <w:sz w:val="32"/>
          <w:szCs w:val="32"/>
          <w:highlight w:val="none"/>
        </w:rPr>
      </w:pPr>
    </w:p>
    <w:p w14:paraId="1D7ED75F">
      <w:pPr>
        <w:snapToGrid w:val="0"/>
        <w:spacing w:line="360" w:lineRule="auto"/>
        <w:ind w:right="480"/>
        <w:jc w:val="center"/>
        <w:rPr>
          <w:rFonts w:ascii="宋体" w:hAnsi="宋体" w:cs="宋体"/>
          <w:b/>
          <w:color w:val="auto"/>
          <w:kern w:val="0"/>
          <w:sz w:val="32"/>
          <w:szCs w:val="32"/>
          <w:highlight w:val="none"/>
        </w:rPr>
      </w:pPr>
    </w:p>
    <w:p w14:paraId="77806643">
      <w:pPr>
        <w:snapToGrid w:val="0"/>
        <w:spacing w:line="360" w:lineRule="auto"/>
        <w:ind w:right="480"/>
        <w:jc w:val="center"/>
        <w:rPr>
          <w:rFonts w:ascii="宋体" w:hAnsi="宋体" w:cs="宋体"/>
          <w:b/>
          <w:color w:val="auto"/>
          <w:kern w:val="0"/>
          <w:sz w:val="32"/>
          <w:szCs w:val="32"/>
          <w:highlight w:val="none"/>
        </w:rPr>
      </w:pPr>
    </w:p>
    <w:p w14:paraId="2BF40F9B">
      <w:pPr>
        <w:pStyle w:val="691"/>
        <w:keepNext w:val="0"/>
        <w:pageBreakBefore w:val="0"/>
        <w:tabs>
          <w:tab w:val="clear" w:pos="720"/>
        </w:tabs>
        <w:snapToGrid w:val="0"/>
        <w:spacing w:before="120" w:after="120"/>
        <w:ind w:firstLine="643"/>
        <w:outlineLvl w:val="9"/>
        <w:rPr>
          <w:rFonts w:ascii="宋体" w:hAnsi="宋体" w:eastAsia="宋体" w:cs="宋体"/>
          <w:color w:val="auto"/>
          <w:kern w:val="2"/>
          <w:sz w:val="32"/>
          <w:szCs w:val="32"/>
          <w:highlight w:val="none"/>
        </w:rPr>
        <w:sectPr>
          <w:headerReference r:id="rId21" w:type="first"/>
          <w:footerReference r:id="rId23" w:type="first"/>
          <w:headerReference r:id="rId20" w:type="default"/>
          <w:footerReference r:id="rId22" w:type="default"/>
          <w:pgSz w:w="11906" w:h="16838"/>
          <w:pgMar w:top="1276" w:right="1418" w:bottom="1247" w:left="1418" w:header="851" w:footer="992" w:gutter="0"/>
          <w:cols w:space="720" w:num="1"/>
          <w:titlePg/>
          <w:docGrid w:linePitch="312" w:charSpace="0"/>
        </w:sectPr>
      </w:pPr>
    </w:p>
    <w:p w14:paraId="2C75AEC5">
      <w:pPr>
        <w:pStyle w:val="83"/>
        <w:jc w:val="center"/>
        <w:rPr>
          <w:b/>
          <w:color w:val="auto"/>
          <w:sz w:val="32"/>
          <w:szCs w:val="32"/>
          <w:highlight w:val="none"/>
        </w:rPr>
      </w:pPr>
      <w:r>
        <w:rPr>
          <w:rFonts w:hint="eastAsia"/>
          <w:b/>
          <w:color w:val="auto"/>
          <w:sz w:val="32"/>
          <w:szCs w:val="32"/>
          <w:highlight w:val="none"/>
        </w:rPr>
        <w:t>一、开标一览表（报价表）</w:t>
      </w:r>
    </w:p>
    <w:p w14:paraId="03715A3C">
      <w:pPr>
        <w:snapToGrid w:val="0"/>
        <w:spacing w:line="360" w:lineRule="auto"/>
        <w:rPr>
          <w:rFonts w:ascii="宋体" w:hAnsi="宋体" w:cs="宋体"/>
          <w:color w:val="auto"/>
          <w:kern w:val="0"/>
          <w:sz w:val="24"/>
          <w:highlight w:val="none"/>
        </w:rPr>
      </w:pPr>
      <w:r>
        <w:rPr>
          <w:rFonts w:hint="eastAsia" w:ascii="宋体" w:hAnsi="宋体" w:cs="宋体"/>
          <w:color w:val="auto"/>
          <w:sz w:val="24"/>
          <w:highlight w:val="none"/>
        </w:rPr>
        <w:t>（采购人）、（采购代理机构）</w:t>
      </w:r>
      <w:r>
        <w:rPr>
          <w:rFonts w:hint="eastAsia" w:ascii="宋体" w:hAnsi="宋体" w:cs="宋体"/>
          <w:color w:val="auto"/>
          <w:kern w:val="0"/>
          <w:sz w:val="24"/>
          <w:highlight w:val="none"/>
          <w:lang w:val="zh-CN"/>
        </w:rPr>
        <w:t>：</w:t>
      </w:r>
    </w:p>
    <w:p w14:paraId="1C212EAF">
      <w:pPr>
        <w:snapToGrid w:val="0"/>
        <w:spacing w:line="360" w:lineRule="auto"/>
        <w:ind w:firstLine="482"/>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宋体" w:hAnsi="宋体" w:cs="宋体"/>
          <w:color w:val="auto"/>
          <w:sz w:val="24"/>
          <w:highlight w:val="none"/>
          <w:u w:val="single"/>
        </w:rPr>
        <w:t>（项目名称）</w:t>
      </w:r>
      <w:r>
        <w:rPr>
          <w:rFonts w:hint="eastAsia" w:ascii="宋体" w:hAnsi="宋体" w:cs="宋体"/>
          <w:color w:val="auto"/>
          <w:kern w:val="0"/>
          <w:sz w:val="24"/>
          <w:highlight w:val="none"/>
          <w:u w:val="single"/>
          <w:lang w:val="zh-CN"/>
        </w:rPr>
        <w:t>【招标编号：</w:t>
      </w:r>
      <w:r>
        <w:rPr>
          <w:rFonts w:hint="eastAsia" w:ascii="宋体" w:hAnsi="宋体" w:cs="宋体"/>
          <w:color w:val="auto"/>
          <w:sz w:val="24"/>
          <w:highlight w:val="none"/>
          <w:u w:val="single"/>
        </w:rPr>
        <w:t>（采购编号）】</w:t>
      </w:r>
      <w:r>
        <w:rPr>
          <w:rFonts w:hint="eastAsia" w:ascii="宋体" w:hAnsi="宋体" w:cs="宋体"/>
          <w:color w:val="auto"/>
          <w:sz w:val="24"/>
          <w:highlight w:val="none"/>
        </w:rPr>
        <w:t>的实施</w:t>
      </w:r>
      <w:r>
        <w:rPr>
          <w:rFonts w:hint="eastAsia" w:ascii="宋体" w:hAnsi="宋体" w:cs="宋体"/>
          <w:color w:val="auto"/>
          <w:kern w:val="0"/>
          <w:sz w:val="24"/>
          <w:highlight w:val="none"/>
          <w:lang w:val="zh-CN"/>
        </w:rPr>
        <w:t>。</w:t>
      </w:r>
    </w:p>
    <w:p w14:paraId="58EDD23B">
      <w:pPr>
        <w:spacing w:line="360" w:lineRule="auto"/>
        <w:jc w:val="center"/>
        <w:rPr>
          <w:rFonts w:hint="eastAsia" w:ascii="宋体" w:hAnsi="宋体" w:cs="宋体"/>
          <w:b/>
          <w:color w:val="auto"/>
          <w:kern w:val="0"/>
          <w:sz w:val="24"/>
          <w:highlight w:val="none"/>
          <w:lang w:val="zh-CN"/>
        </w:rPr>
      </w:pPr>
      <w:r>
        <w:rPr>
          <w:rFonts w:hint="eastAsia" w:ascii="宋体" w:hAnsi="宋体" w:cs="宋体"/>
          <w:b/>
          <w:color w:val="auto"/>
          <w:kern w:val="0"/>
          <w:sz w:val="24"/>
          <w:highlight w:val="none"/>
          <w:lang w:val="zh-CN"/>
        </w:rPr>
        <w:t>开标一览表（报价表）(单位均为人民币元)</w:t>
      </w:r>
    </w:p>
    <w:p w14:paraId="284868E5">
      <w:pPr>
        <w:pStyle w:val="2"/>
        <w:ind w:firstLine="5705" w:firstLineChars="2368"/>
        <w:jc w:val="both"/>
        <w:rPr>
          <w:rFonts w:hint="default" w:eastAsia="宋体"/>
          <w:highlight w:val="none"/>
          <w:u w:val="single"/>
          <w:lang w:val="en-US" w:eastAsia="zh-CN"/>
        </w:rPr>
      </w:pPr>
      <w:r>
        <w:rPr>
          <w:rFonts w:hint="eastAsia" w:hAnsi="宋体" w:cs="宋体"/>
          <w:b/>
          <w:color w:val="auto"/>
          <w:kern w:val="0"/>
          <w:sz w:val="24"/>
          <w:highlight w:val="none"/>
          <w:lang w:val="zh-CN"/>
        </w:rPr>
        <w:t>标项号：</w:t>
      </w:r>
      <w:r>
        <w:rPr>
          <w:rFonts w:hint="eastAsia" w:hAnsi="宋体" w:cs="宋体"/>
          <w:b/>
          <w:color w:val="auto"/>
          <w:kern w:val="0"/>
          <w:sz w:val="24"/>
          <w:highlight w:val="none"/>
          <w:u w:val="single"/>
          <w:lang w:val="en-US" w:eastAsia="zh-CN"/>
        </w:rPr>
        <w:t xml:space="preserve">         </w:t>
      </w:r>
      <w:r>
        <w:rPr>
          <w:rFonts w:hint="eastAsia" w:hAnsi="宋体" w:cs="宋体"/>
          <w:b/>
          <w:color w:val="auto"/>
          <w:kern w:val="0"/>
          <w:sz w:val="24"/>
          <w:highlight w:val="none"/>
          <w:lang w:val="en-US" w:eastAsia="zh-CN"/>
        </w:rPr>
        <w:t xml:space="preserve">  </w:t>
      </w:r>
    </w:p>
    <w:tbl>
      <w:tblPr>
        <w:tblStyle w:val="63"/>
        <w:tblW w:w="1513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7"/>
        <w:gridCol w:w="992"/>
        <w:gridCol w:w="2268"/>
        <w:gridCol w:w="2410"/>
        <w:gridCol w:w="2268"/>
        <w:gridCol w:w="2126"/>
        <w:gridCol w:w="2127"/>
        <w:gridCol w:w="2126"/>
      </w:tblGrid>
      <w:tr w14:paraId="43841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3" w:hRule="atLeast"/>
        </w:trPr>
        <w:tc>
          <w:tcPr>
            <w:tcW w:w="817" w:type="dxa"/>
            <w:vAlign w:val="center"/>
          </w:tcPr>
          <w:p w14:paraId="0F3E6C60">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序号</w:t>
            </w:r>
          </w:p>
        </w:tc>
        <w:tc>
          <w:tcPr>
            <w:tcW w:w="992" w:type="dxa"/>
            <w:vAlign w:val="center"/>
          </w:tcPr>
          <w:p w14:paraId="375E9CFB">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名称</w:t>
            </w:r>
          </w:p>
        </w:tc>
        <w:tc>
          <w:tcPr>
            <w:tcW w:w="2268" w:type="dxa"/>
          </w:tcPr>
          <w:p w14:paraId="24729058">
            <w:pPr>
              <w:spacing w:line="360" w:lineRule="auto"/>
              <w:jc w:val="center"/>
              <w:rPr>
                <w:rFonts w:ascii="宋体" w:hAnsi="宋体" w:cs="宋体"/>
                <w:b/>
                <w:color w:val="auto"/>
                <w:sz w:val="24"/>
                <w:highlight w:val="none"/>
              </w:rPr>
            </w:pPr>
          </w:p>
          <w:p w14:paraId="27500519">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服务范围</w:t>
            </w:r>
          </w:p>
        </w:tc>
        <w:tc>
          <w:tcPr>
            <w:tcW w:w="2410" w:type="dxa"/>
            <w:vAlign w:val="center"/>
          </w:tcPr>
          <w:p w14:paraId="481E6E9F">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服务要求</w:t>
            </w:r>
          </w:p>
        </w:tc>
        <w:tc>
          <w:tcPr>
            <w:tcW w:w="2268" w:type="dxa"/>
            <w:vAlign w:val="center"/>
          </w:tcPr>
          <w:p w14:paraId="6E84DDF0">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服务时间</w:t>
            </w:r>
          </w:p>
        </w:tc>
        <w:tc>
          <w:tcPr>
            <w:tcW w:w="2126" w:type="dxa"/>
            <w:vAlign w:val="center"/>
          </w:tcPr>
          <w:p w14:paraId="0AE6B771">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服务标准</w:t>
            </w:r>
          </w:p>
        </w:tc>
        <w:tc>
          <w:tcPr>
            <w:tcW w:w="2127" w:type="dxa"/>
          </w:tcPr>
          <w:p w14:paraId="377FB9C9">
            <w:pPr>
              <w:spacing w:line="360" w:lineRule="auto"/>
              <w:jc w:val="center"/>
              <w:rPr>
                <w:rFonts w:ascii="宋体" w:hAnsi="宋体" w:cs="宋体"/>
                <w:b/>
                <w:color w:val="auto"/>
                <w:sz w:val="24"/>
                <w:highlight w:val="none"/>
              </w:rPr>
            </w:pPr>
          </w:p>
          <w:p w14:paraId="54F1E1CD">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服务人数</w:t>
            </w:r>
          </w:p>
        </w:tc>
        <w:tc>
          <w:tcPr>
            <w:tcW w:w="2126" w:type="dxa"/>
            <w:vAlign w:val="center"/>
          </w:tcPr>
          <w:p w14:paraId="3C541C79">
            <w:pPr>
              <w:spacing w:line="360" w:lineRule="auto"/>
              <w:jc w:val="center"/>
              <w:rPr>
                <w:rFonts w:ascii="宋体" w:hAnsi="宋体" w:cs="宋体"/>
                <w:b/>
                <w:color w:val="auto"/>
                <w:sz w:val="24"/>
                <w:highlight w:val="none"/>
              </w:rPr>
            </w:pPr>
          </w:p>
          <w:p w14:paraId="28E9487D">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备注（如果有）</w:t>
            </w:r>
          </w:p>
          <w:p w14:paraId="545B0951">
            <w:pPr>
              <w:spacing w:line="360" w:lineRule="auto"/>
              <w:jc w:val="center"/>
              <w:rPr>
                <w:rFonts w:ascii="宋体" w:hAnsi="宋体" w:cs="宋体"/>
                <w:b/>
                <w:color w:val="auto"/>
                <w:sz w:val="24"/>
                <w:highlight w:val="none"/>
              </w:rPr>
            </w:pPr>
          </w:p>
        </w:tc>
      </w:tr>
      <w:tr w14:paraId="03054D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817" w:type="dxa"/>
            <w:vAlign w:val="center"/>
          </w:tcPr>
          <w:p w14:paraId="6BBBCB7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1</w:t>
            </w:r>
          </w:p>
        </w:tc>
        <w:tc>
          <w:tcPr>
            <w:tcW w:w="992" w:type="dxa"/>
            <w:vAlign w:val="center"/>
          </w:tcPr>
          <w:p w14:paraId="4B6C109E">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2268" w:type="dxa"/>
            <w:vAlign w:val="center"/>
          </w:tcPr>
          <w:p w14:paraId="73A7264B">
            <w:pPr>
              <w:snapToGrid w:val="0"/>
              <w:spacing w:line="360" w:lineRule="auto"/>
              <w:jc w:val="center"/>
              <w:rPr>
                <w:rFonts w:ascii="宋体" w:hAnsi="宋体" w:cs="宋体"/>
                <w:color w:val="auto"/>
                <w:sz w:val="24"/>
                <w:highlight w:val="none"/>
              </w:rPr>
            </w:pPr>
          </w:p>
        </w:tc>
        <w:tc>
          <w:tcPr>
            <w:tcW w:w="2410" w:type="dxa"/>
            <w:vAlign w:val="center"/>
          </w:tcPr>
          <w:p w14:paraId="3FC7A0C2">
            <w:pPr>
              <w:snapToGrid w:val="0"/>
              <w:spacing w:line="360" w:lineRule="auto"/>
              <w:jc w:val="center"/>
              <w:rPr>
                <w:rFonts w:ascii="宋体" w:hAnsi="宋体" w:cs="宋体"/>
                <w:color w:val="auto"/>
                <w:sz w:val="24"/>
                <w:highlight w:val="none"/>
              </w:rPr>
            </w:pPr>
          </w:p>
        </w:tc>
        <w:tc>
          <w:tcPr>
            <w:tcW w:w="2268" w:type="dxa"/>
            <w:vAlign w:val="center"/>
          </w:tcPr>
          <w:p w14:paraId="740AB95C">
            <w:pPr>
              <w:snapToGrid w:val="0"/>
              <w:spacing w:line="360" w:lineRule="auto"/>
              <w:jc w:val="center"/>
              <w:rPr>
                <w:rFonts w:ascii="宋体" w:hAnsi="宋体" w:cs="宋体"/>
                <w:color w:val="auto"/>
                <w:sz w:val="24"/>
                <w:highlight w:val="none"/>
              </w:rPr>
            </w:pPr>
          </w:p>
        </w:tc>
        <w:tc>
          <w:tcPr>
            <w:tcW w:w="2126" w:type="dxa"/>
            <w:vAlign w:val="center"/>
          </w:tcPr>
          <w:p w14:paraId="34D2BB9F">
            <w:pPr>
              <w:spacing w:line="360" w:lineRule="auto"/>
              <w:jc w:val="center"/>
              <w:rPr>
                <w:rFonts w:ascii="宋体" w:hAnsi="宋体" w:cs="宋体"/>
                <w:color w:val="auto"/>
                <w:sz w:val="24"/>
                <w:highlight w:val="none"/>
              </w:rPr>
            </w:pPr>
          </w:p>
        </w:tc>
        <w:tc>
          <w:tcPr>
            <w:tcW w:w="2127" w:type="dxa"/>
          </w:tcPr>
          <w:p w14:paraId="34E7B4BF">
            <w:pPr>
              <w:spacing w:line="360" w:lineRule="auto"/>
              <w:jc w:val="center"/>
              <w:rPr>
                <w:rFonts w:ascii="宋体" w:hAnsi="宋体" w:cs="宋体"/>
                <w:color w:val="auto"/>
                <w:sz w:val="24"/>
                <w:highlight w:val="none"/>
              </w:rPr>
            </w:pPr>
          </w:p>
        </w:tc>
        <w:tc>
          <w:tcPr>
            <w:tcW w:w="2126" w:type="dxa"/>
            <w:vAlign w:val="center"/>
          </w:tcPr>
          <w:p w14:paraId="07679607">
            <w:pPr>
              <w:spacing w:line="360" w:lineRule="auto"/>
              <w:jc w:val="center"/>
              <w:rPr>
                <w:rFonts w:ascii="宋体" w:hAnsi="宋体" w:cs="宋体"/>
                <w:color w:val="auto"/>
                <w:sz w:val="24"/>
                <w:highlight w:val="none"/>
              </w:rPr>
            </w:pPr>
          </w:p>
        </w:tc>
      </w:tr>
      <w:tr w14:paraId="129CD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77300668">
            <w:pPr>
              <w:spacing w:line="360" w:lineRule="auto"/>
              <w:jc w:val="center"/>
              <w:rPr>
                <w:rFonts w:ascii="宋体" w:hAnsi="宋体" w:cs="宋体"/>
                <w:color w:val="auto"/>
                <w:sz w:val="24"/>
                <w:highlight w:val="none"/>
              </w:rPr>
            </w:pPr>
            <w:r>
              <w:rPr>
                <w:rFonts w:hint="eastAsia" w:ascii="宋体" w:hAnsi="宋体" w:cs="宋体"/>
                <w:color w:val="auto"/>
                <w:sz w:val="24"/>
                <w:highlight w:val="none"/>
              </w:rPr>
              <w:t>2</w:t>
            </w:r>
          </w:p>
        </w:tc>
        <w:tc>
          <w:tcPr>
            <w:tcW w:w="992" w:type="dxa"/>
            <w:vAlign w:val="center"/>
          </w:tcPr>
          <w:p w14:paraId="396D7832">
            <w:pPr>
              <w:snapToGrid w:val="0"/>
              <w:spacing w:line="360" w:lineRule="auto"/>
              <w:jc w:val="center"/>
              <w:rPr>
                <w:rFonts w:ascii="宋体" w:hAnsi="宋体" w:cs="宋体"/>
                <w:color w:val="auto"/>
                <w:sz w:val="24"/>
                <w:highlight w:val="none"/>
              </w:rPr>
            </w:pPr>
            <w:r>
              <w:rPr>
                <w:rFonts w:hint="eastAsia" w:ascii="宋体" w:hAnsi="宋体" w:cs="宋体"/>
                <w:color w:val="auto"/>
                <w:sz w:val="24"/>
                <w:highlight w:val="none"/>
              </w:rPr>
              <w:t>X</w:t>
            </w:r>
            <w:r>
              <w:rPr>
                <w:rFonts w:ascii="宋体" w:hAnsi="宋体" w:cs="宋体"/>
                <w:color w:val="auto"/>
                <w:sz w:val="24"/>
                <w:highlight w:val="none"/>
              </w:rPr>
              <w:t>X</w:t>
            </w:r>
          </w:p>
        </w:tc>
        <w:tc>
          <w:tcPr>
            <w:tcW w:w="2268" w:type="dxa"/>
            <w:vAlign w:val="center"/>
          </w:tcPr>
          <w:p w14:paraId="17119670">
            <w:pPr>
              <w:snapToGrid w:val="0"/>
              <w:spacing w:line="360" w:lineRule="auto"/>
              <w:jc w:val="center"/>
              <w:rPr>
                <w:rFonts w:ascii="宋体" w:hAnsi="宋体" w:cs="宋体"/>
                <w:color w:val="auto"/>
                <w:sz w:val="24"/>
                <w:highlight w:val="none"/>
              </w:rPr>
            </w:pPr>
          </w:p>
        </w:tc>
        <w:tc>
          <w:tcPr>
            <w:tcW w:w="2410" w:type="dxa"/>
            <w:vAlign w:val="center"/>
          </w:tcPr>
          <w:p w14:paraId="39CF7854">
            <w:pPr>
              <w:snapToGrid w:val="0"/>
              <w:spacing w:line="360" w:lineRule="auto"/>
              <w:jc w:val="center"/>
              <w:rPr>
                <w:rFonts w:ascii="宋体" w:hAnsi="宋体" w:cs="宋体"/>
                <w:color w:val="auto"/>
                <w:sz w:val="24"/>
                <w:highlight w:val="none"/>
              </w:rPr>
            </w:pPr>
          </w:p>
        </w:tc>
        <w:tc>
          <w:tcPr>
            <w:tcW w:w="2268" w:type="dxa"/>
            <w:vAlign w:val="center"/>
          </w:tcPr>
          <w:p w14:paraId="456BB4DB">
            <w:pPr>
              <w:snapToGrid w:val="0"/>
              <w:spacing w:line="360" w:lineRule="auto"/>
              <w:jc w:val="center"/>
              <w:rPr>
                <w:rFonts w:ascii="宋体" w:hAnsi="宋体" w:cs="宋体"/>
                <w:color w:val="auto"/>
                <w:sz w:val="24"/>
                <w:highlight w:val="none"/>
              </w:rPr>
            </w:pPr>
          </w:p>
        </w:tc>
        <w:tc>
          <w:tcPr>
            <w:tcW w:w="2126" w:type="dxa"/>
            <w:vAlign w:val="center"/>
          </w:tcPr>
          <w:p w14:paraId="7F6010FB">
            <w:pPr>
              <w:spacing w:line="360" w:lineRule="auto"/>
              <w:jc w:val="center"/>
              <w:rPr>
                <w:rFonts w:ascii="宋体" w:hAnsi="宋体" w:cs="宋体"/>
                <w:color w:val="auto"/>
                <w:sz w:val="24"/>
                <w:highlight w:val="none"/>
              </w:rPr>
            </w:pPr>
          </w:p>
        </w:tc>
        <w:tc>
          <w:tcPr>
            <w:tcW w:w="2127" w:type="dxa"/>
          </w:tcPr>
          <w:p w14:paraId="319CA587">
            <w:pPr>
              <w:spacing w:line="360" w:lineRule="auto"/>
              <w:jc w:val="center"/>
              <w:rPr>
                <w:rFonts w:ascii="宋体" w:hAnsi="宋体" w:cs="宋体"/>
                <w:color w:val="auto"/>
                <w:sz w:val="24"/>
                <w:highlight w:val="none"/>
              </w:rPr>
            </w:pPr>
          </w:p>
        </w:tc>
        <w:tc>
          <w:tcPr>
            <w:tcW w:w="2126" w:type="dxa"/>
            <w:vAlign w:val="center"/>
          </w:tcPr>
          <w:p w14:paraId="09E981E1">
            <w:pPr>
              <w:spacing w:line="360" w:lineRule="auto"/>
              <w:jc w:val="center"/>
              <w:rPr>
                <w:rFonts w:ascii="宋体" w:hAnsi="宋体" w:cs="宋体"/>
                <w:color w:val="auto"/>
                <w:sz w:val="24"/>
                <w:highlight w:val="none"/>
              </w:rPr>
            </w:pPr>
          </w:p>
        </w:tc>
      </w:tr>
      <w:tr w14:paraId="4AAF2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48883865">
            <w:pPr>
              <w:spacing w:line="360" w:lineRule="auto"/>
              <w:jc w:val="center"/>
              <w:rPr>
                <w:rFonts w:ascii="宋体" w:hAnsi="宋体" w:cs="宋体"/>
                <w:color w:val="auto"/>
                <w:sz w:val="24"/>
                <w:highlight w:val="none"/>
              </w:rPr>
            </w:pPr>
            <w:r>
              <w:rPr>
                <w:rFonts w:hint="eastAsia" w:ascii="宋体" w:hAnsi="宋体" w:cs="宋体"/>
                <w:color w:val="auto"/>
                <w:sz w:val="24"/>
                <w:highlight w:val="none"/>
              </w:rPr>
              <w:t>…</w:t>
            </w:r>
          </w:p>
        </w:tc>
        <w:tc>
          <w:tcPr>
            <w:tcW w:w="992" w:type="dxa"/>
            <w:vAlign w:val="center"/>
          </w:tcPr>
          <w:p w14:paraId="3E116052">
            <w:pPr>
              <w:snapToGrid w:val="0"/>
              <w:spacing w:line="360" w:lineRule="auto"/>
              <w:jc w:val="center"/>
              <w:rPr>
                <w:rFonts w:ascii="宋体" w:hAnsi="宋体" w:cs="宋体"/>
                <w:color w:val="auto"/>
                <w:sz w:val="24"/>
                <w:highlight w:val="none"/>
              </w:rPr>
            </w:pPr>
          </w:p>
        </w:tc>
        <w:tc>
          <w:tcPr>
            <w:tcW w:w="2268" w:type="dxa"/>
            <w:vAlign w:val="center"/>
          </w:tcPr>
          <w:p w14:paraId="683D7766">
            <w:pPr>
              <w:snapToGrid w:val="0"/>
              <w:spacing w:line="360" w:lineRule="auto"/>
              <w:jc w:val="center"/>
              <w:rPr>
                <w:rFonts w:ascii="宋体" w:hAnsi="宋体" w:cs="宋体"/>
                <w:color w:val="auto"/>
                <w:sz w:val="24"/>
                <w:highlight w:val="none"/>
              </w:rPr>
            </w:pPr>
          </w:p>
        </w:tc>
        <w:tc>
          <w:tcPr>
            <w:tcW w:w="2410" w:type="dxa"/>
            <w:vAlign w:val="center"/>
          </w:tcPr>
          <w:p w14:paraId="10D051DA">
            <w:pPr>
              <w:snapToGrid w:val="0"/>
              <w:spacing w:line="360" w:lineRule="auto"/>
              <w:jc w:val="center"/>
              <w:rPr>
                <w:rFonts w:ascii="宋体" w:hAnsi="宋体" w:cs="宋体"/>
                <w:color w:val="auto"/>
                <w:sz w:val="24"/>
                <w:highlight w:val="none"/>
              </w:rPr>
            </w:pPr>
          </w:p>
        </w:tc>
        <w:tc>
          <w:tcPr>
            <w:tcW w:w="2268" w:type="dxa"/>
            <w:vAlign w:val="center"/>
          </w:tcPr>
          <w:p w14:paraId="5B220C37">
            <w:pPr>
              <w:snapToGrid w:val="0"/>
              <w:spacing w:line="360" w:lineRule="auto"/>
              <w:jc w:val="center"/>
              <w:rPr>
                <w:rFonts w:ascii="宋体" w:hAnsi="宋体" w:cs="宋体"/>
                <w:color w:val="auto"/>
                <w:sz w:val="24"/>
                <w:highlight w:val="none"/>
              </w:rPr>
            </w:pPr>
          </w:p>
        </w:tc>
        <w:tc>
          <w:tcPr>
            <w:tcW w:w="2126" w:type="dxa"/>
            <w:vAlign w:val="center"/>
          </w:tcPr>
          <w:p w14:paraId="3FFA2507">
            <w:pPr>
              <w:spacing w:line="360" w:lineRule="auto"/>
              <w:jc w:val="center"/>
              <w:rPr>
                <w:rFonts w:ascii="宋体" w:hAnsi="宋体" w:cs="宋体"/>
                <w:color w:val="auto"/>
                <w:sz w:val="24"/>
                <w:highlight w:val="none"/>
              </w:rPr>
            </w:pPr>
          </w:p>
        </w:tc>
        <w:tc>
          <w:tcPr>
            <w:tcW w:w="2127" w:type="dxa"/>
          </w:tcPr>
          <w:p w14:paraId="754C9BF0">
            <w:pPr>
              <w:spacing w:line="360" w:lineRule="auto"/>
              <w:jc w:val="center"/>
              <w:rPr>
                <w:rFonts w:ascii="宋体" w:hAnsi="宋体" w:cs="宋体"/>
                <w:color w:val="auto"/>
                <w:sz w:val="24"/>
                <w:highlight w:val="none"/>
              </w:rPr>
            </w:pPr>
          </w:p>
        </w:tc>
        <w:tc>
          <w:tcPr>
            <w:tcW w:w="2126" w:type="dxa"/>
            <w:vAlign w:val="center"/>
          </w:tcPr>
          <w:p w14:paraId="3C6DBED4">
            <w:pPr>
              <w:spacing w:line="360" w:lineRule="auto"/>
              <w:jc w:val="center"/>
              <w:rPr>
                <w:rFonts w:ascii="宋体" w:hAnsi="宋体" w:cs="宋体"/>
                <w:color w:val="auto"/>
                <w:sz w:val="24"/>
                <w:highlight w:val="none"/>
              </w:rPr>
            </w:pPr>
          </w:p>
        </w:tc>
      </w:tr>
      <w:tr w14:paraId="7A961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24528403">
            <w:pPr>
              <w:spacing w:line="360" w:lineRule="auto"/>
              <w:jc w:val="center"/>
              <w:rPr>
                <w:rFonts w:ascii="宋体" w:hAnsi="宋体" w:cs="宋体"/>
                <w:color w:val="auto"/>
                <w:sz w:val="24"/>
                <w:highlight w:val="none"/>
              </w:rPr>
            </w:pPr>
          </w:p>
        </w:tc>
        <w:tc>
          <w:tcPr>
            <w:tcW w:w="992" w:type="dxa"/>
            <w:vAlign w:val="center"/>
          </w:tcPr>
          <w:p w14:paraId="11D78D39">
            <w:pPr>
              <w:snapToGrid w:val="0"/>
              <w:spacing w:line="360" w:lineRule="auto"/>
              <w:jc w:val="center"/>
              <w:rPr>
                <w:rFonts w:ascii="宋体" w:hAnsi="宋体" w:cs="宋体"/>
                <w:color w:val="auto"/>
                <w:sz w:val="24"/>
                <w:highlight w:val="none"/>
              </w:rPr>
            </w:pPr>
          </w:p>
        </w:tc>
        <w:tc>
          <w:tcPr>
            <w:tcW w:w="2268" w:type="dxa"/>
            <w:vAlign w:val="center"/>
          </w:tcPr>
          <w:p w14:paraId="312684FA">
            <w:pPr>
              <w:snapToGrid w:val="0"/>
              <w:spacing w:line="360" w:lineRule="auto"/>
              <w:jc w:val="center"/>
              <w:rPr>
                <w:rFonts w:ascii="宋体" w:hAnsi="宋体" w:cs="宋体"/>
                <w:color w:val="auto"/>
                <w:sz w:val="24"/>
                <w:highlight w:val="none"/>
              </w:rPr>
            </w:pPr>
          </w:p>
        </w:tc>
        <w:tc>
          <w:tcPr>
            <w:tcW w:w="2410" w:type="dxa"/>
            <w:vAlign w:val="center"/>
          </w:tcPr>
          <w:p w14:paraId="69A16898">
            <w:pPr>
              <w:snapToGrid w:val="0"/>
              <w:spacing w:line="360" w:lineRule="auto"/>
              <w:jc w:val="center"/>
              <w:rPr>
                <w:rFonts w:ascii="宋体" w:hAnsi="宋体" w:cs="宋体"/>
                <w:color w:val="auto"/>
                <w:sz w:val="24"/>
                <w:highlight w:val="none"/>
              </w:rPr>
            </w:pPr>
          </w:p>
        </w:tc>
        <w:tc>
          <w:tcPr>
            <w:tcW w:w="2268" w:type="dxa"/>
            <w:vAlign w:val="center"/>
          </w:tcPr>
          <w:p w14:paraId="177FD467">
            <w:pPr>
              <w:snapToGrid w:val="0"/>
              <w:spacing w:line="360" w:lineRule="auto"/>
              <w:jc w:val="center"/>
              <w:rPr>
                <w:rFonts w:ascii="宋体" w:hAnsi="宋体" w:cs="宋体"/>
                <w:color w:val="auto"/>
                <w:sz w:val="24"/>
                <w:highlight w:val="none"/>
              </w:rPr>
            </w:pPr>
          </w:p>
        </w:tc>
        <w:tc>
          <w:tcPr>
            <w:tcW w:w="2126" w:type="dxa"/>
            <w:vAlign w:val="center"/>
          </w:tcPr>
          <w:p w14:paraId="48FCCB79">
            <w:pPr>
              <w:spacing w:line="360" w:lineRule="auto"/>
              <w:jc w:val="center"/>
              <w:rPr>
                <w:rFonts w:ascii="宋体" w:hAnsi="宋体" w:cs="宋体"/>
                <w:color w:val="auto"/>
                <w:sz w:val="24"/>
                <w:highlight w:val="none"/>
              </w:rPr>
            </w:pPr>
          </w:p>
        </w:tc>
        <w:tc>
          <w:tcPr>
            <w:tcW w:w="2127" w:type="dxa"/>
          </w:tcPr>
          <w:p w14:paraId="0E22DD3C">
            <w:pPr>
              <w:spacing w:line="360" w:lineRule="auto"/>
              <w:jc w:val="center"/>
              <w:rPr>
                <w:rFonts w:ascii="宋体" w:hAnsi="宋体" w:cs="宋体"/>
                <w:color w:val="auto"/>
                <w:sz w:val="24"/>
                <w:highlight w:val="none"/>
              </w:rPr>
            </w:pPr>
          </w:p>
        </w:tc>
        <w:tc>
          <w:tcPr>
            <w:tcW w:w="2126" w:type="dxa"/>
            <w:vAlign w:val="center"/>
          </w:tcPr>
          <w:p w14:paraId="11AC50AA">
            <w:pPr>
              <w:spacing w:line="360" w:lineRule="auto"/>
              <w:jc w:val="center"/>
              <w:rPr>
                <w:rFonts w:ascii="宋体" w:hAnsi="宋体" w:cs="宋体"/>
                <w:color w:val="auto"/>
                <w:sz w:val="24"/>
                <w:highlight w:val="none"/>
              </w:rPr>
            </w:pPr>
          </w:p>
        </w:tc>
      </w:tr>
      <w:tr w14:paraId="4DED8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817" w:type="dxa"/>
            <w:vAlign w:val="center"/>
          </w:tcPr>
          <w:p w14:paraId="20F9F480">
            <w:pPr>
              <w:spacing w:line="360" w:lineRule="auto"/>
              <w:jc w:val="center"/>
              <w:rPr>
                <w:rFonts w:ascii="宋体" w:hAnsi="宋体" w:cs="宋体"/>
                <w:color w:val="auto"/>
                <w:sz w:val="24"/>
                <w:highlight w:val="none"/>
              </w:rPr>
            </w:pPr>
          </w:p>
        </w:tc>
        <w:tc>
          <w:tcPr>
            <w:tcW w:w="992" w:type="dxa"/>
            <w:vAlign w:val="center"/>
          </w:tcPr>
          <w:p w14:paraId="45BDF88D">
            <w:pPr>
              <w:snapToGrid w:val="0"/>
              <w:spacing w:line="360" w:lineRule="auto"/>
              <w:jc w:val="center"/>
              <w:rPr>
                <w:rFonts w:ascii="宋体" w:hAnsi="宋体" w:cs="宋体"/>
                <w:color w:val="auto"/>
                <w:sz w:val="24"/>
                <w:highlight w:val="none"/>
              </w:rPr>
            </w:pPr>
          </w:p>
        </w:tc>
        <w:tc>
          <w:tcPr>
            <w:tcW w:w="2268" w:type="dxa"/>
            <w:vAlign w:val="center"/>
          </w:tcPr>
          <w:p w14:paraId="51455DC9">
            <w:pPr>
              <w:snapToGrid w:val="0"/>
              <w:spacing w:line="360" w:lineRule="auto"/>
              <w:jc w:val="center"/>
              <w:rPr>
                <w:rFonts w:ascii="宋体" w:hAnsi="宋体" w:cs="宋体"/>
                <w:color w:val="auto"/>
                <w:sz w:val="24"/>
                <w:highlight w:val="none"/>
              </w:rPr>
            </w:pPr>
          </w:p>
        </w:tc>
        <w:tc>
          <w:tcPr>
            <w:tcW w:w="2410" w:type="dxa"/>
            <w:vAlign w:val="center"/>
          </w:tcPr>
          <w:p w14:paraId="210E16E4">
            <w:pPr>
              <w:snapToGrid w:val="0"/>
              <w:spacing w:line="360" w:lineRule="auto"/>
              <w:jc w:val="center"/>
              <w:rPr>
                <w:rFonts w:ascii="宋体" w:hAnsi="宋体" w:cs="宋体"/>
                <w:color w:val="auto"/>
                <w:sz w:val="24"/>
                <w:highlight w:val="none"/>
              </w:rPr>
            </w:pPr>
          </w:p>
        </w:tc>
        <w:tc>
          <w:tcPr>
            <w:tcW w:w="2268" w:type="dxa"/>
            <w:vAlign w:val="center"/>
          </w:tcPr>
          <w:p w14:paraId="555BE332">
            <w:pPr>
              <w:snapToGrid w:val="0"/>
              <w:spacing w:line="360" w:lineRule="auto"/>
              <w:jc w:val="center"/>
              <w:rPr>
                <w:rFonts w:ascii="宋体" w:hAnsi="宋体" w:cs="宋体"/>
                <w:color w:val="auto"/>
                <w:sz w:val="24"/>
                <w:highlight w:val="none"/>
              </w:rPr>
            </w:pPr>
          </w:p>
        </w:tc>
        <w:tc>
          <w:tcPr>
            <w:tcW w:w="2126" w:type="dxa"/>
            <w:vAlign w:val="center"/>
          </w:tcPr>
          <w:p w14:paraId="4D912FE5">
            <w:pPr>
              <w:spacing w:line="360" w:lineRule="auto"/>
              <w:jc w:val="center"/>
              <w:rPr>
                <w:rFonts w:ascii="宋体" w:hAnsi="宋体" w:cs="宋体"/>
                <w:color w:val="auto"/>
                <w:sz w:val="24"/>
                <w:highlight w:val="none"/>
              </w:rPr>
            </w:pPr>
          </w:p>
        </w:tc>
        <w:tc>
          <w:tcPr>
            <w:tcW w:w="2127" w:type="dxa"/>
          </w:tcPr>
          <w:p w14:paraId="530B054C">
            <w:pPr>
              <w:spacing w:line="360" w:lineRule="auto"/>
              <w:jc w:val="center"/>
              <w:rPr>
                <w:rFonts w:ascii="宋体" w:hAnsi="宋体" w:cs="宋体"/>
                <w:color w:val="auto"/>
                <w:sz w:val="24"/>
                <w:highlight w:val="none"/>
              </w:rPr>
            </w:pPr>
          </w:p>
        </w:tc>
        <w:tc>
          <w:tcPr>
            <w:tcW w:w="2126" w:type="dxa"/>
            <w:vAlign w:val="center"/>
          </w:tcPr>
          <w:p w14:paraId="5CFA73A6">
            <w:pPr>
              <w:spacing w:line="360" w:lineRule="auto"/>
              <w:jc w:val="center"/>
              <w:rPr>
                <w:rFonts w:ascii="宋体" w:hAnsi="宋体" w:cs="宋体"/>
                <w:color w:val="auto"/>
                <w:sz w:val="24"/>
                <w:highlight w:val="none"/>
              </w:rPr>
            </w:pPr>
          </w:p>
        </w:tc>
      </w:tr>
      <w:tr w14:paraId="2B090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trPr>
        <w:tc>
          <w:tcPr>
            <w:tcW w:w="6487" w:type="dxa"/>
            <w:gridSpan w:val="4"/>
            <w:vAlign w:val="center"/>
          </w:tcPr>
          <w:p w14:paraId="2AE17E11">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投标报价（小写）</w:t>
            </w:r>
          </w:p>
        </w:tc>
        <w:tc>
          <w:tcPr>
            <w:tcW w:w="8647" w:type="dxa"/>
            <w:gridSpan w:val="4"/>
          </w:tcPr>
          <w:p w14:paraId="18FEA0BD">
            <w:pPr>
              <w:spacing w:line="360" w:lineRule="auto"/>
              <w:jc w:val="center"/>
              <w:rPr>
                <w:rFonts w:ascii="宋体" w:hAnsi="宋体" w:cs="宋体"/>
                <w:color w:val="auto"/>
                <w:sz w:val="24"/>
                <w:highlight w:val="none"/>
              </w:rPr>
            </w:pPr>
          </w:p>
        </w:tc>
      </w:tr>
      <w:tr w14:paraId="4F70EF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6487" w:type="dxa"/>
            <w:gridSpan w:val="4"/>
            <w:vAlign w:val="center"/>
          </w:tcPr>
          <w:p w14:paraId="35921BED">
            <w:pPr>
              <w:spacing w:line="360" w:lineRule="auto"/>
              <w:jc w:val="center"/>
              <w:rPr>
                <w:rFonts w:ascii="宋体" w:hAnsi="宋体" w:cs="宋体"/>
                <w:b/>
                <w:color w:val="auto"/>
                <w:sz w:val="24"/>
                <w:highlight w:val="none"/>
              </w:rPr>
            </w:pPr>
            <w:r>
              <w:rPr>
                <w:rFonts w:hint="eastAsia" w:ascii="宋体" w:hAnsi="宋体" w:cs="宋体"/>
                <w:b/>
                <w:color w:val="auto"/>
                <w:sz w:val="24"/>
                <w:highlight w:val="none"/>
              </w:rPr>
              <w:t>投标报价（大写）</w:t>
            </w:r>
          </w:p>
        </w:tc>
        <w:tc>
          <w:tcPr>
            <w:tcW w:w="8647" w:type="dxa"/>
            <w:gridSpan w:val="4"/>
          </w:tcPr>
          <w:p w14:paraId="15CDEA43">
            <w:pPr>
              <w:spacing w:line="360" w:lineRule="auto"/>
              <w:jc w:val="center"/>
              <w:rPr>
                <w:rFonts w:ascii="宋体" w:hAnsi="宋体" w:cs="宋体"/>
                <w:color w:val="auto"/>
                <w:sz w:val="24"/>
                <w:highlight w:val="none"/>
              </w:rPr>
            </w:pPr>
          </w:p>
        </w:tc>
      </w:tr>
    </w:tbl>
    <w:p w14:paraId="780A7812">
      <w:pPr>
        <w:snapToGrid w:val="0"/>
        <w:spacing w:line="360" w:lineRule="auto"/>
        <w:ind w:left="480"/>
        <w:rPr>
          <w:rFonts w:ascii="宋体" w:hAnsi="宋体" w:cs="宋体"/>
          <w:b/>
          <w:color w:val="auto"/>
          <w:kern w:val="0"/>
          <w:sz w:val="24"/>
          <w:highlight w:val="none"/>
          <w:lang w:val="zh-CN"/>
        </w:rPr>
      </w:pPr>
      <w:r>
        <w:rPr>
          <w:rFonts w:hint="eastAsia" w:ascii="宋体" w:hAnsi="宋体" w:cs="宋体"/>
          <w:b/>
          <w:color w:val="auto"/>
          <w:kern w:val="0"/>
          <w:sz w:val="24"/>
          <w:highlight w:val="none"/>
          <w:lang w:val="zh-CN"/>
        </w:rPr>
        <w:t>注：</w:t>
      </w:r>
    </w:p>
    <w:p w14:paraId="43F26D10">
      <w:pPr>
        <w:keepNext w:val="0"/>
        <w:keepLines w:val="0"/>
        <w:pageBreakBefore w:val="0"/>
        <w:widowControl w:val="0"/>
        <w:kinsoku/>
        <w:wordWrap/>
        <w:overflowPunct/>
        <w:topLinePunct w:val="0"/>
        <w:autoSpaceDE/>
        <w:autoSpaceDN/>
        <w:bidi w:val="0"/>
        <w:adjustRightInd w:val="0"/>
        <w:spacing w:line="500" w:lineRule="exact"/>
        <w:ind w:left="-2" w:leftChars="-1" w:firstLine="480" w:firstLineChars="200"/>
        <w:textAlignment w:val="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1、投标人需按本表格式填写</w:t>
      </w:r>
      <w:r>
        <w:rPr>
          <w:rFonts w:hint="eastAsia" w:ascii="宋体" w:hAnsi="宋体" w:cs="宋体"/>
          <w:b/>
          <w:color w:val="auto"/>
          <w:kern w:val="0"/>
          <w:sz w:val="24"/>
          <w:highlight w:val="none"/>
          <w:lang w:val="zh-CN"/>
        </w:rPr>
        <w:t>，</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投标文件含有采购人不能接受的附加条件，投标无效</w:t>
      </w:r>
      <w:r>
        <w:rPr>
          <w:rFonts w:hint="eastAsia" w:ascii="宋体" w:hAnsi="宋体" w:cs="宋体"/>
          <w:b/>
          <w:color w:val="auto"/>
          <w:kern w:val="0"/>
          <w:sz w:val="24"/>
          <w:highlight w:val="none"/>
          <w:lang w:val="zh-CN"/>
        </w:rPr>
        <w:t>；</w:t>
      </w:r>
      <w:r>
        <w:rPr>
          <w:rFonts w:hint="eastAsia" w:ascii="宋体" w:hAnsi="宋体" w:cs="宋体"/>
          <w:color w:val="auto"/>
          <w:kern w:val="0"/>
          <w:sz w:val="24"/>
          <w:highlight w:val="none"/>
          <w:lang w:val="zh-CN"/>
        </w:rPr>
        <w:t>。</w:t>
      </w:r>
    </w:p>
    <w:p w14:paraId="5B0BFE9C">
      <w:pPr>
        <w:keepNext w:val="0"/>
        <w:keepLines w:val="0"/>
        <w:pageBreakBefore w:val="0"/>
        <w:widowControl w:val="0"/>
        <w:kinsoku/>
        <w:wordWrap/>
        <w:overflowPunct/>
        <w:topLinePunct w:val="0"/>
        <w:autoSpaceDE/>
        <w:autoSpaceDN/>
        <w:bidi w:val="0"/>
        <w:adjustRightInd w:val="0"/>
        <w:spacing w:line="500" w:lineRule="exact"/>
        <w:ind w:firstLine="480" w:firstLineChars="200"/>
        <w:textAlignment w:val="auto"/>
        <w:rPr>
          <w:rFonts w:ascii="宋体" w:hAnsi="宋体" w:cs="宋体"/>
          <w:color w:val="auto"/>
          <w:kern w:val="0"/>
          <w:sz w:val="24"/>
          <w:highlight w:val="none"/>
        </w:rPr>
      </w:pPr>
      <w:r>
        <w:rPr>
          <w:rFonts w:hint="eastAsia" w:ascii="宋体" w:hAnsi="宋体" w:cs="宋体"/>
          <w:color w:val="auto"/>
          <w:kern w:val="0"/>
          <w:sz w:val="24"/>
          <w:highlight w:val="none"/>
          <w:lang w:val="zh-CN"/>
        </w:rPr>
        <w:t>2、有关本项目实施所涉及的一切费用均计入报价。</w:t>
      </w:r>
      <w:r>
        <w:rPr>
          <w:rFonts w:hint="eastAsia" w:ascii="宋体" w:hAnsi="宋体" w:cs="宋体"/>
          <w:b/>
          <w:color w:val="auto"/>
          <w:kern w:val="0"/>
          <w:sz w:val="24"/>
          <w:highlight w:val="none"/>
          <w:lang w:val="zh-CN"/>
        </w:rPr>
        <w:t>采购人将以合同形式有偿取得货物或服务，不接受投标人给予的赠品、回扣或者与采购无关的其他商品、服务</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不得出现“0元”“免费赠送”等形式的无偿报价，</w:t>
      </w:r>
      <w:r>
        <w:rPr>
          <w:rFonts w:hint="eastAsia" w:ascii="宋体" w:hAnsi="宋体" w:cs="宋体"/>
          <w:b/>
          <w:color w:val="auto"/>
          <w:kern w:val="0"/>
          <w:sz w:val="24"/>
          <w:highlight w:val="none"/>
        </w:rPr>
        <w:t>否则视为</w:t>
      </w:r>
      <w:r>
        <w:rPr>
          <w:rFonts w:hint="eastAsia" w:ascii="宋体" w:hAnsi="宋体" w:cs="宋体"/>
          <w:b/>
          <w:color w:val="auto"/>
          <w:sz w:val="24"/>
          <w:highlight w:val="none"/>
        </w:rPr>
        <w:t>投标文件含有采购人不能接受的附加条件，投标无效</w:t>
      </w:r>
      <w:r>
        <w:rPr>
          <w:rFonts w:hint="eastAsia" w:ascii="宋体" w:hAnsi="宋体" w:cs="宋体"/>
          <w:b/>
          <w:color w:val="auto"/>
          <w:kern w:val="0"/>
          <w:sz w:val="24"/>
          <w:highlight w:val="none"/>
          <w:lang w:val="zh-CN"/>
        </w:rPr>
        <w:t>；采购内容未包含在《开标一览表（报价表）》名称栏中，投标人不能作出合理解释的，</w:t>
      </w:r>
      <w:r>
        <w:rPr>
          <w:rFonts w:hint="eastAsia" w:ascii="宋体" w:hAnsi="宋体" w:cs="宋体"/>
          <w:b/>
          <w:color w:val="auto"/>
          <w:kern w:val="0"/>
          <w:sz w:val="24"/>
          <w:highlight w:val="none"/>
        </w:rPr>
        <w:t>视为</w:t>
      </w:r>
      <w:r>
        <w:rPr>
          <w:rFonts w:hint="eastAsia" w:ascii="宋体" w:hAnsi="宋体" w:cs="宋体"/>
          <w:b/>
          <w:color w:val="auto"/>
          <w:sz w:val="24"/>
          <w:highlight w:val="none"/>
        </w:rPr>
        <w:t>投标文件含有采购人不能接受的附加条件的，投标无效。</w:t>
      </w:r>
    </w:p>
    <w:p w14:paraId="7F849064">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3、特别提示：采购代理机构将对项目名称和项目编号，中标供应商名称、地址和中标金额，主要中标标的名称、服务范围、服务要求、服务时间、服务标准等予以公示。</w:t>
      </w:r>
    </w:p>
    <w:p w14:paraId="17C3981F">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ascii="宋体" w:hAnsi="宋体" w:cs="宋体"/>
          <w:color w:val="auto"/>
          <w:kern w:val="0"/>
          <w:sz w:val="24"/>
          <w:highlight w:val="none"/>
          <w:lang w:val="zh-CN"/>
        </w:rPr>
      </w:pPr>
      <w:r>
        <w:rPr>
          <w:rFonts w:ascii="宋体" w:hAnsi="宋体" w:cs="宋体"/>
          <w:color w:val="auto"/>
          <w:kern w:val="0"/>
          <w:sz w:val="24"/>
          <w:szCs w:val="22"/>
          <w:highlight w:val="none"/>
          <w:lang w:val="zh-CN"/>
        </w:rPr>
        <w:t>4</w:t>
      </w:r>
      <w:r>
        <w:rPr>
          <w:rFonts w:hint="eastAsia" w:ascii="宋体" w:hAnsi="宋体" w:cs="宋体"/>
          <w:color w:val="auto"/>
          <w:kern w:val="0"/>
          <w:sz w:val="24"/>
          <w:szCs w:val="22"/>
          <w:highlight w:val="none"/>
          <w:lang w:val="zh-CN"/>
        </w:rPr>
        <w:t>、</w:t>
      </w:r>
      <w:r>
        <w:rPr>
          <w:rFonts w:hint="eastAsia" w:ascii="宋体" w:hAnsi="宋体" w:cs="宋体"/>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07BA1D43">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ascii="宋体" w:hAnsi="宋体" w:cs="宋体"/>
          <w:color w:val="auto"/>
          <w:kern w:val="0"/>
          <w:sz w:val="24"/>
          <w:highlight w:val="none"/>
          <w:lang w:val="zh-CN"/>
        </w:rPr>
      </w:pPr>
      <w:r>
        <w:rPr>
          <w:rFonts w:hint="eastAsia" w:ascii="宋体" w:hAnsi="宋体" w:cs="宋体"/>
          <w:color w:val="auto"/>
          <w:kern w:val="0"/>
          <w:sz w:val="24"/>
          <w:szCs w:val="22"/>
          <w:highlight w:val="none"/>
          <w:lang w:val="zh-CN"/>
        </w:rPr>
        <w:t>5、</w:t>
      </w:r>
      <w:r>
        <w:rPr>
          <w:rFonts w:hint="eastAsia" w:ascii="宋体" w:hAnsi="宋体" w:cs="宋体"/>
          <w:color w:val="auto"/>
          <w:kern w:val="0"/>
          <w:sz w:val="24"/>
          <w:highlight w:val="none"/>
          <w:lang w:val="zh-CN"/>
        </w:rPr>
        <w:t>符合招标文件中列明的可享受</w:t>
      </w:r>
      <w:r>
        <w:rPr>
          <w:rFonts w:hint="eastAsia" w:ascii="宋体" w:hAnsi="宋体" w:cs="宋体"/>
          <w:color w:val="auto"/>
          <w:sz w:val="24"/>
          <w:highlight w:val="none"/>
        </w:rPr>
        <w:t>本国产品标准及相关政策</w:t>
      </w:r>
      <w:r>
        <w:rPr>
          <w:rFonts w:hint="eastAsia" w:ascii="宋体" w:hAnsi="宋体" w:cs="宋体"/>
          <w:color w:val="auto"/>
          <w:kern w:val="0"/>
          <w:sz w:val="24"/>
          <w:highlight w:val="none"/>
          <w:lang w:val="zh-CN"/>
        </w:rPr>
        <w:t>的投标人，请填写</w:t>
      </w:r>
      <w:r>
        <w:rPr>
          <w:rFonts w:hint="eastAsia" w:ascii="宋体" w:hAnsi="宋体" w:cs="宋体"/>
          <w:color w:val="auto"/>
          <w:sz w:val="24"/>
          <w:highlight w:val="none"/>
        </w:rPr>
        <w:t>《关于符合本国产品标准的声明函》或出具财政部会同有关部门规定的有关证明文件。当采购项目或者采购包中含有多种产品，</w:t>
      </w:r>
      <w:r>
        <w:rPr>
          <w:rFonts w:hint="eastAsia" w:ascii="宋体" w:hAnsi="宋体" w:cs="宋体"/>
          <w:color w:val="auto"/>
          <w:kern w:val="0"/>
          <w:sz w:val="24"/>
          <w:highlight w:val="none"/>
          <w:lang w:val="zh-CN"/>
        </w:rPr>
        <w:t>投标人还</w:t>
      </w:r>
      <w:r>
        <w:rPr>
          <w:rFonts w:hint="eastAsia" w:ascii="宋体" w:hAnsi="宋体" w:cs="宋体"/>
          <w:color w:val="auto"/>
          <w:sz w:val="24"/>
          <w:highlight w:val="none"/>
        </w:rPr>
        <w:t>应当声明其为该采购项目或者采购包提供的符合本国产品标准的产品成本之和占该供应商提供的全部产品成本之和的比例达到80%以上，提供《关于符合本国产品标准的产品成本之和占所提供的全部产品成本之和的比例达到80%以上的声明函》。</w:t>
      </w:r>
      <w:r>
        <w:rPr>
          <w:rFonts w:hint="eastAsia" w:ascii="宋体" w:hAnsi="宋体" w:cs="宋体"/>
          <w:color w:val="auto"/>
          <w:kern w:val="0"/>
          <w:sz w:val="24"/>
          <w:highlight w:val="none"/>
          <w:lang w:val="zh-CN"/>
        </w:rPr>
        <w:t>注：投标人提供的</w:t>
      </w:r>
      <w:r>
        <w:rPr>
          <w:rFonts w:hint="eastAsia" w:ascii="宋体" w:hAnsi="宋体" w:cs="宋体"/>
          <w:color w:val="auto"/>
          <w:sz w:val="24"/>
          <w:highlight w:val="none"/>
        </w:rPr>
        <w:t>《声明函》</w:t>
      </w:r>
      <w:r>
        <w:rPr>
          <w:rFonts w:hint="eastAsia" w:ascii="宋体" w:hAnsi="宋体" w:cs="宋体"/>
          <w:color w:val="auto"/>
          <w:kern w:val="0"/>
          <w:sz w:val="24"/>
          <w:highlight w:val="none"/>
          <w:lang w:val="zh-CN"/>
        </w:rPr>
        <w:t>内容不实的，属于提供虚假材料谋取中标、成交，依照《中华人民共和国政府采购法》等国家有关规定追究相应责任。</w:t>
      </w:r>
    </w:p>
    <w:p w14:paraId="2BC310FF">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cs="宋体"/>
          <w:color w:val="auto"/>
          <w:kern w:val="0"/>
          <w:sz w:val="24"/>
          <w:highlight w:val="none"/>
          <w:lang w:val="zh-CN"/>
        </w:rPr>
      </w:pPr>
      <w:r>
        <w:rPr>
          <w:rFonts w:hint="eastAsia" w:ascii="宋体" w:hAnsi="宋体" w:cs="宋体"/>
          <w:color w:val="auto"/>
          <w:kern w:val="0"/>
          <w:sz w:val="24"/>
          <w:szCs w:val="22"/>
          <w:highlight w:val="none"/>
          <w:lang w:val="zh-CN"/>
        </w:rPr>
        <w:t>6、</w:t>
      </w:r>
      <w:r>
        <w:rPr>
          <w:rFonts w:hint="eastAsia" w:ascii="宋体" w:hAnsi="宋体" w:cs="宋体"/>
          <w:color w:val="auto"/>
          <w:kern w:val="0"/>
          <w:sz w:val="24"/>
          <w:highlight w:val="none"/>
        </w:rPr>
        <w:t>投标报价属于本招标文件规定的政府采购异常低价情形之一，投标人应当按照评标委员会的要求提供书面说明、证明材料。投标人不能提供书面说明、证明材料，或者提供的书面说明、证明材料不能证明其报价合理性的，投标无效</w:t>
      </w:r>
      <w:r>
        <w:rPr>
          <w:rFonts w:hint="eastAsia" w:ascii="宋体" w:hAnsi="宋体" w:cs="宋体"/>
          <w:color w:val="auto"/>
          <w:kern w:val="0"/>
          <w:sz w:val="24"/>
          <w:highlight w:val="none"/>
          <w:lang w:val="zh-CN"/>
        </w:rPr>
        <w:t>。</w:t>
      </w:r>
    </w:p>
    <w:p w14:paraId="1D8FF7B6">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en-US" w:eastAsia="zh-CN"/>
        </w:rPr>
        <w:t>7、</w:t>
      </w:r>
      <w:r>
        <w:rPr>
          <w:rFonts w:hint="eastAsia" w:ascii="宋体" w:hAnsi="宋体" w:cs="宋体"/>
          <w:color w:val="auto"/>
          <w:kern w:val="0"/>
          <w:sz w:val="24"/>
          <w:highlight w:val="none"/>
          <w:lang w:val="zh-CN"/>
        </w:rPr>
        <w:t>投标报价包含人员工资、培训、服装、奖金、五险、其他必要的保险等营业成本以及利润、物业管理服务中所发生的各项税收等费用。</w:t>
      </w:r>
    </w:p>
    <w:p w14:paraId="0624B049">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hint="eastAsia" w:ascii="宋体" w:hAnsi="宋体" w:cs="宋体"/>
          <w:color w:val="auto"/>
          <w:kern w:val="0"/>
          <w:sz w:val="24"/>
          <w:highlight w:val="none"/>
          <w:lang w:val="zh-CN"/>
        </w:rPr>
      </w:pPr>
      <w:r>
        <w:rPr>
          <w:rFonts w:hint="eastAsia" w:ascii="宋体" w:hAnsi="宋体" w:cs="宋体"/>
          <w:color w:val="auto"/>
          <w:kern w:val="0"/>
          <w:sz w:val="24"/>
          <w:highlight w:val="none"/>
          <w:lang w:val="en-US" w:eastAsia="zh-CN"/>
        </w:rPr>
        <w:t>8、</w:t>
      </w:r>
      <w:r>
        <w:rPr>
          <w:rFonts w:hint="eastAsia" w:ascii="宋体" w:hAnsi="宋体" w:cs="宋体"/>
          <w:color w:val="auto"/>
          <w:kern w:val="0"/>
          <w:sz w:val="24"/>
          <w:highlight w:val="none"/>
          <w:lang w:val="zh-CN"/>
        </w:rPr>
        <w:t>供应商报价须列明各服务单位（各学校）的投入服务人数及报价。各学校的报价不得超过该服务单位的投标最高限价，否则投标无效。</w:t>
      </w:r>
    </w:p>
    <w:p w14:paraId="4CD8652E">
      <w:pPr>
        <w:keepNext w:val="0"/>
        <w:keepLines w:val="0"/>
        <w:pageBreakBefore w:val="0"/>
        <w:widowControl w:val="0"/>
        <w:kinsoku/>
        <w:wordWrap/>
        <w:overflowPunct/>
        <w:topLinePunct w:val="0"/>
        <w:autoSpaceDE/>
        <w:autoSpaceDN/>
        <w:bidi w:val="0"/>
        <w:adjustRightInd w:val="0"/>
        <w:snapToGrid w:val="0"/>
        <w:spacing w:line="500" w:lineRule="exact"/>
        <w:ind w:firstLine="480" w:firstLineChars="200"/>
        <w:jc w:val="left"/>
        <w:textAlignment w:val="auto"/>
        <w:rPr>
          <w:rFonts w:ascii="宋体" w:hAnsi="宋体" w:cs="宋体"/>
          <w:color w:val="auto"/>
          <w:kern w:val="0"/>
          <w:sz w:val="24"/>
          <w:highlight w:val="none"/>
          <w:lang w:val="zh-CN"/>
        </w:rPr>
      </w:pPr>
    </w:p>
    <w:p w14:paraId="38BA26E9">
      <w:pPr>
        <w:keepNext w:val="0"/>
        <w:keepLines w:val="0"/>
        <w:pageBreakBefore w:val="0"/>
        <w:widowControl w:val="0"/>
        <w:kinsoku/>
        <w:wordWrap/>
        <w:overflowPunct/>
        <w:topLinePunct w:val="0"/>
        <w:autoSpaceDE/>
        <w:autoSpaceDN/>
        <w:bidi w:val="0"/>
        <w:adjustRightInd w:val="0"/>
        <w:spacing w:line="500" w:lineRule="exact"/>
        <w:ind w:firstLine="6240" w:firstLineChars="2600"/>
        <w:textAlignment w:val="auto"/>
        <w:rPr>
          <w:rFonts w:ascii="宋体" w:hAnsi="宋体" w:cs="宋体"/>
          <w:color w:val="auto"/>
          <w:sz w:val="24"/>
          <w:highlight w:val="none"/>
        </w:rPr>
      </w:pPr>
      <w:r>
        <w:rPr>
          <w:rFonts w:hint="eastAsia" w:ascii="宋体" w:hAnsi="宋体" w:cs="宋体"/>
          <w:color w:val="auto"/>
          <w:sz w:val="24"/>
          <w:highlight w:val="none"/>
        </w:rPr>
        <w:t>投标人名称（公章）：</w:t>
      </w:r>
    </w:p>
    <w:p w14:paraId="3C0EC215">
      <w:pPr>
        <w:keepNext w:val="0"/>
        <w:keepLines w:val="0"/>
        <w:pageBreakBefore w:val="0"/>
        <w:widowControl w:val="0"/>
        <w:kinsoku/>
        <w:wordWrap/>
        <w:overflowPunct/>
        <w:topLinePunct w:val="0"/>
        <w:autoSpaceDE/>
        <w:autoSpaceDN/>
        <w:bidi w:val="0"/>
        <w:adjustRightInd w:val="0"/>
        <w:spacing w:line="500" w:lineRule="exact"/>
        <w:ind w:firstLine="6240" w:firstLineChars="2600"/>
        <w:textAlignment w:val="auto"/>
        <w:rPr>
          <w:rFonts w:ascii="宋体" w:hAnsi="宋体" w:cs="宋体"/>
          <w:color w:val="auto"/>
          <w:sz w:val="24"/>
          <w:highlight w:val="none"/>
        </w:rPr>
      </w:pPr>
      <w:r>
        <w:rPr>
          <w:rFonts w:hint="eastAsia" w:ascii="宋体" w:hAnsi="宋体" w:cs="宋体"/>
          <w:color w:val="auto"/>
          <w:sz w:val="24"/>
          <w:highlight w:val="none"/>
        </w:rPr>
        <w:t xml:space="preserve">法定代表人（负责人）或委托代理人(签名)：                          </w:t>
      </w:r>
    </w:p>
    <w:p w14:paraId="5EC171AC">
      <w:pPr>
        <w:keepNext w:val="0"/>
        <w:keepLines w:val="0"/>
        <w:pageBreakBefore w:val="0"/>
        <w:widowControl w:val="0"/>
        <w:kinsoku/>
        <w:wordWrap/>
        <w:overflowPunct/>
        <w:topLinePunct w:val="0"/>
        <w:autoSpaceDE/>
        <w:autoSpaceDN/>
        <w:bidi w:val="0"/>
        <w:adjustRightInd w:val="0"/>
        <w:spacing w:line="500" w:lineRule="exact"/>
        <w:jc w:val="center"/>
        <w:textAlignment w:val="auto"/>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77AEB989">
      <w:pPr>
        <w:pStyle w:val="691"/>
        <w:keepNext w:val="0"/>
        <w:pageBreakBefore w:val="0"/>
        <w:tabs>
          <w:tab w:val="clear" w:pos="720"/>
        </w:tabs>
        <w:snapToGrid w:val="0"/>
        <w:spacing w:before="120" w:after="120"/>
        <w:ind w:firstLine="643"/>
        <w:outlineLvl w:val="9"/>
        <w:rPr>
          <w:rFonts w:ascii="宋体" w:hAnsi="宋体" w:eastAsia="宋体" w:cs="宋体"/>
          <w:color w:val="auto"/>
          <w:kern w:val="2"/>
          <w:sz w:val="32"/>
          <w:szCs w:val="32"/>
          <w:highlight w:val="none"/>
        </w:rPr>
      </w:pPr>
    </w:p>
    <w:p w14:paraId="6E52A074">
      <w:pPr>
        <w:pStyle w:val="691"/>
        <w:keepNext w:val="0"/>
        <w:pageBreakBefore w:val="0"/>
        <w:tabs>
          <w:tab w:val="clear" w:pos="720"/>
        </w:tabs>
        <w:snapToGrid w:val="0"/>
        <w:spacing w:before="120" w:after="120"/>
        <w:ind w:firstLine="643"/>
        <w:outlineLvl w:val="9"/>
        <w:rPr>
          <w:rFonts w:ascii="宋体" w:hAnsi="宋体" w:eastAsia="宋体" w:cs="宋体"/>
          <w:color w:val="auto"/>
          <w:kern w:val="2"/>
          <w:sz w:val="32"/>
          <w:szCs w:val="32"/>
          <w:highlight w:val="none"/>
        </w:rPr>
        <w:sectPr>
          <w:pgSz w:w="16838" w:h="11906" w:orient="landscape"/>
          <w:pgMar w:top="1418" w:right="1247" w:bottom="1418" w:left="1276" w:header="851" w:footer="992" w:gutter="0"/>
          <w:cols w:space="720" w:num="1"/>
          <w:titlePg/>
          <w:docGrid w:linePitch="312" w:charSpace="0"/>
        </w:sectPr>
      </w:pPr>
    </w:p>
    <w:p w14:paraId="17D40D4E">
      <w:pPr>
        <w:pStyle w:val="83"/>
        <w:jc w:val="center"/>
        <w:rPr>
          <w:b/>
          <w:color w:val="auto"/>
          <w:sz w:val="32"/>
          <w:szCs w:val="32"/>
          <w:highlight w:val="none"/>
        </w:rPr>
      </w:pPr>
      <w:r>
        <w:rPr>
          <w:rFonts w:hint="eastAsia"/>
          <w:b/>
          <w:color w:val="auto"/>
          <w:kern w:val="2"/>
          <w:sz w:val="32"/>
          <w:szCs w:val="32"/>
          <w:highlight w:val="none"/>
        </w:rPr>
        <w:t>二、</w:t>
      </w:r>
      <w:r>
        <w:rPr>
          <w:rFonts w:hint="eastAsia"/>
          <w:b/>
          <w:color w:val="auto"/>
          <w:sz w:val="32"/>
          <w:szCs w:val="32"/>
          <w:highlight w:val="none"/>
        </w:rPr>
        <w:t>中小企业声明函（如果有）</w:t>
      </w:r>
    </w:p>
    <w:p w14:paraId="5F5442C8">
      <w:pPr>
        <w:widowControl/>
        <w:spacing w:line="360" w:lineRule="auto"/>
        <w:ind w:firstLine="120" w:firstLineChars="50"/>
        <w:jc w:val="left"/>
        <w:rPr>
          <w:rFonts w:ascii="宋体" w:hAnsi="宋体" w:cs="宋体"/>
          <w:b/>
          <w:color w:val="auto"/>
          <w:sz w:val="24"/>
          <w:highlight w:val="none"/>
        </w:rPr>
      </w:pPr>
      <w:r>
        <w:rPr>
          <w:rFonts w:hint="eastAsia" w:ascii="宋体" w:hAnsi="宋体" w:cs="宋体"/>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w:t>
      </w:r>
      <w:r>
        <w:rPr>
          <w:rFonts w:ascii="宋体" w:hAnsi="宋体" w:cs="宋体"/>
          <w:b/>
          <w:color w:val="auto"/>
          <w:sz w:val="24"/>
          <w:highlight w:val="none"/>
        </w:rPr>
        <w:t>7</w:t>
      </w:r>
      <w:r>
        <w:rPr>
          <w:rFonts w:hint="eastAsia" w:ascii="宋体" w:hAnsi="宋体" w:cs="宋体"/>
          <w:b/>
          <w:color w:val="auto"/>
          <w:sz w:val="24"/>
          <w:highlight w:val="none"/>
        </w:rPr>
        <w:t>）。]</w:t>
      </w:r>
    </w:p>
    <w:p w14:paraId="41FF84BE">
      <w:pPr>
        <w:pStyle w:val="691"/>
        <w:keepNext w:val="0"/>
        <w:pageBreakBefore w:val="0"/>
        <w:tabs>
          <w:tab w:val="clear" w:pos="720"/>
        </w:tabs>
        <w:snapToGrid w:val="0"/>
        <w:spacing w:before="120" w:after="120"/>
        <w:ind w:firstLine="643"/>
        <w:outlineLvl w:val="9"/>
        <w:rPr>
          <w:rFonts w:ascii="宋体" w:hAnsi="宋体" w:eastAsia="宋体" w:cs="宋体"/>
          <w:b w:val="0"/>
          <w:color w:val="auto"/>
          <w:sz w:val="32"/>
          <w:szCs w:val="32"/>
          <w:highlight w:val="none"/>
        </w:rPr>
      </w:pPr>
    </w:p>
    <w:p w14:paraId="5B13BD3D">
      <w:pPr>
        <w:spacing w:line="360" w:lineRule="auto"/>
        <w:ind w:right="420" w:firstLine="3614" w:firstLineChars="1000"/>
        <w:rPr>
          <w:rFonts w:ascii="宋体" w:hAnsi="宋体" w:cs="宋体"/>
          <w:b/>
          <w:color w:val="auto"/>
          <w:kern w:val="0"/>
          <w:sz w:val="36"/>
          <w:szCs w:val="36"/>
          <w:highlight w:val="none"/>
        </w:rPr>
      </w:pPr>
    </w:p>
    <w:p w14:paraId="3623FC7E">
      <w:pPr>
        <w:spacing w:line="360" w:lineRule="auto"/>
        <w:ind w:right="420" w:firstLine="3614" w:firstLineChars="1000"/>
        <w:rPr>
          <w:rFonts w:ascii="宋体" w:hAnsi="宋体" w:cs="宋体"/>
          <w:b/>
          <w:color w:val="auto"/>
          <w:kern w:val="0"/>
          <w:sz w:val="36"/>
          <w:szCs w:val="36"/>
          <w:highlight w:val="none"/>
        </w:rPr>
      </w:pPr>
    </w:p>
    <w:p w14:paraId="76A6168A">
      <w:pPr>
        <w:spacing w:line="360" w:lineRule="auto"/>
        <w:ind w:right="420" w:firstLine="3614" w:firstLineChars="1000"/>
        <w:rPr>
          <w:rFonts w:ascii="宋体" w:hAnsi="宋体" w:cs="宋体"/>
          <w:b/>
          <w:color w:val="auto"/>
          <w:kern w:val="0"/>
          <w:sz w:val="36"/>
          <w:szCs w:val="36"/>
          <w:highlight w:val="none"/>
        </w:rPr>
      </w:pPr>
    </w:p>
    <w:p w14:paraId="7735F44A">
      <w:pPr>
        <w:spacing w:line="360" w:lineRule="auto"/>
        <w:ind w:right="420" w:firstLine="3614" w:firstLineChars="1000"/>
        <w:rPr>
          <w:rFonts w:ascii="宋体" w:hAnsi="宋体" w:cs="宋体"/>
          <w:b/>
          <w:color w:val="auto"/>
          <w:kern w:val="0"/>
          <w:sz w:val="36"/>
          <w:szCs w:val="36"/>
          <w:highlight w:val="none"/>
        </w:rPr>
      </w:pPr>
    </w:p>
    <w:p w14:paraId="1BB7FA27">
      <w:pPr>
        <w:spacing w:line="360" w:lineRule="auto"/>
        <w:ind w:right="420" w:firstLine="3614" w:firstLineChars="1000"/>
        <w:rPr>
          <w:rFonts w:ascii="宋体" w:hAnsi="宋体" w:cs="宋体"/>
          <w:b/>
          <w:color w:val="auto"/>
          <w:kern w:val="0"/>
          <w:sz w:val="36"/>
          <w:szCs w:val="36"/>
          <w:highlight w:val="none"/>
        </w:rPr>
      </w:pPr>
    </w:p>
    <w:p w14:paraId="5247D95F">
      <w:pPr>
        <w:spacing w:line="360" w:lineRule="auto"/>
        <w:ind w:right="420" w:firstLine="3614" w:firstLineChars="1000"/>
        <w:rPr>
          <w:rFonts w:ascii="宋体" w:hAnsi="宋体" w:cs="宋体"/>
          <w:b/>
          <w:color w:val="auto"/>
          <w:kern w:val="0"/>
          <w:sz w:val="36"/>
          <w:szCs w:val="36"/>
          <w:highlight w:val="none"/>
        </w:rPr>
      </w:pPr>
    </w:p>
    <w:p w14:paraId="3B875031">
      <w:pPr>
        <w:spacing w:line="360" w:lineRule="auto"/>
        <w:ind w:right="420" w:firstLine="3614" w:firstLineChars="1000"/>
        <w:rPr>
          <w:rFonts w:ascii="宋体" w:hAnsi="宋体" w:cs="宋体"/>
          <w:b/>
          <w:color w:val="auto"/>
          <w:kern w:val="0"/>
          <w:sz w:val="36"/>
          <w:szCs w:val="36"/>
          <w:highlight w:val="none"/>
        </w:rPr>
      </w:pPr>
    </w:p>
    <w:p w14:paraId="0285DA3F">
      <w:pPr>
        <w:spacing w:line="360" w:lineRule="auto"/>
        <w:ind w:right="420" w:firstLine="3614" w:firstLineChars="1000"/>
        <w:rPr>
          <w:rFonts w:ascii="宋体" w:hAnsi="宋体" w:cs="宋体"/>
          <w:b/>
          <w:color w:val="auto"/>
          <w:kern w:val="0"/>
          <w:sz w:val="36"/>
          <w:szCs w:val="36"/>
          <w:highlight w:val="none"/>
        </w:rPr>
      </w:pPr>
    </w:p>
    <w:p w14:paraId="4ACE6D22">
      <w:pPr>
        <w:spacing w:line="360" w:lineRule="auto"/>
        <w:ind w:right="420" w:firstLine="3614" w:firstLineChars="1000"/>
        <w:rPr>
          <w:rFonts w:ascii="宋体" w:hAnsi="宋体" w:cs="宋体"/>
          <w:b/>
          <w:color w:val="auto"/>
          <w:kern w:val="0"/>
          <w:sz w:val="36"/>
          <w:szCs w:val="36"/>
          <w:highlight w:val="none"/>
        </w:rPr>
      </w:pPr>
    </w:p>
    <w:p w14:paraId="50FA50EC">
      <w:pPr>
        <w:spacing w:line="360" w:lineRule="auto"/>
        <w:ind w:right="420" w:firstLine="3614" w:firstLineChars="1000"/>
        <w:rPr>
          <w:rFonts w:ascii="宋体" w:hAnsi="宋体" w:cs="宋体"/>
          <w:b/>
          <w:color w:val="auto"/>
          <w:kern w:val="0"/>
          <w:sz w:val="36"/>
          <w:szCs w:val="36"/>
          <w:highlight w:val="none"/>
        </w:rPr>
      </w:pPr>
    </w:p>
    <w:p w14:paraId="4FD9475F">
      <w:pPr>
        <w:spacing w:line="360" w:lineRule="auto"/>
        <w:ind w:right="420" w:firstLine="3614" w:firstLineChars="1000"/>
        <w:rPr>
          <w:rFonts w:ascii="宋体" w:hAnsi="宋体" w:cs="宋体"/>
          <w:b/>
          <w:color w:val="auto"/>
          <w:kern w:val="0"/>
          <w:sz w:val="36"/>
          <w:szCs w:val="36"/>
          <w:highlight w:val="none"/>
        </w:rPr>
      </w:pPr>
    </w:p>
    <w:p w14:paraId="03AF4745">
      <w:pPr>
        <w:spacing w:line="360" w:lineRule="auto"/>
        <w:ind w:right="420" w:firstLine="3614" w:firstLineChars="1000"/>
        <w:rPr>
          <w:rFonts w:ascii="宋体" w:hAnsi="宋体" w:cs="宋体"/>
          <w:b/>
          <w:color w:val="auto"/>
          <w:kern w:val="0"/>
          <w:sz w:val="36"/>
          <w:szCs w:val="36"/>
          <w:highlight w:val="none"/>
        </w:rPr>
      </w:pPr>
    </w:p>
    <w:p w14:paraId="1E9FD994">
      <w:pPr>
        <w:spacing w:line="360" w:lineRule="auto"/>
        <w:ind w:right="420" w:firstLine="3614" w:firstLineChars="1000"/>
        <w:rPr>
          <w:rFonts w:ascii="宋体" w:hAnsi="宋体" w:cs="宋体"/>
          <w:b/>
          <w:color w:val="auto"/>
          <w:kern w:val="0"/>
          <w:sz w:val="36"/>
          <w:szCs w:val="36"/>
          <w:highlight w:val="none"/>
        </w:rPr>
      </w:pPr>
    </w:p>
    <w:p w14:paraId="17CBFACD">
      <w:pPr>
        <w:spacing w:line="360" w:lineRule="auto"/>
        <w:ind w:right="420" w:firstLine="3614" w:firstLineChars="1000"/>
        <w:rPr>
          <w:rFonts w:ascii="宋体" w:hAnsi="宋体" w:cs="宋体"/>
          <w:b/>
          <w:color w:val="auto"/>
          <w:kern w:val="0"/>
          <w:sz w:val="36"/>
          <w:szCs w:val="36"/>
          <w:highlight w:val="none"/>
        </w:rPr>
      </w:pPr>
    </w:p>
    <w:p w14:paraId="2F8009FB">
      <w:pPr>
        <w:spacing w:line="360" w:lineRule="auto"/>
        <w:ind w:right="420" w:firstLine="3614" w:firstLineChars="1000"/>
        <w:rPr>
          <w:rFonts w:ascii="宋体" w:hAnsi="宋体" w:cs="宋体"/>
          <w:b/>
          <w:color w:val="auto"/>
          <w:kern w:val="0"/>
          <w:sz w:val="36"/>
          <w:szCs w:val="36"/>
          <w:highlight w:val="none"/>
        </w:rPr>
      </w:pPr>
    </w:p>
    <w:p w14:paraId="3FBCEC62">
      <w:pPr>
        <w:spacing w:line="360" w:lineRule="auto"/>
        <w:ind w:right="420" w:firstLine="3614" w:firstLineChars="1000"/>
        <w:rPr>
          <w:rFonts w:ascii="宋体" w:hAnsi="宋体" w:cs="宋体"/>
          <w:b/>
          <w:color w:val="auto"/>
          <w:kern w:val="0"/>
          <w:sz w:val="36"/>
          <w:szCs w:val="36"/>
          <w:highlight w:val="none"/>
        </w:rPr>
      </w:pPr>
    </w:p>
    <w:p w14:paraId="6F58A326">
      <w:pPr>
        <w:pStyle w:val="83"/>
        <w:rPr>
          <w:color w:val="auto"/>
          <w:highlight w:val="none"/>
        </w:rPr>
      </w:pPr>
    </w:p>
    <w:p w14:paraId="646275BC">
      <w:pPr>
        <w:pStyle w:val="83"/>
        <w:jc w:val="center"/>
        <w:rPr>
          <w:b/>
          <w:color w:val="auto"/>
          <w:sz w:val="36"/>
          <w:szCs w:val="36"/>
          <w:highlight w:val="none"/>
        </w:rPr>
      </w:pPr>
      <w:r>
        <w:rPr>
          <w:rFonts w:hint="eastAsia"/>
          <w:b/>
          <w:color w:val="auto"/>
          <w:sz w:val="36"/>
          <w:szCs w:val="36"/>
          <w:highlight w:val="none"/>
        </w:rPr>
        <w:t>附件</w:t>
      </w:r>
    </w:p>
    <w:p w14:paraId="180E407F">
      <w:pPr>
        <w:pStyle w:val="83"/>
        <w:rPr>
          <w:color w:val="auto"/>
          <w:highlight w:val="none"/>
        </w:rPr>
      </w:pPr>
    </w:p>
    <w:p w14:paraId="7A50A608">
      <w:pPr>
        <w:spacing w:line="360" w:lineRule="auto"/>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附件1：</w:t>
      </w:r>
    </w:p>
    <w:p w14:paraId="739382D9">
      <w:pPr>
        <w:spacing w:line="360" w:lineRule="auto"/>
        <w:jc w:val="center"/>
        <w:rPr>
          <w:rFonts w:ascii="宋体" w:hAnsi="宋体" w:cs="宋体"/>
          <w:b/>
          <w:color w:val="auto"/>
          <w:spacing w:val="6"/>
          <w:sz w:val="32"/>
          <w:szCs w:val="32"/>
          <w:highlight w:val="none"/>
        </w:rPr>
      </w:pPr>
      <w:bookmarkStart w:id="413" w:name="OLE_LINK13"/>
      <w:bookmarkStart w:id="414" w:name="OLE_LINK14"/>
      <w:r>
        <w:rPr>
          <w:rFonts w:hint="eastAsia" w:ascii="宋体" w:hAnsi="宋体" w:cs="宋体"/>
          <w:b/>
          <w:color w:val="auto"/>
          <w:spacing w:val="6"/>
          <w:sz w:val="32"/>
          <w:szCs w:val="32"/>
          <w:highlight w:val="none"/>
        </w:rPr>
        <w:t>残疾人福利性单位声明函</w:t>
      </w:r>
    </w:p>
    <w:bookmarkEnd w:id="413"/>
    <w:bookmarkEnd w:id="414"/>
    <w:p w14:paraId="0ABCD389">
      <w:pPr>
        <w:spacing w:line="360" w:lineRule="auto"/>
        <w:rPr>
          <w:rFonts w:ascii="宋体" w:hAnsi="宋体" w:cs="宋体"/>
          <w:b/>
          <w:color w:val="auto"/>
          <w:spacing w:val="6"/>
          <w:sz w:val="30"/>
          <w:szCs w:val="30"/>
          <w:highlight w:val="none"/>
        </w:rPr>
      </w:pPr>
    </w:p>
    <w:p w14:paraId="63BBA102">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本单位郑重声明，根据《财政部 民政部 中国残疾人联合会关于促进残疾人就业政府采购政策的通知》（财库〔2017〕 141号）的规定，本单位为符合条件的残疾人福利性单位，且本单位参加_</w:t>
      </w:r>
      <w:r>
        <w:rPr>
          <w:rFonts w:hint="eastAsia" w:ascii="宋体" w:hAnsi="宋体" w:cs="宋体"/>
          <w:color w:val="auto"/>
          <w:sz w:val="24"/>
          <w:highlight w:val="none"/>
          <w:u w:val="single"/>
        </w:rPr>
        <w:t>(采购人)</w:t>
      </w:r>
      <w:r>
        <w:rPr>
          <w:rFonts w:hint="eastAsia" w:ascii="宋体" w:hAnsi="宋体" w:cs="宋体"/>
          <w:color w:val="auto"/>
          <w:sz w:val="24"/>
          <w:highlight w:val="none"/>
        </w:rPr>
        <w:t>_单位的_</w:t>
      </w:r>
      <w:r>
        <w:rPr>
          <w:rFonts w:hint="eastAsia" w:ascii="宋体" w:hAnsi="宋体" w:cs="宋体"/>
          <w:color w:val="auto"/>
          <w:sz w:val="24"/>
          <w:highlight w:val="none"/>
          <w:u w:val="single"/>
        </w:rPr>
        <w:t>（项目名称）</w:t>
      </w:r>
      <w:r>
        <w:rPr>
          <w:rFonts w:hint="eastAsia" w:ascii="宋体" w:hAnsi="宋体" w:cs="宋体"/>
          <w:color w:val="auto"/>
          <w:sz w:val="24"/>
          <w:highlight w:val="none"/>
        </w:rPr>
        <w:t>__项目采购活动提供本单位制造的货物（由本单位承担工程/提供服务），或者提供其他残疾人福利性单位制造的货物（不包括使用非残疾人福利性单位注册商标的货物）。</w:t>
      </w:r>
    </w:p>
    <w:p w14:paraId="1FA97A19">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本单位对上述声明的真实性负责。如有虚假，将依法承担相应责任。</w:t>
      </w:r>
    </w:p>
    <w:p w14:paraId="2247A3E4">
      <w:pPr>
        <w:spacing w:line="360" w:lineRule="auto"/>
        <w:ind w:firstLine="480" w:firstLineChars="200"/>
        <w:rPr>
          <w:rFonts w:ascii="宋体" w:hAnsi="宋体" w:cs="宋体"/>
          <w:color w:val="auto"/>
          <w:sz w:val="24"/>
          <w:highlight w:val="none"/>
        </w:rPr>
      </w:pPr>
    </w:p>
    <w:p w14:paraId="490417D7">
      <w:pPr>
        <w:spacing w:line="360" w:lineRule="auto"/>
        <w:ind w:firstLine="480" w:firstLineChars="200"/>
        <w:rPr>
          <w:rFonts w:ascii="宋体" w:hAnsi="宋体" w:cs="宋体"/>
          <w:color w:val="auto"/>
          <w:sz w:val="24"/>
          <w:highlight w:val="none"/>
        </w:rPr>
      </w:pPr>
    </w:p>
    <w:p w14:paraId="6119E23A">
      <w:pPr>
        <w:tabs>
          <w:tab w:val="left" w:pos="4860"/>
        </w:tabs>
        <w:spacing w:line="360" w:lineRule="auto"/>
        <w:ind w:right="1560" w:firstLine="480" w:firstLineChars="200"/>
        <w:jc w:val="center"/>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lang w:val="zh-CN"/>
        </w:rPr>
        <w:t>投标人名称（</w:t>
      </w:r>
      <w:r>
        <w:rPr>
          <w:rFonts w:hint="eastAsia" w:ascii="宋体" w:hAnsi="宋体" w:cs="宋体"/>
          <w:color w:val="auto"/>
          <w:sz w:val="24"/>
          <w:highlight w:val="none"/>
        </w:rPr>
        <w:t>公章</w:t>
      </w:r>
      <w:r>
        <w:rPr>
          <w:rFonts w:hint="eastAsia" w:ascii="宋体" w:hAnsi="宋体" w:cs="宋体"/>
          <w:color w:val="auto"/>
          <w:kern w:val="0"/>
          <w:sz w:val="24"/>
          <w:highlight w:val="none"/>
          <w:lang w:val="zh-CN"/>
        </w:rPr>
        <w:t>）</w:t>
      </w:r>
      <w:r>
        <w:rPr>
          <w:rFonts w:hint="eastAsia" w:ascii="宋体" w:hAnsi="宋体" w:cs="宋体"/>
          <w:color w:val="auto"/>
          <w:sz w:val="24"/>
          <w:highlight w:val="none"/>
        </w:rPr>
        <w:t>：</w:t>
      </w:r>
    </w:p>
    <w:p w14:paraId="262D4F84">
      <w:pPr>
        <w:tabs>
          <w:tab w:val="left" w:pos="4860"/>
        </w:tabs>
        <w:spacing w:line="360" w:lineRule="auto"/>
        <w:ind w:right="1560" w:firstLine="480" w:firstLineChars="200"/>
        <w:jc w:val="center"/>
        <w:rPr>
          <w:rFonts w:ascii="宋体" w:hAnsi="宋体" w:cs="宋体"/>
          <w:color w:val="auto"/>
          <w:sz w:val="24"/>
          <w:highlight w:val="none"/>
        </w:rPr>
      </w:pPr>
      <w:r>
        <w:rPr>
          <w:rFonts w:hint="eastAsia" w:ascii="宋体" w:hAnsi="宋体" w:cs="宋体"/>
          <w:color w:val="auto"/>
          <w:sz w:val="24"/>
          <w:highlight w:val="none"/>
        </w:rPr>
        <w:t xml:space="preserve">              </w:t>
      </w:r>
      <w:r>
        <w:rPr>
          <w:rFonts w:hint="eastAsia" w:ascii="宋体" w:hAnsi="宋体" w:cs="宋体"/>
          <w:color w:val="auto"/>
          <w:kern w:val="0"/>
          <w:sz w:val="24"/>
          <w:highlight w:val="none"/>
          <w:lang w:val="zh-CN"/>
        </w:rPr>
        <w:t>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3DB6878F">
      <w:pPr>
        <w:spacing w:line="360" w:lineRule="auto"/>
        <w:ind w:firstLine="480" w:firstLineChars="200"/>
        <w:rPr>
          <w:rFonts w:ascii="宋体" w:hAnsi="宋体" w:cs="宋体"/>
          <w:color w:val="auto"/>
          <w:sz w:val="24"/>
          <w:highlight w:val="none"/>
        </w:rPr>
      </w:pPr>
    </w:p>
    <w:p w14:paraId="63E97386">
      <w:pPr>
        <w:tabs>
          <w:tab w:val="left" w:pos="4860"/>
        </w:tabs>
        <w:spacing w:line="360" w:lineRule="auto"/>
        <w:ind w:right="1560" w:firstLine="480" w:firstLineChars="200"/>
        <w:jc w:val="center"/>
        <w:rPr>
          <w:rFonts w:ascii="宋体" w:hAnsi="宋体" w:cs="宋体"/>
          <w:color w:val="auto"/>
          <w:sz w:val="24"/>
          <w:highlight w:val="none"/>
        </w:rPr>
      </w:pPr>
    </w:p>
    <w:p w14:paraId="712F790D">
      <w:pPr>
        <w:spacing w:line="360" w:lineRule="auto"/>
        <w:ind w:firstLine="420" w:firstLineChars="200"/>
        <w:rPr>
          <w:rFonts w:ascii="宋体" w:hAnsi="宋体" w:cs="宋体"/>
          <w:color w:val="auto"/>
          <w:highlight w:val="none"/>
        </w:rPr>
      </w:pPr>
    </w:p>
    <w:p w14:paraId="2DCDC88C">
      <w:pPr>
        <w:spacing w:line="360" w:lineRule="auto"/>
        <w:ind w:firstLine="420" w:firstLineChars="200"/>
        <w:rPr>
          <w:rFonts w:ascii="宋体" w:hAnsi="宋体" w:cs="宋体"/>
          <w:color w:val="auto"/>
          <w:highlight w:val="none"/>
        </w:rPr>
      </w:pPr>
    </w:p>
    <w:p w14:paraId="3375F0B0">
      <w:pPr>
        <w:spacing w:line="360" w:lineRule="auto"/>
        <w:ind w:firstLine="420" w:firstLineChars="200"/>
        <w:rPr>
          <w:rFonts w:ascii="宋体" w:hAnsi="宋体" w:cs="宋体"/>
          <w:color w:val="auto"/>
          <w:highlight w:val="none"/>
        </w:rPr>
      </w:pPr>
    </w:p>
    <w:p w14:paraId="41C0776D">
      <w:pPr>
        <w:spacing w:line="360" w:lineRule="auto"/>
        <w:ind w:firstLine="420" w:firstLineChars="200"/>
        <w:rPr>
          <w:rFonts w:ascii="宋体" w:hAnsi="宋体" w:cs="宋体"/>
          <w:color w:val="auto"/>
          <w:highlight w:val="none"/>
        </w:rPr>
      </w:pPr>
    </w:p>
    <w:p w14:paraId="113D42DE">
      <w:pPr>
        <w:spacing w:line="360" w:lineRule="auto"/>
        <w:rPr>
          <w:rFonts w:ascii="宋体" w:hAnsi="宋体" w:cs="宋体"/>
          <w:b/>
          <w:color w:val="auto"/>
          <w:sz w:val="24"/>
          <w:highlight w:val="none"/>
        </w:rPr>
      </w:pPr>
    </w:p>
    <w:p w14:paraId="62D2E16F">
      <w:pPr>
        <w:spacing w:line="360" w:lineRule="auto"/>
        <w:rPr>
          <w:rFonts w:ascii="宋体" w:hAnsi="宋体" w:cs="宋体"/>
          <w:b/>
          <w:color w:val="auto"/>
          <w:sz w:val="24"/>
          <w:highlight w:val="none"/>
        </w:rPr>
      </w:pPr>
    </w:p>
    <w:p w14:paraId="7603FE30">
      <w:pPr>
        <w:spacing w:line="360" w:lineRule="auto"/>
        <w:rPr>
          <w:rFonts w:ascii="宋体" w:hAnsi="宋体" w:cs="宋体"/>
          <w:b/>
          <w:color w:val="auto"/>
          <w:sz w:val="24"/>
          <w:highlight w:val="none"/>
        </w:rPr>
      </w:pPr>
    </w:p>
    <w:p w14:paraId="536E1694">
      <w:pPr>
        <w:spacing w:line="360" w:lineRule="auto"/>
        <w:rPr>
          <w:rFonts w:ascii="宋体" w:hAnsi="宋体" w:cs="宋体"/>
          <w:b/>
          <w:color w:val="auto"/>
          <w:sz w:val="24"/>
          <w:highlight w:val="none"/>
        </w:rPr>
      </w:pPr>
    </w:p>
    <w:p w14:paraId="758671B6">
      <w:pPr>
        <w:spacing w:line="360" w:lineRule="auto"/>
        <w:rPr>
          <w:rFonts w:ascii="宋体" w:hAnsi="宋体" w:cs="宋体"/>
          <w:b/>
          <w:color w:val="auto"/>
          <w:sz w:val="24"/>
          <w:highlight w:val="none"/>
        </w:rPr>
      </w:pPr>
    </w:p>
    <w:p w14:paraId="4425B563">
      <w:pPr>
        <w:spacing w:line="360" w:lineRule="auto"/>
        <w:rPr>
          <w:rFonts w:ascii="宋体" w:hAnsi="宋体" w:cs="宋体"/>
          <w:b/>
          <w:color w:val="auto"/>
          <w:sz w:val="24"/>
          <w:highlight w:val="none"/>
        </w:rPr>
      </w:pPr>
    </w:p>
    <w:p w14:paraId="15BD1ADB">
      <w:pPr>
        <w:spacing w:line="360" w:lineRule="auto"/>
        <w:rPr>
          <w:rFonts w:ascii="宋体" w:hAnsi="宋体" w:cs="宋体"/>
          <w:b/>
          <w:color w:val="auto"/>
          <w:sz w:val="24"/>
          <w:highlight w:val="none"/>
        </w:rPr>
      </w:pPr>
    </w:p>
    <w:p w14:paraId="48F66BAC">
      <w:pPr>
        <w:spacing w:line="360" w:lineRule="auto"/>
        <w:rPr>
          <w:rFonts w:ascii="宋体" w:hAnsi="宋体" w:cs="宋体"/>
          <w:b/>
          <w:color w:val="auto"/>
          <w:sz w:val="24"/>
          <w:highlight w:val="none"/>
        </w:rPr>
      </w:pPr>
    </w:p>
    <w:p w14:paraId="652B1BA6">
      <w:pPr>
        <w:spacing w:line="360" w:lineRule="auto"/>
        <w:rPr>
          <w:rFonts w:ascii="宋体" w:hAnsi="宋体" w:cs="宋体"/>
          <w:b/>
          <w:color w:val="auto"/>
          <w:sz w:val="24"/>
          <w:highlight w:val="none"/>
        </w:rPr>
      </w:pPr>
    </w:p>
    <w:p w14:paraId="245A0D47">
      <w:pPr>
        <w:spacing w:line="360" w:lineRule="auto"/>
        <w:jc w:val="left"/>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附件2：质疑函范本及制作说明</w:t>
      </w:r>
    </w:p>
    <w:p w14:paraId="79E89B00">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质疑函范本</w:t>
      </w:r>
    </w:p>
    <w:p w14:paraId="3D4981C6">
      <w:pPr>
        <w:snapToGrid w:val="0"/>
        <w:spacing w:before="240" w:beforeLines="100" w:line="360" w:lineRule="auto"/>
        <w:rPr>
          <w:rFonts w:ascii="宋体" w:hAnsi="宋体" w:cs="宋体"/>
          <w:bCs/>
          <w:color w:val="auto"/>
          <w:sz w:val="24"/>
          <w:highlight w:val="none"/>
        </w:rPr>
      </w:pPr>
      <w:r>
        <w:rPr>
          <w:rFonts w:hint="eastAsia" w:ascii="宋体" w:hAnsi="宋体" w:cs="宋体"/>
          <w:bCs/>
          <w:color w:val="auto"/>
          <w:sz w:val="24"/>
          <w:highlight w:val="none"/>
        </w:rPr>
        <w:t>一、质疑供应商基本信息</w:t>
      </w:r>
    </w:p>
    <w:p w14:paraId="435D0948">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质疑供应商：</w:t>
      </w:r>
      <w:r>
        <w:rPr>
          <w:rFonts w:hint="eastAsia" w:ascii="宋体" w:hAnsi="宋体" w:cs="宋体"/>
          <w:color w:val="auto"/>
          <w:sz w:val="24"/>
          <w:highlight w:val="none"/>
          <w:u w:val="dotted"/>
        </w:rPr>
        <w:t xml:space="preserve">                                        </w:t>
      </w:r>
    </w:p>
    <w:p w14:paraId="343CEEB0">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地址：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33763A65">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41706D36">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p>
    <w:p w14:paraId="215A13F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3E5F0AEB">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 xml:space="preserve">地址： </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p>
    <w:p w14:paraId="73A35310">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二、质疑项目基本情况</w:t>
      </w:r>
    </w:p>
    <w:p w14:paraId="04846A83">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质疑项目的名称：</w:t>
      </w:r>
      <w:r>
        <w:rPr>
          <w:rFonts w:hint="eastAsia" w:ascii="宋体" w:hAnsi="宋体" w:cs="宋体"/>
          <w:color w:val="auto"/>
          <w:sz w:val="24"/>
          <w:highlight w:val="none"/>
          <w:u w:val="dotted"/>
        </w:rPr>
        <w:t xml:space="preserve">                                      </w:t>
      </w:r>
    </w:p>
    <w:p w14:paraId="76FC79C8">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质疑项目的编号：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35D67D3F">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p>
    <w:p w14:paraId="2727432C">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采购文件获取日期：</w:t>
      </w:r>
      <w:r>
        <w:rPr>
          <w:rFonts w:hint="eastAsia" w:ascii="宋体" w:hAnsi="宋体" w:cs="宋体"/>
          <w:color w:val="auto"/>
          <w:sz w:val="24"/>
          <w:highlight w:val="none"/>
          <w:u w:val="dotted"/>
        </w:rPr>
        <w:t xml:space="preserve">                                           </w:t>
      </w:r>
    </w:p>
    <w:p w14:paraId="245BE955">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三、质疑事项具体内容</w:t>
      </w:r>
    </w:p>
    <w:p w14:paraId="277DF675">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质疑事项1：</w:t>
      </w:r>
      <w:r>
        <w:rPr>
          <w:rFonts w:hint="eastAsia" w:ascii="宋体" w:hAnsi="宋体" w:cs="宋体"/>
          <w:color w:val="auto"/>
          <w:sz w:val="24"/>
          <w:highlight w:val="none"/>
          <w:u w:val="dotted"/>
        </w:rPr>
        <w:t xml:space="preserve">                                         </w:t>
      </w:r>
    </w:p>
    <w:p w14:paraId="1EAFE787">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629FB86F">
      <w:pPr>
        <w:snapToGrid w:val="0"/>
        <w:spacing w:line="360" w:lineRule="auto"/>
        <w:rPr>
          <w:rFonts w:ascii="宋体" w:hAnsi="宋体" w:cs="宋体"/>
          <w:color w:val="auto"/>
          <w:sz w:val="24"/>
          <w:highlight w:val="none"/>
        </w:rPr>
      </w:pPr>
      <w:r>
        <w:rPr>
          <w:rFonts w:hint="eastAsia" w:ascii="宋体" w:hAnsi="宋体" w:cs="宋体"/>
          <w:color w:val="auto"/>
          <w:sz w:val="24"/>
          <w:highlight w:val="none"/>
          <w:u w:val="dotted"/>
        </w:rPr>
        <w:t xml:space="preserve">                                                       </w:t>
      </w:r>
    </w:p>
    <w:p w14:paraId="4C172B6F">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14FDBE6B">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5D1CCE26">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质疑事项2</w:t>
      </w:r>
    </w:p>
    <w:p w14:paraId="45B41F6E">
      <w:pPr>
        <w:snapToGrid w:val="0"/>
        <w:spacing w:line="360" w:lineRule="auto"/>
        <w:rPr>
          <w:rFonts w:ascii="宋体" w:hAnsi="宋体" w:cs="宋体"/>
          <w:color w:val="auto"/>
          <w:sz w:val="24"/>
          <w:highlight w:val="none"/>
        </w:rPr>
      </w:pPr>
      <w:r>
        <w:rPr>
          <w:rFonts w:hint="eastAsia" w:ascii="宋体" w:hAnsi="宋体" w:cs="宋体"/>
          <w:color w:val="auto"/>
          <w:sz w:val="24"/>
          <w:highlight w:val="none"/>
        </w:rPr>
        <w:t>……</w:t>
      </w:r>
    </w:p>
    <w:p w14:paraId="43DC981A">
      <w:pPr>
        <w:snapToGrid w:val="0"/>
        <w:spacing w:line="360" w:lineRule="auto"/>
        <w:rPr>
          <w:rFonts w:ascii="宋体" w:hAnsi="宋体" w:cs="宋体"/>
          <w:bCs/>
          <w:color w:val="auto"/>
          <w:sz w:val="24"/>
          <w:highlight w:val="none"/>
        </w:rPr>
      </w:pPr>
      <w:r>
        <w:rPr>
          <w:rFonts w:hint="eastAsia" w:ascii="宋体" w:hAnsi="宋体" w:cs="宋体"/>
          <w:bCs/>
          <w:color w:val="auto"/>
          <w:sz w:val="24"/>
          <w:highlight w:val="none"/>
        </w:rPr>
        <w:t>四、与质疑事项相关的质疑请求</w:t>
      </w:r>
    </w:p>
    <w:p w14:paraId="795AC8B1">
      <w:pPr>
        <w:snapToGrid w:val="0"/>
        <w:spacing w:line="360" w:lineRule="auto"/>
        <w:rPr>
          <w:rFonts w:ascii="宋体" w:hAnsi="宋体" w:cs="宋体"/>
          <w:color w:val="auto"/>
          <w:sz w:val="24"/>
          <w:highlight w:val="none"/>
          <w:u w:val="dotted"/>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p>
    <w:p w14:paraId="39BBAF72">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5A82AEFA">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2225C37A">
      <w:pPr>
        <w:spacing w:line="360" w:lineRule="auto"/>
        <w:jc w:val="center"/>
        <w:rPr>
          <w:rFonts w:ascii="宋体" w:hAnsi="宋体" w:cs="宋体"/>
          <w:b/>
          <w:bCs/>
          <w:color w:val="auto"/>
          <w:sz w:val="24"/>
          <w:highlight w:val="none"/>
        </w:rPr>
      </w:pPr>
    </w:p>
    <w:p w14:paraId="50951002">
      <w:pPr>
        <w:spacing w:line="360" w:lineRule="auto"/>
        <w:rPr>
          <w:rFonts w:ascii="宋体" w:hAnsi="宋体" w:cs="宋体"/>
          <w:b/>
          <w:color w:val="auto"/>
          <w:sz w:val="24"/>
          <w:highlight w:val="none"/>
        </w:rPr>
      </w:pPr>
    </w:p>
    <w:p w14:paraId="79299F67">
      <w:pPr>
        <w:spacing w:line="360" w:lineRule="auto"/>
        <w:rPr>
          <w:rFonts w:ascii="宋体" w:hAnsi="宋体" w:cs="宋体"/>
          <w:b/>
          <w:color w:val="auto"/>
          <w:sz w:val="24"/>
          <w:highlight w:val="none"/>
        </w:rPr>
      </w:pPr>
    </w:p>
    <w:p w14:paraId="2EDC2790">
      <w:pPr>
        <w:spacing w:line="360" w:lineRule="auto"/>
        <w:rPr>
          <w:rFonts w:ascii="宋体" w:hAnsi="宋体" w:cs="宋体"/>
          <w:b/>
          <w:color w:val="auto"/>
          <w:sz w:val="24"/>
          <w:highlight w:val="none"/>
        </w:rPr>
      </w:pPr>
    </w:p>
    <w:p w14:paraId="451BA626">
      <w:pPr>
        <w:spacing w:line="360" w:lineRule="auto"/>
        <w:rPr>
          <w:rFonts w:ascii="宋体" w:hAnsi="宋体" w:cs="宋体"/>
          <w:b/>
          <w:color w:val="auto"/>
          <w:sz w:val="24"/>
          <w:highlight w:val="none"/>
        </w:rPr>
      </w:pPr>
      <w:r>
        <w:rPr>
          <w:rFonts w:hint="eastAsia" w:ascii="宋体" w:hAnsi="宋体" w:cs="宋体"/>
          <w:b/>
          <w:color w:val="auto"/>
          <w:sz w:val="24"/>
          <w:highlight w:val="none"/>
        </w:rPr>
        <w:t>质疑函制作说明：</w:t>
      </w:r>
    </w:p>
    <w:p w14:paraId="4305FFE4">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1.供应商提出质疑时，应提交质疑函和必要的证明材料。</w:t>
      </w:r>
    </w:p>
    <w:p w14:paraId="364E6A10">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2.质疑供应商若委托代理人进行质疑的，质疑函应按要求列明“授权代表”的有关内容，并在附件中提交由质疑</w:t>
      </w:r>
      <w:r>
        <w:rPr>
          <w:rFonts w:hint="eastAsia" w:ascii="宋体" w:hAnsi="宋体" w:cs="宋体"/>
          <w:color w:val="auto"/>
          <w:kern w:val="0"/>
          <w:sz w:val="24"/>
          <w:highlight w:val="none"/>
        </w:rPr>
        <w:t>供应商签署的授权委托书。授权委托书应载明代理人的姓名或者名称、代理事项、具体权限、期限和相关事项。</w:t>
      </w:r>
    </w:p>
    <w:p w14:paraId="0F65F12F">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3.质疑供应商若对项目的某一分包进行质疑，质疑函中应列明具体分包号。</w:t>
      </w:r>
    </w:p>
    <w:p w14:paraId="54AC3CA5">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4.质疑函的质疑事项应具体、明确，并有必要的事实依据和法律依据。</w:t>
      </w:r>
    </w:p>
    <w:p w14:paraId="4D0671F8">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5.质疑函的质疑请求应与质疑事项相关。</w:t>
      </w:r>
    </w:p>
    <w:p w14:paraId="6D0729E7">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412909B7">
      <w:pPr>
        <w:widowControl/>
        <w:spacing w:line="360" w:lineRule="auto"/>
        <w:ind w:firstLine="600" w:firstLineChars="200"/>
        <w:jc w:val="left"/>
        <w:rPr>
          <w:rFonts w:ascii="宋体" w:hAnsi="宋体" w:cs="宋体"/>
          <w:color w:val="auto"/>
          <w:sz w:val="30"/>
          <w:szCs w:val="30"/>
          <w:highlight w:val="none"/>
        </w:rPr>
      </w:pPr>
    </w:p>
    <w:p w14:paraId="5CFB71C0">
      <w:pPr>
        <w:spacing w:line="360" w:lineRule="auto"/>
        <w:jc w:val="center"/>
        <w:rPr>
          <w:rFonts w:ascii="宋体" w:hAnsi="宋体" w:cs="宋体"/>
          <w:b/>
          <w:color w:val="auto"/>
          <w:spacing w:val="6"/>
          <w:sz w:val="32"/>
          <w:szCs w:val="32"/>
          <w:highlight w:val="none"/>
        </w:rPr>
      </w:pPr>
    </w:p>
    <w:p w14:paraId="0F77F6C2">
      <w:pPr>
        <w:spacing w:line="360" w:lineRule="auto"/>
        <w:jc w:val="center"/>
        <w:rPr>
          <w:rFonts w:ascii="宋体" w:hAnsi="宋体" w:cs="宋体"/>
          <w:b/>
          <w:color w:val="auto"/>
          <w:spacing w:val="6"/>
          <w:sz w:val="32"/>
          <w:szCs w:val="32"/>
          <w:highlight w:val="none"/>
        </w:rPr>
      </w:pPr>
    </w:p>
    <w:p w14:paraId="47DDDF1A">
      <w:pPr>
        <w:spacing w:line="360" w:lineRule="auto"/>
        <w:jc w:val="center"/>
        <w:rPr>
          <w:rFonts w:ascii="宋体" w:hAnsi="宋体" w:cs="宋体"/>
          <w:b/>
          <w:color w:val="auto"/>
          <w:spacing w:val="6"/>
          <w:sz w:val="32"/>
          <w:szCs w:val="32"/>
          <w:highlight w:val="none"/>
        </w:rPr>
      </w:pPr>
    </w:p>
    <w:p w14:paraId="4B7E5E10">
      <w:pPr>
        <w:spacing w:line="360" w:lineRule="auto"/>
        <w:jc w:val="center"/>
        <w:rPr>
          <w:rFonts w:ascii="宋体" w:hAnsi="宋体" w:cs="宋体"/>
          <w:b/>
          <w:color w:val="auto"/>
          <w:spacing w:val="6"/>
          <w:sz w:val="32"/>
          <w:szCs w:val="32"/>
          <w:highlight w:val="none"/>
        </w:rPr>
      </w:pPr>
    </w:p>
    <w:p w14:paraId="1C8621E3">
      <w:pPr>
        <w:spacing w:line="360" w:lineRule="auto"/>
        <w:jc w:val="center"/>
        <w:rPr>
          <w:rFonts w:ascii="宋体" w:hAnsi="宋体" w:cs="宋体"/>
          <w:b/>
          <w:color w:val="auto"/>
          <w:spacing w:val="6"/>
          <w:sz w:val="32"/>
          <w:szCs w:val="32"/>
          <w:highlight w:val="none"/>
        </w:rPr>
      </w:pPr>
    </w:p>
    <w:p w14:paraId="3F81F6E9">
      <w:pPr>
        <w:spacing w:line="360" w:lineRule="auto"/>
        <w:jc w:val="center"/>
        <w:rPr>
          <w:rFonts w:ascii="宋体" w:hAnsi="宋体" w:cs="宋体"/>
          <w:b/>
          <w:color w:val="auto"/>
          <w:spacing w:val="6"/>
          <w:sz w:val="32"/>
          <w:szCs w:val="32"/>
          <w:highlight w:val="none"/>
        </w:rPr>
      </w:pPr>
    </w:p>
    <w:p w14:paraId="0032DF24">
      <w:pPr>
        <w:spacing w:line="360" w:lineRule="auto"/>
        <w:jc w:val="center"/>
        <w:rPr>
          <w:rFonts w:ascii="宋体" w:hAnsi="宋体" w:cs="宋体"/>
          <w:b/>
          <w:color w:val="auto"/>
          <w:spacing w:val="6"/>
          <w:sz w:val="32"/>
          <w:szCs w:val="32"/>
          <w:highlight w:val="none"/>
        </w:rPr>
      </w:pPr>
    </w:p>
    <w:p w14:paraId="565DF849">
      <w:pPr>
        <w:spacing w:line="360" w:lineRule="auto"/>
        <w:jc w:val="center"/>
        <w:rPr>
          <w:rFonts w:ascii="宋体" w:hAnsi="宋体" w:cs="宋体"/>
          <w:b/>
          <w:color w:val="auto"/>
          <w:spacing w:val="6"/>
          <w:sz w:val="32"/>
          <w:szCs w:val="32"/>
          <w:highlight w:val="none"/>
        </w:rPr>
      </w:pPr>
    </w:p>
    <w:p w14:paraId="1F852368">
      <w:pPr>
        <w:spacing w:line="360" w:lineRule="auto"/>
        <w:jc w:val="center"/>
        <w:rPr>
          <w:rFonts w:ascii="宋体" w:hAnsi="宋体" w:cs="宋体"/>
          <w:b/>
          <w:color w:val="auto"/>
          <w:spacing w:val="6"/>
          <w:sz w:val="32"/>
          <w:szCs w:val="32"/>
          <w:highlight w:val="none"/>
        </w:rPr>
      </w:pPr>
    </w:p>
    <w:p w14:paraId="679CB1FF">
      <w:pPr>
        <w:spacing w:line="360" w:lineRule="auto"/>
        <w:jc w:val="center"/>
        <w:rPr>
          <w:rFonts w:ascii="宋体" w:hAnsi="宋体" w:cs="宋体"/>
          <w:b/>
          <w:color w:val="auto"/>
          <w:spacing w:val="6"/>
          <w:sz w:val="32"/>
          <w:szCs w:val="32"/>
          <w:highlight w:val="none"/>
        </w:rPr>
      </w:pPr>
    </w:p>
    <w:p w14:paraId="13F43578">
      <w:pPr>
        <w:spacing w:line="360" w:lineRule="auto"/>
        <w:jc w:val="center"/>
        <w:rPr>
          <w:rFonts w:ascii="宋体" w:hAnsi="宋体" w:cs="宋体"/>
          <w:b/>
          <w:color w:val="auto"/>
          <w:spacing w:val="6"/>
          <w:sz w:val="32"/>
          <w:szCs w:val="32"/>
          <w:highlight w:val="none"/>
        </w:rPr>
      </w:pPr>
    </w:p>
    <w:p w14:paraId="6114B59D">
      <w:pPr>
        <w:spacing w:line="360" w:lineRule="auto"/>
        <w:jc w:val="center"/>
        <w:rPr>
          <w:rFonts w:ascii="宋体" w:hAnsi="宋体" w:cs="宋体"/>
          <w:b/>
          <w:color w:val="auto"/>
          <w:spacing w:val="6"/>
          <w:sz w:val="32"/>
          <w:szCs w:val="32"/>
          <w:highlight w:val="none"/>
        </w:rPr>
      </w:pPr>
    </w:p>
    <w:p w14:paraId="3CFF6DC4">
      <w:pPr>
        <w:spacing w:line="360" w:lineRule="auto"/>
        <w:jc w:val="left"/>
        <w:rPr>
          <w:rFonts w:ascii="宋体" w:hAnsi="宋体" w:cs="宋体"/>
          <w:b/>
          <w:color w:val="auto"/>
          <w:spacing w:val="6"/>
          <w:sz w:val="32"/>
          <w:szCs w:val="32"/>
          <w:highlight w:val="none"/>
        </w:rPr>
      </w:pPr>
    </w:p>
    <w:p w14:paraId="6E8E0B21">
      <w:pPr>
        <w:spacing w:line="360" w:lineRule="auto"/>
        <w:jc w:val="left"/>
        <w:rPr>
          <w:rFonts w:ascii="宋体" w:hAnsi="宋体" w:cs="宋体"/>
          <w:b/>
          <w:color w:val="auto"/>
          <w:spacing w:val="6"/>
          <w:sz w:val="32"/>
          <w:szCs w:val="32"/>
          <w:highlight w:val="none"/>
        </w:rPr>
      </w:pPr>
    </w:p>
    <w:p w14:paraId="542B0088">
      <w:pPr>
        <w:spacing w:line="360" w:lineRule="auto"/>
        <w:jc w:val="left"/>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附件3：投诉书范本及制作说明</w:t>
      </w:r>
    </w:p>
    <w:p w14:paraId="4A2CCEB4">
      <w:pPr>
        <w:spacing w:line="360" w:lineRule="auto"/>
        <w:jc w:val="center"/>
        <w:rPr>
          <w:rFonts w:ascii="宋体" w:hAnsi="宋体" w:cs="宋体"/>
          <w:b/>
          <w:color w:val="auto"/>
          <w:sz w:val="24"/>
          <w:highlight w:val="none"/>
        </w:rPr>
      </w:pPr>
    </w:p>
    <w:p w14:paraId="6E36DE54">
      <w:pPr>
        <w:spacing w:line="360" w:lineRule="auto"/>
        <w:jc w:val="center"/>
        <w:rPr>
          <w:rFonts w:ascii="宋体" w:hAnsi="宋体" w:cs="宋体"/>
          <w:b/>
          <w:color w:val="auto"/>
          <w:spacing w:val="6"/>
          <w:sz w:val="32"/>
          <w:szCs w:val="32"/>
          <w:highlight w:val="none"/>
        </w:rPr>
      </w:pPr>
      <w:r>
        <w:rPr>
          <w:rFonts w:hint="eastAsia" w:ascii="宋体" w:hAnsi="宋体" w:cs="宋体"/>
          <w:b/>
          <w:color w:val="auto"/>
          <w:spacing w:val="6"/>
          <w:sz w:val="32"/>
          <w:szCs w:val="32"/>
          <w:highlight w:val="none"/>
        </w:rPr>
        <w:t>投诉书范本</w:t>
      </w:r>
    </w:p>
    <w:p w14:paraId="1608E3CA">
      <w:pPr>
        <w:spacing w:line="360" w:lineRule="auto"/>
        <w:rPr>
          <w:rFonts w:ascii="宋体" w:hAnsi="宋体" w:cs="宋体"/>
          <w:color w:val="auto"/>
          <w:sz w:val="24"/>
          <w:highlight w:val="none"/>
        </w:rPr>
      </w:pPr>
      <w:r>
        <w:rPr>
          <w:rFonts w:hint="eastAsia" w:ascii="宋体" w:hAnsi="宋体" w:cs="宋体"/>
          <w:color w:val="auto"/>
          <w:sz w:val="24"/>
          <w:highlight w:val="none"/>
        </w:rPr>
        <w:t>一、投诉相关主体基本情况</w:t>
      </w:r>
    </w:p>
    <w:p w14:paraId="79A1BFF9">
      <w:pPr>
        <w:spacing w:line="360" w:lineRule="auto"/>
        <w:rPr>
          <w:rFonts w:ascii="宋体" w:hAnsi="宋体" w:cs="宋体"/>
          <w:color w:val="auto"/>
          <w:sz w:val="24"/>
          <w:highlight w:val="none"/>
          <w:u w:val="dotted"/>
        </w:rPr>
      </w:pPr>
      <w:r>
        <w:rPr>
          <w:rFonts w:hint="eastAsia" w:ascii="宋体" w:hAnsi="宋体" w:cs="宋体"/>
          <w:color w:val="auto"/>
          <w:sz w:val="24"/>
          <w:highlight w:val="none"/>
        </w:rPr>
        <w:t>投诉人：</w:t>
      </w:r>
      <w:r>
        <w:rPr>
          <w:rFonts w:hint="eastAsia" w:ascii="宋体" w:hAnsi="宋体" w:cs="宋体"/>
          <w:color w:val="auto"/>
          <w:sz w:val="24"/>
          <w:highlight w:val="none"/>
          <w:u w:val="dotted"/>
        </w:rPr>
        <w:t xml:space="preserve">                                               </w:t>
      </w:r>
    </w:p>
    <w:p w14:paraId="71540140">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0C44D048">
      <w:pPr>
        <w:tabs>
          <w:tab w:val="left" w:pos="6510"/>
        </w:tabs>
        <w:spacing w:line="360" w:lineRule="auto"/>
        <w:jc w:val="left"/>
        <w:rPr>
          <w:rFonts w:ascii="宋体" w:hAnsi="宋体" w:cs="宋体"/>
          <w:color w:val="auto"/>
          <w:sz w:val="24"/>
          <w:highlight w:val="none"/>
        </w:rPr>
      </w:pPr>
      <w:r>
        <w:rPr>
          <w:rFonts w:hint="eastAsia" w:ascii="宋体" w:hAnsi="宋体" w:cs="宋体"/>
          <w:color w:val="auto"/>
          <w:sz w:val="24"/>
          <w:highlight w:val="none"/>
        </w:rPr>
        <w:t>法定代表人/主要负责人：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2C694C36">
      <w:pPr>
        <w:tabs>
          <w:tab w:val="left" w:pos="6510"/>
        </w:tabs>
        <w:spacing w:line="360" w:lineRule="auto"/>
        <w:rPr>
          <w:rFonts w:ascii="宋体" w:hAnsi="宋体" w:cs="宋体"/>
          <w:color w:val="auto"/>
          <w:sz w:val="24"/>
          <w:highlight w:val="none"/>
          <w:u w:val="dotted"/>
        </w:rPr>
      </w:pP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4C502357">
      <w:pPr>
        <w:spacing w:line="360" w:lineRule="auto"/>
        <w:rPr>
          <w:rFonts w:ascii="宋体" w:hAnsi="宋体" w:cs="宋体"/>
          <w:color w:val="auto"/>
          <w:sz w:val="24"/>
          <w:highlight w:val="none"/>
          <w:u w:val="dotted"/>
        </w:rPr>
      </w:pPr>
      <w:r>
        <w:rPr>
          <w:rFonts w:hint="eastAsia" w:ascii="宋体" w:hAnsi="宋体" w:cs="宋体"/>
          <w:color w:val="auto"/>
          <w:sz w:val="24"/>
          <w:highlight w:val="none"/>
        </w:rPr>
        <w:t>授权代表：</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p>
    <w:p w14:paraId="6009F256">
      <w:pPr>
        <w:spacing w:line="360" w:lineRule="auto"/>
        <w:rPr>
          <w:rFonts w:ascii="宋体" w:hAnsi="宋体" w:cs="宋体"/>
          <w:color w:val="auto"/>
          <w:sz w:val="24"/>
          <w:highlight w:val="none"/>
          <w:u w:val="dotted"/>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r>
        <w:rPr>
          <w:rFonts w:hint="eastAsia" w:ascii="宋体" w:hAnsi="宋体" w:cs="宋体"/>
          <w:color w:val="auto"/>
          <w:sz w:val="24"/>
          <w:highlight w:val="none"/>
          <w:u w:val="dotted"/>
        </w:rPr>
        <w:t xml:space="preserve">                   </w:t>
      </w:r>
    </w:p>
    <w:p w14:paraId="6D61DF25">
      <w:pPr>
        <w:spacing w:line="360" w:lineRule="auto"/>
        <w:rPr>
          <w:rFonts w:ascii="宋体" w:hAnsi="宋体" w:cs="宋体"/>
          <w:color w:val="auto"/>
          <w:sz w:val="24"/>
          <w:highlight w:val="none"/>
          <w:u w:val="single"/>
        </w:rPr>
      </w:pPr>
      <w:r>
        <w:rPr>
          <w:rFonts w:hint="eastAsia" w:ascii="宋体" w:hAnsi="宋体" w:cs="宋体"/>
          <w:color w:val="auto"/>
          <w:sz w:val="24"/>
          <w:highlight w:val="none"/>
        </w:rPr>
        <w:t>被投诉人1：</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1A9DFDD0">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6607E94A">
      <w:pPr>
        <w:spacing w:line="360" w:lineRule="auto"/>
        <w:rPr>
          <w:rFonts w:ascii="宋体" w:hAnsi="宋体" w:cs="宋体"/>
          <w:color w:val="auto"/>
          <w:sz w:val="24"/>
          <w:highlight w:val="none"/>
          <w:u w:val="singl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7C6ABB7F">
      <w:pPr>
        <w:spacing w:line="360" w:lineRule="auto"/>
        <w:rPr>
          <w:rFonts w:ascii="宋体" w:hAnsi="宋体" w:cs="宋体"/>
          <w:color w:val="auto"/>
          <w:sz w:val="24"/>
          <w:highlight w:val="none"/>
        </w:rPr>
      </w:pPr>
      <w:r>
        <w:rPr>
          <w:rFonts w:hint="eastAsia" w:ascii="宋体" w:hAnsi="宋体" w:cs="宋体"/>
          <w:color w:val="auto"/>
          <w:sz w:val="24"/>
          <w:highlight w:val="none"/>
        </w:rPr>
        <w:t>被投诉人2</w:t>
      </w:r>
    </w:p>
    <w:p w14:paraId="555981C0">
      <w:pPr>
        <w:spacing w:line="360" w:lineRule="auto"/>
        <w:rPr>
          <w:rFonts w:ascii="宋体" w:hAnsi="宋体" w:cs="宋体"/>
          <w:color w:val="auto"/>
          <w:sz w:val="24"/>
          <w:highlight w:val="none"/>
          <w:u w:val="dotted"/>
        </w:rPr>
      </w:pPr>
      <w:r>
        <w:rPr>
          <w:rFonts w:hint="eastAsia" w:ascii="宋体" w:hAnsi="宋体" w:cs="宋体"/>
          <w:color w:val="auto"/>
          <w:sz w:val="24"/>
          <w:highlight w:val="none"/>
        </w:rPr>
        <w:t>……</w:t>
      </w:r>
    </w:p>
    <w:p w14:paraId="38798B24">
      <w:pPr>
        <w:spacing w:line="360" w:lineRule="auto"/>
        <w:rPr>
          <w:rFonts w:ascii="宋体" w:hAnsi="宋体" w:cs="宋体"/>
          <w:color w:val="auto"/>
          <w:sz w:val="24"/>
          <w:highlight w:val="none"/>
          <w:u w:val="single"/>
        </w:rPr>
      </w:pPr>
      <w:r>
        <w:rPr>
          <w:rFonts w:hint="eastAsia" w:ascii="宋体" w:hAnsi="宋体" w:cs="宋体"/>
          <w:color w:val="auto"/>
          <w:sz w:val="24"/>
          <w:highlight w:val="none"/>
        </w:rPr>
        <w:t>相关供应商：</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16DE969E">
      <w:pPr>
        <w:spacing w:line="360" w:lineRule="auto"/>
        <w:rPr>
          <w:rFonts w:ascii="宋体" w:hAnsi="宋体" w:cs="宋体"/>
          <w:color w:val="auto"/>
          <w:sz w:val="24"/>
          <w:highlight w:val="none"/>
          <w:u w:val="single"/>
        </w:rPr>
      </w:pPr>
      <w:r>
        <w:rPr>
          <w:rFonts w:hint="eastAsia" w:ascii="宋体" w:hAnsi="宋体" w:cs="宋体"/>
          <w:color w:val="auto"/>
          <w:sz w:val="24"/>
          <w:highlight w:val="none"/>
        </w:rPr>
        <w:t>地     址：</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邮编：</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32831F70">
      <w:pPr>
        <w:spacing w:line="360" w:lineRule="auto"/>
        <w:rPr>
          <w:rFonts w:ascii="宋体" w:hAnsi="宋体" w:cs="宋体"/>
          <w:color w:val="auto"/>
          <w:sz w:val="24"/>
          <w:highlight w:val="none"/>
          <w:u w:val="single"/>
        </w:rPr>
      </w:pPr>
      <w:r>
        <w:rPr>
          <w:rFonts w:hint="eastAsia" w:ascii="宋体" w:hAnsi="宋体" w:cs="宋体"/>
          <w:color w:val="auto"/>
          <w:sz w:val="24"/>
          <w:highlight w:val="none"/>
        </w:rPr>
        <w:t>联系人：</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联系电话：</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73F9D97A">
      <w:pPr>
        <w:spacing w:line="360" w:lineRule="auto"/>
        <w:rPr>
          <w:rFonts w:ascii="宋体" w:hAnsi="宋体" w:cs="宋体"/>
          <w:color w:val="auto"/>
          <w:sz w:val="24"/>
          <w:highlight w:val="none"/>
        </w:rPr>
      </w:pPr>
      <w:r>
        <w:rPr>
          <w:rFonts w:hint="eastAsia" w:ascii="宋体" w:hAnsi="宋体" w:cs="宋体"/>
          <w:color w:val="auto"/>
          <w:sz w:val="24"/>
          <w:highlight w:val="none"/>
        </w:rPr>
        <w:t>二、投诉项目基本情况</w:t>
      </w:r>
    </w:p>
    <w:p w14:paraId="6E461E52">
      <w:pPr>
        <w:spacing w:line="360" w:lineRule="auto"/>
        <w:rPr>
          <w:rFonts w:ascii="宋体" w:hAnsi="宋体" w:cs="宋体"/>
          <w:color w:val="auto"/>
          <w:sz w:val="24"/>
          <w:highlight w:val="none"/>
          <w:u w:val="dotted"/>
        </w:rPr>
      </w:pPr>
      <w:r>
        <w:rPr>
          <w:rFonts w:hint="eastAsia" w:ascii="宋体" w:hAnsi="宋体" w:cs="宋体"/>
          <w:color w:val="auto"/>
          <w:sz w:val="24"/>
          <w:highlight w:val="none"/>
        </w:rPr>
        <w:t>采购项目名称：</w:t>
      </w:r>
      <w:r>
        <w:rPr>
          <w:rFonts w:hint="eastAsia" w:ascii="宋体" w:hAnsi="宋体" w:cs="宋体"/>
          <w:color w:val="auto"/>
          <w:sz w:val="24"/>
          <w:highlight w:val="none"/>
          <w:u w:val="dotted"/>
        </w:rPr>
        <w:t xml:space="preserve">                                        </w:t>
      </w:r>
    </w:p>
    <w:p w14:paraId="6F867FC7">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采购项目编号：</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包号：</w:t>
      </w:r>
      <w:r>
        <w:rPr>
          <w:rFonts w:hint="eastAsia" w:ascii="宋体" w:hAnsi="宋体" w:cs="宋体"/>
          <w:color w:val="auto"/>
          <w:sz w:val="24"/>
          <w:highlight w:val="none"/>
          <w:u w:val="dotted"/>
        </w:rPr>
        <w:t xml:space="preserve">              </w:t>
      </w:r>
    </w:p>
    <w:p w14:paraId="25DC6A39">
      <w:pPr>
        <w:spacing w:line="360" w:lineRule="auto"/>
        <w:rPr>
          <w:rFonts w:ascii="宋体" w:hAnsi="宋体" w:cs="宋体"/>
          <w:color w:val="auto"/>
          <w:sz w:val="24"/>
          <w:highlight w:val="none"/>
        </w:rPr>
      </w:pPr>
      <w:r>
        <w:rPr>
          <w:rFonts w:hint="eastAsia" w:ascii="宋体" w:hAnsi="宋体" w:cs="宋体"/>
          <w:color w:val="auto"/>
          <w:sz w:val="24"/>
          <w:highlight w:val="none"/>
        </w:rPr>
        <w:t>采购人名称：</w:t>
      </w:r>
      <w:r>
        <w:rPr>
          <w:rFonts w:hint="eastAsia" w:ascii="宋体" w:hAnsi="宋体" w:cs="宋体"/>
          <w:color w:val="auto"/>
          <w:sz w:val="24"/>
          <w:highlight w:val="none"/>
          <w:u w:val="dotted"/>
        </w:rPr>
        <w:t xml:space="preserve">                                           </w:t>
      </w:r>
      <w:r>
        <w:rPr>
          <w:rFonts w:hint="eastAsia" w:ascii="宋体" w:hAnsi="宋体" w:cs="宋体"/>
          <w:color w:val="auto"/>
          <w:sz w:val="24"/>
          <w:highlight w:val="none"/>
          <w:u w:val="single"/>
        </w:rPr>
        <w:t xml:space="preserve">  </w:t>
      </w:r>
    </w:p>
    <w:p w14:paraId="6E350C1A">
      <w:pPr>
        <w:spacing w:line="360" w:lineRule="auto"/>
        <w:rPr>
          <w:rFonts w:ascii="宋体" w:hAnsi="宋体" w:cs="宋体"/>
          <w:color w:val="auto"/>
          <w:sz w:val="24"/>
          <w:highlight w:val="none"/>
          <w:u w:val="single"/>
        </w:rPr>
      </w:pPr>
      <w:r>
        <w:rPr>
          <w:rFonts w:hint="eastAsia" w:ascii="宋体" w:hAnsi="宋体" w:cs="宋体"/>
          <w:color w:val="auto"/>
          <w:sz w:val="24"/>
          <w:highlight w:val="none"/>
        </w:rPr>
        <w:t>代理机构名称：</w:t>
      </w:r>
      <w:r>
        <w:rPr>
          <w:rFonts w:hint="eastAsia" w:ascii="宋体" w:hAnsi="宋体" w:cs="宋体"/>
          <w:color w:val="auto"/>
          <w:sz w:val="24"/>
          <w:highlight w:val="none"/>
          <w:u w:val="dotted"/>
        </w:rPr>
        <w:t xml:space="preserve">                                         </w:t>
      </w:r>
    </w:p>
    <w:p w14:paraId="63B5B40F">
      <w:pPr>
        <w:spacing w:line="360" w:lineRule="auto"/>
        <w:rPr>
          <w:rFonts w:ascii="宋体" w:hAnsi="宋体" w:cs="宋体"/>
          <w:color w:val="auto"/>
          <w:sz w:val="24"/>
          <w:highlight w:val="none"/>
          <w:u w:val="dotted"/>
        </w:rPr>
      </w:pPr>
      <w:r>
        <w:rPr>
          <w:rFonts w:hint="eastAsia" w:ascii="宋体" w:hAnsi="宋体" w:cs="宋体"/>
          <w:color w:val="auto"/>
          <w:sz w:val="24"/>
          <w:highlight w:val="none"/>
        </w:rPr>
        <w:t>采购文件公告:</w:t>
      </w:r>
      <w:r>
        <w:rPr>
          <w:rFonts w:hint="eastAsia" w:ascii="宋体" w:hAnsi="宋体" w:cs="宋体"/>
          <w:color w:val="auto"/>
          <w:sz w:val="24"/>
          <w:highlight w:val="none"/>
          <w:u w:val="dotted"/>
        </w:rPr>
        <w:t xml:space="preserve">是/否 </w:t>
      </w:r>
      <w:r>
        <w:rPr>
          <w:rFonts w:hint="eastAsia" w:ascii="宋体" w:hAnsi="宋体" w:cs="宋体"/>
          <w:color w:val="auto"/>
          <w:sz w:val="24"/>
          <w:highlight w:val="none"/>
        </w:rPr>
        <w:t>公告期限：</w:t>
      </w:r>
      <w:r>
        <w:rPr>
          <w:rFonts w:hint="eastAsia" w:ascii="宋体" w:hAnsi="宋体" w:cs="宋体"/>
          <w:color w:val="auto"/>
          <w:sz w:val="24"/>
          <w:highlight w:val="none"/>
          <w:u w:val="dotted"/>
        </w:rPr>
        <w:t xml:space="preserve">                                 </w:t>
      </w:r>
    </w:p>
    <w:p w14:paraId="18B3286F">
      <w:pPr>
        <w:spacing w:line="360" w:lineRule="auto"/>
        <w:rPr>
          <w:rFonts w:ascii="宋体" w:hAnsi="宋体" w:cs="宋体"/>
          <w:color w:val="auto"/>
          <w:sz w:val="24"/>
          <w:highlight w:val="none"/>
          <w:u w:val="single"/>
        </w:rPr>
      </w:pPr>
      <w:r>
        <w:rPr>
          <w:rFonts w:hint="eastAsia" w:ascii="宋体" w:hAnsi="宋体" w:cs="宋体"/>
          <w:color w:val="auto"/>
          <w:sz w:val="24"/>
          <w:highlight w:val="none"/>
        </w:rPr>
        <w:t>采购结果公告:</w:t>
      </w:r>
      <w:r>
        <w:rPr>
          <w:rFonts w:hint="eastAsia" w:ascii="宋体" w:hAnsi="宋体" w:cs="宋体"/>
          <w:color w:val="auto"/>
          <w:sz w:val="24"/>
          <w:highlight w:val="none"/>
          <w:u w:val="dotted"/>
        </w:rPr>
        <w:t xml:space="preserve">是/否 </w:t>
      </w:r>
      <w:r>
        <w:rPr>
          <w:rFonts w:hint="eastAsia" w:ascii="宋体" w:hAnsi="宋体" w:cs="宋体"/>
          <w:color w:val="auto"/>
          <w:sz w:val="24"/>
          <w:highlight w:val="none"/>
        </w:rPr>
        <w:t>公告期限：</w:t>
      </w:r>
      <w:r>
        <w:rPr>
          <w:rFonts w:hint="eastAsia" w:ascii="宋体" w:hAnsi="宋体" w:cs="宋体"/>
          <w:color w:val="auto"/>
          <w:sz w:val="24"/>
          <w:highlight w:val="none"/>
          <w:u w:val="dotted"/>
        </w:rPr>
        <w:t xml:space="preserve">                        </w:t>
      </w:r>
    </w:p>
    <w:p w14:paraId="1E75F350">
      <w:pPr>
        <w:spacing w:line="360" w:lineRule="auto"/>
        <w:rPr>
          <w:rFonts w:ascii="宋体" w:hAnsi="宋体" w:cs="宋体"/>
          <w:color w:val="auto"/>
          <w:sz w:val="24"/>
          <w:highlight w:val="none"/>
        </w:rPr>
      </w:pPr>
      <w:r>
        <w:rPr>
          <w:rFonts w:hint="eastAsia" w:ascii="宋体" w:hAnsi="宋体" w:cs="宋体"/>
          <w:color w:val="auto"/>
          <w:sz w:val="24"/>
          <w:highlight w:val="none"/>
        </w:rPr>
        <w:t>三、质疑基本情况</w:t>
      </w:r>
    </w:p>
    <w:p w14:paraId="5786C4F2">
      <w:pPr>
        <w:spacing w:line="360" w:lineRule="auto"/>
        <w:ind w:firstLine="480" w:firstLineChars="200"/>
        <w:rPr>
          <w:rFonts w:ascii="宋体" w:hAnsi="宋体" w:cs="宋体"/>
          <w:color w:val="auto"/>
          <w:sz w:val="24"/>
          <w:highlight w:val="none"/>
          <w:u w:val="dotted"/>
        </w:rPr>
      </w:pPr>
      <w:r>
        <w:rPr>
          <w:rFonts w:hint="eastAsia" w:ascii="宋体" w:hAnsi="宋体" w:cs="宋体"/>
          <w:color w:val="auto"/>
          <w:sz w:val="24"/>
          <w:highlight w:val="none"/>
        </w:rPr>
        <w:t>投诉人于</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日,向</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提出质疑，质疑事项为：</w:t>
      </w:r>
      <w:r>
        <w:rPr>
          <w:rFonts w:hint="eastAsia" w:ascii="宋体" w:hAnsi="宋体" w:cs="宋体"/>
          <w:color w:val="auto"/>
          <w:sz w:val="24"/>
          <w:highlight w:val="none"/>
          <w:u w:val="dotted"/>
        </w:rPr>
        <w:t xml:space="preserve">                                </w:t>
      </w:r>
    </w:p>
    <w:p w14:paraId="3DE99DF0">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77A31D46">
      <w:pPr>
        <w:spacing w:line="360" w:lineRule="auto"/>
        <w:ind w:firstLine="360" w:firstLineChars="150"/>
        <w:rPr>
          <w:rFonts w:ascii="宋体" w:hAnsi="宋体" w:cs="宋体"/>
          <w:color w:val="auto"/>
          <w:sz w:val="24"/>
          <w:highlight w:val="none"/>
        </w:rPr>
      </w:pPr>
      <w:r>
        <w:rPr>
          <w:rFonts w:hint="eastAsia" w:ascii="宋体" w:hAnsi="宋体" w:cs="宋体"/>
          <w:color w:val="auto"/>
          <w:sz w:val="24"/>
          <w:highlight w:val="none"/>
          <w:u w:val="dotted"/>
        </w:rPr>
        <w:t>采购人/代理机构</w:t>
      </w:r>
      <w:r>
        <w:rPr>
          <w:rFonts w:hint="eastAsia" w:ascii="宋体" w:hAnsi="宋体" w:cs="宋体"/>
          <w:color w:val="auto"/>
          <w:sz w:val="24"/>
          <w:highlight w:val="none"/>
        </w:rPr>
        <w:t>于</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日,就质疑事项作出了答复/没有在法定期限内作出答复。</w:t>
      </w:r>
    </w:p>
    <w:p w14:paraId="705A7EFC">
      <w:pPr>
        <w:spacing w:line="360" w:lineRule="auto"/>
        <w:rPr>
          <w:rFonts w:ascii="宋体" w:hAnsi="宋体" w:cs="宋体"/>
          <w:color w:val="auto"/>
          <w:sz w:val="24"/>
          <w:highlight w:val="none"/>
        </w:rPr>
      </w:pPr>
      <w:r>
        <w:rPr>
          <w:rFonts w:hint="eastAsia" w:ascii="宋体" w:hAnsi="宋体" w:cs="宋体"/>
          <w:color w:val="auto"/>
          <w:sz w:val="24"/>
          <w:highlight w:val="none"/>
        </w:rPr>
        <w:t>四、投诉事项具体内容</w:t>
      </w:r>
    </w:p>
    <w:p w14:paraId="772B6B6C">
      <w:pPr>
        <w:spacing w:line="360" w:lineRule="auto"/>
        <w:rPr>
          <w:rFonts w:ascii="宋体" w:hAnsi="宋体" w:cs="宋体"/>
          <w:color w:val="auto"/>
          <w:sz w:val="24"/>
          <w:highlight w:val="none"/>
          <w:u w:val="single"/>
        </w:rPr>
      </w:pPr>
      <w:r>
        <w:rPr>
          <w:rFonts w:hint="eastAsia" w:ascii="宋体" w:hAnsi="宋体" w:cs="宋体"/>
          <w:color w:val="auto"/>
          <w:sz w:val="24"/>
          <w:highlight w:val="none"/>
        </w:rPr>
        <w:t>投诉事项 1：</w:t>
      </w:r>
      <w:r>
        <w:rPr>
          <w:rFonts w:hint="eastAsia" w:ascii="宋体" w:hAnsi="宋体" w:cs="宋体"/>
          <w:color w:val="auto"/>
          <w:sz w:val="24"/>
          <w:highlight w:val="none"/>
          <w:u w:val="dotted"/>
        </w:rPr>
        <w:t xml:space="preserve">                                       </w:t>
      </w:r>
    </w:p>
    <w:p w14:paraId="640F6C19">
      <w:pPr>
        <w:spacing w:line="360" w:lineRule="auto"/>
        <w:rPr>
          <w:rFonts w:ascii="宋体" w:hAnsi="宋体" w:cs="宋体"/>
          <w:color w:val="auto"/>
          <w:sz w:val="24"/>
          <w:highlight w:val="none"/>
        </w:rPr>
      </w:pPr>
      <w:r>
        <w:rPr>
          <w:rFonts w:hint="eastAsia" w:ascii="宋体" w:hAnsi="宋体" w:cs="宋体"/>
          <w:color w:val="auto"/>
          <w:sz w:val="24"/>
          <w:highlight w:val="none"/>
        </w:rPr>
        <w:t>事实依据：</w:t>
      </w:r>
      <w:r>
        <w:rPr>
          <w:rFonts w:hint="eastAsia" w:ascii="宋体" w:hAnsi="宋体" w:cs="宋体"/>
          <w:color w:val="auto"/>
          <w:sz w:val="24"/>
          <w:highlight w:val="none"/>
          <w:u w:val="dotted"/>
        </w:rPr>
        <w:t xml:space="preserve">                                         </w:t>
      </w:r>
    </w:p>
    <w:p w14:paraId="765DF022">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149F8DD1">
      <w:pPr>
        <w:spacing w:line="360" w:lineRule="auto"/>
        <w:rPr>
          <w:rFonts w:ascii="宋体" w:hAnsi="宋体" w:cs="宋体"/>
          <w:color w:val="auto"/>
          <w:sz w:val="24"/>
          <w:highlight w:val="none"/>
          <w:u w:val="single"/>
        </w:rPr>
      </w:pPr>
      <w:r>
        <w:rPr>
          <w:rFonts w:hint="eastAsia" w:ascii="宋体" w:hAnsi="宋体" w:cs="宋体"/>
          <w:color w:val="auto"/>
          <w:sz w:val="24"/>
          <w:highlight w:val="none"/>
        </w:rPr>
        <w:t>法律依据：</w:t>
      </w:r>
      <w:r>
        <w:rPr>
          <w:rFonts w:hint="eastAsia" w:ascii="宋体" w:hAnsi="宋体" w:cs="宋体"/>
          <w:color w:val="auto"/>
          <w:sz w:val="24"/>
          <w:highlight w:val="none"/>
          <w:u w:val="dotted"/>
        </w:rPr>
        <w:t xml:space="preserve">                                          </w:t>
      </w:r>
    </w:p>
    <w:p w14:paraId="5F30B925">
      <w:pPr>
        <w:spacing w:line="360" w:lineRule="auto"/>
        <w:rPr>
          <w:rFonts w:ascii="宋体" w:hAnsi="宋体" w:cs="宋体"/>
          <w:color w:val="auto"/>
          <w:sz w:val="24"/>
          <w:highlight w:val="none"/>
          <w:u w:val="dotted"/>
        </w:rPr>
      </w:pPr>
      <w:r>
        <w:rPr>
          <w:rFonts w:hint="eastAsia" w:ascii="宋体" w:hAnsi="宋体" w:cs="宋体"/>
          <w:color w:val="auto"/>
          <w:sz w:val="24"/>
          <w:highlight w:val="none"/>
          <w:u w:val="dotted"/>
        </w:rPr>
        <w:t xml:space="preserve">                                                      </w:t>
      </w:r>
    </w:p>
    <w:p w14:paraId="33E6ACE1">
      <w:pPr>
        <w:spacing w:line="360" w:lineRule="auto"/>
        <w:rPr>
          <w:rFonts w:ascii="宋体" w:hAnsi="宋体" w:cs="宋体"/>
          <w:color w:val="auto"/>
          <w:sz w:val="24"/>
          <w:highlight w:val="none"/>
        </w:rPr>
      </w:pPr>
      <w:r>
        <w:rPr>
          <w:rFonts w:hint="eastAsia" w:ascii="宋体" w:hAnsi="宋体" w:cs="宋体"/>
          <w:color w:val="auto"/>
          <w:sz w:val="24"/>
          <w:highlight w:val="none"/>
        </w:rPr>
        <w:t>投诉事项2</w:t>
      </w:r>
    </w:p>
    <w:p w14:paraId="13BE3F87">
      <w:pPr>
        <w:spacing w:line="360" w:lineRule="auto"/>
        <w:rPr>
          <w:rFonts w:ascii="宋体" w:hAnsi="宋体" w:cs="宋体"/>
          <w:color w:val="auto"/>
          <w:sz w:val="24"/>
          <w:highlight w:val="none"/>
          <w:u w:val="dotted"/>
        </w:rPr>
      </w:pPr>
      <w:r>
        <w:rPr>
          <w:rFonts w:hint="eastAsia" w:ascii="宋体" w:hAnsi="宋体" w:cs="宋体"/>
          <w:color w:val="auto"/>
          <w:sz w:val="24"/>
          <w:highlight w:val="none"/>
        </w:rPr>
        <w:t>……</w:t>
      </w:r>
    </w:p>
    <w:p w14:paraId="031CE334">
      <w:pPr>
        <w:spacing w:line="360" w:lineRule="auto"/>
        <w:rPr>
          <w:rFonts w:ascii="宋体" w:hAnsi="宋体" w:cs="宋体"/>
          <w:color w:val="auto"/>
          <w:sz w:val="24"/>
          <w:highlight w:val="none"/>
        </w:rPr>
      </w:pPr>
      <w:r>
        <w:rPr>
          <w:rFonts w:hint="eastAsia" w:ascii="宋体" w:hAnsi="宋体" w:cs="宋体"/>
          <w:color w:val="auto"/>
          <w:sz w:val="24"/>
          <w:highlight w:val="none"/>
        </w:rPr>
        <w:t>五、与投诉事项相关的投诉请求</w:t>
      </w:r>
    </w:p>
    <w:p w14:paraId="444AF7B7">
      <w:pPr>
        <w:spacing w:line="360" w:lineRule="auto"/>
        <w:rPr>
          <w:rFonts w:ascii="宋体" w:hAnsi="宋体" w:cs="宋体"/>
          <w:color w:val="auto"/>
          <w:sz w:val="24"/>
          <w:highlight w:val="none"/>
        </w:rPr>
      </w:pPr>
      <w:r>
        <w:rPr>
          <w:rFonts w:hint="eastAsia" w:ascii="宋体" w:hAnsi="宋体" w:cs="宋体"/>
          <w:color w:val="auto"/>
          <w:sz w:val="24"/>
          <w:highlight w:val="none"/>
        </w:rPr>
        <w:t>请求：</w:t>
      </w:r>
      <w:r>
        <w:rPr>
          <w:rFonts w:hint="eastAsia" w:ascii="宋体" w:hAnsi="宋体" w:cs="宋体"/>
          <w:color w:val="auto"/>
          <w:sz w:val="24"/>
          <w:highlight w:val="none"/>
          <w:u w:val="dotted"/>
        </w:rPr>
        <w:t xml:space="preserve">                                              </w:t>
      </w:r>
      <w:r>
        <w:rPr>
          <w:rFonts w:hint="eastAsia" w:ascii="宋体" w:hAnsi="宋体" w:cs="宋体"/>
          <w:color w:val="auto"/>
          <w:sz w:val="24"/>
          <w:highlight w:val="none"/>
        </w:rPr>
        <w:t xml:space="preserve"> </w:t>
      </w:r>
    </w:p>
    <w:p w14:paraId="3A2F47FE">
      <w:pPr>
        <w:spacing w:line="360" w:lineRule="auto"/>
        <w:rPr>
          <w:rFonts w:ascii="宋体" w:hAnsi="宋体" w:cs="宋体"/>
          <w:color w:val="auto"/>
          <w:sz w:val="24"/>
          <w:highlight w:val="none"/>
          <w:u w:val="single"/>
        </w:rPr>
      </w:pPr>
      <w:r>
        <w:rPr>
          <w:rFonts w:hint="eastAsia" w:ascii="宋体" w:hAnsi="宋体" w:cs="宋体"/>
          <w:color w:val="auto"/>
          <w:sz w:val="24"/>
          <w:highlight w:val="none"/>
        </w:rPr>
        <w:t xml:space="preserve">                                                                                                    </w:t>
      </w:r>
    </w:p>
    <w:p w14:paraId="3CC8CF0C">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签字(签章)：                   公章：                      </w:t>
      </w:r>
    </w:p>
    <w:p w14:paraId="0E3DAB85">
      <w:pPr>
        <w:spacing w:line="360" w:lineRule="auto"/>
        <w:rPr>
          <w:rFonts w:ascii="宋体" w:hAnsi="宋体" w:cs="宋体"/>
          <w:color w:val="auto"/>
          <w:sz w:val="24"/>
          <w:highlight w:val="none"/>
        </w:rPr>
      </w:pPr>
      <w:r>
        <w:rPr>
          <w:rFonts w:hint="eastAsia" w:ascii="宋体" w:hAnsi="宋体" w:cs="宋体"/>
          <w:color w:val="auto"/>
          <w:sz w:val="24"/>
          <w:highlight w:val="none"/>
        </w:rPr>
        <w:t xml:space="preserve">日期：    </w:t>
      </w:r>
    </w:p>
    <w:p w14:paraId="2EB45A30">
      <w:pPr>
        <w:spacing w:line="360" w:lineRule="auto"/>
        <w:rPr>
          <w:rFonts w:ascii="宋体" w:hAnsi="宋体" w:cs="宋体"/>
          <w:b/>
          <w:color w:val="auto"/>
          <w:sz w:val="24"/>
          <w:highlight w:val="none"/>
        </w:rPr>
      </w:pPr>
    </w:p>
    <w:p w14:paraId="1ADCAFE1">
      <w:pPr>
        <w:spacing w:line="360" w:lineRule="auto"/>
        <w:rPr>
          <w:rFonts w:ascii="宋体" w:hAnsi="宋体" w:cs="宋体"/>
          <w:b/>
          <w:color w:val="auto"/>
          <w:sz w:val="24"/>
          <w:highlight w:val="none"/>
        </w:rPr>
      </w:pPr>
    </w:p>
    <w:p w14:paraId="2182E5F3">
      <w:pPr>
        <w:spacing w:line="360" w:lineRule="auto"/>
        <w:rPr>
          <w:rFonts w:ascii="宋体" w:hAnsi="宋体" w:cs="宋体"/>
          <w:b/>
          <w:color w:val="auto"/>
          <w:sz w:val="24"/>
          <w:highlight w:val="none"/>
        </w:rPr>
      </w:pPr>
      <w:r>
        <w:rPr>
          <w:rFonts w:hint="eastAsia" w:ascii="宋体" w:hAnsi="宋体" w:cs="宋体"/>
          <w:b/>
          <w:color w:val="auto"/>
          <w:sz w:val="24"/>
          <w:highlight w:val="none"/>
        </w:rPr>
        <w:t>投诉书制作说明：</w:t>
      </w:r>
    </w:p>
    <w:p w14:paraId="79977C4E">
      <w:pPr>
        <w:widowControl/>
        <w:spacing w:line="360" w:lineRule="auto"/>
        <w:ind w:firstLine="480" w:firstLineChars="200"/>
        <w:rPr>
          <w:rFonts w:ascii="宋体" w:hAnsi="宋体" w:cs="宋体"/>
          <w:color w:val="auto"/>
          <w:kern w:val="0"/>
          <w:sz w:val="24"/>
          <w:highlight w:val="none"/>
        </w:rPr>
      </w:pPr>
      <w:r>
        <w:rPr>
          <w:rFonts w:hint="eastAsia" w:ascii="宋体" w:hAnsi="宋体" w:cs="宋体"/>
          <w:color w:val="auto"/>
          <w:sz w:val="24"/>
          <w:highlight w:val="none"/>
        </w:rPr>
        <w:t>1.投诉人提起投诉时，应当提交投诉书和必要的证明材料，并按照被投诉人和与投诉事项有关的供应商数量提供投诉书副本。</w:t>
      </w:r>
    </w:p>
    <w:p w14:paraId="62F7B9A2">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2.投诉人若委托代理人进行投诉的，投诉书应按照要求列明“授权代表”的有关内容，并在附件中提交由</w:t>
      </w:r>
      <w:r>
        <w:rPr>
          <w:rFonts w:hint="eastAsia" w:ascii="宋体" w:hAnsi="宋体" w:cs="宋体"/>
          <w:color w:val="auto"/>
          <w:kern w:val="0"/>
          <w:sz w:val="24"/>
          <w:highlight w:val="none"/>
        </w:rPr>
        <w:t>投诉人签署的授权委托书。授权委托书应当载明代理人的姓名或者名称、代理事项、具体权限、期限和相关事项。</w:t>
      </w:r>
    </w:p>
    <w:p w14:paraId="66A25590">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3.投诉人若对项目的某一分包进行投诉，投诉书应列明具体分包号。</w:t>
      </w:r>
    </w:p>
    <w:p w14:paraId="60B9E788">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4.投诉书应简要列明质疑事项，质疑函、质疑答复等作为附件材料提供。</w:t>
      </w:r>
    </w:p>
    <w:p w14:paraId="19A9048B">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5.投诉书的投诉事项应具体、明确，并有必要的事实依据和法律依据。</w:t>
      </w:r>
    </w:p>
    <w:p w14:paraId="7DF37D53">
      <w:pPr>
        <w:widowControl/>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6.投诉书的投诉请求应与投诉事项相关。</w:t>
      </w:r>
    </w:p>
    <w:p w14:paraId="58EF9795">
      <w:pPr>
        <w:widowControl/>
        <w:spacing w:line="360" w:lineRule="auto"/>
        <w:ind w:firstLine="480" w:firstLineChars="200"/>
        <w:jc w:val="left"/>
        <w:rPr>
          <w:rFonts w:ascii="宋体" w:hAnsi="宋体" w:cs="宋体"/>
          <w:color w:val="auto"/>
          <w:kern w:val="0"/>
          <w:sz w:val="24"/>
          <w:highlight w:val="none"/>
        </w:rPr>
      </w:pPr>
      <w:r>
        <w:rPr>
          <w:rFonts w:hint="eastAsia" w:ascii="宋体" w:hAnsi="宋体" w:cs="宋体"/>
          <w:color w:val="auto"/>
          <w:sz w:val="24"/>
          <w:highlight w:val="none"/>
        </w:rPr>
        <w:t>7.投诉人为自然人的，投诉书应当由本人签字；投诉人为法人或者其他组织的，投诉书应当由法定代表人、主要负责人，或者其授权代表签字或者盖章，并加盖公章。</w:t>
      </w:r>
    </w:p>
    <w:p w14:paraId="20991BF1">
      <w:pPr>
        <w:spacing w:line="360" w:lineRule="auto"/>
        <w:rPr>
          <w:rFonts w:ascii="宋体" w:hAnsi="宋体" w:cs="宋体"/>
          <w:b/>
          <w:color w:val="auto"/>
          <w:sz w:val="24"/>
          <w:highlight w:val="none"/>
        </w:rPr>
      </w:pPr>
    </w:p>
    <w:p w14:paraId="570DFEA1">
      <w:pPr>
        <w:autoSpaceDE w:val="0"/>
        <w:autoSpaceDN w:val="0"/>
        <w:jc w:val="center"/>
        <w:rPr>
          <w:rFonts w:ascii="宋体" w:hAnsi="宋体" w:cs="宋体"/>
          <w:b/>
          <w:color w:val="auto"/>
          <w:spacing w:val="6"/>
          <w:sz w:val="32"/>
          <w:szCs w:val="32"/>
          <w:highlight w:val="none"/>
        </w:rPr>
      </w:pPr>
    </w:p>
    <w:p w14:paraId="2277ED63">
      <w:pPr>
        <w:autoSpaceDE w:val="0"/>
        <w:autoSpaceDN w:val="0"/>
        <w:rPr>
          <w:rFonts w:ascii="宋体" w:hAnsi="宋体" w:cs="宋体"/>
          <w:b/>
          <w:bCs/>
          <w:color w:val="auto"/>
          <w:sz w:val="32"/>
          <w:szCs w:val="32"/>
          <w:highlight w:val="none"/>
        </w:rPr>
      </w:pPr>
      <w:r>
        <w:rPr>
          <w:rFonts w:hint="eastAsia" w:ascii="宋体" w:hAnsi="宋体" w:cs="宋体"/>
          <w:b/>
          <w:color w:val="auto"/>
          <w:spacing w:val="6"/>
          <w:sz w:val="32"/>
          <w:szCs w:val="32"/>
          <w:highlight w:val="none"/>
        </w:rPr>
        <w:t>附件4：</w:t>
      </w:r>
      <w:r>
        <w:rPr>
          <w:rFonts w:hint="eastAsia" w:ascii="宋体" w:hAnsi="宋体" w:cs="宋体"/>
          <w:b/>
          <w:bCs/>
          <w:color w:val="auto"/>
          <w:sz w:val="32"/>
          <w:szCs w:val="32"/>
          <w:highlight w:val="none"/>
        </w:rPr>
        <w:t>业务专用章使用说明函</w:t>
      </w:r>
    </w:p>
    <w:p w14:paraId="7BAA264A">
      <w:pPr>
        <w:spacing w:line="360" w:lineRule="auto"/>
        <w:rPr>
          <w:rFonts w:ascii="宋体" w:hAnsi="宋体" w:cs="宋体"/>
          <w:color w:val="auto"/>
          <w:sz w:val="24"/>
          <w:highlight w:val="none"/>
          <w:u w:val="single"/>
        </w:rPr>
      </w:pPr>
    </w:p>
    <w:p w14:paraId="2683FCBA">
      <w:pPr>
        <w:spacing w:line="360" w:lineRule="auto"/>
        <w:rPr>
          <w:rFonts w:ascii="宋体" w:hAnsi="宋体" w:cs="宋体"/>
          <w:color w:val="auto"/>
          <w:sz w:val="24"/>
          <w:highlight w:val="none"/>
        </w:rPr>
      </w:pPr>
      <w:r>
        <w:rPr>
          <w:rFonts w:hint="eastAsia" w:ascii="宋体" w:hAnsi="宋体" w:cs="宋体"/>
          <w:color w:val="auto"/>
          <w:sz w:val="24"/>
          <w:highlight w:val="none"/>
          <w:u w:val="single"/>
        </w:rPr>
        <w:t>（采购人）、（采购代理机构）：</w:t>
      </w:r>
    </w:p>
    <w:p w14:paraId="74BF2300">
      <w:pPr>
        <w:spacing w:line="360" w:lineRule="auto"/>
        <w:ind w:firstLine="480" w:firstLineChars="200"/>
        <w:rPr>
          <w:rFonts w:ascii="宋体" w:hAnsi="宋体" w:cs="宋体"/>
          <w:color w:val="auto"/>
          <w:sz w:val="24"/>
          <w:highlight w:val="none"/>
        </w:rPr>
      </w:pPr>
      <w:r>
        <w:rPr>
          <w:rFonts w:hint="eastAsia" w:ascii="宋体" w:hAnsi="宋体" w:cs="宋体"/>
          <w:color w:val="auto"/>
          <w:kern w:val="0"/>
          <w:sz w:val="24"/>
          <w:highlight w:val="none"/>
          <w:lang w:val="zh-CN"/>
        </w:rPr>
        <w:t>我方</w:t>
      </w:r>
      <w:r>
        <w:rPr>
          <w:rFonts w:hint="eastAsia" w:ascii="宋体" w:hAnsi="宋体" w:cs="宋体"/>
          <w:color w:val="auto"/>
          <w:kern w:val="0"/>
          <w:sz w:val="24"/>
          <w:highlight w:val="none"/>
          <w:u w:val="single"/>
          <w:lang w:val="zh-CN"/>
        </w:rPr>
        <w:t xml:space="preserve">                         </w:t>
      </w:r>
      <w:r>
        <w:rPr>
          <w:rFonts w:hint="eastAsia" w:ascii="宋体" w:hAnsi="宋体" w:cs="宋体"/>
          <w:color w:val="auto"/>
          <w:sz w:val="24"/>
          <w:highlight w:val="none"/>
        </w:rPr>
        <w:t>(投标人全称)是中华人民共和国依法登记注册的合法企业，</w:t>
      </w:r>
      <w:r>
        <w:rPr>
          <w:rFonts w:hint="eastAsia" w:ascii="宋体" w:hAnsi="宋体" w:cs="宋体"/>
          <w:bCs/>
          <w:color w:val="auto"/>
          <w:sz w:val="24"/>
          <w:highlight w:val="none"/>
        </w:rPr>
        <w:t>在参加</w:t>
      </w:r>
      <w:r>
        <w:rPr>
          <w:rFonts w:hint="eastAsia" w:ascii="宋体" w:hAnsi="宋体" w:cs="宋体"/>
          <w:color w:val="auto"/>
          <w:sz w:val="24"/>
          <w:highlight w:val="none"/>
        </w:rPr>
        <w:t>你方组织的（项目名称）【招标编号：（采购编号）】</w:t>
      </w:r>
      <w:r>
        <w:rPr>
          <w:rFonts w:hint="eastAsia" w:ascii="宋体" w:hAnsi="宋体" w:cs="宋体"/>
          <w:bCs/>
          <w:color w:val="auto"/>
          <w:sz w:val="24"/>
          <w:highlight w:val="none"/>
        </w:rPr>
        <w:t>投标活动中作如下说明：</w:t>
      </w:r>
      <w:r>
        <w:rPr>
          <w:rFonts w:hint="eastAsia" w:ascii="宋体" w:hAnsi="宋体" w:cs="宋体"/>
          <w:color w:val="auto"/>
          <w:sz w:val="24"/>
          <w:highlight w:val="none"/>
        </w:rPr>
        <w:t xml:space="preserve">我方所使用的“XX专用章”与法定名称章具有同等的法律效力，对使用“XX专用章”的行为予以完全承认，并愿意承担相应责任。   </w:t>
      </w:r>
    </w:p>
    <w:p w14:paraId="0EFCAB0D">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特此说明。</w:t>
      </w:r>
    </w:p>
    <w:p w14:paraId="00D35BB3">
      <w:pPr>
        <w:spacing w:line="360" w:lineRule="auto"/>
        <w:ind w:firstLine="494"/>
        <w:rPr>
          <w:rFonts w:ascii="宋体" w:hAnsi="宋体" w:cs="宋体"/>
          <w:color w:val="auto"/>
          <w:sz w:val="24"/>
          <w:highlight w:val="none"/>
        </w:rPr>
      </w:pPr>
    </w:p>
    <w:p w14:paraId="50BA515F">
      <w:pPr>
        <w:spacing w:line="360" w:lineRule="auto"/>
        <w:ind w:firstLine="494"/>
        <w:rPr>
          <w:rFonts w:ascii="宋体" w:hAnsi="宋体" w:cs="宋体"/>
          <w:color w:val="auto"/>
          <w:sz w:val="24"/>
          <w:highlight w:val="none"/>
        </w:rPr>
      </w:pPr>
    </w:p>
    <w:p w14:paraId="7562A299">
      <w:pPr>
        <w:spacing w:line="360" w:lineRule="auto"/>
        <w:ind w:firstLine="494"/>
        <w:rPr>
          <w:rFonts w:ascii="宋体" w:hAnsi="宋体" w:cs="宋体"/>
          <w:color w:val="auto"/>
          <w:sz w:val="24"/>
          <w:highlight w:val="none"/>
        </w:rPr>
      </w:pPr>
    </w:p>
    <w:p w14:paraId="727AE9A2">
      <w:pPr>
        <w:spacing w:line="360" w:lineRule="auto"/>
        <w:ind w:firstLine="494"/>
        <w:rPr>
          <w:rFonts w:ascii="宋体" w:hAnsi="宋体" w:cs="宋体"/>
          <w:color w:val="auto"/>
          <w:sz w:val="24"/>
          <w:highlight w:val="none"/>
        </w:rPr>
      </w:pPr>
    </w:p>
    <w:p w14:paraId="16726B4E">
      <w:pPr>
        <w:spacing w:line="360" w:lineRule="auto"/>
        <w:ind w:right="480" w:firstLine="4080" w:firstLineChars="1700"/>
        <w:rPr>
          <w:rFonts w:ascii="宋体" w:hAnsi="宋体" w:cs="宋体"/>
          <w:color w:val="auto"/>
          <w:sz w:val="24"/>
          <w:highlight w:val="none"/>
        </w:rPr>
      </w:pPr>
      <w:r>
        <w:rPr>
          <w:rFonts w:hint="eastAsia" w:ascii="宋体" w:hAnsi="宋体" w:cs="宋体"/>
          <w:color w:val="auto"/>
          <w:sz w:val="24"/>
          <w:highlight w:val="none"/>
        </w:rPr>
        <w:t>投标单位（法定名称章）：</w:t>
      </w:r>
    </w:p>
    <w:p w14:paraId="2CD0A5F4">
      <w:pPr>
        <w:ind w:right="1440" w:firstLine="494"/>
        <w:jc w:val="center"/>
        <w:rPr>
          <w:rFonts w:ascii="宋体" w:hAnsi="宋体" w:cs="宋体"/>
          <w:color w:val="auto"/>
          <w:sz w:val="24"/>
          <w:highlight w:val="none"/>
        </w:rPr>
      </w:pPr>
      <w:r>
        <w:rPr>
          <w:rFonts w:hint="eastAsia" w:ascii="宋体" w:hAnsi="宋体" w:cs="宋体"/>
          <w:color w:val="auto"/>
          <w:sz w:val="24"/>
          <w:highlight w:val="none"/>
        </w:rPr>
        <w:t xml:space="preserve">                              日期：       年     月     日</w:t>
      </w:r>
    </w:p>
    <w:p w14:paraId="73ACDAF8">
      <w:pPr>
        <w:rPr>
          <w:rFonts w:ascii="宋体" w:hAnsi="宋体" w:cs="宋体"/>
          <w:color w:val="auto"/>
          <w:sz w:val="24"/>
          <w:highlight w:val="none"/>
        </w:rPr>
      </w:pPr>
      <w:r>
        <w:rPr>
          <w:rFonts w:hint="eastAsia" w:ascii="宋体" w:hAnsi="宋体" w:cs="宋体"/>
          <w:b/>
          <w:bCs/>
          <w:color w:val="auto"/>
          <w:sz w:val="24"/>
          <w:highlight w:val="none"/>
        </w:rPr>
        <w:t>附：</w:t>
      </w:r>
    </w:p>
    <w:p w14:paraId="07281482">
      <w:pPr>
        <w:spacing w:line="360" w:lineRule="auto"/>
        <w:rPr>
          <w:rFonts w:ascii="宋体" w:hAnsi="宋体" w:cs="宋体"/>
          <w:bCs/>
          <w:color w:val="auto"/>
          <w:sz w:val="24"/>
          <w:highlight w:val="none"/>
        </w:rPr>
      </w:pPr>
      <w:r>
        <w:rPr>
          <w:rFonts w:hint="eastAsia" w:ascii="宋体" w:hAnsi="宋体" w:cs="宋体"/>
          <w:b/>
          <w:bCs/>
          <w:color w:val="auto"/>
          <w:sz w:val="24"/>
          <w:highlight w:val="none"/>
        </w:rPr>
        <mc:AlternateContent>
          <mc:Choice Requires="wps">
            <w:drawing>
              <wp:anchor distT="0" distB="0" distL="114300" distR="114300" simplePos="0" relativeHeight="251659264" behindDoc="1" locked="0" layoutInCell="1" allowOverlap="1">
                <wp:simplePos x="0" y="0"/>
                <wp:positionH relativeFrom="column">
                  <wp:posOffset>3034030</wp:posOffset>
                </wp:positionH>
                <wp:positionV relativeFrom="paragraph">
                  <wp:posOffset>356235</wp:posOffset>
                </wp:positionV>
                <wp:extent cx="2704465" cy="2253615"/>
                <wp:effectExtent l="10160" t="13335" r="9525" b="9525"/>
                <wp:wrapNone/>
                <wp:docPr id="3" name="Rectangle 17"/>
                <wp:cNvGraphicFramePr/>
                <a:graphic xmlns:a="http://schemas.openxmlformats.org/drawingml/2006/main">
                  <a:graphicData uri="http://schemas.microsoft.com/office/word/2010/wordprocessingShape">
                    <wps:wsp>
                      <wps:cNvSpPr>
                        <a:spLocks noChangeArrowheads="1"/>
                      </wps:cNvSpPr>
                      <wps:spPr bwMode="auto">
                        <a:xfrm>
                          <a:off x="0" y="0"/>
                          <a:ext cx="2704465"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7" o:spid="_x0000_s1026" o:spt="1" style="position:absolute;left:0pt;margin-left:238.9pt;margin-top:28.05pt;height:177.45pt;width:212.95pt;z-index:-251657216;mso-width-relative:page;mso-height-relative:page;" fillcolor="#FFFFFF" filled="t" stroked="t" coordsize="21600,21600" o:gfxdata="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1kA8/2AAAAAoBAAAPAAAAAAAAAAEAIAAAACIAAABkcnMvZG93bnJldi54bWxQSwECFAAU&#10;AAAACACHTuJA4teYCS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b/>
          <w:bCs/>
          <w:color w:val="auto"/>
          <w:sz w:val="24"/>
          <w:highlight w:val="none"/>
        </w:rPr>
        <mc:AlternateContent>
          <mc:Choice Requires="wps">
            <w:drawing>
              <wp:anchor distT="0" distB="0" distL="114300" distR="114300" simplePos="0" relativeHeight="251660288" behindDoc="1" locked="0" layoutInCell="1" allowOverlap="1">
                <wp:simplePos x="0" y="0"/>
                <wp:positionH relativeFrom="column">
                  <wp:posOffset>-91440</wp:posOffset>
                </wp:positionH>
                <wp:positionV relativeFrom="paragraph">
                  <wp:posOffset>384810</wp:posOffset>
                </wp:positionV>
                <wp:extent cx="2647950" cy="2253615"/>
                <wp:effectExtent l="8890" t="13335" r="10160" b="9525"/>
                <wp:wrapNone/>
                <wp:docPr id="4" name="Rectangle 16"/>
                <wp:cNvGraphicFramePr/>
                <a:graphic xmlns:a="http://schemas.openxmlformats.org/drawingml/2006/main">
                  <a:graphicData uri="http://schemas.microsoft.com/office/word/2010/wordprocessingShape">
                    <wps:wsp>
                      <wps:cNvSpPr>
                        <a:spLocks noChangeArrowheads="1"/>
                      </wps:cNvSpPr>
                      <wps:spPr bwMode="auto">
                        <a:xfrm>
                          <a:off x="0" y="0"/>
                          <a:ext cx="2647950" cy="2253615"/>
                        </a:xfrm>
                        <a:prstGeom prst="rect">
                          <a:avLst/>
                        </a:prstGeom>
                        <a:solidFill>
                          <a:srgbClr val="FFFFFF"/>
                        </a:solidFill>
                        <a:ln w="9525">
                          <a:solidFill>
                            <a:srgbClr val="000000"/>
                          </a:solidFill>
                          <a:miter lim="200000"/>
                        </a:ln>
                      </wps:spPr>
                      <wps:bodyPr rot="0" vert="horz" wrap="square" lIns="91440" tIns="45720" rIns="91440" bIns="45720" anchor="t" anchorCtr="0" upright="1">
                        <a:noAutofit/>
                      </wps:bodyPr>
                    </wps:wsp>
                  </a:graphicData>
                </a:graphic>
              </wp:anchor>
            </w:drawing>
          </mc:Choice>
          <mc:Fallback>
            <w:pict>
              <v:rect id="Rectangle 16" o:spid="_x0000_s1026" o:spt="1" style="position:absolute;left:0pt;margin-left:-7.2pt;margin-top:30.3pt;height:177.45pt;width:208.5pt;z-index:-251656192;mso-width-relative:page;mso-height-relative:page;" fillcolor="#FFFFFF" filled="t" stroked="t" coordsize="21600,21600" o:gfxdata="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ZjEem2AAAAAoBAAAPAAAAAAAAAAEAIAAAACIAAABkcnMvZG93bnJldi54bWxQSwECFAAU&#10;AAAACACHTuJAd4J9RCoCAAB0BAAADgAAAAAAAAABACAAAAAnAQAAZHJzL2Uyb0RvYy54bWxQSwUG&#10;AAAAAAYABgBZAQAAwwUAAAAA&#10;">
                <v:fill on="t" focussize="0,0"/>
                <v:stroke color="#000000" miterlimit="2" joinstyle="miter"/>
                <v:imagedata o:title=""/>
                <o:lock v:ext="edit" aspectratio="f"/>
              </v:rect>
            </w:pict>
          </mc:Fallback>
        </mc:AlternateContent>
      </w:r>
      <w:r>
        <w:rPr>
          <w:rFonts w:hint="eastAsia" w:ascii="宋体" w:hAnsi="宋体" w:cs="宋体"/>
          <w:color w:val="auto"/>
          <w:sz w:val="24"/>
          <w:highlight w:val="none"/>
        </w:rPr>
        <w:t>投标单位法定名称章（印模）                投标单位“XX专用章”（印模）</w:t>
      </w:r>
    </w:p>
    <w:p w14:paraId="12723FC3">
      <w:pPr>
        <w:autoSpaceDE w:val="0"/>
        <w:autoSpaceDN w:val="0"/>
        <w:jc w:val="center"/>
        <w:rPr>
          <w:rFonts w:ascii="宋体" w:hAnsi="宋体" w:cs="宋体"/>
          <w:b/>
          <w:color w:val="auto"/>
          <w:spacing w:val="6"/>
          <w:sz w:val="32"/>
          <w:szCs w:val="32"/>
          <w:highlight w:val="none"/>
        </w:rPr>
      </w:pPr>
    </w:p>
    <w:p w14:paraId="09FDBCAF">
      <w:pPr>
        <w:autoSpaceDE w:val="0"/>
        <w:autoSpaceDN w:val="0"/>
        <w:jc w:val="center"/>
        <w:rPr>
          <w:rFonts w:ascii="宋体" w:hAnsi="宋体" w:cs="宋体"/>
          <w:b/>
          <w:color w:val="auto"/>
          <w:spacing w:val="6"/>
          <w:sz w:val="32"/>
          <w:szCs w:val="32"/>
          <w:highlight w:val="none"/>
        </w:rPr>
      </w:pPr>
    </w:p>
    <w:p w14:paraId="2ED3C669">
      <w:pPr>
        <w:autoSpaceDE w:val="0"/>
        <w:autoSpaceDN w:val="0"/>
        <w:jc w:val="center"/>
        <w:rPr>
          <w:rFonts w:ascii="宋体" w:hAnsi="宋体" w:cs="宋体"/>
          <w:b/>
          <w:color w:val="auto"/>
          <w:spacing w:val="6"/>
          <w:sz w:val="32"/>
          <w:szCs w:val="32"/>
          <w:highlight w:val="none"/>
        </w:rPr>
      </w:pPr>
    </w:p>
    <w:p w14:paraId="4A56C0F9">
      <w:pPr>
        <w:autoSpaceDE w:val="0"/>
        <w:autoSpaceDN w:val="0"/>
        <w:jc w:val="center"/>
        <w:rPr>
          <w:rFonts w:ascii="宋体" w:hAnsi="宋体" w:cs="宋体"/>
          <w:b/>
          <w:color w:val="auto"/>
          <w:spacing w:val="6"/>
          <w:sz w:val="32"/>
          <w:szCs w:val="32"/>
          <w:highlight w:val="none"/>
        </w:rPr>
      </w:pPr>
    </w:p>
    <w:p w14:paraId="305D2AF2">
      <w:pPr>
        <w:autoSpaceDE w:val="0"/>
        <w:autoSpaceDN w:val="0"/>
        <w:jc w:val="center"/>
        <w:rPr>
          <w:rFonts w:ascii="宋体" w:hAnsi="宋体" w:cs="宋体"/>
          <w:b/>
          <w:color w:val="auto"/>
          <w:spacing w:val="6"/>
          <w:sz w:val="32"/>
          <w:szCs w:val="32"/>
          <w:highlight w:val="none"/>
        </w:rPr>
      </w:pPr>
    </w:p>
    <w:p w14:paraId="3A9C0F77">
      <w:pPr>
        <w:autoSpaceDE w:val="0"/>
        <w:autoSpaceDN w:val="0"/>
        <w:jc w:val="center"/>
        <w:rPr>
          <w:rFonts w:ascii="宋体" w:hAnsi="宋体" w:cs="宋体"/>
          <w:b/>
          <w:color w:val="auto"/>
          <w:spacing w:val="6"/>
          <w:sz w:val="32"/>
          <w:szCs w:val="32"/>
          <w:highlight w:val="none"/>
        </w:rPr>
      </w:pPr>
    </w:p>
    <w:p w14:paraId="681DF22C">
      <w:pPr>
        <w:autoSpaceDE w:val="0"/>
        <w:autoSpaceDN w:val="0"/>
        <w:jc w:val="center"/>
        <w:rPr>
          <w:rFonts w:ascii="宋体" w:hAnsi="宋体" w:cs="宋体"/>
          <w:b/>
          <w:color w:val="auto"/>
          <w:spacing w:val="6"/>
          <w:sz w:val="32"/>
          <w:szCs w:val="32"/>
          <w:highlight w:val="none"/>
        </w:rPr>
      </w:pPr>
    </w:p>
    <w:p w14:paraId="77167CCA">
      <w:pPr>
        <w:autoSpaceDE w:val="0"/>
        <w:autoSpaceDN w:val="0"/>
        <w:jc w:val="center"/>
        <w:rPr>
          <w:rFonts w:ascii="宋体" w:hAnsi="宋体" w:cs="宋体"/>
          <w:b/>
          <w:color w:val="auto"/>
          <w:spacing w:val="6"/>
          <w:sz w:val="32"/>
          <w:szCs w:val="32"/>
          <w:highlight w:val="none"/>
        </w:rPr>
      </w:pPr>
    </w:p>
    <w:p w14:paraId="2768F27C">
      <w:pPr>
        <w:autoSpaceDE w:val="0"/>
        <w:autoSpaceDN w:val="0"/>
        <w:jc w:val="center"/>
        <w:rPr>
          <w:rFonts w:ascii="宋体" w:hAnsi="宋体" w:cs="宋体"/>
          <w:b/>
          <w:color w:val="auto"/>
          <w:spacing w:val="6"/>
          <w:sz w:val="32"/>
          <w:szCs w:val="32"/>
          <w:highlight w:val="none"/>
        </w:rPr>
      </w:pPr>
    </w:p>
    <w:p w14:paraId="653C096D">
      <w:pPr>
        <w:autoSpaceDE w:val="0"/>
        <w:autoSpaceDN w:val="0"/>
        <w:jc w:val="center"/>
        <w:rPr>
          <w:rFonts w:ascii="宋体" w:hAnsi="宋体" w:cs="宋体"/>
          <w:b/>
          <w:color w:val="auto"/>
          <w:spacing w:val="6"/>
          <w:sz w:val="32"/>
          <w:szCs w:val="32"/>
          <w:highlight w:val="none"/>
        </w:rPr>
      </w:pPr>
    </w:p>
    <w:p w14:paraId="369B9828">
      <w:pPr>
        <w:autoSpaceDE w:val="0"/>
        <w:autoSpaceDN w:val="0"/>
        <w:jc w:val="center"/>
        <w:rPr>
          <w:rFonts w:ascii="宋体" w:hAnsi="宋体" w:cs="宋体"/>
          <w:b/>
          <w:color w:val="auto"/>
          <w:spacing w:val="6"/>
          <w:sz w:val="32"/>
          <w:szCs w:val="32"/>
          <w:highlight w:val="none"/>
        </w:rPr>
      </w:pPr>
    </w:p>
    <w:p w14:paraId="57E75FC1">
      <w:pPr>
        <w:autoSpaceDE w:val="0"/>
        <w:autoSpaceDN w:val="0"/>
        <w:jc w:val="center"/>
        <w:rPr>
          <w:rFonts w:ascii="宋体" w:hAnsi="宋体" w:cs="宋体"/>
          <w:b/>
          <w:color w:val="auto"/>
          <w:spacing w:val="6"/>
          <w:sz w:val="32"/>
          <w:szCs w:val="32"/>
          <w:highlight w:val="none"/>
        </w:rPr>
      </w:pPr>
    </w:p>
    <w:p w14:paraId="1969CA06">
      <w:pPr>
        <w:autoSpaceDE w:val="0"/>
        <w:autoSpaceDN w:val="0"/>
        <w:jc w:val="center"/>
        <w:rPr>
          <w:rFonts w:ascii="宋体" w:hAnsi="宋体" w:cs="宋体"/>
          <w:b/>
          <w:color w:val="auto"/>
          <w:spacing w:val="6"/>
          <w:sz w:val="32"/>
          <w:szCs w:val="32"/>
          <w:highlight w:val="none"/>
        </w:rPr>
      </w:pPr>
    </w:p>
    <w:p w14:paraId="22CEB3E2">
      <w:pPr>
        <w:autoSpaceDE w:val="0"/>
        <w:autoSpaceDN w:val="0"/>
        <w:jc w:val="center"/>
        <w:rPr>
          <w:rFonts w:ascii="宋体" w:hAnsi="宋体" w:cs="宋体"/>
          <w:b/>
          <w:color w:val="auto"/>
          <w:spacing w:val="6"/>
          <w:sz w:val="32"/>
          <w:szCs w:val="32"/>
          <w:highlight w:val="none"/>
        </w:rPr>
      </w:pPr>
    </w:p>
    <w:p w14:paraId="25213965">
      <w:pPr>
        <w:autoSpaceDE w:val="0"/>
        <w:autoSpaceDN w:val="0"/>
        <w:jc w:val="center"/>
        <w:rPr>
          <w:rFonts w:ascii="宋体" w:hAnsi="宋体" w:cs="宋体"/>
          <w:b/>
          <w:color w:val="auto"/>
          <w:spacing w:val="6"/>
          <w:sz w:val="32"/>
          <w:szCs w:val="32"/>
          <w:highlight w:val="none"/>
        </w:rPr>
      </w:pPr>
    </w:p>
    <w:p w14:paraId="662A82E3">
      <w:pPr>
        <w:autoSpaceDE w:val="0"/>
        <w:autoSpaceDN w:val="0"/>
        <w:jc w:val="center"/>
        <w:rPr>
          <w:rFonts w:ascii="宋体" w:hAnsi="宋体" w:cs="宋体"/>
          <w:b/>
          <w:color w:val="auto"/>
          <w:spacing w:val="6"/>
          <w:sz w:val="32"/>
          <w:szCs w:val="32"/>
          <w:highlight w:val="none"/>
        </w:rPr>
      </w:pPr>
    </w:p>
    <w:p w14:paraId="7C600FC0">
      <w:pPr>
        <w:autoSpaceDE w:val="0"/>
        <w:autoSpaceDN w:val="0"/>
        <w:rPr>
          <w:rFonts w:ascii="宋体" w:hAnsi="宋体" w:cs="宋体"/>
          <w:b/>
          <w:color w:val="auto"/>
          <w:kern w:val="0"/>
          <w:sz w:val="32"/>
          <w:szCs w:val="32"/>
          <w:highlight w:val="none"/>
          <w:lang w:val="zh-CN"/>
        </w:rPr>
      </w:pPr>
      <w:r>
        <w:rPr>
          <w:rFonts w:hint="eastAsia" w:ascii="宋体" w:hAnsi="宋体" w:cs="宋体"/>
          <w:b/>
          <w:color w:val="auto"/>
          <w:spacing w:val="6"/>
          <w:sz w:val="32"/>
          <w:szCs w:val="32"/>
          <w:highlight w:val="none"/>
        </w:rPr>
        <w:t>附件</w:t>
      </w:r>
      <w:r>
        <w:rPr>
          <w:rFonts w:ascii="宋体" w:hAnsi="宋体" w:cs="宋体"/>
          <w:b/>
          <w:color w:val="auto"/>
          <w:spacing w:val="6"/>
          <w:sz w:val="32"/>
          <w:szCs w:val="32"/>
          <w:highlight w:val="none"/>
        </w:rPr>
        <w:t>5</w:t>
      </w:r>
      <w:r>
        <w:rPr>
          <w:rFonts w:hint="eastAsia" w:ascii="宋体" w:hAnsi="宋体" w:cs="宋体"/>
          <w:b/>
          <w:color w:val="auto"/>
          <w:spacing w:val="6"/>
          <w:sz w:val="32"/>
          <w:szCs w:val="32"/>
          <w:highlight w:val="none"/>
        </w:rPr>
        <w:t>：</w:t>
      </w:r>
      <w:r>
        <w:rPr>
          <w:rFonts w:hint="eastAsia" w:ascii="宋体" w:hAnsi="宋体" w:cs="宋体"/>
          <w:b/>
          <w:color w:val="auto"/>
          <w:kern w:val="0"/>
          <w:sz w:val="32"/>
          <w:szCs w:val="32"/>
          <w:highlight w:val="none"/>
          <w:lang w:val="zh-CN"/>
        </w:rPr>
        <w:t>联合协议</w:t>
      </w:r>
    </w:p>
    <w:p w14:paraId="6A6DFB3E">
      <w:pPr>
        <w:widowControl/>
        <w:spacing w:line="360" w:lineRule="auto"/>
        <w:ind w:firstLine="482" w:firstLineChars="200"/>
        <w:jc w:val="left"/>
        <w:rPr>
          <w:rFonts w:ascii="宋体" w:hAnsi="宋体" w:cs="宋体"/>
          <w:b/>
          <w:color w:val="auto"/>
          <w:sz w:val="24"/>
          <w:highlight w:val="none"/>
        </w:rPr>
      </w:pPr>
      <w:r>
        <w:rPr>
          <w:rFonts w:hint="eastAsia" w:ascii="宋体" w:hAnsi="宋体" w:cs="宋体"/>
          <w:b/>
          <w:color w:val="auto"/>
          <w:sz w:val="24"/>
          <w:highlight w:val="none"/>
        </w:rPr>
        <w:t>（以联合体形式投标的，提供联合协议；本项目不接受联合体投标或者投标人不以联合体形式投标的，则不需要提供）</w:t>
      </w:r>
    </w:p>
    <w:p w14:paraId="7DB17F9D">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（联合体所有成员名称）</w:t>
      </w:r>
      <w:r>
        <w:rPr>
          <w:rFonts w:hint="eastAsia" w:ascii="宋体" w:hAnsi="宋体" w:cs="宋体"/>
          <w:color w:val="auto"/>
          <w:kern w:val="0"/>
          <w:sz w:val="24"/>
          <w:highlight w:val="none"/>
        </w:rPr>
        <w:t>自愿</w:t>
      </w:r>
      <w:r>
        <w:rPr>
          <w:rFonts w:hint="eastAsia" w:ascii="宋体" w:hAnsi="宋体" w:cs="宋体"/>
          <w:color w:val="auto"/>
          <w:kern w:val="0"/>
          <w:sz w:val="24"/>
          <w:highlight w:val="none"/>
          <w:lang w:val="zh-CN"/>
        </w:rPr>
        <w:t>组成一个联合体，以一个投标人的身份</w:t>
      </w:r>
      <w:r>
        <w:rPr>
          <w:rFonts w:hint="eastAsia" w:ascii="宋体" w:hAnsi="宋体" w:cs="宋体"/>
          <w:color w:val="auto"/>
          <w:kern w:val="0"/>
          <w:sz w:val="24"/>
          <w:highlight w:val="none"/>
        </w:rPr>
        <w:t>参加</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 xml:space="preserve">投标。 </w:t>
      </w:r>
    </w:p>
    <w:p w14:paraId="360B4D1E">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一、各方一致决定，</w:t>
      </w:r>
      <w:r>
        <w:rPr>
          <w:rFonts w:hint="eastAsia" w:ascii="宋体" w:hAnsi="宋体" w:cs="宋体"/>
          <w:color w:val="auto"/>
          <w:kern w:val="0"/>
          <w:sz w:val="24"/>
          <w:highlight w:val="none"/>
          <w:u w:val="single"/>
        </w:rPr>
        <w:t>（某联合体成员名称）</w:t>
      </w:r>
      <w:r>
        <w:rPr>
          <w:rFonts w:hint="eastAsia" w:ascii="宋体" w:hAnsi="宋体" w:cs="宋体"/>
          <w:color w:val="auto"/>
          <w:kern w:val="0"/>
          <w:sz w:val="24"/>
          <w:highlight w:val="none"/>
        </w:rPr>
        <w:t>为联合体</w:t>
      </w:r>
      <w:r>
        <w:rPr>
          <w:rFonts w:hint="eastAsia" w:ascii="宋体" w:hAnsi="宋体" w:cs="宋体"/>
          <w:color w:val="auto"/>
          <w:kern w:val="0"/>
          <w:sz w:val="24"/>
          <w:highlight w:val="none"/>
          <w:lang w:val="zh-CN"/>
        </w:rPr>
        <w:t>牵头人</w:t>
      </w:r>
      <w:r>
        <w:rPr>
          <w:rFonts w:hint="eastAsia" w:ascii="宋体" w:hAnsi="宋体" w:cs="宋体"/>
          <w:color w:val="auto"/>
          <w:sz w:val="24"/>
          <w:highlight w:val="none"/>
        </w:rPr>
        <w:t>，代表所有联合体成员负责投标和合同实施阶段的主办、协调工作</w:t>
      </w:r>
      <w:r>
        <w:rPr>
          <w:rFonts w:hint="eastAsia" w:ascii="宋体" w:hAnsi="宋体" w:cs="宋体"/>
          <w:color w:val="auto"/>
          <w:kern w:val="0"/>
          <w:sz w:val="24"/>
          <w:highlight w:val="none"/>
          <w:lang w:val="zh-CN"/>
        </w:rPr>
        <w:t>。</w:t>
      </w:r>
    </w:p>
    <w:p w14:paraId="748167E7">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w:t>
      </w:r>
      <w:r>
        <w:rPr>
          <w:rFonts w:hint="eastAsia" w:ascii="宋体" w:hAnsi="宋体" w:cs="宋体"/>
          <w:color w:val="auto"/>
          <w:sz w:val="24"/>
          <w:highlight w:val="none"/>
        </w:rPr>
        <w:t>所有联合体成员各方签署授权书，授权书载明的</w:t>
      </w:r>
      <w:r>
        <w:rPr>
          <w:rFonts w:hint="eastAsia" w:ascii="宋体" w:hAnsi="宋体" w:cs="宋体"/>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644117D9">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三、本次联合投标中，分工如下：</w:t>
      </w:r>
    </w:p>
    <w:p w14:paraId="03F062F3">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（联合体成员1）</w:t>
      </w:r>
      <w:r>
        <w:rPr>
          <w:rFonts w:hint="eastAsia" w:ascii="宋体" w:hAnsi="宋体" w:cs="宋体"/>
          <w:color w:val="auto"/>
          <w:kern w:val="0"/>
          <w:sz w:val="24"/>
          <w:highlight w:val="none"/>
          <w:lang w:val="zh-CN"/>
        </w:rPr>
        <w:t>承担的工作和义务为：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14:paraId="13924A62">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（联合体成员</w:t>
      </w:r>
      <w:r>
        <w:rPr>
          <w:rFonts w:ascii="宋体" w:hAnsi="宋体" w:cs="宋体"/>
          <w:color w:val="auto"/>
          <w:kern w:val="0"/>
          <w:sz w:val="24"/>
          <w:highlight w:val="none"/>
          <w:u w:val="single"/>
        </w:rPr>
        <w:t>2</w:t>
      </w:r>
      <w:r>
        <w:rPr>
          <w:rFonts w:hint="eastAsia" w:ascii="宋体" w:hAnsi="宋体" w:cs="宋体"/>
          <w:color w:val="auto"/>
          <w:kern w:val="0"/>
          <w:sz w:val="24"/>
          <w:highlight w:val="none"/>
          <w:u w:val="single"/>
        </w:rPr>
        <w:t>）</w:t>
      </w:r>
      <w:r>
        <w:rPr>
          <w:rFonts w:hint="eastAsia" w:ascii="宋体" w:hAnsi="宋体" w:cs="宋体"/>
          <w:color w:val="auto"/>
          <w:kern w:val="0"/>
          <w:sz w:val="24"/>
          <w:highlight w:val="none"/>
          <w:lang w:val="zh-CN"/>
        </w:rPr>
        <w:t>承担的工作和义务为：</w:t>
      </w:r>
      <w:r>
        <w:rPr>
          <w:rFonts w:hint="eastAsia" w:ascii="宋体" w:hAnsi="宋体" w:cs="宋体"/>
          <w:color w:val="auto"/>
          <w:highlight w:val="none"/>
          <w:u w:val="single"/>
        </w:rPr>
        <w:t xml:space="preserve">             </w:t>
      </w:r>
      <w:r>
        <w:rPr>
          <w:rFonts w:hint="eastAsia" w:ascii="宋体" w:hAnsi="宋体" w:cs="宋体"/>
          <w:color w:val="auto"/>
          <w:kern w:val="0"/>
          <w:sz w:val="24"/>
          <w:highlight w:val="none"/>
          <w:lang w:val="zh-CN"/>
        </w:rPr>
        <w:t>；</w:t>
      </w:r>
    </w:p>
    <w:p w14:paraId="6E4C4E73">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w:t>
      </w:r>
    </w:p>
    <w:p w14:paraId="074F1C37">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四、联合体成员中小企业合同份额。</w:t>
      </w:r>
    </w:p>
    <w:p w14:paraId="7A2F05B2">
      <w:pPr>
        <w:snapToGrid w:val="0"/>
        <w:spacing w:line="360" w:lineRule="auto"/>
        <w:ind w:firstLine="576"/>
        <w:rPr>
          <w:rFonts w:ascii="宋体" w:hAnsi="宋体" w:cs="宋体"/>
          <w:b/>
          <w:color w:val="auto"/>
          <w:kern w:val="0"/>
          <w:sz w:val="24"/>
          <w:highlight w:val="none"/>
          <w:lang w:val="zh-CN"/>
        </w:rPr>
      </w:pPr>
      <w:r>
        <w:rPr>
          <w:rFonts w:hint="eastAsia" w:ascii="宋体" w:hAnsi="宋体" w:cs="宋体"/>
          <w:color w:val="auto"/>
          <w:kern w:val="0"/>
          <w:sz w:val="24"/>
          <w:highlight w:val="none"/>
          <w:lang w:val="zh-CN"/>
        </w:rPr>
        <w:t>1、</w:t>
      </w:r>
      <w:r>
        <w:rPr>
          <w:rFonts w:hint="eastAsia" w:ascii="宋体" w:hAnsi="宋体" w:cs="宋体"/>
          <w:color w:val="auto"/>
          <w:kern w:val="0"/>
          <w:sz w:val="24"/>
          <w:highlight w:val="none"/>
          <w:u w:val="single"/>
        </w:rPr>
        <w:t>（</w:t>
      </w:r>
      <w:bookmarkStart w:id="415" w:name="_Hlk101131882"/>
      <w:r>
        <w:rPr>
          <w:rFonts w:hint="eastAsia" w:ascii="宋体" w:hAnsi="宋体" w:cs="宋体"/>
          <w:color w:val="auto"/>
          <w:kern w:val="0"/>
          <w:sz w:val="24"/>
          <w:highlight w:val="none"/>
          <w:u w:val="single"/>
        </w:rPr>
        <w:t>联合体成员X</w:t>
      </w:r>
      <w:r>
        <w:rPr>
          <w:rFonts w:ascii="宋体" w:hAnsi="宋体" w:cs="宋体"/>
          <w:color w:val="auto"/>
          <w:kern w:val="0"/>
          <w:sz w:val="24"/>
          <w:highlight w:val="none"/>
          <w:u w:val="single"/>
        </w:rPr>
        <w:t>,</w:t>
      </w:r>
      <w:r>
        <w:rPr>
          <w:rFonts w:hint="eastAsia" w:ascii="宋体" w:hAnsi="宋体" w:cs="宋体"/>
          <w:color w:val="auto"/>
          <w:kern w:val="0"/>
          <w:sz w:val="24"/>
          <w:highlight w:val="none"/>
          <w:u w:val="single"/>
        </w:rPr>
        <w:t>……</w:t>
      </w:r>
      <w:bookmarkEnd w:id="415"/>
      <w:r>
        <w:rPr>
          <w:rFonts w:hint="eastAsia" w:ascii="宋体" w:hAnsi="宋体" w:cs="宋体"/>
          <w:color w:val="auto"/>
          <w:kern w:val="0"/>
          <w:sz w:val="24"/>
          <w:highlight w:val="none"/>
          <w:u w:val="single"/>
        </w:rPr>
        <w:t>）</w:t>
      </w:r>
      <w:r>
        <w:rPr>
          <w:rFonts w:hint="eastAsia" w:ascii="宋体" w:hAnsi="宋体" w:cs="宋体"/>
          <w:color w:val="auto"/>
          <w:kern w:val="0"/>
          <w:sz w:val="24"/>
          <w:highlight w:val="none"/>
        </w:rPr>
        <w:t>提供的服务由小微企业承接，其合同份额占到合同总金额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kern w:val="0"/>
          <w:sz w:val="24"/>
          <w:highlight w:val="none"/>
          <w:lang w:val="zh-CN"/>
        </w:rPr>
        <w:t>。</w:t>
      </w:r>
      <w:r>
        <w:rPr>
          <w:rFonts w:hint="eastAsia" w:ascii="宋体" w:hAnsi="宋体" w:cs="宋体"/>
          <w:b/>
          <w:color w:val="auto"/>
          <w:kern w:val="0"/>
          <w:sz w:val="24"/>
          <w:highlight w:val="none"/>
          <w:lang w:val="zh-CN"/>
        </w:rPr>
        <w:t>（</w:t>
      </w:r>
      <w:bookmarkStart w:id="416" w:name="_Hlk101133598"/>
      <w:r>
        <w:rPr>
          <w:rFonts w:hint="eastAsia" w:ascii="宋体" w:hAnsi="宋体" w:cs="宋体"/>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宋体" w:hAnsi="宋体" w:cs="宋体"/>
          <w:b/>
          <w:color w:val="auto"/>
          <w:sz w:val="24"/>
          <w:highlight w:val="none"/>
        </w:rPr>
        <w:t>拟享受以上价格扣除政策的，填写有关内容。</w:t>
      </w:r>
      <w:bookmarkEnd w:id="416"/>
      <w:r>
        <w:rPr>
          <w:rFonts w:hint="eastAsia" w:ascii="宋体" w:hAnsi="宋体" w:cs="宋体"/>
          <w:b/>
          <w:color w:val="auto"/>
          <w:kern w:val="0"/>
          <w:sz w:val="24"/>
          <w:highlight w:val="none"/>
          <w:lang w:val="zh-CN"/>
        </w:rPr>
        <w:t>）</w:t>
      </w:r>
    </w:p>
    <w:p w14:paraId="5ED8A724">
      <w:pPr>
        <w:spacing w:line="360" w:lineRule="auto"/>
        <w:ind w:firstLine="480" w:firstLineChars="200"/>
        <w:rPr>
          <w:rFonts w:ascii="宋体" w:hAnsi="宋体" w:cs="宋体"/>
          <w:b/>
          <w:bCs/>
          <w:color w:val="auto"/>
          <w:kern w:val="0"/>
          <w:sz w:val="24"/>
          <w:highlight w:val="none"/>
          <w:lang w:val="zh-CN"/>
        </w:rPr>
      </w:pPr>
      <w:r>
        <w:rPr>
          <w:rFonts w:hint="eastAsia" w:ascii="宋体" w:hAnsi="宋体" w:cs="宋体"/>
          <w:color w:val="auto"/>
          <w:sz w:val="24"/>
          <w:highlight w:val="none"/>
        </w:rPr>
        <w:t>2、</w:t>
      </w:r>
      <w:bookmarkStart w:id="417" w:name="_Hlk101133173"/>
      <w:r>
        <w:rPr>
          <w:rFonts w:hint="eastAsia" w:ascii="宋体" w:hAnsi="宋体" w:cs="宋体"/>
          <w:color w:val="auto"/>
          <w:sz w:val="24"/>
          <w:highlight w:val="none"/>
        </w:rPr>
        <w:t>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宋体" w:hAnsi="宋体" w:cs="宋体"/>
          <w:b/>
          <w:bCs/>
          <w:color w:val="auto"/>
          <w:kern w:val="0"/>
          <w:sz w:val="24"/>
          <w:highlight w:val="none"/>
          <w:lang w:val="zh-CN"/>
        </w:rPr>
        <w:t>）</w:t>
      </w:r>
      <w:bookmarkEnd w:id="417"/>
    </w:p>
    <w:p w14:paraId="48AB155C">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五、如果中标，</w:t>
      </w:r>
      <w:r>
        <w:rPr>
          <w:rFonts w:hint="eastAsia" w:ascii="宋体" w:hAnsi="宋体" w:cs="宋体"/>
          <w:color w:val="auto"/>
          <w:sz w:val="24"/>
          <w:highlight w:val="none"/>
        </w:rPr>
        <w:t>联合体各成员方共同与采购人签订合同，并就采购合同约定的事项对采购人承担连带责任。</w:t>
      </w:r>
    </w:p>
    <w:p w14:paraId="704AA605">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六、有关本次联合投标的其他事宜：</w:t>
      </w:r>
    </w:p>
    <w:p w14:paraId="225B4F15">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1、联合体各方不再单独参加或者与其他供应商另外组成联合体参加同一合同项下的政府采购活动。</w:t>
      </w:r>
    </w:p>
    <w:p w14:paraId="05DD4164">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2、联合体中有同类资质的各方按照联合体分工承担相同工作的，按照资质等级较低的供应商确定资质等级。</w:t>
      </w:r>
    </w:p>
    <w:p w14:paraId="658736E0">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3、本协议提交采购人、采购代理机构后，联合体各方不得以任何形式对上述内容进行修改或撤销。</w:t>
      </w:r>
    </w:p>
    <w:p w14:paraId="1451E404">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联合体成员名称(公章)：</w:t>
      </w:r>
    </w:p>
    <w:p w14:paraId="4CC82E3F">
      <w:pPr>
        <w:snapToGrid w:val="0"/>
        <w:spacing w:line="360" w:lineRule="auto"/>
        <w:ind w:firstLine="5040" w:firstLineChars="2100"/>
        <w:rPr>
          <w:rStyle w:val="82"/>
          <w:color w:val="auto"/>
          <w:highlight w:val="none"/>
        </w:rPr>
      </w:pPr>
      <w:r>
        <w:rPr>
          <w:rStyle w:val="82"/>
          <w:rFonts w:hint="eastAsia"/>
          <w:color w:val="auto"/>
          <w:highlight w:val="none"/>
        </w:rPr>
        <w:t>法定代表人（负责人） (签名)：</w:t>
      </w:r>
    </w:p>
    <w:p w14:paraId="53418D3B">
      <w:pPr>
        <w:snapToGrid w:val="0"/>
        <w:spacing w:line="360" w:lineRule="auto"/>
        <w:ind w:firstLine="5040" w:firstLineChars="2100"/>
        <w:rPr>
          <w:rFonts w:ascii="宋体" w:hAnsi="宋体" w:cs="宋体"/>
          <w:color w:val="auto"/>
          <w:kern w:val="0"/>
          <w:sz w:val="24"/>
          <w:highlight w:val="none"/>
          <w:lang w:val="zh-CN"/>
        </w:rPr>
      </w:pPr>
      <w:r>
        <w:rPr>
          <w:rStyle w:val="82"/>
          <w:rFonts w:hint="eastAsia"/>
          <w:color w:val="auto"/>
          <w:highlight w:val="none"/>
        </w:rPr>
        <w:t>联合体成</w:t>
      </w:r>
      <w:r>
        <w:rPr>
          <w:rFonts w:hint="eastAsia" w:ascii="宋体" w:hAnsi="宋体" w:cs="宋体"/>
          <w:color w:val="auto"/>
          <w:kern w:val="0"/>
          <w:sz w:val="24"/>
          <w:highlight w:val="none"/>
          <w:lang w:val="zh-CN"/>
        </w:rPr>
        <w:t>员名称(公章)：</w:t>
      </w:r>
    </w:p>
    <w:p w14:paraId="697EF80A">
      <w:pPr>
        <w:snapToGrid w:val="0"/>
        <w:spacing w:line="360" w:lineRule="auto"/>
        <w:ind w:firstLine="5040" w:firstLine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法定代表人（负责人） (签名)：</w:t>
      </w:r>
    </w:p>
    <w:p w14:paraId="680084EB">
      <w:pPr>
        <w:snapToGrid w:val="0"/>
        <w:spacing w:line="360" w:lineRule="auto"/>
        <w:ind w:right="960"/>
        <w:jc w:val="center"/>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w:t>
      </w:r>
    </w:p>
    <w:p w14:paraId="30C31B8F">
      <w:pPr>
        <w:snapToGrid w:val="0"/>
        <w:spacing w:line="360" w:lineRule="auto"/>
        <w:jc w:val="right"/>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日期：  年  月   日</w:t>
      </w:r>
    </w:p>
    <w:p w14:paraId="29C2134C">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49BAB2C8">
      <w:pPr>
        <w:autoSpaceDE w:val="0"/>
        <w:autoSpaceDN w:val="0"/>
        <w:jc w:val="center"/>
        <w:rPr>
          <w:rFonts w:ascii="宋体" w:hAnsi="宋体" w:cs="宋体"/>
          <w:b/>
          <w:color w:val="auto"/>
          <w:spacing w:val="6"/>
          <w:sz w:val="32"/>
          <w:szCs w:val="32"/>
          <w:highlight w:val="none"/>
        </w:rPr>
      </w:pPr>
    </w:p>
    <w:p w14:paraId="6FDFCD38">
      <w:pPr>
        <w:autoSpaceDE w:val="0"/>
        <w:autoSpaceDN w:val="0"/>
        <w:jc w:val="center"/>
        <w:rPr>
          <w:rFonts w:ascii="宋体" w:hAnsi="宋体" w:cs="宋体"/>
          <w:b/>
          <w:color w:val="auto"/>
          <w:spacing w:val="6"/>
          <w:sz w:val="32"/>
          <w:szCs w:val="32"/>
          <w:highlight w:val="none"/>
        </w:rPr>
      </w:pPr>
    </w:p>
    <w:p w14:paraId="09ED846D">
      <w:pPr>
        <w:autoSpaceDE w:val="0"/>
        <w:autoSpaceDN w:val="0"/>
        <w:jc w:val="center"/>
        <w:rPr>
          <w:rFonts w:ascii="宋体" w:hAnsi="宋体" w:cs="宋体"/>
          <w:b/>
          <w:color w:val="auto"/>
          <w:spacing w:val="6"/>
          <w:sz w:val="32"/>
          <w:szCs w:val="32"/>
          <w:highlight w:val="none"/>
        </w:rPr>
      </w:pPr>
    </w:p>
    <w:p w14:paraId="1849C577">
      <w:pPr>
        <w:autoSpaceDE w:val="0"/>
        <w:autoSpaceDN w:val="0"/>
        <w:jc w:val="center"/>
        <w:rPr>
          <w:rFonts w:ascii="宋体" w:hAnsi="宋体" w:cs="宋体"/>
          <w:b/>
          <w:color w:val="auto"/>
          <w:spacing w:val="6"/>
          <w:sz w:val="32"/>
          <w:szCs w:val="32"/>
          <w:highlight w:val="none"/>
        </w:rPr>
      </w:pPr>
    </w:p>
    <w:p w14:paraId="0B17F126">
      <w:pPr>
        <w:autoSpaceDE w:val="0"/>
        <w:autoSpaceDN w:val="0"/>
        <w:jc w:val="center"/>
        <w:rPr>
          <w:rFonts w:ascii="宋体" w:hAnsi="宋体" w:cs="宋体"/>
          <w:b/>
          <w:color w:val="auto"/>
          <w:spacing w:val="6"/>
          <w:sz w:val="32"/>
          <w:szCs w:val="32"/>
          <w:highlight w:val="none"/>
        </w:rPr>
      </w:pPr>
    </w:p>
    <w:p w14:paraId="4FA4D7F9">
      <w:pPr>
        <w:autoSpaceDE w:val="0"/>
        <w:autoSpaceDN w:val="0"/>
        <w:jc w:val="center"/>
        <w:rPr>
          <w:rFonts w:ascii="宋体" w:hAnsi="宋体" w:cs="宋体"/>
          <w:b/>
          <w:color w:val="auto"/>
          <w:spacing w:val="6"/>
          <w:sz w:val="32"/>
          <w:szCs w:val="32"/>
          <w:highlight w:val="none"/>
        </w:rPr>
      </w:pPr>
    </w:p>
    <w:p w14:paraId="482F12B0">
      <w:pPr>
        <w:autoSpaceDE w:val="0"/>
        <w:autoSpaceDN w:val="0"/>
        <w:jc w:val="center"/>
        <w:rPr>
          <w:rFonts w:ascii="宋体" w:hAnsi="宋体" w:cs="宋体"/>
          <w:b/>
          <w:color w:val="auto"/>
          <w:spacing w:val="6"/>
          <w:sz w:val="32"/>
          <w:szCs w:val="32"/>
          <w:highlight w:val="none"/>
        </w:rPr>
      </w:pPr>
    </w:p>
    <w:p w14:paraId="6F117C12">
      <w:pPr>
        <w:autoSpaceDE w:val="0"/>
        <w:autoSpaceDN w:val="0"/>
        <w:jc w:val="center"/>
        <w:rPr>
          <w:rFonts w:ascii="宋体" w:hAnsi="宋体" w:cs="宋体"/>
          <w:b/>
          <w:color w:val="auto"/>
          <w:spacing w:val="6"/>
          <w:sz w:val="32"/>
          <w:szCs w:val="32"/>
          <w:highlight w:val="none"/>
        </w:rPr>
      </w:pPr>
    </w:p>
    <w:p w14:paraId="6791714F">
      <w:pPr>
        <w:autoSpaceDE w:val="0"/>
        <w:autoSpaceDN w:val="0"/>
        <w:jc w:val="center"/>
        <w:rPr>
          <w:rFonts w:ascii="宋体" w:hAnsi="宋体" w:cs="宋体"/>
          <w:b/>
          <w:color w:val="auto"/>
          <w:spacing w:val="6"/>
          <w:sz w:val="32"/>
          <w:szCs w:val="32"/>
          <w:highlight w:val="none"/>
        </w:rPr>
      </w:pPr>
    </w:p>
    <w:p w14:paraId="43731634">
      <w:pPr>
        <w:autoSpaceDE w:val="0"/>
        <w:autoSpaceDN w:val="0"/>
        <w:jc w:val="center"/>
        <w:rPr>
          <w:rFonts w:ascii="宋体" w:hAnsi="宋体" w:cs="宋体"/>
          <w:b/>
          <w:color w:val="auto"/>
          <w:spacing w:val="6"/>
          <w:sz w:val="32"/>
          <w:szCs w:val="32"/>
          <w:highlight w:val="none"/>
        </w:rPr>
      </w:pPr>
    </w:p>
    <w:p w14:paraId="5CCF17F4">
      <w:pPr>
        <w:autoSpaceDE w:val="0"/>
        <w:autoSpaceDN w:val="0"/>
        <w:jc w:val="center"/>
        <w:rPr>
          <w:rFonts w:ascii="宋体" w:hAnsi="宋体" w:cs="宋体"/>
          <w:b/>
          <w:color w:val="auto"/>
          <w:spacing w:val="6"/>
          <w:sz w:val="32"/>
          <w:szCs w:val="32"/>
          <w:highlight w:val="none"/>
        </w:rPr>
      </w:pPr>
    </w:p>
    <w:p w14:paraId="7AE12093">
      <w:pPr>
        <w:autoSpaceDE w:val="0"/>
        <w:autoSpaceDN w:val="0"/>
        <w:jc w:val="center"/>
        <w:rPr>
          <w:rFonts w:ascii="宋体" w:hAnsi="宋体" w:cs="宋体"/>
          <w:b/>
          <w:color w:val="auto"/>
          <w:spacing w:val="6"/>
          <w:sz w:val="32"/>
          <w:szCs w:val="32"/>
          <w:highlight w:val="none"/>
        </w:rPr>
      </w:pPr>
    </w:p>
    <w:p w14:paraId="42FB30F8">
      <w:pPr>
        <w:autoSpaceDE w:val="0"/>
        <w:autoSpaceDN w:val="0"/>
        <w:jc w:val="center"/>
        <w:rPr>
          <w:rFonts w:ascii="宋体" w:hAnsi="宋体" w:cs="宋体"/>
          <w:b/>
          <w:color w:val="auto"/>
          <w:spacing w:val="6"/>
          <w:sz w:val="32"/>
          <w:szCs w:val="32"/>
          <w:highlight w:val="none"/>
        </w:rPr>
      </w:pPr>
    </w:p>
    <w:p w14:paraId="5D9B6EEC">
      <w:pPr>
        <w:autoSpaceDE w:val="0"/>
        <w:autoSpaceDN w:val="0"/>
        <w:jc w:val="center"/>
        <w:rPr>
          <w:rFonts w:ascii="宋体" w:hAnsi="宋体" w:cs="宋体"/>
          <w:b/>
          <w:color w:val="auto"/>
          <w:spacing w:val="6"/>
          <w:sz w:val="32"/>
          <w:szCs w:val="32"/>
          <w:highlight w:val="none"/>
        </w:rPr>
      </w:pPr>
    </w:p>
    <w:p w14:paraId="30A6A17B">
      <w:pPr>
        <w:autoSpaceDE w:val="0"/>
        <w:autoSpaceDN w:val="0"/>
        <w:jc w:val="center"/>
        <w:rPr>
          <w:rFonts w:ascii="宋体" w:hAnsi="宋体" w:cs="宋体"/>
          <w:b/>
          <w:color w:val="auto"/>
          <w:spacing w:val="6"/>
          <w:sz w:val="32"/>
          <w:szCs w:val="32"/>
          <w:highlight w:val="none"/>
        </w:rPr>
      </w:pPr>
    </w:p>
    <w:p w14:paraId="229D910B">
      <w:pPr>
        <w:autoSpaceDE w:val="0"/>
        <w:autoSpaceDN w:val="0"/>
        <w:jc w:val="center"/>
        <w:rPr>
          <w:rFonts w:ascii="宋体" w:hAnsi="宋体" w:cs="宋体"/>
          <w:b/>
          <w:color w:val="auto"/>
          <w:spacing w:val="6"/>
          <w:sz w:val="32"/>
          <w:szCs w:val="32"/>
          <w:highlight w:val="none"/>
        </w:rPr>
      </w:pPr>
    </w:p>
    <w:p w14:paraId="363A5132">
      <w:pPr>
        <w:autoSpaceDE w:val="0"/>
        <w:autoSpaceDN w:val="0"/>
        <w:jc w:val="center"/>
        <w:rPr>
          <w:rFonts w:ascii="宋体" w:hAnsi="宋体" w:cs="宋体"/>
          <w:b/>
          <w:color w:val="auto"/>
          <w:spacing w:val="6"/>
          <w:sz w:val="32"/>
          <w:szCs w:val="32"/>
          <w:highlight w:val="none"/>
        </w:rPr>
      </w:pPr>
    </w:p>
    <w:p w14:paraId="080F6019">
      <w:pPr>
        <w:autoSpaceDE w:val="0"/>
        <w:autoSpaceDN w:val="0"/>
        <w:jc w:val="center"/>
        <w:rPr>
          <w:rFonts w:ascii="宋体" w:hAnsi="宋体" w:cs="宋体"/>
          <w:b/>
          <w:color w:val="auto"/>
          <w:spacing w:val="6"/>
          <w:sz w:val="32"/>
          <w:szCs w:val="32"/>
          <w:highlight w:val="none"/>
        </w:rPr>
      </w:pPr>
    </w:p>
    <w:p w14:paraId="00D5F81F">
      <w:pPr>
        <w:autoSpaceDE w:val="0"/>
        <w:autoSpaceDN w:val="0"/>
        <w:jc w:val="center"/>
        <w:rPr>
          <w:rFonts w:ascii="宋体" w:hAnsi="宋体" w:cs="宋体"/>
          <w:b/>
          <w:color w:val="auto"/>
          <w:spacing w:val="6"/>
          <w:sz w:val="32"/>
          <w:szCs w:val="32"/>
          <w:highlight w:val="none"/>
        </w:rPr>
      </w:pPr>
    </w:p>
    <w:p w14:paraId="63D37DDE">
      <w:pPr>
        <w:autoSpaceDE w:val="0"/>
        <w:autoSpaceDN w:val="0"/>
        <w:jc w:val="center"/>
        <w:rPr>
          <w:rFonts w:ascii="宋体" w:hAnsi="宋体" w:cs="宋体"/>
          <w:b/>
          <w:color w:val="auto"/>
          <w:spacing w:val="6"/>
          <w:sz w:val="32"/>
          <w:szCs w:val="32"/>
          <w:highlight w:val="none"/>
        </w:rPr>
      </w:pPr>
    </w:p>
    <w:p w14:paraId="62C736D1">
      <w:pPr>
        <w:autoSpaceDE w:val="0"/>
        <w:autoSpaceDN w:val="0"/>
        <w:jc w:val="center"/>
        <w:rPr>
          <w:rFonts w:ascii="宋体" w:hAnsi="宋体" w:cs="宋体"/>
          <w:b/>
          <w:color w:val="auto"/>
          <w:spacing w:val="6"/>
          <w:sz w:val="32"/>
          <w:szCs w:val="32"/>
          <w:highlight w:val="none"/>
        </w:rPr>
      </w:pPr>
    </w:p>
    <w:p w14:paraId="0D16DEEE">
      <w:pPr>
        <w:autoSpaceDE w:val="0"/>
        <w:autoSpaceDN w:val="0"/>
        <w:jc w:val="center"/>
        <w:rPr>
          <w:rFonts w:ascii="宋体" w:hAnsi="宋体" w:cs="宋体"/>
          <w:b/>
          <w:color w:val="auto"/>
          <w:spacing w:val="6"/>
          <w:sz w:val="32"/>
          <w:szCs w:val="32"/>
          <w:highlight w:val="none"/>
        </w:rPr>
      </w:pPr>
    </w:p>
    <w:p w14:paraId="554A292D">
      <w:pPr>
        <w:pStyle w:val="2"/>
        <w:rPr>
          <w:highlight w:val="none"/>
        </w:rPr>
      </w:pPr>
    </w:p>
    <w:p w14:paraId="680E20AB">
      <w:pPr>
        <w:autoSpaceDE w:val="0"/>
        <w:autoSpaceDN w:val="0"/>
        <w:jc w:val="center"/>
        <w:rPr>
          <w:rFonts w:ascii="宋体" w:hAnsi="宋体" w:cs="宋体"/>
          <w:b/>
          <w:color w:val="auto"/>
          <w:spacing w:val="6"/>
          <w:sz w:val="32"/>
          <w:szCs w:val="32"/>
          <w:highlight w:val="none"/>
        </w:rPr>
      </w:pPr>
    </w:p>
    <w:p w14:paraId="14C7B9D7">
      <w:pPr>
        <w:widowControl/>
        <w:adjustRightInd/>
        <w:jc w:val="left"/>
        <w:rPr>
          <w:rFonts w:ascii="宋体" w:hAnsi="宋体" w:cs="宋体"/>
          <w:b/>
          <w:color w:val="auto"/>
          <w:spacing w:val="6"/>
          <w:sz w:val="32"/>
          <w:szCs w:val="32"/>
          <w:highlight w:val="none"/>
        </w:rPr>
      </w:pPr>
    </w:p>
    <w:p w14:paraId="48B3D73E">
      <w:pPr>
        <w:snapToGrid w:val="0"/>
        <w:spacing w:line="360" w:lineRule="auto"/>
        <w:rPr>
          <w:rFonts w:ascii="宋体" w:hAnsi="宋体" w:cs="宋体"/>
          <w:b/>
          <w:color w:val="auto"/>
          <w:kern w:val="0"/>
          <w:sz w:val="32"/>
          <w:szCs w:val="32"/>
          <w:highlight w:val="none"/>
        </w:rPr>
      </w:pPr>
      <w:r>
        <w:rPr>
          <w:rFonts w:hint="eastAsia" w:ascii="宋体" w:hAnsi="宋体" w:cs="宋体"/>
          <w:b/>
          <w:color w:val="auto"/>
          <w:spacing w:val="6"/>
          <w:sz w:val="32"/>
          <w:szCs w:val="32"/>
          <w:highlight w:val="none"/>
        </w:rPr>
        <w:t>附件</w:t>
      </w:r>
      <w:r>
        <w:rPr>
          <w:rFonts w:ascii="宋体" w:hAnsi="宋体" w:cs="宋体"/>
          <w:b/>
          <w:color w:val="auto"/>
          <w:spacing w:val="6"/>
          <w:sz w:val="32"/>
          <w:szCs w:val="32"/>
          <w:highlight w:val="none"/>
        </w:rPr>
        <w:t>6</w:t>
      </w:r>
      <w:r>
        <w:rPr>
          <w:rFonts w:hint="eastAsia" w:ascii="宋体" w:hAnsi="宋体" w:cs="宋体"/>
          <w:b/>
          <w:color w:val="auto"/>
          <w:spacing w:val="6"/>
          <w:sz w:val="32"/>
          <w:szCs w:val="32"/>
          <w:highlight w:val="none"/>
        </w:rPr>
        <w:t>：</w:t>
      </w:r>
      <w:r>
        <w:rPr>
          <w:rFonts w:hint="eastAsia" w:ascii="宋体" w:hAnsi="宋体" w:cs="宋体"/>
          <w:b/>
          <w:color w:val="auto"/>
          <w:kern w:val="0"/>
          <w:sz w:val="32"/>
          <w:szCs w:val="32"/>
          <w:highlight w:val="none"/>
        </w:rPr>
        <w:t>分包意向协议</w:t>
      </w:r>
    </w:p>
    <w:p w14:paraId="69AF9302">
      <w:pPr>
        <w:widowControl/>
        <w:spacing w:line="360" w:lineRule="auto"/>
        <w:ind w:firstLine="120" w:firstLineChars="50"/>
        <w:jc w:val="left"/>
        <w:rPr>
          <w:rFonts w:ascii="宋体" w:hAnsi="宋体" w:cs="宋体"/>
          <w:color w:val="auto"/>
          <w:sz w:val="24"/>
          <w:highlight w:val="none"/>
        </w:rPr>
      </w:pPr>
      <w:r>
        <w:rPr>
          <w:rFonts w:hint="eastAsia" w:ascii="宋体" w:hAnsi="宋体" w:cs="宋体"/>
          <w:color w:val="auto"/>
          <w:sz w:val="24"/>
          <w:highlight w:val="none"/>
        </w:rPr>
        <w:t>（</w:t>
      </w:r>
      <w:r>
        <w:rPr>
          <w:rFonts w:hint="eastAsia" w:ascii="宋体" w:hAnsi="宋体" w:cs="宋体"/>
          <w:b/>
          <w:color w:val="auto"/>
          <w:sz w:val="24"/>
          <w:highlight w:val="none"/>
        </w:rPr>
        <w:t>中标后以分包方式履行合同的，提供分包意向协议；采购人不同意分包或者投标人中标后不以分包方式履行合同的，则不需要提供。</w:t>
      </w:r>
      <w:r>
        <w:rPr>
          <w:rFonts w:hint="eastAsia" w:ascii="宋体" w:hAnsi="宋体" w:cs="宋体"/>
          <w:color w:val="auto"/>
          <w:sz w:val="24"/>
          <w:highlight w:val="none"/>
        </w:rPr>
        <w:t>）</w:t>
      </w:r>
    </w:p>
    <w:p w14:paraId="3AB3B202">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lang w:val="zh-CN"/>
        </w:rPr>
        <w:t>若成为</w:t>
      </w:r>
      <w:r>
        <w:rPr>
          <w:rFonts w:hint="eastAsia" w:ascii="宋体" w:hAnsi="宋体" w:cs="宋体"/>
          <w:color w:val="auto"/>
          <w:sz w:val="24"/>
          <w:highlight w:val="none"/>
        </w:rPr>
        <w:t>（项目名称）【招标编号：（采购编号）】</w:t>
      </w:r>
      <w:r>
        <w:rPr>
          <w:rFonts w:hint="eastAsia" w:ascii="宋体" w:hAnsi="宋体" w:cs="宋体"/>
          <w:color w:val="auto"/>
          <w:kern w:val="0"/>
          <w:sz w:val="24"/>
          <w:highlight w:val="none"/>
          <w:lang w:val="zh-CN"/>
        </w:rPr>
        <w:t>的中标供应商，将依法采取分包方式履行合同。</w:t>
      </w: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rPr>
        <w:t>与</w:t>
      </w:r>
      <w:r>
        <w:rPr>
          <w:rFonts w:hint="eastAsia" w:ascii="宋体" w:hAnsi="宋体" w:cs="宋体"/>
          <w:color w:val="auto"/>
          <w:kern w:val="0"/>
          <w:sz w:val="24"/>
          <w:highlight w:val="none"/>
          <w:u w:val="single"/>
        </w:rPr>
        <w:t>（所有分包供应商名称）</w:t>
      </w:r>
      <w:r>
        <w:rPr>
          <w:rFonts w:hint="eastAsia" w:ascii="宋体" w:hAnsi="宋体" w:cs="宋体"/>
          <w:color w:val="auto"/>
          <w:kern w:val="0"/>
          <w:sz w:val="24"/>
          <w:highlight w:val="none"/>
        </w:rPr>
        <w:t>达成分包意向协议</w:t>
      </w:r>
      <w:r>
        <w:rPr>
          <w:rFonts w:hint="eastAsia" w:ascii="宋体" w:hAnsi="宋体" w:cs="宋体"/>
          <w:color w:val="auto"/>
          <w:kern w:val="0"/>
          <w:sz w:val="24"/>
          <w:highlight w:val="none"/>
          <w:lang w:val="zh-CN"/>
        </w:rPr>
        <w:t xml:space="preserve">。 </w:t>
      </w:r>
    </w:p>
    <w:p w14:paraId="3BA7F870">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一、分包标的及数量</w:t>
      </w:r>
    </w:p>
    <w:p w14:paraId="7CA45715">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u w:val="single"/>
        </w:rPr>
        <w:t>（投标人名称）</w:t>
      </w:r>
      <w:r>
        <w:rPr>
          <w:rFonts w:hint="eastAsia" w:ascii="宋体" w:hAnsi="宋体" w:cs="宋体"/>
          <w:color w:val="auto"/>
          <w:kern w:val="0"/>
          <w:sz w:val="24"/>
          <w:highlight w:val="none"/>
          <w:lang w:val="zh-CN"/>
        </w:rPr>
        <w:t>将</w:t>
      </w:r>
      <w:r>
        <w:rPr>
          <w:rFonts w:hint="eastAsia" w:ascii="宋体" w:hAnsi="宋体" w:cs="宋体"/>
          <w:color w:val="auto"/>
          <w:highlight w:val="none"/>
          <w:u w:val="single"/>
        </w:rPr>
        <w:t xml:space="preserve">  </w:t>
      </w:r>
      <w:r>
        <w:rPr>
          <w:rFonts w:ascii="宋体" w:hAnsi="宋体" w:cs="宋体"/>
          <w:color w:val="auto"/>
          <w:kern w:val="0"/>
          <w:sz w:val="24"/>
          <w:highlight w:val="none"/>
          <w:u w:val="single"/>
        </w:rPr>
        <w:t xml:space="preserve"> XX工作内容   </w:t>
      </w:r>
      <w:r>
        <w:rPr>
          <w:rFonts w:hint="eastAsia" w:ascii="宋体" w:hAnsi="宋体" w:cs="宋体"/>
          <w:color w:val="auto"/>
          <w:sz w:val="24"/>
          <w:highlight w:val="none"/>
        </w:rPr>
        <w:t>分包给</w:t>
      </w:r>
      <w:r>
        <w:rPr>
          <w:rFonts w:hint="eastAsia" w:ascii="宋体" w:hAnsi="宋体" w:cs="宋体"/>
          <w:color w:val="auto"/>
          <w:kern w:val="0"/>
          <w:sz w:val="24"/>
          <w:highlight w:val="none"/>
          <w:u w:val="single"/>
        </w:rPr>
        <w:t>（分包供应商1名称）</w:t>
      </w:r>
      <w:r>
        <w:rPr>
          <w:rFonts w:hint="eastAsia" w:ascii="宋体" w:hAnsi="宋体" w:cs="宋体"/>
          <w:color w:val="auto"/>
          <w:kern w:val="0"/>
          <w:sz w:val="24"/>
          <w:highlight w:val="none"/>
          <w:lang w:val="zh-CN"/>
        </w:rPr>
        <w:t>，</w:t>
      </w:r>
      <w:r>
        <w:rPr>
          <w:rFonts w:hint="eastAsia" w:ascii="宋体" w:hAnsi="宋体" w:cs="宋体"/>
          <w:color w:val="auto"/>
          <w:kern w:val="0"/>
          <w:sz w:val="24"/>
          <w:highlight w:val="none"/>
          <w:u w:val="single"/>
        </w:rPr>
        <w:t>（分包供应商2名称），</w:t>
      </w:r>
      <w:r>
        <w:rPr>
          <w:rFonts w:hint="eastAsia" w:ascii="宋体" w:hAnsi="宋体" w:cs="宋体"/>
          <w:color w:val="auto"/>
          <w:kern w:val="0"/>
          <w:sz w:val="24"/>
          <w:highlight w:val="none"/>
          <w:lang w:val="zh-CN"/>
        </w:rPr>
        <w:t>具备承</w:t>
      </w:r>
      <w:r>
        <w:rPr>
          <w:rFonts w:hint="eastAsia" w:ascii="宋体" w:hAnsi="宋体" w:cs="宋体"/>
          <w:color w:val="auto"/>
          <w:kern w:val="0"/>
          <w:sz w:val="24"/>
          <w:highlight w:val="none"/>
        </w:rPr>
        <w:t>担</w:t>
      </w:r>
      <w:r>
        <w:rPr>
          <w:rFonts w:hint="eastAsia" w:ascii="宋体" w:hAnsi="宋体" w:cs="宋体"/>
          <w:color w:val="auto"/>
          <w:kern w:val="0"/>
          <w:sz w:val="24"/>
          <w:highlight w:val="none"/>
          <w:u w:val="single"/>
          <w:lang w:val="zh-CN"/>
        </w:rPr>
        <w:t>XX工作内容</w:t>
      </w:r>
      <w:r>
        <w:rPr>
          <w:rFonts w:hint="eastAsia" w:ascii="宋体" w:hAnsi="宋体" w:cs="宋体"/>
          <w:color w:val="auto"/>
          <w:kern w:val="0"/>
          <w:sz w:val="24"/>
          <w:highlight w:val="none"/>
          <w:lang w:val="zh-CN"/>
        </w:rPr>
        <w:t>相应资质条件且不得再次分包；</w:t>
      </w:r>
    </w:p>
    <w:p w14:paraId="06A83977">
      <w:pPr>
        <w:pStyle w:val="83"/>
        <w:rPr>
          <w:color w:val="auto"/>
          <w:highlight w:val="none"/>
        </w:rPr>
      </w:pPr>
      <w:r>
        <w:rPr>
          <w:rFonts w:hint="eastAsia"/>
          <w:color w:val="auto"/>
          <w:highlight w:val="none"/>
        </w:rPr>
        <w:t>……</w:t>
      </w:r>
    </w:p>
    <w:p w14:paraId="2D16E5B5">
      <w:pPr>
        <w:rPr>
          <w:color w:val="auto"/>
          <w:highlight w:val="none"/>
        </w:rPr>
      </w:pPr>
      <w:r>
        <w:rPr>
          <w:rFonts w:hint="eastAsia"/>
          <w:color w:val="auto"/>
          <w:highlight w:val="none"/>
          <w:lang w:val="zh-CN"/>
        </w:rPr>
        <w:t xml:space="preserve"> </w:t>
      </w:r>
    </w:p>
    <w:p w14:paraId="68E3C617">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二、分包供应商中小企业合同份额</w:t>
      </w:r>
    </w:p>
    <w:p w14:paraId="45AEC658">
      <w:pPr>
        <w:snapToGrid w:val="0"/>
        <w:spacing w:line="360" w:lineRule="auto"/>
        <w:ind w:firstLine="576"/>
        <w:rPr>
          <w:rFonts w:ascii="宋体" w:hAnsi="宋体" w:cs="宋体"/>
          <w:b/>
          <w:color w:val="auto"/>
          <w:kern w:val="0"/>
          <w:sz w:val="24"/>
          <w:highlight w:val="none"/>
          <w:lang w:val="zh-CN"/>
        </w:rPr>
      </w:pPr>
      <w:r>
        <w:rPr>
          <w:rFonts w:ascii="宋体" w:hAnsi="宋体" w:cs="宋体"/>
          <w:color w:val="auto"/>
          <w:kern w:val="0"/>
          <w:sz w:val="24"/>
          <w:highlight w:val="none"/>
        </w:rPr>
        <w:t>1、</w:t>
      </w:r>
      <w:r>
        <w:rPr>
          <w:rFonts w:hint="eastAsia" w:ascii="宋体" w:hAnsi="宋体" w:cs="宋体"/>
          <w:color w:val="auto"/>
          <w:kern w:val="0"/>
          <w:sz w:val="24"/>
          <w:highlight w:val="none"/>
          <w:u w:val="single"/>
        </w:rPr>
        <w:t>（分包供应商X</w:t>
      </w:r>
      <w:r>
        <w:rPr>
          <w:rFonts w:ascii="宋体" w:hAnsi="宋体" w:cs="宋体"/>
          <w:color w:val="auto"/>
          <w:kern w:val="0"/>
          <w:sz w:val="24"/>
          <w:highlight w:val="none"/>
          <w:u w:val="single"/>
        </w:rPr>
        <w:t>,</w:t>
      </w:r>
      <w:r>
        <w:rPr>
          <w:rFonts w:hint="eastAsia" w:ascii="宋体" w:hAnsi="宋体" w:cs="宋体"/>
          <w:color w:val="auto"/>
          <w:kern w:val="0"/>
          <w:sz w:val="24"/>
          <w:highlight w:val="none"/>
          <w:u w:val="single"/>
        </w:rPr>
        <w:t>……）提供的服务全部由小微企业承接，</w:t>
      </w:r>
      <w:r>
        <w:rPr>
          <w:rFonts w:hint="eastAsia" w:ascii="宋体" w:hAnsi="宋体" w:cs="宋体"/>
          <w:color w:val="auto"/>
          <w:kern w:val="0"/>
          <w:sz w:val="24"/>
          <w:highlight w:val="none"/>
        </w:rPr>
        <w:t>其合同份额占到合同总金额</w:t>
      </w:r>
      <w:r>
        <w:rPr>
          <w:rFonts w:hint="eastAsia" w:ascii="宋体" w:hAnsi="宋体" w:cs="宋体"/>
          <w:color w:val="auto"/>
          <w:kern w:val="0"/>
          <w:sz w:val="24"/>
          <w:highlight w:val="none"/>
          <w:u w:val="single"/>
        </w:rPr>
        <w:t xml:space="preserve">     </w:t>
      </w:r>
      <w:r>
        <w:rPr>
          <w:rFonts w:hint="eastAsia" w:ascii="宋体" w:hAnsi="宋体" w:cs="宋体"/>
          <w:color w:val="auto"/>
          <w:kern w:val="0"/>
          <w:sz w:val="24"/>
          <w:highlight w:val="none"/>
        </w:rPr>
        <w:t>%以上</w:t>
      </w:r>
      <w:r>
        <w:rPr>
          <w:rFonts w:hint="eastAsia" w:ascii="宋体" w:hAnsi="宋体" w:cs="宋体"/>
          <w:color w:val="auto"/>
          <w:highlight w:val="none"/>
        </w:rPr>
        <w:t>。</w:t>
      </w:r>
      <w:r>
        <w:rPr>
          <w:rFonts w:hint="eastAsia" w:ascii="宋体" w:hAnsi="宋体" w:cs="宋体"/>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宋体" w:hAnsi="宋体" w:cs="宋体"/>
          <w:b/>
          <w:color w:val="auto"/>
          <w:sz w:val="24"/>
          <w:highlight w:val="none"/>
        </w:rPr>
        <w:t>拟享受以上价格扣除政策的，填写有关内容。</w:t>
      </w:r>
      <w:r>
        <w:rPr>
          <w:rFonts w:hint="eastAsia" w:ascii="宋体" w:hAnsi="宋体" w:cs="宋体"/>
          <w:b/>
          <w:color w:val="auto"/>
          <w:kern w:val="0"/>
          <w:sz w:val="24"/>
          <w:highlight w:val="none"/>
          <w:lang w:val="zh-CN"/>
        </w:rPr>
        <w:t>）</w:t>
      </w:r>
    </w:p>
    <w:p w14:paraId="6DDB2407">
      <w:pPr>
        <w:spacing w:line="360" w:lineRule="auto"/>
        <w:ind w:firstLine="480" w:firstLineChars="200"/>
        <w:rPr>
          <w:rFonts w:ascii="宋体" w:hAnsi="宋体" w:cs="宋体"/>
          <w:b/>
          <w:bCs/>
          <w:color w:val="auto"/>
          <w:kern w:val="0"/>
          <w:sz w:val="24"/>
          <w:highlight w:val="none"/>
          <w:lang w:val="zh-CN"/>
        </w:rPr>
      </w:pPr>
      <w:r>
        <w:rPr>
          <w:rFonts w:hint="eastAsia" w:ascii="宋体" w:hAnsi="宋体" w:cs="宋体"/>
          <w:color w:val="auto"/>
          <w:sz w:val="24"/>
          <w:highlight w:val="none"/>
        </w:rPr>
        <w:t>2、中小企业合同金额达到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w:t>
      </w:r>
      <w:r>
        <w:rPr>
          <w:rFonts w:hint="eastAsia" w:ascii="宋体" w:hAnsi="宋体" w:cs="宋体"/>
          <w:b/>
          <w:bCs/>
          <w:color w:val="auto"/>
          <w:kern w:val="0"/>
          <w:sz w:val="24"/>
          <w:highlight w:val="none"/>
          <w:lang w:val="zh-CN"/>
        </w:rPr>
        <w:t>（</w:t>
      </w:r>
      <w:r>
        <w:rPr>
          <w:rFonts w:hint="eastAsia" w:ascii="宋体" w:hAnsi="宋体" w:cs="宋体"/>
          <w:b/>
          <w:bCs/>
          <w:color w:val="auto"/>
          <w:sz w:val="24"/>
          <w:highlight w:val="none"/>
        </w:rPr>
        <w:t>要求合同分包形式参加的项目或采购包，供应商按招标文件第一部分招标公告申请人的资格要求中规定的</w:t>
      </w:r>
      <w:r>
        <w:rPr>
          <w:rFonts w:hint="eastAsia" w:ascii="宋体" w:hAnsi="宋体" w:cs="宋体"/>
          <w:b/>
          <w:color w:val="auto"/>
          <w:kern w:val="0"/>
          <w:sz w:val="24"/>
          <w:highlight w:val="none"/>
          <w:lang w:val="zh-CN"/>
        </w:rPr>
        <w:t>分包意向协议</w:t>
      </w:r>
      <w:r>
        <w:rPr>
          <w:rFonts w:hint="eastAsia" w:ascii="宋体" w:hAnsi="宋体" w:cs="宋体"/>
          <w:b/>
          <w:bCs/>
          <w:color w:val="auto"/>
          <w:sz w:val="24"/>
          <w:highlight w:val="none"/>
        </w:rPr>
        <w:t>中中小企业、小微企业合同金额应当达到的比例要求填写。</w:t>
      </w:r>
      <w:r>
        <w:rPr>
          <w:rFonts w:hint="eastAsia" w:ascii="宋体" w:hAnsi="宋体" w:cs="宋体"/>
          <w:b/>
          <w:bCs/>
          <w:color w:val="auto"/>
          <w:kern w:val="0"/>
          <w:sz w:val="24"/>
          <w:highlight w:val="none"/>
          <w:lang w:val="zh-CN"/>
        </w:rPr>
        <w:t>）</w:t>
      </w:r>
    </w:p>
    <w:p w14:paraId="79D9AA74">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三、分包工作履行期限、地点、方式</w:t>
      </w:r>
    </w:p>
    <w:p w14:paraId="5B213EB5">
      <w:pPr>
        <w:snapToGrid w:val="0"/>
        <w:spacing w:line="360" w:lineRule="auto"/>
        <w:ind w:firstLine="576"/>
        <w:rPr>
          <w:rFonts w:ascii="宋体" w:hAnsi="宋体" w:cs="宋体"/>
          <w:color w:val="auto"/>
          <w:highlight w:val="none"/>
          <w:u w:val="single"/>
        </w:rPr>
      </w:pPr>
      <w:r>
        <w:rPr>
          <w:rFonts w:hint="eastAsia" w:ascii="宋体" w:hAnsi="宋体" w:cs="宋体"/>
          <w:color w:val="auto"/>
          <w:highlight w:val="none"/>
          <w:u w:val="single"/>
        </w:rPr>
        <w:t xml:space="preserve">                                                                                  </w:t>
      </w:r>
    </w:p>
    <w:p w14:paraId="672A78E1">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四、质量</w:t>
      </w:r>
    </w:p>
    <w:p w14:paraId="05C51316">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548AE5FE">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五、价款或者报酬</w:t>
      </w:r>
    </w:p>
    <w:p w14:paraId="7AC2B141">
      <w:pPr>
        <w:snapToGrid w:val="0"/>
        <w:spacing w:line="360" w:lineRule="auto"/>
        <w:ind w:left="573" w:leftChars="273"/>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4424EDA4">
      <w:pPr>
        <w:snapToGrid w:val="0"/>
        <w:spacing w:line="360" w:lineRule="auto"/>
        <w:ind w:left="573" w:leftChars="273"/>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六、违约责任</w:t>
      </w:r>
    </w:p>
    <w:p w14:paraId="62589C97">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489A82F8">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七、争议解决的办法</w:t>
      </w:r>
    </w:p>
    <w:p w14:paraId="56505A04">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highlight w:val="none"/>
          <w:u w:val="single"/>
        </w:rPr>
        <w:t xml:space="preserve">                                                                                  </w:t>
      </w:r>
    </w:p>
    <w:p w14:paraId="393E0109">
      <w:pPr>
        <w:snapToGrid w:val="0"/>
        <w:spacing w:line="360" w:lineRule="auto"/>
        <w:ind w:firstLine="576"/>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八、其他</w:t>
      </w:r>
    </w:p>
    <w:p w14:paraId="6F0D92A1">
      <w:pPr>
        <w:snapToGrid w:val="0"/>
        <w:spacing w:line="360" w:lineRule="auto"/>
        <w:ind w:left="5758" w:leftChars="342" w:hanging="5040" w:hangingChars="2100"/>
        <w:rPr>
          <w:rFonts w:ascii="宋体" w:hAnsi="宋体" w:cs="宋体"/>
          <w:color w:val="auto"/>
          <w:kern w:val="0"/>
          <w:sz w:val="24"/>
          <w:highlight w:val="none"/>
          <w:lang w:val="zh-CN"/>
        </w:rPr>
      </w:pPr>
      <w:r>
        <w:rPr>
          <w:rFonts w:hint="eastAsia" w:ascii="宋体" w:hAnsi="宋体" w:cs="宋体"/>
          <w:color w:val="auto"/>
          <w:sz w:val="24"/>
          <w:highlight w:val="none"/>
        </w:rPr>
        <w:t>中小企业合同金额达到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%，小微企业合同金额达到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r>
        <w:rPr>
          <w:rFonts w:hint="eastAsia" w:ascii="宋体" w:hAnsi="宋体" w:cs="宋体"/>
          <w:color w:val="auto"/>
          <w:kern w:val="0"/>
          <w:sz w:val="24"/>
          <w:highlight w:val="none"/>
          <w:lang w:val="zh-CN"/>
        </w:rPr>
        <w:t xml:space="preserve">  。                                           投标人名称(公章)：</w:t>
      </w:r>
    </w:p>
    <w:p w14:paraId="1A4E05E8">
      <w:pPr>
        <w:snapToGrid w:val="0"/>
        <w:spacing w:line="360" w:lineRule="auto"/>
        <w:ind w:left="5758" w:leftChars="2742"/>
        <w:rPr>
          <w:rFonts w:ascii="宋体" w:hAnsi="宋体" w:cs="宋体"/>
          <w:color w:val="auto"/>
          <w:kern w:val="0"/>
          <w:sz w:val="24"/>
          <w:highlight w:val="none"/>
          <w:lang w:val="zh-CN"/>
        </w:rPr>
      </w:pPr>
      <w:r>
        <w:rPr>
          <w:rStyle w:val="82"/>
          <w:rFonts w:hint="eastAsia"/>
          <w:color w:val="auto"/>
          <w:highlight w:val="none"/>
        </w:rPr>
        <w:t>法定代表人（负责人） (签名)：</w:t>
      </w:r>
      <w:r>
        <w:rPr>
          <w:rFonts w:hint="eastAsia" w:ascii="宋体" w:hAnsi="宋体" w:cs="宋体"/>
          <w:color w:val="auto"/>
          <w:kern w:val="0"/>
          <w:sz w:val="24"/>
          <w:highlight w:val="none"/>
          <w:lang w:val="zh-CN"/>
        </w:rPr>
        <w:t>分包供应商名称(公章)：</w:t>
      </w:r>
    </w:p>
    <w:p w14:paraId="7489C043">
      <w:pPr>
        <w:pStyle w:val="83"/>
        <w:ind w:firstLine="5760" w:firstLineChars="2400"/>
        <w:rPr>
          <w:color w:val="auto"/>
          <w:highlight w:val="none"/>
        </w:rPr>
      </w:pPr>
      <w:r>
        <w:rPr>
          <w:rStyle w:val="82"/>
          <w:rFonts w:hint="eastAsia"/>
          <w:color w:val="auto"/>
          <w:highlight w:val="none"/>
        </w:rPr>
        <w:t>法定代表人（负责人） (签名)：</w:t>
      </w:r>
    </w:p>
    <w:p w14:paraId="15C54806">
      <w:pPr>
        <w:snapToGrid w:val="0"/>
        <w:spacing w:line="360" w:lineRule="auto"/>
        <w:jc w:val="right"/>
        <w:rPr>
          <w:rFonts w:ascii="宋体" w:hAnsi="宋体" w:cs="宋体"/>
          <w:color w:val="auto"/>
          <w:kern w:val="0"/>
          <w:sz w:val="24"/>
          <w:highlight w:val="none"/>
          <w:lang w:val="zh-CN"/>
        </w:rPr>
      </w:pPr>
    </w:p>
    <w:p w14:paraId="00EF4E27">
      <w:pPr>
        <w:snapToGrid w:val="0"/>
        <w:spacing w:line="360" w:lineRule="auto"/>
        <w:ind w:firstLine="5760" w:firstLineChars="2400"/>
        <w:rPr>
          <w:rFonts w:ascii="宋体" w:hAnsi="宋体" w:cs="宋体"/>
          <w:color w:val="auto"/>
          <w:highlight w:val="none"/>
        </w:rPr>
      </w:pPr>
      <w:r>
        <w:rPr>
          <w:rFonts w:hint="eastAsia" w:ascii="宋体" w:hAnsi="宋体" w:cs="宋体"/>
          <w:color w:val="auto"/>
          <w:kern w:val="0"/>
          <w:sz w:val="24"/>
          <w:highlight w:val="none"/>
          <w:lang w:val="zh-CN"/>
        </w:rPr>
        <w:t>……</w:t>
      </w:r>
    </w:p>
    <w:p w14:paraId="6A9B0A10">
      <w:pPr>
        <w:snapToGrid w:val="0"/>
        <w:spacing w:line="360" w:lineRule="auto"/>
        <w:ind w:left="5758" w:leftChars="342" w:hanging="5040" w:hangingChars="2100"/>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  年  月   日</w:t>
      </w:r>
    </w:p>
    <w:p w14:paraId="2068A70E">
      <w:pPr>
        <w:spacing w:line="360" w:lineRule="auto"/>
        <w:ind w:right="420"/>
        <w:rPr>
          <w:rFonts w:ascii="宋体" w:hAnsi="宋体" w:cs="宋体"/>
          <w:color w:val="auto"/>
          <w:sz w:val="24"/>
          <w:highlight w:val="none"/>
        </w:rPr>
      </w:pPr>
      <w:r>
        <w:rPr>
          <w:rFonts w:hint="eastAsia" w:ascii="宋体" w:hAnsi="宋体" w:cs="宋体"/>
          <w:color w:val="auto"/>
          <w:sz w:val="24"/>
          <w:highlight w:val="none"/>
        </w:rPr>
        <w:t>注：按本格式和要求提供。</w:t>
      </w:r>
    </w:p>
    <w:p w14:paraId="5BF99AC2">
      <w:pPr>
        <w:autoSpaceDE w:val="0"/>
        <w:autoSpaceDN w:val="0"/>
        <w:jc w:val="center"/>
        <w:rPr>
          <w:rFonts w:ascii="宋体" w:hAnsi="宋体" w:cs="宋体"/>
          <w:b/>
          <w:color w:val="auto"/>
          <w:spacing w:val="6"/>
          <w:sz w:val="32"/>
          <w:szCs w:val="32"/>
          <w:highlight w:val="none"/>
        </w:rPr>
      </w:pPr>
    </w:p>
    <w:p w14:paraId="383C3EAE">
      <w:pPr>
        <w:autoSpaceDE w:val="0"/>
        <w:autoSpaceDN w:val="0"/>
        <w:jc w:val="center"/>
        <w:rPr>
          <w:rFonts w:ascii="宋体" w:hAnsi="宋体" w:cs="宋体"/>
          <w:b/>
          <w:color w:val="auto"/>
          <w:spacing w:val="6"/>
          <w:sz w:val="32"/>
          <w:szCs w:val="32"/>
          <w:highlight w:val="none"/>
        </w:rPr>
      </w:pPr>
    </w:p>
    <w:p w14:paraId="669BF8E1">
      <w:pPr>
        <w:autoSpaceDE w:val="0"/>
        <w:autoSpaceDN w:val="0"/>
        <w:jc w:val="center"/>
        <w:rPr>
          <w:rFonts w:ascii="宋体" w:hAnsi="宋体" w:cs="宋体"/>
          <w:b/>
          <w:color w:val="auto"/>
          <w:spacing w:val="6"/>
          <w:sz w:val="32"/>
          <w:szCs w:val="32"/>
          <w:highlight w:val="none"/>
        </w:rPr>
      </w:pPr>
    </w:p>
    <w:p w14:paraId="72540E9A">
      <w:pPr>
        <w:autoSpaceDE w:val="0"/>
        <w:autoSpaceDN w:val="0"/>
        <w:jc w:val="center"/>
        <w:rPr>
          <w:rFonts w:ascii="宋体" w:hAnsi="宋体" w:cs="宋体"/>
          <w:b/>
          <w:color w:val="auto"/>
          <w:spacing w:val="6"/>
          <w:sz w:val="32"/>
          <w:szCs w:val="32"/>
          <w:highlight w:val="none"/>
        </w:rPr>
      </w:pPr>
    </w:p>
    <w:p w14:paraId="33EB6A02">
      <w:pPr>
        <w:autoSpaceDE w:val="0"/>
        <w:autoSpaceDN w:val="0"/>
        <w:jc w:val="center"/>
        <w:rPr>
          <w:rFonts w:ascii="宋体" w:hAnsi="宋体" w:cs="宋体"/>
          <w:b/>
          <w:color w:val="auto"/>
          <w:spacing w:val="6"/>
          <w:sz w:val="32"/>
          <w:szCs w:val="32"/>
          <w:highlight w:val="none"/>
        </w:rPr>
      </w:pPr>
    </w:p>
    <w:p w14:paraId="74823F13">
      <w:pPr>
        <w:autoSpaceDE w:val="0"/>
        <w:autoSpaceDN w:val="0"/>
        <w:jc w:val="center"/>
        <w:rPr>
          <w:rFonts w:ascii="宋体" w:hAnsi="宋体" w:cs="宋体"/>
          <w:b/>
          <w:color w:val="auto"/>
          <w:spacing w:val="6"/>
          <w:sz w:val="32"/>
          <w:szCs w:val="32"/>
          <w:highlight w:val="none"/>
        </w:rPr>
      </w:pPr>
    </w:p>
    <w:p w14:paraId="37C6C299">
      <w:pPr>
        <w:autoSpaceDE w:val="0"/>
        <w:autoSpaceDN w:val="0"/>
        <w:jc w:val="center"/>
        <w:rPr>
          <w:rFonts w:ascii="宋体" w:hAnsi="宋体" w:cs="宋体"/>
          <w:b/>
          <w:color w:val="auto"/>
          <w:spacing w:val="6"/>
          <w:sz w:val="32"/>
          <w:szCs w:val="32"/>
          <w:highlight w:val="none"/>
        </w:rPr>
      </w:pPr>
    </w:p>
    <w:p w14:paraId="22EF3975">
      <w:pPr>
        <w:autoSpaceDE w:val="0"/>
        <w:autoSpaceDN w:val="0"/>
        <w:jc w:val="center"/>
        <w:rPr>
          <w:rFonts w:ascii="宋体" w:hAnsi="宋体" w:cs="宋体"/>
          <w:b/>
          <w:color w:val="auto"/>
          <w:spacing w:val="6"/>
          <w:sz w:val="32"/>
          <w:szCs w:val="32"/>
          <w:highlight w:val="none"/>
        </w:rPr>
      </w:pPr>
    </w:p>
    <w:p w14:paraId="0F19802D">
      <w:pPr>
        <w:autoSpaceDE w:val="0"/>
        <w:autoSpaceDN w:val="0"/>
        <w:jc w:val="center"/>
        <w:rPr>
          <w:rFonts w:ascii="宋体" w:hAnsi="宋体" w:cs="宋体"/>
          <w:b/>
          <w:color w:val="auto"/>
          <w:spacing w:val="6"/>
          <w:sz w:val="32"/>
          <w:szCs w:val="32"/>
          <w:highlight w:val="none"/>
        </w:rPr>
      </w:pPr>
    </w:p>
    <w:p w14:paraId="22674014">
      <w:pPr>
        <w:autoSpaceDE w:val="0"/>
        <w:autoSpaceDN w:val="0"/>
        <w:jc w:val="center"/>
        <w:rPr>
          <w:rFonts w:ascii="宋体" w:hAnsi="宋体" w:cs="宋体"/>
          <w:b/>
          <w:color w:val="auto"/>
          <w:spacing w:val="6"/>
          <w:sz w:val="32"/>
          <w:szCs w:val="32"/>
          <w:highlight w:val="none"/>
        </w:rPr>
      </w:pPr>
    </w:p>
    <w:p w14:paraId="5F3953B3">
      <w:pPr>
        <w:autoSpaceDE w:val="0"/>
        <w:autoSpaceDN w:val="0"/>
        <w:jc w:val="center"/>
        <w:rPr>
          <w:rFonts w:ascii="宋体" w:hAnsi="宋体" w:cs="宋体"/>
          <w:b/>
          <w:color w:val="auto"/>
          <w:spacing w:val="6"/>
          <w:sz w:val="32"/>
          <w:szCs w:val="32"/>
          <w:highlight w:val="none"/>
        </w:rPr>
      </w:pPr>
    </w:p>
    <w:p w14:paraId="4181A515">
      <w:pPr>
        <w:autoSpaceDE w:val="0"/>
        <w:autoSpaceDN w:val="0"/>
        <w:jc w:val="center"/>
        <w:rPr>
          <w:rFonts w:ascii="宋体" w:hAnsi="宋体" w:cs="宋体"/>
          <w:b/>
          <w:color w:val="auto"/>
          <w:spacing w:val="6"/>
          <w:sz w:val="32"/>
          <w:szCs w:val="32"/>
          <w:highlight w:val="none"/>
        </w:rPr>
      </w:pPr>
    </w:p>
    <w:p w14:paraId="25045C5C">
      <w:pPr>
        <w:autoSpaceDE w:val="0"/>
        <w:autoSpaceDN w:val="0"/>
        <w:jc w:val="center"/>
        <w:rPr>
          <w:rFonts w:ascii="宋体" w:hAnsi="宋体" w:cs="宋体"/>
          <w:b/>
          <w:color w:val="auto"/>
          <w:spacing w:val="6"/>
          <w:sz w:val="32"/>
          <w:szCs w:val="32"/>
          <w:highlight w:val="none"/>
        </w:rPr>
      </w:pPr>
    </w:p>
    <w:p w14:paraId="457BCD08">
      <w:pPr>
        <w:autoSpaceDE w:val="0"/>
        <w:autoSpaceDN w:val="0"/>
        <w:jc w:val="center"/>
        <w:rPr>
          <w:rFonts w:ascii="宋体" w:hAnsi="宋体" w:cs="宋体"/>
          <w:b/>
          <w:color w:val="auto"/>
          <w:spacing w:val="6"/>
          <w:sz w:val="32"/>
          <w:szCs w:val="32"/>
          <w:highlight w:val="none"/>
        </w:rPr>
      </w:pPr>
    </w:p>
    <w:p w14:paraId="23469BF5">
      <w:pPr>
        <w:autoSpaceDE w:val="0"/>
        <w:autoSpaceDN w:val="0"/>
        <w:jc w:val="center"/>
        <w:rPr>
          <w:rFonts w:ascii="宋体" w:hAnsi="宋体" w:cs="宋体"/>
          <w:b/>
          <w:color w:val="auto"/>
          <w:spacing w:val="6"/>
          <w:sz w:val="32"/>
          <w:szCs w:val="32"/>
          <w:highlight w:val="none"/>
        </w:rPr>
      </w:pPr>
    </w:p>
    <w:p w14:paraId="54D0C4DE">
      <w:pPr>
        <w:autoSpaceDE w:val="0"/>
        <w:autoSpaceDN w:val="0"/>
        <w:jc w:val="center"/>
        <w:rPr>
          <w:rFonts w:ascii="宋体" w:hAnsi="宋体" w:cs="宋体"/>
          <w:b/>
          <w:color w:val="auto"/>
          <w:spacing w:val="6"/>
          <w:sz w:val="32"/>
          <w:szCs w:val="32"/>
          <w:highlight w:val="none"/>
        </w:rPr>
      </w:pPr>
    </w:p>
    <w:p w14:paraId="773533B1">
      <w:pPr>
        <w:autoSpaceDE w:val="0"/>
        <w:autoSpaceDN w:val="0"/>
        <w:jc w:val="center"/>
        <w:rPr>
          <w:rFonts w:ascii="宋体" w:hAnsi="宋体" w:cs="宋体"/>
          <w:b/>
          <w:color w:val="auto"/>
          <w:spacing w:val="6"/>
          <w:sz w:val="32"/>
          <w:szCs w:val="32"/>
          <w:highlight w:val="none"/>
        </w:rPr>
      </w:pPr>
    </w:p>
    <w:p w14:paraId="4059E6F5">
      <w:pPr>
        <w:autoSpaceDE w:val="0"/>
        <w:autoSpaceDN w:val="0"/>
        <w:jc w:val="center"/>
        <w:rPr>
          <w:rFonts w:ascii="宋体" w:hAnsi="宋体" w:cs="宋体"/>
          <w:b/>
          <w:color w:val="auto"/>
          <w:spacing w:val="6"/>
          <w:sz w:val="32"/>
          <w:szCs w:val="32"/>
          <w:highlight w:val="none"/>
        </w:rPr>
      </w:pPr>
    </w:p>
    <w:p w14:paraId="7F6061AA">
      <w:pPr>
        <w:autoSpaceDE w:val="0"/>
        <w:autoSpaceDN w:val="0"/>
        <w:jc w:val="center"/>
        <w:rPr>
          <w:rFonts w:ascii="宋体" w:hAnsi="宋体" w:cs="宋体"/>
          <w:b/>
          <w:color w:val="auto"/>
          <w:spacing w:val="6"/>
          <w:sz w:val="32"/>
          <w:szCs w:val="32"/>
          <w:highlight w:val="none"/>
        </w:rPr>
      </w:pPr>
    </w:p>
    <w:p w14:paraId="12B85170">
      <w:pPr>
        <w:autoSpaceDE w:val="0"/>
        <w:autoSpaceDN w:val="0"/>
        <w:jc w:val="center"/>
        <w:rPr>
          <w:rFonts w:ascii="宋体" w:hAnsi="宋体" w:cs="宋体"/>
          <w:b/>
          <w:color w:val="auto"/>
          <w:spacing w:val="6"/>
          <w:sz w:val="32"/>
          <w:szCs w:val="32"/>
          <w:highlight w:val="none"/>
        </w:rPr>
      </w:pPr>
    </w:p>
    <w:p w14:paraId="6D5EC196">
      <w:pPr>
        <w:autoSpaceDE w:val="0"/>
        <w:autoSpaceDN w:val="0"/>
        <w:jc w:val="center"/>
        <w:rPr>
          <w:rFonts w:ascii="宋体" w:hAnsi="宋体" w:cs="宋体"/>
          <w:b/>
          <w:color w:val="auto"/>
          <w:spacing w:val="6"/>
          <w:sz w:val="32"/>
          <w:szCs w:val="32"/>
          <w:highlight w:val="none"/>
        </w:rPr>
      </w:pPr>
    </w:p>
    <w:p w14:paraId="561A0CE5">
      <w:pPr>
        <w:autoSpaceDE w:val="0"/>
        <w:autoSpaceDN w:val="0"/>
        <w:jc w:val="center"/>
        <w:rPr>
          <w:rFonts w:ascii="宋体" w:hAnsi="宋体" w:cs="宋体"/>
          <w:b/>
          <w:color w:val="auto"/>
          <w:spacing w:val="6"/>
          <w:sz w:val="32"/>
          <w:szCs w:val="32"/>
          <w:highlight w:val="none"/>
        </w:rPr>
      </w:pPr>
    </w:p>
    <w:p w14:paraId="23657E7C">
      <w:pPr>
        <w:autoSpaceDE w:val="0"/>
        <w:autoSpaceDN w:val="0"/>
        <w:jc w:val="center"/>
        <w:rPr>
          <w:rFonts w:ascii="宋体" w:hAnsi="宋体" w:cs="宋体"/>
          <w:b/>
          <w:color w:val="auto"/>
          <w:spacing w:val="6"/>
          <w:sz w:val="32"/>
          <w:szCs w:val="32"/>
          <w:highlight w:val="none"/>
        </w:rPr>
      </w:pPr>
    </w:p>
    <w:p w14:paraId="045D59C1">
      <w:pPr>
        <w:autoSpaceDE w:val="0"/>
        <w:autoSpaceDN w:val="0"/>
        <w:jc w:val="center"/>
        <w:rPr>
          <w:rFonts w:ascii="宋体" w:hAnsi="宋体" w:cs="宋体"/>
          <w:b/>
          <w:color w:val="auto"/>
          <w:spacing w:val="6"/>
          <w:sz w:val="32"/>
          <w:szCs w:val="32"/>
          <w:highlight w:val="none"/>
        </w:rPr>
      </w:pPr>
    </w:p>
    <w:p w14:paraId="01BE0827">
      <w:pPr>
        <w:autoSpaceDE w:val="0"/>
        <w:autoSpaceDN w:val="0"/>
        <w:jc w:val="center"/>
        <w:rPr>
          <w:rFonts w:ascii="宋体" w:hAnsi="宋体" w:cs="宋体"/>
          <w:b/>
          <w:color w:val="auto"/>
          <w:spacing w:val="6"/>
          <w:sz w:val="32"/>
          <w:szCs w:val="32"/>
          <w:highlight w:val="none"/>
        </w:rPr>
      </w:pPr>
    </w:p>
    <w:p w14:paraId="3970A375">
      <w:pPr>
        <w:spacing w:line="360" w:lineRule="auto"/>
        <w:jc w:val="left"/>
        <w:rPr>
          <w:rFonts w:ascii="宋体" w:hAnsi="宋体" w:cs="宋体"/>
          <w:b/>
          <w:color w:val="auto"/>
          <w:sz w:val="32"/>
          <w:szCs w:val="32"/>
          <w:highlight w:val="none"/>
        </w:rPr>
      </w:pPr>
      <w:r>
        <w:rPr>
          <w:rFonts w:hint="eastAsia" w:ascii="宋体" w:hAnsi="宋体" w:cs="宋体"/>
          <w:b/>
          <w:color w:val="auto"/>
          <w:sz w:val="32"/>
          <w:szCs w:val="32"/>
          <w:highlight w:val="none"/>
        </w:rPr>
        <w:t>附件</w:t>
      </w:r>
      <w:r>
        <w:rPr>
          <w:rFonts w:ascii="宋体" w:hAnsi="宋体" w:cs="宋体"/>
          <w:b/>
          <w:color w:val="auto"/>
          <w:sz w:val="32"/>
          <w:szCs w:val="32"/>
          <w:highlight w:val="none"/>
        </w:rPr>
        <w:t>7</w:t>
      </w:r>
      <w:r>
        <w:rPr>
          <w:rFonts w:hint="eastAsia" w:ascii="宋体" w:hAnsi="宋体" w:cs="宋体"/>
          <w:b/>
          <w:color w:val="auto"/>
          <w:sz w:val="32"/>
          <w:szCs w:val="32"/>
          <w:highlight w:val="none"/>
        </w:rPr>
        <w:t>：中小企业声明函</w:t>
      </w:r>
    </w:p>
    <w:p w14:paraId="66168072">
      <w:pPr>
        <w:spacing w:line="360" w:lineRule="auto"/>
        <w:jc w:val="center"/>
        <w:rPr>
          <w:rFonts w:ascii="宋体" w:hAnsi="宋体" w:cs="宋体"/>
          <w:color w:val="auto"/>
          <w:sz w:val="24"/>
          <w:highlight w:val="none"/>
          <w:u w:val="single"/>
        </w:rPr>
      </w:pPr>
    </w:p>
    <w:p w14:paraId="1258038E">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中小企业声明函（服务）</w:t>
      </w:r>
    </w:p>
    <w:p w14:paraId="57ACA157">
      <w:pPr>
        <w:spacing w:line="360" w:lineRule="auto"/>
        <w:ind w:firstLine="360" w:firstLineChars="150"/>
        <w:jc w:val="left"/>
        <w:rPr>
          <w:rFonts w:ascii="宋体" w:hAnsi="宋体" w:cs="宋体"/>
          <w:color w:val="auto"/>
          <w:sz w:val="24"/>
          <w:highlight w:val="none"/>
        </w:rPr>
      </w:pPr>
      <w:r>
        <w:rPr>
          <w:rFonts w:hint="eastAsia" w:ascii="宋体" w:hAnsi="宋体" w:cs="宋体"/>
          <w:color w:val="auto"/>
          <w:sz w:val="24"/>
          <w:highlight w:val="none"/>
        </w:rPr>
        <w:t xml:space="preserve">本公司（联合体）郑重声明，根据《政府采购促进中小企业发展管理办法》（财库﹝2020﹞46 号）的规定，本公司（联合体）参加 </w:t>
      </w:r>
      <w:r>
        <w:rPr>
          <w:rFonts w:hint="eastAsia" w:ascii="宋体" w:hAnsi="宋体" w:cs="宋体"/>
          <w:color w:val="auto"/>
          <w:sz w:val="24"/>
          <w:highlight w:val="none"/>
          <w:u w:val="single"/>
        </w:rPr>
        <w:t xml:space="preserve">（采购人） </w:t>
      </w:r>
      <w:r>
        <w:rPr>
          <w:rFonts w:hint="eastAsia" w:ascii="宋体" w:hAnsi="宋体" w:cs="宋体"/>
          <w:color w:val="auto"/>
          <w:sz w:val="24"/>
          <w:highlight w:val="none"/>
        </w:rPr>
        <w:t>的</w:t>
      </w:r>
      <w:r>
        <w:rPr>
          <w:rFonts w:hint="eastAsia" w:ascii="宋体" w:hAnsi="宋体" w:cs="宋体"/>
          <w:color w:val="auto"/>
          <w:sz w:val="24"/>
          <w:highlight w:val="none"/>
          <w:u w:val="single"/>
        </w:rPr>
        <w:t xml:space="preserve"> （项目名称） </w:t>
      </w:r>
      <w:r>
        <w:rPr>
          <w:rFonts w:hint="eastAsia" w:ascii="宋体" w:hAnsi="宋体" w:cs="宋体"/>
          <w:color w:val="auto"/>
          <w:sz w:val="24"/>
          <w:highlight w:val="none"/>
        </w:rPr>
        <w:t>采购活动，工程的施工单位全部为符合政策要求的中小企业（或者：服务全部由符合政策要求的中小企业承接）。相关企业（含联合体中的中小企业、签订分包意向协议的中小企业）的具体情况如下：</w:t>
      </w:r>
    </w:p>
    <w:p w14:paraId="7AE3A409">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highlight w:val="none"/>
        </w:rPr>
        <w:t xml:space="preserve"> </w:t>
      </w:r>
      <w:r>
        <w:rPr>
          <w:rFonts w:hint="eastAsia" w:ascii="宋体" w:hAnsi="宋体" w:cs="宋体"/>
          <w:color w:val="auto"/>
          <w:sz w:val="24"/>
          <w:highlight w:val="none"/>
          <w:u w:val="single"/>
        </w:rPr>
        <w:t>（标的名称）</w:t>
      </w:r>
      <w:r>
        <w:rPr>
          <w:rFonts w:hint="eastAsia" w:ascii="宋体" w:hAnsi="宋体" w:cs="宋体"/>
          <w:color w:val="auto"/>
          <w:sz w:val="24"/>
          <w:highlight w:val="none"/>
        </w:rPr>
        <w:t>，属于</w:t>
      </w:r>
      <w:r>
        <w:rPr>
          <w:rFonts w:hint="eastAsia" w:ascii="宋体" w:hAnsi="宋体" w:cs="宋体"/>
          <w:color w:val="auto"/>
          <w:sz w:val="24"/>
          <w:highlight w:val="none"/>
          <w:u w:val="single"/>
        </w:rPr>
        <w:t xml:space="preserve"> （采购文件中明确的所属行业）</w:t>
      </w:r>
      <w:r>
        <w:rPr>
          <w:rFonts w:hint="eastAsia" w:ascii="宋体" w:hAnsi="宋体" w:cs="宋体"/>
          <w:color w:val="auto"/>
          <w:sz w:val="24"/>
          <w:highlight w:val="none"/>
        </w:rPr>
        <w:t xml:space="preserve"> ；承建（承接）企业为 </w:t>
      </w:r>
      <w:r>
        <w:rPr>
          <w:rFonts w:hint="eastAsia" w:ascii="宋体" w:hAnsi="宋体" w:cs="宋体"/>
          <w:color w:val="auto"/>
          <w:sz w:val="24"/>
          <w:highlight w:val="none"/>
          <w:u w:val="single"/>
        </w:rPr>
        <w:t>（企业名称）</w:t>
      </w:r>
      <w:r>
        <w:rPr>
          <w:rFonts w:hint="eastAsia" w:ascii="宋体" w:hAnsi="宋体" w:cs="宋体"/>
          <w:color w:val="auto"/>
          <w:sz w:val="24"/>
          <w:highlight w:val="none"/>
        </w:rPr>
        <w:t xml:space="preserve"> ，从业人员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 xml:space="preserve"> （中型企业、小型企业、微型企业） </w:t>
      </w:r>
      <w:r>
        <w:rPr>
          <w:rFonts w:hint="eastAsia" w:ascii="宋体" w:hAnsi="宋体" w:cs="宋体"/>
          <w:color w:val="auto"/>
          <w:sz w:val="24"/>
          <w:highlight w:val="none"/>
        </w:rPr>
        <w:t>；</w:t>
      </w:r>
    </w:p>
    <w:p w14:paraId="5CD84DB4">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u w:val="single"/>
        </w:rPr>
        <w:t xml:space="preserve"> （标的名称），</w:t>
      </w:r>
      <w:r>
        <w:rPr>
          <w:rFonts w:hint="eastAsia" w:ascii="宋体" w:hAnsi="宋体" w:cs="宋体"/>
          <w:color w:val="auto"/>
          <w:sz w:val="24"/>
          <w:highlight w:val="none"/>
        </w:rPr>
        <w:t xml:space="preserve">属于 </w:t>
      </w:r>
      <w:r>
        <w:rPr>
          <w:rFonts w:hint="eastAsia" w:ascii="宋体" w:hAnsi="宋体" w:cs="宋体"/>
          <w:color w:val="auto"/>
          <w:sz w:val="24"/>
          <w:highlight w:val="none"/>
          <w:u w:val="single"/>
        </w:rPr>
        <w:t xml:space="preserve">（采购文件中明确的所属行业） </w:t>
      </w:r>
      <w:r>
        <w:rPr>
          <w:rFonts w:hint="eastAsia" w:ascii="宋体" w:hAnsi="宋体" w:cs="宋体"/>
          <w:color w:val="auto"/>
          <w:sz w:val="24"/>
          <w:highlight w:val="none"/>
        </w:rPr>
        <w:t xml:space="preserve">；承建（承接）企业为 </w:t>
      </w:r>
      <w:r>
        <w:rPr>
          <w:rFonts w:hint="eastAsia" w:ascii="宋体" w:hAnsi="宋体" w:cs="宋体"/>
          <w:color w:val="auto"/>
          <w:sz w:val="24"/>
          <w:highlight w:val="none"/>
          <w:u w:val="single"/>
        </w:rPr>
        <w:t>（企业名称）</w:t>
      </w:r>
      <w:r>
        <w:rPr>
          <w:rFonts w:hint="eastAsia" w:ascii="宋体" w:hAnsi="宋体" w:cs="宋体"/>
          <w:color w:val="auto"/>
          <w:sz w:val="24"/>
          <w:highlight w:val="none"/>
        </w:rPr>
        <w:t xml:space="preserve"> ，从业人员</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人，营业收入为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万元，资产总额为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万元属于</w:t>
      </w:r>
      <w:r>
        <w:rPr>
          <w:rFonts w:hint="eastAsia" w:ascii="宋体" w:hAnsi="宋体" w:cs="宋体"/>
          <w:color w:val="auto"/>
          <w:sz w:val="24"/>
          <w:highlight w:val="none"/>
          <w:u w:val="single"/>
        </w:rPr>
        <w:t xml:space="preserve"> （中型企业、小型企业、微型企业） </w:t>
      </w:r>
      <w:r>
        <w:rPr>
          <w:rFonts w:hint="eastAsia" w:ascii="宋体" w:hAnsi="宋体" w:cs="宋体"/>
          <w:color w:val="auto"/>
          <w:sz w:val="24"/>
          <w:highlight w:val="none"/>
        </w:rPr>
        <w:t>；</w:t>
      </w:r>
    </w:p>
    <w:p w14:paraId="69FAC75B">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w:t>
      </w:r>
    </w:p>
    <w:p w14:paraId="4F80A922">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以上企业，不属于大企业的分支机构，不存在控股股东为大企业的情形，也不存在与大企业的负责人为同一人的情形。</w:t>
      </w:r>
    </w:p>
    <w:p w14:paraId="6B4886C8">
      <w:pPr>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本企业对上述声明内容的真实性负责。如有虚假，将依法承担相应责任。</w:t>
      </w:r>
    </w:p>
    <w:p w14:paraId="730F6F00">
      <w:pPr>
        <w:snapToGrid w:val="0"/>
        <w:spacing w:line="360" w:lineRule="auto"/>
        <w:ind w:firstLine="5160" w:firstLineChars="2150"/>
        <w:rPr>
          <w:rFonts w:ascii="宋体" w:hAnsi="宋体" w:cs="宋体"/>
          <w:color w:val="auto"/>
          <w:kern w:val="0"/>
          <w:sz w:val="24"/>
          <w:highlight w:val="none"/>
        </w:rPr>
      </w:pPr>
      <w:r>
        <w:rPr>
          <w:rFonts w:hint="eastAsia" w:ascii="宋体" w:hAnsi="宋体" w:cs="宋体"/>
          <w:color w:val="auto"/>
          <w:kern w:val="0"/>
          <w:sz w:val="24"/>
          <w:highlight w:val="none"/>
          <w:lang w:val="zh-CN"/>
        </w:rPr>
        <w:t>投标人名称(公章)：</w:t>
      </w:r>
    </w:p>
    <w:p w14:paraId="58CE30F2">
      <w:pPr>
        <w:snapToGrid w:val="0"/>
        <w:spacing w:line="360" w:lineRule="auto"/>
        <w:rPr>
          <w:rFonts w:ascii="宋体" w:hAnsi="宋体" w:cs="宋体"/>
          <w:color w:val="auto"/>
          <w:kern w:val="0"/>
          <w:sz w:val="24"/>
          <w:highlight w:val="none"/>
          <w:lang w:val="zh-CN"/>
        </w:rPr>
      </w:pPr>
      <w:r>
        <w:rPr>
          <w:rFonts w:hint="eastAsia" w:ascii="宋体" w:hAnsi="宋体" w:cs="宋体"/>
          <w:color w:val="auto"/>
          <w:kern w:val="0"/>
          <w:sz w:val="24"/>
          <w:highlight w:val="none"/>
          <w:lang w:val="zh-CN"/>
        </w:rPr>
        <w:t xml:space="preserve">                                           日期</w:t>
      </w:r>
      <w:r>
        <w:rPr>
          <w:rFonts w:hint="eastAsia" w:ascii="宋体" w:hAnsi="宋体" w:cs="宋体"/>
          <w:color w:val="auto"/>
          <w:kern w:val="0"/>
          <w:sz w:val="24"/>
          <w:highlight w:val="none"/>
        </w:rPr>
        <w:t xml:space="preserve">：  年  </w:t>
      </w:r>
      <w:r>
        <w:rPr>
          <w:rFonts w:hint="eastAsia" w:ascii="宋体" w:hAnsi="宋体" w:cs="宋体"/>
          <w:color w:val="auto"/>
          <w:kern w:val="0"/>
          <w:sz w:val="24"/>
          <w:highlight w:val="none"/>
          <w:lang w:val="zh-CN"/>
        </w:rPr>
        <w:t>月</w:t>
      </w:r>
      <w:r>
        <w:rPr>
          <w:rFonts w:hint="eastAsia" w:ascii="宋体" w:hAnsi="宋体" w:cs="宋体"/>
          <w:color w:val="auto"/>
          <w:kern w:val="0"/>
          <w:sz w:val="24"/>
          <w:highlight w:val="none"/>
        </w:rPr>
        <w:t xml:space="preserve">   </w:t>
      </w:r>
      <w:r>
        <w:rPr>
          <w:rFonts w:hint="eastAsia" w:ascii="宋体" w:hAnsi="宋体" w:cs="宋体"/>
          <w:color w:val="auto"/>
          <w:kern w:val="0"/>
          <w:sz w:val="24"/>
          <w:highlight w:val="none"/>
          <w:lang w:val="zh-CN"/>
        </w:rPr>
        <w:t>日</w:t>
      </w:r>
    </w:p>
    <w:p w14:paraId="076C51F8">
      <w:pPr>
        <w:spacing w:line="360" w:lineRule="auto"/>
        <w:ind w:right="420"/>
        <w:rPr>
          <w:rFonts w:ascii="宋体" w:hAnsi="宋体" w:cs="宋体"/>
          <w:color w:val="auto"/>
          <w:sz w:val="24"/>
          <w:highlight w:val="none"/>
        </w:rPr>
      </w:pPr>
    </w:p>
    <w:p w14:paraId="1283E46C">
      <w:pPr>
        <w:spacing w:line="360" w:lineRule="auto"/>
        <w:ind w:right="420"/>
        <w:rPr>
          <w:rFonts w:ascii="宋体" w:hAnsi="宋体" w:cs="宋体"/>
          <w:color w:val="auto"/>
          <w:sz w:val="24"/>
          <w:highlight w:val="none"/>
        </w:rPr>
      </w:pPr>
      <w:r>
        <w:rPr>
          <w:rFonts w:hint="eastAsia" w:ascii="宋体" w:hAnsi="宋体" w:cs="宋体"/>
          <w:color w:val="auto"/>
          <w:sz w:val="24"/>
          <w:highlight w:val="none"/>
        </w:rPr>
        <w:t xml:space="preserve">   注：</w:t>
      </w:r>
    </w:p>
    <w:p w14:paraId="705F03DF">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6AD8F3C3">
      <w:pPr>
        <w:spacing w:line="360" w:lineRule="auto"/>
        <w:ind w:right="420" w:firstLine="720" w:firstLineChars="300"/>
        <w:rPr>
          <w:rFonts w:ascii="宋体" w:hAnsi="宋体" w:cs="宋体"/>
          <w:color w:val="auto"/>
          <w:sz w:val="24"/>
          <w:highlight w:val="none"/>
        </w:rPr>
      </w:pPr>
      <w:r>
        <w:rPr>
          <w:rFonts w:hint="eastAsia" w:ascii="宋体" w:hAnsi="宋体" w:cs="宋体"/>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452C3931">
      <w:pPr>
        <w:pStyle w:val="83"/>
        <w:rPr>
          <w:color w:val="auto"/>
          <w:highlight w:val="none"/>
        </w:rPr>
      </w:pPr>
    </w:p>
    <w:p w14:paraId="4661E49F">
      <w:pPr>
        <w:spacing w:line="360" w:lineRule="auto"/>
        <w:ind w:right="420"/>
        <w:rPr>
          <w:rFonts w:ascii="宋体" w:hAnsi="宋体" w:cs="宋体"/>
          <w:color w:val="auto"/>
          <w:highlight w:val="none"/>
        </w:rPr>
      </w:pPr>
      <w:r>
        <w:rPr>
          <w:rFonts w:ascii="宋体" w:hAnsi="宋体" w:cs="宋体"/>
          <w:color w:val="auto"/>
          <w:highlight w:val="none"/>
        </w:rPr>
        <w:br w:type="page"/>
      </w:r>
    </w:p>
    <w:p w14:paraId="0802647A">
      <w:pPr>
        <w:snapToGrid w:val="0"/>
        <w:spacing w:line="360" w:lineRule="auto"/>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附件8：关于符合本国产品标准的声明函</w:t>
      </w:r>
    </w:p>
    <w:p w14:paraId="5B6655A8">
      <w:pPr>
        <w:spacing w:line="360" w:lineRule="auto"/>
        <w:jc w:val="center"/>
        <w:rPr>
          <w:rFonts w:ascii="宋体" w:hAnsi="宋体" w:cs="宋体"/>
          <w:color w:val="auto"/>
          <w:sz w:val="24"/>
          <w:highlight w:val="none"/>
          <w:u w:val="single"/>
        </w:rPr>
      </w:pPr>
    </w:p>
    <w:p w14:paraId="7CA55C2E">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关于符合本国产品标准的声明函</w:t>
      </w:r>
    </w:p>
    <w:p w14:paraId="43F7B334">
      <w:pPr>
        <w:spacing w:line="360" w:lineRule="auto"/>
        <w:ind w:right="420" w:firstLine="480" w:firstLineChars="200"/>
        <w:rPr>
          <w:rFonts w:ascii="宋体" w:hAnsi="宋体" w:cs="宋体"/>
          <w:color w:val="auto"/>
          <w:sz w:val="24"/>
          <w:highlight w:val="none"/>
        </w:rPr>
      </w:pPr>
    </w:p>
    <w:p w14:paraId="519933D1">
      <w:pPr>
        <w:spacing w:line="360" w:lineRule="auto"/>
        <w:ind w:right="420" w:firstLine="480" w:firstLineChars="200"/>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本公司（单位）郑重声明，根据《国务院办公厅关于在政府采购中实施本国产品标准及相关政策的通知》（国办发〔2025〕34号）的规定，本公司（单位）提供的以下产品属于本国产品。具体情况如下：</w:t>
      </w:r>
    </w:p>
    <w:p w14:paraId="6CA71F0D">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w:t>
      </w:r>
      <w:r>
        <w:rPr>
          <w:rFonts w:hint="eastAsia" w:ascii="宋体" w:hAnsi="宋体" w:cs="宋体"/>
          <w:color w:val="auto"/>
          <w:sz w:val="24"/>
          <w:highlight w:val="none"/>
          <w:u w:val="single"/>
        </w:rPr>
        <w:t>（产品名称1）</w:t>
      </w:r>
      <w:r>
        <w:rPr>
          <w:rFonts w:hint="eastAsia" w:ascii="宋体" w:hAnsi="宋体" w:cs="宋体"/>
          <w:color w:val="auto"/>
          <w:sz w:val="24"/>
          <w:highlight w:val="none"/>
        </w:rPr>
        <w:t>1，生产厂为</w:t>
      </w:r>
      <w:r>
        <w:rPr>
          <w:rFonts w:hint="eastAsia" w:ascii="宋体" w:hAnsi="宋体" w:cs="宋体"/>
          <w:color w:val="auto"/>
          <w:sz w:val="24"/>
          <w:highlight w:val="none"/>
          <w:u w:val="single"/>
        </w:rPr>
        <w:t>（厂名）</w:t>
      </w:r>
      <w:r>
        <w:rPr>
          <w:rFonts w:hint="eastAsia" w:ascii="宋体" w:hAnsi="宋体" w:cs="宋体"/>
          <w:color w:val="auto"/>
          <w:sz w:val="24"/>
          <w:highlight w:val="none"/>
        </w:rPr>
        <w:t>2，厂址为</w:t>
      </w:r>
      <w:r>
        <w:rPr>
          <w:rFonts w:hint="eastAsia" w:ascii="宋体" w:hAnsi="宋体" w:cs="宋体"/>
          <w:color w:val="auto"/>
          <w:sz w:val="24"/>
          <w:highlight w:val="none"/>
          <w:u w:val="single"/>
        </w:rPr>
        <w:t>（生产厂址）</w:t>
      </w:r>
      <w:r>
        <w:rPr>
          <w:rFonts w:hint="eastAsia" w:ascii="宋体" w:hAnsi="宋体" w:cs="宋体"/>
          <w:color w:val="auto"/>
          <w:sz w:val="24"/>
          <w:highlight w:val="none"/>
        </w:rPr>
        <w:t>。</w:t>
      </w:r>
      <w:r>
        <w:rPr>
          <w:rFonts w:hint="eastAsia" w:ascii="宋体" w:hAnsi="宋体" w:cs="宋体"/>
          <w:color w:val="auto"/>
          <w:sz w:val="24"/>
          <w:highlight w:val="none"/>
          <w:u w:val="single"/>
        </w:rPr>
        <w:t>（产品名称1）</w:t>
      </w:r>
      <w:r>
        <w:rPr>
          <w:rFonts w:hint="eastAsia" w:ascii="宋体" w:hAnsi="宋体" w:cs="宋体"/>
          <w:color w:val="auto"/>
          <w:sz w:val="24"/>
          <w:highlight w:val="none"/>
        </w:rPr>
        <w:t>的中国境内生产的组件成本占比≥</w:t>
      </w:r>
      <w:r>
        <w:rPr>
          <w:rFonts w:hint="eastAsia" w:ascii="宋体" w:hAnsi="宋体" w:cs="宋体"/>
          <w:color w:val="auto"/>
          <w:sz w:val="24"/>
          <w:highlight w:val="none"/>
          <w:u w:val="single"/>
        </w:rPr>
        <w:t>（规定比例）</w:t>
      </w:r>
      <w:r>
        <w:rPr>
          <w:rFonts w:hint="eastAsia" w:ascii="宋体" w:hAnsi="宋体" w:cs="宋体"/>
          <w:color w:val="auto"/>
          <w:sz w:val="24"/>
          <w:highlight w:val="none"/>
        </w:rPr>
        <w:t>3。</w:t>
      </w:r>
      <w:r>
        <w:rPr>
          <w:rFonts w:hint="eastAsia" w:ascii="宋体" w:hAnsi="宋体" w:cs="宋体"/>
          <w:color w:val="auto"/>
          <w:sz w:val="24"/>
          <w:highlight w:val="none"/>
          <w:u w:val="single"/>
        </w:rPr>
        <w:t>（产品名称1）</w:t>
      </w:r>
      <w:r>
        <w:rPr>
          <w:rFonts w:hint="eastAsia" w:ascii="宋体" w:hAnsi="宋体" w:cs="宋体"/>
          <w:color w:val="auto"/>
          <w:sz w:val="24"/>
          <w:highlight w:val="none"/>
        </w:rPr>
        <w:t>的</w:t>
      </w:r>
      <w:r>
        <w:rPr>
          <w:rFonts w:hint="eastAsia" w:ascii="宋体" w:hAnsi="宋体" w:cs="宋体"/>
          <w:color w:val="auto"/>
          <w:sz w:val="24"/>
          <w:highlight w:val="none"/>
          <w:u w:val="single"/>
        </w:rPr>
        <w:t>（关键组件）</w:t>
      </w:r>
      <w:r>
        <w:rPr>
          <w:rFonts w:hint="eastAsia" w:ascii="宋体" w:hAnsi="宋体" w:cs="宋体"/>
          <w:color w:val="auto"/>
          <w:sz w:val="24"/>
          <w:highlight w:val="none"/>
        </w:rPr>
        <w:t>4在中国境内生产。</w:t>
      </w:r>
      <w:r>
        <w:rPr>
          <w:rFonts w:hint="eastAsia" w:ascii="宋体" w:hAnsi="宋体" w:cs="宋体"/>
          <w:color w:val="auto"/>
          <w:sz w:val="24"/>
          <w:highlight w:val="none"/>
          <w:u w:val="single"/>
        </w:rPr>
        <w:t>（产品名称1）</w:t>
      </w:r>
      <w:r>
        <w:rPr>
          <w:rFonts w:hint="eastAsia" w:ascii="宋体" w:hAnsi="宋体" w:cs="宋体"/>
          <w:color w:val="auto"/>
          <w:sz w:val="24"/>
          <w:highlight w:val="none"/>
        </w:rPr>
        <w:t>的</w:t>
      </w:r>
      <w:r>
        <w:rPr>
          <w:rFonts w:hint="eastAsia" w:ascii="宋体" w:hAnsi="宋体" w:cs="宋体"/>
          <w:color w:val="auto"/>
          <w:sz w:val="24"/>
          <w:highlight w:val="none"/>
          <w:u w:val="single"/>
        </w:rPr>
        <w:t>（关键工序）</w:t>
      </w:r>
      <w:r>
        <w:rPr>
          <w:rFonts w:hint="eastAsia" w:ascii="宋体" w:hAnsi="宋体" w:cs="宋体"/>
          <w:color w:val="auto"/>
          <w:sz w:val="24"/>
          <w:highlight w:val="none"/>
        </w:rPr>
        <w:t>5在中国境内完成。</w:t>
      </w:r>
    </w:p>
    <w:p w14:paraId="645CABF8">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，生产厂为</w:t>
      </w:r>
      <w:r>
        <w:rPr>
          <w:rFonts w:hint="eastAsia" w:ascii="宋体" w:hAnsi="宋体" w:cs="宋体"/>
          <w:color w:val="auto"/>
          <w:sz w:val="24"/>
          <w:highlight w:val="none"/>
          <w:u w:val="single"/>
        </w:rPr>
        <w:t>（厂名）</w:t>
      </w:r>
      <w:r>
        <w:rPr>
          <w:rFonts w:hint="eastAsia" w:ascii="宋体" w:hAnsi="宋体" w:cs="宋体"/>
          <w:color w:val="auto"/>
          <w:sz w:val="24"/>
          <w:highlight w:val="none"/>
        </w:rPr>
        <w:t>，厂址为</w:t>
      </w:r>
      <w:r>
        <w:rPr>
          <w:rFonts w:hint="eastAsia" w:ascii="宋体" w:hAnsi="宋体" w:cs="宋体"/>
          <w:color w:val="auto"/>
          <w:sz w:val="24"/>
          <w:highlight w:val="none"/>
          <w:u w:val="single"/>
        </w:rPr>
        <w:t>（生产厂址）</w:t>
      </w:r>
      <w:r>
        <w:rPr>
          <w:rFonts w:hint="eastAsia" w:ascii="宋体" w:hAnsi="宋体" w:cs="宋体"/>
          <w:color w:val="auto"/>
          <w:sz w:val="24"/>
          <w:highlight w:val="none"/>
        </w:rPr>
        <w:t>。</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的中国境内生产的组件成本占比≥</w:t>
      </w:r>
      <w:r>
        <w:rPr>
          <w:rFonts w:hint="eastAsia" w:ascii="宋体" w:hAnsi="宋体" w:cs="宋体"/>
          <w:color w:val="auto"/>
          <w:sz w:val="24"/>
          <w:highlight w:val="none"/>
          <w:u w:val="single"/>
        </w:rPr>
        <w:t>（规定比例）</w:t>
      </w:r>
      <w:r>
        <w:rPr>
          <w:rFonts w:hint="eastAsia" w:ascii="宋体" w:hAnsi="宋体" w:cs="宋体"/>
          <w:color w:val="auto"/>
          <w:sz w:val="24"/>
          <w:highlight w:val="none"/>
        </w:rPr>
        <w:t>。</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的</w:t>
      </w:r>
      <w:r>
        <w:rPr>
          <w:rFonts w:hint="eastAsia" w:ascii="宋体" w:hAnsi="宋体" w:cs="宋体"/>
          <w:color w:val="auto"/>
          <w:sz w:val="24"/>
          <w:highlight w:val="none"/>
          <w:u w:val="single"/>
        </w:rPr>
        <w:t>（关键组件）</w:t>
      </w:r>
      <w:r>
        <w:rPr>
          <w:rFonts w:hint="eastAsia" w:ascii="宋体" w:hAnsi="宋体" w:cs="宋体"/>
          <w:color w:val="auto"/>
          <w:sz w:val="24"/>
          <w:highlight w:val="none"/>
        </w:rPr>
        <w:t>在中国境内生产。</w:t>
      </w:r>
      <w:r>
        <w:rPr>
          <w:rFonts w:hint="eastAsia" w:ascii="宋体" w:hAnsi="宋体" w:cs="宋体"/>
          <w:color w:val="auto"/>
          <w:sz w:val="24"/>
          <w:highlight w:val="none"/>
          <w:u w:val="single"/>
        </w:rPr>
        <w:t>（产品名称2）</w:t>
      </w:r>
      <w:r>
        <w:rPr>
          <w:rFonts w:hint="eastAsia" w:ascii="宋体" w:hAnsi="宋体" w:cs="宋体"/>
          <w:color w:val="auto"/>
          <w:sz w:val="24"/>
          <w:highlight w:val="none"/>
        </w:rPr>
        <w:t>的</w:t>
      </w:r>
      <w:r>
        <w:rPr>
          <w:rFonts w:hint="eastAsia" w:ascii="宋体" w:hAnsi="宋体" w:cs="宋体"/>
          <w:color w:val="auto"/>
          <w:sz w:val="24"/>
          <w:highlight w:val="none"/>
          <w:u w:val="single"/>
        </w:rPr>
        <w:t>（关键工序）</w:t>
      </w:r>
      <w:r>
        <w:rPr>
          <w:rFonts w:hint="eastAsia" w:ascii="宋体" w:hAnsi="宋体" w:cs="宋体"/>
          <w:color w:val="auto"/>
          <w:sz w:val="24"/>
          <w:highlight w:val="none"/>
        </w:rPr>
        <w:t>在中国境内完成。</w:t>
      </w:r>
    </w:p>
    <w:p w14:paraId="76B77C48">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w:t>
      </w:r>
    </w:p>
    <w:p w14:paraId="3C805FE4">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518DFCA6">
      <w:pPr>
        <w:spacing w:line="360" w:lineRule="auto"/>
        <w:ind w:right="420" w:firstLine="480" w:firstLineChars="200"/>
        <w:rPr>
          <w:rFonts w:ascii="宋体" w:hAnsi="宋体" w:cs="宋体"/>
          <w:color w:val="auto"/>
          <w:sz w:val="24"/>
          <w:highlight w:val="none"/>
        </w:rPr>
      </w:pPr>
    </w:p>
    <w:p w14:paraId="57412750">
      <w:pPr>
        <w:spacing w:line="360" w:lineRule="auto"/>
        <w:ind w:right="420" w:firstLine="480" w:firstLineChars="200"/>
        <w:jc w:val="right"/>
        <w:rPr>
          <w:rFonts w:ascii="宋体" w:hAnsi="宋体" w:cs="宋体"/>
          <w:color w:val="auto"/>
          <w:sz w:val="24"/>
          <w:highlight w:val="none"/>
        </w:rPr>
      </w:pPr>
      <w:r>
        <w:rPr>
          <w:rFonts w:hint="eastAsia" w:ascii="宋体" w:hAnsi="宋体" w:cs="宋体"/>
          <w:color w:val="auto"/>
          <w:sz w:val="24"/>
          <w:highlight w:val="none"/>
        </w:rPr>
        <w:t>公司（单位）名称（盖章）：　</w:t>
      </w:r>
      <w:r>
        <w:rPr>
          <w:rFonts w:ascii="宋体" w:hAnsi="宋体" w:cs="宋体"/>
          <w:color w:val="auto"/>
          <w:sz w:val="24"/>
          <w:highlight w:val="none"/>
        </w:rPr>
        <w:t>        </w:t>
      </w:r>
    </w:p>
    <w:p w14:paraId="3824F089">
      <w:pPr>
        <w:spacing w:line="360" w:lineRule="auto"/>
        <w:ind w:right="180" w:firstLine="480" w:firstLineChars="200"/>
        <w:jc w:val="right"/>
        <w:rPr>
          <w:rFonts w:ascii="宋体" w:hAnsi="宋体" w:cs="宋体"/>
          <w:color w:val="auto"/>
          <w:sz w:val="24"/>
          <w:highlight w:val="none"/>
        </w:rPr>
      </w:pPr>
      <w:r>
        <w:rPr>
          <w:rFonts w:hint="eastAsia" w:ascii="宋体" w:hAnsi="宋体" w:cs="宋体"/>
          <w:color w:val="auto"/>
          <w:sz w:val="24"/>
          <w:highlight w:val="none"/>
        </w:rPr>
        <w:t>日期：</w:t>
      </w:r>
      <w:r>
        <w:rPr>
          <w:rFonts w:ascii="宋体" w:hAnsi="宋体" w:cs="宋体"/>
          <w:color w:val="auto"/>
          <w:sz w:val="24"/>
          <w:highlight w:val="none"/>
        </w:rPr>
        <w:t> </w:t>
      </w:r>
      <w:r>
        <w:rPr>
          <w:rFonts w:hint="eastAsia" w:ascii="宋体" w:hAnsi="宋体" w:cs="宋体"/>
          <w:color w:val="auto"/>
          <w:sz w:val="24"/>
          <w:highlight w:val="none"/>
        </w:rPr>
        <w:t xml:space="preserve">  </w:t>
      </w:r>
      <w:r>
        <w:rPr>
          <w:rFonts w:ascii="宋体" w:hAnsi="宋体" w:cs="宋体"/>
          <w:color w:val="auto"/>
          <w:sz w:val="24"/>
          <w:highlight w:val="none"/>
        </w:rPr>
        <w:t> </w:t>
      </w:r>
      <w:r>
        <w:rPr>
          <w:rFonts w:hint="eastAsia" w:ascii="宋体" w:hAnsi="宋体" w:cs="宋体"/>
          <w:color w:val="auto"/>
          <w:sz w:val="24"/>
          <w:highlight w:val="none"/>
        </w:rPr>
        <w:t>年 　</w:t>
      </w:r>
      <w:r>
        <w:rPr>
          <w:rFonts w:ascii="宋体" w:hAnsi="宋体" w:cs="宋体"/>
          <w:color w:val="auto"/>
          <w:sz w:val="24"/>
          <w:highlight w:val="none"/>
        </w:rPr>
        <w:t> </w:t>
      </w:r>
      <w:r>
        <w:rPr>
          <w:rFonts w:hint="eastAsia" w:ascii="宋体" w:hAnsi="宋体" w:cs="宋体"/>
          <w:color w:val="auto"/>
          <w:sz w:val="24"/>
          <w:highlight w:val="none"/>
        </w:rPr>
        <w:t xml:space="preserve">月　 </w:t>
      </w:r>
      <w:r>
        <w:rPr>
          <w:rFonts w:ascii="宋体" w:hAnsi="宋体" w:cs="宋体"/>
          <w:color w:val="auto"/>
          <w:sz w:val="24"/>
          <w:highlight w:val="none"/>
        </w:rPr>
        <w:t> </w:t>
      </w:r>
      <w:r>
        <w:rPr>
          <w:rFonts w:hint="eastAsia" w:ascii="宋体" w:hAnsi="宋体" w:cs="宋体"/>
          <w:color w:val="auto"/>
          <w:sz w:val="24"/>
          <w:highlight w:val="none"/>
        </w:rPr>
        <w:t>日</w:t>
      </w:r>
      <w:r>
        <w:rPr>
          <w:rFonts w:ascii="宋体" w:hAnsi="宋体" w:cs="宋体"/>
          <w:color w:val="auto"/>
          <w:sz w:val="24"/>
          <w:highlight w:val="none"/>
        </w:rPr>
        <w:t>         </w:t>
      </w:r>
    </w:p>
    <w:p w14:paraId="5093284B">
      <w:pPr>
        <w:spacing w:line="360" w:lineRule="auto"/>
        <w:ind w:right="420" w:firstLine="480" w:firstLineChars="200"/>
        <w:rPr>
          <w:rFonts w:ascii="宋体" w:hAnsi="宋体" w:cs="宋体"/>
          <w:color w:val="auto"/>
          <w:sz w:val="24"/>
          <w:highlight w:val="none"/>
        </w:rPr>
      </w:pPr>
    </w:p>
    <w:p w14:paraId="213131A9">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注：</w:t>
      </w:r>
    </w:p>
    <w:p w14:paraId="5DDCF757">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1.产品如有型号，请在“产品名称”栏一并填写。</w:t>
      </w:r>
    </w:p>
    <w:p w14:paraId="79D9DAD0">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2.生产厂名与厂址应与生产厂营业执照载明的相关信息保持一致。</w:t>
      </w:r>
    </w:p>
    <w:p w14:paraId="75315DCE">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3.该产品的中国境内生产的组件成本占比相关要求实施前，“规定比例”栏可不填，下同。</w:t>
      </w:r>
    </w:p>
    <w:p w14:paraId="588C3D2C">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4.该产品的关键组件要求实施前，“关键组件”栏可不填，下同。</w:t>
      </w:r>
    </w:p>
    <w:p w14:paraId="31269751">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5.该产品的关键工序要求实施前，“关键工序”栏可不填，下同。</w:t>
      </w:r>
    </w:p>
    <w:p w14:paraId="1BC780D9">
      <w:pPr>
        <w:spacing w:line="360" w:lineRule="auto"/>
        <w:jc w:val="center"/>
        <w:rPr>
          <w:rFonts w:ascii="宋体" w:hAnsi="宋体" w:cs="宋体"/>
          <w:b/>
          <w:color w:val="auto"/>
          <w:sz w:val="32"/>
          <w:szCs w:val="32"/>
          <w:highlight w:val="none"/>
        </w:rPr>
      </w:pPr>
    </w:p>
    <w:p w14:paraId="06134546">
      <w:pPr>
        <w:spacing w:line="360" w:lineRule="auto"/>
        <w:jc w:val="center"/>
        <w:rPr>
          <w:rFonts w:ascii="宋体" w:hAnsi="宋体" w:cs="宋体"/>
          <w:b/>
          <w:color w:val="auto"/>
          <w:sz w:val="32"/>
          <w:szCs w:val="32"/>
          <w:highlight w:val="none"/>
        </w:rPr>
      </w:pPr>
    </w:p>
    <w:p w14:paraId="636D436A">
      <w:pPr>
        <w:snapToGrid w:val="0"/>
        <w:spacing w:line="360" w:lineRule="auto"/>
        <w:jc w:val="left"/>
        <w:rPr>
          <w:rFonts w:ascii="宋体" w:hAnsi="宋体" w:cs="宋体"/>
          <w:b/>
          <w:color w:val="auto"/>
          <w:kern w:val="0"/>
          <w:sz w:val="32"/>
          <w:szCs w:val="32"/>
          <w:highlight w:val="none"/>
        </w:rPr>
      </w:pPr>
      <w:r>
        <w:rPr>
          <w:rFonts w:hint="eastAsia" w:ascii="宋体" w:hAnsi="宋体" w:cs="宋体"/>
          <w:b/>
          <w:color w:val="auto"/>
          <w:kern w:val="0"/>
          <w:sz w:val="32"/>
          <w:szCs w:val="32"/>
          <w:highlight w:val="none"/>
        </w:rPr>
        <w:t>附件9：关于符合本国产品标准的产品成本之和占所提供的全部产品成本之和的比例达到80%以上的声明函</w:t>
      </w:r>
    </w:p>
    <w:p w14:paraId="5F84B6AC">
      <w:pPr>
        <w:spacing w:line="360" w:lineRule="auto"/>
        <w:jc w:val="center"/>
        <w:rPr>
          <w:rFonts w:ascii="宋体" w:hAnsi="宋体" w:cs="宋体"/>
          <w:b/>
          <w:color w:val="auto"/>
          <w:sz w:val="32"/>
          <w:szCs w:val="32"/>
          <w:highlight w:val="none"/>
        </w:rPr>
      </w:pPr>
    </w:p>
    <w:p w14:paraId="06D75C72">
      <w:pPr>
        <w:spacing w:line="360" w:lineRule="auto"/>
        <w:jc w:val="center"/>
        <w:rPr>
          <w:rFonts w:ascii="宋体" w:hAnsi="宋体" w:cs="宋体"/>
          <w:b/>
          <w:color w:val="auto"/>
          <w:sz w:val="32"/>
          <w:szCs w:val="32"/>
          <w:highlight w:val="none"/>
        </w:rPr>
      </w:pPr>
      <w:r>
        <w:rPr>
          <w:rFonts w:hint="eastAsia" w:ascii="宋体" w:hAnsi="宋体" w:cs="宋体"/>
          <w:b/>
          <w:color w:val="auto"/>
          <w:sz w:val="32"/>
          <w:szCs w:val="32"/>
          <w:highlight w:val="none"/>
        </w:rPr>
        <w:t>关于符合本国产品标准的产品成本之和占所提供的全部产品成本之和的比例达到80%以上的声明函</w:t>
      </w:r>
    </w:p>
    <w:p w14:paraId="1908FCAF">
      <w:pPr>
        <w:spacing w:line="360" w:lineRule="auto"/>
        <w:ind w:right="420" w:firstLine="480" w:firstLineChars="200"/>
        <w:rPr>
          <w:rFonts w:ascii="宋体" w:hAnsi="宋体" w:cs="宋体"/>
          <w:color w:val="auto"/>
          <w:sz w:val="24"/>
          <w:highlight w:val="none"/>
        </w:rPr>
      </w:pPr>
    </w:p>
    <w:p w14:paraId="40200D63">
      <w:pPr>
        <w:spacing w:line="360" w:lineRule="auto"/>
        <w:ind w:right="420" w:firstLine="480" w:firstLineChars="200"/>
        <w:rPr>
          <w:rFonts w:ascii="宋体" w:hAnsi="宋体" w:cs="宋体"/>
          <w:color w:val="auto"/>
          <w:sz w:val="24"/>
          <w:highlight w:val="none"/>
        </w:rPr>
      </w:pPr>
      <w:r>
        <w:rPr>
          <w:rFonts w:ascii="宋体" w:hAnsi="宋体" w:cs="宋体"/>
          <w:color w:val="auto"/>
          <w:sz w:val="24"/>
          <w:highlight w:val="none"/>
        </w:rPr>
        <w:t xml:space="preserve"> </w:t>
      </w:r>
      <w:r>
        <w:rPr>
          <w:rFonts w:hint="eastAsia" w:ascii="宋体" w:hAnsi="宋体" w:cs="宋体"/>
          <w:color w:val="auto"/>
          <w:sz w:val="24"/>
          <w:highlight w:val="none"/>
        </w:rPr>
        <w:t>本公司（单位）郑重声明，根据《国务院办公厅关于在政府采购中实施本国产品标准及相关政策的通知》（国办发〔2025〕34号）的规定，本公司（单位）本次投标所提供的符合本国产品标准的产品成本之和占我公司（单位）本次投标所提供的全部产品（全部产品是指货物或服务采购项目或采购包中包含的全部货物、服务产品）成本之和的比例达到80%以上。</w:t>
      </w:r>
    </w:p>
    <w:p w14:paraId="443F1EDE">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本公司（单位）对上述声明内容的真实性负责。如有虚假，愿承担相应法律责任。</w:t>
      </w:r>
    </w:p>
    <w:p w14:paraId="50B8A6F3">
      <w:pPr>
        <w:spacing w:line="360" w:lineRule="auto"/>
        <w:ind w:right="420" w:firstLine="480" w:firstLineChars="200"/>
        <w:rPr>
          <w:rFonts w:ascii="宋体" w:hAnsi="宋体" w:cs="宋体"/>
          <w:color w:val="auto"/>
          <w:sz w:val="24"/>
          <w:highlight w:val="none"/>
        </w:rPr>
      </w:pPr>
    </w:p>
    <w:p w14:paraId="25CFBDE7">
      <w:pPr>
        <w:spacing w:line="360" w:lineRule="auto"/>
        <w:ind w:right="420" w:firstLine="480" w:firstLineChars="200"/>
        <w:jc w:val="right"/>
        <w:rPr>
          <w:rFonts w:ascii="宋体" w:hAnsi="宋体" w:cs="宋体"/>
          <w:color w:val="auto"/>
          <w:sz w:val="24"/>
          <w:highlight w:val="none"/>
        </w:rPr>
      </w:pPr>
      <w:r>
        <w:rPr>
          <w:rFonts w:hint="eastAsia" w:ascii="宋体" w:hAnsi="宋体" w:cs="宋体"/>
          <w:color w:val="auto"/>
          <w:sz w:val="24"/>
          <w:highlight w:val="none"/>
        </w:rPr>
        <w:t>公司（单位）名称（盖章）：　</w:t>
      </w:r>
      <w:r>
        <w:rPr>
          <w:rFonts w:ascii="宋体" w:hAnsi="宋体" w:cs="宋体"/>
          <w:color w:val="auto"/>
          <w:sz w:val="24"/>
          <w:highlight w:val="none"/>
        </w:rPr>
        <w:t>        </w:t>
      </w:r>
    </w:p>
    <w:p w14:paraId="3653C157">
      <w:pPr>
        <w:spacing w:line="360" w:lineRule="auto"/>
        <w:ind w:right="180" w:firstLine="480" w:firstLineChars="200"/>
        <w:jc w:val="right"/>
        <w:rPr>
          <w:rFonts w:ascii="宋体" w:hAnsi="宋体" w:cs="宋体"/>
          <w:color w:val="auto"/>
          <w:sz w:val="24"/>
          <w:highlight w:val="none"/>
        </w:rPr>
      </w:pPr>
      <w:r>
        <w:rPr>
          <w:rFonts w:hint="eastAsia" w:ascii="宋体" w:hAnsi="宋体" w:cs="宋体"/>
          <w:color w:val="auto"/>
          <w:sz w:val="24"/>
          <w:highlight w:val="none"/>
        </w:rPr>
        <w:t>日期：</w:t>
      </w:r>
      <w:r>
        <w:rPr>
          <w:rFonts w:ascii="宋体" w:hAnsi="宋体" w:cs="宋体"/>
          <w:color w:val="auto"/>
          <w:sz w:val="24"/>
          <w:highlight w:val="none"/>
        </w:rPr>
        <w:t> </w:t>
      </w:r>
      <w:r>
        <w:rPr>
          <w:rFonts w:hint="eastAsia" w:ascii="宋体" w:hAnsi="宋体" w:cs="宋体"/>
          <w:color w:val="auto"/>
          <w:sz w:val="24"/>
          <w:highlight w:val="none"/>
        </w:rPr>
        <w:t xml:space="preserve">  </w:t>
      </w:r>
      <w:r>
        <w:rPr>
          <w:rFonts w:ascii="宋体" w:hAnsi="宋体" w:cs="宋体"/>
          <w:color w:val="auto"/>
          <w:sz w:val="24"/>
          <w:highlight w:val="none"/>
        </w:rPr>
        <w:t> </w:t>
      </w:r>
      <w:r>
        <w:rPr>
          <w:rFonts w:hint="eastAsia" w:ascii="宋体" w:hAnsi="宋体" w:cs="宋体"/>
          <w:color w:val="auto"/>
          <w:sz w:val="24"/>
          <w:highlight w:val="none"/>
        </w:rPr>
        <w:t>年 　</w:t>
      </w:r>
      <w:r>
        <w:rPr>
          <w:rFonts w:ascii="宋体" w:hAnsi="宋体" w:cs="宋体"/>
          <w:color w:val="auto"/>
          <w:sz w:val="24"/>
          <w:highlight w:val="none"/>
        </w:rPr>
        <w:t> </w:t>
      </w:r>
      <w:r>
        <w:rPr>
          <w:rFonts w:hint="eastAsia" w:ascii="宋体" w:hAnsi="宋体" w:cs="宋体"/>
          <w:color w:val="auto"/>
          <w:sz w:val="24"/>
          <w:highlight w:val="none"/>
        </w:rPr>
        <w:t xml:space="preserve">月　 </w:t>
      </w:r>
      <w:r>
        <w:rPr>
          <w:rFonts w:ascii="宋体" w:hAnsi="宋体" w:cs="宋体"/>
          <w:color w:val="auto"/>
          <w:sz w:val="24"/>
          <w:highlight w:val="none"/>
        </w:rPr>
        <w:t> </w:t>
      </w:r>
      <w:r>
        <w:rPr>
          <w:rFonts w:hint="eastAsia" w:ascii="宋体" w:hAnsi="宋体" w:cs="宋体"/>
          <w:color w:val="auto"/>
          <w:sz w:val="24"/>
          <w:highlight w:val="none"/>
        </w:rPr>
        <w:t>日</w:t>
      </w:r>
      <w:r>
        <w:rPr>
          <w:rFonts w:ascii="宋体" w:hAnsi="宋体" w:cs="宋体"/>
          <w:color w:val="auto"/>
          <w:sz w:val="24"/>
          <w:highlight w:val="none"/>
        </w:rPr>
        <w:t>         </w:t>
      </w:r>
    </w:p>
    <w:p w14:paraId="3C8E6232">
      <w:pPr>
        <w:spacing w:line="360" w:lineRule="auto"/>
        <w:ind w:right="420" w:firstLine="480" w:firstLineChars="200"/>
        <w:rPr>
          <w:rFonts w:ascii="宋体" w:hAnsi="宋体" w:cs="宋体"/>
          <w:color w:val="auto"/>
          <w:sz w:val="24"/>
          <w:highlight w:val="none"/>
        </w:rPr>
      </w:pPr>
    </w:p>
    <w:p w14:paraId="2045DF6D">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注：</w:t>
      </w:r>
    </w:p>
    <w:p w14:paraId="1BE329F7">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1.本声明函须同时提供关于符合本国产品标准的声明函或财政部会同有关部门规定的有关证明文件，否则不享受价格扣除政策。</w:t>
      </w:r>
    </w:p>
    <w:p w14:paraId="308FBD48">
      <w:pPr>
        <w:spacing w:line="360" w:lineRule="auto"/>
        <w:ind w:right="420" w:firstLine="480" w:firstLineChars="200"/>
        <w:rPr>
          <w:rFonts w:ascii="宋体" w:hAnsi="宋体" w:cs="宋体"/>
          <w:color w:val="auto"/>
          <w:sz w:val="24"/>
          <w:highlight w:val="none"/>
        </w:rPr>
      </w:pPr>
      <w:r>
        <w:rPr>
          <w:rFonts w:hint="eastAsia" w:ascii="宋体" w:hAnsi="宋体" w:cs="宋体"/>
          <w:color w:val="auto"/>
          <w:sz w:val="24"/>
          <w:highlight w:val="none"/>
        </w:rPr>
        <w:t>2.当采购项目或者采购包中含有多种产品，投标人拟享受该政策时提供。当采购项目或者采购包中仅含有单一产品时，无须提供本声明函。</w:t>
      </w:r>
    </w:p>
    <w:p w14:paraId="53325755">
      <w:pPr>
        <w:spacing w:line="360" w:lineRule="auto"/>
        <w:jc w:val="center"/>
        <w:rPr>
          <w:rFonts w:ascii="宋体" w:hAnsi="宋体" w:cs="宋体"/>
          <w:b/>
          <w:color w:val="auto"/>
          <w:sz w:val="32"/>
          <w:szCs w:val="32"/>
          <w:highlight w:val="none"/>
        </w:rPr>
      </w:pPr>
    </w:p>
    <w:p w14:paraId="04170F26">
      <w:pPr>
        <w:spacing w:line="360" w:lineRule="auto"/>
        <w:jc w:val="center"/>
        <w:rPr>
          <w:rFonts w:ascii="宋体" w:hAnsi="宋体" w:cs="宋体"/>
          <w:b/>
          <w:color w:val="auto"/>
          <w:sz w:val="32"/>
          <w:szCs w:val="32"/>
          <w:highlight w:val="none"/>
        </w:rPr>
      </w:pPr>
    </w:p>
    <w:p w14:paraId="476F9B99">
      <w:pPr>
        <w:spacing w:line="360" w:lineRule="auto"/>
        <w:jc w:val="center"/>
        <w:rPr>
          <w:rFonts w:ascii="宋体" w:hAnsi="宋体" w:cs="宋体"/>
          <w:b/>
          <w:color w:val="auto"/>
          <w:sz w:val="32"/>
          <w:szCs w:val="32"/>
          <w:highlight w:val="none"/>
        </w:rPr>
      </w:pPr>
    </w:p>
    <w:p w14:paraId="5120F615">
      <w:pPr>
        <w:spacing w:line="360" w:lineRule="auto"/>
        <w:rPr>
          <w:rFonts w:ascii="宋体" w:hAnsi="宋体" w:cs="宋体"/>
          <w:bCs/>
          <w:color w:val="auto"/>
          <w:sz w:val="24"/>
          <w:highlight w:val="none"/>
        </w:rPr>
      </w:pPr>
    </w:p>
    <w:p w14:paraId="17BC9FBA">
      <w:pPr>
        <w:spacing w:line="360" w:lineRule="auto"/>
        <w:rPr>
          <w:rFonts w:ascii="宋体" w:hAnsi="宋体" w:cs="宋体"/>
          <w:bCs/>
          <w:color w:val="auto"/>
          <w:sz w:val="24"/>
          <w:highlight w:val="none"/>
        </w:rPr>
      </w:pPr>
    </w:p>
    <w:sectPr>
      <w:headerReference r:id="rId25" w:type="first"/>
      <w:footerReference r:id="rId28" w:type="first"/>
      <w:headerReference r:id="rId24" w:type="default"/>
      <w:footerReference r:id="rId26" w:type="default"/>
      <w:footerReference r:id="rId27" w:type="even"/>
      <w:pgSz w:w="11906" w:h="16838"/>
      <w:pgMar w:top="1276" w:right="1418" w:bottom="1247" w:left="1418"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Book Antiqua">
    <w:panose1 w:val="02040602050305030304"/>
    <w:charset w:val="00"/>
    <w:family w:val="roman"/>
    <w:pitch w:val="default"/>
    <w:sig w:usb0="00000287" w:usb1="00000000" w:usb2="00000000" w:usb3="00000000" w:csb0="2000009F" w:csb1="DFD70000"/>
  </w:font>
  <w:font w:name="隶书">
    <w:panose1 w:val="0201050906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Futura Bk">
    <w:altName w:val="Segoe Print"/>
    <w:panose1 w:val="00000000000000000000"/>
    <w:charset w:val="00"/>
    <w:family w:val="swiss"/>
    <w:pitch w:val="default"/>
    <w:sig w:usb0="00000000" w:usb1="00000000" w:usb2="00000000" w:usb3="00000000" w:csb0="00000011" w:csb1="00000000"/>
  </w:font>
  <w:font w:name="Segoe Print">
    <w:panose1 w:val="02000600000000000000"/>
    <w:charset w:val="00"/>
    <w:family w:val="auto"/>
    <w:pitch w:val="default"/>
    <w:sig w:usb0="0000028F" w:usb1="00000000" w:usb2="00000000" w:usb3="00000000" w:csb0="2000009F" w:csb1="47010000"/>
  </w:font>
  <w:font w:name="华文中宋">
    <w:panose1 w:val="02010600040101010101"/>
    <w:charset w:val="86"/>
    <w:family w:val="auto"/>
    <w:pitch w:val="default"/>
    <w:sig w:usb0="00000287" w:usb1="080F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00000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swiss"/>
    <w:pitch w:val="default"/>
    <w:sig w:usb0="80001AFF" w:usb1="0000396B" w:usb2="00000000" w:usb3="00000000" w:csb0="200000BF" w:csb1="D7F70000"/>
  </w:font>
  <w:font w:name="等线 Light">
    <w:panose1 w:val="02010600030101010101"/>
    <w:charset w:val="86"/>
    <w:family w:val="auto"/>
    <w:pitch w:val="default"/>
    <w:sig w:usb0="A00002BF" w:usb1="38CF7CFA"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幼圆">
    <w:panose1 w:val="02010509060101010101"/>
    <w:charset w:val="86"/>
    <w:family w:val="modern"/>
    <w:pitch w:val="default"/>
    <w:sig w:usb0="00000001" w:usb1="080E0000" w:usb2="00000000" w:usb3="00000000" w:csb0="00040000" w:csb1="00000000"/>
  </w:font>
  <w:font w:name="Arial Narrow">
    <w:panose1 w:val="020B0606020202030204"/>
    <w:charset w:val="00"/>
    <w:family w:val="swiss"/>
    <w:pitch w:val="default"/>
    <w:sig w:usb0="00000287" w:usb1="000008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Arial"/>
    <w:panose1 w:val="00000000000000000000"/>
    <w:charset w:val="00"/>
    <w:family w:val="swiss"/>
    <w:pitch w:val="default"/>
    <w:sig w:usb0="00000000" w:usb1="00000000" w:usb2="00000008" w:usb3="00000000" w:csb0="000001FF" w:csb1="00000000"/>
  </w:font>
  <w:font w:name="Arial Unicode MS">
    <w:panose1 w:val="020B0604020202020204"/>
    <w:charset w:val="86"/>
    <w:family w:val="swiss"/>
    <w:pitch w:val="default"/>
    <w:sig w:usb0="F7FFAEFF" w:usb1="F9DFFFFF" w:usb2="0000007F" w:usb3="00000000" w:csb0="203F01FF" w:csb1="DFFF0000"/>
  </w:font>
  <w:font w:name="Helvetica">
    <w:altName w:val="Arial"/>
    <w:panose1 w:val="020B0504020202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Segoe Print"/>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0"/>
    <w:family w:val="swiss"/>
    <w:pitch w:val="default"/>
    <w:sig w:usb0="00100003" w:usb1="00000000" w:usb2="00000000" w:usb3="00000000" w:csb0="00000001" w:csb1="00000000"/>
  </w:font>
  <w:font w:name="等线">
    <w:panose1 w:val="02010600030101010101"/>
    <w:charset w:val="86"/>
    <w:family w:val="auto"/>
    <w:pitch w:val="default"/>
    <w:sig w:usb0="A00002BF" w:usb1="38CF7CFA" w:usb2="00000016" w:usb3="00000000" w:csb0="0004000F" w:csb1="00000000"/>
  </w:font>
  <w:font w:name="新宋体">
    <w:panose1 w:val="02010609030101010101"/>
    <w:charset w:val="86"/>
    <w:family w:val="modern"/>
    <w:pitch w:val="default"/>
    <w:sig w:usb0="00000003" w:usb1="288F0000" w:usb2="00000006" w:usb3="00000000" w:csb0="00040001" w:csb1="00000000"/>
  </w:font>
  <w:font w:name="楷体">
    <w:panose1 w:val="02010609060101010101"/>
    <w:charset w:val="86"/>
    <w:family w:val="modern"/>
    <w:pitch w:val="default"/>
    <w:sig w:usb0="800002BF" w:usb1="38CF7CFA" w:usb2="00000016" w:usb3="00000000" w:csb0="00040001" w:csb1="00000000"/>
  </w:font>
  <w:font w:name="Century Gothic">
    <w:panose1 w:val="020B0502020202020204"/>
    <w:charset w:val="00"/>
    <w:family w:val="swiss"/>
    <w:pitch w:val="default"/>
    <w:sig w:usb0="00000287" w:usb1="00000000" w:usb2="00000000" w:usb3="00000000" w:csb0="2000009F" w:csb1="DFD70000"/>
  </w:font>
  <w:font w:name="Aldine401 BT">
    <w:altName w:val="Segoe Print"/>
    <w:panose1 w:val="00000000000000000000"/>
    <w:charset w:val="00"/>
    <w:family w:val="roman"/>
    <w:pitch w:val="default"/>
    <w:sig w:usb0="00000000" w:usb1="00000000" w:usb2="00000000" w:usb3="00000000" w:csb0="00000011" w:csb1="00000000"/>
  </w:font>
  <w:font w:name=".PingFang SC">
    <w:altName w:val="微软雅黑"/>
    <w:panose1 w:val="00000000000000000000"/>
    <w:charset w:val="00"/>
    <w:family w:val="modern"/>
    <w:pitch w:val="default"/>
    <w:sig w:usb0="00000000" w:usb1="00000000" w:usb2="00000000" w:usb3="00000000" w:csb0="00040001" w:csb1="00000000"/>
  </w:font>
  <w:font w:name="MS Gothic">
    <w:panose1 w:val="020B0609070205080204"/>
    <w:charset w:val="80"/>
    <w:family w:val="modern"/>
    <w:pitch w:val="default"/>
    <w:sig w:usb0="E00002FF" w:usb1="6AC7FDFB" w:usb2="00000012" w:usb3="00000000" w:csb0="4002009F" w:csb1="DFD70000"/>
  </w:font>
  <w:font w:name="MS Mincho">
    <w:panose1 w:val="02020609040205080304"/>
    <w:charset w:val="80"/>
    <w:family w:val="modern"/>
    <w:pitch w:val="default"/>
    <w:sig w:usb0="E00002FF" w:usb1="6AC7FDFB" w:usb2="00000012" w:usb3="00000000" w:csb0="4002009F" w:csb1="DFD70000"/>
  </w:font>
  <w:font w:name="Yu Gothic UI Light">
    <w:altName w:val="Meiryo UI"/>
    <w:panose1 w:val="020B0300000000000000"/>
    <w:charset w:val="80"/>
    <w:family w:val="auto"/>
    <w:pitch w:val="default"/>
    <w:sig w:usb0="00000000" w:usb1="00000000" w:usb2="00000016" w:usb3="00000000" w:csb0="2002009F" w:csb1="00000000"/>
  </w:font>
  <w:font w:name="Meiryo UI">
    <w:panose1 w:val="020B0604030504040204"/>
    <w:charset w:val="80"/>
    <w:family w:val="auto"/>
    <w:pitch w:val="default"/>
    <w:sig w:usb0="E10102FF" w:usb1="EAC7FFFF" w:usb2="00010012" w:usb3="00000000" w:csb0="6002009F" w:csb1="DFD70000"/>
  </w:font>
  <w:font w:name="PMingLiU">
    <w:panose1 w:val="02020500000000000000"/>
    <w:charset w:val="88"/>
    <w:family w:val="auto"/>
    <w:pitch w:val="default"/>
    <w:sig w:usb0="A00002FF" w:usb1="28CFFCFA" w:usb2="00000016" w:usb3="00000000" w:csb0="0010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475B5">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48</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171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76AF4E">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156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167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499A1996">
    <w:pPr>
      <w:rPr>
        <w:rFonts w:ascii="仿宋_GB2312" w:eastAsia="仿宋_GB231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BC456B">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155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167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620BC447">
    <w:pPr>
      <w:rPr>
        <w:rFonts w:ascii="仿宋_GB2312" w:eastAsia="仿宋_GB2312"/>
        <w:szCs w:val="21"/>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FA36E5">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171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171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E99346">
    <w:pPr>
      <w:pStyle w:val="41"/>
      <w:framePr w:wrap="around" w:vAnchor="text" w:hAnchor="margin" w:xAlign="right" w:y="1"/>
      <w:rPr>
        <w:rStyle w:val="73"/>
      </w:rPr>
    </w:pPr>
    <w:r>
      <w:fldChar w:fldCharType="begin"/>
    </w:r>
    <w:r>
      <w:rPr>
        <w:rStyle w:val="73"/>
      </w:rPr>
      <w:instrText xml:space="preserve">PAGE  </w:instrText>
    </w:r>
    <w:r>
      <w:fldChar w:fldCharType="end"/>
    </w:r>
  </w:p>
  <w:p w14:paraId="644276B3">
    <w:pPr>
      <w:pStyle w:val="41"/>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0C5E34">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157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167</w:t>
    </w:r>
    <w:r>
      <w:rPr>
        <w:rFonts w:hint="eastAsia" w:ascii="仿宋_GB2312" w:eastAsia="仿宋_GB2312"/>
        <w:kern w:val="0"/>
        <w:sz w:val="21"/>
        <w:szCs w:val="21"/>
      </w:rPr>
      <w:fldChar w:fldCharType="end"/>
    </w:r>
    <w:bookmarkStart w:id="418" w:name="_Toc164085800"/>
    <w:bookmarkStart w:id="419" w:name="_Toc91899912"/>
    <w:bookmarkStart w:id="420" w:name="_Toc131845147"/>
    <w:bookmarkStart w:id="421" w:name="_Toc36110187"/>
    <w:r>
      <w:rPr>
        <w:rFonts w:hint="eastAsia" w:ascii="仿宋_GB2312" w:eastAsia="仿宋_GB2312"/>
        <w:kern w:val="0"/>
        <w:sz w:val="21"/>
        <w:szCs w:val="21"/>
      </w:rPr>
      <w:t xml:space="preserve"> 页</w:t>
    </w:r>
    <w:bookmarkEnd w:id="418"/>
    <w:bookmarkEnd w:id="419"/>
    <w:bookmarkEnd w:id="420"/>
    <w:bookmarkEnd w:id="421"/>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0B619C">
    <w:pPr>
      <w:pStyle w:val="41"/>
      <w:framePr w:wrap="around" w:vAnchor="text" w:hAnchor="margin" w:xAlign="right" w:y="1"/>
      <w:rPr>
        <w:rStyle w:val="73"/>
      </w:rPr>
    </w:pPr>
    <w:r>
      <w:fldChar w:fldCharType="begin"/>
    </w:r>
    <w:r>
      <w:rPr>
        <w:rStyle w:val="73"/>
      </w:rPr>
      <w:instrText xml:space="preserve">PAGE  </w:instrText>
    </w:r>
    <w:r>
      <w:fldChar w:fldCharType="end"/>
    </w:r>
  </w:p>
  <w:p w14:paraId="33C16FDA">
    <w:pPr>
      <w:pStyle w:val="4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ED3729">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171</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1C8B07">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144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167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6743AD8E">
    <w:pPr>
      <w:rPr>
        <w:rFonts w:ascii="仿宋_GB2312" w:eastAsia="仿宋_GB231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2D4EF">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128</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167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038A3544">
    <w:pPr>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B87380">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63</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10E3DAE7">
    <w:pPr>
      <w:rPr>
        <w:rFonts w:ascii="仿宋_GB2312" w:eastAsia="仿宋_GB231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1800BC">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145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167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6D04B11C">
    <w:pPr>
      <w:rPr>
        <w:rFonts w:ascii="仿宋_GB2312" w:eastAsia="仿宋_GB231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AB43BB">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64</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85</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78080491">
    <w:pPr>
      <w:rPr>
        <w:rFonts w:ascii="仿宋_GB2312" w:eastAsia="仿宋_GB231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3A8D08">
    <w:pPr>
      <w:pStyle w:val="41"/>
      <w:jc w:val="center"/>
      <w:rPr>
        <w:rFonts w:ascii="仿宋_GB2312" w:eastAsia="仿宋_GB2312"/>
        <w:sz w:val="21"/>
        <w:szCs w:val="21"/>
      </w:rPr>
    </w:pPr>
    <w:r>
      <w:rPr>
        <w:rFonts w:hint="eastAsia" w:ascii="仿宋_GB2312" w:eastAsia="仿宋_GB2312"/>
        <w:kern w:val="0"/>
        <w:sz w:val="21"/>
        <w:szCs w:val="21"/>
      </w:rPr>
      <w:t xml:space="preserve">第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PAGE </w:instrText>
    </w:r>
    <w:r>
      <w:rPr>
        <w:rFonts w:hint="eastAsia" w:ascii="仿宋_GB2312" w:eastAsia="仿宋_GB2312"/>
        <w:kern w:val="0"/>
        <w:sz w:val="21"/>
        <w:szCs w:val="21"/>
      </w:rPr>
      <w:fldChar w:fldCharType="separate"/>
    </w:r>
    <w:r>
      <w:rPr>
        <w:rFonts w:ascii="仿宋_GB2312" w:eastAsia="仿宋_GB2312"/>
        <w:kern w:val="0"/>
        <w:sz w:val="21"/>
        <w:szCs w:val="21"/>
      </w:rPr>
      <w:t>146</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 共 </w:t>
    </w:r>
    <w:r>
      <w:rPr>
        <w:rFonts w:hint="eastAsia" w:ascii="仿宋_GB2312" w:eastAsia="仿宋_GB2312"/>
        <w:kern w:val="0"/>
        <w:sz w:val="21"/>
        <w:szCs w:val="21"/>
      </w:rPr>
      <w:fldChar w:fldCharType="begin"/>
    </w:r>
    <w:r>
      <w:rPr>
        <w:rFonts w:hint="eastAsia" w:ascii="仿宋_GB2312" w:eastAsia="仿宋_GB2312"/>
        <w:kern w:val="0"/>
        <w:sz w:val="21"/>
        <w:szCs w:val="21"/>
      </w:rPr>
      <w:instrText xml:space="preserve"> NUMPAGES </w:instrText>
    </w:r>
    <w:r>
      <w:rPr>
        <w:rFonts w:hint="eastAsia" w:ascii="仿宋_GB2312" w:eastAsia="仿宋_GB2312"/>
        <w:kern w:val="0"/>
        <w:sz w:val="21"/>
        <w:szCs w:val="21"/>
      </w:rPr>
      <w:fldChar w:fldCharType="separate"/>
    </w:r>
    <w:r>
      <w:rPr>
        <w:rFonts w:ascii="仿宋_GB2312" w:eastAsia="仿宋_GB2312"/>
        <w:kern w:val="0"/>
        <w:sz w:val="21"/>
        <w:szCs w:val="21"/>
      </w:rPr>
      <w:t>167</w:t>
    </w:r>
    <w:r>
      <w:rPr>
        <w:rFonts w:hint="eastAsia" w:ascii="仿宋_GB2312" w:eastAsia="仿宋_GB2312"/>
        <w:kern w:val="0"/>
        <w:sz w:val="21"/>
        <w:szCs w:val="21"/>
      </w:rPr>
      <w:fldChar w:fldCharType="end"/>
    </w:r>
    <w:r>
      <w:rPr>
        <w:rFonts w:hint="eastAsia" w:ascii="仿宋_GB2312" w:eastAsia="仿宋_GB2312"/>
        <w:kern w:val="0"/>
        <w:sz w:val="21"/>
        <w:szCs w:val="21"/>
      </w:rPr>
      <w:t xml:space="preserve"> 页</w:t>
    </w:r>
  </w:p>
  <w:p w14:paraId="76EB03E4">
    <w:pPr>
      <w:rPr>
        <w:rFonts w:ascii="仿宋_GB2312" w:eastAsia="仿宋_GB231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BE8F15">
    <w:pPr>
      <w:pStyle w:val="42"/>
      <w:pBdr>
        <w:bottom w:val="single" w:color="auto" w:sz="6" w:space="4"/>
      </w:pBdr>
      <w:jc w:val="right"/>
    </w:pPr>
    <w:r>
      <w:t></w:t>
    </w:r>
    <w:r>
      <w:rPr>
        <w:rFonts w:hint="eastAsia"/>
      </w:rPr>
      <w:t xml:space="preserve">        </w:t>
    </w:r>
    <w:r>
      <w:rPr>
        <w:rFonts w:hint="eastAsia"/>
        <w:sz w:val="21"/>
        <w:szCs w:val="21"/>
      </w:rPr>
      <w:t xml:space="preserve"> </w:t>
    </w:r>
    <w:r>
      <w:rPr>
        <w:sz w:val="21"/>
        <w:szCs w:val="21"/>
      </w:rPr>
      <w:t>北海市政府采购公开招标文件</w:t>
    </w:r>
  </w:p>
  <w:p w14:paraId="028347BA">
    <w:pPr>
      <w:pStyle w:val="60"/>
      <w:tabs>
        <w:tab w:val="center" w:pos="4535"/>
        <w:tab w:val="right" w:pos="9070"/>
      </w:tabs>
      <w:ind w:firstLine="180" w:firstLineChars="100"/>
      <w:jc w:val="both"/>
      <w:rPr>
        <w:rFonts w:ascii="仿宋_GB2312" w:eastAsia="仿宋_GB2312"/>
        <w:b w:val="0"/>
        <w:i/>
        <w:sz w:val="18"/>
        <w:u w:val="single"/>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7C36D3">
    <w:pPr>
      <w:pStyle w:val="42"/>
      <w:jc w:val="right"/>
      <w:rPr>
        <w:sz w:val="21"/>
        <w:szCs w:val="21"/>
      </w:rPr>
    </w:pPr>
    <w:r>
      <w:rPr>
        <w:rFonts w:hint="eastAsia"/>
      </w:rPr>
      <w:t xml:space="preserve">                                                                                                        </w:t>
    </w:r>
    <w:r>
      <w:rPr>
        <w:sz w:val="21"/>
        <w:szCs w:val="21"/>
      </w:rPr>
      <w:t>北海市政府采购公开招标文件</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0EE59">
    <w:pPr>
      <w:pStyle w:val="42"/>
      <w:jc w:val="right"/>
      <w:rPr>
        <w:rFonts w:ascii="仿宋_GB2312" w:eastAsia="仿宋_GB2312"/>
        <w:b/>
        <w:i/>
        <w:iCs/>
        <w:u w:val="single"/>
      </w:rPr>
    </w:pPr>
    <w:r>
      <w:t></w:t>
    </w:r>
    <w:r>
      <w:rPr>
        <w:sz w:val="21"/>
        <w:szCs w:val="21"/>
      </w:rPr>
      <w:t>北海市政府采购公开招标文件</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444906">
    <w:pPr>
      <w:pStyle w:val="42"/>
    </w:pPr>
    <w:r>
      <w:t></w:t>
    </w:r>
    <w:r>
      <w:rPr>
        <w:rFonts w:hint="eastAsia"/>
      </w:rPr>
      <w:t xml:space="preserve">                </w:t>
    </w:r>
    <w:r>
      <w:rPr>
        <w:rFonts w:hint="eastAsia"/>
        <w:sz w:val="21"/>
        <w:szCs w:val="21"/>
      </w:rPr>
      <w:t xml:space="preserve">                       </w:t>
    </w:r>
    <w:r>
      <w:rPr>
        <w:sz w:val="21"/>
        <w:szCs w:val="21"/>
      </w:rPr>
      <w:t>北海市政府采购公开招标文件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D3B8BC">
    <w:pPr>
      <w:pStyle w:val="42"/>
      <w:pBdr>
        <w:bottom w:val="single" w:color="auto" w:sz="6" w:space="0"/>
      </w:pBdr>
      <w:tabs>
        <w:tab w:val="center" w:pos="4535"/>
        <w:tab w:val="right" w:pos="9070"/>
        <w:tab w:val="clear" w:pos="4153"/>
        <w:tab w:val="clear" w:pos="8306"/>
      </w:tabs>
      <w:jc w:val="right"/>
    </w:pPr>
    <w:r>
      <w:rPr>
        <w:lang w:val="zh-CN"/>
      </w:rPr>
      <w:t></w:t>
    </w:r>
    <w:r>
      <w:tab/>
    </w:r>
    <w:r>
      <w:rPr>
        <w:lang w:val="zh-CN"/>
      </w:rPr>
      <w:t></w:t>
    </w:r>
    <w:r>
      <w:tab/>
    </w:r>
    <w:r>
      <w:rPr>
        <w:sz w:val="21"/>
        <w:szCs w:val="21"/>
        <w:lang w:val="zh-CN"/>
      </w:rPr>
      <w:t>北海市政府采购公开招标文件</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AA5CA5">
    <w:pPr>
      <w:pStyle w:val="42"/>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98DF4">
    <w:pPr>
      <w:pStyle w:val="42"/>
    </w:pPr>
    <w:r>
      <w:t></w:t>
    </w:r>
    <w:r>
      <w:rPr>
        <w:rFonts w:hint="eastAsia"/>
      </w:rPr>
      <w:t xml:space="preserve">         </w:t>
    </w:r>
  </w:p>
  <w:p w14:paraId="3542BB0F">
    <w:pPr>
      <w:pStyle w:val="42"/>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7B61BD">
    <w:pPr>
      <w:pStyle w:val="42"/>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DA831">
    <w:pPr>
      <w:pStyle w:val="42"/>
    </w:pPr>
    <w:r>
      <w:t></w:t>
    </w:r>
    <w:r>
      <w:rPr>
        <w:rFonts w:hint="eastAsia"/>
      </w:rPr>
      <w:t xml:space="preserve">         </w:t>
    </w:r>
  </w:p>
  <w:p w14:paraId="2D452EE0">
    <w:pPr>
      <w:pStyle w:val="42"/>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4AAF2E">
    <w:pPr>
      <w:pStyle w:val="42"/>
      <w:jc w:val="right"/>
      <w:rPr>
        <w:rFonts w:ascii="仿宋_GB2312" w:eastAsia="仿宋_GB2312"/>
        <w:b/>
        <w:i/>
        <w:u w:val="single"/>
      </w:rPr>
    </w:pPr>
    <w:r>
      <w:t></w:t>
    </w:r>
    <w:r>
      <w:rPr>
        <w:rFonts w:hint="eastAsia"/>
      </w:rPr>
      <w:t xml:space="preserve">                                </w:t>
    </w:r>
    <w:r>
      <w:rPr>
        <w:rFonts w:hint="eastAsia"/>
        <w:sz w:val="21"/>
        <w:szCs w:val="21"/>
      </w:rPr>
      <w:t>北海</w:t>
    </w:r>
    <w:r>
      <w:rPr>
        <w:sz w:val="21"/>
        <w:szCs w:val="21"/>
      </w:rPr>
      <w:t>市政府采购公开招标文件</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DA027">
    <w:pPr>
      <w:pStyle w:val="42"/>
    </w:pPr>
    <w:r>
      <w:t></w:t>
    </w:r>
    <w:r>
      <w:rPr>
        <w:rFonts w:hint="eastAsia"/>
      </w:rPr>
      <w:t xml:space="preserve">         </w:t>
    </w:r>
  </w:p>
  <w:p w14:paraId="3CAC616E">
    <w:pPr>
      <w:pStyle w:val="42"/>
      <w:rPr>
        <w:sz w:val="21"/>
        <w:szCs w:val="21"/>
      </w:rPr>
    </w:pPr>
    <w:r>
      <w:rPr>
        <w:rFonts w:hint="eastAsia"/>
      </w:rPr>
      <w:t xml:space="preserve">                                                               </w:t>
    </w:r>
    <w:r>
      <w:rPr>
        <w:rFonts w:hint="eastAsia"/>
        <w:sz w:val="21"/>
        <w:szCs w:val="21"/>
      </w:rPr>
      <w:t xml:space="preserve">   </w:t>
    </w:r>
    <w:r>
      <w:rPr>
        <w:sz w:val="21"/>
        <w:szCs w:val="21"/>
      </w:rPr>
      <w:t>北海市政府采购公开招标文件</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54A54">
    <w:pPr>
      <w:pStyle w:val="42"/>
      <w:jc w:val="right"/>
      <w:rPr>
        <w:rFonts w:ascii="仿宋_GB2312" w:eastAsia="仿宋_GB2312"/>
        <w:b/>
        <w:i/>
        <w:sz w:val="21"/>
        <w:szCs w:val="21"/>
        <w:u w:val="single"/>
      </w:rPr>
    </w:pPr>
    <w:r>
      <w:rPr>
        <w:rFonts w:hint="eastAsia"/>
      </w:rPr>
      <w:t xml:space="preserve">                                </w:t>
    </w:r>
    <w:r>
      <w:rPr>
        <w:rFonts w:hint="eastAsia"/>
        <w:sz w:val="21"/>
        <w:szCs w:val="21"/>
      </w:rPr>
      <w:t xml:space="preserve">  </w:t>
    </w:r>
    <w:r>
      <w:rPr>
        <w:sz w:val="21"/>
        <w:szCs w:val="21"/>
      </w:rPr>
      <w:t>北海市政府采购公开招标文件</w:t>
    </w:r>
  </w:p>
  <w:p w14:paraId="61350B12">
    <w:pPr>
      <w:rPr>
        <w:rFonts w:ascii="仿宋_GB2312" w:eastAsia="仿宋_GB2312"/>
        <w:b/>
        <w:i/>
        <w:sz w:val="18"/>
        <w:u w:val="single"/>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FFC1CA"/>
    <w:multiLevelType w:val="singleLevel"/>
    <w:tmpl w:val="02FFC1CA"/>
    <w:lvl w:ilvl="0" w:tentative="0">
      <w:start w:val="6"/>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wMWM5Y2U2ODFlMjY2MTYyOTg1NjVlYmU0N2I0NTkifQ=="/>
  </w:docVars>
  <w:rsids>
    <w:rsidRoot w:val="00172A27"/>
    <w:rsid w:val="00000451"/>
    <w:rsid w:val="0000108B"/>
    <w:rsid w:val="0000133D"/>
    <w:rsid w:val="00001509"/>
    <w:rsid w:val="00001E3F"/>
    <w:rsid w:val="000032B2"/>
    <w:rsid w:val="0000363B"/>
    <w:rsid w:val="000058BD"/>
    <w:rsid w:val="00006109"/>
    <w:rsid w:val="00006150"/>
    <w:rsid w:val="000063E8"/>
    <w:rsid w:val="00006725"/>
    <w:rsid w:val="0000675E"/>
    <w:rsid w:val="000071E3"/>
    <w:rsid w:val="00007676"/>
    <w:rsid w:val="00007CAA"/>
    <w:rsid w:val="00010FE9"/>
    <w:rsid w:val="0001122F"/>
    <w:rsid w:val="00011A4B"/>
    <w:rsid w:val="00012251"/>
    <w:rsid w:val="00012B4A"/>
    <w:rsid w:val="0001337C"/>
    <w:rsid w:val="000138C4"/>
    <w:rsid w:val="00013C1F"/>
    <w:rsid w:val="00013F31"/>
    <w:rsid w:val="000140D8"/>
    <w:rsid w:val="00014530"/>
    <w:rsid w:val="00014BBC"/>
    <w:rsid w:val="000150EE"/>
    <w:rsid w:val="000168D8"/>
    <w:rsid w:val="000170C8"/>
    <w:rsid w:val="000173F4"/>
    <w:rsid w:val="00020287"/>
    <w:rsid w:val="000202FE"/>
    <w:rsid w:val="00020B5F"/>
    <w:rsid w:val="000211BC"/>
    <w:rsid w:val="0002207B"/>
    <w:rsid w:val="000232FD"/>
    <w:rsid w:val="00023323"/>
    <w:rsid w:val="000233E4"/>
    <w:rsid w:val="00023495"/>
    <w:rsid w:val="00023777"/>
    <w:rsid w:val="00024130"/>
    <w:rsid w:val="00024584"/>
    <w:rsid w:val="00024962"/>
    <w:rsid w:val="000249AA"/>
    <w:rsid w:val="00025350"/>
    <w:rsid w:val="000253E5"/>
    <w:rsid w:val="00025776"/>
    <w:rsid w:val="000268B8"/>
    <w:rsid w:val="00026EAC"/>
    <w:rsid w:val="000270F2"/>
    <w:rsid w:val="00027540"/>
    <w:rsid w:val="00030572"/>
    <w:rsid w:val="00030A97"/>
    <w:rsid w:val="00030CB3"/>
    <w:rsid w:val="0003206A"/>
    <w:rsid w:val="000325AC"/>
    <w:rsid w:val="000326A7"/>
    <w:rsid w:val="00032EA0"/>
    <w:rsid w:val="000331B0"/>
    <w:rsid w:val="000336D4"/>
    <w:rsid w:val="00034FA7"/>
    <w:rsid w:val="0003533D"/>
    <w:rsid w:val="000357E4"/>
    <w:rsid w:val="00035ACA"/>
    <w:rsid w:val="00040447"/>
    <w:rsid w:val="00040494"/>
    <w:rsid w:val="00040B70"/>
    <w:rsid w:val="00042441"/>
    <w:rsid w:val="00042533"/>
    <w:rsid w:val="00042DBB"/>
    <w:rsid w:val="00042E65"/>
    <w:rsid w:val="0004347C"/>
    <w:rsid w:val="00043907"/>
    <w:rsid w:val="00044F48"/>
    <w:rsid w:val="00047354"/>
    <w:rsid w:val="00050656"/>
    <w:rsid w:val="00050A19"/>
    <w:rsid w:val="000511B6"/>
    <w:rsid w:val="00051B00"/>
    <w:rsid w:val="00051C72"/>
    <w:rsid w:val="00052192"/>
    <w:rsid w:val="0005238F"/>
    <w:rsid w:val="00052787"/>
    <w:rsid w:val="00052BB8"/>
    <w:rsid w:val="0005417A"/>
    <w:rsid w:val="00054D39"/>
    <w:rsid w:val="0005501B"/>
    <w:rsid w:val="000550F5"/>
    <w:rsid w:val="00055337"/>
    <w:rsid w:val="000554C7"/>
    <w:rsid w:val="000559B0"/>
    <w:rsid w:val="00056145"/>
    <w:rsid w:val="00056402"/>
    <w:rsid w:val="00056791"/>
    <w:rsid w:val="00056868"/>
    <w:rsid w:val="00056876"/>
    <w:rsid w:val="000568DF"/>
    <w:rsid w:val="000578A3"/>
    <w:rsid w:val="00057D4C"/>
    <w:rsid w:val="00060C48"/>
    <w:rsid w:val="00061A3C"/>
    <w:rsid w:val="00061C48"/>
    <w:rsid w:val="00064278"/>
    <w:rsid w:val="000646CA"/>
    <w:rsid w:val="0006627A"/>
    <w:rsid w:val="000665C4"/>
    <w:rsid w:val="00066965"/>
    <w:rsid w:val="00067821"/>
    <w:rsid w:val="0006785E"/>
    <w:rsid w:val="00067AFB"/>
    <w:rsid w:val="00067F92"/>
    <w:rsid w:val="00067FA7"/>
    <w:rsid w:val="0007038E"/>
    <w:rsid w:val="0007077C"/>
    <w:rsid w:val="00070825"/>
    <w:rsid w:val="00071CD8"/>
    <w:rsid w:val="00071DB2"/>
    <w:rsid w:val="00072AED"/>
    <w:rsid w:val="00072B56"/>
    <w:rsid w:val="00072D2B"/>
    <w:rsid w:val="00072D51"/>
    <w:rsid w:val="000730B1"/>
    <w:rsid w:val="00073860"/>
    <w:rsid w:val="000738EA"/>
    <w:rsid w:val="00074078"/>
    <w:rsid w:val="00075B15"/>
    <w:rsid w:val="00075D0E"/>
    <w:rsid w:val="00075F6A"/>
    <w:rsid w:val="00076159"/>
    <w:rsid w:val="0007616C"/>
    <w:rsid w:val="000763B5"/>
    <w:rsid w:val="000763F3"/>
    <w:rsid w:val="000766D2"/>
    <w:rsid w:val="00076801"/>
    <w:rsid w:val="00077577"/>
    <w:rsid w:val="00077607"/>
    <w:rsid w:val="00077756"/>
    <w:rsid w:val="00077B7F"/>
    <w:rsid w:val="000808C1"/>
    <w:rsid w:val="00080970"/>
    <w:rsid w:val="00081671"/>
    <w:rsid w:val="00082AD4"/>
    <w:rsid w:val="00083E07"/>
    <w:rsid w:val="00084A3E"/>
    <w:rsid w:val="00084D27"/>
    <w:rsid w:val="00084ED6"/>
    <w:rsid w:val="0008580E"/>
    <w:rsid w:val="00085A0E"/>
    <w:rsid w:val="00085C4F"/>
    <w:rsid w:val="00086EFD"/>
    <w:rsid w:val="00086F8A"/>
    <w:rsid w:val="00087031"/>
    <w:rsid w:val="00090243"/>
    <w:rsid w:val="000904F6"/>
    <w:rsid w:val="00090918"/>
    <w:rsid w:val="00090ED8"/>
    <w:rsid w:val="00090F9F"/>
    <w:rsid w:val="0009145F"/>
    <w:rsid w:val="0009184E"/>
    <w:rsid w:val="00091B4E"/>
    <w:rsid w:val="00092467"/>
    <w:rsid w:val="00092FE9"/>
    <w:rsid w:val="000936BF"/>
    <w:rsid w:val="0009382F"/>
    <w:rsid w:val="00093A30"/>
    <w:rsid w:val="00094342"/>
    <w:rsid w:val="000945BA"/>
    <w:rsid w:val="00095954"/>
    <w:rsid w:val="000960BA"/>
    <w:rsid w:val="0009662A"/>
    <w:rsid w:val="0009690D"/>
    <w:rsid w:val="00096DFF"/>
    <w:rsid w:val="00097CDB"/>
    <w:rsid w:val="000A0729"/>
    <w:rsid w:val="000A0E69"/>
    <w:rsid w:val="000A1A52"/>
    <w:rsid w:val="000A1F98"/>
    <w:rsid w:val="000A3D58"/>
    <w:rsid w:val="000A3FE3"/>
    <w:rsid w:val="000A47B0"/>
    <w:rsid w:val="000A4851"/>
    <w:rsid w:val="000A49BB"/>
    <w:rsid w:val="000A4F22"/>
    <w:rsid w:val="000A5674"/>
    <w:rsid w:val="000A5A46"/>
    <w:rsid w:val="000A7299"/>
    <w:rsid w:val="000A752E"/>
    <w:rsid w:val="000B0E04"/>
    <w:rsid w:val="000B1D51"/>
    <w:rsid w:val="000B2301"/>
    <w:rsid w:val="000B268D"/>
    <w:rsid w:val="000B291B"/>
    <w:rsid w:val="000B456C"/>
    <w:rsid w:val="000B45B9"/>
    <w:rsid w:val="000B47CE"/>
    <w:rsid w:val="000B4B56"/>
    <w:rsid w:val="000B4C62"/>
    <w:rsid w:val="000B541D"/>
    <w:rsid w:val="000B54C1"/>
    <w:rsid w:val="000B5553"/>
    <w:rsid w:val="000B5FE8"/>
    <w:rsid w:val="000B666E"/>
    <w:rsid w:val="000C0A43"/>
    <w:rsid w:val="000C0CB1"/>
    <w:rsid w:val="000C1411"/>
    <w:rsid w:val="000C1ADE"/>
    <w:rsid w:val="000C1C38"/>
    <w:rsid w:val="000C21DC"/>
    <w:rsid w:val="000C2264"/>
    <w:rsid w:val="000C256B"/>
    <w:rsid w:val="000C3970"/>
    <w:rsid w:val="000C3B1A"/>
    <w:rsid w:val="000C4727"/>
    <w:rsid w:val="000C47AE"/>
    <w:rsid w:val="000C51AD"/>
    <w:rsid w:val="000C5374"/>
    <w:rsid w:val="000C5EC0"/>
    <w:rsid w:val="000C6162"/>
    <w:rsid w:val="000C64CC"/>
    <w:rsid w:val="000C6688"/>
    <w:rsid w:val="000C692E"/>
    <w:rsid w:val="000C6B28"/>
    <w:rsid w:val="000C7BEB"/>
    <w:rsid w:val="000D0124"/>
    <w:rsid w:val="000D11E5"/>
    <w:rsid w:val="000D19E8"/>
    <w:rsid w:val="000D1FA1"/>
    <w:rsid w:val="000D2834"/>
    <w:rsid w:val="000D2CAC"/>
    <w:rsid w:val="000D34C8"/>
    <w:rsid w:val="000D34FD"/>
    <w:rsid w:val="000D3BE5"/>
    <w:rsid w:val="000D3C37"/>
    <w:rsid w:val="000D453A"/>
    <w:rsid w:val="000D4AFA"/>
    <w:rsid w:val="000D5EA6"/>
    <w:rsid w:val="000D5F00"/>
    <w:rsid w:val="000D6C9F"/>
    <w:rsid w:val="000D6E3B"/>
    <w:rsid w:val="000D6F30"/>
    <w:rsid w:val="000D74E4"/>
    <w:rsid w:val="000D7C9D"/>
    <w:rsid w:val="000D7CE0"/>
    <w:rsid w:val="000E2785"/>
    <w:rsid w:val="000E27BB"/>
    <w:rsid w:val="000E3153"/>
    <w:rsid w:val="000E3484"/>
    <w:rsid w:val="000E386F"/>
    <w:rsid w:val="000E4051"/>
    <w:rsid w:val="000E4139"/>
    <w:rsid w:val="000E4765"/>
    <w:rsid w:val="000E5B51"/>
    <w:rsid w:val="000E5B7E"/>
    <w:rsid w:val="000E5FF9"/>
    <w:rsid w:val="000E6AE1"/>
    <w:rsid w:val="000E7142"/>
    <w:rsid w:val="000E7632"/>
    <w:rsid w:val="000E7737"/>
    <w:rsid w:val="000E7739"/>
    <w:rsid w:val="000E77EE"/>
    <w:rsid w:val="000F1604"/>
    <w:rsid w:val="000F287A"/>
    <w:rsid w:val="000F2940"/>
    <w:rsid w:val="000F2AB3"/>
    <w:rsid w:val="000F3D08"/>
    <w:rsid w:val="000F4495"/>
    <w:rsid w:val="000F4A05"/>
    <w:rsid w:val="000F4AA8"/>
    <w:rsid w:val="000F4AEA"/>
    <w:rsid w:val="000F4E67"/>
    <w:rsid w:val="000F505B"/>
    <w:rsid w:val="000F5651"/>
    <w:rsid w:val="000F5677"/>
    <w:rsid w:val="000F5C71"/>
    <w:rsid w:val="000F5DDB"/>
    <w:rsid w:val="000F628E"/>
    <w:rsid w:val="000F68A0"/>
    <w:rsid w:val="000F6CC2"/>
    <w:rsid w:val="000F729C"/>
    <w:rsid w:val="000F7D4B"/>
    <w:rsid w:val="0010118C"/>
    <w:rsid w:val="0010125E"/>
    <w:rsid w:val="001015F8"/>
    <w:rsid w:val="00101967"/>
    <w:rsid w:val="00103251"/>
    <w:rsid w:val="00103509"/>
    <w:rsid w:val="0010393D"/>
    <w:rsid w:val="00103EBD"/>
    <w:rsid w:val="00104699"/>
    <w:rsid w:val="00104AF5"/>
    <w:rsid w:val="00104E5B"/>
    <w:rsid w:val="00104EEC"/>
    <w:rsid w:val="001050DC"/>
    <w:rsid w:val="00105482"/>
    <w:rsid w:val="001056A5"/>
    <w:rsid w:val="00105BA9"/>
    <w:rsid w:val="00105FE1"/>
    <w:rsid w:val="00106AAA"/>
    <w:rsid w:val="00106E0E"/>
    <w:rsid w:val="001078A5"/>
    <w:rsid w:val="00107BBD"/>
    <w:rsid w:val="00107BC7"/>
    <w:rsid w:val="00110033"/>
    <w:rsid w:val="001102B5"/>
    <w:rsid w:val="00110F57"/>
    <w:rsid w:val="00111993"/>
    <w:rsid w:val="00111C7D"/>
    <w:rsid w:val="00112038"/>
    <w:rsid w:val="001127FF"/>
    <w:rsid w:val="00112B0B"/>
    <w:rsid w:val="00112EB5"/>
    <w:rsid w:val="0011383E"/>
    <w:rsid w:val="00113EE3"/>
    <w:rsid w:val="00114847"/>
    <w:rsid w:val="0011585B"/>
    <w:rsid w:val="00115B1A"/>
    <w:rsid w:val="001160FF"/>
    <w:rsid w:val="001164F4"/>
    <w:rsid w:val="001168F8"/>
    <w:rsid w:val="001176FF"/>
    <w:rsid w:val="0012153F"/>
    <w:rsid w:val="0012159D"/>
    <w:rsid w:val="00121804"/>
    <w:rsid w:val="00121EC9"/>
    <w:rsid w:val="001224FE"/>
    <w:rsid w:val="001231D3"/>
    <w:rsid w:val="001232A7"/>
    <w:rsid w:val="00123F7C"/>
    <w:rsid w:val="0012419E"/>
    <w:rsid w:val="001248EF"/>
    <w:rsid w:val="00124AC0"/>
    <w:rsid w:val="00124FC4"/>
    <w:rsid w:val="001253AB"/>
    <w:rsid w:val="0012574C"/>
    <w:rsid w:val="001259B8"/>
    <w:rsid w:val="001264B9"/>
    <w:rsid w:val="0012693E"/>
    <w:rsid w:val="00126A3A"/>
    <w:rsid w:val="00127060"/>
    <w:rsid w:val="00127B83"/>
    <w:rsid w:val="0013116E"/>
    <w:rsid w:val="00131A24"/>
    <w:rsid w:val="00131C2D"/>
    <w:rsid w:val="0013202C"/>
    <w:rsid w:val="00132704"/>
    <w:rsid w:val="00132CBF"/>
    <w:rsid w:val="00133707"/>
    <w:rsid w:val="00133742"/>
    <w:rsid w:val="00133B70"/>
    <w:rsid w:val="00133E97"/>
    <w:rsid w:val="001350F7"/>
    <w:rsid w:val="00135769"/>
    <w:rsid w:val="00135BE9"/>
    <w:rsid w:val="00135E5C"/>
    <w:rsid w:val="00136762"/>
    <w:rsid w:val="00136E33"/>
    <w:rsid w:val="0013773D"/>
    <w:rsid w:val="00137A96"/>
    <w:rsid w:val="0014042F"/>
    <w:rsid w:val="00140693"/>
    <w:rsid w:val="00140D7A"/>
    <w:rsid w:val="00141D28"/>
    <w:rsid w:val="00141DFE"/>
    <w:rsid w:val="00142185"/>
    <w:rsid w:val="001422E2"/>
    <w:rsid w:val="0014233D"/>
    <w:rsid w:val="001433BC"/>
    <w:rsid w:val="00143872"/>
    <w:rsid w:val="00143A85"/>
    <w:rsid w:val="00144649"/>
    <w:rsid w:val="00145022"/>
    <w:rsid w:val="00145662"/>
    <w:rsid w:val="00145C6D"/>
    <w:rsid w:val="001460FC"/>
    <w:rsid w:val="00146151"/>
    <w:rsid w:val="00146326"/>
    <w:rsid w:val="0014648C"/>
    <w:rsid w:val="00146EA3"/>
    <w:rsid w:val="00147032"/>
    <w:rsid w:val="00147EA7"/>
    <w:rsid w:val="00151820"/>
    <w:rsid w:val="00151B2F"/>
    <w:rsid w:val="001524DC"/>
    <w:rsid w:val="001525E5"/>
    <w:rsid w:val="00153859"/>
    <w:rsid w:val="00153915"/>
    <w:rsid w:val="001539F0"/>
    <w:rsid w:val="00154BBA"/>
    <w:rsid w:val="001552F0"/>
    <w:rsid w:val="00155B95"/>
    <w:rsid w:val="00156853"/>
    <w:rsid w:val="00157432"/>
    <w:rsid w:val="00157893"/>
    <w:rsid w:val="00160A84"/>
    <w:rsid w:val="00161185"/>
    <w:rsid w:val="001620BA"/>
    <w:rsid w:val="001623AC"/>
    <w:rsid w:val="00162BAA"/>
    <w:rsid w:val="00163C40"/>
    <w:rsid w:val="0016470A"/>
    <w:rsid w:val="0016488B"/>
    <w:rsid w:val="00165758"/>
    <w:rsid w:val="00165A65"/>
    <w:rsid w:val="00166317"/>
    <w:rsid w:val="00167478"/>
    <w:rsid w:val="00167594"/>
    <w:rsid w:val="001702BE"/>
    <w:rsid w:val="001704B3"/>
    <w:rsid w:val="0017059C"/>
    <w:rsid w:val="0017105C"/>
    <w:rsid w:val="00171622"/>
    <w:rsid w:val="00171785"/>
    <w:rsid w:val="00171AB5"/>
    <w:rsid w:val="0017204F"/>
    <w:rsid w:val="001721CF"/>
    <w:rsid w:val="001728FD"/>
    <w:rsid w:val="00172A20"/>
    <w:rsid w:val="00172A27"/>
    <w:rsid w:val="00172F02"/>
    <w:rsid w:val="00172F2D"/>
    <w:rsid w:val="00173631"/>
    <w:rsid w:val="0017372D"/>
    <w:rsid w:val="00173826"/>
    <w:rsid w:val="00173C58"/>
    <w:rsid w:val="00173E59"/>
    <w:rsid w:val="001741DC"/>
    <w:rsid w:val="00174C4F"/>
    <w:rsid w:val="00174F57"/>
    <w:rsid w:val="00175078"/>
    <w:rsid w:val="001755DC"/>
    <w:rsid w:val="00175850"/>
    <w:rsid w:val="00176AA6"/>
    <w:rsid w:val="00177063"/>
    <w:rsid w:val="00180A47"/>
    <w:rsid w:val="00181025"/>
    <w:rsid w:val="001822F7"/>
    <w:rsid w:val="001827B7"/>
    <w:rsid w:val="001827EF"/>
    <w:rsid w:val="00182982"/>
    <w:rsid w:val="001829BC"/>
    <w:rsid w:val="00182D68"/>
    <w:rsid w:val="00183031"/>
    <w:rsid w:val="00183468"/>
    <w:rsid w:val="0018397E"/>
    <w:rsid w:val="00184466"/>
    <w:rsid w:val="00184DBF"/>
    <w:rsid w:val="001852A8"/>
    <w:rsid w:val="0018620A"/>
    <w:rsid w:val="00186EB0"/>
    <w:rsid w:val="00187121"/>
    <w:rsid w:val="00187243"/>
    <w:rsid w:val="00187C29"/>
    <w:rsid w:val="00190782"/>
    <w:rsid w:val="00190942"/>
    <w:rsid w:val="001909A7"/>
    <w:rsid w:val="001909C3"/>
    <w:rsid w:val="00191459"/>
    <w:rsid w:val="00191603"/>
    <w:rsid w:val="0019173E"/>
    <w:rsid w:val="0019174E"/>
    <w:rsid w:val="0019196B"/>
    <w:rsid w:val="001923D5"/>
    <w:rsid w:val="00192991"/>
    <w:rsid w:val="00193470"/>
    <w:rsid w:val="001936E2"/>
    <w:rsid w:val="00193B94"/>
    <w:rsid w:val="001940A7"/>
    <w:rsid w:val="00194BB1"/>
    <w:rsid w:val="00194BC6"/>
    <w:rsid w:val="00194DE5"/>
    <w:rsid w:val="00195070"/>
    <w:rsid w:val="00195245"/>
    <w:rsid w:val="0019526D"/>
    <w:rsid w:val="0019553F"/>
    <w:rsid w:val="001956BE"/>
    <w:rsid w:val="0019602C"/>
    <w:rsid w:val="001969F2"/>
    <w:rsid w:val="00196CD6"/>
    <w:rsid w:val="00197370"/>
    <w:rsid w:val="0019756A"/>
    <w:rsid w:val="001A06B5"/>
    <w:rsid w:val="001A07F8"/>
    <w:rsid w:val="001A0A23"/>
    <w:rsid w:val="001A0C98"/>
    <w:rsid w:val="001A128B"/>
    <w:rsid w:val="001A1475"/>
    <w:rsid w:val="001A1619"/>
    <w:rsid w:val="001A1F0E"/>
    <w:rsid w:val="001A3335"/>
    <w:rsid w:val="001A473A"/>
    <w:rsid w:val="001A4977"/>
    <w:rsid w:val="001A4ED9"/>
    <w:rsid w:val="001A5785"/>
    <w:rsid w:val="001A5EF0"/>
    <w:rsid w:val="001A5FD7"/>
    <w:rsid w:val="001A66A6"/>
    <w:rsid w:val="001A6BAF"/>
    <w:rsid w:val="001A6BBB"/>
    <w:rsid w:val="001A79A2"/>
    <w:rsid w:val="001A7F98"/>
    <w:rsid w:val="001B06A6"/>
    <w:rsid w:val="001B13BF"/>
    <w:rsid w:val="001B16F5"/>
    <w:rsid w:val="001B1C1F"/>
    <w:rsid w:val="001B219B"/>
    <w:rsid w:val="001B2703"/>
    <w:rsid w:val="001B3DCD"/>
    <w:rsid w:val="001B45B9"/>
    <w:rsid w:val="001B46B2"/>
    <w:rsid w:val="001B4725"/>
    <w:rsid w:val="001B48B2"/>
    <w:rsid w:val="001B49DA"/>
    <w:rsid w:val="001B4CA8"/>
    <w:rsid w:val="001B572D"/>
    <w:rsid w:val="001B576E"/>
    <w:rsid w:val="001B5B10"/>
    <w:rsid w:val="001B6025"/>
    <w:rsid w:val="001B6D58"/>
    <w:rsid w:val="001B6FA7"/>
    <w:rsid w:val="001B7A15"/>
    <w:rsid w:val="001B7B69"/>
    <w:rsid w:val="001B7DC1"/>
    <w:rsid w:val="001C08DB"/>
    <w:rsid w:val="001C10BD"/>
    <w:rsid w:val="001C1F01"/>
    <w:rsid w:val="001C2092"/>
    <w:rsid w:val="001C232F"/>
    <w:rsid w:val="001C2544"/>
    <w:rsid w:val="001C2A17"/>
    <w:rsid w:val="001C31F5"/>
    <w:rsid w:val="001C35BF"/>
    <w:rsid w:val="001C6047"/>
    <w:rsid w:val="001C6698"/>
    <w:rsid w:val="001C6C5B"/>
    <w:rsid w:val="001C7399"/>
    <w:rsid w:val="001C7CE0"/>
    <w:rsid w:val="001D005B"/>
    <w:rsid w:val="001D0878"/>
    <w:rsid w:val="001D0947"/>
    <w:rsid w:val="001D0FB2"/>
    <w:rsid w:val="001D16F5"/>
    <w:rsid w:val="001D16FE"/>
    <w:rsid w:val="001D1970"/>
    <w:rsid w:val="001D1D55"/>
    <w:rsid w:val="001D21EF"/>
    <w:rsid w:val="001D29A4"/>
    <w:rsid w:val="001D2B73"/>
    <w:rsid w:val="001D2D5F"/>
    <w:rsid w:val="001D3136"/>
    <w:rsid w:val="001D330D"/>
    <w:rsid w:val="001D4AB6"/>
    <w:rsid w:val="001D4AD3"/>
    <w:rsid w:val="001D5281"/>
    <w:rsid w:val="001E0F77"/>
    <w:rsid w:val="001E17E3"/>
    <w:rsid w:val="001E2052"/>
    <w:rsid w:val="001E2492"/>
    <w:rsid w:val="001E257C"/>
    <w:rsid w:val="001E286C"/>
    <w:rsid w:val="001E2F34"/>
    <w:rsid w:val="001E35EE"/>
    <w:rsid w:val="001E4B2C"/>
    <w:rsid w:val="001E507F"/>
    <w:rsid w:val="001E56C2"/>
    <w:rsid w:val="001E59FB"/>
    <w:rsid w:val="001E693F"/>
    <w:rsid w:val="001E7F81"/>
    <w:rsid w:val="001F0FD1"/>
    <w:rsid w:val="001F125D"/>
    <w:rsid w:val="001F1526"/>
    <w:rsid w:val="001F19D1"/>
    <w:rsid w:val="001F1CB9"/>
    <w:rsid w:val="001F1F18"/>
    <w:rsid w:val="001F2F92"/>
    <w:rsid w:val="001F456F"/>
    <w:rsid w:val="001F5DA1"/>
    <w:rsid w:val="001F612E"/>
    <w:rsid w:val="001F6A92"/>
    <w:rsid w:val="001F77E8"/>
    <w:rsid w:val="00201A0C"/>
    <w:rsid w:val="00201B0F"/>
    <w:rsid w:val="0020255A"/>
    <w:rsid w:val="002025B1"/>
    <w:rsid w:val="00202800"/>
    <w:rsid w:val="002029C7"/>
    <w:rsid w:val="00202D33"/>
    <w:rsid w:val="00202E58"/>
    <w:rsid w:val="00202F99"/>
    <w:rsid w:val="00203C85"/>
    <w:rsid w:val="0020449A"/>
    <w:rsid w:val="00204E9B"/>
    <w:rsid w:val="00205298"/>
    <w:rsid w:val="002055C0"/>
    <w:rsid w:val="0020569E"/>
    <w:rsid w:val="002064B3"/>
    <w:rsid w:val="00206698"/>
    <w:rsid w:val="00206736"/>
    <w:rsid w:val="00206C88"/>
    <w:rsid w:val="00210B9C"/>
    <w:rsid w:val="00211185"/>
    <w:rsid w:val="00211A94"/>
    <w:rsid w:val="002126F2"/>
    <w:rsid w:val="00212A84"/>
    <w:rsid w:val="00213478"/>
    <w:rsid w:val="00214028"/>
    <w:rsid w:val="002141C3"/>
    <w:rsid w:val="002141DC"/>
    <w:rsid w:val="0021440C"/>
    <w:rsid w:val="00214479"/>
    <w:rsid w:val="002144F3"/>
    <w:rsid w:val="002146C3"/>
    <w:rsid w:val="00215334"/>
    <w:rsid w:val="00215514"/>
    <w:rsid w:val="00215A2A"/>
    <w:rsid w:val="00215A3F"/>
    <w:rsid w:val="00215D21"/>
    <w:rsid w:val="0021636B"/>
    <w:rsid w:val="00216387"/>
    <w:rsid w:val="00216E7B"/>
    <w:rsid w:val="00217E1F"/>
    <w:rsid w:val="002204BC"/>
    <w:rsid w:val="00220F7B"/>
    <w:rsid w:val="002213CE"/>
    <w:rsid w:val="00221AF7"/>
    <w:rsid w:val="00222494"/>
    <w:rsid w:val="00222775"/>
    <w:rsid w:val="00222A31"/>
    <w:rsid w:val="00222CF6"/>
    <w:rsid w:val="00224037"/>
    <w:rsid w:val="002244E4"/>
    <w:rsid w:val="00224D2A"/>
    <w:rsid w:val="00224D8D"/>
    <w:rsid w:val="0022555A"/>
    <w:rsid w:val="00227214"/>
    <w:rsid w:val="00227DDC"/>
    <w:rsid w:val="0023079F"/>
    <w:rsid w:val="00231135"/>
    <w:rsid w:val="00231B0B"/>
    <w:rsid w:val="00232555"/>
    <w:rsid w:val="00233538"/>
    <w:rsid w:val="00233CE7"/>
    <w:rsid w:val="00234248"/>
    <w:rsid w:val="0023449F"/>
    <w:rsid w:val="002344F5"/>
    <w:rsid w:val="0023454D"/>
    <w:rsid w:val="00234679"/>
    <w:rsid w:val="002359FC"/>
    <w:rsid w:val="002361C8"/>
    <w:rsid w:val="00236690"/>
    <w:rsid w:val="0023669D"/>
    <w:rsid w:val="00237EAE"/>
    <w:rsid w:val="00237FA2"/>
    <w:rsid w:val="002403D5"/>
    <w:rsid w:val="00240C1F"/>
    <w:rsid w:val="00240F55"/>
    <w:rsid w:val="00240F67"/>
    <w:rsid w:val="00241144"/>
    <w:rsid w:val="00242510"/>
    <w:rsid w:val="00242F79"/>
    <w:rsid w:val="0024415B"/>
    <w:rsid w:val="00245565"/>
    <w:rsid w:val="002455B2"/>
    <w:rsid w:val="002458C1"/>
    <w:rsid w:val="00245E62"/>
    <w:rsid w:val="002460D0"/>
    <w:rsid w:val="00246357"/>
    <w:rsid w:val="00247422"/>
    <w:rsid w:val="00247BA2"/>
    <w:rsid w:val="00250870"/>
    <w:rsid w:val="0025151C"/>
    <w:rsid w:val="0025184F"/>
    <w:rsid w:val="00251967"/>
    <w:rsid w:val="002527CC"/>
    <w:rsid w:val="00252F48"/>
    <w:rsid w:val="002530C0"/>
    <w:rsid w:val="00253586"/>
    <w:rsid w:val="002537FC"/>
    <w:rsid w:val="002542F8"/>
    <w:rsid w:val="002543EF"/>
    <w:rsid w:val="00254F2A"/>
    <w:rsid w:val="00255419"/>
    <w:rsid w:val="00255784"/>
    <w:rsid w:val="00255A29"/>
    <w:rsid w:val="002562CA"/>
    <w:rsid w:val="0025631F"/>
    <w:rsid w:val="00256986"/>
    <w:rsid w:val="00256D61"/>
    <w:rsid w:val="00256E23"/>
    <w:rsid w:val="00257246"/>
    <w:rsid w:val="00257438"/>
    <w:rsid w:val="0026119C"/>
    <w:rsid w:val="00261AFE"/>
    <w:rsid w:val="00261E58"/>
    <w:rsid w:val="0026212A"/>
    <w:rsid w:val="002621D7"/>
    <w:rsid w:val="00262996"/>
    <w:rsid w:val="00263044"/>
    <w:rsid w:val="00263759"/>
    <w:rsid w:val="002638BD"/>
    <w:rsid w:val="0026470B"/>
    <w:rsid w:val="0026486D"/>
    <w:rsid w:val="00264C4B"/>
    <w:rsid w:val="00264ED0"/>
    <w:rsid w:val="00265346"/>
    <w:rsid w:val="00265501"/>
    <w:rsid w:val="00266045"/>
    <w:rsid w:val="002660C3"/>
    <w:rsid w:val="00266519"/>
    <w:rsid w:val="00266C21"/>
    <w:rsid w:val="00266DE1"/>
    <w:rsid w:val="00267A92"/>
    <w:rsid w:val="00267E43"/>
    <w:rsid w:val="00270282"/>
    <w:rsid w:val="00270780"/>
    <w:rsid w:val="00270CF6"/>
    <w:rsid w:val="00271097"/>
    <w:rsid w:val="00271C53"/>
    <w:rsid w:val="0027244F"/>
    <w:rsid w:val="00273052"/>
    <w:rsid w:val="002739CE"/>
    <w:rsid w:val="00273C5F"/>
    <w:rsid w:val="00274097"/>
    <w:rsid w:val="002741D4"/>
    <w:rsid w:val="002743AC"/>
    <w:rsid w:val="0027499D"/>
    <w:rsid w:val="002751CA"/>
    <w:rsid w:val="0027544D"/>
    <w:rsid w:val="00275D6E"/>
    <w:rsid w:val="00277196"/>
    <w:rsid w:val="002775ED"/>
    <w:rsid w:val="002778AB"/>
    <w:rsid w:val="002802A5"/>
    <w:rsid w:val="00280CFB"/>
    <w:rsid w:val="00280D24"/>
    <w:rsid w:val="002815C4"/>
    <w:rsid w:val="00281BCB"/>
    <w:rsid w:val="00281C76"/>
    <w:rsid w:val="0028316D"/>
    <w:rsid w:val="00283296"/>
    <w:rsid w:val="0028583E"/>
    <w:rsid w:val="00285853"/>
    <w:rsid w:val="00285B1A"/>
    <w:rsid w:val="00285FF3"/>
    <w:rsid w:val="002866EC"/>
    <w:rsid w:val="0028744E"/>
    <w:rsid w:val="002876D2"/>
    <w:rsid w:val="00287936"/>
    <w:rsid w:val="00287BB7"/>
    <w:rsid w:val="002903C5"/>
    <w:rsid w:val="0029041B"/>
    <w:rsid w:val="00290441"/>
    <w:rsid w:val="00290A99"/>
    <w:rsid w:val="00290EAF"/>
    <w:rsid w:val="002912A0"/>
    <w:rsid w:val="0029159A"/>
    <w:rsid w:val="00291CF1"/>
    <w:rsid w:val="00292AA1"/>
    <w:rsid w:val="00292E7B"/>
    <w:rsid w:val="00294012"/>
    <w:rsid w:val="002945B0"/>
    <w:rsid w:val="0029499D"/>
    <w:rsid w:val="00294A13"/>
    <w:rsid w:val="00294B10"/>
    <w:rsid w:val="00294DF9"/>
    <w:rsid w:val="00295073"/>
    <w:rsid w:val="00295468"/>
    <w:rsid w:val="00296C32"/>
    <w:rsid w:val="002977CE"/>
    <w:rsid w:val="00297AF5"/>
    <w:rsid w:val="002A02D6"/>
    <w:rsid w:val="002A07C4"/>
    <w:rsid w:val="002A0921"/>
    <w:rsid w:val="002A0CB3"/>
    <w:rsid w:val="002A1887"/>
    <w:rsid w:val="002A2001"/>
    <w:rsid w:val="002A4060"/>
    <w:rsid w:val="002A41AB"/>
    <w:rsid w:val="002A4868"/>
    <w:rsid w:val="002A4A05"/>
    <w:rsid w:val="002A4D96"/>
    <w:rsid w:val="002A4EB3"/>
    <w:rsid w:val="002A51D9"/>
    <w:rsid w:val="002A525A"/>
    <w:rsid w:val="002A5968"/>
    <w:rsid w:val="002A5CAB"/>
    <w:rsid w:val="002A5D40"/>
    <w:rsid w:val="002A622E"/>
    <w:rsid w:val="002A6424"/>
    <w:rsid w:val="002A64E7"/>
    <w:rsid w:val="002A70AD"/>
    <w:rsid w:val="002A7748"/>
    <w:rsid w:val="002A7ED3"/>
    <w:rsid w:val="002A7FB1"/>
    <w:rsid w:val="002A7FC9"/>
    <w:rsid w:val="002B139C"/>
    <w:rsid w:val="002B17A7"/>
    <w:rsid w:val="002B1881"/>
    <w:rsid w:val="002B1F61"/>
    <w:rsid w:val="002B2070"/>
    <w:rsid w:val="002B2906"/>
    <w:rsid w:val="002B2AF3"/>
    <w:rsid w:val="002B2C66"/>
    <w:rsid w:val="002B34E3"/>
    <w:rsid w:val="002B51B6"/>
    <w:rsid w:val="002B5AEE"/>
    <w:rsid w:val="002B6177"/>
    <w:rsid w:val="002B650C"/>
    <w:rsid w:val="002B68E6"/>
    <w:rsid w:val="002B6985"/>
    <w:rsid w:val="002B6D7A"/>
    <w:rsid w:val="002C02BA"/>
    <w:rsid w:val="002C0301"/>
    <w:rsid w:val="002C0326"/>
    <w:rsid w:val="002C0A9F"/>
    <w:rsid w:val="002C1AB3"/>
    <w:rsid w:val="002C1BB7"/>
    <w:rsid w:val="002C1FB3"/>
    <w:rsid w:val="002C2665"/>
    <w:rsid w:val="002C28E1"/>
    <w:rsid w:val="002C327D"/>
    <w:rsid w:val="002C3890"/>
    <w:rsid w:val="002C3AD9"/>
    <w:rsid w:val="002C4286"/>
    <w:rsid w:val="002C43FC"/>
    <w:rsid w:val="002C45C3"/>
    <w:rsid w:val="002C483B"/>
    <w:rsid w:val="002C4DFE"/>
    <w:rsid w:val="002C4F52"/>
    <w:rsid w:val="002C519E"/>
    <w:rsid w:val="002C5D5E"/>
    <w:rsid w:val="002C6116"/>
    <w:rsid w:val="002C643D"/>
    <w:rsid w:val="002C66B8"/>
    <w:rsid w:val="002C70E7"/>
    <w:rsid w:val="002D0C27"/>
    <w:rsid w:val="002D0E88"/>
    <w:rsid w:val="002D0EA7"/>
    <w:rsid w:val="002D0F31"/>
    <w:rsid w:val="002D1593"/>
    <w:rsid w:val="002D1A1E"/>
    <w:rsid w:val="002D22A6"/>
    <w:rsid w:val="002D2819"/>
    <w:rsid w:val="002D2CD6"/>
    <w:rsid w:val="002D2F81"/>
    <w:rsid w:val="002D38A3"/>
    <w:rsid w:val="002D3BA3"/>
    <w:rsid w:val="002D43EE"/>
    <w:rsid w:val="002D4892"/>
    <w:rsid w:val="002D4D06"/>
    <w:rsid w:val="002D4DDE"/>
    <w:rsid w:val="002D4EE7"/>
    <w:rsid w:val="002D4EED"/>
    <w:rsid w:val="002D5AAD"/>
    <w:rsid w:val="002D5D5A"/>
    <w:rsid w:val="002D5DA3"/>
    <w:rsid w:val="002D6097"/>
    <w:rsid w:val="002D65AD"/>
    <w:rsid w:val="002D6782"/>
    <w:rsid w:val="002D74A4"/>
    <w:rsid w:val="002D7DB2"/>
    <w:rsid w:val="002D7DBD"/>
    <w:rsid w:val="002D7EA8"/>
    <w:rsid w:val="002E00E1"/>
    <w:rsid w:val="002E0102"/>
    <w:rsid w:val="002E03AE"/>
    <w:rsid w:val="002E0542"/>
    <w:rsid w:val="002E05F2"/>
    <w:rsid w:val="002E0E87"/>
    <w:rsid w:val="002E12FA"/>
    <w:rsid w:val="002E13CF"/>
    <w:rsid w:val="002E201C"/>
    <w:rsid w:val="002E22CA"/>
    <w:rsid w:val="002E236F"/>
    <w:rsid w:val="002E30C6"/>
    <w:rsid w:val="002E37C5"/>
    <w:rsid w:val="002E3956"/>
    <w:rsid w:val="002E3C08"/>
    <w:rsid w:val="002E3CF2"/>
    <w:rsid w:val="002E469E"/>
    <w:rsid w:val="002E4C01"/>
    <w:rsid w:val="002E4D50"/>
    <w:rsid w:val="002E55FF"/>
    <w:rsid w:val="002E587E"/>
    <w:rsid w:val="002E672A"/>
    <w:rsid w:val="002E6853"/>
    <w:rsid w:val="002E7EC1"/>
    <w:rsid w:val="002E7EE5"/>
    <w:rsid w:val="002F0323"/>
    <w:rsid w:val="002F0DFB"/>
    <w:rsid w:val="002F134F"/>
    <w:rsid w:val="002F1D0B"/>
    <w:rsid w:val="002F1E1D"/>
    <w:rsid w:val="002F1F02"/>
    <w:rsid w:val="002F27E5"/>
    <w:rsid w:val="002F2D81"/>
    <w:rsid w:val="002F2F66"/>
    <w:rsid w:val="002F39D4"/>
    <w:rsid w:val="002F4BA9"/>
    <w:rsid w:val="002F541B"/>
    <w:rsid w:val="002F5BFE"/>
    <w:rsid w:val="002F5DA5"/>
    <w:rsid w:val="002F5E17"/>
    <w:rsid w:val="002F647C"/>
    <w:rsid w:val="002F6C6B"/>
    <w:rsid w:val="002F6CB0"/>
    <w:rsid w:val="002F6EFF"/>
    <w:rsid w:val="002F7DF0"/>
    <w:rsid w:val="002F7FAF"/>
    <w:rsid w:val="00300573"/>
    <w:rsid w:val="003025FE"/>
    <w:rsid w:val="00302A27"/>
    <w:rsid w:val="00303AB6"/>
    <w:rsid w:val="00304640"/>
    <w:rsid w:val="00304AC1"/>
    <w:rsid w:val="00305090"/>
    <w:rsid w:val="00305454"/>
    <w:rsid w:val="00305B9F"/>
    <w:rsid w:val="00305C4C"/>
    <w:rsid w:val="00305E21"/>
    <w:rsid w:val="003066C6"/>
    <w:rsid w:val="003066FA"/>
    <w:rsid w:val="00306AD6"/>
    <w:rsid w:val="003077F4"/>
    <w:rsid w:val="00307DC7"/>
    <w:rsid w:val="00307FF2"/>
    <w:rsid w:val="00310EDB"/>
    <w:rsid w:val="00311C51"/>
    <w:rsid w:val="00311D56"/>
    <w:rsid w:val="00312016"/>
    <w:rsid w:val="00312340"/>
    <w:rsid w:val="00312DFC"/>
    <w:rsid w:val="00313032"/>
    <w:rsid w:val="0031318C"/>
    <w:rsid w:val="00313C9D"/>
    <w:rsid w:val="0031430C"/>
    <w:rsid w:val="003146C2"/>
    <w:rsid w:val="00314919"/>
    <w:rsid w:val="00314C5A"/>
    <w:rsid w:val="0031531A"/>
    <w:rsid w:val="00315394"/>
    <w:rsid w:val="00315D77"/>
    <w:rsid w:val="00315D8E"/>
    <w:rsid w:val="00316002"/>
    <w:rsid w:val="00316CDE"/>
    <w:rsid w:val="00316E94"/>
    <w:rsid w:val="0031752D"/>
    <w:rsid w:val="00317709"/>
    <w:rsid w:val="00320688"/>
    <w:rsid w:val="00320B75"/>
    <w:rsid w:val="00321DB7"/>
    <w:rsid w:val="00321E7A"/>
    <w:rsid w:val="0032226D"/>
    <w:rsid w:val="003235E6"/>
    <w:rsid w:val="00324038"/>
    <w:rsid w:val="00324951"/>
    <w:rsid w:val="003249F6"/>
    <w:rsid w:val="00324B2F"/>
    <w:rsid w:val="00325FCC"/>
    <w:rsid w:val="00326106"/>
    <w:rsid w:val="00326805"/>
    <w:rsid w:val="003269B7"/>
    <w:rsid w:val="00326C0E"/>
    <w:rsid w:val="003272A3"/>
    <w:rsid w:val="003272E4"/>
    <w:rsid w:val="00327B71"/>
    <w:rsid w:val="00331461"/>
    <w:rsid w:val="003316A8"/>
    <w:rsid w:val="00331C80"/>
    <w:rsid w:val="00331CC9"/>
    <w:rsid w:val="00331E12"/>
    <w:rsid w:val="003320D7"/>
    <w:rsid w:val="00332265"/>
    <w:rsid w:val="00332862"/>
    <w:rsid w:val="00332D52"/>
    <w:rsid w:val="00333337"/>
    <w:rsid w:val="00333593"/>
    <w:rsid w:val="00333A28"/>
    <w:rsid w:val="00333B6C"/>
    <w:rsid w:val="00334927"/>
    <w:rsid w:val="003360AD"/>
    <w:rsid w:val="0033631D"/>
    <w:rsid w:val="003369C7"/>
    <w:rsid w:val="003373A6"/>
    <w:rsid w:val="00337409"/>
    <w:rsid w:val="00337E18"/>
    <w:rsid w:val="003405AF"/>
    <w:rsid w:val="0034088F"/>
    <w:rsid w:val="00340B3E"/>
    <w:rsid w:val="003413D2"/>
    <w:rsid w:val="00341525"/>
    <w:rsid w:val="0034257E"/>
    <w:rsid w:val="003429A1"/>
    <w:rsid w:val="003429FC"/>
    <w:rsid w:val="00343079"/>
    <w:rsid w:val="00343127"/>
    <w:rsid w:val="00343320"/>
    <w:rsid w:val="00344066"/>
    <w:rsid w:val="00344BBF"/>
    <w:rsid w:val="0034509B"/>
    <w:rsid w:val="00345644"/>
    <w:rsid w:val="00345D0E"/>
    <w:rsid w:val="00345D7A"/>
    <w:rsid w:val="0034607E"/>
    <w:rsid w:val="00346A96"/>
    <w:rsid w:val="00346B6D"/>
    <w:rsid w:val="00346BA3"/>
    <w:rsid w:val="00346C69"/>
    <w:rsid w:val="00347356"/>
    <w:rsid w:val="0035005C"/>
    <w:rsid w:val="00350896"/>
    <w:rsid w:val="00350C31"/>
    <w:rsid w:val="00350C9F"/>
    <w:rsid w:val="00351391"/>
    <w:rsid w:val="00351995"/>
    <w:rsid w:val="003519CD"/>
    <w:rsid w:val="00351A3A"/>
    <w:rsid w:val="0035455F"/>
    <w:rsid w:val="00354A88"/>
    <w:rsid w:val="00355D75"/>
    <w:rsid w:val="00355D8F"/>
    <w:rsid w:val="00356A73"/>
    <w:rsid w:val="00356FF0"/>
    <w:rsid w:val="00357051"/>
    <w:rsid w:val="003577EF"/>
    <w:rsid w:val="00357A60"/>
    <w:rsid w:val="00360304"/>
    <w:rsid w:val="00360A78"/>
    <w:rsid w:val="00361750"/>
    <w:rsid w:val="00362061"/>
    <w:rsid w:val="00363894"/>
    <w:rsid w:val="00363B2A"/>
    <w:rsid w:val="00363BF1"/>
    <w:rsid w:val="00366779"/>
    <w:rsid w:val="003668E5"/>
    <w:rsid w:val="003669C8"/>
    <w:rsid w:val="00366CEB"/>
    <w:rsid w:val="003672B3"/>
    <w:rsid w:val="003676DF"/>
    <w:rsid w:val="00367783"/>
    <w:rsid w:val="00367898"/>
    <w:rsid w:val="003679D3"/>
    <w:rsid w:val="00367A87"/>
    <w:rsid w:val="00367EE7"/>
    <w:rsid w:val="003703BB"/>
    <w:rsid w:val="003705EA"/>
    <w:rsid w:val="00370A56"/>
    <w:rsid w:val="00371213"/>
    <w:rsid w:val="00372842"/>
    <w:rsid w:val="003729A5"/>
    <w:rsid w:val="00372C89"/>
    <w:rsid w:val="00372E9A"/>
    <w:rsid w:val="003735B9"/>
    <w:rsid w:val="00373634"/>
    <w:rsid w:val="00374677"/>
    <w:rsid w:val="0037510C"/>
    <w:rsid w:val="00375850"/>
    <w:rsid w:val="0037632F"/>
    <w:rsid w:val="00377B26"/>
    <w:rsid w:val="00381014"/>
    <w:rsid w:val="00381604"/>
    <w:rsid w:val="00381C68"/>
    <w:rsid w:val="00381F60"/>
    <w:rsid w:val="00383204"/>
    <w:rsid w:val="00383AB0"/>
    <w:rsid w:val="003847BB"/>
    <w:rsid w:val="00384814"/>
    <w:rsid w:val="00384C0A"/>
    <w:rsid w:val="00385B16"/>
    <w:rsid w:val="00385B96"/>
    <w:rsid w:val="0038637D"/>
    <w:rsid w:val="003868F6"/>
    <w:rsid w:val="003869DC"/>
    <w:rsid w:val="00386C07"/>
    <w:rsid w:val="00386F58"/>
    <w:rsid w:val="0038700D"/>
    <w:rsid w:val="003879CE"/>
    <w:rsid w:val="00387B88"/>
    <w:rsid w:val="00390B8F"/>
    <w:rsid w:val="00390C0D"/>
    <w:rsid w:val="00391447"/>
    <w:rsid w:val="003919D9"/>
    <w:rsid w:val="00391BDD"/>
    <w:rsid w:val="003922DE"/>
    <w:rsid w:val="00392E35"/>
    <w:rsid w:val="00393247"/>
    <w:rsid w:val="00393551"/>
    <w:rsid w:val="00393816"/>
    <w:rsid w:val="00393FCD"/>
    <w:rsid w:val="003944EA"/>
    <w:rsid w:val="00394639"/>
    <w:rsid w:val="00394DF6"/>
    <w:rsid w:val="00394EC6"/>
    <w:rsid w:val="00395A02"/>
    <w:rsid w:val="00395CD9"/>
    <w:rsid w:val="003962E6"/>
    <w:rsid w:val="00396831"/>
    <w:rsid w:val="00396FBC"/>
    <w:rsid w:val="003971A1"/>
    <w:rsid w:val="003A03D0"/>
    <w:rsid w:val="003A0F6B"/>
    <w:rsid w:val="003A12B6"/>
    <w:rsid w:val="003A1C44"/>
    <w:rsid w:val="003A20D5"/>
    <w:rsid w:val="003A24CC"/>
    <w:rsid w:val="003A2512"/>
    <w:rsid w:val="003A2A53"/>
    <w:rsid w:val="003A2EE8"/>
    <w:rsid w:val="003A373C"/>
    <w:rsid w:val="003A5378"/>
    <w:rsid w:val="003A553C"/>
    <w:rsid w:val="003A56DF"/>
    <w:rsid w:val="003A6008"/>
    <w:rsid w:val="003A703F"/>
    <w:rsid w:val="003A7E2B"/>
    <w:rsid w:val="003A7E40"/>
    <w:rsid w:val="003B0336"/>
    <w:rsid w:val="003B0A3A"/>
    <w:rsid w:val="003B0D79"/>
    <w:rsid w:val="003B2930"/>
    <w:rsid w:val="003B31A7"/>
    <w:rsid w:val="003B3F17"/>
    <w:rsid w:val="003B4587"/>
    <w:rsid w:val="003B4B51"/>
    <w:rsid w:val="003B4FE1"/>
    <w:rsid w:val="003B514E"/>
    <w:rsid w:val="003B5531"/>
    <w:rsid w:val="003B5A25"/>
    <w:rsid w:val="003B636A"/>
    <w:rsid w:val="003B69CE"/>
    <w:rsid w:val="003B7403"/>
    <w:rsid w:val="003B7751"/>
    <w:rsid w:val="003C011C"/>
    <w:rsid w:val="003C0E32"/>
    <w:rsid w:val="003C11D7"/>
    <w:rsid w:val="003C16CB"/>
    <w:rsid w:val="003C1B97"/>
    <w:rsid w:val="003C247B"/>
    <w:rsid w:val="003C2B88"/>
    <w:rsid w:val="003C3292"/>
    <w:rsid w:val="003C3C1E"/>
    <w:rsid w:val="003C3D88"/>
    <w:rsid w:val="003C4134"/>
    <w:rsid w:val="003C435B"/>
    <w:rsid w:val="003C4EBE"/>
    <w:rsid w:val="003C62EC"/>
    <w:rsid w:val="003C685A"/>
    <w:rsid w:val="003C6E9C"/>
    <w:rsid w:val="003C746F"/>
    <w:rsid w:val="003C7570"/>
    <w:rsid w:val="003C76E6"/>
    <w:rsid w:val="003C79F2"/>
    <w:rsid w:val="003C7E59"/>
    <w:rsid w:val="003C7F12"/>
    <w:rsid w:val="003D03D6"/>
    <w:rsid w:val="003D075D"/>
    <w:rsid w:val="003D0EE2"/>
    <w:rsid w:val="003D1283"/>
    <w:rsid w:val="003D14C8"/>
    <w:rsid w:val="003D1517"/>
    <w:rsid w:val="003D16C5"/>
    <w:rsid w:val="003D1CA9"/>
    <w:rsid w:val="003D2DA0"/>
    <w:rsid w:val="003D34C3"/>
    <w:rsid w:val="003D3D83"/>
    <w:rsid w:val="003D4685"/>
    <w:rsid w:val="003D4A41"/>
    <w:rsid w:val="003D4CDF"/>
    <w:rsid w:val="003D514A"/>
    <w:rsid w:val="003D5ADB"/>
    <w:rsid w:val="003D6448"/>
    <w:rsid w:val="003D646C"/>
    <w:rsid w:val="003D663E"/>
    <w:rsid w:val="003D664B"/>
    <w:rsid w:val="003D6793"/>
    <w:rsid w:val="003D6B03"/>
    <w:rsid w:val="003D75D8"/>
    <w:rsid w:val="003E006E"/>
    <w:rsid w:val="003E0947"/>
    <w:rsid w:val="003E0E96"/>
    <w:rsid w:val="003E20F7"/>
    <w:rsid w:val="003E2FA2"/>
    <w:rsid w:val="003E336A"/>
    <w:rsid w:val="003E3E2F"/>
    <w:rsid w:val="003E4048"/>
    <w:rsid w:val="003E425C"/>
    <w:rsid w:val="003E4CE5"/>
    <w:rsid w:val="003E51FF"/>
    <w:rsid w:val="003E604C"/>
    <w:rsid w:val="003E60DA"/>
    <w:rsid w:val="003E6E00"/>
    <w:rsid w:val="003E7111"/>
    <w:rsid w:val="003E7940"/>
    <w:rsid w:val="003F01BD"/>
    <w:rsid w:val="003F0486"/>
    <w:rsid w:val="003F048E"/>
    <w:rsid w:val="003F09FA"/>
    <w:rsid w:val="003F0AFF"/>
    <w:rsid w:val="003F1AA2"/>
    <w:rsid w:val="003F26DC"/>
    <w:rsid w:val="003F42FF"/>
    <w:rsid w:val="003F4B48"/>
    <w:rsid w:val="003F4DDC"/>
    <w:rsid w:val="003F56B8"/>
    <w:rsid w:val="003F57CB"/>
    <w:rsid w:val="003F5F1A"/>
    <w:rsid w:val="003F6327"/>
    <w:rsid w:val="003F7425"/>
    <w:rsid w:val="003F765B"/>
    <w:rsid w:val="003F7CB8"/>
    <w:rsid w:val="00400657"/>
    <w:rsid w:val="00400CB4"/>
    <w:rsid w:val="00401386"/>
    <w:rsid w:val="004013E6"/>
    <w:rsid w:val="00401E31"/>
    <w:rsid w:val="00402BBA"/>
    <w:rsid w:val="004035D0"/>
    <w:rsid w:val="0040361D"/>
    <w:rsid w:val="00403795"/>
    <w:rsid w:val="004041FB"/>
    <w:rsid w:val="0040443E"/>
    <w:rsid w:val="004054BE"/>
    <w:rsid w:val="004056B6"/>
    <w:rsid w:val="00405764"/>
    <w:rsid w:val="00406745"/>
    <w:rsid w:val="0040674B"/>
    <w:rsid w:val="00406B32"/>
    <w:rsid w:val="004074FA"/>
    <w:rsid w:val="00407A56"/>
    <w:rsid w:val="00407FB7"/>
    <w:rsid w:val="00407FCC"/>
    <w:rsid w:val="0041035A"/>
    <w:rsid w:val="00410E76"/>
    <w:rsid w:val="004112D1"/>
    <w:rsid w:val="004113C9"/>
    <w:rsid w:val="00411D1E"/>
    <w:rsid w:val="00411DF2"/>
    <w:rsid w:val="004120DF"/>
    <w:rsid w:val="004126B5"/>
    <w:rsid w:val="00414909"/>
    <w:rsid w:val="00415034"/>
    <w:rsid w:val="0041596F"/>
    <w:rsid w:val="00415B1A"/>
    <w:rsid w:val="00415DFD"/>
    <w:rsid w:val="00416208"/>
    <w:rsid w:val="0041690F"/>
    <w:rsid w:val="004169D3"/>
    <w:rsid w:val="00416C2B"/>
    <w:rsid w:val="00416D41"/>
    <w:rsid w:val="00416E70"/>
    <w:rsid w:val="00417264"/>
    <w:rsid w:val="004172B3"/>
    <w:rsid w:val="004210C0"/>
    <w:rsid w:val="004211DD"/>
    <w:rsid w:val="00421762"/>
    <w:rsid w:val="00421D4B"/>
    <w:rsid w:val="00421ED8"/>
    <w:rsid w:val="00422380"/>
    <w:rsid w:val="00422907"/>
    <w:rsid w:val="00423125"/>
    <w:rsid w:val="00423309"/>
    <w:rsid w:val="004233AD"/>
    <w:rsid w:val="00424446"/>
    <w:rsid w:val="00424867"/>
    <w:rsid w:val="00425341"/>
    <w:rsid w:val="004255FE"/>
    <w:rsid w:val="00425674"/>
    <w:rsid w:val="00425A82"/>
    <w:rsid w:val="00425C60"/>
    <w:rsid w:val="00426B2C"/>
    <w:rsid w:val="00427183"/>
    <w:rsid w:val="00427FA8"/>
    <w:rsid w:val="0043009D"/>
    <w:rsid w:val="0043026B"/>
    <w:rsid w:val="00430299"/>
    <w:rsid w:val="004306D4"/>
    <w:rsid w:val="00431A2A"/>
    <w:rsid w:val="00432ECA"/>
    <w:rsid w:val="0043554E"/>
    <w:rsid w:val="004355D4"/>
    <w:rsid w:val="004357B1"/>
    <w:rsid w:val="00435821"/>
    <w:rsid w:val="0043583E"/>
    <w:rsid w:val="00436CCE"/>
    <w:rsid w:val="00436EAD"/>
    <w:rsid w:val="004375E1"/>
    <w:rsid w:val="00437A2F"/>
    <w:rsid w:val="00440262"/>
    <w:rsid w:val="004406BF"/>
    <w:rsid w:val="00440814"/>
    <w:rsid w:val="004408AE"/>
    <w:rsid w:val="0044105D"/>
    <w:rsid w:val="00441424"/>
    <w:rsid w:val="00442731"/>
    <w:rsid w:val="00442C12"/>
    <w:rsid w:val="004434DF"/>
    <w:rsid w:val="0044354B"/>
    <w:rsid w:val="0044493E"/>
    <w:rsid w:val="00444A1F"/>
    <w:rsid w:val="00444FC6"/>
    <w:rsid w:val="00445874"/>
    <w:rsid w:val="00445C38"/>
    <w:rsid w:val="0044686B"/>
    <w:rsid w:val="004475F7"/>
    <w:rsid w:val="0045057B"/>
    <w:rsid w:val="0045069B"/>
    <w:rsid w:val="00450B22"/>
    <w:rsid w:val="00451709"/>
    <w:rsid w:val="004518FA"/>
    <w:rsid w:val="00451A02"/>
    <w:rsid w:val="0045277C"/>
    <w:rsid w:val="00452C27"/>
    <w:rsid w:val="00453507"/>
    <w:rsid w:val="00453592"/>
    <w:rsid w:val="004543AB"/>
    <w:rsid w:val="004545EC"/>
    <w:rsid w:val="00455967"/>
    <w:rsid w:val="00455BDB"/>
    <w:rsid w:val="00455F71"/>
    <w:rsid w:val="00456272"/>
    <w:rsid w:val="004570EF"/>
    <w:rsid w:val="00457517"/>
    <w:rsid w:val="00457CF7"/>
    <w:rsid w:val="00457D37"/>
    <w:rsid w:val="0046028A"/>
    <w:rsid w:val="00460E3A"/>
    <w:rsid w:val="00460E68"/>
    <w:rsid w:val="004614BC"/>
    <w:rsid w:val="004619A5"/>
    <w:rsid w:val="00461F80"/>
    <w:rsid w:val="0046240D"/>
    <w:rsid w:val="00462898"/>
    <w:rsid w:val="00462D84"/>
    <w:rsid w:val="00463208"/>
    <w:rsid w:val="00463576"/>
    <w:rsid w:val="004636D6"/>
    <w:rsid w:val="0046399D"/>
    <w:rsid w:val="00463EA4"/>
    <w:rsid w:val="004642C9"/>
    <w:rsid w:val="00465A21"/>
    <w:rsid w:val="00465DE5"/>
    <w:rsid w:val="00466151"/>
    <w:rsid w:val="00466978"/>
    <w:rsid w:val="00466ABA"/>
    <w:rsid w:val="00466B64"/>
    <w:rsid w:val="004672E3"/>
    <w:rsid w:val="0046775D"/>
    <w:rsid w:val="00467823"/>
    <w:rsid w:val="004705FA"/>
    <w:rsid w:val="004708AC"/>
    <w:rsid w:val="00470B42"/>
    <w:rsid w:val="00471387"/>
    <w:rsid w:val="0047146C"/>
    <w:rsid w:val="0047149F"/>
    <w:rsid w:val="00471963"/>
    <w:rsid w:val="004724B8"/>
    <w:rsid w:val="004728FB"/>
    <w:rsid w:val="004729AD"/>
    <w:rsid w:val="00472CA7"/>
    <w:rsid w:val="00472CEC"/>
    <w:rsid w:val="00473308"/>
    <w:rsid w:val="0047377C"/>
    <w:rsid w:val="0047471E"/>
    <w:rsid w:val="004749DA"/>
    <w:rsid w:val="00474DEF"/>
    <w:rsid w:val="00475396"/>
    <w:rsid w:val="00475729"/>
    <w:rsid w:val="004758E7"/>
    <w:rsid w:val="00475BAB"/>
    <w:rsid w:val="00475CBD"/>
    <w:rsid w:val="004764C6"/>
    <w:rsid w:val="00476AC1"/>
    <w:rsid w:val="00476F97"/>
    <w:rsid w:val="00477247"/>
    <w:rsid w:val="004776BB"/>
    <w:rsid w:val="004776FB"/>
    <w:rsid w:val="0048055E"/>
    <w:rsid w:val="00480C2B"/>
    <w:rsid w:val="00480DC5"/>
    <w:rsid w:val="00480FD9"/>
    <w:rsid w:val="0048131D"/>
    <w:rsid w:val="00481D0B"/>
    <w:rsid w:val="004824A9"/>
    <w:rsid w:val="00483091"/>
    <w:rsid w:val="00483140"/>
    <w:rsid w:val="00483984"/>
    <w:rsid w:val="00483BC7"/>
    <w:rsid w:val="00483CF0"/>
    <w:rsid w:val="00484D4D"/>
    <w:rsid w:val="00486516"/>
    <w:rsid w:val="0048664F"/>
    <w:rsid w:val="004868AD"/>
    <w:rsid w:val="00486D00"/>
    <w:rsid w:val="00487FE1"/>
    <w:rsid w:val="00490707"/>
    <w:rsid w:val="00490815"/>
    <w:rsid w:val="0049117E"/>
    <w:rsid w:val="00492503"/>
    <w:rsid w:val="004925C8"/>
    <w:rsid w:val="00492AF9"/>
    <w:rsid w:val="00492B76"/>
    <w:rsid w:val="00492DFB"/>
    <w:rsid w:val="0049333E"/>
    <w:rsid w:val="0049418F"/>
    <w:rsid w:val="0049570D"/>
    <w:rsid w:val="00495C48"/>
    <w:rsid w:val="00495DC6"/>
    <w:rsid w:val="00496CCE"/>
    <w:rsid w:val="004978C1"/>
    <w:rsid w:val="00497A5C"/>
    <w:rsid w:val="00497AAD"/>
    <w:rsid w:val="00497BD7"/>
    <w:rsid w:val="00497D1A"/>
    <w:rsid w:val="004A00C9"/>
    <w:rsid w:val="004A03D0"/>
    <w:rsid w:val="004A1049"/>
    <w:rsid w:val="004A1AFA"/>
    <w:rsid w:val="004A1EA7"/>
    <w:rsid w:val="004A26F5"/>
    <w:rsid w:val="004A2EF8"/>
    <w:rsid w:val="004A3A21"/>
    <w:rsid w:val="004A407A"/>
    <w:rsid w:val="004A4E3B"/>
    <w:rsid w:val="004A6110"/>
    <w:rsid w:val="004A61B8"/>
    <w:rsid w:val="004A6415"/>
    <w:rsid w:val="004A64F9"/>
    <w:rsid w:val="004A65F4"/>
    <w:rsid w:val="004A6D2C"/>
    <w:rsid w:val="004B026C"/>
    <w:rsid w:val="004B0271"/>
    <w:rsid w:val="004B0BE8"/>
    <w:rsid w:val="004B0E4A"/>
    <w:rsid w:val="004B18F4"/>
    <w:rsid w:val="004B1A98"/>
    <w:rsid w:val="004B2463"/>
    <w:rsid w:val="004B2E9D"/>
    <w:rsid w:val="004B305F"/>
    <w:rsid w:val="004B34C4"/>
    <w:rsid w:val="004B34E8"/>
    <w:rsid w:val="004B3981"/>
    <w:rsid w:val="004B3A03"/>
    <w:rsid w:val="004B419F"/>
    <w:rsid w:val="004B4EA9"/>
    <w:rsid w:val="004B5C96"/>
    <w:rsid w:val="004B6124"/>
    <w:rsid w:val="004B6E50"/>
    <w:rsid w:val="004B728F"/>
    <w:rsid w:val="004B7317"/>
    <w:rsid w:val="004B75B2"/>
    <w:rsid w:val="004B75C6"/>
    <w:rsid w:val="004C02C5"/>
    <w:rsid w:val="004C0BF0"/>
    <w:rsid w:val="004C0D40"/>
    <w:rsid w:val="004C114F"/>
    <w:rsid w:val="004C11A9"/>
    <w:rsid w:val="004C27CF"/>
    <w:rsid w:val="004C2CA7"/>
    <w:rsid w:val="004C3592"/>
    <w:rsid w:val="004C36D8"/>
    <w:rsid w:val="004C45C8"/>
    <w:rsid w:val="004C4F8F"/>
    <w:rsid w:val="004C5F4B"/>
    <w:rsid w:val="004C612E"/>
    <w:rsid w:val="004C61B8"/>
    <w:rsid w:val="004C69FE"/>
    <w:rsid w:val="004C6C0A"/>
    <w:rsid w:val="004C6C6D"/>
    <w:rsid w:val="004C77FF"/>
    <w:rsid w:val="004C7DB0"/>
    <w:rsid w:val="004C7FFC"/>
    <w:rsid w:val="004D0223"/>
    <w:rsid w:val="004D0C4C"/>
    <w:rsid w:val="004D16A3"/>
    <w:rsid w:val="004D1934"/>
    <w:rsid w:val="004D1E41"/>
    <w:rsid w:val="004D2326"/>
    <w:rsid w:val="004D2E11"/>
    <w:rsid w:val="004D2F9F"/>
    <w:rsid w:val="004D3108"/>
    <w:rsid w:val="004D329C"/>
    <w:rsid w:val="004D34D1"/>
    <w:rsid w:val="004D4523"/>
    <w:rsid w:val="004D4990"/>
    <w:rsid w:val="004D51D6"/>
    <w:rsid w:val="004D6BF2"/>
    <w:rsid w:val="004D6F29"/>
    <w:rsid w:val="004D7BF5"/>
    <w:rsid w:val="004D7F9C"/>
    <w:rsid w:val="004E03F4"/>
    <w:rsid w:val="004E068F"/>
    <w:rsid w:val="004E0860"/>
    <w:rsid w:val="004E09CF"/>
    <w:rsid w:val="004E0B75"/>
    <w:rsid w:val="004E0C29"/>
    <w:rsid w:val="004E0DC4"/>
    <w:rsid w:val="004E109C"/>
    <w:rsid w:val="004E1D6F"/>
    <w:rsid w:val="004E1DF3"/>
    <w:rsid w:val="004E2393"/>
    <w:rsid w:val="004E3117"/>
    <w:rsid w:val="004E3A2A"/>
    <w:rsid w:val="004E3AB1"/>
    <w:rsid w:val="004E4003"/>
    <w:rsid w:val="004E4626"/>
    <w:rsid w:val="004E4984"/>
    <w:rsid w:val="004E5101"/>
    <w:rsid w:val="004E5380"/>
    <w:rsid w:val="004E6746"/>
    <w:rsid w:val="004E6CAC"/>
    <w:rsid w:val="004E6F69"/>
    <w:rsid w:val="004E75C1"/>
    <w:rsid w:val="004E7683"/>
    <w:rsid w:val="004E777F"/>
    <w:rsid w:val="004F07F2"/>
    <w:rsid w:val="004F07F9"/>
    <w:rsid w:val="004F0A50"/>
    <w:rsid w:val="004F0D1F"/>
    <w:rsid w:val="004F0E82"/>
    <w:rsid w:val="004F1523"/>
    <w:rsid w:val="004F1847"/>
    <w:rsid w:val="004F1CE1"/>
    <w:rsid w:val="004F1F9E"/>
    <w:rsid w:val="004F2CB6"/>
    <w:rsid w:val="004F2E6E"/>
    <w:rsid w:val="004F3015"/>
    <w:rsid w:val="004F313F"/>
    <w:rsid w:val="004F367F"/>
    <w:rsid w:val="004F3EEF"/>
    <w:rsid w:val="004F43A7"/>
    <w:rsid w:val="004F447B"/>
    <w:rsid w:val="004F497C"/>
    <w:rsid w:val="004F4FAC"/>
    <w:rsid w:val="004F4FE8"/>
    <w:rsid w:val="004F531B"/>
    <w:rsid w:val="004F560C"/>
    <w:rsid w:val="004F5DBB"/>
    <w:rsid w:val="004F60B4"/>
    <w:rsid w:val="004F61A3"/>
    <w:rsid w:val="004F6874"/>
    <w:rsid w:val="004F7922"/>
    <w:rsid w:val="004F7A1F"/>
    <w:rsid w:val="004F7B47"/>
    <w:rsid w:val="0050079C"/>
    <w:rsid w:val="0050106A"/>
    <w:rsid w:val="005010BC"/>
    <w:rsid w:val="00501848"/>
    <w:rsid w:val="00502B31"/>
    <w:rsid w:val="0050434C"/>
    <w:rsid w:val="0050537D"/>
    <w:rsid w:val="0050591C"/>
    <w:rsid w:val="005059BD"/>
    <w:rsid w:val="005060AE"/>
    <w:rsid w:val="005076A4"/>
    <w:rsid w:val="0050790B"/>
    <w:rsid w:val="00507FDF"/>
    <w:rsid w:val="0051037C"/>
    <w:rsid w:val="0051050F"/>
    <w:rsid w:val="0051058B"/>
    <w:rsid w:val="00510DDC"/>
    <w:rsid w:val="00511166"/>
    <w:rsid w:val="00512217"/>
    <w:rsid w:val="00512459"/>
    <w:rsid w:val="005131A2"/>
    <w:rsid w:val="005137E4"/>
    <w:rsid w:val="00513BB9"/>
    <w:rsid w:val="0051440E"/>
    <w:rsid w:val="00514480"/>
    <w:rsid w:val="005148CD"/>
    <w:rsid w:val="00515180"/>
    <w:rsid w:val="00515973"/>
    <w:rsid w:val="00516069"/>
    <w:rsid w:val="00517AC8"/>
    <w:rsid w:val="00517C3E"/>
    <w:rsid w:val="005207D8"/>
    <w:rsid w:val="0052091D"/>
    <w:rsid w:val="005212F4"/>
    <w:rsid w:val="00521908"/>
    <w:rsid w:val="005224BC"/>
    <w:rsid w:val="00522928"/>
    <w:rsid w:val="00522FF1"/>
    <w:rsid w:val="005235D8"/>
    <w:rsid w:val="00523946"/>
    <w:rsid w:val="0052397A"/>
    <w:rsid w:val="005256D6"/>
    <w:rsid w:val="00525AD8"/>
    <w:rsid w:val="00526429"/>
    <w:rsid w:val="005266C1"/>
    <w:rsid w:val="005267F4"/>
    <w:rsid w:val="005269D3"/>
    <w:rsid w:val="00527317"/>
    <w:rsid w:val="00527ED6"/>
    <w:rsid w:val="0053024F"/>
    <w:rsid w:val="00531064"/>
    <w:rsid w:val="005312CB"/>
    <w:rsid w:val="005313B2"/>
    <w:rsid w:val="00531911"/>
    <w:rsid w:val="00531E92"/>
    <w:rsid w:val="005324D7"/>
    <w:rsid w:val="005326F0"/>
    <w:rsid w:val="00532764"/>
    <w:rsid w:val="00532AA5"/>
    <w:rsid w:val="00532C5F"/>
    <w:rsid w:val="00533233"/>
    <w:rsid w:val="005335A2"/>
    <w:rsid w:val="00533D13"/>
    <w:rsid w:val="00533DEC"/>
    <w:rsid w:val="00534026"/>
    <w:rsid w:val="00534D55"/>
    <w:rsid w:val="00535B53"/>
    <w:rsid w:val="00536B03"/>
    <w:rsid w:val="00537456"/>
    <w:rsid w:val="0053790C"/>
    <w:rsid w:val="00537B3D"/>
    <w:rsid w:val="00540401"/>
    <w:rsid w:val="005405B2"/>
    <w:rsid w:val="0054076A"/>
    <w:rsid w:val="00540BBA"/>
    <w:rsid w:val="00540D47"/>
    <w:rsid w:val="00540E71"/>
    <w:rsid w:val="00540EE7"/>
    <w:rsid w:val="00541A22"/>
    <w:rsid w:val="00541EAD"/>
    <w:rsid w:val="005424C2"/>
    <w:rsid w:val="005426B2"/>
    <w:rsid w:val="00543519"/>
    <w:rsid w:val="00543640"/>
    <w:rsid w:val="00544019"/>
    <w:rsid w:val="0054422C"/>
    <w:rsid w:val="005444C6"/>
    <w:rsid w:val="00544BF9"/>
    <w:rsid w:val="00544F05"/>
    <w:rsid w:val="00544FCC"/>
    <w:rsid w:val="005454B8"/>
    <w:rsid w:val="00545697"/>
    <w:rsid w:val="00545ACB"/>
    <w:rsid w:val="00545DB9"/>
    <w:rsid w:val="005462ED"/>
    <w:rsid w:val="00546585"/>
    <w:rsid w:val="00546703"/>
    <w:rsid w:val="0054680A"/>
    <w:rsid w:val="00546BF8"/>
    <w:rsid w:val="00547BA2"/>
    <w:rsid w:val="00550AC5"/>
    <w:rsid w:val="00550B7E"/>
    <w:rsid w:val="00551052"/>
    <w:rsid w:val="005524ED"/>
    <w:rsid w:val="00553F91"/>
    <w:rsid w:val="00554007"/>
    <w:rsid w:val="00554C03"/>
    <w:rsid w:val="00554C58"/>
    <w:rsid w:val="00554D5D"/>
    <w:rsid w:val="005550F9"/>
    <w:rsid w:val="00556338"/>
    <w:rsid w:val="00556441"/>
    <w:rsid w:val="00557031"/>
    <w:rsid w:val="00557F87"/>
    <w:rsid w:val="00560841"/>
    <w:rsid w:val="00560FCB"/>
    <w:rsid w:val="00561001"/>
    <w:rsid w:val="0056111C"/>
    <w:rsid w:val="00561140"/>
    <w:rsid w:val="00561412"/>
    <w:rsid w:val="00561903"/>
    <w:rsid w:val="00561A9B"/>
    <w:rsid w:val="00561E54"/>
    <w:rsid w:val="00561F73"/>
    <w:rsid w:val="005621F7"/>
    <w:rsid w:val="0056278F"/>
    <w:rsid w:val="00562FB1"/>
    <w:rsid w:val="00563068"/>
    <w:rsid w:val="0056376A"/>
    <w:rsid w:val="00563B3C"/>
    <w:rsid w:val="0056419C"/>
    <w:rsid w:val="00564DA7"/>
    <w:rsid w:val="00565204"/>
    <w:rsid w:val="00565473"/>
    <w:rsid w:val="00565DAC"/>
    <w:rsid w:val="00565F0D"/>
    <w:rsid w:val="005662DC"/>
    <w:rsid w:val="00566329"/>
    <w:rsid w:val="005668B9"/>
    <w:rsid w:val="00566E39"/>
    <w:rsid w:val="0056704E"/>
    <w:rsid w:val="00567623"/>
    <w:rsid w:val="005701C2"/>
    <w:rsid w:val="00570763"/>
    <w:rsid w:val="00571886"/>
    <w:rsid w:val="0057200B"/>
    <w:rsid w:val="00572297"/>
    <w:rsid w:val="0057345D"/>
    <w:rsid w:val="0057347D"/>
    <w:rsid w:val="00573560"/>
    <w:rsid w:val="00574954"/>
    <w:rsid w:val="00574E7B"/>
    <w:rsid w:val="00574F36"/>
    <w:rsid w:val="00576B5C"/>
    <w:rsid w:val="005770CC"/>
    <w:rsid w:val="005802F9"/>
    <w:rsid w:val="005806D5"/>
    <w:rsid w:val="00580DFC"/>
    <w:rsid w:val="0058134C"/>
    <w:rsid w:val="005815CD"/>
    <w:rsid w:val="00581AA8"/>
    <w:rsid w:val="00581D39"/>
    <w:rsid w:val="005827A7"/>
    <w:rsid w:val="00583D43"/>
    <w:rsid w:val="005846C3"/>
    <w:rsid w:val="00584F04"/>
    <w:rsid w:val="0058544C"/>
    <w:rsid w:val="00585623"/>
    <w:rsid w:val="005857F7"/>
    <w:rsid w:val="005865E9"/>
    <w:rsid w:val="005868FD"/>
    <w:rsid w:val="00587D7B"/>
    <w:rsid w:val="005904DB"/>
    <w:rsid w:val="005905ED"/>
    <w:rsid w:val="00590D11"/>
    <w:rsid w:val="00591BA6"/>
    <w:rsid w:val="00592825"/>
    <w:rsid w:val="00594437"/>
    <w:rsid w:val="00594B70"/>
    <w:rsid w:val="005968EB"/>
    <w:rsid w:val="00596CFA"/>
    <w:rsid w:val="00596EC6"/>
    <w:rsid w:val="005975CE"/>
    <w:rsid w:val="005A0088"/>
    <w:rsid w:val="005A04F6"/>
    <w:rsid w:val="005A14F0"/>
    <w:rsid w:val="005A1861"/>
    <w:rsid w:val="005A1A31"/>
    <w:rsid w:val="005A361D"/>
    <w:rsid w:val="005A36C2"/>
    <w:rsid w:val="005A3719"/>
    <w:rsid w:val="005A3DD7"/>
    <w:rsid w:val="005A40FA"/>
    <w:rsid w:val="005A4C20"/>
    <w:rsid w:val="005A4F48"/>
    <w:rsid w:val="005A54F1"/>
    <w:rsid w:val="005A57B8"/>
    <w:rsid w:val="005A5DDE"/>
    <w:rsid w:val="005A64A8"/>
    <w:rsid w:val="005A65C5"/>
    <w:rsid w:val="005A6875"/>
    <w:rsid w:val="005A7016"/>
    <w:rsid w:val="005A7A32"/>
    <w:rsid w:val="005A7F85"/>
    <w:rsid w:val="005B00DD"/>
    <w:rsid w:val="005B03B1"/>
    <w:rsid w:val="005B07D5"/>
    <w:rsid w:val="005B1A8A"/>
    <w:rsid w:val="005B1AAB"/>
    <w:rsid w:val="005B2578"/>
    <w:rsid w:val="005B2930"/>
    <w:rsid w:val="005B2B87"/>
    <w:rsid w:val="005B2FAA"/>
    <w:rsid w:val="005B33C8"/>
    <w:rsid w:val="005B387B"/>
    <w:rsid w:val="005B3B01"/>
    <w:rsid w:val="005B4333"/>
    <w:rsid w:val="005B48BE"/>
    <w:rsid w:val="005B58F7"/>
    <w:rsid w:val="005B5981"/>
    <w:rsid w:val="005B5994"/>
    <w:rsid w:val="005B6474"/>
    <w:rsid w:val="005B666D"/>
    <w:rsid w:val="005B667A"/>
    <w:rsid w:val="005B679B"/>
    <w:rsid w:val="005B6865"/>
    <w:rsid w:val="005C039B"/>
    <w:rsid w:val="005C059F"/>
    <w:rsid w:val="005C07CE"/>
    <w:rsid w:val="005C0B8F"/>
    <w:rsid w:val="005C194E"/>
    <w:rsid w:val="005C1C83"/>
    <w:rsid w:val="005C1DB1"/>
    <w:rsid w:val="005C226F"/>
    <w:rsid w:val="005C2294"/>
    <w:rsid w:val="005C2E48"/>
    <w:rsid w:val="005C3344"/>
    <w:rsid w:val="005C4E4D"/>
    <w:rsid w:val="005C58F2"/>
    <w:rsid w:val="005C5A97"/>
    <w:rsid w:val="005C5F77"/>
    <w:rsid w:val="005C6603"/>
    <w:rsid w:val="005C6AAB"/>
    <w:rsid w:val="005C6D5D"/>
    <w:rsid w:val="005C6FD0"/>
    <w:rsid w:val="005D01C3"/>
    <w:rsid w:val="005D05FF"/>
    <w:rsid w:val="005D0FB4"/>
    <w:rsid w:val="005D1176"/>
    <w:rsid w:val="005D1747"/>
    <w:rsid w:val="005D1937"/>
    <w:rsid w:val="005D266D"/>
    <w:rsid w:val="005D306D"/>
    <w:rsid w:val="005D3327"/>
    <w:rsid w:val="005D4854"/>
    <w:rsid w:val="005D51D8"/>
    <w:rsid w:val="005D5BCF"/>
    <w:rsid w:val="005D65BF"/>
    <w:rsid w:val="005D6D84"/>
    <w:rsid w:val="005D70A1"/>
    <w:rsid w:val="005D75EC"/>
    <w:rsid w:val="005D79F2"/>
    <w:rsid w:val="005D7CB1"/>
    <w:rsid w:val="005D7F57"/>
    <w:rsid w:val="005E0067"/>
    <w:rsid w:val="005E0141"/>
    <w:rsid w:val="005E09CA"/>
    <w:rsid w:val="005E1AB4"/>
    <w:rsid w:val="005E255B"/>
    <w:rsid w:val="005E2CF7"/>
    <w:rsid w:val="005E37FD"/>
    <w:rsid w:val="005E4543"/>
    <w:rsid w:val="005E4A1C"/>
    <w:rsid w:val="005E56C9"/>
    <w:rsid w:val="005E5CF7"/>
    <w:rsid w:val="005E5FF0"/>
    <w:rsid w:val="005E642A"/>
    <w:rsid w:val="005E65A7"/>
    <w:rsid w:val="005E6A54"/>
    <w:rsid w:val="005E721E"/>
    <w:rsid w:val="005F0857"/>
    <w:rsid w:val="005F1470"/>
    <w:rsid w:val="005F15A9"/>
    <w:rsid w:val="005F2807"/>
    <w:rsid w:val="005F2CD5"/>
    <w:rsid w:val="005F3382"/>
    <w:rsid w:val="005F3720"/>
    <w:rsid w:val="005F3949"/>
    <w:rsid w:val="005F3F09"/>
    <w:rsid w:val="005F4F00"/>
    <w:rsid w:val="005F5506"/>
    <w:rsid w:val="005F5A0D"/>
    <w:rsid w:val="005F60DF"/>
    <w:rsid w:val="005F615B"/>
    <w:rsid w:val="005F61DF"/>
    <w:rsid w:val="005F680A"/>
    <w:rsid w:val="005F6880"/>
    <w:rsid w:val="005F6B3E"/>
    <w:rsid w:val="005F6ED2"/>
    <w:rsid w:val="005F745B"/>
    <w:rsid w:val="005F77F8"/>
    <w:rsid w:val="005F7CA8"/>
    <w:rsid w:val="00600DE1"/>
    <w:rsid w:val="00601506"/>
    <w:rsid w:val="00601596"/>
    <w:rsid w:val="00601C92"/>
    <w:rsid w:val="00601F66"/>
    <w:rsid w:val="0060200D"/>
    <w:rsid w:val="00602764"/>
    <w:rsid w:val="00602B29"/>
    <w:rsid w:val="00602DAD"/>
    <w:rsid w:val="00603256"/>
    <w:rsid w:val="00603373"/>
    <w:rsid w:val="006036D0"/>
    <w:rsid w:val="00603B1C"/>
    <w:rsid w:val="006042CD"/>
    <w:rsid w:val="00605217"/>
    <w:rsid w:val="006054A5"/>
    <w:rsid w:val="006059E4"/>
    <w:rsid w:val="00605D60"/>
    <w:rsid w:val="006062A0"/>
    <w:rsid w:val="00607015"/>
    <w:rsid w:val="0061098D"/>
    <w:rsid w:val="00610B78"/>
    <w:rsid w:val="00611B59"/>
    <w:rsid w:val="00611EAD"/>
    <w:rsid w:val="00611FBA"/>
    <w:rsid w:val="00612098"/>
    <w:rsid w:val="0061272A"/>
    <w:rsid w:val="0061299E"/>
    <w:rsid w:val="006130D0"/>
    <w:rsid w:val="006132B1"/>
    <w:rsid w:val="0061355D"/>
    <w:rsid w:val="006139F7"/>
    <w:rsid w:val="00613AA2"/>
    <w:rsid w:val="00614906"/>
    <w:rsid w:val="0061517F"/>
    <w:rsid w:val="00615276"/>
    <w:rsid w:val="006155F1"/>
    <w:rsid w:val="00615846"/>
    <w:rsid w:val="006160F0"/>
    <w:rsid w:val="0061618F"/>
    <w:rsid w:val="0061624B"/>
    <w:rsid w:val="006166AD"/>
    <w:rsid w:val="00616C1E"/>
    <w:rsid w:val="00617EFC"/>
    <w:rsid w:val="00620055"/>
    <w:rsid w:val="00620336"/>
    <w:rsid w:val="006204B3"/>
    <w:rsid w:val="006204C2"/>
    <w:rsid w:val="00620815"/>
    <w:rsid w:val="006212D3"/>
    <w:rsid w:val="00621639"/>
    <w:rsid w:val="00622B22"/>
    <w:rsid w:val="00622F67"/>
    <w:rsid w:val="00623571"/>
    <w:rsid w:val="00623A5E"/>
    <w:rsid w:val="006241E9"/>
    <w:rsid w:val="00625008"/>
    <w:rsid w:val="0062548B"/>
    <w:rsid w:val="00626710"/>
    <w:rsid w:val="00626930"/>
    <w:rsid w:val="00626AD3"/>
    <w:rsid w:val="00626BAC"/>
    <w:rsid w:val="006271C3"/>
    <w:rsid w:val="00627B14"/>
    <w:rsid w:val="0063001E"/>
    <w:rsid w:val="00630023"/>
    <w:rsid w:val="006308EE"/>
    <w:rsid w:val="00630C70"/>
    <w:rsid w:val="00630D67"/>
    <w:rsid w:val="00631005"/>
    <w:rsid w:val="00631C79"/>
    <w:rsid w:val="00632727"/>
    <w:rsid w:val="0063283D"/>
    <w:rsid w:val="00633648"/>
    <w:rsid w:val="00633769"/>
    <w:rsid w:val="00633FE3"/>
    <w:rsid w:val="00634276"/>
    <w:rsid w:val="00634570"/>
    <w:rsid w:val="0063487C"/>
    <w:rsid w:val="00634CE6"/>
    <w:rsid w:val="00635B73"/>
    <w:rsid w:val="00635BB7"/>
    <w:rsid w:val="00636888"/>
    <w:rsid w:val="00636CC7"/>
    <w:rsid w:val="006371A2"/>
    <w:rsid w:val="00637F27"/>
    <w:rsid w:val="006405EC"/>
    <w:rsid w:val="00640A4D"/>
    <w:rsid w:val="006418F2"/>
    <w:rsid w:val="00641A84"/>
    <w:rsid w:val="00641B05"/>
    <w:rsid w:val="00641DA1"/>
    <w:rsid w:val="00641E5B"/>
    <w:rsid w:val="00642C69"/>
    <w:rsid w:val="0064330A"/>
    <w:rsid w:val="00643F89"/>
    <w:rsid w:val="00644334"/>
    <w:rsid w:val="0064487C"/>
    <w:rsid w:val="00644BED"/>
    <w:rsid w:val="00644E2E"/>
    <w:rsid w:val="00645A3A"/>
    <w:rsid w:val="00645B87"/>
    <w:rsid w:val="00645CB4"/>
    <w:rsid w:val="00646084"/>
    <w:rsid w:val="006468ED"/>
    <w:rsid w:val="00647664"/>
    <w:rsid w:val="00650D19"/>
    <w:rsid w:val="00652CF5"/>
    <w:rsid w:val="00652F6C"/>
    <w:rsid w:val="0065343E"/>
    <w:rsid w:val="00653548"/>
    <w:rsid w:val="006536BB"/>
    <w:rsid w:val="0065398F"/>
    <w:rsid w:val="00653C7C"/>
    <w:rsid w:val="00654252"/>
    <w:rsid w:val="006543B7"/>
    <w:rsid w:val="00654EA5"/>
    <w:rsid w:val="0065587E"/>
    <w:rsid w:val="006558CD"/>
    <w:rsid w:val="00655C26"/>
    <w:rsid w:val="0065637A"/>
    <w:rsid w:val="00656998"/>
    <w:rsid w:val="00656E4D"/>
    <w:rsid w:val="006576BA"/>
    <w:rsid w:val="006600BF"/>
    <w:rsid w:val="00660AF7"/>
    <w:rsid w:val="00660D3E"/>
    <w:rsid w:val="00661691"/>
    <w:rsid w:val="00662465"/>
    <w:rsid w:val="00662D3D"/>
    <w:rsid w:val="00662F1F"/>
    <w:rsid w:val="00663D15"/>
    <w:rsid w:val="00665030"/>
    <w:rsid w:val="00665670"/>
    <w:rsid w:val="006659EA"/>
    <w:rsid w:val="006661E8"/>
    <w:rsid w:val="00666424"/>
    <w:rsid w:val="0066676C"/>
    <w:rsid w:val="006673B9"/>
    <w:rsid w:val="0066790C"/>
    <w:rsid w:val="00667FF0"/>
    <w:rsid w:val="00670C7C"/>
    <w:rsid w:val="00671480"/>
    <w:rsid w:val="006717E7"/>
    <w:rsid w:val="00671FD5"/>
    <w:rsid w:val="006720BC"/>
    <w:rsid w:val="00672906"/>
    <w:rsid w:val="00672C73"/>
    <w:rsid w:val="00673B64"/>
    <w:rsid w:val="006742B9"/>
    <w:rsid w:val="006753AC"/>
    <w:rsid w:val="00675430"/>
    <w:rsid w:val="006755F0"/>
    <w:rsid w:val="00675749"/>
    <w:rsid w:val="006759FE"/>
    <w:rsid w:val="00677382"/>
    <w:rsid w:val="0067772D"/>
    <w:rsid w:val="00677991"/>
    <w:rsid w:val="00677AD2"/>
    <w:rsid w:val="00680326"/>
    <w:rsid w:val="00680714"/>
    <w:rsid w:val="0068071D"/>
    <w:rsid w:val="00680C6B"/>
    <w:rsid w:val="006811F3"/>
    <w:rsid w:val="00681240"/>
    <w:rsid w:val="00681E43"/>
    <w:rsid w:val="00683068"/>
    <w:rsid w:val="00683DAD"/>
    <w:rsid w:val="00684592"/>
    <w:rsid w:val="00684963"/>
    <w:rsid w:val="00685033"/>
    <w:rsid w:val="0068517F"/>
    <w:rsid w:val="00685D65"/>
    <w:rsid w:val="00685FC8"/>
    <w:rsid w:val="00686E80"/>
    <w:rsid w:val="0068790B"/>
    <w:rsid w:val="00687AF2"/>
    <w:rsid w:val="006901AC"/>
    <w:rsid w:val="00690C8D"/>
    <w:rsid w:val="00691890"/>
    <w:rsid w:val="00691AAD"/>
    <w:rsid w:val="00692416"/>
    <w:rsid w:val="00692AFF"/>
    <w:rsid w:val="00692D2D"/>
    <w:rsid w:val="00693B73"/>
    <w:rsid w:val="006945A1"/>
    <w:rsid w:val="00694A53"/>
    <w:rsid w:val="006952DE"/>
    <w:rsid w:val="00695985"/>
    <w:rsid w:val="00695C78"/>
    <w:rsid w:val="00695E6C"/>
    <w:rsid w:val="00695EAC"/>
    <w:rsid w:val="00696C79"/>
    <w:rsid w:val="00697068"/>
    <w:rsid w:val="006977DE"/>
    <w:rsid w:val="00697D5F"/>
    <w:rsid w:val="006A035B"/>
    <w:rsid w:val="006A0582"/>
    <w:rsid w:val="006A060C"/>
    <w:rsid w:val="006A06F8"/>
    <w:rsid w:val="006A071C"/>
    <w:rsid w:val="006A0DC7"/>
    <w:rsid w:val="006A150D"/>
    <w:rsid w:val="006A1B00"/>
    <w:rsid w:val="006A2766"/>
    <w:rsid w:val="006A39D0"/>
    <w:rsid w:val="006A3E91"/>
    <w:rsid w:val="006A430B"/>
    <w:rsid w:val="006A4321"/>
    <w:rsid w:val="006A4E20"/>
    <w:rsid w:val="006A4F11"/>
    <w:rsid w:val="006A563C"/>
    <w:rsid w:val="006A5A6F"/>
    <w:rsid w:val="006A5F7E"/>
    <w:rsid w:val="006A6786"/>
    <w:rsid w:val="006A7C29"/>
    <w:rsid w:val="006B0580"/>
    <w:rsid w:val="006B0DA2"/>
    <w:rsid w:val="006B0F70"/>
    <w:rsid w:val="006B1486"/>
    <w:rsid w:val="006B169F"/>
    <w:rsid w:val="006B1BEB"/>
    <w:rsid w:val="006B1D06"/>
    <w:rsid w:val="006B2506"/>
    <w:rsid w:val="006B2823"/>
    <w:rsid w:val="006B29DC"/>
    <w:rsid w:val="006B2E37"/>
    <w:rsid w:val="006B2F60"/>
    <w:rsid w:val="006B33DB"/>
    <w:rsid w:val="006B33DD"/>
    <w:rsid w:val="006B3669"/>
    <w:rsid w:val="006B36E5"/>
    <w:rsid w:val="006B3D00"/>
    <w:rsid w:val="006B4CF8"/>
    <w:rsid w:val="006B506B"/>
    <w:rsid w:val="006B54E8"/>
    <w:rsid w:val="006B5FBC"/>
    <w:rsid w:val="006B6ED2"/>
    <w:rsid w:val="006B7C58"/>
    <w:rsid w:val="006B7F74"/>
    <w:rsid w:val="006C0230"/>
    <w:rsid w:val="006C05C7"/>
    <w:rsid w:val="006C25AB"/>
    <w:rsid w:val="006C2DA6"/>
    <w:rsid w:val="006C3581"/>
    <w:rsid w:val="006C39A0"/>
    <w:rsid w:val="006C3EFE"/>
    <w:rsid w:val="006C46C7"/>
    <w:rsid w:val="006C4767"/>
    <w:rsid w:val="006C4A1A"/>
    <w:rsid w:val="006C4D02"/>
    <w:rsid w:val="006C53A4"/>
    <w:rsid w:val="006C54DF"/>
    <w:rsid w:val="006C5D2E"/>
    <w:rsid w:val="006C5D5D"/>
    <w:rsid w:val="006C627E"/>
    <w:rsid w:val="006C6303"/>
    <w:rsid w:val="006C6A51"/>
    <w:rsid w:val="006C6EBD"/>
    <w:rsid w:val="006C7E04"/>
    <w:rsid w:val="006C7F79"/>
    <w:rsid w:val="006D0004"/>
    <w:rsid w:val="006D015F"/>
    <w:rsid w:val="006D060E"/>
    <w:rsid w:val="006D0665"/>
    <w:rsid w:val="006D0681"/>
    <w:rsid w:val="006D0A80"/>
    <w:rsid w:val="006D0AE8"/>
    <w:rsid w:val="006D135C"/>
    <w:rsid w:val="006D2F72"/>
    <w:rsid w:val="006D43C1"/>
    <w:rsid w:val="006D5442"/>
    <w:rsid w:val="006D6E4E"/>
    <w:rsid w:val="006D7A7B"/>
    <w:rsid w:val="006D7A8E"/>
    <w:rsid w:val="006D7C59"/>
    <w:rsid w:val="006E00E3"/>
    <w:rsid w:val="006E0246"/>
    <w:rsid w:val="006E045C"/>
    <w:rsid w:val="006E0569"/>
    <w:rsid w:val="006E065E"/>
    <w:rsid w:val="006E0849"/>
    <w:rsid w:val="006E11D6"/>
    <w:rsid w:val="006E17AC"/>
    <w:rsid w:val="006E189B"/>
    <w:rsid w:val="006E20D9"/>
    <w:rsid w:val="006E27DC"/>
    <w:rsid w:val="006E2902"/>
    <w:rsid w:val="006E2F9D"/>
    <w:rsid w:val="006E3556"/>
    <w:rsid w:val="006E37C6"/>
    <w:rsid w:val="006E3B57"/>
    <w:rsid w:val="006E3CF3"/>
    <w:rsid w:val="006E41ED"/>
    <w:rsid w:val="006E4667"/>
    <w:rsid w:val="006E46B7"/>
    <w:rsid w:val="006E475A"/>
    <w:rsid w:val="006E486D"/>
    <w:rsid w:val="006E4880"/>
    <w:rsid w:val="006E48BB"/>
    <w:rsid w:val="006E727B"/>
    <w:rsid w:val="006E76C8"/>
    <w:rsid w:val="006E7A92"/>
    <w:rsid w:val="006F01FF"/>
    <w:rsid w:val="006F0CB2"/>
    <w:rsid w:val="006F1DE9"/>
    <w:rsid w:val="006F2046"/>
    <w:rsid w:val="006F2F59"/>
    <w:rsid w:val="006F311E"/>
    <w:rsid w:val="006F3442"/>
    <w:rsid w:val="006F36A5"/>
    <w:rsid w:val="006F41F4"/>
    <w:rsid w:val="006F4576"/>
    <w:rsid w:val="006F49D2"/>
    <w:rsid w:val="006F5813"/>
    <w:rsid w:val="006F59A8"/>
    <w:rsid w:val="006F5A1D"/>
    <w:rsid w:val="006F71A6"/>
    <w:rsid w:val="006F7974"/>
    <w:rsid w:val="006F7C2C"/>
    <w:rsid w:val="006F7FD5"/>
    <w:rsid w:val="00700405"/>
    <w:rsid w:val="00700D18"/>
    <w:rsid w:val="0070168D"/>
    <w:rsid w:val="00701C36"/>
    <w:rsid w:val="00702F2D"/>
    <w:rsid w:val="0070353F"/>
    <w:rsid w:val="0070415E"/>
    <w:rsid w:val="00704631"/>
    <w:rsid w:val="00704B79"/>
    <w:rsid w:val="00704E7D"/>
    <w:rsid w:val="00705060"/>
    <w:rsid w:val="00705351"/>
    <w:rsid w:val="00705619"/>
    <w:rsid w:val="00705E93"/>
    <w:rsid w:val="007062AF"/>
    <w:rsid w:val="00706637"/>
    <w:rsid w:val="007069AE"/>
    <w:rsid w:val="007069D4"/>
    <w:rsid w:val="00706C89"/>
    <w:rsid w:val="00707967"/>
    <w:rsid w:val="00710257"/>
    <w:rsid w:val="00710587"/>
    <w:rsid w:val="007107D5"/>
    <w:rsid w:val="007119DC"/>
    <w:rsid w:val="00711CC7"/>
    <w:rsid w:val="0071230A"/>
    <w:rsid w:val="0071294A"/>
    <w:rsid w:val="00712BDD"/>
    <w:rsid w:val="00712E1E"/>
    <w:rsid w:val="00712F37"/>
    <w:rsid w:val="00713A6B"/>
    <w:rsid w:val="00713CB5"/>
    <w:rsid w:val="007140CF"/>
    <w:rsid w:val="0071499C"/>
    <w:rsid w:val="00714F9D"/>
    <w:rsid w:val="007154D8"/>
    <w:rsid w:val="00715577"/>
    <w:rsid w:val="0071604D"/>
    <w:rsid w:val="00716C67"/>
    <w:rsid w:val="007170AB"/>
    <w:rsid w:val="0071779C"/>
    <w:rsid w:val="00717808"/>
    <w:rsid w:val="007208A7"/>
    <w:rsid w:val="00720B3D"/>
    <w:rsid w:val="00720B6A"/>
    <w:rsid w:val="007210F6"/>
    <w:rsid w:val="0072129A"/>
    <w:rsid w:val="0072139F"/>
    <w:rsid w:val="0072198A"/>
    <w:rsid w:val="00721AD9"/>
    <w:rsid w:val="00721FC3"/>
    <w:rsid w:val="00722A86"/>
    <w:rsid w:val="00722BC6"/>
    <w:rsid w:val="00722C69"/>
    <w:rsid w:val="0072311F"/>
    <w:rsid w:val="0072388C"/>
    <w:rsid w:val="0072454E"/>
    <w:rsid w:val="007249D1"/>
    <w:rsid w:val="00724FE4"/>
    <w:rsid w:val="00725829"/>
    <w:rsid w:val="00725D6A"/>
    <w:rsid w:val="007263A2"/>
    <w:rsid w:val="007266B9"/>
    <w:rsid w:val="00727351"/>
    <w:rsid w:val="00727AC5"/>
    <w:rsid w:val="00727C65"/>
    <w:rsid w:val="007300F0"/>
    <w:rsid w:val="00730904"/>
    <w:rsid w:val="00731EDE"/>
    <w:rsid w:val="0073245C"/>
    <w:rsid w:val="00732493"/>
    <w:rsid w:val="00732FE9"/>
    <w:rsid w:val="00733772"/>
    <w:rsid w:val="00733A43"/>
    <w:rsid w:val="00733AE4"/>
    <w:rsid w:val="00733D5F"/>
    <w:rsid w:val="00734932"/>
    <w:rsid w:val="00735D53"/>
    <w:rsid w:val="0073618A"/>
    <w:rsid w:val="007364A3"/>
    <w:rsid w:val="00736740"/>
    <w:rsid w:val="007378FD"/>
    <w:rsid w:val="007403FE"/>
    <w:rsid w:val="007413EB"/>
    <w:rsid w:val="007413FB"/>
    <w:rsid w:val="00742D32"/>
    <w:rsid w:val="00742E9B"/>
    <w:rsid w:val="007444E6"/>
    <w:rsid w:val="0074592C"/>
    <w:rsid w:val="00745C91"/>
    <w:rsid w:val="00746098"/>
    <w:rsid w:val="007460F6"/>
    <w:rsid w:val="00746814"/>
    <w:rsid w:val="00746D58"/>
    <w:rsid w:val="00747578"/>
    <w:rsid w:val="00750D12"/>
    <w:rsid w:val="00751073"/>
    <w:rsid w:val="00751AF2"/>
    <w:rsid w:val="00751B1A"/>
    <w:rsid w:val="00751BD2"/>
    <w:rsid w:val="00751CE5"/>
    <w:rsid w:val="00752188"/>
    <w:rsid w:val="00752CC6"/>
    <w:rsid w:val="00753938"/>
    <w:rsid w:val="00753A57"/>
    <w:rsid w:val="00753C5C"/>
    <w:rsid w:val="007543CE"/>
    <w:rsid w:val="0075497E"/>
    <w:rsid w:val="00754A29"/>
    <w:rsid w:val="00755B6F"/>
    <w:rsid w:val="00755BCF"/>
    <w:rsid w:val="00756C5F"/>
    <w:rsid w:val="00756D69"/>
    <w:rsid w:val="00757029"/>
    <w:rsid w:val="007571FD"/>
    <w:rsid w:val="0075723D"/>
    <w:rsid w:val="007602D4"/>
    <w:rsid w:val="00760D96"/>
    <w:rsid w:val="0076124A"/>
    <w:rsid w:val="0076161B"/>
    <w:rsid w:val="0076182A"/>
    <w:rsid w:val="00761950"/>
    <w:rsid w:val="00761CB5"/>
    <w:rsid w:val="0076216B"/>
    <w:rsid w:val="00762948"/>
    <w:rsid w:val="00762A81"/>
    <w:rsid w:val="00763137"/>
    <w:rsid w:val="00763AED"/>
    <w:rsid w:val="00763BF0"/>
    <w:rsid w:val="00763F8B"/>
    <w:rsid w:val="007640F3"/>
    <w:rsid w:val="0076417E"/>
    <w:rsid w:val="0076497F"/>
    <w:rsid w:val="007660EC"/>
    <w:rsid w:val="007662C7"/>
    <w:rsid w:val="00766862"/>
    <w:rsid w:val="007675DD"/>
    <w:rsid w:val="007702BF"/>
    <w:rsid w:val="007705F0"/>
    <w:rsid w:val="00771CAC"/>
    <w:rsid w:val="00772036"/>
    <w:rsid w:val="00772AD2"/>
    <w:rsid w:val="00773098"/>
    <w:rsid w:val="007739A3"/>
    <w:rsid w:val="00773BD9"/>
    <w:rsid w:val="00773CB0"/>
    <w:rsid w:val="00773D71"/>
    <w:rsid w:val="00775526"/>
    <w:rsid w:val="00775651"/>
    <w:rsid w:val="00775F3F"/>
    <w:rsid w:val="0077710B"/>
    <w:rsid w:val="0077765A"/>
    <w:rsid w:val="007776E8"/>
    <w:rsid w:val="007778AE"/>
    <w:rsid w:val="00780032"/>
    <w:rsid w:val="00780636"/>
    <w:rsid w:val="00780E86"/>
    <w:rsid w:val="0078108C"/>
    <w:rsid w:val="00781727"/>
    <w:rsid w:val="007823E8"/>
    <w:rsid w:val="00782CF3"/>
    <w:rsid w:val="00783959"/>
    <w:rsid w:val="00783BA5"/>
    <w:rsid w:val="007844A9"/>
    <w:rsid w:val="00785091"/>
    <w:rsid w:val="0078638C"/>
    <w:rsid w:val="007869F9"/>
    <w:rsid w:val="00786CBB"/>
    <w:rsid w:val="00786E21"/>
    <w:rsid w:val="0079038E"/>
    <w:rsid w:val="00790EBB"/>
    <w:rsid w:val="00791C6E"/>
    <w:rsid w:val="007921F7"/>
    <w:rsid w:val="00792909"/>
    <w:rsid w:val="00792BC6"/>
    <w:rsid w:val="00792C3F"/>
    <w:rsid w:val="00792EE2"/>
    <w:rsid w:val="00792EFD"/>
    <w:rsid w:val="00793105"/>
    <w:rsid w:val="007931E8"/>
    <w:rsid w:val="00793333"/>
    <w:rsid w:val="00794158"/>
    <w:rsid w:val="00794509"/>
    <w:rsid w:val="00794E46"/>
    <w:rsid w:val="007952DE"/>
    <w:rsid w:val="00795479"/>
    <w:rsid w:val="00796292"/>
    <w:rsid w:val="007965D9"/>
    <w:rsid w:val="00796BA2"/>
    <w:rsid w:val="007972D5"/>
    <w:rsid w:val="0079778D"/>
    <w:rsid w:val="00797D73"/>
    <w:rsid w:val="007A006C"/>
    <w:rsid w:val="007A0789"/>
    <w:rsid w:val="007A130E"/>
    <w:rsid w:val="007A18B1"/>
    <w:rsid w:val="007A1BBD"/>
    <w:rsid w:val="007A1F08"/>
    <w:rsid w:val="007A2555"/>
    <w:rsid w:val="007A25FA"/>
    <w:rsid w:val="007A2DB8"/>
    <w:rsid w:val="007A2FCB"/>
    <w:rsid w:val="007A3520"/>
    <w:rsid w:val="007A3604"/>
    <w:rsid w:val="007A3878"/>
    <w:rsid w:val="007A3D85"/>
    <w:rsid w:val="007A3E0D"/>
    <w:rsid w:val="007A436D"/>
    <w:rsid w:val="007A54F6"/>
    <w:rsid w:val="007A55FE"/>
    <w:rsid w:val="007A582C"/>
    <w:rsid w:val="007A5950"/>
    <w:rsid w:val="007A6D91"/>
    <w:rsid w:val="007A7618"/>
    <w:rsid w:val="007B00C9"/>
    <w:rsid w:val="007B02C7"/>
    <w:rsid w:val="007B0306"/>
    <w:rsid w:val="007B08E4"/>
    <w:rsid w:val="007B0D86"/>
    <w:rsid w:val="007B28C3"/>
    <w:rsid w:val="007B2B48"/>
    <w:rsid w:val="007B3A8E"/>
    <w:rsid w:val="007B3C9B"/>
    <w:rsid w:val="007B4271"/>
    <w:rsid w:val="007B497D"/>
    <w:rsid w:val="007B4EE9"/>
    <w:rsid w:val="007B5234"/>
    <w:rsid w:val="007B54C7"/>
    <w:rsid w:val="007B5637"/>
    <w:rsid w:val="007B5DC5"/>
    <w:rsid w:val="007B5F32"/>
    <w:rsid w:val="007B63FC"/>
    <w:rsid w:val="007B6708"/>
    <w:rsid w:val="007B6C20"/>
    <w:rsid w:val="007B6E8D"/>
    <w:rsid w:val="007C029E"/>
    <w:rsid w:val="007C0636"/>
    <w:rsid w:val="007C10E4"/>
    <w:rsid w:val="007C17B4"/>
    <w:rsid w:val="007C20F8"/>
    <w:rsid w:val="007C21C5"/>
    <w:rsid w:val="007C2229"/>
    <w:rsid w:val="007C2313"/>
    <w:rsid w:val="007C3590"/>
    <w:rsid w:val="007C387A"/>
    <w:rsid w:val="007C3A0D"/>
    <w:rsid w:val="007C3EB0"/>
    <w:rsid w:val="007C43D6"/>
    <w:rsid w:val="007C47FF"/>
    <w:rsid w:val="007C60A8"/>
    <w:rsid w:val="007C660F"/>
    <w:rsid w:val="007C6664"/>
    <w:rsid w:val="007C66FF"/>
    <w:rsid w:val="007C69AE"/>
    <w:rsid w:val="007C6CA7"/>
    <w:rsid w:val="007C6FE9"/>
    <w:rsid w:val="007C7688"/>
    <w:rsid w:val="007C76E3"/>
    <w:rsid w:val="007C76F3"/>
    <w:rsid w:val="007C7DD9"/>
    <w:rsid w:val="007D03BC"/>
    <w:rsid w:val="007D0DC9"/>
    <w:rsid w:val="007D0ECD"/>
    <w:rsid w:val="007D2882"/>
    <w:rsid w:val="007D296C"/>
    <w:rsid w:val="007D2C31"/>
    <w:rsid w:val="007D2E50"/>
    <w:rsid w:val="007D3D74"/>
    <w:rsid w:val="007D445F"/>
    <w:rsid w:val="007D4DED"/>
    <w:rsid w:val="007D5BA2"/>
    <w:rsid w:val="007D5ED3"/>
    <w:rsid w:val="007D682F"/>
    <w:rsid w:val="007D6FB9"/>
    <w:rsid w:val="007D7211"/>
    <w:rsid w:val="007E0595"/>
    <w:rsid w:val="007E0A63"/>
    <w:rsid w:val="007E0C63"/>
    <w:rsid w:val="007E0E05"/>
    <w:rsid w:val="007E0F5D"/>
    <w:rsid w:val="007E23A1"/>
    <w:rsid w:val="007E259F"/>
    <w:rsid w:val="007E347E"/>
    <w:rsid w:val="007E41A4"/>
    <w:rsid w:val="007E43E3"/>
    <w:rsid w:val="007E54B8"/>
    <w:rsid w:val="007E5D12"/>
    <w:rsid w:val="007E6420"/>
    <w:rsid w:val="007E677F"/>
    <w:rsid w:val="007E6B25"/>
    <w:rsid w:val="007E6E06"/>
    <w:rsid w:val="007E6F4A"/>
    <w:rsid w:val="007E79CC"/>
    <w:rsid w:val="007F1124"/>
    <w:rsid w:val="007F1189"/>
    <w:rsid w:val="007F152D"/>
    <w:rsid w:val="007F20C4"/>
    <w:rsid w:val="007F20EE"/>
    <w:rsid w:val="007F23D8"/>
    <w:rsid w:val="007F3030"/>
    <w:rsid w:val="007F307A"/>
    <w:rsid w:val="007F30C6"/>
    <w:rsid w:val="007F38FD"/>
    <w:rsid w:val="007F3C18"/>
    <w:rsid w:val="007F4318"/>
    <w:rsid w:val="007F4709"/>
    <w:rsid w:val="007F47DA"/>
    <w:rsid w:val="007F4E52"/>
    <w:rsid w:val="007F4F84"/>
    <w:rsid w:val="007F5382"/>
    <w:rsid w:val="007F55A4"/>
    <w:rsid w:val="007F5D28"/>
    <w:rsid w:val="007F6260"/>
    <w:rsid w:val="007F682B"/>
    <w:rsid w:val="007F78E8"/>
    <w:rsid w:val="007F7F8F"/>
    <w:rsid w:val="00800509"/>
    <w:rsid w:val="0080078E"/>
    <w:rsid w:val="00800B7F"/>
    <w:rsid w:val="008012B1"/>
    <w:rsid w:val="00801D63"/>
    <w:rsid w:val="0080348B"/>
    <w:rsid w:val="00803D82"/>
    <w:rsid w:val="00803D98"/>
    <w:rsid w:val="008052CE"/>
    <w:rsid w:val="008058D0"/>
    <w:rsid w:val="00806A4C"/>
    <w:rsid w:val="00806FED"/>
    <w:rsid w:val="0080705B"/>
    <w:rsid w:val="0080723C"/>
    <w:rsid w:val="00807F71"/>
    <w:rsid w:val="0081000F"/>
    <w:rsid w:val="00812657"/>
    <w:rsid w:val="00812A1A"/>
    <w:rsid w:val="00812DFF"/>
    <w:rsid w:val="0081362F"/>
    <w:rsid w:val="0081383A"/>
    <w:rsid w:val="0081497F"/>
    <w:rsid w:val="00814B90"/>
    <w:rsid w:val="00814FC7"/>
    <w:rsid w:val="0081660C"/>
    <w:rsid w:val="00816AD8"/>
    <w:rsid w:val="00817195"/>
    <w:rsid w:val="00817416"/>
    <w:rsid w:val="00817658"/>
    <w:rsid w:val="008206AE"/>
    <w:rsid w:val="00821271"/>
    <w:rsid w:val="00821306"/>
    <w:rsid w:val="008213D9"/>
    <w:rsid w:val="008216CE"/>
    <w:rsid w:val="008218AE"/>
    <w:rsid w:val="00821D85"/>
    <w:rsid w:val="00821E47"/>
    <w:rsid w:val="00821E7F"/>
    <w:rsid w:val="008220F6"/>
    <w:rsid w:val="00822456"/>
    <w:rsid w:val="00823819"/>
    <w:rsid w:val="00823C4B"/>
    <w:rsid w:val="0082427D"/>
    <w:rsid w:val="00825441"/>
    <w:rsid w:val="00826855"/>
    <w:rsid w:val="00826E73"/>
    <w:rsid w:val="00830052"/>
    <w:rsid w:val="008300D0"/>
    <w:rsid w:val="008308D8"/>
    <w:rsid w:val="00830ECE"/>
    <w:rsid w:val="008320D2"/>
    <w:rsid w:val="008321CE"/>
    <w:rsid w:val="0083257C"/>
    <w:rsid w:val="0083261B"/>
    <w:rsid w:val="00832B44"/>
    <w:rsid w:val="00832EC9"/>
    <w:rsid w:val="00833307"/>
    <w:rsid w:val="00833583"/>
    <w:rsid w:val="00833B5B"/>
    <w:rsid w:val="00833E9A"/>
    <w:rsid w:val="00834FEF"/>
    <w:rsid w:val="00836323"/>
    <w:rsid w:val="00837505"/>
    <w:rsid w:val="008379FF"/>
    <w:rsid w:val="00837D3D"/>
    <w:rsid w:val="00837E9B"/>
    <w:rsid w:val="008404AA"/>
    <w:rsid w:val="008406D7"/>
    <w:rsid w:val="0084074F"/>
    <w:rsid w:val="008407BA"/>
    <w:rsid w:val="00840AA3"/>
    <w:rsid w:val="00840AAC"/>
    <w:rsid w:val="0084101C"/>
    <w:rsid w:val="0084181B"/>
    <w:rsid w:val="00841F29"/>
    <w:rsid w:val="0084218B"/>
    <w:rsid w:val="008425CC"/>
    <w:rsid w:val="00842DC2"/>
    <w:rsid w:val="0084357B"/>
    <w:rsid w:val="008465B4"/>
    <w:rsid w:val="00846D25"/>
    <w:rsid w:val="00850013"/>
    <w:rsid w:val="008500DD"/>
    <w:rsid w:val="00850A0A"/>
    <w:rsid w:val="00850A94"/>
    <w:rsid w:val="00851CEF"/>
    <w:rsid w:val="00851E96"/>
    <w:rsid w:val="00851F1C"/>
    <w:rsid w:val="0085237B"/>
    <w:rsid w:val="00852FA5"/>
    <w:rsid w:val="00853864"/>
    <w:rsid w:val="00853F7D"/>
    <w:rsid w:val="0085517F"/>
    <w:rsid w:val="0085562D"/>
    <w:rsid w:val="00855A78"/>
    <w:rsid w:val="00856154"/>
    <w:rsid w:val="00856286"/>
    <w:rsid w:val="0085657E"/>
    <w:rsid w:val="00856F0E"/>
    <w:rsid w:val="008573AF"/>
    <w:rsid w:val="008576B0"/>
    <w:rsid w:val="00860296"/>
    <w:rsid w:val="008602E3"/>
    <w:rsid w:val="00860DA4"/>
    <w:rsid w:val="00861146"/>
    <w:rsid w:val="00861948"/>
    <w:rsid w:val="00862011"/>
    <w:rsid w:val="00862A15"/>
    <w:rsid w:val="00862CC9"/>
    <w:rsid w:val="00862D8E"/>
    <w:rsid w:val="00862EF2"/>
    <w:rsid w:val="00863649"/>
    <w:rsid w:val="0086598A"/>
    <w:rsid w:val="00865C3D"/>
    <w:rsid w:val="00865F4C"/>
    <w:rsid w:val="00866453"/>
    <w:rsid w:val="0086707F"/>
    <w:rsid w:val="00867501"/>
    <w:rsid w:val="00867D8E"/>
    <w:rsid w:val="008700C0"/>
    <w:rsid w:val="0087058B"/>
    <w:rsid w:val="0087099A"/>
    <w:rsid w:val="00870D79"/>
    <w:rsid w:val="00871333"/>
    <w:rsid w:val="00871952"/>
    <w:rsid w:val="00872006"/>
    <w:rsid w:val="00872386"/>
    <w:rsid w:val="008726D7"/>
    <w:rsid w:val="008730BB"/>
    <w:rsid w:val="00873128"/>
    <w:rsid w:val="008735BC"/>
    <w:rsid w:val="00873AAC"/>
    <w:rsid w:val="00873C61"/>
    <w:rsid w:val="00873DFD"/>
    <w:rsid w:val="008749BF"/>
    <w:rsid w:val="00875542"/>
    <w:rsid w:val="00875E14"/>
    <w:rsid w:val="0087677E"/>
    <w:rsid w:val="0087712C"/>
    <w:rsid w:val="008776E7"/>
    <w:rsid w:val="00877746"/>
    <w:rsid w:val="00877C5D"/>
    <w:rsid w:val="0088003E"/>
    <w:rsid w:val="00880354"/>
    <w:rsid w:val="0088093C"/>
    <w:rsid w:val="00880BC0"/>
    <w:rsid w:val="0088127A"/>
    <w:rsid w:val="00881D59"/>
    <w:rsid w:val="00882991"/>
    <w:rsid w:val="00882EC1"/>
    <w:rsid w:val="0088324E"/>
    <w:rsid w:val="0088434F"/>
    <w:rsid w:val="00884371"/>
    <w:rsid w:val="008848E2"/>
    <w:rsid w:val="00884B7A"/>
    <w:rsid w:val="00884D47"/>
    <w:rsid w:val="008856C5"/>
    <w:rsid w:val="00886112"/>
    <w:rsid w:val="008872B3"/>
    <w:rsid w:val="00887392"/>
    <w:rsid w:val="00890A64"/>
    <w:rsid w:val="00890C40"/>
    <w:rsid w:val="00890D7F"/>
    <w:rsid w:val="0089122E"/>
    <w:rsid w:val="008912A7"/>
    <w:rsid w:val="0089183A"/>
    <w:rsid w:val="008920B4"/>
    <w:rsid w:val="008925EB"/>
    <w:rsid w:val="0089275E"/>
    <w:rsid w:val="00892B43"/>
    <w:rsid w:val="00893432"/>
    <w:rsid w:val="00893936"/>
    <w:rsid w:val="00893CE2"/>
    <w:rsid w:val="00893F41"/>
    <w:rsid w:val="00895144"/>
    <w:rsid w:val="00895963"/>
    <w:rsid w:val="0089653D"/>
    <w:rsid w:val="008972B6"/>
    <w:rsid w:val="00897339"/>
    <w:rsid w:val="00897697"/>
    <w:rsid w:val="008977E1"/>
    <w:rsid w:val="00897BFA"/>
    <w:rsid w:val="00897D19"/>
    <w:rsid w:val="008A0044"/>
    <w:rsid w:val="008A0BFE"/>
    <w:rsid w:val="008A1932"/>
    <w:rsid w:val="008A21D9"/>
    <w:rsid w:val="008A232D"/>
    <w:rsid w:val="008A3182"/>
    <w:rsid w:val="008A3C76"/>
    <w:rsid w:val="008A3D54"/>
    <w:rsid w:val="008A3E10"/>
    <w:rsid w:val="008A411C"/>
    <w:rsid w:val="008A45AC"/>
    <w:rsid w:val="008A4630"/>
    <w:rsid w:val="008A47CE"/>
    <w:rsid w:val="008A4DFA"/>
    <w:rsid w:val="008A5F2F"/>
    <w:rsid w:val="008A6BAE"/>
    <w:rsid w:val="008A7350"/>
    <w:rsid w:val="008A7A72"/>
    <w:rsid w:val="008B09F3"/>
    <w:rsid w:val="008B111A"/>
    <w:rsid w:val="008B16E6"/>
    <w:rsid w:val="008B1AB2"/>
    <w:rsid w:val="008B1D9B"/>
    <w:rsid w:val="008B2042"/>
    <w:rsid w:val="008B25F1"/>
    <w:rsid w:val="008B3567"/>
    <w:rsid w:val="008B36D0"/>
    <w:rsid w:val="008B38AF"/>
    <w:rsid w:val="008B3D7F"/>
    <w:rsid w:val="008B3E1B"/>
    <w:rsid w:val="008B3F4B"/>
    <w:rsid w:val="008B48EC"/>
    <w:rsid w:val="008B4AF0"/>
    <w:rsid w:val="008B518E"/>
    <w:rsid w:val="008B527B"/>
    <w:rsid w:val="008B5AB9"/>
    <w:rsid w:val="008B67E6"/>
    <w:rsid w:val="008B69B8"/>
    <w:rsid w:val="008B7042"/>
    <w:rsid w:val="008B770C"/>
    <w:rsid w:val="008C0325"/>
    <w:rsid w:val="008C094A"/>
    <w:rsid w:val="008C1570"/>
    <w:rsid w:val="008C1792"/>
    <w:rsid w:val="008C17B2"/>
    <w:rsid w:val="008C1E3E"/>
    <w:rsid w:val="008C2059"/>
    <w:rsid w:val="008C21D0"/>
    <w:rsid w:val="008C2DBC"/>
    <w:rsid w:val="008C3A4E"/>
    <w:rsid w:val="008C5371"/>
    <w:rsid w:val="008C623D"/>
    <w:rsid w:val="008C65F4"/>
    <w:rsid w:val="008C6683"/>
    <w:rsid w:val="008C6E0C"/>
    <w:rsid w:val="008C7273"/>
    <w:rsid w:val="008C78F8"/>
    <w:rsid w:val="008D05DF"/>
    <w:rsid w:val="008D09E8"/>
    <w:rsid w:val="008D0E65"/>
    <w:rsid w:val="008D110A"/>
    <w:rsid w:val="008D15CA"/>
    <w:rsid w:val="008D1612"/>
    <w:rsid w:val="008D19FA"/>
    <w:rsid w:val="008D2259"/>
    <w:rsid w:val="008D2531"/>
    <w:rsid w:val="008D2833"/>
    <w:rsid w:val="008D2A5B"/>
    <w:rsid w:val="008D313A"/>
    <w:rsid w:val="008D3381"/>
    <w:rsid w:val="008D33FE"/>
    <w:rsid w:val="008D3B9F"/>
    <w:rsid w:val="008D3D02"/>
    <w:rsid w:val="008D3D5A"/>
    <w:rsid w:val="008D4226"/>
    <w:rsid w:val="008D4D7C"/>
    <w:rsid w:val="008D5432"/>
    <w:rsid w:val="008D54C0"/>
    <w:rsid w:val="008D5558"/>
    <w:rsid w:val="008D5806"/>
    <w:rsid w:val="008D5ED9"/>
    <w:rsid w:val="008D65BE"/>
    <w:rsid w:val="008D7247"/>
    <w:rsid w:val="008D7567"/>
    <w:rsid w:val="008E0EE4"/>
    <w:rsid w:val="008E12BE"/>
    <w:rsid w:val="008E13FD"/>
    <w:rsid w:val="008E1C24"/>
    <w:rsid w:val="008E2626"/>
    <w:rsid w:val="008E27A9"/>
    <w:rsid w:val="008E323C"/>
    <w:rsid w:val="008E32E0"/>
    <w:rsid w:val="008E35A6"/>
    <w:rsid w:val="008E36D9"/>
    <w:rsid w:val="008E3A5C"/>
    <w:rsid w:val="008E3A9A"/>
    <w:rsid w:val="008E429E"/>
    <w:rsid w:val="008E58A3"/>
    <w:rsid w:val="008E5938"/>
    <w:rsid w:val="008E6109"/>
    <w:rsid w:val="008E6A39"/>
    <w:rsid w:val="008E76BB"/>
    <w:rsid w:val="008F1764"/>
    <w:rsid w:val="008F1E3D"/>
    <w:rsid w:val="008F235C"/>
    <w:rsid w:val="008F290B"/>
    <w:rsid w:val="008F2F11"/>
    <w:rsid w:val="008F3369"/>
    <w:rsid w:val="008F33A6"/>
    <w:rsid w:val="008F35EC"/>
    <w:rsid w:val="008F39F5"/>
    <w:rsid w:val="008F4FE8"/>
    <w:rsid w:val="008F4FED"/>
    <w:rsid w:val="008F5D5A"/>
    <w:rsid w:val="008F60F3"/>
    <w:rsid w:val="008F6200"/>
    <w:rsid w:val="008F62F8"/>
    <w:rsid w:val="008F6893"/>
    <w:rsid w:val="008F7292"/>
    <w:rsid w:val="008F76C0"/>
    <w:rsid w:val="009000F2"/>
    <w:rsid w:val="0090079D"/>
    <w:rsid w:val="0090086A"/>
    <w:rsid w:val="00900D2C"/>
    <w:rsid w:val="00901807"/>
    <w:rsid w:val="00901F0E"/>
    <w:rsid w:val="00902A26"/>
    <w:rsid w:val="00902A57"/>
    <w:rsid w:val="00902B29"/>
    <w:rsid w:val="00903C83"/>
    <w:rsid w:val="00903D77"/>
    <w:rsid w:val="0090408F"/>
    <w:rsid w:val="0090446A"/>
    <w:rsid w:val="00904537"/>
    <w:rsid w:val="00904DC3"/>
    <w:rsid w:val="0090534A"/>
    <w:rsid w:val="00905469"/>
    <w:rsid w:val="00906078"/>
    <w:rsid w:val="0090629C"/>
    <w:rsid w:val="00906582"/>
    <w:rsid w:val="00906EA2"/>
    <w:rsid w:val="00907278"/>
    <w:rsid w:val="009076CA"/>
    <w:rsid w:val="00910041"/>
    <w:rsid w:val="0091112B"/>
    <w:rsid w:val="00911D61"/>
    <w:rsid w:val="00912850"/>
    <w:rsid w:val="009128B8"/>
    <w:rsid w:val="009141F2"/>
    <w:rsid w:val="0091472C"/>
    <w:rsid w:val="00914DC9"/>
    <w:rsid w:val="00915243"/>
    <w:rsid w:val="00915351"/>
    <w:rsid w:val="00915679"/>
    <w:rsid w:val="009159C2"/>
    <w:rsid w:val="0091627F"/>
    <w:rsid w:val="00916E45"/>
    <w:rsid w:val="0092077A"/>
    <w:rsid w:val="00920DC0"/>
    <w:rsid w:val="009219F3"/>
    <w:rsid w:val="009221CB"/>
    <w:rsid w:val="00922320"/>
    <w:rsid w:val="00923643"/>
    <w:rsid w:val="00923E1A"/>
    <w:rsid w:val="009245CC"/>
    <w:rsid w:val="0092490A"/>
    <w:rsid w:val="00924E4B"/>
    <w:rsid w:val="009250DA"/>
    <w:rsid w:val="00925A3E"/>
    <w:rsid w:val="009261DB"/>
    <w:rsid w:val="00926939"/>
    <w:rsid w:val="00926F4C"/>
    <w:rsid w:val="00927330"/>
    <w:rsid w:val="00927710"/>
    <w:rsid w:val="009307CA"/>
    <w:rsid w:val="009312DF"/>
    <w:rsid w:val="009312F9"/>
    <w:rsid w:val="00931445"/>
    <w:rsid w:val="00931AB8"/>
    <w:rsid w:val="00931C19"/>
    <w:rsid w:val="00931C63"/>
    <w:rsid w:val="00931D10"/>
    <w:rsid w:val="0093218A"/>
    <w:rsid w:val="0093386D"/>
    <w:rsid w:val="00934C8E"/>
    <w:rsid w:val="00935194"/>
    <w:rsid w:val="0093545F"/>
    <w:rsid w:val="00936EA5"/>
    <w:rsid w:val="00937114"/>
    <w:rsid w:val="0094015D"/>
    <w:rsid w:val="00940916"/>
    <w:rsid w:val="009412B7"/>
    <w:rsid w:val="00941B13"/>
    <w:rsid w:val="0094215C"/>
    <w:rsid w:val="00942A27"/>
    <w:rsid w:val="00942F8E"/>
    <w:rsid w:val="00943543"/>
    <w:rsid w:val="009441DB"/>
    <w:rsid w:val="00944834"/>
    <w:rsid w:val="00946128"/>
    <w:rsid w:val="0094633F"/>
    <w:rsid w:val="00947BA5"/>
    <w:rsid w:val="00950805"/>
    <w:rsid w:val="009517E4"/>
    <w:rsid w:val="009518D4"/>
    <w:rsid w:val="009520BC"/>
    <w:rsid w:val="009521D2"/>
    <w:rsid w:val="00952403"/>
    <w:rsid w:val="00952589"/>
    <w:rsid w:val="00952BD8"/>
    <w:rsid w:val="00953153"/>
    <w:rsid w:val="00953573"/>
    <w:rsid w:val="0095370A"/>
    <w:rsid w:val="009537C0"/>
    <w:rsid w:val="009557A9"/>
    <w:rsid w:val="00956647"/>
    <w:rsid w:val="00956CF3"/>
    <w:rsid w:val="00957380"/>
    <w:rsid w:val="00957409"/>
    <w:rsid w:val="00957499"/>
    <w:rsid w:val="00957ED2"/>
    <w:rsid w:val="009604AE"/>
    <w:rsid w:val="009609AF"/>
    <w:rsid w:val="00960DE4"/>
    <w:rsid w:val="009610C7"/>
    <w:rsid w:val="00961164"/>
    <w:rsid w:val="009612A4"/>
    <w:rsid w:val="00961867"/>
    <w:rsid w:val="00961A07"/>
    <w:rsid w:val="00961A4F"/>
    <w:rsid w:val="009625B7"/>
    <w:rsid w:val="00962FB8"/>
    <w:rsid w:val="00963183"/>
    <w:rsid w:val="0096373F"/>
    <w:rsid w:val="00964007"/>
    <w:rsid w:val="00964283"/>
    <w:rsid w:val="009642A4"/>
    <w:rsid w:val="009643F4"/>
    <w:rsid w:val="009645A6"/>
    <w:rsid w:val="00964F5A"/>
    <w:rsid w:val="0096527F"/>
    <w:rsid w:val="009653ED"/>
    <w:rsid w:val="009664AE"/>
    <w:rsid w:val="00966A21"/>
    <w:rsid w:val="00966AD2"/>
    <w:rsid w:val="0097025C"/>
    <w:rsid w:val="00971415"/>
    <w:rsid w:val="009716D8"/>
    <w:rsid w:val="00971F54"/>
    <w:rsid w:val="00972057"/>
    <w:rsid w:val="0097227B"/>
    <w:rsid w:val="0097262E"/>
    <w:rsid w:val="0097293F"/>
    <w:rsid w:val="00973103"/>
    <w:rsid w:val="00974022"/>
    <w:rsid w:val="009743E8"/>
    <w:rsid w:val="009745D8"/>
    <w:rsid w:val="00974F3B"/>
    <w:rsid w:val="0097552A"/>
    <w:rsid w:val="0097564A"/>
    <w:rsid w:val="00975974"/>
    <w:rsid w:val="00975D06"/>
    <w:rsid w:val="00975D63"/>
    <w:rsid w:val="00975DAE"/>
    <w:rsid w:val="00976BBE"/>
    <w:rsid w:val="009804FC"/>
    <w:rsid w:val="0098055B"/>
    <w:rsid w:val="00980B30"/>
    <w:rsid w:val="009810BE"/>
    <w:rsid w:val="009817BC"/>
    <w:rsid w:val="009819A7"/>
    <w:rsid w:val="0098220A"/>
    <w:rsid w:val="00982E75"/>
    <w:rsid w:val="00983337"/>
    <w:rsid w:val="009836AA"/>
    <w:rsid w:val="009846BF"/>
    <w:rsid w:val="009851F5"/>
    <w:rsid w:val="0098534B"/>
    <w:rsid w:val="00986019"/>
    <w:rsid w:val="00986281"/>
    <w:rsid w:val="00986FC9"/>
    <w:rsid w:val="0098764E"/>
    <w:rsid w:val="00987683"/>
    <w:rsid w:val="00987826"/>
    <w:rsid w:val="00987B4F"/>
    <w:rsid w:val="00987D58"/>
    <w:rsid w:val="0099034B"/>
    <w:rsid w:val="009906D4"/>
    <w:rsid w:val="00990A8E"/>
    <w:rsid w:val="00990EB7"/>
    <w:rsid w:val="00990F5F"/>
    <w:rsid w:val="009911A7"/>
    <w:rsid w:val="009913B8"/>
    <w:rsid w:val="009914E4"/>
    <w:rsid w:val="00992141"/>
    <w:rsid w:val="009921DB"/>
    <w:rsid w:val="00992C67"/>
    <w:rsid w:val="00992D5B"/>
    <w:rsid w:val="00993135"/>
    <w:rsid w:val="00993AC7"/>
    <w:rsid w:val="00993BAD"/>
    <w:rsid w:val="00993E49"/>
    <w:rsid w:val="00994120"/>
    <w:rsid w:val="009942F5"/>
    <w:rsid w:val="00994568"/>
    <w:rsid w:val="00994602"/>
    <w:rsid w:val="00995B01"/>
    <w:rsid w:val="00996055"/>
    <w:rsid w:val="00996EF4"/>
    <w:rsid w:val="00997044"/>
    <w:rsid w:val="00997BC9"/>
    <w:rsid w:val="009A113D"/>
    <w:rsid w:val="009A1ECA"/>
    <w:rsid w:val="009A2BE9"/>
    <w:rsid w:val="009A2BF3"/>
    <w:rsid w:val="009A3688"/>
    <w:rsid w:val="009A3713"/>
    <w:rsid w:val="009A3C3E"/>
    <w:rsid w:val="009A4153"/>
    <w:rsid w:val="009A4C2C"/>
    <w:rsid w:val="009A4E60"/>
    <w:rsid w:val="009A59B3"/>
    <w:rsid w:val="009A5FAE"/>
    <w:rsid w:val="009A6B3A"/>
    <w:rsid w:val="009A70A3"/>
    <w:rsid w:val="009A7E7C"/>
    <w:rsid w:val="009B05D2"/>
    <w:rsid w:val="009B152B"/>
    <w:rsid w:val="009B2731"/>
    <w:rsid w:val="009B2DCF"/>
    <w:rsid w:val="009B39D8"/>
    <w:rsid w:val="009B3D38"/>
    <w:rsid w:val="009B4368"/>
    <w:rsid w:val="009B4D4C"/>
    <w:rsid w:val="009B66F5"/>
    <w:rsid w:val="009B7505"/>
    <w:rsid w:val="009C0020"/>
    <w:rsid w:val="009C03F7"/>
    <w:rsid w:val="009C0DF6"/>
    <w:rsid w:val="009C10DA"/>
    <w:rsid w:val="009C19FC"/>
    <w:rsid w:val="009C27F7"/>
    <w:rsid w:val="009C2D71"/>
    <w:rsid w:val="009C3BC4"/>
    <w:rsid w:val="009C3C93"/>
    <w:rsid w:val="009C3E97"/>
    <w:rsid w:val="009C4017"/>
    <w:rsid w:val="009C424E"/>
    <w:rsid w:val="009C4708"/>
    <w:rsid w:val="009C4870"/>
    <w:rsid w:val="009C4C4E"/>
    <w:rsid w:val="009C4D37"/>
    <w:rsid w:val="009C574C"/>
    <w:rsid w:val="009C5753"/>
    <w:rsid w:val="009C5E42"/>
    <w:rsid w:val="009C620F"/>
    <w:rsid w:val="009C657D"/>
    <w:rsid w:val="009C724B"/>
    <w:rsid w:val="009C7266"/>
    <w:rsid w:val="009C748A"/>
    <w:rsid w:val="009D03B7"/>
    <w:rsid w:val="009D07AD"/>
    <w:rsid w:val="009D0824"/>
    <w:rsid w:val="009D1172"/>
    <w:rsid w:val="009D13CC"/>
    <w:rsid w:val="009D1654"/>
    <w:rsid w:val="009D1AAC"/>
    <w:rsid w:val="009D1BDB"/>
    <w:rsid w:val="009D298F"/>
    <w:rsid w:val="009D2F9C"/>
    <w:rsid w:val="009D4207"/>
    <w:rsid w:val="009D4E4A"/>
    <w:rsid w:val="009D5130"/>
    <w:rsid w:val="009D53D1"/>
    <w:rsid w:val="009D53FB"/>
    <w:rsid w:val="009D56A4"/>
    <w:rsid w:val="009D6081"/>
    <w:rsid w:val="009D678C"/>
    <w:rsid w:val="009D6B9A"/>
    <w:rsid w:val="009D6D30"/>
    <w:rsid w:val="009D7523"/>
    <w:rsid w:val="009D76B5"/>
    <w:rsid w:val="009D7AF1"/>
    <w:rsid w:val="009D7BC7"/>
    <w:rsid w:val="009D7FAC"/>
    <w:rsid w:val="009E0109"/>
    <w:rsid w:val="009E0342"/>
    <w:rsid w:val="009E098B"/>
    <w:rsid w:val="009E09AB"/>
    <w:rsid w:val="009E0D7D"/>
    <w:rsid w:val="009E0DAF"/>
    <w:rsid w:val="009E19BB"/>
    <w:rsid w:val="009E1C47"/>
    <w:rsid w:val="009E1FB1"/>
    <w:rsid w:val="009E38D1"/>
    <w:rsid w:val="009E3DF1"/>
    <w:rsid w:val="009E514A"/>
    <w:rsid w:val="009E5177"/>
    <w:rsid w:val="009E5701"/>
    <w:rsid w:val="009E5711"/>
    <w:rsid w:val="009E758E"/>
    <w:rsid w:val="009E7BA2"/>
    <w:rsid w:val="009E7BFB"/>
    <w:rsid w:val="009E7D6B"/>
    <w:rsid w:val="009E7E81"/>
    <w:rsid w:val="009F020A"/>
    <w:rsid w:val="009F05AD"/>
    <w:rsid w:val="009F0659"/>
    <w:rsid w:val="009F1109"/>
    <w:rsid w:val="009F143E"/>
    <w:rsid w:val="009F1DE8"/>
    <w:rsid w:val="009F2186"/>
    <w:rsid w:val="009F227C"/>
    <w:rsid w:val="009F28DC"/>
    <w:rsid w:val="009F2EDB"/>
    <w:rsid w:val="009F33DC"/>
    <w:rsid w:val="009F3572"/>
    <w:rsid w:val="009F4550"/>
    <w:rsid w:val="009F56C0"/>
    <w:rsid w:val="009F5C76"/>
    <w:rsid w:val="009F7280"/>
    <w:rsid w:val="00A000C5"/>
    <w:rsid w:val="00A007B4"/>
    <w:rsid w:val="00A00930"/>
    <w:rsid w:val="00A00CA0"/>
    <w:rsid w:val="00A00E00"/>
    <w:rsid w:val="00A01221"/>
    <w:rsid w:val="00A012A8"/>
    <w:rsid w:val="00A012F1"/>
    <w:rsid w:val="00A014EE"/>
    <w:rsid w:val="00A016FF"/>
    <w:rsid w:val="00A01886"/>
    <w:rsid w:val="00A0207F"/>
    <w:rsid w:val="00A021AF"/>
    <w:rsid w:val="00A027B1"/>
    <w:rsid w:val="00A0307A"/>
    <w:rsid w:val="00A03A7C"/>
    <w:rsid w:val="00A044AA"/>
    <w:rsid w:val="00A0686F"/>
    <w:rsid w:val="00A0700C"/>
    <w:rsid w:val="00A102F8"/>
    <w:rsid w:val="00A10A20"/>
    <w:rsid w:val="00A117D5"/>
    <w:rsid w:val="00A11C11"/>
    <w:rsid w:val="00A12720"/>
    <w:rsid w:val="00A12ED1"/>
    <w:rsid w:val="00A13121"/>
    <w:rsid w:val="00A131F5"/>
    <w:rsid w:val="00A133C1"/>
    <w:rsid w:val="00A13414"/>
    <w:rsid w:val="00A13675"/>
    <w:rsid w:val="00A138B7"/>
    <w:rsid w:val="00A13F2D"/>
    <w:rsid w:val="00A148A0"/>
    <w:rsid w:val="00A14AA8"/>
    <w:rsid w:val="00A14F81"/>
    <w:rsid w:val="00A1535F"/>
    <w:rsid w:val="00A15CB1"/>
    <w:rsid w:val="00A15DCC"/>
    <w:rsid w:val="00A15E7D"/>
    <w:rsid w:val="00A15E84"/>
    <w:rsid w:val="00A16021"/>
    <w:rsid w:val="00A16961"/>
    <w:rsid w:val="00A176DD"/>
    <w:rsid w:val="00A21838"/>
    <w:rsid w:val="00A22C3E"/>
    <w:rsid w:val="00A22C4D"/>
    <w:rsid w:val="00A2334E"/>
    <w:rsid w:val="00A23442"/>
    <w:rsid w:val="00A23F39"/>
    <w:rsid w:val="00A249D2"/>
    <w:rsid w:val="00A254AB"/>
    <w:rsid w:val="00A25588"/>
    <w:rsid w:val="00A259F2"/>
    <w:rsid w:val="00A266CC"/>
    <w:rsid w:val="00A26DB4"/>
    <w:rsid w:val="00A26E49"/>
    <w:rsid w:val="00A27425"/>
    <w:rsid w:val="00A3023E"/>
    <w:rsid w:val="00A305C5"/>
    <w:rsid w:val="00A30919"/>
    <w:rsid w:val="00A31F05"/>
    <w:rsid w:val="00A31FD2"/>
    <w:rsid w:val="00A3404D"/>
    <w:rsid w:val="00A341AB"/>
    <w:rsid w:val="00A34290"/>
    <w:rsid w:val="00A355F9"/>
    <w:rsid w:val="00A357D3"/>
    <w:rsid w:val="00A35AA9"/>
    <w:rsid w:val="00A35F3C"/>
    <w:rsid w:val="00A36CF6"/>
    <w:rsid w:val="00A37309"/>
    <w:rsid w:val="00A37329"/>
    <w:rsid w:val="00A37558"/>
    <w:rsid w:val="00A3786A"/>
    <w:rsid w:val="00A4008C"/>
    <w:rsid w:val="00A402A8"/>
    <w:rsid w:val="00A40685"/>
    <w:rsid w:val="00A40E2F"/>
    <w:rsid w:val="00A41819"/>
    <w:rsid w:val="00A41C9A"/>
    <w:rsid w:val="00A41CE9"/>
    <w:rsid w:val="00A41D73"/>
    <w:rsid w:val="00A42406"/>
    <w:rsid w:val="00A42A74"/>
    <w:rsid w:val="00A433E8"/>
    <w:rsid w:val="00A43A1D"/>
    <w:rsid w:val="00A43AB0"/>
    <w:rsid w:val="00A44854"/>
    <w:rsid w:val="00A44A45"/>
    <w:rsid w:val="00A454ED"/>
    <w:rsid w:val="00A4665D"/>
    <w:rsid w:val="00A46859"/>
    <w:rsid w:val="00A46D39"/>
    <w:rsid w:val="00A47019"/>
    <w:rsid w:val="00A472B8"/>
    <w:rsid w:val="00A5004A"/>
    <w:rsid w:val="00A5017C"/>
    <w:rsid w:val="00A502D6"/>
    <w:rsid w:val="00A502F5"/>
    <w:rsid w:val="00A504F4"/>
    <w:rsid w:val="00A507C4"/>
    <w:rsid w:val="00A508AA"/>
    <w:rsid w:val="00A50EE7"/>
    <w:rsid w:val="00A526CE"/>
    <w:rsid w:val="00A53D28"/>
    <w:rsid w:val="00A5468F"/>
    <w:rsid w:val="00A54909"/>
    <w:rsid w:val="00A54DC0"/>
    <w:rsid w:val="00A550C9"/>
    <w:rsid w:val="00A55228"/>
    <w:rsid w:val="00A55410"/>
    <w:rsid w:val="00A55A04"/>
    <w:rsid w:val="00A564DE"/>
    <w:rsid w:val="00A6054E"/>
    <w:rsid w:val="00A60799"/>
    <w:rsid w:val="00A6170B"/>
    <w:rsid w:val="00A61767"/>
    <w:rsid w:val="00A61991"/>
    <w:rsid w:val="00A61B7F"/>
    <w:rsid w:val="00A61B91"/>
    <w:rsid w:val="00A61C3A"/>
    <w:rsid w:val="00A620E8"/>
    <w:rsid w:val="00A63335"/>
    <w:rsid w:val="00A634EB"/>
    <w:rsid w:val="00A63685"/>
    <w:rsid w:val="00A63EA5"/>
    <w:rsid w:val="00A64545"/>
    <w:rsid w:val="00A645AC"/>
    <w:rsid w:val="00A64C79"/>
    <w:rsid w:val="00A65EFB"/>
    <w:rsid w:val="00A66E28"/>
    <w:rsid w:val="00A6707F"/>
    <w:rsid w:val="00A67429"/>
    <w:rsid w:val="00A677E7"/>
    <w:rsid w:val="00A67CE9"/>
    <w:rsid w:val="00A70590"/>
    <w:rsid w:val="00A7062E"/>
    <w:rsid w:val="00A70834"/>
    <w:rsid w:val="00A71542"/>
    <w:rsid w:val="00A7171F"/>
    <w:rsid w:val="00A71FA0"/>
    <w:rsid w:val="00A71FBD"/>
    <w:rsid w:val="00A72727"/>
    <w:rsid w:val="00A727D8"/>
    <w:rsid w:val="00A72C1A"/>
    <w:rsid w:val="00A732FB"/>
    <w:rsid w:val="00A7463E"/>
    <w:rsid w:val="00A74E67"/>
    <w:rsid w:val="00A758E2"/>
    <w:rsid w:val="00A765B1"/>
    <w:rsid w:val="00A772F2"/>
    <w:rsid w:val="00A77828"/>
    <w:rsid w:val="00A77BAA"/>
    <w:rsid w:val="00A800F9"/>
    <w:rsid w:val="00A803A6"/>
    <w:rsid w:val="00A8073D"/>
    <w:rsid w:val="00A80D02"/>
    <w:rsid w:val="00A815FB"/>
    <w:rsid w:val="00A81AEB"/>
    <w:rsid w:val="00A82D32"/>
    <w:rsid w:val="00A82EAE"/>
    <w:rsid w:val="00A82FC7"/>
    <w:rsid w:val="00A83814"/>
    <w:rsid w:val="00A8420B"/>
    <w:rsid w:val="00A847F9"/>
    <w:rsid w:val="00A84F27"/>
    <w:rsid w:val="00A8519C"/>
    <w:rsid w:val="00A855EE"/>
    <w:rsid w:val="00A8597A"/>
    <w:rsid w:val="00A85B87"/>
    <w:rsid w:val="00A85F83"/>
    <w:rsid w:val="00A86019"/>
    <w:rsid w:val="00A86EED"/>
    <w:rsid w:val="00A8733A"/>
    <w:rsid w:val="00A9151F"/>
    <w:rsid w:val="00A9196B"/>
    <w:rsid w:val="00A91BB5"/>
    <w:rsid w:val="00A91BEE"/>
    <w:rsid w:val="00A91D4B"/>
    <w:rsid w:val="00A920B2"/>
    <w:rsid w:val="00A92A96"/>
    <w:rsid w:val="00A92AF0"/>
    <w:rsid w:val="00A933FE"/>
    <w:rsid w:val="00A937D5"/>
    <w:rsid w:val="00A93C70"/>
    <w:rsid w:val="00A94A32"/>
    <w:rsid w:val="00A94AFC"/>
    <w:rsid w:val="00A94B4E"/>
    <w:rsid w:val="00A94BF5"/>
    <w:rsid w:val="00A954F8"/>
    <w:rsid w:val="00A962AE"/>
    <w:rsid w:val="00A9686A"/>
    <w:rsid w:val="00A96B4A"/>
    <w:rsid w:val="00A97BDA"/>
    <w:rsid w:val="00AA043A"/>
    <w:rsid w:val="00AA0779"/>
    <w:rsid w:val="00AA08F3"/>
    <w:rsid w:val="00AA0A7E"/>
    <w:rsid w:val="00AA0F23"/>
    <w:rsid w:val="00AA1067"/>
    <w:rsid w:val="00AA1163"/>
    <w:rsid w:val="00AA1DA8"/>
    <w:rsid w:val="00AA222C"/>
    <w:rsid w:val="00AA2264"/>
    <w:rsid w:val="00AA238E"/>
    <w:rsid w:val="00AA2483"/>
    <w:rsid w:val="00AA253B"/>
    <w:rsid w:val="00AA29F8"/>
    <w:rsid w:val="00AA3243"/>
    <w:rsid w:val="00AA388F"/>
    <w:rsid w:val="00AA3C4C"/>
    <w:rsid w:val="00AA3DC0"/>
    <w:rsid w:val="00AA408E"/>
    <w:rsid w:val="00AA4DA9"/>
    <w:rsid w:val="00AA4F6D"/>
    <w:rsid w:val="00AA50CE"/>
    <w:rsid w:val="00AA536B"/>
    <w:rsid w:val="00AA57C9"/>
    <w:rsid w:val="00AA5A5C"/>
    <w:rsid w:val="00AA5A6F"/>
    <w:rsid w:val="00AA5D86"/>
    <w:rsid w:val="00AA634D"/>
    <w:rsid w:val="00AA6F6C"/>
    <w:rsid w:val="00AA721D"/>
    <w:rsid w:val="00AA7519"/>
    <w:rsid w:val="00AA790A"/>
    <w:rsid w:val="00AB02EA"/>
    <w:rsid w:val="00AB110C"/>
    <w:rsid w:val="00AB227A"/>
    <w:rsid w:val="00AB22BF"/>
    <w:rsid w:val="00AB256E"/>
    <w:rsid w:val="00AB318B"/>
    <w:rsid w:val="00AB3466"/>
    <w:rsid w:val="00AB38B2"/>
    <w:rsid w:val="00AB3AB9"/>
    <w:rsid w:val="00AB3BBB"/>
    <w:rsid w:val="00AB408C"/>
    <w:rsid w:val="00AB43AF"/>
    <w:rsid w:val="00AB489E"/>
    <w:rsid w:val="00AB4E41"/>
    <w:rsid w:val="00AB5EB1"/>
    <w:rsid w:val="00AB6003"/>
    <w:rsid w:val="00AB759A"/>
    <w:rsid w:val="00AB7B06"/>
    <w:rsid w:val="00AB7EAA"/>
    <w:rsid w:val="00AC0432"/>
    <w:rsid w:val="00AC0770"/>
    <w:rsid w:val="00AC1683"/>
    <w:rsid w:val="00AC1D82"/>
    <w:rsid w:val="00AC2D5F"/>
    <w:rsid w:val="00AC38A5"/>
    <w:rsid w:val="00AC4094"/>
    <w:rsid w:val="00AC42B6"/>
    <w:rsid w:val="00AC4AB7"/>
    <w:rsid w:val="00AC51E0"/>
    <w:rsid w:val="00AC6D24"/>
    <w:rsid w:val="00AC6E18"/>
    <w:rsid w:val="00AC7F64"/>
    <w:rsid w:val="00AD0DD3"/>
    <w:rsid w:val="00AD1065"/>
    <w:rsid w:val="00AD159E"/>
    <w:rsid w:val="00AD2AB1"/>
    <w:rsid w:val="00AD3132"/>
    <w:rsid w:val="00AD3362"/>
    <w:rsid w:val="00AD3DA6"/>
    <w:rsid w:val="00AD3F3C"/>
    <w:rsid w:val="00AD447E"/>
    <w:rsid w:val="00AD4B2F"/>
    <w:rsid w:val="00AD5F0A"/>
    <w:rsid w:val="00AD6A5B"/>
    <w:rsid w:val="00AD6B4F"/>
    <w:rsid w:val="00AD6D19"/>
    <w:rsid w:val="00AD7812"/>
    <w:rsid w:val="00AD7C42"/>
    <w:rsid w:val="00AD7CFA"/>
    <w:rsid w:val="00AE06B0"/>
    <w:rsid w:val="00AE0BD6"/>
    <w:rsid w:val="00AE11C1"/>
    <w:rsid w:val="00AE163D"/>
    <w:rsid w:val="00AE1A42"/>
    <w:rsid w:val="00AE1C5C"/>
    <w:rsid w:val="00AE315E"/>
    <w:rsid w:val="00AE319F"/>
    <w:rsid w:val="00AE31D9"/>
    <w:rsid w:val="00AE3CF0"/>
    <w:rsid w:val="00AE4546"/>
    <w:rsid w:val="00AE6575"/>
    <w:rsid w:val="00AE71EE"/>
    <w:rsid w:val="00AF03CF"/>
    <w:rsid w:val="00AF0A0A"/>
    <w:rsid w:val="00AF14FC"/>
    <w:rsid w:val="00AF1ED2"/>
    <w:rsid w:val="00AF1F4E"/>
    <w:rsid w:val="00AF2302"/>
    <w:rsid w:val="00AF262A"/>
    <w:rsid w:val="00AF3557"/>
    <w:rsid w:val="00AF3F86"/>
    <w:rsid w:val="00AF4CEE"/>
    <w:rsid w:val="00AF4F4A"/>
    <w:rsid w:val="00AF584C"/>
    <w:rsid w:val="00AF5D84"/>
    <w:rsid w:val="00AF6476"/>
    <w:rsid w:val="00AF669D"/>
    <w:rsid w:val="00AF672C"/>
    <w:rsid w:val="00AF673E"/>
    <w:rsid w:val="00AF6ABE"/>
    <w:rsid w:val="00AF7389"/>
    <w:rsid w:val="00AF79DF"/>
    <w:rsid w:val="00AF7C37"/>
    <w:rsid w:val="00B00378"/>
    <w:rsid w:val="00B00D91"/>
    <w:rsid w:val="00B00E84"/>
    <w:rsid w:val="00B01DD9"/>
    <w:rsid w:val="00B01F0E"/>
    <w:rsid w:val="00B038F1"/>
    <w:rsid w:val="00B03C1B"/>
    <w:rsid w:val="00B04678"/>
    <w:rsid w:val="00B047C9"/>
    <w:rsid w:val="00B04A04"/>
    <w:rsid w:val="00B04B78"/>
    <w:rsid w:val="00B04C37"/>
    <w:rsid w:val="00B04F00"/>
    <w:rsid w:val="00B05BA6"/>
    <w:rsid w:val="00B066FE"/>
    <w:rsid w:val="00B06912"/>
    <w:rsid w:val="00B06B4F"/>
    <w:rsid w:val="00B06BEA"/>
    <w:rsid w:val="00B07316"/>
    <w:rsid w:val="00B07A43"/>
    <w:rsid w:val="00B07F74"/>
    <w:rsid w:val="00B10618"/>
    <w:rsid w:val="00B10B04"/>
    <w:rsid w:val="00B10CC6"/>
    <w:rsid w:val="00B11932"/>
    <w:rsid w:val="00B11A61"/>
    <w:rsid w:val="00B12082"/>
    <w:rsid w:val="00B12648"/>
    <w:rsid w:val="00B1270C"/>
    <w:rsid w:val="00B12710"/>
    <w:rsid w:val="00B13389"/>
    <w:rsid w:val="00B1364C"/>
    <w:rsid w:val="00B13EDB"/>
    <w:rsid w:val="00B141A5"/>
    <w:rsid w:val="00B14F47"/>
    <w:rsid w:val="00B15282"/>
    <w:rsid w:val="00B15286"/>
    <w:rsid w:val="00B1539F"/>
    <w:rsid w:val="00B1550D"/>
    <w:rsid w:val="00B15F6C"/>
    <w:rsid w:val="00B163E8"/>
    <w:rsid w:val="00B1767E"/>
    <w:rsid w:val="00B20760"/>
    <w:rsid w:val="00B2125C"/>
    <w:rsid w:val="00B21291"/>
    <w:rsid w:val="00B21676"/>
    <w:rsid w:val="00B219E1"/>
    <w:rsid w:val="00B21ECF"/>
    <w:rsid w:val="00B22150"/>
    <w:rsid w:val="00B2225B"/>
    <w:rsid w:val="00B226DE"/>
    <w:rsid w:val="00B22FB5"/>
    <w:rsid w:val="00B241D5"/>
    <w:rsid w:val="00B24BE9"/>
    <w:rsid w:val="00B2551D"/>
    <w:rsid w:val="00B259DF"/>
    <w:rsid w:val="00B25A55"/>
    <w:rsid w:val="00B25F8C"/>
    <w:rsid w:val="00B260BE"/>
    <w:rsid w:val="00B26677"/>
    <w:rsid w:val="00B26A96"/>
    <w:rsid w:val="00B274E3"/>
    <w:rsid w:val="00B2765C"/>
    <w:rsid w:val="00B27C4B"/>
    <w:rsid w:val="00B30563"/>
    <w:rsid w:val="00B3069E"/>
    <w:rsid w:val="00B30A76"/>
    <w:rsid w:val="00B31246"/>
    <w:rsid w:val="00B32295"/>
    <w:rsid w:val="00B33AB5"/>
    <w:rsid w:val="00B3412E"/>
    <w:rsid w:val="00B343E0"/>
    <w:rsid w:val="00B35B6D"/>
    <w:rsid w:val="00B35D53"/>
    <w:rsid w:val="00B367C4"/>
    <w:rsid w:val="00B36D3E"/>
    <w:rsid w:val="00B37B8E"/>
    <w:rsid w:val="00B40222"/>
    <w:rsid w:val="00B404C3"/>
    <w:rsid w:val="00B40B24"/>
    <w:rsid w:val="00B41938"/>
    <w:rsid w:val="00B41A04"/>
    <w:rsid w:val="00B42743"/>
    <w:rsid w:val="00B430E9"/>
    <w:rsid w:val="00B4311F"/>
    <w:rsid w:val="00B431AE"/>
    <w:rsid w:val="00B44288"/>
    <w:rsid w:val="00B448BF"/>
    <w:rsid w:val="00B45A59"/>
    <w:rsid w:val="00B45F9F"/>
    <w:rsid w:val="00B4627C"/>
    <w:rsid w:val="00B4641F"/>
    <w:rsid w:val="00B46793"/>
    <w:rsid w:val="00B46953"/>
    <w:rsid w:val="00B47455"/>
    <w:rsid w:val="00B47979"/>
    <w:rsid w:val="00B47A59"/>
    <w:rsid w:val="00B47ECD"/>
    <w:rsid w:val="00B47FF3"/>
    <w:rsid w:val="00B503D6"/>
    <w:rsid w:val="00B51520"/>
    <w:rsid w:val="00B515C3"/>
    <w:rsid w:val="00B517C2"/>
    <w:rsid w:val="00B518CE"/>
    <w:rsid w:val="00B51F56"/>
    <w:rsid w:val="00B52234"/>
    <w:rsid w:val="00B53623"/>
    <w:rsid w:val="00B536FC"/>
    <w:rsid w:val="00B53D1D"/>
    <w:rsid w:val="00B53E98"/>
    <w:rsid w:val="00B53F9B"/>
    <w:rsid w:val="00B54B19"/>
    <w:rsid w:val="00B55F64"/>
    <w:rsid w:val="00B56ECA"/>
    <w:rsid w:val="00B57093"/>
    <w:rsid w:val="00B57B5D"/>
    <w:rsid w:val="00B60613"/>
    <w:rsid w:val="00B61AEC"/>
    <w:rsid w:val="00B6244C"/>
    <w:rsid w:val="00B62A2F"/>
    <w:rsid w:val="00B62B7B"/>
    <w:rsid w:val="00B62F0A"/>
    <w:rsid w:val="00B63484"/>
    <w:rsid w:val="00B634B7"/>
    <w:rsid w:val="00B634F1"/>
    <w:rsid w:val="00B637EF"/>
    <w:rsid w:val="00B63EF6"/>
    <w:rsid w:val="00B6440A"/>
    <w:rsid w:val="00B65788"/>
    <w:rsid w:val="00B65844"/>
    <w:rsid w:val="00B66054"/>
    <w:rsid w:val="00B6677F"/>
    <w:rsid w:val="00B66C7A"/>
    <w:rsid w:val="00B672EA"/>
    <w:rsid w:val="00B6747B"/>
    <w:rsid w:val="00B70200"/>
    <w:rsid w:val="00B702D7"/>
    <w:rsid w:val="00B70389"/>
    <w:rsid w:val="00B70E01"/>
    <w:rsid w:val="00B718FA"/>
    <w:rsid w:val="00B72A0B"/>
    <w:rsid w:val="00B72CF0"/>
    <w:rsid w:val="00B7380E"/>
    <w:rsid w:val="00B740F6"/>
    <w:rsid w:val="00B74615"/>
    <w:rsid w:val="00B74789"/>
    <w:rsid w:val="00B755B6"/>
    <w:rsid w:val="00B75977"/>
    <w:rsid w:val="00B75A48"/>
    <w:rsid w:val="00B75CC0"/>
    <w:rsid w:val="00B76021"/>
    <w:rsid w:val="00B76FCD"/>
    <w:rsid w:val="00B7764D"/>
    <w:rsid w:val="00B804F8"/>
    <w:rsid w:val="00B8095A"/>
    <w:rsid w:val="00B81274"/>
    <w:rsid w:val="00B815D3"/>
    <w:rsid w:val="00B81742"/>
    <w:rsid w:val="00B817B5"/>
    <w:rsid w:val="00B823A6"/>
    <w:rsid w:val="00B83E76"/>
    <w:rsid w:val="00B83FA0"/>
    <w:rsid w:val="00B84156"/>
    <w:rsid w:val="00B846E6"/>
    <w:rsid w:val="00B8537B"/>
    <w:rsid w:val="00B85586"/>
    <w:rsid w:val="00B86289"/>
    <w:rsid w:val="00B863B3"/>
    <w:rsid w:val="00B869D3"/>
    <w:rsid w:val="00B86CF8"/>
    <w:rsid w:val="00B86E44"/>
    <w:rsid w:val="00B87359"/>
    <w:rsid w:val="00B87F1C"/>
    <w:rsid w:val="00B90D8D"/>
    <w:rsid w:val="00B91263"/>
    <w:rsid w:val="00B91B61"/>
    <w:rsid w:val="00B93849"/>
    <w:rsid w:val="00B938BD"/>
    <w:rsid w:val="00B93CF3"/>
    <w:rsid w:val="00B9407F"/>
    <w:rsid w:val="00B944E9"/>
    <w:rsid w:val="00B945D7"/>
    <w:rsid w:val="00B94896"/>
    <w:rsid w:val="00B94CDD"/>
    <w:rsid w:val="00B94DA7"/>
    <w:rsid w:val="00B95163"/>
    <w:rsid w:val="00B954D0"/>
    <w:rsid w:val="00B96DD9"/>
    <w:rsid w:val="00B96EA6"/>
    <w:rsid w:val="00B9789D"/>
    <w:rsid w:val="00B97A4C"/>
    <w:rsid w:val="00BA050E"/>
    <w:rsid w:val="00BA1289"/>
    <w:rsid w:val="00BA14B2"/>
    <w:rsid w:val="00BA15DC"/>
    <w:rsid w:val="00BA1E2F"/>
    <w:rsid w:val="00BA1EB8"/>
    <w:rsid w:val="00BA2C82"/>
    <w:rsid w:val="00BA3869"/>
    <w:rsid w:val="00BA4399"/>
    <w:rsid w:val="00BA4452"/>
    <w:rsid w:val="00BA46C6"/>
    <w:rsid w:val="00BA4ACF"/>
    <w:rsid w:val="00BA5039"/>
    <w:rsid w:val="00BA583B"/>
    <w:rsid w:val="00BA5DF2"/>
    <w:rsid w:val="00BA5EC7"/>
    <w:rsid w:val="00BA6319"/>
    <w:rsid w:val="00BA63CE"/>
    <w:rsid w:val="00BA676E"/>
    <w:rsid w:val="00BA6980"/>
    <w:rsid w:val="00BA6EF2"/>
    <w:rsid w:val="00BA7227"/>
    <w:rsid w:val="00BA763C"/>
    <w:rsid w:val="00BA784D"/>
    <w:rsid w:val="00BA7CD7"/>
    <w:rsid w:val="00BB00E5"/>
    <w:rsid w:val="00BB0D61"/>
    <w:rsid w:val="00BB1688"/>
    <w:rsid w:val="00BB1EFB"/>
    <w:rsid w:val="00BB269F"/>
    <w:rsid w:val="00BB27CC"/>
    <w:rsid w:val="00BB2ACE"/>
    <w:rsid w:val="00BB2E4E"/>
    <w:rsid w:val="00BB2E62"/>
    <w:rsid w:val="00BB36C9"/>
    <w:rsid w:val="00BB3823"/>
    <w:rsid w:val="00BB3A66"/>
    <w:rsid w:val="00BB40D1"/>
    <w:rsid w:val="00BB6D85"/>
    <w:rsid w:val="00BB777D"/>
    <w:rsid w:val="00BB7EC0"/>
    <w:rsid w:val="00BB7F88"/>
    <w:rsid w:val="00BC0207"/>
    <w:rsid w:val="00BC089F"/>
    <w:rsid w:val="00BC0A0C"/>
    <w:rsid w:val="00BC0A5A"/>
    <w:rsid w:val="00BC0E64"/>
    <w:rsid w:val="00BC25D1"/>
    <w:rsid w:val="00BC2DBD"/>
    <w:rsid w:val="00BC3BCB"/>
    <w:rsid w:val="00BC3CF1"/>
    <w:rsid w:val="00BC4202"/>
    <w:rsid w:val="00BC428A"/>
    <w:rsid w:val="00BC4C40"/>
    <w:rsid w:val="00BC5A29"/>
    <w:rsid w:val="00BC5AE3"/>
    <w:rsid w:val="00BC5BAD"/>
    <w:rsid w:val="00BC692A"/>
    <w:rsid w:val="00BC76C5"/>
    <w:rsid w:val="00BC7F94"/>
    <w:rsid w:val="00BD1039"/>
    <w:rsid w:val="00BD10B7"/>
    <w:rsid w:val="00BD138A"/>
    <w:rsid w:val="00BD164A"/>
    <w:rsid w:val="00BD1BDD"/>
    <w:rsid w:val="00BD1D7D"/>
    <w:rsid w:val="00BD1E27"/>
    <w:rsid w:val="00BD2B4D"/>
    <w:rsid w:val="00BD2F08"/>
    <w:rsid w:val="00BD2FB9"/>
    <w:rsid w:val="00BD31C2"/>
    <w:rsid w:val="00BD3683"/>
    <w:rsid w:val="00BD450A"/>
    <w:rsid w:val="00BD4717"/>
    <w:rsid w:val="00BD48EA"/>
    <w:rsid w:val="00BD4BA8"/>
    <w:rsid w:val="00BD5624"/>
    <w:rsid w:val="00BD62E6"/>
    <w:rsid w:val="00BD6B0E"/>
    <w:rsid w:val="00BD734D"/>
    <w:rsid w:val="00BD7941"/>
    <w:rsid w:val="00BE0591"/>
    <w:rsid w:val="00BE0C55"/>
    <w:rsid w:val="00BE0F03"/>
    <w:rsid w:val="00BE11A2"/>
    <w:rsid w:val="00BE1EF0"/>
    <w:rsid w:val="00BE246C"/>
    <w:rsid w:val="00BE2657"/>
    <w:rsid w:val="00BE2FD2"/>
    <w:rsid w:val="00BE377A"/>
    <w:rsid w:val="00BE37AE"/>
    <w:rsid w:val="00BE3B14"/>
    <w:rsid w:val="00BE3C65"/>
    <w:rsid w:val="00BE4222"/>
    <w:rsid w:val="00BE472D"/>
    <w:rsid w:val="00BE4C03"/>
    <w:rsid w:val="00BE7F4D"/>
    <w:rsid w:val="00BF03C0"/>
    <w:rsid w:val="00BF0EBF"/>
    <w:rsid w:val="00BF1534"/>
    <w:rsid w:val="00BF2021"/>
    <w:rsid w:val="00BF21D4"/>
    <w:rsid w:val="00BF2DDC"/>
    <w:rsid w:val="00BF32DE"/>
    <w:rsid w:val="00BF4A15"/>
    <w:rsid w:val="00BF4E0E"/>
    <w:rsid w:val="00BF4E27"/>
    <w:rsid w:val="00BF4F7C"/>
    <w:rsid w:val="00BF537B"/>
    <w:rsid w:val="00BF5901"/>
    <w:rsid w:val="00BF626A"/>
    <w:rsid w:val="00BF688E"/>
    <w:rsid w:val="00BF6D77"/>
    <w:rsid w:val="00BF704C"/>
    <w:rsid w:val="00BF739A"/>
    <w:rsid w:val="00BF7EF5"/>
    <w:rsid w:val="00C00BF6"/>
    <w:rsid w:val="00C0234A"/>
    <w:rsid w:val="00C0247B"/>
    <w:rsid w:val="00C0378E"/>
    <w:rsid w:val="00C04314"/>
    <w:rsid w:val="00C04BD0"/>
    <w:rsid w:val="00C05730"/>
    <w:rsid w:val="00C05AF4"/>
    <w:rsid w:val="00C05AFD"/>
    <w:rsid w:val="00C0661C"/>
    <w:rsid w:val="00C0675F"/>
    <w:rsid w:val="00C06ECC"/>
    <w:rsid w:val="00C0702A"/>
    <w:rsid w:val="00C0724C"/>
    <w:rsid w:val="00C07C11"/>
    <w:rsid w:val="00C07E10"/>
    <w:rsid w:val="00C10015"/>
    <w:rsid w:val="00C1110A"/>
    <w:rsid w:val="00C11689"/>
    <w:rsid w:val="00C12414"/>
    <w:rsid w:val="00C12ECB"/>
    <w:rsid w:val="00C148B2"/>
    <w:rsid w:val="00C14ABD"/>
    <w:rsid w:val="00C151E0"/>
    <w:rsid w:val="00C155A8"/>
    <w:rsid w:val="00C159FD"/>
    <w:rsid w:val="00C15B31"/>
    <w:rsid w:val="00C15F66"/>
    <w:rsid w:val="00C1604F"/>
    <w:rsid w:val="00C166D4"/>
    <w:rsid w:val="00C168E5"/>
    <w:rsid w:val="00C1696D"/>
    <w:rsid w:val="00C16C90"/>
    <w:rsid w:val="00C17AB5"/>
    <w:rsid w:val="00C20051"/>
    <w:rsid w:val="00C2021B"/>
    <w:rsid w:val="00C20B6C"/>
    <w:rsid w:val="00C20B86"/>
    <w:rsid w:val="00C21145"/>
    <w:rsid w:val="00C215ED"/>
    <w:rsid w:val="00C22350"/>
    <w:rsid w:val="00C228FB"/>
    <w:rsid w:val="00C2302B"/>
    <w:rsid w:val="00C23615"/>
    <w:rsid w:val="00C2397E"/>
    <w:rsid w:val="00C23A83"/>
    <w:rsid w:val="00C24381"/>
    <w:rsid w:val="00C24801"/>
    <w:rsid w:val="00C24C2E"/>
    <w:rsid w:val="00C24C7A"/>
    <w:rsid w:val="00C24FFB"/>
    <w:rsid w:val="00C25CFF"/>
    <w:rsid w:val="00C25EA6"/>
    <w:rsid w:val="00C26164"/>
    <w:rsid w:val="00C261C1"/>
    <w:rsid w:val="00C26574"/>
    <w:rsid w:val="00C26DBF"/>
    <w:rsid w:val="00C27199"/>
    <w:rsid w:val="00C27204"/>
    <w:rsid w:val="00C27AD1"/>
    <w:rsid w:val="00C304E9"/>
    <w:rsid w:val="00C30B0B"/>
    <w:rsid w:val="00C31320"/>
    <w:rsid w:val="00C316B4"/>
    <w:rsid w:val="00C332D4"/>
    <w:rsid w:val="00C33A66"/>
    <w:rsid w:val="00C33E51"/>
    <w:rsid w:val="00C34C45"/>
    <w:rsid w:val="00C34C47"/>
    <w:rsid w:val="00C34FCE"/>
    <w:rsid w:val="00C35411"/>
    <w:rsid w:val="00C35EED"/>
    <w:rsid w:val="00C36B2C"/>
    <w:rsid w:val="00C3701A"/>
    <w:rsid w:val="00C379EF"/>
    <w:rsid w:val="00C405C8"/>
    <w:rsid w:val="00C40C2F"/>
    <w:rsid w:val="00C415AC"/>
    <w:rsid w:val="00C41D31"/>
    <w:rsid w:val="00C4297A"/>
    <w:rsid w:val="00C4360C"/>
    <w:rsid w:val="00C439B8"/>
    <w:rsid w:val="00C43A0B"/>
    <w:rsid w:val="00C43EDA"/>
    <w:rsid w:val="00C43FEC"/>
    <w:rsid w:val="00C4414C"/>
    <w:rsid w:val="00C45512"/>
    <w:rsid w:val="00C45C55"/>
    <w:rsid w:val="00C4602B"/>
    <w:rsid w:val="00C46564"/>
    <w:rsid w:val="00C46BFA"/>
    <w:rsid w:val="00C46DDF"/>
    <w:rsid w:val="00C500A1"/>
    <w:rsid w:val="00C50A02"/>
    <w:rsid w:val="00C51149"/>
    <w:rsid w:val="00C5117E"/>
    <w:rsid w:val="00C512D1"/>
    <w:rsid w:val="00C51856"/>
    <w:rsid w:val="00C51B04"/>
    <w:rsid w:val="00C51DB5"/>
    <w:rsid w:val="00C53CE9"/>
    <w:rsid w:val="00C5531B"/>
    <w:rsid w:val="00C55375"/>
    <w:rsid w:val="00C5570F"/>
    <w:rsid w:val="00C56177"/>
    <w:rsid w:val="00C562A9"/>
    <w:rsid w:val="00C56C98"/>
    <w:rsid w:val="00C56DE1"/>
    <w:rsid w:val="00C56DEE"/>
    <w:rsid w:val="00C57120"/>
    <w:rsid w:val="00C571D5"/>
    <w:rsid w:val="00C575D4"/>
    <w:rsid w:val="00C57612"/>
    <w:rsid w:val="00C60CB2"/>
    <w:rsid w:val="00C61223"/>
    <w:rsid w:val="00C61246"/>
    <w:rsid w:val="00C618A8"/>
    <w:rsid w:val="00C61A78"/>
    <w:rsid w:val="00C629F3"/>
    <w:rsid w:val="00C62B88"/>
    <w:rsid w:val="00C62CD3"/>
    <w:rsid w:val="00C634F9"/>
    <w:rsid w:val="00C63CDE"/>
    <w:rsid w:val="00C643ED"/>
    <w:rsid w:val="00C64534"/>
    <w:rsid w:val="00C64D93"/>
    <w:rsid w:val="00C64F49"/>
    <w:rsid w:val="00C64F71"/>
    <w:rsid w:val="00C650E3"/>
    <w:rsid w:val="00C65200"/>
    <w:rsid w:val="00C65BD3"/>
    <w:rsid w:val="00C664FB"/>
    <w:rsid w:val="00C665DE"/>
    <w:rsid w:val="00C667C3"/>
    <w:rsid w:val="00C6728B"/>
    <w:rsid w:val="00C70718"/>
    <w:rsid w:val="00C70B25"/>
    <w:rsid w:val="00C71528"/>
    <w:rsid w:val="00C717E4"/>
    <w:rsid w:val="00C7191B"/>
    <w:rsid w:val="00C71F09"/>
    <w:rsid w:val="00C72588"/>
    <w:rsid w:val="00C727B9"/>
    <w:rsid w:val="00C72F44"/>
    <w:rsid w:val="00C73670"/>
    <w:rsid w:val="00C737D1"/>
    <w:rsid w:val="00C738A0"/>
    <w:rsid w:val="00C73DE0"/>
    <w:rsid w:val="00C74609"/>
    <w:rsid w:val="00C749AB"/>
    <w:rsid w:val="00C75A8F"/>
    <w:rsid w:val="00C76129"/>
    <w:rsid w:val="00C76C0C"/>
    <w:rsid w:val="00C76FFC"/>
    <w:rsid w:val="00C774E0"/>
    <w:rsid w:val="00C776BA"/>
    <w:rsid w:val="00C7791E"/>
    <w:rsid w:val="00C81716"/>
    <w:rsid w:val="00C832CB"/>
    <w:rsid w:val="00C84085"/>
    <w:rsid w:val="00C852DC"/>
    <w:rsid w:val="00C854A8"/>
    <w:rsid w:val="00C85677"/>
    <w:rsid w:val="00C85E17"/>
    <w:rsid w:val="00C868A7"/>
    <w:rsid w:val="00C86ABA"/>
    <w:rsid w:val="00C86BF7"/>
    <w:rsid w:val="00C87164"/>
    <w:rsid w:val="00C8786A"/>
    <w:rsid w:val="00C87BBA"/>
    <w:rsid w:val="00C87BD0"/>
    <w:rsid w:val="00C905E5"/>
    <w:rsid w:val="00C90754"/>
    <w:rsid w:val="00C90B95"/>
    <w:rsid w:val="00C90BC4"/>
    <w:rsid w:val="00C90CA9"/>
    <w:rsid w:val="00C91802"/>
    <w:rsid w:val="00C92E41"/>
    <w:rsid w:val="00C92F62"/>
    <w:rsid w:val="00C93097"/>
    <w:rsid w:val="00C93B40"/>
    <w:rsid w:val="00C93DB5"/>
    <w:rsid w:val="00C94CB9"/>
    <w:rsid w:val="00C95853"/>
    <w:rsid w:val="00C95C2F"/>
    <w:rsid w:val="00C95F87"/>
    <w:rsid w:val="00C96035"/>
    <w:rsid w:val="00C968EF"/>
    <w:rsid w:val="00C972CE"/>
    <w:rsid w:val="00CA0492"/>
    <w:rsid w:val="00CA05B0"/>
    <w:rsid w:val="00CA0632"/>
    <w:rsid w:val="00CA0A04"/>
    <w:rsid w:val="00CA2528"/>
    <w:rsid w:val="00CA3CAB"/>
    <w:rsid w:val="00CA3FC0"/>
    <w:rsid w:val="00CA5685"/>
    <w:rsid w:val="00CA6A2E"/>
    <w:rsid w:val="00CA6B56"/>
    <w:rsid w:val="00CA7D3E"/>
    <w:rsid w:val="00CB0317"/>
    <w:rsid w:val="00CB0662"/>
    <w:rsid w:val="00CB0A82"/>
    <w:rsid w:val="00CB0F2F"/>
    <w:rsid w:val="00CB0F76"/>
    <w:rsid w:val="00CB1556"/>
    <w:rsid w:val="00CB2913"/>
    <w:rsid w:val="00CB3970"/>
    <w:rsid w:val="00CB42B9"/>
    <w:rsid w:val="00CB4550"/>
    <w:rsid w:val="00CB4F39"/>
    <w:rsid w:val="00CB52A4"/>
    <w:rsid w:val="00CB537C"/>
    <w:rsid w:val="00CB5A26"/>
    <w:rsid w:val="00CB645B"/>
    <w:rsid w:val="00CB65DB"/>
    <w:rsid w:val="00CB6A93"/>
    <w:rsid w:val="00CB6C79"/>
    <w:rsid w:val="00CB77C3"/>
    <w:rsid w:val="00CB7E9C"/>
    <w:rsid w:val="00CC0072"/>
    <w:rsid w:val="00CC027A"/>
    <w:rsid w:val="00CC0915"/>
    <w:rsid w:val="00CC1398"/>
    <w:rsid w:val="00CC1AF5"/>
    <w:rsid w:val="00CC1B74"/>
    <w:rsid w:val="00CC291E"/>
    <w:rsid w:val="00CC2D03"/>
    <w:rsid w:val="00CC2EB0"/>
    <w:rsid w:val="00CC4701"/>
    <w:rsid w:val="00CC56B4"/>
    <w:rsid w:val="00CC5F95"/>
    <w:rsid w:val="00CC642A"/>
    <w:rsid w:val="00CC6AC7"/>
    <w:rsid w:val="00CC733D"/>
    <w:rsid w:val="00CC7617"/>
    <w:rsid w:val="00CC7E0D"/>
    <w:rsid w:val="00CC7E97"/>
    <w:rsid w:val="00CD00EB"/>
    <w:rsid w:val="00CD1255"/>
    <w:rsid w:val="00CD1484"/>
    <w:rsid w:val="00CD1892"/>
    <w:rsid w:val="00CD1C01"/>
    <w:rsid w:val="00CD1D00"/>
    <w:rsid w:val="00CD2009"/>
    <w:rsid w:val="00CD27AC"/>
    <w:rsid w:val="00CD2A82"/>
    <w:rsid w:val="00CD3CAB"/>
    <w:rsid w:val="00CD44FF"/>
    <w:rsid w:val="00CD46A7"/>
    <w:rsid w:val="00CD47BC"/>
    <w:rsid w:val="00CD4E50"/>
    <w:rsid w:val="00CD57CB"/>
    <w:rsid w:val="00CD64E1"/>
    <w:rsid w:val="00CD66BA"/>
    <w:rsid w:val="00CD68D5"/>
    <w:rsid w:val="00CD699D"/>
    <w:rsid w:val="00CD6BA3"/>
    <w:rsid w:val="00CD70DB"/>
    <w:rsid w:val="00CD7544"/>
    <w:rsid w:val="00CD78D4"/>
    <w:rsid w:val="00CE0697"/>
    <w:rsid w:val="00CE14CB"/>
    <w:rsid w:val="00CE2DEA"/>
    <w:rsid w:val="00CE2E2E"/>
    <w:rsid w:val="00CE3A51"/>
    <w:rsid w:val="00CE41F9"/>
    <w:rsid w:val="00CE59F6"/>
    <w:rsid w:val="00CE66CD"/>
    <w:rsid w:val="00CE6BA9"/>
    <w:rsid w:val="00CE71C3"/>
    <w:rsid w:val="00CE727A"/>
    <w:rsid w:val="00CF029C"/>
    <w:rsid w:val="00CF0AF0"/>
    <w:rsid w:val="00CF157E"/>
    <w:rsid w:val="00CF1631"/>
    <w:rsid w:val="00CF1834"/>
    <w:rsid w:val="00CF1AAA"/>
    <w:rsid w:val="00CF1EC2"/>
    <w:rsid w:val="00CF2ACF"/>
    <w:rsid w:val="00CF345B"/>
    <w:rsid w:val="00CF475F"/>
    <w:rsid w:val="00CF5008"/>
    <w:rsid w:val="00CF5069"/>
    <w:rsid w:val="00CF5E34"/>
    <w:rsid w:val="00CF6707"/>
    <w:rsid w:val="00CF7101"/>
    <w:rsid w:val="00CF7327"/>
    <w:rsid w:val="00CF7385"/>
    <w:rsid w:val="00CF7539"/>
    <w:rsid w:val="00CF75C6"/>
    <w:rsid w:val="00CF7B77"/>
    <w:rsid w:val="00CF7DF5"/>
    <w:rsid w:val="00D001D2"/>
    <w:rsid w:val="00D02A80"/>
    <w:rsid w:val="00D0352D"/>
    <w:rsid w:val="00D038DC"/>
    <w:rsid w:val="00D04F01"/>
    <w:rsid w:val="00D04F8B"/>
    <w:rsid w:val="00D054EF"/>
    <w:rsid w:val="00D05637"/>
    <w:rsid w:val="00D05BA9"/>
    <w:rsid w:val="00D05EB1"/>
    <w:rsid w:val="00D0650B"/>
    <w:rsid w:val="00D068AA"/>
    <w:rsid w:val="00D06E71"/>
    <w:rsid w:val="00D06E9C"/>
    <w:rsid w:val="00D0714B"/>
    <w:rsid w:val="00D0764E"/>
    <w:rsid w:val="00D07D82"/>
    <w:rsid w:val="00D10327"/>
    <w:rsid w:val="00D103C9"/>
    <w:rsid w:val="00D1079C"/>
    <w:rsid w:val="00D10BE1"/>
    <w:rsid w:val="00D11FE3"/>
    <w:rsid w:val="00D12393"/>
    <w:rsid w:val="00D12945"/>
    <w:rsid w:val="00D12CC0"/>
    <w:rsid w:val="00D12DA1"/>
    <w:rsid w:val="00D130C0"/>
    <w:rsid w:val="00D1343A"/>
    <w:rsid w:val="00D13D50"/>
    <w:rsid w:val="00D14101"/>
    <w:rsid w:val="00D144D8"/>
    <w:rsid w:val="00D14919"/>
    <w:rsid w:val="00D14E25"/>
    <w:rsid w:val="00D15470"/>
    <w:rsid w:val="00D15AE3"/>
    <w:rsid w:val="00D160C4"/>
    <w:rsid w:val="00D165D8"/>
    <w:rsid w:val="00D1724E"/>
    <w:rsid w:val="00D17C26"/>
    <w:rsid w:val="00D17E08"/>
    <w:rsid w:val="00D206F6"/>
    <w:rsid w:val="00D20FD1"/>
    <w:rsid w:val="00D211A7"/>
    <w:rsid w:val="00D214D4"/>
    <w:rsid w:val="00D21AAA"/>
    <w:rsid w:val="00D21E6F"/>
    <w:rsid w:val="00D2218A"/>
    <w:rsid w:val="00D22B13"/>
    <w:rsid w:val="00D2371E"/>
    <w:rsid w:val="00D237E0"/>
    <w:rsid w:val="00D23A17"/>
    <w:rsid w:val="00D25676"/>
    <w:rsid w:val="00D2579F"/>
    <w:rsid w:val="00D2580E"/>
    <w:rsid w:val="00D265A7"/>
    <w:rsid w:val="00D2690C"/>
    <w:rsid w:val="00D27129"/>
    <w:rsid w:val="00D279E7"/>
    <w:rsid w:val="00D27F75"/>
    <w:rsid w:val="00D3046D"/>
    <w:rsid w:val="00D30497"/>
    <w:rsid w:val="00D30C4D"/>
    <w:rsid w:val="00D30F5F"/>
    <w:rsid w:val="00D31243"/>
    <w:rsid w:val="00D316D9"/>
    <w:rsid w:val="00D31B07"/>
    <w:rsid w:val="00D31B9D"/>
    <w:rsid w:val="00D3272E"/>
    <w:rsid w:val="00D32D38"/>
    <w:rsid w:val="00D32FA0"/>
    <w:rsid w:val="00D33112"/>
    <w:rsid w:val="00D331CB"/>
    <w:rsid w:val="00D3451E"/>
    <w:rsid w:val="00D3497A"/>
    <w:rsid w:val="00D35F2F"/>
    <w:rsid w:val="00D35FC6"/>
    <w:rsid w:val="00D36BB8"/>
    <w:rsid w:val="00D3756D"/>
    <w:rsid w:val="00D377D4"/>
    <w:rsid w:val="00D401A1"/>
    <w:rsid w:val="00D40217"/>
    <w:rsid w:val="00D40385"/>
    <w:rsid w:val="00D404CE"/>
    <w:rsid w:val="00D40E8F"/>
    <w:rsid w:val="00D412BF"/>
    <w:rsid w:val="00D417C6"/>
    <w:rsid w:val="00D417D0"/>
    <w:rsid w:val="00D42B0C"/>
    <w:rsid w:val="00D42D06"/>
    <w:rsid w:val="00D42D6E"/>
    <w:rsid w:val="00D43DEF"/>
    <w:rsid w:val="00D44259"/>
    <w:rsid w:val="00D45C61"/>
    <w:rsid w:val="00D45DDC"/>
    <w:rsid w:val="00D5064C"/>
    <w:rsid w:val="00D50C94"/>
    <w:rsid w:val="00D511E7"/>
    <w:rsid w:val="00D51372"/>
    <w:rsid w:val="00D517ED"/>
    <w:rsid w:val="00D5251C"/>
    <w:rsid w:val="00D52F56"/>
    <w:rsid w:val="00D539DA"/>
    <w:rsid w:val="00D54A50"/>
    <w:rsid w:val="00D54FFD"/>
    <w:rsid w:val="00D5552C"/>
    <w:rsid w:val="00D5556D"/>
    <w:rsid w:val="00D55C34"/>
    <w:rsid w:val="00D55C81"/>
    <w:rsid w:val="00D5674B"/>
    <w:rsid w:val="00D56B56"/>
    <w:rsid w:val="00D56BF5"/>
    <w:rsid w:val="00D56F99"/>
    <w:rsid w:val="00D5743F"/>
    <w:rsid w:val="00D57F1F"/>
    <w:rsid w:val="00D60065"/>
    <w:rsid w:val="00D60270"/>
    <w:rsid w:val="00D605C2"/>
    <w:rsid w:val="00D60733"/>
    <w:rsid w:val="00D60C60"/>
    <w:rsid w:val="00D61E1D"/>
    <w:rsid w:val="00D629A4"/>
    <w:rsid w:val="00D62BDF"/>
    <w:rsid w:val="00D62EEE"/>
    <w:rsid w:val="00D64F1C"/>
    <w:rsid w:val="00D6570C"/>
    <w:rsid w:val="00D659EA"/>
    <w:rsid w:val="00D65A89"/>
    <w:rsid w:val="00D65E85"/>
    <w:rsid w:val="00D6611C"/>
    <w:rsid w:val="00D671C7"/>
    <w:rsid w:val="00D675B0"/>
    <w:rsid w:val="00D675DE"/>
    <w:rsid w:val="00D678BB"/>
    <w:rsid w:val="00D67D81"/>
    <w:rsid w:val="00D70170"/>
    <w:rsid w:val="00D702E8"/>
    <w:rsid w:val="00D70552"/>
    <w:rsid w:val="00D70D42"/>
    <w:rsid w:val="00D71285"/>
    <w:rsid w:val="00D71ABC"/>
    <w:rsid w:val="00D721C5"/>
    <w:rsid w:val="00D72454"/>
    <w:rsid w:val="00D729A7"/>
    <w:rsid w:val="00D72A5B"/>
    <w:rsid w:val="00D73991"/>
    <w:rsid w:val="00D73CD4"/>
    <w:rsid w:val="00D73F06"/>
    <w:rsid w:val="00D740B2"/>
    <w:rsid w:val="00D74247"/>
    <w:rsid w:val="00D743F1"/>
    <w:rsid w:val="00D744CF"/>
    <w:rsid w:val="00D7456E"/>
    <w:rsid w:val="00D753A9"/>
    <w:rsid w:val="00D755F7"/>
    <w:rsid w:val="00D75DDB"/>
    <w:rsid w:val="00D75E4B"/>
    <w:rsid w:val="00D774F4"/>
    <w:rsid w:val="00D77687"/>
    <w:rsid w:val="00D77AF6"/>
    <w:rsid w:val="00D804C5"/>
    <w:rsid w:val="00D815E6"/>
    <w:rsid w:val="00D81A28"/>
    <w:rsid w:val="00D81BDE"/>
    <w:rsid w:val="00D8201D"/>
    <w:rsid w:val="00D82B00"/>
    <w:rsid w:val="00D82B04"/>
    <w:rsid w:val="00D82BE4"/>
    <w:rsid w:val="00D82E05"/>
    <w:rsid w:val="00D83C0D"/>
    <w:rsid w:val="00D83C80"/>
    <w:rsid w:val="00D83F5B"/>
    <w:rsid w:val="00D85FDE"/>
    <w:rsid w:val="00D8665E"/>
    <w:rsid w:val="00D869C1"/>
    <w:rsid w:val="00D86EC6"/>
    <w:rsid w:val="00D87418"/>
    <w:rsid w:val="00D87A39"/>
    <w:rsid w:val="00D87FE6"/>
    <w:rsid w:val="00D90BC3"/>
    <w:rsid w:val="00D90C93"/>
    <w:rsid w:val="00D90DB9"/>
    <w:rsid w:val="00D91001"/>
    <w:rsid w:val="00D910FF"/>
    <w:rsid w:val="00D91337"/>
    <w:rsid w:val="00D915C9"/>
    <w:rsid w:val="00D918DA"/>
    <w:rsid w:val="00D9198F"/>
    <w:rsid w:val="00D92078"/>
    <w:rsid w:val="00D926F0"/>
    <w:rsid w:val="00D92A87"/>
    <w:rsid w:val="00D9384E"/>
    <w:rsid w:val="00D93AEE"/>
    <w:rsid w:val="00D9413E"/>
    <w:rsid w:val="00D94C8D"/>
    <w:rsid w:val="00D95F88"/>
    <w:rsid w:val="00D96698"/>
    <w:rsid w:val="00D96876"/>
    <w:rsid w:val="00D96940"/>
    <w:rsid w:val="00D96B12"/>
    <w:rsid w:val="00D96F59"/>
    <w:rsid w:val="00D9726C"/>
    <w:rsid w:val="00DA0175"/>
    <w:rsid w:val="00DA099C"/>
    <w:rsid w:val="00DA0F18"/>
    <w:rsid w:val="00DA2125"/>
    <w:rsid w:val="00DA21EC"/>
    <w:rsid w:val="00DA24DE"/>
    <w:rsid w:val="00DA270C"/>
    <w:rsid w:val="00DA281F"/>
    <w:rsid w:val="00DA3C5B"/>
    <w:rsid w:val="00DA3D23"/>
    <w:rsid w:val="00DA4A61"/>
    <w:rsid w:val="00DA5AFE"/>
    <w:rsid w:val="00DA61AB"/>
    <w:rsid w:val="00DA61CD"/>
    <w:rsid w:val="00DA6EE2"/>
    <w:rsid w:val="00DA718A"/>
    <w:rsid w:val="00DA78CF"/>
    <w:rsid w:val="00DA78D5"/>
    <w:rsid w:val="00DA7A89"/>
    <w:rsid w:val="00DA7BF4"/>
    <w:rsid w:val="00DB052F"/>
    <w:rsid w:val="00DB14D3"/>
    <w:rsid w:val="00DB154B"/>
    <w:rsid w:val="00DB1BDC"/>
    <w:rsid w:val="00DB3490"/>
    <w:rsid w:val="00DB3593"/>
    <w:rsid w:val="00DB440B"/>
    <w:rsid w:val="00DB4426"/>
    <w:rsid w:val="00DB4522"/>
    <w:rsid w:val="00DB4B40"/>
    <w:rsid w:val="00DB4F12"/>
    <w:rsid w:val="00DB4F21"/>
    <w:rsid w:val="00DB4F42"/>
    <w:rsid w:val="00DB540C"/>
    <w:rsid w:val="00DB6F96"/>
    <w:rsid w:val="00DB71B9"/>
    <w:rsid w:val="00DB7320"/>
    <w:rsid w:val="00DB733F"/>
    <w:rsid w:val="00DB7662"/>
    <w:rsid w:val="00DB7E46"/>
    <w:rsid w:val="00DC1395"/>
    <w:rsid w:val="00DC203C"/>
    <w:rsid w:val="00DC32FC"/>
    <w:rsid w:val="00DC3D89"/>
    <w:rsid w:val="00DC4567"/>
    <w:rsid w:val="00DC4D6C"/>
    <w:rsid w:val="00DC4F47"/>
    <w:rsid w:val="00DC5059"/>
    <w:rsid w:val="00DC5860"/>
    <w:rsid w:val="00DC5BD0"/>
    <w:rsid w:val="00DC5BE2"/>
    <w:rsid w:val="00DC6284"/>
    <w:rsid w:val="00DC628E"/>
    <w:rsid w:val="00DC6747"/>
    <w:rsid w:val="00DC6AF3"/>
    <w:rsid w:val="00DC7608"/>
    <w:rsid w:val="00DC761E"/>
    <w:rsid w:val="00DC7B3B"/>
    <w:rsid w:val="00DC7CFC"/>
    <w:rsid w:val="00DD09F2"/>
    <w:rsid w:val="00DD0DEE"/>
    <w:rsid w:val="00DD1205"/>
    <w:rsid w:val="00DD1633"/>
    <w:rsid w:val="00DD17A0"/>
    <w:rsid w:val="00DD1B97"/>
    <w:rsid w:val="00DD2831"/>
    <w:rsid w:val="00DD2A6D"/>
    <w:rsid w:val="00DD2E17"/>
    <w:rsid w:val="00DD42DE"/>
    <w:rsid w:val="00DD4309"/>
    <w:rsid w:val="00DD4344"/>
    <w:rsid w:val="00DD4357"/>
    <w:rsid w:val="00DD4DDD"/>
    <w:rsid w:val="00DD573B"/>
    <w:rsid w:val="00DD57E7"/>
    <w:rsid w:val="00DD5A1E"/>
    <w:rsid w:val="00DD5B8C"/>
    <w:rsid w:val="00DD5DFA"/>
    <w:rsid w:val="00DD5E91"/>
    <w:rsid w:val="00DD6CE2"/>
    <w:rsid w:val="00DD720D"/>
    <w:rsid w:val="00DE0229"/>
    <w:rsid w:val="00DE04E0"/>
    <w:rsid w:val="00DE12F1"/>
    <w:rsid w:val="00DE1A9D"/>
    <w:rsid w:val="00DE1CB1"/>
    <w:rsid w:val="00DE2073"/>
    <w:rsid w:val="00DE30AC"/>
    <w:rsid w:val="00DE38D1"/>
    <w:rsid w:val="00DE4106"/>
    <w:rsid w:val="00DE466B"/>
    <w:rsid w:val="00DE48F4"/>
    <w:rsid w:val="00DE5563"/>
    <w:rsid w:val="00DE5C19"/>
    <w:rsid w:val="00DE5D48"/>
    <w:rsid w:val="00DE6E4D"/>
    <w:rsid w:val="00DE7498"/>
    <w:rsid w:val="00DE75EF"/>
    <w:rsid w:val="00DE7611"/>
    <w:rsid w:val="00DE7D19"/>
    <w:rsid w:val="00DF05A0"/>
    <w:rsid w:val="00DF1162"/>
    <w:rsid w:val="00DF1BA8"/>
    <w:rsid w:val="00DF1F63"/>
    <w:rsid w:val="00DF28F2"/>
    <w:rsid w:val="00DF2BFF"/>
    <w:rsid w:val="00DF339B"/>
    <w:rsid w:val="00DF3798"/>
    <w:rsid w:val="00DF393E"/>
    <w:rsid w:val="00DF4FF1"/>
    <w:rsid w:val="00DF56A3"/>
    <w:rsid w:val="00DF5B33"/>
    <w:rsid w:val="00DF62BA"/>
    <w:rsid w:val="00DF6FD2"/>
    <w:rsid w:val="00DF72EF"/>
    <w:rsid w:val="00DF743D"/>
    <w:rsid w:val="00DF7724"/>
    <w:rsid w:val="00E000D8"/>
    <w:rsid w:val="00E00C1E"/>
    <w:rsid w:val="00E00F5F"/>
    <w:rsid w:val="00E010E6"/>
    <w:rsid w:val="00E01377"/>
    <w:rsid w:val="00E014E7"/>
    <w:rsid w:val="00E0232F"/>
    <w:rsid w:val="00E026A9"/>
    <w:rsid w:val="00E03063"/>
    <w:rsid w:val="00E0356F"/>
    <w:rsid w:val="00E03B42"/>
    <w:rsid w:val="00E03C10"/>
    <w:rsid w:val="00E0479F"/>
    <w:rsid w:val="00E04816"/>
    <w:rsid w:val="00E04982"/>
    <w:rsid w:val="00E04D6A"/>
    <w:rsid w:val="00E058DB"/>
    <w:rsid w:val="00E05950"/>
    <w:rsid w:val="00E05CD4"/>
    <w:rsid w:val="00E05DE8"/>
    <w:rsid w:val="00E06100"/>
    <w:rsid w:val="00E0614E"/>
    <w:rsid w:val="00E06E97"/>
    <w:rsid w:val="00E07B8F"/>
    <w:rsid w:val="00E105CE"/>
    <w:rsid w:val="00E10712"/>
    <w:rsid w:val="00E10DD1"/>
    <w:rsid w:val="00E1224C"/>
    <w:rsid w:val="00E1254C"/>
    <w:rsid w:val="00E12761"/>
    <w:rsid w:val="00E12BDF"/>
    <w:rsid w:val="00E13033"/>
    <w:rsid w:val="00E13326"/>
    <w:rsid w:val="00E13D07"/>
    <w:rsid w:val="00E14356"/>
    <w:rsid w:val="00E14961"/>
    <w:rsid w:val="00E14D76"/>
    <w:rsid w:val="00E15183"/>
    <w:rsid w:val="00E15943"/>
    <w:rsid w:val="00E15D6C"/>
    <w:rsid w:val="00E1720B"/>
    <w:rsid w:val="00E203DE"/>
    <w:rsid w:val="00E20CE7"/>
    <w:rsid w:val="00E217B1"/>
    <w:rsid w:val="00E222FA"/>
    <w:rsid w:val="00E229CE"/>
    <w:rsid w:val="00E22B4A"/>
    <w:rsid w:val="00E2449B"/>
    <w:rsid w:val="00E24A62"/>
    <w:rsid w:val="00E24F52"/>
    <w:rsid w:val="00E255CC"/>
    <w:rsid w:val="00E25636"/>
    <w:rsid w:val="00E25755"/>
    <w:rsid w:val="00E25F90"/>
    <w:rsid w:val="00E266DD"/>
    <w:rsid w:val="00E26D2E"/>
    <w:rsid w:val="00E26F43"/>
    <w:rsid w:val="00E279B2"/>
    <w:rsid w:val="00E303C0"/>
    <w:rsid w:val="00E3055B"/>
    <w:rsid w:val="00E31687"/>
    <w:rsid w:val="00E31699"/>
    <w:rsid w:val="00E31761"/>
    <w:rsid w:val="00E31812"/>
    <w:rsid w:val="00E31889"/>
    <w:rsid w:val="00E31CE7"/>
    <w:rsid w:val="00E333D5"/>
    <w:rsid w:val="00E3394F"/>
    <w:rsid w:val="00E33A0B"/>
    <w:rsid w:val="00E34A2F"/>
    <w:rsid w:val="00E35A45"/>
    <w:rsid w:val="00E35F7F"/>
    <w:rsid w:val="00E36392"/>
    <w:rsid w:val="00E36B32"/>
    <w:rsid w:val="00E37A6F"/>
    <w:rsid w:val="00E37A9C"/>
    <w:rsid w:val="00E40222"/>
    <w:rsid w:val="00E40406"/>
    <w:rsid w:val="00E4082B"/>
    <w:rsid w:val="00E40835"/>
    <w:rsid w:val="00E408EC"/>
    <w:rsid w:val="00E409B5"/>
    <w:rsid w:val="00E40BCB"/>
    <w:rsid w:val="00E4208F"/>
    <w:rsid w:val="00E42E94"/>
    <w:rsid w:val="00E43006"/>
    <w:rsid w:val="00E4312A"/>
    <w:rsid w:val="00E4331B"/>
    <w:rsid w:val="00E43551"/>
    <w:rsid w:val="00E437FA"/>
    <w:rsid w:val="00E45A2C"/>
    <w:rsid w:val="00E46A6B"/>
    <w:rsid w:val="00E46A9C"/>
    <w:rsid w:val="00E47DB1"/>
    <w:rsid w:val="00E50BDD"/>
    <w:rsid w:val="00E510CF"/>
    <w:rsid w:val="00E513D7"/>
    <w:rsid w:val="00E519FE"/>
    <w:rsid w:val="00E5206C"/>
    <w:rsid w:val="00E52AAB"/>
    <w:rsid w:val="00E537EE"/>
    <w:rsid w:val="00E5448E"/>
    <w:rsid w:val="00E54E0D"/>
    <w:rsid w:val="00E55247"/>
    <w:rsid w:val="00E558E5"/>
    <w:rsid w:val="00E55B3C"/>
    <w:rsid w:val="00E56744"/>
    <w:rsid w:val="00E56795"/>
    <w:rsid w:val="00E57932"/>
    <w:rsid w:val="00E606C4"/>
    <w:rsid w:val="00E60811"/>
    <w:rsid w:val="00E60AB8"/>
    <w:rsid w:val="00E6103E"/>
    <w:rsid w:val="00E6185F"/>
    <w:rsid w:val="00E61D32"/>
    <w:rsid w:val="00E63C60"/>
    <w:rsid w:val="00E64050"/>
    <w:rsid w:val="00E64B7B"/>
    <w:rsid w:val="00E6514D"/>
    <w:rsid w:val="00E65161"/>
    <w:rsid w:val="00E652C9"/>
    <w:rsid w:val="00E6593B"/>
    <w:rsid w:val="00E65D74"/>
    <w:rsid w:val="00E66E11"/>
    <w:rsid w:val="00E672C6"/>
    <w:rsid w:val="00E70192"/>
    <w:rsid w:val="00E70C55"/>
    <w:rsid w:val="00E70E34"/>
    <w:rsid w:val="00E71809"/>
    <w:rsid w:val="00E71D1E"/>
    <w:rsid w:val="00E725F7"/>
    <w:rsid w:val="00E726F2"/>
    <w:rsid w:val="00E728E2"/>
    <w:rsid w:val="00E72F9D"/>
    <w:rsid w:val="00E738FA"/>
    <w:rsid w:val="00E739B6"/>
    <w:rsid w:val="00E74A2B"/>
    <w:rsid w:val="00E75667"/>
    <w:rsid w:val="00E756D3"/>
    <w:rsid w:val="00E75A5A"/>
    <w:rsid w:val="00E76004"/>
    <w:rsid w:val="00E7608F"/>
    <w:rsid w:val="00E760D7"/>
    <w:rsid w:val="00E769CC"/>
    <w:rsid w:val="00E76E26"/>
    <w:rsid w:val="00E77124"/>
    <w:rsid w:val="00E77341"/>
    <w:rsid w:val="00E7783E"/>
    <w:rsid w:val="00E778B8"/>
    <w:rsid w:val="00E801C7"/>
    <w:rsid w:val="00E8062F"/>
    <w:rsid w:val="00E80AF8"/>
    <w:rsid w:val="00E80BED"/>
    <w:rsid w:val="00E816E8"/>
    <w:rsid w:val="00E82592"/>
    <w:rsid w:val="00E825ED"/>
    <w:rsid w:val="00E827BB"/>
    <w:rsid w:val="00E82D24"/>
    <w:rsid w:val="00E8304C"/>
    <w:rsid w:val="00E8357D"/>
    <w:rsid w:val="00E83C4F"/>
    <w:rsid w:val="00E84212"/>
    <w:rsid w:val="00E84C04"/>
    <w:rsid w:val="00E84F72"/>
    <w:rsid w:val="00E856A2"/>
    <w:rsid w:val="00E8572B"/>
    <w:rsid w:val="00E8575B"/>
    <w:rsid w:val="00E85929"/>
    <w:rsid w:val="00E85AD2"/>
    <w:rsid w:val="00E86976"/>
    <w:rsid w:val="00E87A37"/>
    <w:rsid w:val="00E87CF7"/>
    <w:rsid w:val="00E9036E"/>
    <w:rsid w:val="00E9078A"/>
    <w:rsid w:val="00E912FD"/>
    <w:rsid w:val="00E91B26"/>
    <w:rsid w:val="00E92C6E"/>
    <w:rsid w:val="00E92D0B"/>
    <w:rsid w:val="00E92FFF"/>
    <w:rsid w:val="00E93195"/>
    <w:rsid w:val="00E9391C"/>
    <w:rsid w:val="00E93D05"/>
    <w:rsid w:val="00E951D8"/>
    <w:rsid w:val="00E95C2A"/>
    <w:rsid w:val="00E961CB"/>
    <w:rsid w:val="00E963BC"/>
    <w:rsid w:val="00E966A6"/>
    <w:rsid w:val="00E96E91"/>
    <w:rsid w:val="00E9751D"/>
    <w:rsid w:val="00E97DC6"/>
    <w:rsid w:val="00E97F7A"/>
    <w:rsid w:val="00EA0010"/>
    <w:rsid w:val="00EA001F"/>
    <w:rsid w:val="00EA0143"/>
    <w:rsid w:val="00EA089B"/>
    <w:rsid w:val="00EA1ACC"/>
    <w:rsid w:val="00EA23E8"/>
    <w:rsid w:val="00EA2E21"/>
    <w:rsid w:val="00EA2EAA"/>
    <w:rsid w:val="00EA380C"/>
    <w:rsid w:val="00EA613D"/>
    <w:rsid w:val="00EA6744"/>
    <w:rsid w:val="00EA6768"/>
    <w:rsid w:val="00EA7308"/>
    <w:rsid w:val="00EA7474"/>
    <w:rsid w:val="00EA7C70"/>
    <w:rsid w:val="00EB0831"/>
    <w:rsid w:val="00EB089C"/>
    <w:rsid w:val="00EB0AA8"/>
    <w:rsid w:val="00EB0B65"/>
    <w:rsid w:val="00EB0C65"/>
    <w:rsid w:val="00EB1624"/>
    <w:rsid w:val="00EB169F"/>
    <w:rsid w:val="00EB22F8"/>
    <w:rsid w:val="00EB2635"/>
    <w:rsid w:val="00EB2961"/>
    <w:rsid w:val="00EB2E1A"/>
    <w:rsid w:val="00EB2F8A"/>
    <w:rsid w:val="00EB3268"/>
    <w:rsid w:val="00EB3298"/>
    <w:rsid w:val="00EB3939"/>
    <w:rsid w:val="00EB3CE6"/>
    <w:rsid w:val="00EB3E92"/>
    <w:rsid w:val="00EB5435"/>
    <w:rsid w:val="00EB54AB"/>
    <w:rsid w:val="00EB59BC"/>
    <w:rsid w:val="00EB6257"/>
    <w:rsid w:val="00EB68E6"/>
    <w:rsid w:val="00EB6AE9"/>
    <w:rsid w:val="00EB6B2D"/>
    <w:rsid w:val="00EB71C9"/>
    <w:rsid w:val="00EB763E"/>
    <w:rsid w:val="00EB7659"/>
    <w:rsid w:val="00EB7B67"/>
    <w:rsid w:val="00EC07F1"/>
    <w:rsid w:val="00EC1E8A"/>
    <w:rsid w:val="00EC328C"/>
    <w:rsid w:val="00EC32F5"/>
    <w:rsid w:val="00EC3852"/>
    <w:rsid w:val="00EC4528"/>
    <w:rsid w:val="00EC5241"/>
    <w:rsid w:val="00EC5817"/>
    <w:rsid w:val="00EC594C"/>
    <w:rsid w:val="00EC5C7B"/>
    <w:rsid w:val="00EC66AA"/>
    <w:rsid w:val="00EC6B30"/>
    <w:rsid w:val="00EC6B8F"/>
    <w:rsid w:val="00EC7154"/>
    <w:rsid w:val="00EC7371"/>
    <w:rsid w:val="00EC73F5"/>
    <w:rsid w:val="00EC7894"/>
    <w:rsid w:val="00EC7A28"/>
    <w:rsid w:val="00EC7B48"/>
    <w:rsid w:val="00ED0151"/>
    <w:rsid w:val="00ED0257"/>
    <w:rsid w:val="00ED071B"/>
    <w:rsid w:val="00ED0B8F"/>
    <w:rsid w:val="00ED18B1"/>
    <w:rsid w:val="00ED1ADE"/>
    <w:rsid w:val="00ED3692"/>
    <w:rsid w:val="00ED4A77"/>
    <w:rsid w:val="00ED4B6E"/>
    <w:rsid w:val="00ED5981"/>
    <w:rsid w:val="00ED613A"/>
    <w:rsid w:val="00ED6514"/>
    <w:rsid w:val="00ED66B2"/>
    <w:rsid w:val="00ED71BA"/>
    <w:rsid w:val="00ED728F"/>
    <w:rsid w:val="00ED73A1"/>
    <w:rsid w:val="00ED7CA2"/>
    <w:rsid w:val="00EE04B1"/>
    <w:rsid w:val="00EE04F9"/>
    <w:rsid w:val="00EE05E0"/>
    <w:rsid w:val="00EE13DA"/>
    <w:rsid w:val="00EE1595"/>
    <w:rsid w:val="00EE1E71"/>
    <w:rsid w:val="00EE2087"/>
    <w:rsid w:val="00EE20C2"/>
    <w:rsid w:val="00EE2A9D"/>
    <w:rsid w:val="00EE3384"/>
    <w:rsid w:val="00EE499F"/>
    <w:rsid w:val="00EE56E2"/>
    <w:rsid w:val="00EE5FCD"/>
    <w:rsid w:val="00EE63BF"/>
    <w:rsid w:val="00EE6D45"/>
    <w:rsid w:val="00EE6E89"/>
    <w:rsid w:val="00EF0D4B"/>
    <w:rsid w:val="00EF0FE6"/>
    <w:rsid w:val="00EF1130"/>
    <w:rsid w:val="00EF1432"/>
    <w:rsid w:val="00EF1511"/>
    <w:rsid w:val="00EF1F01"/>
    <w:rsid w:val="00EF2C39"/>
    <w:rsid w:val="00EF2C5F"/>
    <w:rsid w:val="00EF3811"/>
    <w:rsid w:val="00EF3AC4"/>
    <w:rsid w:val="00EF3FF9"/>
    <w:rsid w:val="00EF41AF"/>
    <w:rsid w:val="00EF44EF"/>
    <w:rsid w:val="00EF4B87"/>
    <w:rsid w:val="00EF4DB4"/>
    <w:rsid w:val="00EF50D5"/>
    <w:rsid w:val="00EF5234"/>
    <w:rsid w:val="00EF55E9"/>
    <w:rsid w:val="00EF5B41"/>
    <w:rsid w:val="00EF611C"/>
    <w:rsid w:val="00EF625F"/>
    <w:rsid w:val="00EF62C0"/>
    <w:rsid w:val="00EF6D5A"/>
    <w:rsid w:val="00EF71E6"/>
    <w:rsid w:val="00F0058A"/>
    <w:rsid w:val="00F00630"/>
    <w:rsid w:val="00F00922"/>
    <w:rsid w:val="00F00924"/>
    <w:rsid w:val="00F0187E"/>
    <w:rsid w:val="00F01BE6"/>
    <w:rsid w:val="00F01F75"/>
    <w:rsid w:val="00F0217A"/>
    <w:rsid w:val="00F026D3"/>
    <w:rsid w:val="00F027E8"/>
    <w:rsid w:val="00F03395"/>
    <w:rsid w:val="00F034E6"/>
    <w:rsid w:val="00F03E4C"/>
    <w:rsid w:val="00F04D19"/>
    <w:rsid w:val="00F050A3"/>
    <w:rsid w:val="00F06340"/>
    <w:rsid w:val="00F0665D"/>
    <w:rsid w:val="00F06D42"/>
    <w:rsid w:val="00F06D97"/>
    <w:rsid w:val="00F07134"/>
    <w:rsid w:val="00F0724D"/>
    <w:rsid w:val="00F07378"/>
    <w:rsid w:val="00F10B81"/>
    <w:rsid w:val="00F10BC9"/>
    <w:rsid w:val="00F11078"/>
    <w:rsid w:val="00F113C9"/>
    <w:rsid w:val="00F11C01"/>
    <w:rsid w:val="00F11D80"/>
    <w:rsid w:val="00F1360D"/>
    <w:rsid w:val="00F14B08"/>
    <w:rsid w:val="00F14B4B"/>
    <w:rsid w:val="00F14CD1"/>
    <w:rsid w:val="00F15115"/>
    <w:rsid w:val="00F15A85"/>
    <w:rsid w:val="00F15C81"/>
    <w:rsid w:val="00F15D8C"/>
    <w:rsid w:val="00F15F18"/>
    <w:rsid w:val="00F16B86"/>
    <w:rsid w:val="00F16E1A"/>
    <w:rsid w:val="00F16F92"/>
    <w:rsid w:val="00F17C3E"/>
    <w:rsid w:val="00F20197"/>
    <w:rsid w:val="00F20369"/>
    <w:rsid w:val="00F20607"/>
    <w:rsid w:val="00F208BB"/>
    <w:rsid w:val="00F20C9E"/>
    <w:rsid w:val="00F213D8"/>
    <w:rsid w:val="00F21A5D"/>
    <w:rsid w:val="00F21C13"/>
    <w:rsid w:val="00F22362"/>
    <w:rsid w:val="00F22796"/>
    <w:rsid w:val="00F2296A"/>
    <w:rsid w:val="00F234A4"/>
    <w:rsid w:val="00F2363A"/>
    <w:rsid w:val="00F238F7"/>
    <w:rsid w:val="00F23BA0"/>
    <w:rsid w:val="00F2420C"/>
    <w:rsid w:val="00F24C28"/>
    <w:rsid w:val="00F254C4"/>
    <w:rsid w:val="00F25641"/>
    <w:rsid w:val="00F256D8"/>
    <w:rsid w:val="00F25824"/>
    <w:rsid w:val="00F25E8C"/>
    <w:rsid w:val="00F26065"/>
    <w:rsid w:val="00F26265"/>
    <w:rsid w:val="00F266E3"/>
    <w:rsid w:val="00F2689C"/>
    <w:rsid w:val="00F27E44"/>
    <w:rsid w:val="00F30313"/>
    <w:rsid w:val="00F303BC"/>
    <w:rsid w:val="00F30472"/>
    <w:rsid w:val="00F30961"/>
    <w:rsid w:val="00F31052"/>
    <w:rsid w:val="00F31068"/>
    <w:rsid w:val="00F318A1"/>
    <w:rsid w:val="00F31CF5"/>
    <w:rsid w:val="00F3265C"/>
    <w:rsid w:val="00F32C4A"/>
    <w:rsid w:val="00F33262"/>
    <w:rsid w:val="00F343EE"/>
    <w:rsid w:val="00F353F4"/>
    <w:rsid w:val="00F35494"/>
    <w:rsid w:val="00F35607"/>
    <w:rsid w:val="00F359AB"/>
    <w:rsid w:val="00F35DBA"/>
    <w:rsid w:val="00F3619D"/>
    <w:rsid w:val="00F36DDE"/>
    <w:rsid w:val="00F3722A"/>
    <w:rsid w:val="00F37366"/>
    <w:rsid w:val="00F37C99"/>
    <w:rsid w:val="00F37FCC"/>
    <w:rsid w:val="00F419B8"/>
    <w:rsid w:val="00F41C0F"/>
    <w:rsid w:val="00F42856"/>
    <w:rsid w:val="00F42ED7"/>
    <w:rsid w:val="00F43777"/>
    <w:rsid w:val="00F4482B"/>
    <w:rsid w:val="00F4497D"/>
    <w:rsid w:val="00F44F02"/>
    <w:rsid w:val="00F45039"/>
    <w:rsid w:val="00F4526B"/>
    <w:rsid w:val="00F45298"/>
    <w:rsid w:val="00F45F64"/>
    <w:rsid w:val="00F462DF"/>
    <w:rsid w:val="00F46534"/>
    <w:rsid w:val="00F4662D"/>
    <w:rsid w:val="00F467BA"/>
    <w:rsid w:val="00F4689E"/>
    <w:rsid w:val="00F468AC"/>
    <w:rsid w:val="00F4696F"/>
    <w:rsid w:val="00F46A5F"/>
    <w:rsid w:val="00F47316"/>
    <w:rsid w:val="00F47507"/>
    <w:rsid w:val="00F47A01"/>
    <w:rsid w:val="00F47CEE"/>
    <w:rsid w:val="00F5052D"/>
    <w:rsid w:val="00F51A82"/>
    <w:rsid w:val="00F51B78"/>
    <w:rsid w:val="00F51BDD"/>
    <w:rsid w:val="00F52065"/>
    <w:rsid w:val="00F521CE"/>
    <w:rsid w:val="00F5253E"/>
    <w:rsid w:val="00F5254B"/>
    <w:rsid w:val="00F52CB7"/>
    <w:rsid w:val="00F53A44"/>
    <w:rsid w:val="00F54E5E"/>
    <w:rsid w:val="00F551DB"/>
    <w:rsid w:val="00F55810"/>
    <w:rsid w:val="00F559BE"/>
    <w:rsid w:val="00F56F7E"/>
    <w:rsid w:val="00F56FEF"/>
    <w:rsid w:val="00F57521"/>
    <w:rsid w:val="00F60938"/>
    <w:rsid w:val="00F60C7E"/>
    <w:rsid w:val="00F60E0A"/>
    <w:rsid w:val="00F61606"/>
    <w:rsid w:val="00F61918"/>
    <w:rsid w:val="00F62151"/>
    <w:rsid w:val="00F62BA9"/>
    <w:rsid w:val="00F62CA8"/>
    <w:rsid w:val="00F62F92"/>
    <w:rsid w:val="00F630B4"/>
    <w:rsid w:val="00F635EF"/>
    <w:rsid w:val="00F637EE"/>
    <w:rsid w:val="00F63BF4"/>
    <w:rsid w:val="00F63C55"/>
    <w:rsid w:val="00F63C60"/>
    <w:rsid w:val="00F64991"/>
    <w:rsid w:val="00F65425"/>
    <w:rsid w:val="00F65BA9"/>
    <w:rsid w:val="00F65BC8"/>
    <w:rsid w:val="00F65C4A"/>
    <w:rsid w:val="00F65EEA"/>
    <w:rsid w:val="00F66205"/>
    <w:rsid w:val="00F6630F"/>
    <w:rsid w:val="00F66419"/>
    <w:rsid w:val="00F67079"/>
    <w:rsid w:val="00F67B58"/>
    <w:rsid w:val="00F67E81"/>
    <w:rsid w:val="00F7044B"/>
    <w:rsid w:val="00F70FD4"/>
    <w:rsid w:val="00F71342"/>
    <w:rsid w:val="00F71C68"/>
    <w:rsid w:val="00F724E2"/>
    <w:rsid w:val="00F74103"/>
    <w:rsid w:val="00F7410A"/>
    <w:rsid w:val="00F745A4"/>
    <w:rsid w:val="00F74C0C"/>
    <w:rsid w:val="00F758E1"/>
    <w:rsid w:val="00F75BB5"/>
    <w:rsid w:val="00F75FD5"/>
    <w:rsid w:val="00F7604C"/>
    <w:rsid w:val="00F773A9"/>
    <w:rsid w:val="00F8056E"/>
    <w:rsid w:val="00F805B7"/>
    <w:rsid w:val="00F810C1"/>
    <w:rsid w:val="00F81623"/>
    <w:rsid w:val="00F81D25"/>
    <w:rsid w:val="00F8245C"/>
    <w:rsid w:val="00F82928"/>
    <w:rsid w:val="00F829B9"/>
    <w:rsid w:val="00F83045"/>
    <w:rsid w:val="00F83615"/>
    <w:rsid w:val="00F83EC7"/>
    <w:rsid w:val="00F8421D"/>
    <w:rsid w:val="00F85329"/>
    <w:rsid w:val="00F85683"/>
    <w:rsid w:val="00F85841"/>
    <w:rsid w:val="00F86079"/>
    <w:rsid w:val="00F8610A"/>
    <w:rsid w:val="00F87282"/>
    <w:rsid w:val="00F878CD"/>
    <w:rsid w:val="00F87905"/>
    <w:rsid w:val="00F87A66"/>
    <w:rsid w:val="00F90C1F"/>
    <w:rsid w:val="00F912D9"/>
    <w:rsid w:val="00F91A44"/>
    <w:rsid w:val="00F91BFA"/>
    <w:rsid w:val="00F91F8F"/>
    <w:rsid w:val="00F9217B"/>
    <w:rsid w:val="00F934DD"/>
    <w:rsid w:val="00F97A34"/>
    <w:rsid w:val="00F97E4A"/>
    <w:rsid w:val="00F97EA1"/>
    <w:rsid w:val="00FA003A"/>
    <w:rsid w:val="00FA05C8"/>
    <w:rsid w:val="00FA0678"/>
    <w:rsid w:val="00FA0DB6"/>
    <w:rsid w:val="00FA23F7"/>
    <w:rsid w:val="00FA27EB"/>
    <w:rsid w:val="00FA35B6"/>
    <w:rsid w:val="00FA3EBC"/>
    <w:rsid w:val="00FA4022"/>
    <w:rsid w:val="00FA423C"/>
    <w:rsid w:val="00FA44D0"/>
    <w:rsid w:val="00FA4590"/>
    <w:rsid w:val="00FA55A2"/>
    <w:rsid w:val="00FA672F"/>
    <w:rsid w:val="00FA775E"/>
    <w:rsid w:val="00FA7792"/>
    <w:rsid w:val="00FA7AA8"/>
    <w:rsid w:val="00FA7F1D"/>
    <w:rsid w:val="00FB011C"/>
    <w:rsid w:val="00FB0D60"/>
    <w:rsid w:val="00FB18FD"/>
    <w:rsid w:val="00FB21CC"/>
    <w:rsid w:val="00FB2BF5"/>
    <w:rsid w:val="00FB2F8E"/>
    <w:rsid w:val="00FB30C3"/>
    <w:rsid w:val="00FB39B0"/>
    <w:rsid w:val="00FB5138"/>
    <w:rsid w:val="00FB547F"/>
    <w:rsid w:val="00FB5A71"/>
    <w:rsid w:val="00FB63F6"/>
    <w:rsid w:val="00FB7823"/>
    <w:rsid w:val="00FC05B2"/>
    <w:rsid w:val="00FC08B3"/>
    <w:rsid w:val="00FC09D7"/>
    <w:rsid w:val="00FC0ABE"/>
    <w:rsid w:val="00FC1269"/>
    <w:rsid w:val="00FC22D0"/>
    <w:rsid w:val="00FC38D4"/>
    <w:rsid w:val="00FC391E"/>
    <w:rsid w:val="00FC39B3"/>
    <w:rsid w:val="00FC3BB7"/>
    <w:rsid w:val="00FC4345"/>
    <w:rsid w:val="00FC444A"/>
    <w:rsid w:val="00FC453D"/>
    <w:rsid w:val="00FC4A89"/>
    <w:rsid w:val="00FC5856"/>
    <w:rsid w:val="00FC619B"/>
    <w:rsid w:val="00FC665F"/>
    <w:rsid w:val="00FC6C35"/>
    <w:rsid w:val="00FC6D59"/>
    <w:rsid w:val="00FC7561"/>
    <w:rsid w:val="00FC78F5"/>
    <w:rsid w:val="00FC7ACA"/>
    <w:rsid w:val="00FC7AD2"/>
    <w:rsid w:val="00FD10B3"/>
    <w:rsid w:val="00FD11C3"/>
    <w:rsid w:val="00FD154E"/>
    <w:rsid w:val="00FD24D7"/>
    <w:rsid w:val="00FD29CE"/>
    <w:rsid w:val="00FD3AE2"/>
    <w:rsid w:val="00FD3E41"/>
    <w:rsid w:val="00FD3EFA"/>
    <w:rsid w:val="00FD54A8"/>
    <w:rsid w:val="00FD5AE4"/>
    <w:rsid w:val="00FD5F25"/>
    <w:rsid w:val="00FD60BE"/>
    <w:rsid w:val="00FD6894"/>
    <w:rsid w:val="00FD6AF0"/>
    <w:rsid w:val="00FD704D"/>
    <w:rsid w:val="00FD74EF"/>
    <w:rsid w:val="00FD79B8"/>
    <w:rsid w:val="00FD79F6"/>
    <w:rsid w:val="00FE033F"/>
    <w:rsid w:val="00FE07A8"/>
    <w:rsid w:val="00FE0AD1"/>
    <w:rsid w:val="00FE0CC0"/>
    <w:rsid w:val="00FE1852"/>
    <w:rsid w:val="00FE1963"/>
    <w:rsid w:val="00FE1981"/>
    <w:rsid w:val="00FE1BF1"/>
    <w:rsid w:val="00FE1DE4"/>
    <w:rsid w:val="00FE33DB"/>
    <w:rsid w:val="00FE33F5"/>
    <w:rsid w:val="00FE352A"/>
    <w:rsid w:val="00FE37DD"/>
    <w:rsid w:val="00FE3C31"/>
    <w:rsid w:val="00FE4015"/>
    <w:rsid w:val="00FE44F5"/>
    <w:rsid w:val="00FE4783"/>
    <w:rsid w:val="00FE480D"/>
    <w:rsid w:val="00FE4ACC"/>
    <w:rsid w:val="00FE4F80"/>
    <w:rsid w:val="00FE570E"/>
    <w:rsid w:val="00FE6870"/>
    <w:rsid w:val="00FE713E"/>
    <w:rsid w:val="00FE7877"/>
    <w:rsid w:val="00FE7DD1"/>
    <w:rsid w:val="00FF0B4F"/>
    <w:rsid w:val="00FF0F58"/>
    <w:rsid w:val="00FF183C"/>
    <w:rsid w:val="00FF1A06"/>
    <w:rsid w:val="00FF1AD3"/>
    <w:rsid w:val="00FF1B46"/>
    <w:rsid w:val="00FF219D"/>
    <w:rsid w:val="00FF2A7B"/>
    <w:rsid w:val="00FF3D2B"/>
    <w:rsid w:val="00FF49B4"/>
    <w:rsid w:val="00FF49F4"/>
    <w:rsid w:val="00FF4AC7"/>
    <w:rsid w:val="00FF5C6A"/>
    <w:rsid w:val="00FF651D"/>
    <w:rsid w:val="00FF6843"/>
    <w:rsid w:val="00FF6C25"/>
    <w:rsid w:val="010651D9"/>
    <w:rsid w:val="011F6449"/>
    <w:rsid w:val="01236AFB"/>
    <w:rsid w:val="0149098B"/>
    <w:rsid w:val="018C4796"/>
    <w:rsid w:val="019F7441"/>
    <w:rsid w:val="01AE3001"/>
    <w:rsid w:val="01B37585"/>
    <w:rsid w:val="01CA3F1A"/>
    <w:rsid w:val="01D55165"/>
    <w:rsid w:val="01DF6BF8"/>
    <w:rsid w:val="01EC2C57"/>
    <w:rsid w:val="025F0711"/>
    <w:rsid w:val="026B2E25"/>
    <w:rsid w:val="0277007C"/>
    <w:rsid w:val="027C6214"/>
    <w:rsid w:val="02824D4D"/>
    <w:rsid w:val="028D3650"/>
    <w:rsid w:val="02B367FB"/>
    <w:rsid w:val="02DC4B10"/>
    <w:rsid w:val="02DD76CE"/>
    <w:rsid w:val="02F36323"/>
    <w:rsid w:val="02F5619C"/>
    <w:rsid w:val="0326446A"/>
    <w:rsid w:val="032B57EF"/>
    <w:rsid w:val="032D5555"/>
    <w:rsid w:val="036634D2"/>
    <w:rsid w:val="03CD39A8"/>
    <w:rsid w:val="03D04978"/>
    <w:rsid w:val="03DD35E4"/>
    <w:rsid w:val="04076900"/>
    <w:rsid w:val="041A5A3B"/>
    <w:rsid w:val="042311BA"/>
    <w:rsid w:val="042B157A"/>
    <w:rsid w:val="04736067"/>
    <w:rsid w:val="048F763B"/>
    <w:rsid w:val="04932DEE"/>
    <w:rsid w:val="049F330E"/>
    <w:rsid w:val="04AA775C"/>
    <w:rsid w:val="04AF1889"/>
    <w:rsid w:val="04BD14C3"/>
    <w:rsid w:val="04C75A67"/>
    <w:rsid w:val="04D53301"/>
    <w:rsid w:val="04F66F48"/>
    <w:rsid w:val="05251E14"/>
    <w:rsid w:val="05A16594"/>
    <w:rsid w:val="05A7762D"/>
    <w:rsid w:val="060E5941"/>
    <w:rsid w:val="06110FAF"/>
    <w:rsid w:val="06493CA7"/>
    <w:rsid w:val="065A6178"/>
    <w:rsid w:val="065F2DBE"/>
    <w:rsid w:val="066F1CF3"/>
    <w:rsid w:val="06930BB8"/>
    <w:rsid w:val="06952D48"/>
    <w:rsid w:val="07245D42"/>
    <w:rsid w:val="07264C62"/>
    <w:rsid w:val="07651475"/>
    <w:rsid w:val="0779354C"/>
    <w:rsid w:val="07F27B5E"/>
    <w:rsid w:val="07F41FA5"/>
    <w:rsid w:val="0805171E"/>
    <w:rsid w:val="08061376"/>
    <w:rsid w:val="08452D77"/>
    <w:rsid w:val="086401F8"/>
    <w:rsid w:val="08751CAA"/>
    <w:rsid w:val="087E4C40"/>
    <w:rsid w:val="08A871D0"/>
    <w:rsid w:val="08D66AD6"/>
    <w:rsid w:val="08DA33A3"/>
    <w:rsid w:val="08E80F13"/>
    <w:rsid w:val="08F20E28"/>
    <w:rsid w:val="09335624"/>
    <w:rsid w:val="0944690F"/>
    <w:rsid w:val="09535675"/>
    <w:rsid w:val="095F057D"/>
    <w:rsid w:val="09642282"/>
    <w:rsid w:val="09733572"/>
    <w:rsid w:val="09772C16"/>
    <w:rsid w:val="09774987"/>
    <w:rsid w:val="098353B5"/>
    <w:rsid w:val="09A92330"/>
    <w:rsid w:val="09B06B87"/>
    <w:rsid w:val="09C13146"/>
    <w:rsid w:val="09E04166"/>
    <w:rsid w:val="0A1C0718"/>
    <w:rsid w:val="0A3E7710"/>
    <w:rsid w:val="0A5B7E63"/>
    <w:rsid w:val="0A7823B4"/>
    <w:rsid w:val="0A984BB5"/>
    <w:rsid w:val="0AA374A5"/>
    <w:rsid w:val="0AAB7649"/>
    <w:rsid w:val="0AB45767"/>
    <w:rsid w:val="0ABC5606"/>
    <w:rsid w:val="0AD06781"/>
    <w:rsid w:val="0B30404E"/>
    <w:rsid w:val="0B4C6C14"/>
    <w:rsid w:val="0B547599"/>
    <w:rsid w:val="0B5F3278"/>
    <w:rsid w:val="0B631A88"/>
    <w:rsid w:val="0B683D45"/>
    <w:rsid w:val="0B7F3F11"/>
    <w:rsid w:val="0B884417"/>
    <w:rsid w:val="0BE26D39"/>
    <w:rsid w:val="0BF6188C"/>
    <w:rsid w:val="0BF73C91"/>
    <w:rsid w:val="0C170175"/>
    <w:rsid w:val="0C2E0599"/>
    <w:rsid w:val="0C571A41"/>
    <w:rsid w:val="0C5C1171"/>
    <w:rsid w:val="0C5E1CBC"/>
    <w:rsid w:val="0C615B50"/>
    <w:rsid w:val="0C8445DA"/>
    <w:rsid w:val="0C87121B"/>
    <w:rsid w:val="0CC007F7"/>
    <w:rsid w:val="0CC617AC"/>
    <w:rsid w:val="0CE618DF"/>
    <w:rsid w:val="0CFE707A"/>
    <w:rsid w:val="0D063BDA"/>
    <w:rsid w:val="0D08375F"/>
    <w:rsid w:val="0D184CFB"/>
    <w:rsid w:val="0D4A7419"/>
    <w:rsid w:val="0D827401"/>
    <w:rsid w:val="0D84094E"/>
    <w:rsid w:val="0D8A00E9"/>
    <w:rsid w:val="0D8D589E"/>
    <w:rsid w:val="0DA01C73"/>
    <w:rsid w:val="0DC43B46"/>
    <w:rsid w:val="0DD11D2A"/>
    <w:rsid w:val="0DD63300"/>
    <w:rsid w:val="0DF50604"/>
    <w:rsid w:val="0DF702FE"/>
    <w:rsid w:val="0E060E51"/>
    <w:rsid w:val="0E5604B2"/>
    <w:rsid w:val="0E6D5D79"/>
    <w:rsid w:val="0E9D0089"/>
    <w:rsid w:val="0EAD2BF9"/>
    <w:rsid w:val="0EB803EE"/>
    <w:rsid w:val="0EE715B3"/>
    <w:rsid w:val="0EF94D4B"/>
    <w:rsid w:val="0F037869"/>
    <w:rsid w:val="0F1B5DB5"/>
    <w:rsid w:val="0F2729AB"/>
    <w:rsid w:val="0F4958DC"/>
    <w:rsid w:val="0F515DF7"/>
    <w:rsid w:val="0F596BA8"/>
    <w:rsid w:val="0F6248D2"/>
    <w:rsid w:val="0F693536"/>
    <w:rsid w:val="0F7B0511"/>
    <w:rsid w:val="0F7B76D9"/>
    <w:rsid w:val="0F816ACD"/>
    <w:rsid w:val="0F9832DB"/>
    <w:rsid w:val="0FBF3FD2"/>
    <w:rsid w:val="0FBF7FF3"/>
    <w:rsid w:val="0FE34B24"/>
    <w:rsid w:val="10646583"/>
    <w:rsid w:val="107D4B15"/>
    <w:rsid w:val="108A3C80"/>
    <w:rsid w:val="10C26171"/>
    <w:rsid w:val="10F33360"/>
    <w:rsid w:val="10FC16EA"/>
    <w:rsid w:val="110F1D40"/>
    <w:rsid w:val="11266F33"/>
    <w:rsid w:val="11355F72"/>
    <w:rsid w:val="11743805"/>
    <w:rsid w:val="118963A1"/>
    <w:rsid w:val="11B33FB3"/>
    <w:rsid w:val="11C6522A"/>
    <w:rsid w:val="11E104CC"/>
    <w:rsid w:val="11E20309"/>
    <w:rsid w:val="11EE4B5F"/>
    <w:rsid w:val="12255233"/>
    <w:rsid w:val="12530213"/>
    <w:rsid w:val="126E2D03"/>
    <w:rsid w:val="127723A9"/>
    <w:rsid w:val="12862074"/>
    <w:rsid w:val="12883966"/>
    <w:rsid w:val="129E45B4"/>
    <w:rsid w:val="12D81596"/>
    <w:rsid w:val="13072A44"/>
    <w:rsid w:val="1323348A"/>
    <w:rsid w:val="13382C11"/>
    <w:rsid w:val="135F4BE2"/>
    <w:rsid w:val="136A730B"/>
    <w:rsid w:val="13915DCB"/>
    <w:rsid w:val="139B1A0A"/>
    <w:rsid w:val="139D25C7"/>
    <w:rsid w:val="13BF3CE4"/>
    <w:rsid w:val="141008D8"/>
    <w:rsid w:val="14125FE6"/>
    <w:rsid w:val="146D271E"/>
    <w:rsid w:val="14900043"/>
    <w:rsid w:val="14982588"/>
    <w:rsid w:val="149A5AD9"/>
    <w:rsid w:val="149C1746"/>
    <w:rsid w:val="14A7619D"/>
    <w:rsid w:val="14AA5A37"/>
    <w:rsid w:val="15033573"/>
    <w:rsid w:val="150536C3"/>
    <w:rsid w:val="150C1963"/>
    <w:rsid w:val="151447A0"/>
    <w:rsid w:val="153C0833"/>
    <w:rsid w:val="154A6454"/>
    <w:rsid w:val="15762120"/>
    <w:rsid w:val="159568DC"/>
    <w:rsid w:val="15B55D35"/>
    <w:rsid w:val="15C119DB"/>
    <w:rsid w:val="15F80537"/>
    <w:rsid w:val="16A8729C"/>
    <w:rsid w:val="16B33777"/>
    <w:rsid w:val="16BC70A7"/>
    <w:rsid w:val="16C6339E"/>
    <w:rsid w:val="172F2D79"/>
    <w:rsid w:val="17557BEF"/>
    <w:rsid w:val="175E7186"/>
    <w:rsid w:val="177C760C"/>
    <w:rsid w:val="17A636E2"/>
    <w:rsid w:val="17D349C1"/>
    <w:rsid w:val="180377DD"/>
    <w:rsid w:val="1830729E"/>
    <w:rsid w:val="185561DD"/>
    <w:rsid w:val="1870062C"/>
    <w:rsid w:val="18721BFE"/>
    <w:rsid w:val="18817102"/>
    <w:rsid w:val="18830A15"/>
    <w:rsid w:val="18852B28"/>
    <w:rsid w:val="188B5321"/>
    <w:rsid w:val="19766A09"/>
    <w:rsid w:val="19932372"/>
    <w:rsid w:val="19A20DD5"/>
    <w:rsid w:val="19AE03F1"/>
    <w:rsid w:val="1A071A03"/>
    <w:rsid w:val="1A1D3617"/>
    <w:rsid w:val="1A1F16AE"/>
    <w:rsid w:val="1A31352B"/>
    <w:rsid w:val="1A3B5C77"/>
    <w:rsid w:val="1A3D12D5"/>
    <w:rsid w:val="1A43444C"/>
    <w:rsid w:val="1A622AE9"/>
    <w:rsid w:val="1A864F50"/>
    <w:rsid w:val="1A984BAD"/>
    <w:rsid w:val="1AB8220E"/>
    <w:rsid w:val="1AC215D3"/>
    <w:rsid w:val="1AE4166C"/>
    <w:rsid w:val="1AF06CFB"/>
    <w:rsid w:val="1AF11B8D"/>
    <w:rsid w:val="1B0B4F2F"/>
    <w:rsid w:val="1B11359C"/>
    <w:rsid w:val="1B2A271F"/>
    <w:rsid w:val="1B530544"/>
    <w:rsid w:val="1B5B1170"/>
    <w:rsid w:val="1B713184"/>
    <w:rsid w:val="1B773153"/>
    <w:rsid w:val="1B811E07"/>
    <w:rsid w:val="1BA209CF"/>
    <w:rsid w:val="1BB4777D"/>
    <w:rsid w:val="1BD75AB8"/>
    <w:rsid w:val="1C006A5E"/>
    <w:rsid w:val="1C0459C2"/>
    <w:rsid w:val="1C1B3B4A"/>
    <w:rsid w:val="1C88086E"/>
    <w:rsid w:val="1D266CE1"/>
    <w:rsid w:val="1D3963AF"/>
    <w:rsid w:val="1D6A673C"/>
    <w:rsid w:val="1D7C348F"/>
    <w:rsid w:val="1D8769A7"/>
    <w:rsid w:val="1D9247AE"/>
    <w:rsid w:val="1DB567EC"/>
    <w:rsid w:val="1DB608DC"/>
    <w:rsid w:val="1DD86CE1"/>
    <w:rsid w:val="1DF51A98"/>
    <w:rsid w:val="1DFC163B"/>
    <w:rsid w:val="1E3D060F"/>
    <w:rsid w:val="1E3F7D2E"/>
    <w:rsid w:val="1E4134E4"/>
    <w:rsid w:val="1E5062B3"/>
    <w:rsid w:val="1E523514"/>
    <w:rsid w:val="1E714A66"/>
    <w:rsid w:val="1E802593"/>
    <w:rsid w:val="1E8B6156"/>
    <w:rsid w:val="1EA4168C"/>
    <w:rsid w:val="1EA703CC"/>
    <w:rsid w:val="1EB7330C"/>
    <w:rsid w:val="1ED66CD2"/>
    <w:rsid w:val="1F0A0FF3"/>
    <w:rsid w:val="1F5771FF"/>
    <w:rsid w:val="1FD52DD5"/>
    <w:rsid w:val="1FE868A9"/>
    <w:rsid w:val="20034907"/>
    <w:rsid w:val="20173E4B"/>
    <w:rsid w:val="202F5AD6"/>
    <w:rsid w:val="204E48BC"/>
    <w:rsid w:val="208921B3"/>
    <w:rsid w:val="20973DEB"/>
    <w:rsid w:val="20B26522"/>
    <w:rsid w:val="20B44310"/>
    <w:rsid w:val="211116EB"/>
    <w:rsid w:val="216133FC"/>
    <w:rsid w:val="218D141D"/>
    <w:rsid w:val="21C14169"/>
    <w:rsid w:val="21D56769"/>
    <w:rsid w:val="21E52EF3"/>
    <w:rsid w:val="21FB5D7B"/>
    <w:rsid w:val="22015E94"/>
    <w:rsid w:val="220B1C3D"/>
    <w:rsid w:val="220D32FF"/>
    <w:rsid w:val="221D1D20"/>
    <w:rsid w:val="22334A87"/>
    <w:rsid w:val="22BE6801"/>
    <w:rsid w:val="233500BF"/>
    <w:rsid w:val="23377FF7"/>
    <w:rsid w:val="23575EA4"/>
    <w:rsid w:val="236B425F"/>
    <w:rsid w:val="23836192"/>
    <w:rsid w:val="238C6E29"/>
    <w:rsid w:val="23901F29"/>
    <w:rsid w:val="239C0061"/>
    <w:rsid w:val="23B77FEA"/>
    <w:rsid w:val="23B908A4"/>
    <w:rsid w:val="23E95BEF"/>
    <w:rsid w:val="23FD0064"/>
    <w:rsid w:val="240B23D0"/>
    <w:rsid w:val="245375B0"/>
    <w:rsid w:val="245466F9"/>
    <w:rsid w:val="24642C0A"/>
    <w:rsid w:val="248A2B54"/>
    <w:rsid w:val="24AA57B9"/>
    <w:rsid w:val="24B22173"/>
    <w:rsid w:val="24B95AD9"/>
    <w:rsid w:val="24BE24DA"/>
    <w:rsid w:val="24CF5825"/>
    <w:rsid w:val="24D663E6"/>
    <w:rsid w:val="24D77F2B"/>
    <w:rsid w:val="253D3D61"/>
    <w:rsid w:val="258B00E2"/>
    <w:rsid w:val="25A917A6"/>
    <w:rsid w:val="25BE27CC"/>
    <w:rsid w:val="25C970BA"/>
    <w:rsid w:val="25F74A5C"/>
    <w:rsid w:val="2628662C"/>
    <w:rsid w:val="262D45DE"/>
    <w:rsid w:val="26871DC8"/>
    <w:rsid w:val="26A53EF9"/>
    <w:rsid w:val="26A94201"/>
    <w:rsid w:val="26AC274F"/>
    <w:rsid w:val="27044A29"/>
    <w:rsid w:val="271B0BF0"/>
    <w:rsid w:val="271D34C8"/>
    <w:rsid w:val="2742124F"/>
    <w:rsid w:val="276142BF"/>
    <w:rsid w:val="27783712"/>
    <w:rsid w:val="27907362"/>
    <w:rsid w:val="279C2835"/>
    <w:rsid w:val="27A41B81"/>
    <w:rsid w:val="27BD0F59"/>
    <w:rsid w:val="27DC1974"/>
    <w:rsid w:val="27E770BC"/>
    <w:rsid w:val="27F54071"/>
    <w:rsid w:val="281A2F57"/>
    <w:rsid w:val="281F281F"/>
    <w:rsid w:val="28333E1D"/>
    <w:rsid w:val="28454BD6"/>
    <w:rsid w:val="28455253"/>
    <w:rsid w:val="28551971"/>
    <w:rsid w:val="285B1C53"/>
    <w:rsid w:val="2876793A"/>
    <w:rsid w:val="289F7086"/>
    <w:rsid w:val="28B256E1"/>
    <w:rsid w:val="28C32028"/>
    <w:rsid w:val="28CC490F"/>
    <w:rsid w:val="28DB23E5"/>
    <w:rsid w:val="28DE40AA"/>
    <w:rsid w:val="29345E77"/>
    <w:rsid w:val="294C65AD"/>
    <w:rsid w:val="29734F00"/>
    <w:rsid w:val="29806583"/>
    <w:rsid w:val="298B3C4C"/>
    <w:rsid w:val="29A502DB"/>
    <w:rsid w:val="29F26D24"/>
    <w:rsid w:val="2A15033F"/>
    <w:rsid w:val="2A1662C1"/>
    <w:rsid w:val="2A1C7367"/>
    <w:rsid w:val="2A2815FA"/>
    <w:rsid w:val="2A6D6092"/>
    <w:rsid w:val="2A7D76B4"/>
    <w:rsid w:val="2A835E77"/>
    <w:rsid w:val="2B437463"/>
    <w:rsid w:val="2B6C6202"/>
    <w:rsid w:val="2B7807EE"/>
    <w:rsid w:val="2BA50BF7"/>
    <w:rsid w:val="2BBF00EC"/>
    <w:rsid w:val="2BC37CFD"/>
    <w:rsid w:val="2BD5237F"/>
    <w:rsid w:val="2BE536CE"/>
    <w:rsid w:val="2BE758D9"/>
    <w:rsid w:val="2C022011"/>
    <w:rsid w:val="2C09049E"/>
    <w:rsid w:val="2C0A653C"/>
    <w:rsid w:val="2C191F85"/>
    <w:rsid w:val="2CDC3325"/>
    <w:rsid w:val="2CE82D6F"/>
    <w:rsid w:val="2D2E0549"/>
    <w:rsid w:val="2D343236"/>
    <w:rsid w:val="2DD15014"/>
    <w:rsid w:val="2DF72DE4"/>
    <w:rsid w:val="2E0220AF"/>
    <w:rsid w:val="2E053A60"/>
    <w:rsid w:val="2E1754F4"/>
    <w:rsid w:val="2E1C30BA"/>
    <w:rsid w:val="2E4B082A"/>
    <w:rsid w:val="2E5D4E86"/>
    <w:rsid w:val="2E5D790B"/>
    <w:rsid w:val="2E615CCD"/>
    <w:rsid w:val="2E9A3C18"/>
    <w:rsid w:val="2EBB0FEE"/>
    <w:rsid w:val="2EC63002"/>
    <w:rsid w:val="2ED95618"/>
    <w:rsid w:val="2EF25DA5"/>
    <w:rsid w:val="2F0A6B38"/>
    <w:rsid w:val="2F946CCB"/>
    <w:rsid w:val="2FD25781"/>
    <w:rsid w:val="2FDC745C"/>
    <w:rsid w:val="2FFD7934"/>
    <w:rsid w:val="30226B4B"/>
    <w:rsid w:val="303D1BD7"/>
    <w:rsid w:val="30733ACD"/>
    <w:rsid w:val="308C3862"/>
    <w:rsid w:val="309379D8"/>
    <w:rsid w:val="30A270F7"/>
    <w:rsid w:val="30A513E9"/>
    <w:rsid w:val="30AF7E29"/>
    <w:rsid w:val="30DF1478"/>
    <w:rsid w:val="30EC586F"/>
    <w:rsid w:val="314550B7"/>
    <w:rsid w:val="317177E5"/>
    <w:rsid w:val="319C6071"/>
    <w:rsid w:val="31AC537E"/>
    <w:rsid w:val="31E3679B"/>
    <w:rsid w:val="31E732FD"/>
    <w:rsid w:val="3226757F"/>
    <w:rsid w:val="324B46DD"/>
    <w:rsid w:val="32517576"/>
    <w:rsid w:val="32BE5C2C"/>
    <w:rsid w:val="32E74194"/>
    <w:rsid w:val="32FB6478"/>
    <w:rsid w:val="33263B3F"/>
    <w:rsid w:val="335568C7"/>
    <w:rsid w:val="336963EB"/>
    <w:rsid w:val="33816EEB"/>
    <w:rsid w:val="33963E69"/>
    <w:rsid w:val="33A73E16"/>
    <w:rsid w:val="33EB55CD"/>
    <w:rsid w:val="33EC4C02"/>
    <w:rsid w:val="340D2360"/>
    <w:rsid w:val="3410665D"/>
    <w:rsid w:val="34211214"/>
    <w:rsid w:val="342E63AB"/>
    <w:rsid w:val="3442066A"/>
    <w:rsid w:val="346017A2"/>
    <w:rsid w:val="34950E68"/>
    <w:rsid w:val="34986E94"/>
    <w:rsid w:val="34AF62C9"/>
    <w:rsid w:val="34CA69CE"/>
    <w:rsid w:val="34CB4388"/>
    <w:rsid w:val="34D507EF"/>
    <w:rsid w:val="34FA6E12"/>
    <w:rsid w:val="3502519D"/>
    <w:rsid w:val="351B3577"/>
    <w:rsid w:val="354D7158"/>
    <w:rsid w:val="358D5588"/>
    <w:rsid w:val="35C5483A"/>
    <w:rsid w:val="363A3B40"/>
    <w:rsid w:val="365302AE"/>
    <w:rsid w:val="36607A0A"/>
    <w:rsid w:val="366E227C"/>
    <w:rsid w:val="366F2E0D"/>
    <w:rsid w:val="367B6A5C"/>
    <w:rsid w:val="36A4650C"/>
    <w:rsid w:val="36A74ADA"/>
    <w:rsid w:val="36AD60D5"/>
    <w:rsid w:val="36B224F9"/>
    <w:rsid w:val="36EC0CC9"/>
    <w:rsid w:val="37180EE6"/>
    <w:rsid w:val="373F410B"/>
    <w:rsid w:val="377F2888"/>
    <w:rsid w:val="37EE7094"/>
    <w:rsid w:val="3806274D"/>
    <w:rsid w:val="38296C89"/>
    <w:rsid w:val="383002EB"/>
    <w:rsid w:val="384A6C3F"/>
    <w:rsid w:val="38586797"/>
    <w:rsid w:val="387715F5"/>
    <w:rsid w:val="38BC0149"/>
    <w:rsid w:val="38D87D1C"/>
    <w:rsid w:val="391A0D07"/>
    <w:rsid w:val="39636459"/>
    <w:rsid w:val="396B7F6C"/>
    <w:rsid w:val="398A4394"/>
    <w:rsid w:val="3991368E"/>
    <w:rsid w:val="39B417A9"/>
    <w:rsid w:val="39FC5695"/>
    <w:rsid w:val="3A006D8E"/>
    <w:rsid w:val="3A3651E5"/>
    <w:rsid w:val="3A744481"/>
    <w:rsid w:val="3A8C7BEF"/>
    <w:rsid w:val="3A906246"/>
    <w:rsid w:val="3B2349B7"/>
    <w:rsid w:val="3B616CFF"/>
    <w:rsid w:val="3B6259F6"/>
    <w:rsid w:val="3B6D7BDC"/>
    <w:rsid w:val="3B976654"/>
    <w:rsid w:val="3BAC552A"/>
    <w:rsid w:val="3BBC2D82"/>
    <w:rsid w:val="3BC01EFC"/>
    <w:rsid w:val="3BC9431F"/>
    <w:rsid w:val="3BCA786A"/>
    <w:rsid w:val="3BD31E2F"/>
    <w:rsid w:val="3BEB698B"/>
    <w:rsid w:val="3BEC4C83"/>
    <w:rsid w:val="3BF15831"/>
    <w:rsid w:val="3C105946"/>
    <w:rsid w:val="3C3F06A4"/>
    <w:rsid w:val="3C4165AB"/>
    <w:rsid w:val="3C471448"/>
    <w:rsid w:val="3C5F759A"/>
    <w:rsid w:val="3C6C525A"/>
    <w:rsid w:val="3CC04DAD"/>
    <w:rsid w:val="3CCE23CB"/>
    <w:rsid w:val="3CD17D17"/>
    <w:rsid w:val="3D0D7772"/>
    <w:rsid w:val="3D165A83"/>
    <w:rsid w:val="3D3C7F39"/>
    <w:rsid w:val="3D440F09"/>
    <w:rsid w:val="3D4504A0"/>
    <w:rsid w:val="3D8734BB"/>
    <w:rsid w:val="3D9A11D4"/>
    <w:rsid w:val="3DA16D89"/>
    <w:rsid w:val="3DA364BE"/>
    <w:rsid w:val="3DA52210"/>
    <w:rsid w:val="3DC443F3"/>
    <w:rsid w:val="3DE041CB"/>
    <w:rsid w:val="3DE64EF8"/>
    <w:rsid w:val="3E0D48F6"/>
    <w:rsid w:val="3E1868B4"/>
    <w:rsid w:val="3E2954F7"/>
    <w:rsid w:val="3E377251"/>
    <w:rsid w:val="3E42664B"/>
    <w:rsid w:val="3E5A7334"/>
    <w:rsid w:val="3E7B5D6B"/>
    <w:rsid w:val="3E843E66"/>
    <w:rsid w:val="3E8F51FE"/>
    <w:rsid w:val="3E926F87"/>
    <w:rsid w:val="3E9A59DE"/>
    <w:rsid w:val="3EAF4836"/>
    <w:rsid w:val="3EC33DFA"/>
    <w:rsid w:val="3EED21E7"/>
    <w:rsid w:val="3EF43DA9"/>
    <w:rsid w:val="3F060E16"/>
    <w:rsid w:val="3F1D1096"/>
    <w:rsid w:val="3F2F0234"/>
    <w:rsid w:val="3F6363FE"/>
    <w:rsid w:val="3F744EE9"/>
    <w:rsid w:val="3F756B8F"/>
    <w:rsid w:val="3F95482B"/>
    <w:rsid w:val="3FF96BAB"/>
    <w:rsid w:val="4019356B"/>
    <w:rsid w:val="40592157"/>
    <w:rsid w:val="406E1CAE"/>
    <w:rsid w:val="4070745F"/>
    <w:rsid w:val="40A0133A"/>
    <w:rsid w:val="40C31A53"/>
    <w:rsid w:val="40E11F21"/>
    <w:rsid w:val="40FF545D"/>
    <w:rsid w:val="410067C8"/>
    <w:rsid w:val="415820EB"/>
    <w:rsid w:val="418F0D2A"/>
    <w:rsid w:val="41D01505"/>
    <w:rsid w:val="42474939"/>
    <w:rsid w:val="424C3C57"/>
    <w:rsid w:val="42613FF3"/>
    <w:rsid w:val="42660D96"/>
    <w:rsid w:val="428667D2"/>
    <w:rsid w:val="42CD1CE0"/>
    <w:rsid w:val="42E1381E"/>
    <w:rsid w:val="42ED6459"/>
    <w:rsid w:val="42FE58DD"/>
    <w:rsid w:val="430B55FB"/>
    <w:rsid w:val="43174B3D"/>
    <w:rsid w:val="434B790E"/>
    <w:rsid w:val="4360274F"/>
    <w:rsid w:val="436A4639"/>
    <w:rsid w:val="43813731"/>
    <w:rsid w:val="43977AB6"/>
    <w:rsid w:val="43A3342B"/>
    <w:rsid w:val="43C419FB"/>
    <w:rsid w:val="43C77C27"/>
    <w:rsid w:val="43D11130"/>
    <w:rsid w:val="43DE09EE"/>
    <w:rsid w:val="43EB2820"/>
    <w:rsid w:val="44002FAD"/>
    <w:rsid w:val="449101DD"/>
    <w:rsid w:val="44B26298"/>
    <w:rsid w:val="44DE1391"/>
    <w:rsid w:val="451B225C"/>
    <w:rsid w:val="452410C9"/>
    <w:rsid w:val="45317DFB"/>
    <w:rsid w:val="45401AF6"/>
    <w:rsid w:val="456D3CE4"/>
    <w:rsid w:val="4579042C"/>
    <w:rsid w:val="457F0571"/>
    <w:rsid w:val="45851176"/>
    <w:rsid w:val="45C63B94"/>
    <w:rsid w:val="45F5287C"/>
    <w:rsid w:val="460E7DA5"/>
    <w:rsid w:val="46422483"/>
    <w:rsid w:val="4659254A"/>
    <w:rsid w:val="465B0637"/>
    <w:rsid w:val="465E3F0D"/>
    <w:rsid w:val="466A16E6"/>
    <w:rsid w:val="46821C9A"/>
    <w:rsid w:val="46893F2B"/>
    <w:rsid w:val="46C4686E"/>
    <w:rsid w:val="477B778F"/>
    <w:rsid w:val="478203EC"/>
    <w:rsid w:val="479A0DB3"/>
    <w:rsid w:val="47B025FA"/>
    <w:rsid w:val="47F97AC9"/>
    <w:rsid w:val="4809698F"/>
    <w:rsid w:val="4811697D"/>
    <w:rsid w:val="487A3E25"/>
    <w:rsid w:val="488B5503"/>
    <w:rsid w:val="48937E21"/>
    <w:rsid w:val="489A0361"/>
    <w:rsid w:val="489D0201"/>
    <w:rsid w:val="48B94FF3"/>
    <w:rsid w:val="48E37AAB"/>
    <w:rsid w:val="48FD4B4C"/>
    <w:rsid w:val="490A68E0"/>
    <w:rsid w:val="491055FE"/>
    <w:rsid w:val="49246C51"/>
    <w:rsid w:val="495F5B3E"/>
    <w:rsid w:val="496F77D7"/>
    <w:rsid w:val="497654FD"/>
    <w:rsid w:val="49B64211"/>
    <w:rsid w:val="49E56AF9"/>
    <w:rsid w:val="49F6167F"/>
    <w:rsid w:val="4A064FA0"/>
    <w:rsid w:val="4A16615C"/>
    <w:rsid w:val="4A4424D7"/>
    <w:rsid w:val="4A5412BD"/>
    <w:rsid w:val="4AB82D0F"/>
    <w:rsid w:val="4AEB7664"/>
    <w:rsid w:val="4AF749AF"/>
    <w:rsid w:val="4AFD7C19"/>
    <w:rsid w:val="4B0567D1"/>
    <w:rsid w:val="4B236AAE"/>
    <w:rsid w:val="4B61087C"/>
    <w:rsid w:val="4B707271"/>
    <w:rsid w:val="4B8C4439"/>
    <w:rsid w:val="4B9739F7"/>
    <w:rsid w:val="4BEE2503"/>
    <w:rsid w:val="4BF0032F"/>
    <w:rsid w:val="4C245A30"/>
    <w:rsid w:val="4C3E72B8"/>
    <w:rsid w:val="4C72455F"/>
    <w:rsid w:val="4CA5673B"/>
    <w:rsid w:val="4CB1343A"/>
    <w:rsid w:val="4CB6685F"/>
    <w:rsid w:val="4CC367FE"/>
    <w:rsid w:val="4D077F3C"/>
    <w:rsid w:val="4D0C050F"/>
    <w:rsid w:val="4D123355"/>
    <w:rsid w:val="4D2A3B31"/>
    <w:rsid w:val="4D312C52"/>
    <w:rsid w:val="4D905305"/>
    <w:rsid w:val="4D964A72"/>
    <w:rsid w:val="4D9C1254"/>
    <w:rsid w:val="4DA277DD"/>
    <w:rsid w:val="4DD06B99"/>
    <w:rsid w:val="4E6D2B55"/>
    <w:rsid w:val="4E793892"/>
    <w:rsid w:val="4E800872"/>
    <w:rsid w:val="4EC569ED"/>
    <w:rsid w:val="4ED50EA1"/>
    <w:rsid w:val="4EEC050C"/>
    <w:rsid w:val="4F104EC3"/>
    <w:rsid w:val="4F3509EB"/>
    <w:rsid w:val="4F47354A"/>
    <w:rsid w:val="4F534698"/>
    <w:rsid w:val="4F856340"/>
    <w:rsid w:val="4F911C54"/>
    <w:rsid w:val="4FE625E0"/>
    <w:rsid w:val="5021480F"/>
    <w:rsid w:val="50962ECB"/>
    <w:rsid w:val="50A42E38"/>
    <w:rsid w:val="50A4577F"/>
    <w:rsid w:val="50B73D1F"/>
    <w:rsid w:val="50BD5BC9"/>
    <w:rsid w:val="50C11EEE"/>
    <w:rsid w:val="50D0737A"/>
    <w:rsid w:val="50E97CFC"/>
    <w:rsid w:val="50FA4028"/>
    <w:rsid w:val="510D65B7"/>
    <w:rsid w:val="511157AB"/>
    <w:rsid w:val="5142540C"/>
    <w:rsid w:val="51583D23"/>
    <w:rsid w:val="518832C8"/>
    <w:rsid w:val="519D3C50"/>
    <w:rsid w:val="51A0432A"/>
    <w:rsid w:val="51A86090"/>
    <w:rsid w:val="51B7396D"/>
    <w:rsid w:val="51BA020E"/>
    <w:rsid w:val="51DC4954"/>
    <w:rsid w:val="51DD247A"/>
    <w:rsid w:val="522E4CC3"/>
    <w:rsid w:val="5244713B"/>
    <w:rsid w:val="52615633"/>
    <w:rsid w:val="526F4DE4"/>
    <w:rsid w:val="52977FD4"/>
    <w:rsid w:val="52A25790"/>
    <w:rsid w:val="52A96B6F"/>
    <w:rsid w:val="52B45975"/>
    <w:rsid w:val="52CF270B"/>
    <w:rsid w:val="52D94AA4"/>
    <w:rsid w:val="52EA3A62"/>
    <w:rsid w:val="52F50BB8"/>
    <w:rsid w:val="53097272"/>
    <w:rsid w:val="53544462"/>
    <w:rsid w:val="5354676C"/>
    <w:rsid w:val="5397158E"/>
    <w:rsid w:val="53DC0CED"/>
    <w:rsid w:val="54013861"/>
    <w:rsid w:val="54487265"/>
    <w:rsid w:val="544D6070"/>
    <w:rsid w:val="54605E1E"/>
    <w:rsid w:val="54634273"/>
    <w:rsid w:val="5473551E"/>
    <w:rsid w:val="549008AD"/>
    <w:rsid w:val="54996B2C"/>
    <w:rsid w:val="54B3506A"/>
    <w:rsid w:val="54CA0D16"/>
    <w:rsid w:val="54DD4057"/>
    <w:rsid w:val="54E7490F"/>
    <w:rsid w:val="550764A4"/>
    <w:rsid w:val="550B2BF6"/>
    <w:rsid w:val="55214EB5"/>
    <w:rsid w:val="55364EFD"/>
    <w:rsid w:val="555D4828"/>
    <w:rsid w:val="557A4C8B"/>
    <w:rsid w:val="558931E1"/>
    <w:rsid w:val="55923347"/>
    <w:rsid w:val="55925180"/>
    <w:rsid w:val="55983B1B"/>
    <w:rsid w:val="55A8376B"/>
    <w:rsid w:val="55DC29B6"/>
    <w:rsid w:val="55DD4241"/>
    <w:rsid w:val="562E70CC"/>
    <w:rsid w:val="566B6D1E"/>
    <w:rsid w:val="57032A2C"/>
    <w:rsid w:val="570F5219"/>
    <w:rsid w:val="57157607"/>
    <w:rsid w:val="57454E17"/>
    <w:rsid w:val="575D12B5"/>
    <w:rsid w:val="57610A87"/>
    <w:rsid w:val="57715B3F"/>
    <w:rsid w:val="577B1140"/>
    <w:rsid w:val="577B7F21"/>
    <w:rsid w:val="577F181B"/>
    <w:rsid w:val="57921984"/>
    <w:rsid w:val="579737F0"/>
    <w:rsid w:val="57AB7B30"/>
    <w:rsid w:val="57AF5251"/>
    <w:rsid w:val="57B26373"/>
    <w:rsid w:val="57B63F04"/>
    <w:rsid w:val="57CD20C2"/>
    <w:rsid w:val="57D675AB"/>
    <w:rsid w:val="57D95FDD"/>
    <w:rsid w:val="57F1209E"/>
    <w:rsid w:val="5804270C"/>
    <w:rsid w:val="58917D2F"/>
    <w:rsid w:val="5894085C"/>
    <w:rsid w:val="58AE4F0C"/>
    <w:rsid w:val="58B85899"/>
    <w:rsid w:val="58E363A9"/>
    <w:rsid w:val="591A5F3D"/>
    <w:rsid w:val="595E1678"/>
    <w:rsid w:val="596D5BD4"/>
    <w:rsid w:val="597E3DD8"/>
    <w:rsid w:val="59B368E2"/>
    <w:rsid w:val="59F12F67"/>
    <w:rsid w:val="59F80043"/>
    <w:rsid w:val="5A0200B9"/>
    <w:rsid w:val="5A09252F"/>
    <w:rsid w:val="5A0B2778"/>
    <w:rsid w:val="5A2A7C7B"/>
    <w:rsid w:val="5A3E2560"/>
    <w:rsid w:val="5A5D3B6E"/>
    <w:rsid w:val="5A637A76"/>
    <w:rsid w:val="5A6D33BA"/>
    <w:rsid w:val="5A792B1F"/>
    <w:rsid w:val="5A874767"/>
    <w:rsid w:val="5AA85BE2"/>
    <w:rsid w:val="5AAD6F28"/>
    <w:rsid w:val="5AD63A24"/>
    <w:rsid w:val="5B2E1A1D"/>
    <w:rsid w:val="5B843A1C"/>
    <w:rsid w:val="5B873E3F"/>
    <w:rsid w:val="5C02690E"/>
    <w:rsid w:val="5C1703A7"/>
    <w:rsid w:val="5C196DA7"/>
    <w:rsid w:val="5C2A048C"/>
    <w:rsid w:val="5C620C4D"/>
    <w:rsid w:val="5C7B3922"/>
    <w:rsid w:val="5C80234E"/>
    <w:rsid w:val="5C8A680C"/>
    <w:rsid w:val="5CA70254"/>
    <w:rsid w:val="5CFE5C20"/>
    <w:rsid w:val="5D0C4701"/>
    <w:rsid w:val="5D0F0395"/>
    <w:rsid w:val="5D221076"/>
    <w:rsid w:val="5D397964"/>
    <w:rsid w:val="5D5A391C"/>
    <w:rsid w:val="5D5F10C0"/>
    <w:rsid w:val="5D891B7B"/>
    <w:rsid w:val="5DAD38EE"/>
    <w:rsid w:val="5DC010E3"/>
    <w:rsid w:val="5DD2206D"/>
    <w:rsid w:val="5E006862"/>
    <w:rsid w:val="5E0207B9"/>
    <w:rsid w:val="5E1834A1"/>
    <w:rsid w:val="5E261785"/>
    <w:rsid w:val="5E4A7017"/>
    <w:rsid w:val="5E552BBA"/>
    <w:rsid w:val="5E5D0BCB"/>
    <w:rsid w:val="5E611C10"/>
    <w:rsid w:val="5E7A0F3F"/>
    <w:rsid w:val="5E8167DF"/>
    <w:rsid w:val="5E8C325E"/>
    <w:rsid w:val="5EFC7377"/>
    <w:rsid w:val="5F06174D"/>
    <w:rsid w:val="5F3A3602"/>
    <w:rsid w:val="5F45733B"/>
    <w:rsid w:val="5F6277C6"/>
    <w:rsid w:val="5F6D0B1D"/>
    <w:rsid w:val="5F8261C8"/>
    <w:rsid w:val="5F8D0B82"/>
    <w:rsid w:val="5FCC5339"/>
    <w:rsid w:val="5FE34A5B"/>
    <w:rsid w:val="5FFE1E36"/>
    <w:rsid w:val="60232584"/>
    <w:rsid w:val="607330CE"/>
    <w:rsid w:val="60825176"/>
    <w:rsid w:val="609F2AC4"/>
    <w:rsid w:val="60C70EC5"/>
    <w:rsid w:val="60FA2EE8"/>
    <w:rsid w:val="61054A27"/>
    <w:rsid w:val="610A52BC"/>
    <w:rsid w:val="61186D8B"/>
    <w:rsid w:val="611D2366"/>
    <w:rsid w:val="611F485D"/>
    <w:rsid w:val="61421856"/>
    <w:rsid w:val="6144655B"/>
    <w:rsid w:val="615227C4"/>
    <w:rsid w:val="61654E3F"/>
    <w:rsid w:val="6182292A"/>
    <w:rsid w:val="619F7F92"/>
    <w:rsid w:val="61F94C26"/>
    <w:rsid w:val="62000E56"/>
    <w:rsid w:val="624F3E49"/>
    <w:rsid w:val="62632286"/>
    <w:rsid w:val="62885958"/>
    <w:rsid w:val="62C76023"/>
    <w:rsid w:val="62F40B65"/>
    <w:rsid w:val="62FC2CFE"/>
    <w:rsid w:val="63024505"/>
    <w:rsid w:val="635600A5"/>
    <w:rsid w:val="635B1DB5"/>
    <w:rsid w:val="636B2239"/>
    <w:rsid w:val="63711FED"/>
    <w:rsid w:val="63880DDC"/>
    <w:rsid w:val="638D750D"/>
    <w:rsid w:val="63AC6CC0"/>
    <w:rsid w:val="63CB65D6"/>
    <w:rsid w:val="63EB0A27"/>
    <w:rsid w:val="64055776"/>
    <w:rsid w:val="64240056"/>
    <w:rsid w:val="643E143A"/>
    <w:rsid w:val="64491666"/>
    <w:rsid w:val="648B6EEF"/>
    <w:rsid w:val="64C158BF"/>
    <w:rsid w:val="64CE2EAA"/>
    <w:rsid w:val="64D61014"/>
    <w:rsid w:val="653C3090"/>
    <w:rsid w:val="65854376"/>
    <w:rsid w:val="658767BE"/>
    <w:rsid w:val="65892531"/>
    <w:rsid w:val="65B3649A"/>
    <w:rsid w:val="65D425B6"/>
    <w:rsid w:val="65F71905"/>
    <w:rsid w:val="66195831"/>
    <w:rsid w:val="662E75B1"/>
    <w:rsid w:val="66342C2E"/>
    <w:rsid w:val="663E784C"/>
    <w:rsid w:val="668B6A45"/>
    <w:rsid w:val="67011F07"/>
    <w:rsid w:val="672F3F24"/>
    <w:rsid w:val="67390E0D"/>
    <w:rsid w:val="673E055F"/>
    <w:rsid w:val="67551CE3"/>
    <w:rsid w:val="67A22552"/>
    <w:rsid w:val="67B22DCC"/>
    <w:rsid w:val="67BE71AA"/>
    <w:rsid w:val="67D90273"/>
    <w:rsid w:val="67DE5875"/>
    <w:rsid w:val="67E55852"/>
    <w:rsid w:val="67EB1AB4"/>
    <w:rsid w:val="67F43B0A"/>
    <w:rsid w:val="67FA1285"/>
    <w:rsid w:val="681D3FA7"/>
    <w:rsid w:val="68551F4F"/>
    <w:rsid w:val="687C10C9"/>
    <w:rsid w:val="68840C16"/>
    <w:rsid w:val="68872541"/>
    <w:rsid w:val="68876EFB"/>
    <w:rsid w:val="68884654"/>
    <w:rsid w:val="689F444F"/>
    <w:rsid w:val="68B65AA7"/>
    <w:rsid w:val="68B96DBB"/>
    <w:rsid w:val="68CA2805"/>
    <w:rsid w:val="68E937A3"/>
    <w:rsid w:val="69051896"/>
    <w:rsid w:val="691664E5"/>
    <w:rsid w:val="6923737E"/>
    <w:rsid w:val="693E15D3"/>
    <w:rsid w:val="69627681"/>
    <w:rsid w:val="6977531D"/>
    <w:rsid w:val="69AF0D22"/>
    <w:rsid w:val="69CC2BFF"/>
    <w:rsid w:val="69FD55B8"/>
    <w:rsid w:val="6A0B1C62"/>
    <w:rsid w:val="6A2406C8"/>
    <w:rsid w:val="6A8120E5"/>
    <w:rsid w:val="6AC33DB7"/>
    <w:rsid w:val="6AD83814"/>
    <w:rsid w:val="6ADE0BD1"/>
    <w:rsid w:val="6AE96859"/>
    <w:rsid w:val="6AEE0C15"/>
    <w:rsid w:val="6AF61B39"/>
    <w:rsid w:val="6B147746"/>
    <w:rsid w:val="6B24787C"/>
    <w:rsid w:val="6B486135"/>
    <w:rsid w:val="6B573233"/>
    <w:rsid w:val="6B5B6274"/>
    <w:rsid w:val="6B7E5E0A"/>
    <w:rsid w:val="6B935D53"/>
    <w:rsid w:val="6BFD1DE1"/>
    <w:rsid w:val="6C196F71"/>
    <w:rsid w:val="6C1F4726"/>
    <w:rsid w:val="6C226FCB"/>
    <w:rsid w:val="6C31226F"/>
    <w:rsid w:val="6C552F0B"/>
    <w:rsid w:val="6C8C67B7"/>
    <w:rsid w:val="6C9D744C"/>
    <w:rsid w:val="6CCE7137"/>
    <w:rsid w:val="6CE222B5"/>
    <w:rsid w:val="6D167928"/>
    <w:rsid w:val="6D26299B"/>
    <w:rsid w:val="6D4772EC"/>
    <w:rsid w:val="6D820FDE"/>
    <w:rsid w:val="6D9078AF"/>
    <w:rsid w:val="6D940381"/>
    <w:rsid w:val="6DA1222C"/>
    <w:rsid w:val="6DAA3FEF"/>
    <w:rsid w:val="6DC0172B"/>
    <w:rsid w:val="6DCB690C"/>
    <w:rsid w:val="6DD41A5B"/>
    <w:rsid w:val="6DF43C2E"/>
    <w:rsid w:val="6DF51CA3"/>
    <w:rsid w:val="6E5766D1"/>
    <w:rsid w:val="6E8335BD"/>
    <w:rsid w:val="6E8E12EF"/>
    <w:rsid w:val="6E972936"/>
    <w:rsid w:val="6EA22C9D"/>
    <w:rsid w:val="6ED446C5"/>
    <w:rsid w:val="6EF773B9"/>
    <w:rsid w:val="6F2A7D94"/>
    <w:rsid w:val="6F5653D4"/>
    <w:rsid w:val="6F8331F1"/>
    <w:rsid w:val="6FAE1A09"/>
    <w:rsid w:val="6FD75BF8"/>
    <w:rsid w:val="6FF61A33"/>
    <w:rsid w:val="6FFB5DE2"/>
    <w:rsid w:val="704B4683"/>
    <w:rsid w:val="70576D06"/>
    <w:rsid w:val="707723D0"/>
    <w:rsid w:val="70F5661B"/>
    <w:rsid w:val="71360107"/>
    <w:rsid w:val="713B688E"/>
    <w:rsid w:val="714F4CF1"/>
    <w:rsid w:val="715C2AFE"/>
    <w:rsid w:val="71D43752"/>
    <w:rsid w:val="71DD11C4"/>
    <w:rsid w:val="71F1796A"/>
    <w:rsid w:val="71F31B1A"/>
    <w:rsid w:val="72154626"/>
    <w:rsid w:val="721B720C"/>
    <w:rsid w:val="72262B5D"/>
    <w:rsid w:val="72283FF7"/>
    <w:rsid w:val="722E7212"/>
    <w:rsid w:val="723A0474"/>
    <w:rsid w:val="725923E4"/>
    <w:rsid w:val="72864BF7"/>
    <w:rsid w:val="729023FC"/>
    <w:rsid w:val="73810874"/>
    <w:rsid w:val="73C0182D"/>
    <w:rsid w:val="73C0646E"/>
    <w:rsid w:val="73FB0445"/>
    <w:rsid w:val="742222F5"/>
    <w:rsid w:val="74476126"/>
    <w:rsid w:val="746229A3"/>
    <w:rsid w:val="74706664"/>
    <w:rsid w:val="747824B9"/>
    <w:rsid w:val="747C351C"/>
    <w:rsid w:val="747F3682"/>
    <w:rsid w:val="749C4185"/>
    <w:rsid w:val="74A40EAA"/>
    <w:rsid w:val="74C036DE"/>
    <w:rsid w:val="750236F7"/>
    <w:rsid w:val="75067759"/>
    <w:rsid w:val="751E7EE5"/>
    <w:rsid w:val="752E6DCD"/>
    <w:rsid w:val="754730F9"/>
    <w:rsid w:val="7551380D"/>
    <w:rsid w:val="75600BE5"/>
    <w:rsid w:val="7564475C"/>
    <w:rsid w:val="7583797F"/>
    <w:rsid w:val="759C09B9"/>
    <w:rsid w:val="75C64E50"/>
    <w:rsid w:val="75D20F1D"/>
    <w:rsid w:val="75DA2C18"/>
    <w:rsid w:val="75F54412"/>
    <w:rsid w:val="761D08E0"/>
    <w:rsid w:val="765D347C"/>
    <w:rsid w:val="76826699"/>
    <w:rsid w:val="768F5B89"/>
    <w:rsid w:val="76C87133"/>
    <w:rsid w:val="76CD08D5"/>
    <w:rsid w:val="76DB4B92"/>
    <w:rsid w:val="76FD013A"/>
    <w:rsid w:val="77052AA4"/>
    <w:rsid w:val="77136511"/>
    <w:rsid w:val="77340A39"/>
    <w:rsid w:val="77351FD0"/>
    <w:rsid w:val="77472422"/>
    <w:rsid w:val="777F31F2"/>
    <w:rsid w:val="77924665"/>
    <w:rsid w:val="77D070AC"/>
    <w:rsid w:val="77D1700D"/>
    <w:rsid w:val="77EC04CC"/>
    <w:rsid w:val="77FC2DAB"/>
    <w:rsid w:val="78775729"/>
    <w:rsid w:val="78A42DB0"/>
    <w:rsid w:val="78A656AB"/>
    <w:rsid w:val="78B2245C"/>
    <w:rsid w:val="78E172CC"/>
    <w:rsid w:val="78EA1D1F"/>
    <w:rsid w:val="7904172F"/>
    <w:rsid w:val="790F7E27"/>
    <w:rsid w:val="792A231A"/>
    <w:rsid w:val="79316829"/>
    <w:rsid w:val="797E66A9"/>
    <w:rsid w:val="798518A4"/>
    <w:rsid w:val="799E43E2"/>
    <w:rsid w:val="79A67472"/>
    <w:rsid w:val="79A97383"/>
    <w:rsid w:val="79C842E0"/>
    <w:rsid w:val="79E27E8B"/>
    <w:rsid w:val="79F850CE"/>
    <w:rsid w:val="79FD443C"/>
    <w:rsid w:val="7A13741D"/>
    <w:rsid w:val="7A1D1975"/>
    <w:rsid w:val="7A3E5150"/>
    <w:rsid w:val="7A4670D6"/>
    <w:rsid w:val="7A534B63"/>
    <w:rsid w:val="7A615382"/>
    <w:rsid w:val="7A67303B"/>
    <w:rsid w:val="7AAB1D04"/>
    <w:rsid w:val="7ABA4368"/>
    <w:rsid w:val="7AD05746"/>
    <w:rsid w:val="7B1932BB"/>
    <w:rsid w:val="7B257FFD"/>
    <w:rsid w:val="7B273D20"/>
    <w:rsid w:val="7B343476"/>
    <w:rsid w:val="7B48416D"/>
    <w:rsid w:val="7B5A2978"/>
    <w:rsid w:val="7B5A7E4C"/>
    <w:rsid w:val="7B667AF9"/>
    <w:rsid w:val="7B7468F8"/>
    <w:rsid w:val="7BB32771"/>
    <w:rsid w:val="7BEE0103"/>
    <w:rsid w:val="7C0A0FE4"/>
    <w:rsid w:val="7C254906"/>
    <w:rsid w:val="7C3A20F4"/>
    <w:rsid w:val="7C4D62CB"/>
    <w:rsid w:val="7C590818"/>
    <w:rsid w:val="7C7C10F6"/>
    <w:rsid w:val="7C853BEA"/>
    <w:rsid w:val="7C881368"/>
    <w:rsid w:val="7C882A27"/>
    <w:rsid w:val="7CE27788"/>
    <w:rsid w:val="7CFB3C80"/>
    <w:rsid w:val="7D0C32F1"/>
    <w:rsid w:val="7D0F408D"/>
    <w:rsid w:val="7D2B161E"/>
    <w:rsid w:val="7D491C6C"/>
    <w:rsid w:val="7D5429C0"/>
    <w:rsid w:val="7D580A83"/>
    <w:rsid w:val="7D6E6D43"/>
    <w:rsid w:val="7D71642A"/>
    <w:rsid w:val="7DB57A34"/>
    <w:rsid w:val="7DE60973"/>
    <w:rsid w:val="7DEF0916"/>
    <w:rsid w:val="7E1E5218"/>
    <w:rsid w:val="7E9A4E1F"/>
    <w:rsid w:val="7EA7723A"/>
    <w:rsid w:val="7EDB5E10"/>
    <w:rsid w:val="7EF56FBB"/>
    <w:rsid w:val="7EF96CF3"/>
    <w:rsid w:val="7F0768EB"/>
    <w:rsid w:val="7F143BEC"/>
    <w:rsid w:val="7F547970"/>
    <w:rsid w:val="7F715AF2"/>
    <w:rsid w:val="7F886E69"/>
    <w:rsid w:val="7FB90F14"/>
    <w:rsid w:val="BB7FA927"/>
    <w:rsid w:val="F5FFD3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qFormat="1" w:unhideWhenUsed="0" w:uiPriority="0" w:semiHidden="0" w:name="List Bullet 2"/>
    <w:lsdException w:qFormat="1" w:uiPriority="0" w:semiHidden="0" w:name="List Bullet 3"/>
    <w:lsdException w:qFormat="1" w:uiPriority="99" w:semiHidden="0" w:name="List Bullet 4"/>
    <w:lsdException w:unhideWhenUsed="0" w:uiPriority="0" w:semiHidden="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nhideWhenUsed="0" w:uiPriority="0" w:semiHidden="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qFormat="1" w:unhideWhenUsed="0" w:uiPriority="0" w:semiHidden="0" w:name="HTML Address"/>
    <w:lsdException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qFormat="1" w:unhideWhenUsed="0" w:uiPriority="0" w:semiHidden="0" w:name="Table Grid 5"/>
    <w:lsdException w:uiPriority="99" w:name="Table Grid 6"/>
    <w:lsdException w:uiPriority="99" w:name="Table Grid 7"/>
    <w:lsdException w:qFormat="1" w:unhideWhenUsed="0" w:uiPriority="0" w:semiHidden="0"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qFormat="1" w:unhideWhenUsed="0" w:uiPriority="0" w:semiHidden="0" w:name="Table Elegant"/>
    <w:lsdException w:qFormat="1" w:unhideWhenUsed="0" w:uiPriority="0" w:semiHidden="0"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81"/>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4">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5">
    <w:name w:val="heading 3"/>
    <w:basedOn w:val="1"/>
    <w:next w:val="2"/>
    <w:qFormat/>
    <w:uiPriority w:val="0"/>
    <w:pPr>
      <w:keepNext/>
      <w:keepLines/>
      <w:tabs>
        <w:tab w:val="left" w:pos="900"/>
      </w:tabs>
      <w:spacing w:before="260" w:after="260" w:line="416" w:lineRule="auto"/>
      <w:ind w:left="900" w:hanging="720"/>
      <w:outlineLvl w:val="2"/>
    </w:pPr>
    <w:rPr>
      <w:b/>
      <w:bCs/>
      <w:sz w:val="32"/>
      <w:szCs w:val="32"/>
    </w:rPr>
  </w:style>
  <w:style w:type="paragraph" w:styleId="6">
    <w:name w:val="heading 4"/>
    <w:basedOn w:val="1"/>
    <w:next w:val="1"/>
    <w:link w:val="325"/>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7">
    <w:name w:val="heading 5"/>
    <w:basedOn w:val="1"/>
    <w:next w:val="1"/>
    <w:link w:val="291"/>
    <w:qFormat/>
    <w:uiPriority w:val="0"/>
    <w:pPr>
      <w:keepNext/>
      <w:keepLines/>
      <w:tabs>
        <w:tab w:val="left" w:pos="1008"/>
      </w:tabs>
      <w:spacing w:before="280" w:after="290" w:line="376" w:lineRule="auto"/>
      <w:ind w:left="1008" w:hanging="1008"/>
      <w:outlineLvl w:val="4"/>
    </w:pPr>
    <w:rPr>
      <w:b/>
      <w:bCs/>
      <w:sz w:val="28"/>
      <w:szCs w:val="28"/>
    </w:rPr>
  </w:style>
  <w:style w:type="paragraph" w:styleId="8">
    <w:name w:val="heading 6"/>
    <w:basedOn w:val="1"/>
    <w:next w:val="1"/>
    <w:link w:val="145"/>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9">
    <w:name w:val="heading 7"/>
    <w:basedOn w:val="1"/>
    <w:next w:val="1"/>
    <w:link w:val="305"/>
    <w:qFormat/>
    <w:uiPriority w:val="0"/>
    <w:pPr>
      <w:keepNext/>
      <w:keepLines/>
      <w:tabs>
        <w:tab w:val="left" w:pos="1296"/>
      </w:tabs>
      <w:spacing w:before="240" w:after="64" w:line="320" w:lineRule="auto"/>
      <w:ind w:left="1296" w:hanging="1296"/>
      <w:outlineLvl w:val="6"/>
    </w:pPr>
    <w:rPr>
      <w:b/>
      <w:bCs/>
      <w:sz w:val="24"/>
    </w:rPr>
  </w:style>
  <w:style w:type="paragraph" w:styleId="10">
    <w:name w:val="heading 8"/>
    <w:basedOn w:val="1"/>
    <w:next w:val="1"/>
    <w:link w:val="356"/>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1">
    <w:name w:val="heading 9"/>
    <w:basedOn w:val="1"/>
    <w:next w:val="1"/>
    <w:link w:val="180"/>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2">
    <w:name w:val="Normal Indent"/>
    <w:basedOn w:val="1"/>
    <w:next w:val="1"/>
    <w:link w:val="191"/>
    <w:qFormat/>
    <w:uiPriority w:val="0"/>
    <w:pPr>
      <w:widowControl/>
      <w:snapToGrid w:val="0"/>
      <w:spacing w:line="480" w:lineRule="exact"/>
      <w:ind w:firstLine="567"/>
    </w:pPr>
    <w:rPr>
      <w:rFonts w:ascii="宋体"/>
      <w:snapToGrid w:val="0"/>
      <w:color w:val="000000"/>
      <w:kern w:val="28"/>
      <w:sz w:val="28"/>
      <w:szCs w:val="20"/>
    </w:rPr>
  </w:style>
  <w:style w:type="paragraph" w:styleId="12">
    <w:name w:val="toc 7"/>
    <w:basedOn w:val="1"/>
    <w:next w:val="1"/>
    <w:qFormat/>
    <w:uiPriority w:val="0"/>
    <w:pPr>
      <w:ind w:left="2520" w:leftChars="1200"/>
    </w:pPr>
  </w:style>
  <w:style w:type="paragraph" w:styleId="13">
    <w:name w:val="List Number 2"/>
    <w:basedOn w:val="1"/>
    <w:qFormat/>
    <w:uiPriority w:val="0"/>
    <w:pPr>
      <w:widowControl/>
      <w:tabs>
        <w:tab w:val="left" w:pos="1697"/>
      </w:tabs>
      <w:adjustRightInd/>
      <w:spacing w:after="156" w:afterLines="50"/>
      <w:ind w:left="1697" w:hanging="420"/>
      <w:jc w:val="left"/>
    </w:pPr>
    <w:rPr>
      <w:kern w:val="0"/>
      <w:sz w:val="24"/>
      <w:szCs w:val="20"/>
    </w:rPr>
  </w:style>
  <w:style w:type="paragraph" w:styleId="14">
    <w:name w:val="List Bullet 4"/>
    <w:basedOn w:val="1"/>
    <w:unhideWhenUsed/>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5">
    <w:name w:val="index 8"/>
    <w:basedOn w:val="1"/>
    <w:next w:val="1"/>
    <w:qFormat/>
    <w:uiPriority w:val="0"/>
    <w:pPr>
      <w:ind w:left="2940"/>
    </w:pPr>
    <w:rPr>
      <w:rFonts w:ascii="Book Antiqua" w:hAnsi="Book Antiqua" w:cs="Book Antiqua"/>
    </w:rPr>
  </w:style>
  <w:style w:type="paragraph" w:styleId="16">
    <w:name w:val="List Number"/>
    <w:basedOn w:val="1"/>
    <w:qFormat/>
    <w:uiPriority w:val="0"/>
    <w:pPr>
      <w:widowControl/>
      <w:tabs>
        <w:tab w:val="left" w:pos="390"/>
        <w:tab w:val="left" w:pos="454"/>
      </w:tabs>
      <w:adjustRightInd/>
      <w:spacing w:after="156" w:afterLines="50"/>
      <w:ind w:left="454" w:hanging="284"/>
      <w:jc w:val="left"/>
    </w:pPr>
    <w:rPr>
      <w:kern w:val="0"/>
      <w:sz w:val="24"/>
      <w:szCs w:val="20"/>
    </w:rPr>
  </w:style>
  <w:style w:type="paragraph" w:styleId="17">
    <w:name w:val="caption"/>
    <w:basedOn w:val="1"/>
    <w:next w:val="1"/>
    <w:link w:val="227"/>
    <w:qFormat/>
    <w:uiPriority w:val="0"/>
    <w:rPr>
      <w:b/>
      <w:sz w:val="28"/>
      <w:szCs w:val="20"/>
    </w:rPr>
  </w:style>
  <w:style w:type="paragraph" w:styleId="18">
    <w:name w:val="index 5"/>
    <w:basedOn w:val="1"/>
    <w:next w:val="1"/>
    <w:qFormat/>
    <w:uiPriority w:val="0"/>
    <w:pPr>
      <w:adjustRightInd/>
      <w:ind w:left="800" w:leftChars="800" w:firstLine="200" w:firstLineChars="200"/>
    </w:pPr>
  </w:style>
  <w:style w:type="paragraph" w:styleId="19">
    <w:name w:val="Document Map"/>
    <w:basedOn w:val="1"/>
    <w:link w:val="200"/>
    <w:qFormat/>
    <w:uiPriority w:val="0"/>
    <w:pPr>
      <w:shd w:val="clear" w:color="auto" w:fill="000080"/>
    </w:pPr>
  </w:style>
  <w:style w:type="paragraph" w:styleId="20">
    <w:name w:val="annotation text"/>
    <w:basedOn w:val="1"/>
    <w:link w:val="342"/>
    <w:qFormat/>
    <w:uiPriority w:val="0"/>
    <w:pPr>
      <w:jc w:val="left"/>
    </w:pPr>
  </w:style>
  <w:style w:type="paragraph" w:styleId="21">
    <w:name w:val="Salutation"/>
    <w:basedOn w:val="1"/>
    <w:next w:val="1"/>
    <w:link w:val="296"/>
    <w:qFormat/>
    <w:uiPriority w:val="0"/>
    <w:rPr>
      <w:rFonts w:ascii="仿宋_GB2312" w:eastAsia="仿宋_GB2312"/>
      <w:sz w:val="28"/>
      <w:szCs w:val="20"/>
    </w:rPr>
  </w:style>
  <w:style w:type="paragraph" w:styleId="22">
    <w:name w:val="Body Text 3"/>
    <w:basedOn w:val="1"/>
    <w:link w:val="328"/>
    <w:qFormat/>
    <w:uiPriority w:val="0"/>
    <w:pPr>
      <w:jc w:val="center"/>
    </w:pPr>
    <w:rPr>
      <w:szCs w:val="20"/>
    </w:rPr>
  </w:style>
  <w:style w:type="paragraph" w:styleId="23">
    <w:name w:val="List Bullet 3"/>
    <w:basedOn w:val="1"/>
    <w:unhideWhenUsed/>
    <w:qFormat/>
    <w:uiPriority w:val="0"/>
    <w:pPr>
      <w:snapToGrid w:val="0"/>
      <w:spacing w:line="360" w:lineRule="auto"/>
      <w:ind w:left="360" w:right="238" w:hanging="360"/>
      <w:contextualSpacing/>
    </w:pPr>
    <w:rPr>
      <w:sz w:val="24"/>
    </w:rPr>
  </w:style>
  <w:style w:type="paragraph" w:styleId="24">
    <w:name w:val="Body Text"/>
    <w:basedOn w:val="1"/>
    <w:next w:val="25"/>
    <w:link w:val="428"/>
    <w:qFormat/>
    <w:uiPriority w:val="0"/>
    <w:pPr>
      <w:autoSpaceDE w:val="0"/>
      <w:autoSpaceDN w:val="0"/>
      <w:spacing w:line="360" w:lineRule="auto"/>
    </w:pPr>
    <w:rPr>
      <w:rFonts w:ascii="宋体" w:hAnsi="Arial" w:cs="Arial"/>
      <w:snapToGrid w:val="0"/>
      <w:sz w:val="24"/>
      <w:szCs w:val="21"/>
      <w:lang w:val="zh-CN"/>
    </w:rPr>
  </w:style>
  <w:style w:type="paragraph" w:styleId="25">
    <w:name w:val="Body Text First Indent 2"/>
    <w:basedOn w:val="1"/>
    <w:link w:val="119"/>
    <w:qFormat/>
    <w:uiPriority w:val="0"/>
    <w:pPr>
      <w:adjustRightInd/>
      <w:spacing w:after="120" w:line="240" w:lineRule="auto"/>
      <w:ind w:left="420" w:leftChars="200" w:firstLine="210"/>
    </w:pPr>
    <w:rPr>
      <w:sz w:val="21"/>
    </w:rPr>
  </w:style>
  <w:style w:type="paragraph" w:styleId="26">
    <w:name w:val="Body Text Indent"/>
    <w:basedOn w:val="1"/>
    <w:link w:val="263"/>
    <w:qFormat/>
    <w:uiPriority w:val="0"/>
    <w:pPr>
      <w:spacing w:line="480" w:lineRule="exact"/>
      <w:ind w:firstLine="480" w:firstLineChars="200"/>
    </w:pPr>
    <w:rPr>
      <w:rFonts w:ascii="宋体" w:hAnsi="宋体"/>
      <w:sz w:val="24"/>
    </w:rPr>
  </w:style>
  <w:style w:type="paragraph" w:styleId="27">
    <w:name w:val="List Number 3"/>
    <w:basedOn w:val="1"/>
    <w:qFormat/>
    <w:uiPriority w:val="0"/>
    <w:pPr>
      <w:widowControl/>
      <w:tabs>
        <w:tab w:val="left" w:pos="360"/>
        <w:tab w:val="left" w:pos="482"/>
      </w:tabs>
      <w:adjustRightInd/>
      <w:spacing w:after="156" w:afterLines="50"/>
      <w:ind w:left="482" w:hanging="340"/>
      <w:jc w:val="left"/>
    </w:pPr>
    <w:rPr>
      <w:kern w:val="0"/>
      <w:sz w:val="24"/>
      <w:szCs w:val="20"/>
    </w:rPr>
  </w:style>
  <w:style w:type="paragraph" w:styleId="28">
    <w:name w:val="List 2"/>
    <w:basedOn w:val="1"/>
    <w:qFormat/>
    <w:uiPriority w:val="0"/>
    <w:pPr>
      <w:adjustRightInd/>
      <w:spacing w:line="360" w:lineRule="auto"/>
      <w:ind w:left="100" w:leftChars="200" w:hanging="200" w:hangingChars="200"/>
    </w:pPr>
    <w:rPr>
      <w:rFonts w:eastAsia="微软雅黑"/>
    </w:rPr>
  </w:style>
  <w:style w:type="paragraph" w:styleId="29">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0">
    <w:name w:val="List Bullet 2"/>
    <w:basedOn w:val="1"/>
    <w:qFormat/>
    <w:uiPriority w:val="0"/>
    <w:pPr>
      <w:autoSpaceDE w:val="0"/>
      <w:autoSpaceDN w:val="0"/>
      <w:ind w:left="420"/>
      <w:jc w:val="left"/>
    </w:pPr>
    <w:rPr>
      <w:rFonts w:ascii="宋体" w:hAnsi="宋体"/>
      <w:color w:val="000000"/>
      <w:kern w:val="0"/>
      <w:sz w:val="24"/>
      <w:szCs w:val="20"/>
    </w:rPr>
  </w:style>
  <w:style w:type="paragraph" w:styleId="31">
    <w:name w:val="HTML Address"/>
    <w:basedOn w:val="1"/>
    <w:link w:val="217"/>
    <w:qFormat/>
    <w:uiPriority w:val="0"/>
    <w:pPr>
      <w:widowControl/>
      <w:adjustRightInd/>
      <w:ind w:firstLine="200" w:firstLineChars="200"/>
      <w:jc w:val="left"/>
    </w:pPr>
    <w:rPr>
      <w:rFonts w:ascii="宋体" w:hAnsi="宋体"/>
      <w:i/>
      <w:iCs/>
      <w:kern w:val="0"/>
      <w:sz w:val="24"/>
    </w:rPr>
  </w:style>
  <w:style w:type="paragraph" w:styleId="32">
    <w:name w:val="toc 5"/>
    <w:basedOn w:val="1"/>
    <w:next w:val="1"/>
    <w:qFormat/>
    <w:uiPriority w:val="0"/>
    <w:pPr>
      <w:ind w:left="1680" w:leftChars="800"/>
    </w:pPr>
  </w:style>
  <w:style w:type="paragraph" w:styleId="33">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4">
    <w:name w:val="Plain Text"/>
    <w:basedOn w:val="1"/>
    <w:link w:val="123"/>
    <w:qFormat/>
    <w:uiPriority w:val="0"/>
    <w:rPr>
      <w:rFonts w:ascii="宋体" w:hAnsi="Courier New" w:cs="Arial"/>
      <w:snapToGrid w:val="0"/>
      <w:szCs w:val="21"/>
    </w:rPr>
  </w:style>
  <w:style w:type="paragraph" w:styleId="35">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6">
    <w:name w:val="toc 8"/>
    <w:basedOn w:val="1"/>
    <w:next w:val="1"/>
    <w:qFormat/>
    <w:uiPriority w:val="0"/>
    <w:pPr>
      <w:ind w:left="2940" w:leftChars="1400"/>
    </w:pPr>
  </w:style>
  <w:style w:type="paragraph" w:styleId="37">
    <w:name w:val="Date"/>
    <w:basedOn w:val="1"/>
    <w:next w:val="1"/>
    <w:link w:val="179"/>
    <w:qFormat/>
    <w:uiPriority w:val="0"/>
    <w:pPr>
      <w:ind w:left="100" w:leftChars="2500"/>
    </w:pPr>
    <w:rPr>
      <w:rFonts w:ascii="宋体"/>
      <w:sz w:val="24"/>
      <w:szCs w:val="21"/>
      <w:lang w:val="zh-CN"/>
    </w:rPr>
  </w:style>
  <w:style w:type="paragraph" w:styleId="38">
    <w:name w:val="Body Text Indent 2"/>
    <w:basedOn w:val="1"/>
    <w:link w:val="306"/>
    <w:qFormat/>
    <w:uiPriority w:val="0"/>
    <w:pPr>
      <w:spacing w:line="360" w:lineRule="auto"/>
      <w:ind w:firstLine="601"/>
      <w:textAlignment w:val="baseline"/>
    </w:pPr>
    <w:rPr>
      <w:rFonts w:ascii="宋体"/>
      <w:kern w:val="0"/>
      <w:sz w:val="28"/>
      <w:szCs w:val="20"/>
    </w:rPr>
  </w:style>
  <w:style w:type="paragraph" w:styleId="39">
    <w:name w:val="endnote text"/>
    <w:basedOn w:val="1"/>
    <w:link w:val="930"/>
    <w:qFormat/>
    <w:uiPriority w:val="0"/>
    <w:rPr>
      <w:lang w:val="zh-CN"/>
    </w:rPr>
  </w:style>
  <w:style w:type="paragraph" w:styleId="40">
    <w:name w:val="Balloon Text"/>
    <w:basedOn w:val="1"/>
    <w:link w:val="186"/>
    <w:qFormat/>
    <w:uiPriority w:val="0"/>
    <w:rPr>
      <w:sz w:val="18"/>
      <w:szCs w:val="18"/>
    </w:rPr>
  </w:style>
  <w:style w:type="paragraph" w:styleId="41">
    <w:name w:val="footer"/>
    <w:basedOn w:val="1"/>
    <w:link w:val="381"/>
    <w:qFormat/>
    <w:uiPriority w:val="99"/>
    <w:pPr>
      <w:tabs>
        <w:tab w:val="center" w:pos="4153"/>
        <w:tab w:val="right" w:pos="8306"/>
      </w:tabs>
      <w:snapToGrid w:val="0"/>
      <w:jc w:val="left"/>
    </w:pPr>
    <w:rPr>
      <w:sz w:val="18"/>
      <w:szCs w:val="18"/>
    </w:rPr>
  </w:style>
  <w:style w:type="paragraph" w:styleId="42">
    <w:name w:val="header"/>
    <w:basedOn w:val="1"/>
    <w:link w:val="390"/>
    <w:qFormat/>
    <w:uiPriority w:val="99"/>
    <w:pPr>
      <w:pBdr>
        <w:bottom w:val="single" w:color="auto" w:sz="6" w:space="1"/>
      </w:pBdr>
      <w:tabs>
        <w:tab w:val="center" w:pos="4153"/>
        <w:tab w:val="right" w:pos="8306"/>
      </w:tabs>
      <w:snapToGrid w:val="0"/>
      <w:jc w:val="center"/>
    </w:pPr>
    <w:rPr>
      <w:sz w:val="18"/>
      <w:szCs w:val="18"/>
    </w:rPr>
  </w:style>
  <w:style w:type="paragraph" w:styleId="43">
    <w:name w:val="Signature"/>
    <w:basedOn w:val="1"/>
    <w:link w:val="343"/>
    <w:qFormat/>
    <w:uiPriority w:val="0"/>
    <w:pPr>
      <w:spacing w:after="600" w:line="312" w:lineRule="atLeast"/>
      <w:jc w:val="center"/>
      <w:textAlignment w:val="baseline"/>
    </w:pPr>
    <w:rPr>
      <w:rFonts w:eastAsia="仿宋_GB2312"/>
      <w:kern w:val="0"/>
      <w:sz w:val="24"/>
      <w:szCs w:val="20"/>
    </w:rPr>
  </w:style>
  <w:style w:type="paragraph" w:styleId="44">
    <w:name w:val="toc 1"/>
    <w:basedOn w:val="1"/>
    <w:next w:val="1"/>
    <w:qFormat/>
    <w:uiPriority w:val="39"/>
  </w:style>
  <w:style w:type="paragraph" w:styleId="45">
    <w:name w:val="toc 4"/>
    <w:basedOn w:val="1"/>
    <w:next w:val="1"/>
    <w:qFormat/>
    <w:uiPriority w:val="0"/>
    <w:pPr>
      <w:ind w:left="1260" w:leftChars="600"/>
    </w:pPr>
  </w:style>
  <w:style w:type="paragraph" w:styleId="46">
    <w:name w:val="index heading"/>
    <w:basedOn w:val="1"/>
    <w:next w:val="47"/>
    <w:qFormat/>
    <w:uiPriority w:val="0"/>
    <w:pPr>
      <w:adjustRightInd/>
      <w:ind w:firstLine="200" w:firstLineChars="200"/>
    </w:pPr>
  </w:style>
  <w:style w:type="paragraph" w:styleId="47">
    <w:name w:val="index 1"/>
    <w:basedOn w:val="1"/>
    <w:next w:val="1"/>
    <w:qFormat/>
    <w:uiPriority w:val="0"/>
    <w:pPr>
      <w:adjustRightInd/>
      <w:spacing w:line="360" w:lineRule="auto"/>
      <w:ind w:firstLine="200" w:firstLineChars="200"/>
      <w:jc w:val="center"/>
    </w:pPr>
    <w:rPr>
      <w:sz w:val="24"/>
      <w:szCs w:val="20"/>
    </w:rPr>
  </w:style>
  <w:style w:type="paragraph" w:styleId="48">
    <w:name w:val="Subtitle"/>
    <w:link w:val="131"/>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49">
    <w:name w:val="List Number 5"/>
    <w:basedOn w:val="1"/>
    <w:qFormat/>
    <w:uiPriority w:val="0"/>
    <w:pPr>
      <w:tabs>
        <w:tab w:val="left" w:pos="902"/>
      </w:tabs>
      <w:adjustRightInd/>
      <w:spacing w:line="400" w:lineRule="exact"/>
      <w:ind w:left="902" w:hanging="420"/>
    </w:pPr>
    <w:rPr>
      <w:sz w:val="24"/>
      <w:szCs w:val="20"/>
    </w:rPr>
  </w:style>
  <w:style w:type="paragraph" w:styleId="50">
    <w:name w:val="List"/>
    <w:basedOn w:val="1"/>
    <w:qFormat/>
    <w:uiPriority w:val="0"/>
    <w:pPr>
      <w:ind w:left="200" w:hanging="200" w:hangingChars="200"/>
    </w:pPr>
  </w:style>
  <w:style w:type="paragraph" w:styleId="51">
    <w:name w:val="footnote text"/>
    <w:basedOn w:val="2"/>
    <w:link w:val="308"/>
    <w:qFormat/>
    <w:uiPriority w:val="0"/>
    <w:pPr>
      <w:adjustRightInd/>
      <w:snapToGrid/>
      <w:spacing w:before="60" w:after="60" w:line="300" w:lineRule="exact"/>
      <w:ind w:firstLine="0"/>
    </w:pPr>
    <w:rPr>
      <w:rFonts w:ascii="Calibri"/>
      <w:snapToGrid/>
      <w:color w:val="0000FF"/>
      <w:kern w:val="0"/>
      <w:sz w:val="21"/>
    </w:rPr>
  </w:style>
  <w:style w:type="paragraph" w:styleId="52">
    <w:name w:val="toc 6"/>
    <w:basedOn w:val="1"/>
    <w:next w:val="1"/>
    <w:qFormat/>
    <w:uiPriority w:val="0"/>
    <w:pPr>
      <w:ind w:left="2100" w:leftChars="1000"/>
    </w:pPr>
  </w:style>
  <w:style w:type="paragraph" w:styleId="53">
    <w:name w:val="List 5"/>
    <w:basedOn w:val="1"/>
    <w:qFormat/>
    <w:uiPriority w:val="0"/>
    <w:pPr>
      <w:adjustRightInd/>
      <w:ind w:left="100" w:leftChars="800" w:hanging="200" w:hangingChars="200"/>
    </w:pPr>
  </w:style>
  <w:style w:type="paragraph" w:styleId="54">
    <w:name w:val="Body Text Indent 3"/>
    <w:basedOn w:val="1"/>
    <w:link w:val="373"/>
    <w:qFormat/>
    <w:uiPriority w:val="0"/>
    <w:pPr>
      <w:spacing w:line="360" w:lineRule="auto"/>
      <w:ind w:firstLine="420"/>
    </w:pPr>
    <w:rPr>
      <w:sz w:val="24"/>
      <w:szCs w:val="20"/>
    </w:rPr>
  </w:style>
  <w:style w:type="paragraph" w:styleId="55">
    <w:name w:val="toc 2"/>
    <w:basedOn w:val="1"/>
    <w:next w:val="1"/>
    <w:qFormat/>
    <w:uiPriority w:val="0"/>
    <w:pPr>
      <w:ind w:left="420" w:leftChars="200"/>
    </w:pPr>
  </w:style>
  <w:style w:type="paragraph" w:styleId="56">
    <w:name w:val="toc 9"/>
    <w:basedOn w:val="1"/>
    <w:next w:val="1"/>
    <w:qFormat/>
    <w:uiPriority w:val="0"/>
    <w:pPr>
      <w:ind w:left="3360" w:leftChars="1600"/>
    </w:pPr>
  </w:style>
  <w:style w:type="paragraph" w:styleId="57">
    <w:name w:val="Body Text 2"/>
    <w:basedOn w:val="1"/>
    <w:link w:val="300"/>
    <w:qFormat/>
    <w:uiPriority w:val="0"/>
    <w:pPr>
      <w:spacing w:after="120" w:line="480" w:lineRule="auto"/>
    </w:pPr>
  </w:style>
  <w:style w:type="paragraph" w:styleId="58">
    <w:name w:val="HTML Preformatted"/>
    <w:basedOn w:val="1"/>
    <w:link w:val="299"/>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59">
    <w:name w:val="Normal (Web)"/>
    <w:basedOn w:val="1"/>
    <w:qFormat/>
    <w:uiPriority w:val="99"/>
    <w:pPr>
      <w:widowControl/>
      <w:spacing w:before="100" w:beforeAutospacing="1" w:after="100" w:afterAutospacing="1"/>
      <w:jc w:val="left"/>
    </w:pPr>
    <w:rPr>
      <w:rFonts w:ascii="宋体" w:hAnsi="宋体"/>
      <w:kern w:val="0"/>
      <w:sz w:val="24"/>
    </w:rPr>
  </w:style>
  <w:style w:type="paragraph" w:styleId="60">
    <w:name w:val="Title"/>
    <w:basedOn w:val="1"/>
    <w:link w:val="284"/>
    <w:qFormat/>
    <w:uiPriority w:val="10"/>
    <w:pPr>
      <w:widowControl/>
      <w:overflowPunct w:val="0"/>
      <w:autoSpaceDE w:val="0"/>
      <w:autoSpaceDN w:val="0"/>
      <w:jc w:val="center"/>
      <w:textAlignment w:val="baseline"/>
    </w:pPr>
    <w:rPr>
      <w:b/>
      <w:kern w:val="0"/>
      <w:sz w:val="24"/>
      <w:szCs w:val="20"/>
      <w:lang w:val="en-GB"/>
    </w:rPr>
  </w:style>
  <w:style w:type="paragraph" w:styleId="61">
    <w:name w:val="annotation subject"/>
    <w:basedOn w:val="20"/>
    <w:next w:val="20"/>
    <w:link w:val="94"/>
    <w:qFormat/>
    <w:uiPriority w:val="0"/>
    <w:rPr>
      <w:b/>
      <w:bCs/>
    </w:rPr>
  </w:style>
  <w:style w:type="paragraph" w:styleId="62">
    <w:name w:val="Body Text First Indent"/>
    <w:basedOn w:val="24"/>
    <w:link w:val="319"/>
    <w:qFormat/>
    <w:uiPriority w:val="0"/>
    <w:pPr>
      <w:ind w:firstLine="420"/>
    </w:pPr>
    <w:rPr>
      <w:rFonts w:hAnsi="Calibri" w:cs="Times New Roman"/>
      <w:snapToGrid/>
      <w:szCs w:val="20"/>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22"/>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99"/>
    <w:rPr>
      <w:sz w:val="21"/>
      <w:szCs w:val="21"/>
    </w:rPr>
  </w:style>
  <w:style w:type="character" w:customStyle="1" w:styleId="80">
    <w:name w:val="表格非标题文字 Char"/>
    <w:link w:val="81"/>
    <w:qFormat/>
    <w:uiPriority w:val="0"/>
    <w:rPr>
      <w:rFonts w:ascii="Futura Bk" w:hAnsi="Futura Bk"/>
      <w:kern w:val="2"/>
      <w:sz w:val="18"/>
      <w:szCs w:val="21"/>
      <w:lang w:val="en-US" w:eastAsia="zh-CN" w:bidi="ar-SA"/>
    </w:rPr>
  </w:style>
  <w:style w:type="paragraph" w:customStyle="1" w:styleId="81">
    <w:name w:val="表格非标题文字"/>
    <w:link w:val="80"/>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2">
    <w:name w:val="*正文 Char"/>
    <w:link w:val="83"/>
    <w:qFormat/>
    <w:locked/>
    <w:uiPriority w:val="0"/>
    <w:rPr>
      <w:rFonts w:ascii="宋体" w:hAnsi="宋体"/>
      <w:sz w:val="24"/>
    </w:rPr>
  </w:style>
  <w:style w:type="paragraph" w:customStyle="1" w:styleId="83">
    <w:name w:val="*正文"/>
    <w:basedOn w:val="1"/>
    <w:link w:val="82"/>
    <w:qFormat/>
    <w:uiPriority w:val="0"/>
    <w:pPr>
      <w:snapToGrid w:val="0"/>
      <w:spacing w:line="360" w:lineRule="auto"/>
      <w:ind w:firstLine="482"/>
      <w:jc w:val="left"/>
    </w:pPr>
    <w:rPr>
      <w:rFonts w:ascii="宋体" w:hAnsi="宋体"/>
      <w:kern w:val="0"/>
      <w:sz w:val="24"/>
      <w:szCs w:val="20"/>
    </w:rPr>
  </w:style>
  <w:style w:type="character" w:customStyle="1" w:styleId="84">
    <w:name w:val="Char Char71"/>
    <w:semiHidden/>
    <w:qFormat/>
    <w:uiPriority w:val="0"/>
    <w:rPr>
      <w:rFonts w:eastAsia="宋体"/>
      <w:kern w:val="2"/>
      <w:sz w:val="21"/>
      <w:szCs w:val="24"/>
      <w:lang w:val="en-US" w:eastAsia="zh-CN" w:bidi="ar-SA"/>
    </w:rPr>
  </w:style>
  <w:style w:type="character" w:customStyle="1" w:styleId="85">
    <w:name w:val="Char Char6"/>
    <w:qFormat/>
    <w:uiPriority w:val="0"/>
    <w:rPr>
      <w:rFonts w:eastAsia="宋体"/>
      <w:kern w:val="2"/>
      <w:sz w:val="21"/>
      <w:szCs w:val="24"/>
      <w:lang w:val="en-US" w:eastAsia="zh-CN" w:bidi="ar-SA"/>
    </w:rPr>
  </w:style>
  <w:style w:type="character" w:customStyle="1" w:styleId="86">
    <w:name w:val="正文缩进 Char"/>
    <w:qFormat/>
    <w:uiPriority w:val="0"/>
    <w:rPr>
      <w:rFonts w:eastAsia="宋体"/>
      <w:kern w:val="2"/>
      <w:sz w:val="21"/>
      <w:lang w:val="en-US" w:eastAsia="zh-CN"/>
    </w:rPr>
  </w:style>
  <w:style w:type="character" w:customStyle="1" w:styleId="87">
    <w:name w:val="正文首行缩进 Char1"/>
    <w:qFormat/>
    <w:uiPriority w:val="0"/>
    <w:rPr>
      <w:rFonts w:ascii="宋体" w:hAnsi="Times New Roman" w:eastAsia="宋体" w:cs="Times New Roman"/>
      <w:snapToGrid w:val="0"/>
      <w:kern w:val="2"/>
      <w:sz w:val="24"/>
      <w:szCs w:val="21"/>
      <w:lang w:val="zh-CN"/>
    </w:rPr>
  </w:style>
  <w:style w:type="character" w:customStyle="1" w:styleId="88">
    <w:name w:val="Char Char28"/>
    <w:qFormat/>
    <w:uiPriority w:val="6"/>
    <w:rPr>
      <w:rFonts w:ascii="仿宋_GB2312" w:hAnsi="仿宋_GB2312" w:eastAsia="仿宋_GB2312"/>
      <w:kern w:val="1"/>
      <w:sz w:val="28"/>
    </w:rPr>
  </w:style>
  <w:style w:type="character" w:customStyle="1" w:styleId="89">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0">
    <w:name w:val="Heading 1 Char"/>
    <w:qFormat/>
    <w:uiPriority w:val="6"/>
    <w:rPr>
      <w:rFonts w:ascii="Times New Roman" w:hAnsi="Times New Roman" w:eastAsia="黑体" w:cs="Times New Roman"/>
      <w:b/>
      <w:kern w:val="0"/>
      <w:sz w:val="24"/>
      <w:szCs w:val="24"/>
    </w:rPr>
  </w:style>
  <w:style w:type="character" w:customStyle="1" w:styleId="91">
    <w:name w:val="U_正文 Char"/>
    <w:link w:val="92"/>
    <w:qFormat/>
    <w:uiPriority w:val="0"/>
    <w:rPr>
      <w:sz w:val="24"/>
      <w:szCs w:val="24"/>
    </w:rPr>
  </w:style>
  <w:style w:type="paragraph" w:customStyle="1" w:styleId="92">
    <w:name w:val="U_正文"/>
    <w:basedOn w:val="1"/>
    <w:link w:val="91"/>
    <w:qFormat/>
    <w:uiPriority w:val="0"/>
    <w:pPr>
      <w:adjustRightInd/>
      <w:spacing w:beforeLines="20" w:afterLines="20" w:line="300" w:lineRule="auto"/>
      <w:ind w:firstLine="200" w:firstLineChars="200"/>
    </w:pPr>
    <w:rPr>
      <w:kern w:val="0"/>
      <w:sz w:val="24"/>
    </w:rPr>
  </w:style>
  <w:style w:type="character" w:customStyle="1" w:styleId="93">
    <w:name w:val="HTML 地址 Char1"/>
    <w:qFormat/>
    <w:uiPriority w:val="0"/>
    <w:rPr>
      <w:rFonts w:ascii="Times New Roman" w:hAnsi="Times New Roman" w:eastAsia="宋体" w:cs="Times New Roman"/>
      <w:i/>
      <w:iCs/>
      <w:szCs w:val="24"/>
    </w:rPr>
  </w:style>
  <w:style w:type="character" w:customStyle="1" w:styleId="94">
    <w:name w:val="批注主题 Char1"/>
    <w:link w:val="61"/>
    <w:qFormat/>
    <w:uiPriority w:val="0"/>
    <w:rPr>
      <w:b/>
      <w:bCs/>
      <w:kern w:val="2"/>
      <w:sz w:val="21"/>
      <w:szCs w:val="24"/>
    </w:rPr>
  </w:style>
  <w:style w:type="character" w:customStyle="1" w:styleId="95">
    <w:name w:val="Char Char51"/>
    <w:qFormat/>
    <w:uiPriority w:val="0"/>
    <w:rPr>
      <w:rFonts w:ascii="宋体" w:hAnsi="Courier New" w:eastAsia="宋体"/>
      <w:kern w:val="2"/>
      <w:sz w:val="21"/>
      <w:lang w:val="en-US" w:eastAsia="zh-CN"/>
    </w:rPr>
  </w:style>
  <w:style w:type="character" w:customStyle="1" w:styleId="96">
    <w:name w:val="表正文 Char"/>
    <w:qFormat/>
    <w:uiPriority w:val="0"/>
    <w:rPr>
      <w:rFonts w:ascii="宋体" w:eastAsia="宋体"/>
      <w:snapToGrid w:val="0"/>
      <w:color w:val="000000"/>
      <w:kern w:val="28"/>
      <w:sz w:val="28"/>
      <w:lang w:val="en-US" w:eastAsia="zh-CN" w:bidi="ar-SA"/>
    </w:rPr>
  </w:style>
  <w:style w:type="character" w:customStyle="1" w:styleId="97">
    <w:name w:val="Char Char34"/>
    <w:qFormat/>
    <w:uiPriority w:val="6"/>
    <w:rPr>
      <w:b/>
      <w:kern w:val="1"/>
      <w:sz w:val="28"/>
      <w:szCs w:val="28"/>
    </w:rPr>
  </w:style>
  <w:style w:type="character" w:customStyle="1" w:styleId="98">
    <w:name w:val="Normal Indent Char"/>
    <w:qFormat/>
    <w:locked/>
    <w:uiPriority w:val="0"/>
    <w:rPr>
      <w:rFonts w:ascii="Calibri" w:hAnsi="Calibri" w:eastAsia="宋体" w:cs="黑体"/>
      <w:snapToGrid w:val="0"/>
      <w:kern w:val="2"/>
      <w:sz w:val="24"/>
      <w:szCs w:val="22"/>
      <w:lang w:val="en-US" w:eastAsia="zh-CN" w:bidi="ar-SA"/>
    </w:rPr>
  </w:style>
  <w:style w:type="character" w:customStyle="1" w:styleId="99">
    <w:name w:val="哈哈正文 Char"/>
    <w:link w:val="100"/>
    <w:qFormat/>
    <w:uiPriority w:val="0"/>
    <w:rPr>
      <w:rFonts w:ascii="宋体" w:hAnsi="宋体" w:eastAsia="宋体"/>
      <w:kern w:val="2"/>
      <w:sz w:val="24"/>
      <w:lang w:bidi="ar-SA"/>
    </w:rPr>
  </w:style>
  <w:style w:type="paragraph" w:customStyle="1" w:styleId="100">
    <w:name w:val="哈哈正文"/>
    <w:basedOn w:val="1"/>
    <w:link w:val="99"/>
    <w:qFormat/>
    <w:uiPriority w:val="0"/>
    <w:pPr>
      <w:adjustRightInd/>
      <w:spacing w:line="360" w:lineRule="auto"/>
      <w:ind w:firstLine="200" w:firstLineChars="200"/>
    </w:pPr>
    <w:rPr>
      <w:rFonts w:ascii="宋体" w:hAnsi="宋体"/>
      <w:sz w:val="24"/>
      <w:szCs w:val="20"/>
    </w:rPr>
  </w:style>
  <w:style w:type="character" w:customStyle="1" w:styleId="101">
    <w:name w:val="未处理的提及1"/>
    <w:qFormat/>
    <w:uiPriority w:val="0"/>
    <w:rPr>
      <w:color w:val="808080"/>
      <w:shd w:val="clear" w:color="auto" w:fill="E6E6E6"/>
    </w:rPr>
  </w:style>
  <w:style w:type="character" w:customStyle="1" w:styleId="102">
    <w:name w:val="txt"/>
    <w:qFormat/>
    <w:uiPriority w:val="0"/>
    <w:rPr>
      <w:rFonts w:ascii="仿宋_GB2312" w:eastAsia="微软雅黑"/>
      <w:b/>
      <w:kern w:val="2"/>
      <w:sz w:val="32"/>
      <w:szCs w:val="32"/>
      <w:lang w:val="en-US" w:eastAsia="zh-CN" w:bidi="ar-SA"/>
    </w:rPr>
  </w:style>
  <w:style w:type="character" w:customStyle="1" w:styleId="103">
    <w:name w:val="二级标题 Char Char"/>
    <w:qFormat/>
    <w:uiPriority w:val="0"/>
    <w:rPr>
      <w:rFonts w:ascii="宋体" w:hAnsi="宋体" w:eastAsia="宋体"/>
      <w:b/>
      <w:snapToGrid w:val="0"/>
      <w:kern w:val="2"/>
      <w:sz w:val="24"/>
      <w:szCs w:val="24"/>
      <w:lang w:val="en-US" w:eastAsia="zh-CN" w:bidi="ar-SA"/>
    </w:rPr>
  </w:style>
  <w:style w:type="character" w:customStyle="1" w:styleId="104">
    <w:name w:val="Char Char32"/>
    <w:qFormat/>
    <w:uiPriority w:val="6"/>
    <w:rPr>
      <w:b/>
      <w:kern w:val="1"/>
      <w:sz w:val="24"/>
      <w:szCs w:val="24"/>
    </w:rPr>
  </w:style>
  <w:style w:type="character" w:customStyle="1" w:styleId="105">
    <w:name w:val="PI Char1"/>
    <w:qFormat/>
    <w:uiPriority w:val="0"/>
    <w:rPr>
      <w:rFonts w:ascii="宋体" w:hAnsi="宋体"/>
      <w:kern w:val="2"/>
      <w:sz w:val="24"/>
      <w:szCs w:val="24"/>
    </w:rPr>
  </w:style>
  <w:style w:type="character" w:customStyle="1" w:styleId="106">
    <w:name w:val="tw4winTerm"/>
    <w:qFormat/>
    <w:uiPriority w:val="0"/>
    <w:rPr>
      <w:color w:val="0000FF"/>
    </w:rPr>
  </w:style>
  <w:style w:type="character" w:customStyle="1" w:styleId="107">
    <w:name w:val="Footer Char"/>
    <w:qFormat/>
    <w:locked/>
    <w:uiPriority w:val="0"/>
    <w:rPr>
      <w:rFonts w:eastAsia="宋体"/>
      <w:kern w:val="2"/>
      <w:sz w:val="18"/>
      <w:lang w:val="en-US" w:eastAsia="zh-CN" w:bidi="ar-SA"/>
    </w:rPr>
  </w:style>
  <w:style w:type="character" w:customStyle="1" w:styleId="108">
    <w:name w:val="普通文字 Char Char1"/>
    <w:qFormat/>
    <w:uiPriority w:val="0"/>
    <w:rPr>
      <w:rFonts w:ascii="宋体" w:hAnsi="Courier New"/>
      <w:kern w:val="2"/>
      <w:sz w:val="21"/>
    </w:rPr>
  </w:style>
  <w:style w:type="character" w:customStyle="1" w:styleId="109">
    <w:name w:val="Char Char101"/>
    <w:qFormat/>
    <w:uiPriority w:val="6"/>
    <w:rPr>
      <w:rFonts w:ascii="宋体" w:hAnsi="宋体"/>
      <w:kern w:val="2"/>
      <w:sz w:val="21"/>
      <w:szCs w:val="24"/>
      <w:lang w:val="en-US" w:eastAsia="zh-CN"/>
    </w:rPr>
  </w:style>
  <w:style w:type="character" w:customStyle="1" w:styleId="110">
    <w:name w:val="标题 4 Char"/>
    <w:qFormat/>
    <w:uiPriority w:val="0"/>
    <w:rPr>
      <w:rFonts w:ascii="Arial" w:hAnsi="Arial" w:eastAsia="黑体"/>
      <w:b/>
      <w:kern w:val="2"/>
      <w:sz w:val="28"/>
    </w:rPr>
  </w:style>
  <w:style w:type="character" w:customStyle="1" w:styleId="111">
    <w:name w:val="链接"/>
    <w:qFormat/>
    <w:uiPriority w:val="0"/>
    <w:rPr>
      <w:color w:val="0000FF"/>
      <w:sz w:val="21"/>
      <w:szCs w:val="21"/>
      <w:u w:val="single"/>
    </w:rPr>
  </w:style>
  <w:style w:type="character" w:customStyle="1" w:styleId="112">
    <w:name w:val="h4 Char"/>
    <w:qFormat/>
    <w:uiPriority w:val="0"/>
    <w:rPr>
      <w:rFonts w:ascii="Arial" w:hAnsi="Arial" w:eastAsia="黑体"/>
      <w:b/>
      <w:bCs/>
      <w:kern w:val="2"/>
      <w:sz w:val="28"/>
      <w:szCs w:val="28"/>
      <w:lang w:val="zh-CN" w:eastAsia="zh-CN" w:bidi="ar-SA"/>
    </w:rPr>
  </w:style>
  <w:style w:type="character" w:customStyle="1" w:styleId="113">
    <w:name w:val="5正文 Char"/>
    <w:link w:val="114"/>
    <w:qFormat/>
    <w:uiPriority w:val="0"/>
    <w:rPr>
      <w:rFonts w:ascii="仿宋_GB2312" w:hAnsi="微软雅黑" w:eastAsia="仿宋_GB2312"/>
      <w:sz w:val="28"/>
      <w:szCs w:val="21"/>
    </w:rPr>
  </w:style>
  <w:style w:type="paragraph" w:customStyle="1" w:styleId="114">
    <w:name w:val="5正文"/>
    <w:basedOn w:val="1"/>
    <w:link w:val="113"/>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5">
    <w:name w:val="标题 3 字符"/>
    <w:qFormat/>
    <w:uiPriority w:val="9"/>
    <w:rPr>
      <w:b/>
      <w:bCs/>
      <w:kern w:val="2"/>
      <w:sz w:val="32"/>
      <w:szCs w:val="32"/>
    </w:rPr>
  </w:style>
  <w:style w:type="character" w:customStyle="1" w:styleId="116">
    <w:name w:val="样式6 Char"/>
    <w:qFormat/>
    <w:uiPriority w:val="0"/>
    <w:rPr>
      <w:rFonts w:ascii="仿宋_GB2312" w:hAnsi="宋体" w:eastAsia="仿宋_GB2312"/>
      <w:b/>
      <w:bCs/>
      <w:kern w:val="2"/>
      <w:sz w:val="24"/>
      <w:szCs w:val="24"/>
      <w:lang w:val="en-US" w:eastAsia="zh-CN" w:bidi="ar-SA"/>
    </w:rPr>
  </w:style>
  <w:style w:type="character" w:customStyle="1" w:styleId="117">
    <w:name w:val="Char Char14"/>
    <w:qFormat/>
    <w:uiPriority w:val="6"/>
    <w:rPr>
      <w:rFonts w:ascii="黑体" w:hAnsi="黑体" w:eastAsia="黑体"/>
    </w:rPr>
  </w:style>
  <w:style w:type="character" w:customStyle="1" w:styleId="118">
    <w:name w:val="Heading 2 Hidden Char"/>
    <w:qFormat/>
    <w:uiPriority w:val="0"/>
    <w:rPr>
      <w:rFonts w:ascii="仿宋_GB2312" w:eastAsia="仿宋_GB2312"/>
      <w:b/>
      <w:bCs/>
      <w:kern w:val="2"/>
      <w:sz w:val="24"/>
      <w:szCs w:val="24"/>
      <w:lang w:val="zh-CN" w:eastAsia="zh-CN" w:bidi="ar-SA"/>
    </w:rPr>
  </w:style>
  <w:style w:type="character" w:customStyle="1" w:styleId="119">
    <w:name w:val="正文首行缩进 2 Char"/>
    <w:link w:val="25"/>
    <w:qFormat/>
    <w:uiPriority w:val="0"/>
    <w:rPr>
      <w:rFonts w:ascii="宋体" w:hAnsi="宋体"/>
      <w:kern w:val="2"/>
      <w:sz w:val="21"/>
      <w:szCs w:val="24"/>
    </w:rPr>
  </w:style>
  <w:style w:type="character" w:customStyle="1" w:styleId="120">
    <w:name w:val="font11"/>
    <w:qFormat/>
    <w:uiPriority w:val="0"/>
    <w:rPr>
      <w:rFonts w:hint="default" w:ascii="Times New Roman" w:hAnsi="Times New Roman" w:cs="Times New Roman"/>
      <w:color w:val="000000"/>
      <w:sz w:val="22"/>
      <w:szCs w:val="22"/>
      <w:u w:val="none"/>
    </w:rPr>
  </w:style>
  <w:style w:type="character" w:customStyle="1" w:styleId="121">
    <w:name w:val="表正文 Char1"/>
    <w:qFormat/>
    <w:uiPriority w:val="0"/>
    <w:rPr>
      <w:rFonts w:ascii="宋体" w:eastAsia="宋体"/>
      <w:snapToGrid w:val="0"/>
      <w:color w:val="000000"/>
      <w:kern w:val="28"/>
      <w:sz w:val="28"/>
    </w:rPr>
  </w:style>
  <w:style w:type="character" w:customStyle="1" w:styleId="122">
    <w:name w:val="blue1"/>
    <w:basedOn w:val="70"/>
    <w:qFormat/>
    <w:uiPriority w:val="0"/>
    <w:rPr>
      <w:rFonts w:ascii="Arial" w:hAnsi="Arial" w:eastAsia="黑体" w:cs="Arial"/>
      <w:snapToGrid w:val="0"/>
      <w:kern w:val="0"/>
      <w:szCs w:val="21"/>
    </w:rPr>
  </w:style>
  <w:style w:type="character" w:customStyle="1" w:styleId="123">
    <w:name w:val="纯文本 Char"/>
    <w:link w:val="34"/>
    <w:qFormat/>
    <w:uiPriority w:val="0"/>
    <w:rPr>
      <w:rFonts w:ascii="宋体" w:hAnsi="Courier New" w:eastAsia="宋体" w:cs="Arial"/>
      <w:snapToGrid w:val="0"/>
      <w:kern w:val="2"/>
      <w:sz w:val="21"/>
      <w:szCs w:val="21"/>
      <w:lang w:val="en-US" w:eastAsia="zh-CN" w:bidi="ar-SA"/>
    </w:rPr>
  </w:style>
  <w:style w:type="character" w:customStyle="1" w:styleId="124">
    <w:name w:val="标书1 Char"/>
    <w:qFormat/>
    <w:uiPriority w:val="0"/>
    <w:rPr>
      <w:rFonts w:eastAsia="宋体"/>
      <w:b/>
      <w:bCs/>
      <w:kern w:val="44"/>
      <w:sz w:val="44"/>
      <w:szCs w:val="44"/>
      <w:lang w:val="en-US" w:eastAsia="zh-CN" w:bidi="ar-SA"/>
    </w:rPr>
  </w:style>
  <w:style w:type="character" w:customStyle="1" w:styleId="125">
    <w:name w:val="样式5 Char"/>
    <w:qFormat/>
    <w:uiPriority w:val="0"/>
    <w:rPr>
      <w:rFonts w:ascii="仿宋_GB2312" w:hAnsi="仿宋" w:eastAsia="仿宋_GB2312"/>
      <w:kern w:val="2"/>
      <w:sz w:val="24"/>
      <w:szCs w:val="24"/>
    </w:rPr>
  </w:style>
  <w:style w:type="character" w:customStyle="1" w:styleId="126">
    <w:name w:val="样式4 Char"/>
    <w:qFormat/>
    <w:uiPriority w:val="0"/>
    <w:rPr>
      <w:rFonts w:ascii="仿宋_GB2312" w:hAnsi="仿宋" w:eastAsia="仿宋_GB2312"/>
      <w:b/>
      <w:kern w:val="2"/>
      <w:sz w:val="32"/>
      <w:szCs w:val="32"/>
      <w:lang w:bidi="ar-SA"/>
    </w:rPr>
  </w:style>
  <w:style w:type="character" w:customStyle="1" w:styleId="127">
    <w:name w:val="插图说明 Char"/>
    <w:qFormat/>
    <w:uiPriority w:val="0"/>
    <w:rPr>
      <w:rFonts w:eastAsia="黑体"/>
      <w:sz w:val="24"/>
      <w:lang w:val="en-US" w:eastAsia="zh-CN"/>
    </w:rPr>
  </w:style>
  <w:style w:type="character" w:customStyle="1" w:styleId="128">
    <w:name w:val="正文2 Char Char"/>
    <w:link w:val="129"/>
    <w:qFormat/>
    <w:uiPriority w:val="0"/>
    <w:rPr>
      <w:rFonts w:eastAsia="宋体"/>
      <w:kern w:val="2"/>
      <w:sz w:val="24"/>
      <w:lang w:val="en-US" w:eastAsia="zh-CN" w:bidi="ar-SA"/>
    </w:rPr>
  </w:style>
  <w:style w:type="paragraph" w:customStyle="1" w:styleId="129">
    <w:name w:val="正文2"/>
    <w:basedOn w:val="1"/>
    <w:link w:val="128"/>
    <w:qFormat/>
    <w:uiPriority w:val="0"/>
    <w:pPr>
      <w:spacing w:before="156" w:line="360" w:lineRule="auto"/>
      <w:ind w:firstLine="510" w:firstLineChars="200"/>
    </w:pPr>
    <w:rPr>
      <w:sz w:val="24"/>
      <w:szCs w:val="20"/>
    </w:rPr>
  </w:style>
  <w:style w:type="character" w:customStyle="1" w:styleId="130">
    <w:name w:val="Char Char24"/>
    <w:qFormat/>
    <w:uiPriority w:val="6"/>
    <w:rPr>
      <w:kern w:val="1"/>
      <w:sz w:val="21"/>
    </w:rPr>
  </w:style>
  <w:style w:type="character" w:customStyle="1" w:styleId="131">
    <w:name w:val="副标题 Char"/>
    <w:link w:val="48"/>
    <w:qFormat/>
    <w:uiPriority w:val="0"/>
    <w:rPr>
      <w:rFonts w:ascii="Arial" w:hAnsi="Arial" w:eastAsia="隶书"/>
      <w:b/>
      <w:bCs/>
      <w:kern w:val="28"/>
      <w:sz w:val="44"/>
      <w:szCs w:val="32"/>
      <w:lang w:val="en-US" w:eastAsia="zh-CN" w:bidi="ar-SA"/>
    </w:rPr>
  </w:style>
  <w:style w:type="character" w:customStyle="1" w:styleId="132">
    <w:name w:val="普通文字 Char1 Char"/>
    <w:qFormat/>
    <w:uiPriority w:val="0"/>
    <w:rPr>
      <w:rFonts w:ascii="宋体" w:hAnsi="Courier New" w:eastAsia="宋体"/>
      <w:kern w:val="2"/>
      <w:sz w:val="21"/>
      <w:szCs w:val="24"/>
      <w:lang w:val="en-US" w:eastAsia="zh-CN" w:bidi="ar-SA"/>
    </w:rPr>
  </w:style>
  <w:style w:type="character" w:customStyle="1" w:styleId="133">
    <w:name w:val="h3 Char1"/>
    <w:qFormat/>
    <w:uiPriority w:val="0"/>
    <w:rPr>
      <w:rFonts w:eastAsia="宋体"/>
      <w:b/>
      <w:bCs/>
      <w:kern w:val="2"/>
      <w:sz w:val="32"/>
      <w:szCs w:val="32"/>
      <w:lang w:bidi="ar-SA"/>
    </w:rPr>
  </w:style>
  <w:style w:type="character" w:customStyle="1" w:styleId="134">
    <w:name w:val="标题 Char1"/>
    <w:qFormat/>
    <w:uiPriority w:val="0"/>
    <w:rPr>
      <w:rFonts w:ascii="Cambria" w:hAnsi="Cambria" w:eastAsia="宋体" w:cs="Times New Roman"/>
      <w:b/>
      <w:bCs/>
      <w:sz w:val="32"/>
      <w:szCs w:val="32"/>
      <w:lang w:bidi="ar-SA"/>
    </w:rPr>
  </w:style>
  <w:style w:type="character" w:customStyle="1" w:styleId="135">
    <w:name w:val="gf正文1 Char"/>
    <w:qFormat/>
    <w:uiPriority w:val="0"/>
    <w:rPr>
      <w:rFonts w:ascii="宋体" w:hAnsi="宋体" w:eastAsia="宋体" w:cs="宋体"/>
      <w:kern w:val="2"/>
      <w:sz w:val="24"/>
      <w:szCs w:val="24"/>
      <w:lang w:val="en-US" w:eastAsia="zh-CN" w:bidi="ar-SA"/>
    </w:rPr>
  </w:style>
  <w:style w:type="character" w:customStyle="1" w:styleId="136">
    <w:name w:val="正文文本缩进 Char1"/>
    <w:qFormat/>
    <w:uiPriority w:val="0"/>
    <w:rPr>
      <w:rFonts w:ascii="Calibri" w:hAnsi="Calibri"/>
      <w:sz w:val="28"/>
    </w:rPr>
  </w:style>
  <w:style w:type="character" w:customStyle="1" w:styleId="137">
    <w:name w:val="No Spacing Char"/>
    <w:link w:val="138"/>
    <w:qFormat/>
    <w:uiPriority w:val="1"/>
    <w:rPr>
      <w:sz w:val="22"/>
      <w:szCs w:val="22"/>
      <w:lang w:val="en-US" w:eastAsia="zh-CN" w:bidi="ar-SA"/>
    </w:rPr>
  </w:style>
  <w:style w:type="paragraph" w:customStyle="1" w:styleId="138">
    <w:name w:val="无间隔1"/>
    <w:link w:val="137"/>
    <w:qFormat/>
    <w:uiPriority w:val="1"/>
    <w:rPr>
      <w:rFonts w:ascii="Times New Roman" w:hAnsi="Times New Roman" w:eastAsia="宋体" w:cs="Times New Roman"/>
      <w:sz w:val="22"/>
      <w:szCs w:val="22"/>
      <w:lang w:val="en-US" w:eastAsia="zh-CN" w:bidi="ar-SA"/>
    </w:rPr>
  </w:style>
  <w:style w:type="character" w:customStyle="1" w:styleId="139">
    <w:name w:val="样式7 Char"/>
    <w:qFormat/>
    <w:uiPriority w:val="0"/>
    <w:rPr>
      <w:rFonts w:ascii="仿宋_GB2312" w:hAnsi="仿宋" w:eastAsia="仿宋_GB2312"/>
      <w:b/>
      <w:kern w:val="2"/>
      <w:sz w:val="24"/>
      <w:szCs w:val="24"/>
    </w:rPr>
  </w:style>
  <w:style w:type="character" w:customStyle="1" w:styleId="140">
    <w:name w:val="font12gray1"/>
    <w:qFormat/>
    <w:uiPriority w:val="0"/>
    <w:rPr>
      <w:rFonts w:ascii="仿宋_GB2312" w:eastAsia="微软雅黑"/>
      <w:b/>
      <w:spacing w:val="300"/>
      <w:kern w:val="2"/>
      <w:sz w:val="18"/>
      <w:szCs w:val="18"/>
      <w:lang w:val="en-US" w:eastAsia="zh-CN" w:bidi="ar-SA"/>
    </w:rPr>
  </w:style>
  <w:style w:type="character" w:customStyle="1" w:styleId="141">
    <w:name w:val="Char Char7"/>
    <w:semiHidden/>
    <w:qFormat/>
    <w:uiPriority w:val="0"/>
    <w:rPr>
      <w:rFonts w:eastAsia="宋体"/>
      <w:kern w:val="2"/>
      <w:sz w:val="21"/>
      <w:szCs w:val="24"/>
      <w:lang w:val="en-US" w:eastAsia="zh-CN" w:bidi="ar-SA"/>
    </w:rPr>
  </w:style>
  <w:style w:type="character" w:customStyle="1" w:styleId="142">
    <w:name w:val="表名 Char"/>
    <w:qFormat/>
    <w:uiPriority w:val="0"/>
    <w:rPr>
      <w:rFonts w:eastAsia="宋体"/>
      <w:b/>
      <w:bCs/>
      <w:kern w:val="2"/>
      <w:sz w:val="24"/>
      <w:szCs w:val="24"/>
      <w:lang w:val="en-US" w:eastAsia="zh-CN" w:bidi="ar-SA"/>
    </w:rPr>
  </w:style>
  <w:style w:type="character" w:customStyle="1" w:styleId="143">
    <w:name w:val="Document Map Char"/>
    <w:qFormat/>
    <w:locked/>
    <w:uiPriority w:val="0"/>
    <w:rPr>
      <w:rFonts w:eastAsia="宋体"/>
      <w:kern w:val="2"/>
      <w:sz w:val="21"/>
      <w:szCs w:val="24"/>
      <w:lang w:val="en-US" w:eastAsia="zh-CN" w:bidi="ar-SA"/>
    </w:rPr>
  </w:style>
  <w:style w:type="character" w:customStyle="1" w:styleId="144">
    <w:name w:val="font41"/>
    <w:qFormat/>
    <w:uiPriority w:val="0"/>
    <w:rPr>
      <w:rFonts w:hint="eastAsia" w:ascii="仿宋_GB2312" w:eastAsia="仿宋_GB2312" w:cs="仿宋_GB2312"/>
      <w:color w:val="000000"/>
      <w:sz w:val="22"/>
      <w:szCs w:val="22"/>
      <w:u w:val="none"/>
    </w:rPr>
  </w:style>
  <w:style w:type="character" w:customStyle="1" w:styleId="145">
    <w:name w:val="标题 6 Char"/>
    <w:link w:val="8"/>
    <w:qFormat/>
    <w:uiPriority w:val="0"/>
    <w:rPr>
      <w:rFonts w:ascii="Arial" w:hAnsi="Arial" w:eastAsia="黑体"/>
      <w:b/>
      <w:bCs/>
      <w:kern w:val="2"/>
      <w:sz w:val="24"/>
      <w:szCs w:val="24"/>
    </w:rPr>
  </w:style>
  <w:style w:type="character" w:customStyle="1" w:styleId="146">
    <w:name w:val="纯文本 Char_0"/>
    <w:link w:val="147"/>
    <w:qFormat/>
    <w:uiPriority w:val="0"/>
    <w:rPr>
      <w:rFonts w:ascii="宋体" w:hAnsi="Courier New"/>
      <w:kern w:val="2"/>
      <w:sz w:val="21"/>
      <w:szCs w:val="21"/>
      <w:lang w:val="en-US" w:eastAsia="zh-CN"/>
    </w:rPr>
  </w:style>
  <w:style w:type="paragraph" w:customStyle="1" w:styleId="147">
    <w:name w:val="纯文本_0_0"/>
    <w:basedOn w:val="148"/>
    <w:link w:val="146"/>
    <w:qFormat/>
    <w:uiPriority w:val="0"/>
    <w:rPr>
      <w:rFonts w:ascii="宋体" w:hAnsi="Courier New"/>
      <w:szCs w:val="21"/>
    </w:rPr>
  </w:style>
  <w:style w:type="paragraph" w:customStyle="1" w:styleId="148">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49">
    <w:name w:val="Balloon Text Char"/>
    <w:qFormat/>
    <w:locked/>
    <w:uiPriority w:val="0"/>
    <w:rPr>
      <w:rFonts w:eastAsia="宋体"/>
      <w:kern w:val="2"/>
      <w:sz w:val="18"/>
      <w:szCs w:val="18"/>
      <w:lang w:val="en-US" w:eastAsia="zh-CN" w:bidi="ar-SA"/>
    </w:rPr>
  </w:style>
  <w:style w:type="character" w:customStyle="1" w:styleId="150">
    <w:name w:val="正文 项目2 Char"/>
    <w:basedOn w:val="151"/>
    <w:qFormat/>
    <w:uiPriority w:val="0"/>
    <w:rPr>
      <w:rFonts w:ascii="仿宋_GB2312" w:hAnsi="仿宋_GB2312" w:eastAsia="仿宋_GB2312"/>
      <w:kern w:val="2"/>
      <w:sz w:val="24"/>
      <w:lang w:bidi="ar-SA"/>
    </w:rPr>
  </w:style>
  <w:style w:type="character" w:customStyle="1" w:styleId="151">
    <w:name w:val="正文 项目 Char"/>
    <w:qFormat/>
    <w:uiPriority w:val="0"/>
    <w:rPr>
      <w:rFonts w:ascii="仿宋_GB2312" w:hAnsi="仿宋_GB2312" w:eastAsia="仿宋_GB2312"/>
      <w:kern w:val="2"/>
      <w:sz w:val="24"/>
      <w:lang w:bidi="ar-SA"/>
    </w:rPr>
  </w:style>
  <w:style w:type="character" w:customStyle="1" w:styleId="152">
    <w:name w:val="h Char Char1"/>
    <w:qFormat/>
    <w:uiPriority w:val="0"/>
    <w:rPr>
      <w:rFonts w:eastAsia="宋体"/>
      <w:kern w:val="2"/>
      <w:sz w:val="18"/>
      <w:szCs w:val="18"/>
      <w:lang w:val="en-US" w:eastAsia="zh-CN" w:bidi="ar-SA"/>
    </w:rPr>
  </w:style>
  <w:style w:type="character" w:customStyle="1" w:styleId="153">
    <w:name w:val="Char Char27"/>
    <w:qFormat/>
    <w:uiPriority w:val="6"/>
    <w:rPr>
      <w:rFonts w:ascii="宋体" w:hAnsi="宋体" w:eastAsia="宋体"/>
      <w:color w:val="000000"/>
      <w:kern w:val="1"/>
      <w:sz w:val="28"/>
      <w:lang w:val="en-US" w:eastAsia="zh-CN" w:bidi="ar-SA"/>
    </w:rPr>
  </w:style>
  <w:style w:type="character" w:customStyle="1" w:styleId="154">
    <w:name w:val="px14"/>
    <w:qFormat/>
    <w:uiPriority w:val="0"/>
    <w:rPr>
      <w:rFonts w:ascii="仿宋_GB2312" w:eastAsia="微软雅黑" w:cs="Times New Roman"/>
      <w:b/>
      <w:kern w:val="2"/>
      <w:sz w:val="32"/>
      <w:szCs w:val="32"/>
      <w:lang w:val="en-US" w:eastAsia="zh-CN" w:bidi="ar-SA"/>
    </w:rPr>
  </w:style>
  <w:style w:type="character" w:customStyle="1" w:styleId="155">
    <w:name w:val="HTML 预设格式 Char1"/>
    <w:qFormat/>
    <w:uiPriority w:val="0"/>
    <w:rPr>
      <w:rFonts w:ascii="Courier New" w:hAnsi="Courier New" w:eastAsia="宋体" w:cs="Courier New"/>
      <w:sz w:val="20"/>
      <w:szCs w:val="20"/>
    </w:rPr>
  </w:style>
  <w:style w:type="character" w:customStyle="1" w:styleId="156">
    <w:name w:val="普通文字 Char1"/>
    <w:qFormat/>
    <w:uiPriority w:val="0"/>
    <w:rPr>
      <w:rFonts w:ascii="宋体" w:hAnsi="Courier New" w:eastAsia="宋体"/>
      <w:kern w:val="2"/>
      <w:sz w:val="21"/>
      <w:lang w:val="en-US" w:eastAsia="zh-CN"/>
    </w:rPr>
  </w:style>
  <w:style w:type="character" w:customStyle="1" w:styleId="157">
    <w:name w:val="hei16b1"/>
    <w:qFormat/>
    <w:uiPriority w:val="0"/>
    <w:rPr>
      <w:rFonts w:hint="default" w:ascii="Arial" w:hAnsi="Arial" w:cs="Arial"/>
      <w:b/>
      <w:bCs/>
      <w:color w:val="000000"/>
      <w:sz w:val="24"/>
      <w:szCs w:val="24"/>
    </w:rPr>
  </w:style>
  <w:style w:type="character" w:customStyle="1" w:styleId="158">
    <w:name w:val="正文（绿盟科技） Char"/>
    <w:link w:val="159"/>
    <w:qFormat/>
    <w:uiPriority w:val="0"/>
    <w:rPr>
      <w:rFonts w:ascii="Arial" w:hAnsi="Arial"/>
      <w:sz w:val="21"/>
      <w:szCs w:val="21"/>
    </w:rPr>
  </w:style>
  <w:style w:type="paragraph" w:customStyle="1" w:styleId="159">
    <w:name w:val="正文（绿盟科技）"/>
    <w:link w:val="158"/>
    <w:qFormat/>
    <w:uiPriority w:val="0"/>
    <w:pPr>
      <w:spacing w:line="300" w:lineRule="auto"/>
    </w:pPr>
    <w:rPr>
      <w:rFonts w:ascii="Arial" w:hAnsi="Arial" w:eastAsia="宋体" w:cs="Times New Roman"/>
      <w:sz w:val="21"/>
      <w:szCs w:val="21"/>
      <w:lang w:val="en-US" w:eastAsia="zh-CN" w:bidi="ar-SA"/>
    </w:rPr>
  </w:style>
  <w:style w:type="character" w:customStyle="1" w:styleId="160">
    <w:name w:val="Char Char19"/>
    <w:qFormat/>
    <w:uiPriority w:val="6"/>
    <w:rPr>
      <w:rFonts w:ascii="宋体" w:hAnsi="宋体"/>
      <w:i/>
      <w:sz w:val="24"/>
      <w:szCs w:val="24"/>
    </w:rPr>
  </w:style>
  <w:style w:type="character" w:customStyle="1" w:styleId="161">
    <w:name w:val="页脚 Char"/>
    <w:qFormat/>
    <w:uiPriority w:val="99"/>
    <w:rPr>
      <w:rFonts w:eastAsia="仿宋_GB2312"/>
      <w:kern w:val="2"/>
      <w:sz w:val="18"/>
      <w:lang w:val="en-US" w:eastAsia="zh-CN"/>
    </w:rPr>
  </w:style>
  <w:style w:type="character" w:customStyle="1" w:styleId="162">
    <w:name w:val="批注主题 Char"/>
    <w:qFormat/>
    <w:uiPriority w:val="0"/>
    <w:rPr>
      <w:rFonts w:eastAsia="宋体"/>
      <w:b/>
      <w:bCs/>
      <w:kern w:val="2"/>
      <w:sz w:val="21"/>
      <w:szCs w:val="24"/>
      <w:lang w:val="en-US" w:eastAsia="zh-CN" w:bidi="ar-SA"/>
    </w:rPr>
  </w:style>
  <w:style w:type="character" w:customStyle="1" w:styleId="163">
    <w:name w:val="Comment Text Char"/>
    <w:qFormat/>
    <w:locked/>
    <w:uiPriority w:val="0"/>
    <w:rPr>
      <w:rFonts w:ascii="宋体" w:hAnsi="宋体" w:eastAsia="宋体"/>
      <w:kern w:val="2"/>
      <w:sz w:val="24"/>
      <w:lang w:val="en-US" w:eastAsia="zh-CN" w:bidi="ar-SA"/>
    </w:rPr>
  </w:style>
  <w:style w:type="character" w:customStyle="1" w:styleId="164">
    <w:name w:val="标题 2 字符"/>
    <w:qFormat/>
    <w:uiPriority w:val="1"/>
    <w:rPr>
      <w:rFonts w:ascii="仿宋_GB2312" w:hAnsi="Times New Roman" w:eastAsia="仿宋_GB2312" w:cs="Times New Roman"/>
      <w:b/>
      <w:kern w:val="2"/>
      <w:sz w:val="24"/>
      <w:lang w:val="zh-CN"/>
    </w:rPr>
  </w:style>
  <w:style w:type="character" w:customStyle="1" w:styleId="165">
    <w:name w:val="Char Char72"/>
    <w:qFormat/>
    <w:uiPriority w:val="0"/>
    <w:rPr>
      <w:rFonts w:eastAsia="宋体"/>
      <w:kern w:val="2"/>
      <w:sz w:val="21"/>
      <w:szCs w:val="24"/>
      <w:lang w:val="en-US" w:eastAsia="zh-CN" w:bidi="ar-SA"/>
    </w:rPr>
  </w:style>
  <w:style w:type="character" w:customStyle="1" w:styleId="166">
    <w:name w:val="正文文本缩进 Char2"/>
    <w:qFormat/>
    <w:uiPriority w:val="0"/>
    <w:rPr>
      <w:rFonts w:ascii="Times New Roman" w:hAnsi="Times New Roman" w:eastAsia="宋体" w:cs="Times New Roman"/>
      <w:snapToGrid w:val="0"/>
      <w:kern w:val="0"/>
      <w:szCs w:val="24"/>
    </w:rPr>
  </w:style>
  <w:style w:type="character" w:customStyle="1" w:styleId="167">
    <w:name w:val="样式2 Char"/>
    <w:qFormat/>
    <w:uiPriority w:val="0"/>
    <w:rPr>
      <w:rFonts w:ascii="仿宋_GB2312" w:hAnsi="仿宋" w:eastAsia="仿宋_GB2312" w:cs="仿宋_GB2312"/>
      <w:b/>
      <w:bCs/>
      <w:sz w:val="32"/>
      <w:szCs w:val="30"/>
      <w:lang w:val="zh-CN"/>
    </w:rPr>
  </w:style>
  <w:style w:type="character" w:customStyle="1" w:styleId="168">
    <w:name w:val="表格名称[858D7CFB-ED40-4347-BF05-701D383B685F]"/>
    <w:link w:val="169"/>
    <w:qFormat/>
    <w:uiPriority w:val="0"/>
    <w:rPr>
      <w:sz w:val="32"/>
    </w:rPr>
  </w:style>
  <w:style w:type="paragraph" w:customStyle="1" w:styleId="169">
    <w:name w:val="表格名称"/>
    <w:basedOn w:val="4"/>
    <w:link w:val="168"/>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0">
    <w:name w:val="Char Char4"/>
    <w:qFormat/>
    <w:uiPriority w:val="0"/>
    <w:rPr>
      <w:rFonts w:eastAsia="宋体"/>
      <w:b/>
      <w:sz w:val="24"/>
      <w:lang w:val="en-GB" w:eastAsia="zh-CN" w:bidi="ar-SA"/>
    </w:rPr>
  </w:style>
  <w:style w:type="character" w:customStyle="1" w:styleId="171">
    <w:name w:val="c7 style3"/>
    <w:qFormat/>
    <w:uiPriority w:val="0"/>
  </w:style>
  <w:style w:type="character" w:customStyle="1" w:styleId="172">
    <w:name w:val="正文文本 3 Char1"/>
    <w:semiHidden/>
    <w:qFormat/>
    <w:uiPriority w:val="99"/>
    <w:rPr>
      <w:rFonts w:ascii="Times New Roman" w:hAnsi="Times New Roman" w:eastAsia="宋体" w:cs="Times New Roman"/>
      <w:sz w:val="16"/>
      <w:szCs w:val="16"/>
    </w:rPr>
  </w:style>
  <w:style w:type="character" w:customStyle="1" w:styleId="173">
    <w:name w:val="tw4winInternal"/>
    <w:qFormat/>
    <w:uiPriority w:val="0"/>
    <w:rPr>
      <w:rFonts w:ascii="Courier New" w:hAnsi="Courier New" w:cs="Courier New"/>
      <w:color w:val="FF0000"/>
      <w:lang w:val="en-US" w:eastAsia="zh-CN"/>
    </w:rPr>
  </w:style>
  <w:style w:type="character" w:customStyle="1" w:styleId="174">
    <w:name w:val="Char Char10"/>
    <w:semiHidden/>
    <w:qFormat/>
    <w:uiPriority w:val="0"/>
    <w:rPr>
      <w:rFonts w:ascii="宋体" w:hAnsi="宋体"/>
      <w:kern w:val="2"/>
      <w:sz w:val="21"/>
      <w:szCs w:val="24"/>
      <w:lang w:val="en-US" w:eastAsia="zh-CN"/>
    </w:rPr>
  </w:style>
  <w:style w:type="character" w:customStyle="1" w:styleId="175">
    <w:name w:val="shadow11"/>
    <w:qFormat/>
    <w:uiPriority w:val="0"/>
    <w:rPr>
      <w:color w:val="000000"/>
      <w:sz w:val="21"/>
    </w:rPr>
  </w:style>
  <w:style w:type="character" w:customStyle="1" w:styleId="176">
    <w:name w:val="正文非缩进 Char3"/>
    <w:qFormat/>
    <w:uiPriority w:val="0"/>
    <w:rPr>
      <w:rFonts w:ascii="宋体" w:eastAsia="宋体"/>
      <w:snapToGrid w:val="0"/>
      <w:color w:val="000000"/>
      <w:kern w:val="28"/>
      <w:sz w:val="28"/>
      <w:lang w:val="en-US" w:eastAsia="zh-CN" w:bidi="ar-SA"/>
    </w:rPr>
  </w:style>
  <w:style w:type="character" w:customStyle="1" w:styleId="177">
    <w:name w:val="Char Char"/>
    <w:qFormat/>
    <w:uiPriority w:val="0"/>
    <w:rPr>
      <w:rFonts w:ascii="宋体" w:hAnsi="Courier New" w:eastAsia="宋体"/>
      <w:kern w:val="2"/>
      <w:sz w:val="21"/>
      <w:lang w:val="en-US" w:eastAsia="zh-CN" w:bidi="ar-SA"/>
    </w:rPr>
  </w:style>
  <w:style w:type="character" w:customStyle="1" w:styleId="178">
    <w:name w:val="签名 Char1"/>
    <w:qFormat/>
    <w:uiPriority w:val="0"/>
    <w:rPr>
      <w:rFonts w:ascii="Times New Roman" w:hAnsi="Times New Roman" w:eastAsia="宋体" w:cs="Times New Roman"/>
      <w:szCs w:val="24"/>
    </w:rPr>
  </w:style>
  <w:style w:type="character" w:customStyle="1" w:styleId="179">
    <w:name w:val="日期 Char"/>
    <w:link w:val="37"/>
    <w:qFormat/>
    <w:uiPriority w:val="0"/>
    <w:rPr>
      <w:rFonts w:ascii="宋体"/>
      <w:kern w:val="2"/>
      <w:sz w:val="24"/>
      <w:szCs w:val="21"/>
      <w:lang w:val="zh-CN"/>
    </w:rPr>
  </w:style>
  <w:style w:type="character" w:customStyle="1" w:styleId="180">
    <w:name w:val="标题 9 Char"/>
    <w:link w:val="11"/>
    <w:qFormat/>
    <w:uiPriority w:val="0"/>
    <w:rPr>
      <w:rFonts w:ascii="Arial" w:hAnsi="Arial" w:eastAsia="黑体"/>
      <w:kern w:val="2"/>
      <w:sz w:val="21"/>
      <w:szCs w:val="21"/>
    </w:rPr>
  </w:style>
  <w:style w:type="character" w:customStyle="1" w:styleId="181">
    <w:name w:val="Char Char18"/>
    <w:qFormat/>
    <w:uiPriority w:val="6"/>
    <w:rPr>
      <w:rFonts w:ascii="宋体" w:hAnsi="宋体"/>
      <w:sz w:val="28"/>
    </w:rPr>
  </w:style>
  <w:style w:type="character" w:customStyle="1" w:styleId="182">
    <w:name w:val="批注文字 Char"/>
    <w:qFormat/>
    <w:uiPriority w:val="99"/>
    <w:rPr>
      <w:kern w:val="2"/>
      <w:sz w:val="21"/>
      <w:szCs w:val="24"/>
    </w:rPr>
  </w:style>
  <w:style w:type="character" w:customStyle="1" w:styleId="183">
    <w:name w:val="Char Char22"/>
    <w:qFormat/>
    <w:uiPriority w:val="6"/>
    <w:rPr>
      <w:rFonts w:ascii="宋体" w:hAnsi="宋体"/>
      <w:kern w:val="1"/>
      <w:sz w:val="24"/>
      <w:szCs w:val="24"/>
    </w:rPr>
  </w:style>
  <w:style w:type="character" w:customStyle="1" w:styleId="184">
    <w:name w:val="pt141"/>
    <w:qFormat/>
    <w:uiPriority w:val="0"/>
    <w:rPr>
      <w:color w:val="330066"/>
      <w:sz w:val="22"/>
      <w:szCs w:val="22"/>
    </w:rPr>
  </w:style>
  <w:style w:type="character" w:customStyle="1" w:styleId="185">
    <w:name w:val="正文文本缩进 2 Char1"/>
    <w:semiHidden/>
    <w:qFormat/>
    <w:uiPriority w:val="99"/>
    <w:rPr>
      <w:rFonts w:ascii="Times New Roman" w:hAnsi="Times New Roman" w:eastAsia="宋体" w:cs="Times New Roman"/>
      <w:szCs w:val="24"/>
    </w:rPr>
  </w:style>
  <w:style w:type="character" w:customStyle="1" w:styleId="186">
    <w:name w:val="批注框文本 Char"/>
    <w:link w:val="40"/>
    <w:qFormat/>
    <w:uiPriority w:val="0"/>
    <w:rPr>
      <w:kern w:val="2"/>
      <w:sz w:val="18"/>
      <w:szCs w:val="18"/>
    </w:rPr>
  </w:style>
  <w:style w:type="character" w:customStyle="1" w:styleId="187">
    <w:name w:val="Char Char611"/>
    <w:qFormat/>
    <w:uiPriority w:val="0"/>
    <w:rPr>
      <w:rFonts w:eastAsia="宋体"/>
      <w:kern w:val="2"/>
      <w:sz w:val="21"/>
      <w:szCs w:val="24"/>
      <w:lang w:val="en-US" w:eastAsia="zh-CN" w:bidi="ar-SA"/>
    </w:rPr>
  </w:style>
  <w:style w:type="character" w:customStyle="1" w:styleId="188">
    <w:name w:val="highlight1"/>
    <w:qFormat/>
    <w:uiPriority w:val="0"/>
    <w:rPr>
      <w:rFonts w:ascii="仿宋_GB2312" w:eastAsia="微软雅黑"/>
      <w:b/>
      <w:kern w:val="2"/>
      <w:sz w:val="23"/>
      <w:szCs w:val="23"/>
      <w:lang w:val="en-US" w:eastAsia="zh-CN" w:bidi="ar-SA"/>
    </w:rPr>
  </w:style>
  <w:style w:type="character" w:customStyle="1" w:styleId="189">
    <w:name w:val="my正文 Char"/>
    <w:link w:val="190"/>
    <w:qFormat/>
    <w:locked/>
    <w:uiPriority w:val="0"/>
    <w:rPr>
      <w:rFonts w:ascii="Tahoma" w:hAnsi="Tahoma"/>
      <w:sz w:val="24"/>
      <w:szCs w:val="24"/>
    </w:rPr>
  </w:style>
  <w:style w:type="paragraph" w:customStyle="1" w:styleId="190">
    <w:name w:val="my正文"/>
    <w:basedOn w:val="1"/>
    <w:link w:val="189"/>
    <w:qFormat/>
    <w:uiPriority w:val="0"/>
    <w:pPr>
      <w:adjustRightInd/>
      <w:spacing w:line="360" w:lineRule="auto"/>
      <w:ind w:firstLine="480" w:firstLineChars="200"/>
    </w:pPr>
    <w:rPr>
      <w:rFonts w:ascii="Tahoma" w:hAnsi="Tahoma"/>
      <w:kern w:val="0"/>
      <w:sz w:val="24"/>
    </w:rPr>
  </w:style>
  <w:style w:type="character" w:customStyle="1" w:styleId="191">
    <w:name w:val="正文缩进 Char2"/>
    <w:link w:val="2"/>
    <w:qFormat/>
    <w:uiPriority w:val="0"/>
    <w:rPr>
      <w:rFonts w:ascii="宋体" w:eastAsia="宋体"/>
      <w:snapToGrid w:val="0"/>
      <w:color w:val="000000"/>
      <w:kern w:val="28"/>
      <w:sz w:val="28"/>
      <w:lang w:val="en-US" w:eastAsia="zh-CN" w:bidi="ar-SA"/>
    </w:rPr>
  </w:style>
  <w:style w:type="character" w:customStyle="1" w:styleId="192">
    <w:name w:val="Used by Word for text of Help footnotes Char Char1"/>
    <w:qFormat/>
    <w:uiPriority w:val="0"/>
    <w:rPr>
      <w:color w:val="0000FF"/>
      <w:sz w:val="21"/>
    </w:rPr>
  </w:style>
  <w:style w:type="character" w:customStyle="1" w:styleId="193">
    <w:name w:val="页眉 Char"/>
    <w:qFormat/>
    <w:uiPriority w:val="0"/>
    <w:rPr>
      <w:rFonts w:eastAsia="仿宋_GB2312"/>
      <w:kern w:val="2"/>
      <w:sz w:val="18"/>
      <w:lang w:val="en-US" w:eastAsia="zh-CN"/>
    </w:rPr>
  </w:style>
  <w:style w:type="character" w:customStyle="1" w:styleId="194">
    <w:name w:val="FA正文 Char Char"/>
    <w:qFormat/>
    <w:uiPriority w:val="0"/>
    <w:rPr>
      <w:rFonts w:hAnsi="宋体"/>
      <w:kern w:val="2"/>
      <w:sz w:val="24"/>
      <w:lang w:bidi="ar-SA"/>
    </w:rPr>
  </w:style>
  <w:style w:type="character" w:customStyle="1" w:styleId="195">
    <w:name w:val="纯文本 字符"/>
    <w:qFormat/>
    <w:uiPriority w:val="0"/>
    <w:rPr>
      <w:rFonts w:ascii="宋体" w:hAnsi="Courier New" w:eastAsia="宋体" w:cs="Arial"/>
      <w:snapToGrid w:val="0"/>
      <w:kern w:val="2"/>
      <w:sz w:val="21"/>
      <w:szCs w:val="21"/>
      <w:lang w:val="en-US" w:eastAsia="zh-CN" w:bidi="ar-SA"/>
    </w:rPr>
  </w:style>
  <w:style w:type="character" w:customStyle="1" w:styleId="196">
    <w:name w:val="3级 Char"/>
    <w:link w:val="197"/>
    <w:qFormat/>
    <w:uiPriority w:val="0"/>
    <w:rPr>
      <w:rFonts w:ascii="宋体" w:hAnsi="宋体"/>
      <w:b/>
      <w:bCs/>
      <w:snapToGrid/>
      <w:sz w:val="28"/>
    </w:rPr>
  </w:style>
  <w:style w:type="paragraph" w:customStyle="1" w:styleId="197">
    <w:name w:val="3级"/>
    <w:basedOn w:val="198"/>
    <w:link w:val="196"/>
    <w:qFormat/>
    <w:uiPriority w:val="0"/>
    <w:pPr>
      <w:ind w:left="0" w:right="466" w:firstLine="288"/>
    </w:pPr>
    <w:rPr>
      <w:rFonts w:hAnsi="宋体"/>
      <w:snapToGrid/>
    </w:rPr>
  </w:style>
  <w:style w:type="paragraph" w:customStyle="1" w:styleId="198">
    <w:name w:val="样式 标题 3h33rd level3BOD 0H3l3CTHeading 3 - oldLevel 3 He..."/>
    <w:basedOn w:val="5"/>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199">
    <w:name w:val="myp11"/>
    <w:qFormat/>
    <w:uiPriority w:val="0"/>
    <w:rPr>
      <w:rFonts w:ascii="仿宋_GB2312" w:eastAsia="微软雅黑"/>
      <w:b/>
      <w:kern w:val="2"/>
      <w:sz w:val="32"/>
      <w:szCs w:val="32"/>
      <w:lang w:val="en-US" w:eastAsia="zh-CN" w:bidi="ar-SA"/>
    </w:rPr>
  </w:style>
  <w:style w:type="character" w:customStyle="1" w:styleId="200">
    <w:name w:val="文档结构图 Char1"/>
    <w:link w:val="19"/>
    <w:qFormat/>
    <w:uiPriority w:val="0"/>
    <w:rPr>
      <w:kern w:val="2"/>
      <w:sz w:val="21"/>
      <w:szCs w:val="24"/>
      <w:shd w:val="clear" w:color="auto" w:fill="000080"/>
    </w:rPr>
  </w:style>
  <w:style w:type="character" w:customStyle="1" w:styleId="201">
    <w:name w:val="H6 Char"/>
    <w:qFormat/>
    <w:uiPriority w:val="0"/>
    <w:rPr>
      <w:rFonts w:ascii="Arial" w:hAnsi="Arial" w:eastAsia="黑体"/>
      <w:b/>
      <w:bCs/>
      <w:kern w:val="2"/>
      <w:sz w:val="24"/>
      <w:szCs w:val="24"/>
    </w:rPr>
  </w:style>
  <w:style w:type="character" w:customStyle="1" w:styleId="202">
    <w:name w:val="Char Char91"/>
    <w:qFormat/>
    <w:uiPriority w:val="0"/>
    <w:rPr>
      <w:rFonts w:eastAsia="宋体"/>
      <w:kern w:val="2"/>
      <w:sz w:val="18"/>
      <w:szCs w:val="18"/>
      <w:lang w:val="en-US" w:eastAsia="zh-CN" w:bidi="ar-SA"/>
    </w:rPr>
  </w:style>
  <w:style w:type="character" w:customStyle="1" w:styleId="203">
    <w:name w:val="副标题 Char1"/>
    <w:qFormat/>
    <w:uiPriority w:val="0"/>
    <w:rPr>
      <w:rFonts w:ascii="Cambria" w:hAnsi="Cambria" w:eastAsia="宋体" w:cs="Times New Roman"/>
      <w:b/>
      <w:bCs/>
      <w:snapToGrid w:val="0"/>
      <w:kern w:val="28"/>
      <w:sz w:val="32"/>
      <w:szCs w:val="32"/>
    </w:rPr>
  </w:style>
  <w:style w:type="character" w:customStyle="1" w:styleId="204">
    <w:name w:val="font61"/>
    <w:qFormat/>
    <w:uiPriority w:val="0"/>
    <w:rPr>
      <w:rFonts w:hint="eastAsia" w:ascii="仿宋" w:hAnsi="仿宋" w:eastAsia="仿宋" w:cs="仿宋"/>
      <w:color w:val="000000"/>
      <w:sz w:val="20"/>
      <w:szCs w:val="20"/>
      <w:u w:val="none"/>
    </w:rPr>
  </w:style>
  <w:style w:type="character" w:customStyle="1" w:styleId="205">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06">
    <w:name w:val="Char Char211"/>
    <w:qFormat/>
    <w:uiPriority w:val="0"/>
    <w:rPr>
      <w:rFonts w:eastAsia="宋体"/>
      <w:b/>
      <w:bCs/>
      <w:kern w:val="2"/>
      <w:sz w:val="21"/>
      <w:szCs w:val="24"/>
      <w:lang w:val="en-US" w:eastAsia="zh-CN" w:bidi="ar-SA"/>
    </w:rPr>
  </w:style>
  <w:style w:type="character" w:customStyle="1" w:styleId="207">
    <w:name w:val="标题 2 Char"/>
    <w:qFormat/>
    <w:uiPriority w:val="0"/>
    <w:rPr>
      <w:rFonts w:ascii="Arial" w:hAnsi="Arial" w:eastAsia="黑体"/>
      <w:b/>
      <w:kern w:val="2"/>
      <w:sz w:val="32"/>
      <w:lang w:val="en-US" w:eastAsia="zh-CN"/>
    </w:rPr>
  </w:style>
  <w:style w:type="character" w:customStyle="1" w:styleId="208">
    <w:name w:val="maywed421"/>
    <w:qFormat/>
    <w:uiPriority w:val="0"/>
    <w:rPr>
      <w:color w:val="366FB6"/>
      <w:u w:val="none"/>
    </w:rPr>
  </w:style>
  <w:style w:type="character" w:customStyle="1" w:styleId="209">
    <w:name w:val="正文文本缩进 Char"/>
    <w:qFormat/>
    <w:uiPriority w:val="0"/>
    <w:rPr>
      <w:rFonts w:ascii="宋体" w:hAnsi="宋体"/>
      <w:kern w:val="2"/>
      <w:sz w:val="24"/>
      <w:szCs w:val="24"/>
    </w:rPr>
  </w:style>
  <w:style w:type="character" w:customStyle="1" w:styleId="210">
    <w:name w:val="Char Char102"/>
    <w:semiHidden/>
    <w:qFormat/>
    <w:uiPriority w:val="0"/>
    <w:rPr>
      <w:rFonts w:ascii="宋体" w:hAnsi="宋体"/>
      <w:kern w:val="2"/>
      <w:sz w:val="21"/>
      <w:szCs w:val="24"/>
      <w:lang w:val="en-US" w:eastAsia="zh-CN"/>
    </w:rPr>
  </w:style>
  <w:style w:type="character" w:customStyle="1" w:styleId="211">
    <w:name w:val="页眉 Char1"/>
    <w:qFormat/>
    <w:uiPriority w:val="0"/>
    <w:rPr>
      <w:rFonts w:eastAsia="宋体"/>
      <w:kern w:val="2"/>
      <w:sz w:val="18"/>
      <w:szCs w:val="18"/>
      <w:lang w:val="en-US" w:eastAsia="zh-CN" w:bidi="ar-SA"/>
    </w:rPr>
  </w:style>
  <w:style w:type="character" w:customStyle="1" w:styleId="212">
    <w:name w:val="md"/>
    <w:basedOn w:val="70"/>
    <w:qFormat/>
    <w:uiPriority w:val="0"/>
    <w:rPr>
      <w:rFonts w:ascii="Arial" w:hAnsi="Arial" w:eastAsia="黑体" w:cs="Arial"/>
      <w:snapToGrid w:val="0"/>
      <w:kern w:val="0"/>
      <w:szCs w:val="21"/>
    </w:rPr>
  </w:style>
  <w:style w:type="character" w:customStyle="1" w:styleId="213">
    <w:name w:val="big1"/>
    <w:qFormat/>
    <w:uiPriority w:val="0"/>
    <w:rPr>
      <w:rFonts w:hint="eastAsia" w:ascii="宋体" w:hAnsi="宋体" w:eastAsia="宋体"/>
      <w:color w:val="333333"/>
      <w:sz w:val="22"/>
      <w:szCs w:val="22"/>
    </w:rPr>
  </w:style>
  <w:style w:type="character" w:customStyle="1" w:styleId="214">
    <w:name w:val="Char Char311"/>
    <w:qFormat/>
    <w:uiPriority w:val="0"/>
    <w:rPr>
      <w:rFonts w:eastAsia="宋体"/>
      <w:kern w:val="2"/>
      <w:sz w:val="21"/>
      <w:szCs w:val="24"/>
      <w:lang w:val="en-US" w:eastAsia="zh-CN" w:bidi="ar-SA"/>
    </w:rPr>
  </w:style>
  <w:style w:type="character" w:customStyle="1" w:styleId="215">
    <w:name w:val="Char Char81"/>
    <w:qFormat/>
    <w:uiPriority w:val="6"/>
    <w:rPr>
      <w:rFonts w:eastAsia="宋体"/>
      <w:b/>
      <w:sz w:val="24"/>
      <w:lang w:val="en-GB" w:eastAsia="zh-CN"/>
    </w:rPr>
  </w:style>
  <w:style w:type="character" w:customStyle="1" w:styleId="216">
    <w:name w:val="样式3 Char"/>
    <w:basedOn w:val="167"/>
    <w:qFormat/>
    <w:uiPriority w:val="0"/>
    <w:rPr>
      <w:rFonts w:ascii="仿宋_GB2312" w:hAnsi="仿宋" w:eastAsia="仿宋_GB2312" w:cs="仿宋_GB2312"/>
      <w:sz w:val="32"/>
      <w:szCs w:val="30"/>
      <w:lang w:val="zh-CN"/>
    </w:rPr>
  </w:style>
  <w:style w:type="character" w:customStyle="1" w:styleId="217">
    <w:name w:val="HTML 地址 Char"/>
    <w:link w:val="31"/>
    <w:qFormat/>
    <w:uiPriority w:val="0"/>
    <w:rPr>
      <w:rFonts w:ascii="宋体" w:hAnsi="宋体"/>
      <w:i/>
      <w:iCs/>
      <w:sz w:val="24"/>
      <w:szCs w:val="24"/>
    </w:rPr>
  </w:style>
  <w:style w:type="character" w:customStyle="1" w:styleId="218">
    <w:name w:val="正文首行缩进 2 Char1"/>
    <w:qFormat/>
    <w:uiPriority w:val="0"/>
    <w:rPr>
      <w:rFonts w:ascii="Times New Roman" w:hAnsi="Times New Roman" w:eastAsia="宋体" w:cs="Times New Roman"/>
      <w:kern w:val="2"/>
      <w:sz w:val="24"/>
      <w:szCs w:val="24"/>
    </w:rPr>
  </w:style>
  <w:style w:type="character" w:customStyle="1" w:styleId="219">
    <w:name w:val="副标题 Char2"/>
    <w:qFormat/>
    <w:uiPriority w:val="0"/>
    <w:rPr>
      <w:rFonts w:ascii="Cambria" w:hAnsi="Cambria" w:eastAsia="宋体" w:cs="Times New Roman"/>
      <w:b/>
      <w:bCs/>
      <w:snapToGrid w:val="0"/>
      <w:kern w:val="28"/>
      <w:sz w:val="32"/>
      <w:szCs w:val="32"/>
    </w:rPr>
  </w:style>
  <w:style w:type="character" w:customStyle="1" w:styleId="220">
    <w:name w:val="标题4-dyf Char"/>
    <w:link w:val="221"/>
    <w:qFormat/>
    <w:uiPriority w:val="0"/>
    <w:rPr>
      <w:rFonts w:ascii="Cambria" w:hAnsi="Cambria"/>
      <w:b/>
      <w:bCs/>
      <w:color w:val="000000"/>
      <w:kern w:val="2"/>
      <w:sz w:val="21"/>
      <w:szCs w:val="21"/>
    </w:rPr>
  </w:style>
  <w:style w:type="paragraph" w:customStyle="1" w:styleId="221">
    <w:name w:val="标题4-dyf"/>
    <w:basedOn w:val="6"/>
    <w:link w:val="220"/>
    <w:qFormat/>
    <w:uiPriority w:val="0"/>
    <w:pPr>
      <w:tabs>
        <w:tab w:val="left" w:pos="851"/>
        <w:tab w:val="clear" w:pos="864"/>
      </w:tabs>
      <w:adjustRightInd/>
      <w:spacing w:line="376" w:lineRule="atLeast"/>
      <w:ind w:left="851" w:hanging="851"/>
    </w:pPr>
    <w:rPr>
      <w:rFonts w:ascii="Cambria" w:hAnsi="Cambria" w:eastAsia="宋体"/>
      <w:color w:val="000000"/>
      <w:sz w:val="21"/>
      <w:szCs w:val="21"/>
    </w:rPr>
  </w:style>
  <w:style w:type="character" w:customStyle="1" w:styleId="222">
    <w:name w:val="dectext1"/>
    <w:qFormat/>
    <w:uiPriority w:val="0"/>
    <w:rPr>
      <w:rFonts w:ascii="宋体" w:hAnsi="宋体" w:eastAsia="宋体"/>
      <w:color w:val="333333"/>
      <w:sz w:val="21"/>
      <w:szCs w:val="21"/>
      <w:u w:val="none"/>
    </w:rPr>
  </w:style>
  <w:style w:type="character" w:customStyle="1" w:styleId="223">
    <w:name w:val="冯 Char"/>
    <w:link w:val="224"/>
    <w:qFormat/>
    <w:uiPriority w:val="0"/>
    <w:rPr>
      <w:rFonts w:ascii="宋体" w:hAnsi="宋体"/>
      <w:color w:val="000000"/>
      <w:sz w:val="24"/>
      <w:szCs w:val="24"/>
    </w:rPr>
  </w:style>
  <w:style w:type="paragraph" w:customStyle="1" w:styleId="224">
    <w:name w:val="冯"/>
    <w:basedOn w:val="1"/>
    <w:link w:val="223"/>
    <w:qFormat/>
    <w:uiPriority w:val="0"/>
    <w:pPr>
      <w:widowControl/>
      <w:adjustRightInd/>
      <w:spacing w:line="360" w:lineRule="auto"/>
      <w:ind w:firstLine="480" w:firstLineChars="200"/>
    </w:pPr>
    <w:rPr>
      <w:rFonts w:ascii="宋体" w:hAnsi="宋体"/>
      <w:color w:val="000000"/>
      <w:kern w:val="0"/>
      <w:sz w:val="24"/>
    </w:rPr>
  </w:style>
  <w:style w:type="character" w:customStyle="1" w:styleId="225">
    <w:name w:val="Header Char"/>
    <w:qFormat/>
    <w:locked/>
    <w:uiPriority w:val="0"/>
    <w:rPr>
      <w:rFonts w:eastAsia="宋体"/>
      <w:kern w:val="2"/>
      <w:sz w:val="18"/>
      <w:szCs w:val="18"/>
      <w:lang w:val="en-US" w:eastAsia="zh-CN" w:bidi="ar-SA"/>
    </w:rPr>
  </w:style>
  <w:style w:type="character" w:customStyle="1" w:styleId="226">
    <w:name w:val="Char Char12"/>
    <w:qFormat/>
    <w:uiPriority w:val="0"/>
    <w:rPr>
      <w:rFonts w:ascii="仿宋_GB2312" w:eastAsia="仿宋_GB2312"/>
      <w:b/>
      <w:bCs/>
      <w:kern w:val="2"/>
      <w:sz w:val="24"/>
      <w:szCs w:val="24"/>
      <w:lang w:val="zh-CN" w:eastAsia="zh-CN" w:bidi="ar-SA"/>
    </w:rPr>
  </w:style>
  <w:style w:type="character" w:customStyle="1" w:styleId="227">
    <w:name w:val="题注 Char"/>
    <w:link w:val="17"/>
    <w:qFormat/>
    <w:uiPriority w:val="0"/>
    <w:rPr>
      <w:b/>
      <w:kern w:val="2"/>
      <w:sz w:val="28"/>
    </w:rPr>
  </w:style>
  <w:style w:type="character" w:customStyle="1" w:styleId="228">
    <w:name w:val="普通文字 Char3"/>
    <w:qFormat/>
    <w:uiPriority w:val="0"/>
    <w:rPr>
      <w:rFonts w:ascii="宋体" w:hAnsi="Courier New" w:eastAsia="宋体"/>
      <w:kern w:val="2"/>
      <w:sz w:val="21"/>
      <w:lang w:val="en-US" w:eastAsia="zh-CN" w:bidi="ar-SA"/>
    </w:rPr>
  </w:style>
  <w:style w:type="character" w:customStyle="1" w:styleId="229">
    <w:name w:val="公文正文 Char"/>
    <w:qFormat/>
    <w:uiPriority w:val="0"/>
    <w:rPr>
      <w:rFonts w:ascii="仿宋_GB2312" w:eastAsia="仿宋_GB2312"/>
      <w:kern w:val="2"/>
      <w:sz w:val="24"/>
      <w:szCs w:val="24"/>
      <w:lang w:val="en-US" w:eastAsia="zh-CN" w:bidi="ar-SA"/>
    </w:rPr>
  </w:style>
  <w:style w:type="character" w:customStyle="1" w:styleId="230">
    <w:name w:val="正文首行缩进 Char Char Char Char Char"/>
    <w:qFormat/>
    <w:uiPriority w:val="0"/>
    <w:rPr>
      <w:rFonts w:ascii="宋体"/>
      <w:kern w:val="2"/>
      <w:sz w:val="24"/>
      <w:lang w:val="zh-CN"/>
    </w:rPr>
  </w:style>
  <w:style w:type="character" w:customStyle="1" w:styleId="231">
    <w:name w:val="PI Char"/>
    <w:qFormat/>
    <w:uiPriority w:val="0"/>
    <w:rPr>
      <w:rFonts w:ascii="宋体" w:hAnsi="宋体" w:eastAsia="宋体"/>
      <w:kern w:val="2"/>
      <w:sz w:val="24"/>
      <w:szCs w:val="24"/>
      <w:lang w:val="en-US" w:eastAsia="zh-CN" w:bidi="ar-SA"/>
    </w:rPr>
  </w:style>
  <w:style w:type="character" w:customStyle="1" w:styleId="232">
    <w:name w:val="Default Char"/>
    <w:link w:val="233"/>
    <w:qFormat/>
    <w:uiPriority w:val="0"/>
    <w:rPr>
      <w:rFonts w:ascii="仿宋_GB2312" w:eastAsia="仿宋_GB2312" w:cs="仿宋_GB2312"/>
      <w:color w:val="000000"/>
      <w:sz w:val="24"/>
      <w:szCs w:val="24"/>
      <w:lang w:val="en-US" w:eastAsia="zh-CN" w:bidi="ar-SA"/>
    </w:rPr>
  </w:style>
  <w:style w:type="paragraph" w:customStyle="1" w:styleId="233">
    <w:name w:val="Default"/>
    <w:link w:val="232"/>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character" w:customStyle="1" w:styleId="234">
    <w:name w:val="style91"/>
    <w:qFormat/>
    <w:uiPriority w:val="0"/>
    <w:rPr>
      <w:color w:val="333333"/>
    </w:rPr>
  </w:style>
  <w:style w:type="character" w:customStyle="1" w:styleId="235">
    <w:name w:val="列出段落 Char2"/>
    <w:qFormat/>
    <w:uiPriority w:val="34"/>
    <w:rPr>
      <w:rFonts w:ascii="Calibri" w:hAnsi="Calibri"/>
      <w:kern w:val="2"/>
      <w:sz w:val="28"/>
    </w:rPr>
  </w:style>
  <w:style w:type="character" w:customStyle="1" w:styleId="236">
    <w:name w:val="mdeck"/>
    <w:qFormat/>
    <w:uiPriority w:val="0"/>
    <w:rPr>
      <w:rFonts w:ascii="仿宋_GB2312" w:eastAsia="微软雅黑"/>
      <w:b/>
      <w:kern w:val="2"/>
      <w:sz w:val="32"/>
      <w:szCs w:val="32"/>
      <w:lang w:val="en-US" w:eastAsia="zh-CN" w:bidi="ar-SA"/>
    </w:rPr>
  </w:style>
  <w:style w:type="character" w:customStyle="1" w:styleId="237">
    <w:name w:val="unnamed11"/>
    <w:qFormat/>
    <w:uiPriority w:val="0"/>
    <w:rPr>
      <w:sz w:val="20"/>
      <w:szCs w:val="20"/>
    </w:rPr>
  </w:style>
  <w:style w:type="character" w:customStyle="1" w:styleId="238">
    <w:name w:val="正文文本 Char2"/>
    <w:semiHidden/>
    <w:qFormat/>
    <w:uiPriority w:val="99"/>
    <w:rPr>
      <w:rFonts w:ascii="Times New Roman" w:hAnsi="Times New Roman" w:eastAsia="宋体" w:cs="Times New Roman"/>
      <w:snapToGrid w:val="0"/>
      <w:kern w:val="0"/>
      <w:szCs w:val="24"/>
    </w:rPr>
  </w:style>
  <w:style w:type="character" w:customStyle="1" w:styleId="239">
    <w:name w:val="标书正文格式 Char"/>
    <w:qFormat/>
    <w:uiPriority w:val="0"/>
    <w:rPr>
      <w:rFonts w:eastAsia="楷体_GB2312"/>
      <w:kern w:val="2"/>
      <w:sz w:val="24"/>
      <w:szCs w:val="24"/>
      <w:lang w:bidi="ar-SA"/>
    </w:rPr>
  </w:style>
  <w:style w:type="character" w:customStyle="1" w:styleId="240">
    <w:name w:val="Char Char11"/>
    <w:qFormat/>
    <w:locked/>
    <w:uiPriority w:val="0"/>
    <w:rPr>
      <w:rFonts w:ascii="宋体" w:hAnsi="宋体" w:eastAsia="宋体"/>
      <w:b/>
      <w:kern w:val="2"/>
      <w:sz w:val="24"/>
      <w:szCs w:val="24"/>
      <w:lang w:val="en-US" w:eastAsia="zh-CN" w:bidi="ar-SA"/>
    </w:rPr>
  </w:style>
  <w:style w:type="character" w:customStyle="1" w:styleId="241">
    <w:name w:val="ca-131"/>
    <w:qFormat/>
    <w:uiPriority w:val="0"/>
    <w:rPr>
      <w:rFonts w:hint="eastAsia" w:ascii="仿宋_GB2312" w:eastAsia="仿宋_GB2312"/>
      <w:b/>
      <w:bCs/>
      <w:color w:val="000000"/>
      <w:spacing w:val="-20"/>
      <w:sz w:val="24"/>
      <w:szCs w:val="24"/>
    </w:rPr>
  </w:style>
  <w:style w:type="character" w:customStyle="1" w:styleId="242">
    <w:name w:val="tw4winMark"/>
    <w:qFormat/>
    <w:uiPriority w:val="0"/>
    <w:rPr>
      <w:rFonts w:ascii="Courier New" w:hAnsi="Courier New" w:cs="Courier New"/>
      <w:vanish/>
      <w:color w:val="800080"/>
      <w:sz w:val="24"/>
      <w:szCs w:val="24"/>
      <w:vertAlign w:val="subscript"/>
    </w:rPr>
  </w:style>
  <w:style w:type="character" w:customStyle="1" w:styleId="243">
    <w:name w:val="正文样式 Char"/>
    <w:link w:val="244"/>
    <w:qFormat/>
    <w:uiPriority w:val="0"/>
    <w:rPr>
      <w:rFonts w:ascii="Calibri" w:hAnsi="Calibri"/>
      <w:sz w:val="24"/>
      <w:szCs w:val="24"/>
    </w:rPr>
  </w:style>
  <w:style w:type="paragraph" w:customStyle="1" w:styleId="244">
    <w:name w:val="正文样式"/>
    <w:basedOn w:val="1"/>
    <w:link w:val="243"/>
    <w:qFormat/>
    <w:uiPriority w:val="0"/>
    <w:pPr>
      <w:adjustRightInd/>
      <w:spacing w:line="360" w:lineRule="auto"/>
      <w:ind w:firstLine="480" w:firstLineChars="200"/>
    </w:pPr>
    <w:rPr>
      <w:kern w:val="0"/>
      <w:sz w:val="24"/>
    </w:rPr>
  </w:style>
  <w:style w:type="character" w:customStyle="1" w:styleId="245">
    <w:name w:val="表正文 Char3"/>
    <w:qFormat/>
    <w:uiPriority w:val="0"/>
    <w:rPr>
      <w:rFonts w:eastAsia="宋体"/>
    </w:rPr>
  </w:style>
  <w:style w:type="character" w:customStyle="1" w:styleId="246">
    <w:name w:val="H5 Char"/>
    <w:qFormat/>
    <w:uiPriority w:val="0"/>
    <w:rPr>
      <w:b/>
      <w:bCs/>
      <w:kern w:val="2"/>
      <w:sz w:val="28"/>
      <w:szCs w:val="28"/>
    </w:rPr>
  </w:style>
  <w:style w:type="character" w:customStyle="1" w:styleId="247">
    <w:name w:val="Char Char3"/>
    <w:qFormat/>
    <w:uiPriority w:val="0"/>
    <w:rPr>
      <w:rFonts w:eastAsia="宋体"/>
      <w:kern w:val="2"/>
      <w:sz w:val="21"/>
      <w:szCs w:val="24"/>
      <w:lang w:val="en-US" w:eastAsia="zh-CN" w:bidi="ar-SA"/>
    </w:rPr>
  </w:style>
  <w:style w:type="character" w:customStyle="1" w:styleId="248">
    <w:name w:val="正文 编号 Char"/>
    <w:qFormat/>
    <w:uiPriority w:val="0"/>
    <w:rPr>
      <w:rFonts w:ascii="仿宋_GB2312" w:hAnsi="仿宋_GB2312" w:eastAsia="仿宋_GB2312"/>
      <w:kern w:val="2"/>
      <w:sz w:val="24"/>
      <w:lang w:bidi="ar-SA"/>
    </w:rPr>
  </w:style>
  <w:style w:type="character" w:customStyle="1" w:styleId="249">
    <w:name w:val="question-title2"/>
    <w:qFormat/>
    <w:uiPriority w:val="6"/>
    <w:rPr>
      <w:rFonts w:ascii="Arial" w:hAnsi="Arial" w:eastAsia="黑体" w:cs="Arial"/>
      <w:snapToGrid w:val="0"/>
      <w:kern w:val="0"/>
      <w:szCs w:val="21"/>
    </w:rPr>
  </w:style>
  <w:style w:type="character" w:customStyle="1" w:styleId="250">
    <w:name w:val="gf正文1 Char Char"/>
    <w:link w:val="251"/>
    <w:qFormat/>
    <w:uiPriority w:val="0"/>
    <w:rPr>
      <w:rFonts w:ascii="宋体" w:hAnsi="宋体" w:cs="宋体"/>
      <w:kern w:val="2"/>
      <w:sz w:val="24"/>
      <w:szCs w:val="24"/>
    </w:rPr>
  </w:style>
  <w:style w:type="paragraph" w:customStyle="1" w:styleId="251">
    <w:name w:val="gf正文1"/>
    <w:basedOn w:val="1"/>
    <w:link w:val="250"/>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2">
    <w:name w:val="Char Char15"/>
    <w:qFormat/>
    <w:uiPriority w:val="6"/>
    <w:rPr>
      <w:rFonts w:ascii="宋体" w:hAnsi="宋体"/>
      <w:kern w:val="1"/>
      <w:sz w:val="21"/>
    </w:rPr>
  </w:style>
  <w:style w:type="character" w:customStyle="1" w:styleId="253">
    <w:name w:val="正文缩进 Char3"/>
    <w:qFormat/>
    <w:uiPriority w:val="0"/>
    <w:rPr>
      <w:rFonts w:ascii="宋体" w:eastAsia="宋体"/>
      <w:snapToGrid w:val="0"/>
      <w:color w:val="000000"/>
      <w:kern w:val="28"/>
      <w:sz w:val="28"/>
      <w:lang w:val="en-US" w:eastAsia="zh-CN" w:bidi="ar-SA"/>
    </w:rPr>
  </w:style>
  <w:style w:type="character" w:customStyle="1" w:styleId="254">
    <w:name w:val="列出段落 Char1"/>
    <w:link w:val="255"/>
    <w:qFormat/>
    <w:uiPriority w:val="0"/>
    <w:rPr>
      <w:rFonts w:ascii="Calibri" w:hAnsi="Calibri"/>
      <w:sz w:val="24"/>
      <w:lang w:eastAsia="en-US"/>
    </w:rPr>
  </w:style>
  <w:style w:type="paragraph" w:customStyle="1" w:styleId="255">
    <w:name w:val="列表1"/>
    <w:basedOn w:val="1"/>
    <w:next w:val="256"/>
    <w:link w:val="254"/>
    <w:qFormat/>
    <w:uiPriority w:val="0"/>
    <w:pPr>
      <w:widowControl/>
      <w:adjustRightInd/>
      <w:spacing w:after="200" w:line="360" w:lineRule="auto"/>
      <w:ind w:left="720" w:firstLine="200" w:firstLineChars="200"/>
      <w:jc w:val="left"/>
    </w:pPr>
    <w:rPr>
      <w:kern w:val="0"/>
      <w:sz w:val="24"/>
      <w:szCs w:val="20"/>
      <w:lang w:eastAsia="en-US"/>
    </w:rPr>
  </w:style>
  <w:style w:type="paragraph" w:styleId="256">
    <w:name w:val="List Paragraph"/>
    <w:basedOn w:val="1"/>
    <w:qFormat/>
    <w:uiPriority w:val="34"/>
    <w:pPr>
      <w:spacing w:line="360" w:lineRule="auto"/>
      <w:ind w:firstLine="200" w:firstLineChars="200"/>
    </w:pPr>
    <w:rPr>
      <w:rFonts w:eastAsia="楷体_GB2312" w:cs="Lucida Sans"/>
      <w:sz w:val="24"/>
    </w:rPr>
  </w:style>
  <w:style w:type="character" w:customStyle="1" w:styleId="257">
    <w:name w:val="Char Char8"/>
    <w:qFormat/>
    <w:uiPriority w:val="0"/>
    <w:rPr>
      <w:rFonts w:eastAsia="宋体"/>
      <w:b/>
      <w:sz w:val="24"/>
      <w:lang w:val="en-GB" w:eastAsia="zh-CN"/>
    </w:rPr>
  </w:style>
  <w:style w:type="character" w:customStyle="1" w:styleId="258">
    <w:name w:val="Normal Indent Char Char"/>
    <w:qFormat/>
    <w:uiPriority w:val="0"/>
    <w:rPr>
      <w:rFonts w:eastAsia="宋体"/>
      <w:kern w:val="2"/>
      <w:sz w:val="21"/>
      <w:lang w:val="en-US" w:eastAsia="zh-CN" w:bidi="ar-SA"/>
    </w:rPr>
  </w:style>
  <w:style w:type="character" w:customStyle="1" w:styleId="259">
    <w:name w:val="列表段落 字符"/>
    <w:qFormat/>
    <w:uiPriority w:val="99"/>
  </w:style>
  <w:style w:type="character" w:customStyle="1" w:styleId="260">
    <w:name w:val="Ò³Ã¼ Char Char1"/>
    <w:qFormat/>
    <w:uiPriority w:val="0"/>
    <w:rPr>
      <w:rFonts w:eastAsia="宋体"/>
      <w:kern w:val="2"/>
      <w:sz w:val="18"/>
      <w:szCs w:val="18"/>
      <w:lang w:val="en-US" w:eastAsia="zh-CN" w:bidi="ar-SA"/>
    </w:rPr>
  </w:style>
  <w:style w:type="character" w:customStyle="1" w:styleId="261">
    <w:name w:val="方案正文 Char"/>
    <w:qFormat/>
    <w:uiPriority w:val="0"/>
    <w:rPr>
      <w:rFonts w:ascii="仿宋_GB2312" w:eastAsia="仿宋_GB2312"/>
      <w:b/>
      <w:color w:val="000000"/>
      <w:kern w:val="2"/>
      <w:sz w:val="24"/>
      <w:lang w:val="en-US" w:eastAsia="zh-CN" w:bidi="ar-SA"/>
    </w:rPr>
  </w:style>
  <w:style w:type="character" w:customStyle="1" w:styleId="262">
    <w:name w:val="Char Char30"/>
    <w:qFormat/>
    <w:uiPriority w:val="6"/>
    <w:rPr>
      <w:rFonts w:ascii="Arial" w:hAnsi="Arial" w:eastAsia="黑体"/>
      <w:kern w:val="1"/>
      <w:sz w:val="21"/>
      <w:szCs w:val="21"/>
    </w:rPr>
  </w:style>
  <w:style w:type="character" w:customStyle="1" w:styleId="263">
    <w:name w:val="正文文本缩进 Char3"/>
    <w:link w:val="26"/>
    <w:qFormat/>
    <w:uiPriority w:val="0"/>
    <w:rPr>
      <w:rFonts w:ascii="宋体" w:hAnsi="宋体"/>
      <w:kern w:val="2"/>
      <w:sz w:val="24"/>
      <w:szCs w:val="24"/>
    </w:rPr>
  </w:style>
  <w:style w:type="character" w:customStyle="1" w:styleId="264">
    <w:name w:val="font01"/>
    <w:qFormat/>
    <w:uiPriority w:val="0"/>
    <w:rPr>
      <w:rFonts w:hint="eastAsia" w:ascii="微软雅黑" w:hAnsi="微软雅黑" w:eastAsia="微软雅黑" w:cs="微软雅黑"/>
      <w:color w:val="000000"/>
      <w:sz w:val="20"/>
      <w:szCs w:val="20"/>
      <w:u w:val="none"/>
    </w:rPr>
  </w:style>
  <w:style w:type="character" w:customStyle="1" w:styleId="265">
    <w:name w:val="Char Char20"/>
    <w:qFormat/>
    <w:uiPriority w:val="6"/>
    <w:rPr>
      <w:kern w:val="1"/>
      <w:sz w:val="24"/>
    </w:rPr>
  </w:style>
  <w:style w:type="character" w:customStyle="1" w:styleId="266">
    <w:name w:val="tw4winExternal"/>
    <w:qFormat/>
    <w:uiPriority w:val="0"/>
    <w:rPr>
      <w:rFonts w:ascii="Courier New" w:hAnsi="Courier New" w:cs="Courier New"/>
      <w:color w:val="808080"/>
      <w:lang w:val="en-US" w:eastAsia="zh-CN"/>
    </w:rPr>
  </w:style>
  <w:style w:type="character" w:customStyle="1" w:styleId="267">
    <w:name w:val="标题 4 Char1"/>
    <w:qFormat/>
    <w:uiPriority w:val="9"/>
    <w:rPr>
      <w:rFonts w:ascii="Cambria" w:hAnsi="Cambria" w:eastAsia="宋体" w:cs="Times New Roman"/>
      <w:b/>
      <w:bCs/>
      <w:kern w:val="2"/>
      <w:sz w:val="28"/>
      <w:szCs w:val="28"/>
    </w:rPr>
  </w:style>
  <w:style w:type="character" w:customStyle="1" w:styleId="268">
    <w:name w:val="批注文字 Char2"/>
    <w:qFormat/>
    <w:uiPriority w:val="99"/>
    <w:rPr>
      <w:rFonts w:ascii="Times New Roman" w:hAnsi="Times New Roman" w:eastAsia="宋体" w:cs="Times New Roman"/>
      <w:snapToGrid w:val="0"/>
      <w:kern w:val="0"/>
      <w:szCs w:val="24"/>
    </w:rPr>
  </w:style>
  <w:style w:type="character" w:customStyle="1" w:styleId="269">
    <w:name w:val="正文文本 2 Char"/>
    <w:qFormat/>
    <w:uiPriority w:val="0"/>
    <w:rPr>
      <w:rFonts w:eastAsia="宋体"/>
      <w:kern w:val="2"/>
      <w:sz w:val="21"/>
      <w:szCs w:val="24"/>
      <w:lang w:val="en-US" w:eastAsia="zh-CN" w:bidi="ar-SA"/>
    </w:rPr>
  </w:style>
  <w:style w:type="character" w:customStyle="1" w:styleId="270">
    <w:name w:val="Ò³Ã¼ Char Char"/>
    <w:qFormat/>
    <w:uiPriority w:val="0"/>
    <w:rPr>
      <w:rFonts w:eastAsia="宋体"/>
      <w:kern w:val="2"/>
      <w:sz w:val="18"/>
      <w:lang w:val="en-US" w:eastAsia="zh-CN" w:bidi="ar-SA"/>
    </w:rPr>
  </w:style>
  <w:style w:type="character" w:customStyle="1" w:styleId="271">
    <w:name w:val="message1"/>
    <w:qFormat/>
    <w:uiPriority w:val="0"/>
    <w:rPr>
      <w:rFonts w:hint="default" w:ascii="Tahoma" w:hAnsi="Tahoma" w:cs="Tahoma"/>
      <w:sz w:val="18"/>
      <w:szCs w:val="18"/>
    </w:rPr>
  </w:style>
  <w:style w:type="character" w:customStyle="1" w:styleId="272">
    <w:name w:val="Char Char23"/>
    <w:qFormat/>
    <w:uiPriority w:val="6"/>
    <w:rPr>
      <w:color w:val="0000FF"/>
      <w:sz w:val="21"/>
    </w:rPr>
  </w:style>
  <w:style w:type="character" w:customStyle="1" w:styleId="273">
    <w:name w:val="批注框文本 字符"/>
    <w:qFormat/>
    <w:uiPriority w:val="0"/>
    <w:rPr>
      <w:rFonts w:ascii="Arial" w:hAnsi="Arial" w:eastAsia="黑体" w:cs="Arial"/>
      <w:snapToGrid w:val="0"/>
      <w:kern w:val="0"/>
      <w:sz w:val="18"/>
      <w:szCs w:val="18"/>
    </w:rPr>
  </w:style>
  <w:style w:type="character" w:customStyle="1" w:styleId="274">
    <w:name w:val="纯文本 Char2"/>
    <w:semiHidden/>
    <w:qFormat/>
    <w:uiPriority w:val="99"/>
    <w:rPr>
      <w:rFonts w:ascii="宋体" w:hAnsi="Courier New" w:eastAsia="宋体" w:cs="Courier New"/>
    </w:rPr>
  </w:style>
  <w:style w:type="character" w:customStyle="1" w:styleId="275">
    <w:name w:val="Char Char25"/>
    <w:qFormat/>
    <w:uiPriority w:val="6"/>
    <w:rPr>
      <w:rFonts w:ascii="宋体" w:hAnsi="宋体"/>
      <w:kern w:val="1"/>
      <w:sz w:val="24"/>
      <w:lang w:val="zh-CN"/>
    </w:rPr>
  </w:style>
  <w:style w:type="character" w:customStyle="1" w:styleId="276">
    <w:name w:val="Char Char411"/>
    <w:qFormat/>
    <w:uiPriority w:val="0"/>
    <w:rPr>
      <w:rFonts w:eastAsia="宋体"/>
      <w:b/>
      <w:sz w:val="24"/>
      <w:lang w:val="en-GB" w:eastAsia="zh-CN" w:bidi="ar-SA"/>
    </w:rPr>
  </w:style>
  <w:style w:type="character" w:customStyle="1" w:styleId="277">
    <w:name w:val="Heading 7 Char"/>
    <w:qFormat/>
    <w:locked/>
    <w:uiPriority w:val="0"/>
    <w:rPr>
      <w:rFonts w:ascii="宋体" w:hAnsi="宋体" w:eastAsia="宋体"/>
      <w:b/>
      <w:bCs/>
      <w:kern w:val="2"/>
      <w:sz w:val="24"/>
      <w:szCs w:val="24"/>
      <w:lang w:val="en-US" w:eastAsia="zh-CN" w:bidi="ar-SA"/>
    </w:rPr>
  </w:style>
  <w:style w:type="character" w:customStyle="1" w:styleId="278">
    <w:name w:val="此正文 Char"/>
    <w:link w:val="279"/>
    <w:qFormat/>
    <w:uiPriority w:val="0"/>
    <w:rPr>
      <w:kern w:val="2"/>
      <w:sz w:val="24"/>
      <w:szCs w:val="24"/>
    </w:rPr>
  </w:style>
  <w:style w:type="paragraph" w:customStyle="1" w:styleId="279">
    <w:name w:val="此正文"/>
    <w:basedOn w:val="1"/>
    <w:link w:val="278"/>
    <w:qFormat/>
    <w:uiPriority w:val="0"/>
    <w:pPr>
      <w:adjustRightInd/>
      <w:spacing w:line="360" w:lineRule="auto"/>
      <w:ind w:firstLine="200" w:firstLineChars="200"/>
    </w:pPr>
    <w:rPr>
      <w:sz w:val="24"/>
    </w:rPr>
  </w:style>
  <w:style w:type="character" w:customStyle="1" w:styleId="280">
    <w:name w:val="Char Char2"/>
    <w:qFormat/>
    <w:uiPriority w:val="0"/>
    <w:rPr>
      <w:rFonts w:eastAsia="宋体"/>
      <w:b/>
      <w:bCs/>
      <w:kern w:val="2"/>
      <w:sz w:val="21"/>
      <w:szCs w:val="24"/>
      <w:lang w:val="en-US" w:eastAsia="zh-CN" w:bidi="ar-SA"/>
    </w:rPr>
  </w:style>
  <w:style w:type="character" w:customStyle="1" w:styleId="281">
    <w:name w:val="标题 1 Char"/>
    <w:link w:val="3"/>
    <w:qFormat/>
    <w:uiPriority w:val="9"/>
    <w:rPr>
      <w:b/>
      <w:bCs/>
      <w:kern w:val="44"/>
      <w:sz w:val="44"/>
      <w:szCs w:val="44"/>
    </w:rPr>
  </w:style>
  <w:style w:type="character" w:customStyle="1" w:styleId="282">
    <w:name w:val="Footer-Even Char1"/>
    <w:qFormat/>
    <w:uiPriority w:val="0"/>
    <w:rPr>
      <w:rFonts w:eastAsia="宋体"/>
      <w:kern w:val="2"/>
      <w:sz w:val="18"/>
      <w:szCs w:val="18"/>
      <w:lang w:val="en-US" w:eastAsia="zh-CN" w:bidi="ar-SA"/>
    </w:rPr>
  </w:style>
  <w:style w:type="character" w:customStyle="1" w:styleId="283">
    <w:name w:val="Char Char29"/>
    <w:qFormat/>
    <w:uiPriority w:val="6"/>
    <w:rPr>
      <w:rFonts w:ascii="Arial" w:hAnsi="Arial" w:eastAsia="微软雅黑"/>
      <w:b/>
      <w:kern w:val="1"/>
      <w:sz w:val="44"/>
      <w:szCs w:val="32"/>
      <w:lang w:val="en-US" w:eastAsia="zh-CN" w:bidi="ar-SA"/>
    </w:rPr>
  </w:style>
  <w:style w:type="character" w:customStyle="1" w:styleId="284">
    <w:name w:val="标题 Char2"/>
    <w:link w:val="60"/>
    <w:qFormat/>
    <w:uiPriority w:val="10"/>
    <w:rPr>
      <w:b/>
      <w:sz w:val="24"/>
      <w:lang w:val="en-GB"/>
    </w:rPr>
  </w:style>
  <w:style w:type="character" w:customStyle="1" w:styleId="285">
    <w:name w:val="font81"/>
    <w:qFormat/>
    <w:uiPriority w:val="0"/>
    <w:rPr>
      <w:rFonts w:ascii="微软雅黑" w:hAnsi="微软雅黑" w:eastAsia="微软雅黑" w:cs="微软雅黑"/>
      <w:color w:val="000000"/>
      <w:sz w:val="20"/>
      <w:szCs w:val="20"/>
      <w:u w:val="none"/>
    </w:rPr>
  </w:style>
  <w:style w:type="character" w:customStyle="1" w:styleId="286">
    <w:name w:val="Char Char312"/>
    <w:qFormat/>
    <w:uiPriority w:val="0"/>
    <w:rPr>
      <w:rFonts w:ascii="Times New Roman" w:hAnsi="Times New Roman" w:eastAsia="宋体" w:cs="Times New Roman"/>
      <w:b/>
      <w:kern w:val="2"/>
      <w:sz w:val="32"/>
      <w:szCs w:val="24"/>
      <w:lang w:val="en-US" w:eastAsia="zh-CN" w:bidi="ar-SA"/>
    </w:rPr>
  </w:style>
  <w:style w:type="character" w:customStyle="1" w:styleId="287">
    <w:name w:val="t21"/>
    <w:qFormat/>
    <w:uiPriority w:val="0"/>
    <w:rPr>
      <w:rFonts w:ascii="仿宋_GB2312" w:eastAsia="微软雅黑"/>
      <w:b/>
      <w:kern w:val="2"/>
      <w:sz w:val="23"/>
      <w:szCs w:val="23"/>
      <w:lang w:val="en-US" w:eastAsia="zh-CN" w:bidi="ar-SA"/>
    </w:rPr>
  </w:style>
  <w:style w:type="character" w:customStyle="1" w:styleId="288">
    <w:name w:val="样式8 Char"/>
    <w:qFormat/>
    <w:uiPriority w:val="0"/>
    <w:rPr>
      <w:rFonts w:ascii="仿宋_GB2312" w:hAnsi="宋体" w:eastAsia="仿宋_GB2312"/>
      <w:b/>
      <w:bCs/>
      <w:kern w:val="2"/>
      <w:sz w:val="24"/>
      <w:szCs w:val="24"/>
    </w:rPr>
  </w:style>
  <w:style w:type="character" w:customStyle="1" w:styleId="289">
    <w:name w:val="表格 Char Char"/>
    <w:qFormat/>
    <w:uiPriority w:val="0"/>
    <w:rPr>
      <w:rFonts w:ascii="宋体" w:hAnsi="宋体" w:eastAsia="宋体"/>
      <w:lang w:bidi="ar-SA"/>
    </w:rPr>
  </w:style>
  <w:style w:type="character" w:customStyle="1" w:styleId="290">
    <w:name w:val="正文文本 字符1"/>
    <w:qFormat/>
    <w:uiPriority w:val="0"/>
    <w:rPr>
      <w:rFonts w:ascii="Calibri" w:hAnsi="Calibri" w:eastAsia="黑体" w:cs="Arial"/>
      <w:snapToGrid w:val="0"/>
      <w:kern w:val="2"/>
      <w:sz w:val="28"/>
      <w:szCs w:val="21"/>
    </w:rPr>
  </w:style>
  <w:style w:type="character" w:customStyle="1" w:styleId="291">
    <w:name w:val="标题 5 Char"/>
    <w:link w:val="7"/>
    <w:qFormat/>
    <w:uiPriority w:val="9"/>
    <w:rPr>
      <w:b/>
      <w:bCs/>
      <w:kern w:val="2"/>
      <w:sz w:val="28"/>
      <w:szCs w:val="28"/>
    </w:rPr>
  </w:style>
  <w:style w:type="character" w:customStyle="1" w:styleId="292">
    <w:name w:val="标题 6 Char1"/>
    <w:qFormat/>
    <w:uiPriority w:val="0"/>
    <w:rPr>
      <w:rFonts w:ascii="Arial" w:hAnsi="Arial" w:eastAsia="黑体" w:cs="Times New Roman"/>
      <w:b/>
      <w:sz w:val="24"/>
      <w:szCs w:val="20"/>
      <w:lang w:bidi="ar-SA"/>
    </w:rPr>
  </w:style>
  <w:style w:type="character" w:customStyle="1" w:styleId="293">
    <w:name w:val="带编号样式 Char"/>
    <w:qFormat/>
    <w:uiPriority w:val="0"/>
    <w:rPr>
      <w:rFonts w:ascii="仿宋_GB2312" w:eastAsia="仿宋_GB2312"/>
      <w:color w:val="000000"/>
      <w:sz w:val="24"/>
      <w:lang w:bidi="ar-SA"/>
    </w:rPr>
  </w:style>
  <w:style w:type="character" w:customStyle="1" w:styleId="294">
    <w:name w:val="unnamed31"/>
    <w:qFormat/>
    <w:uiPriority w:val="0"/>
    <w:rPr>
      <w:rFonts w:ascii="Tahoma" w:hAnsi="Tahoma" w:eastAsia="宋体"/>
      <w:b/>
      <w:kern w:val="2"/>
      <w:sz w:val="24"/>
      <w:szCs w:val="32"/>
      <w:u w:val="none"/>
      <w:lang w:val="en-US" w:eastAsia="zh-CN" w:bidi="ar-SA"/>
    </w:rPr>
  </w:style>
  <w:style w:type="character" w:customStyle="1" w:styleId="295">
    <w:name w:val="正文首行缩进 Char Char Char Char Char Char1"/>
    <w:qFormat/>
    <w:uiPriority w:val="0"/>
    <w:rPr>
      <w:rFonts w:ascii="宋体" w:eastAsia="宋体"/>
      <w:kern w:val="2"/>
      <w:sz w:val="24"/>
      <w:szCs w:val="24"/>
      <w:lang w:val="zh-CN" w:bidi="ar-SA"/>
    </w:rPr>
  </w:style>
  <w:style w:type="character" w:customStyle="1" w:styleId="296">
    <w:name w:val="称呼 Char"/>
    <w:link w:val="21"/>
    <w:qFormat/>
    <w:uiPriority w:val="0"/>
    <w:rPr>
      <w:rFonts w:ascii="仿宋_GB2312" w:eastAsia="仿宋_GB2312"/>
      <w:kern w:val="2"/>
      <w:sz w:val="28"/>
    </w:rPr>
  </w:style>
  <w:style w:type="character" w:customStyle="1" w:styleId="297">
    <w:name w:val="文本正文 Char Char"/>
    <w:qFormat/>
    <w:locked/>
    <w:uiPriority w:val="0"/>
    <w:rPr>
      <w:sz w:val="24"/>
      <w:lang w:bidi="ar-SA"/>
    </w:rPr>
  </w:style>
  <w:style w:type="character" w:customStyle="1" w:styleId="298">
    <w:name w:val="正文缩进 字符"/>
    <w:qFormat/>
    <w:uiPriority w:val="0"/>
    <w:rPr>
      <w:rFonts w:ascii="宋体" w:eastAsia="宋体"/>
      <w:snapToGrid w:val="0"/>
      <w:color w:val="000000"/>
      <w:kern w:val="28"/>
      <w:sz w:val="28"/>
      <w:lang w:val="en-US" w:eastAsia="zh-CN" w:bidi="ar-SA"/>
    </w:rPr>
  </w:style>
  <w:style w:type="character" w:customStyle="1" w:styleId="299">
    <w:name w:val="HTML 预设格式 Char"/>
    <w:link w:val="58"/>
    <w:qFormat/>
    <w:uiPriority w:val="0"/>
    <w:rPr>
      <w:rFonts w:ascii="黑体" w:hAnsi="Courier New" w:eastAsia="黑体"/>
    </w:rPr>
  </w:style>
  <w:style w:type="character" w:customStyle="1" w:styleId="300">
    <w:name w:val="正文文本 2 Char1"/>
    <w:link w:val="57"/>
    <w:qFormat/>
    <w:uiPriority w:val="0"/>
    <w:rPr>
      <w:kern w:val="2"/>
      <w:sz w:val="21"/>
      <w:szCs w:val="24"/>
    </w:rPr>
  </w:style>
  <w:style w:type="character" w:customStyle="1" w:styleId="301">
    <w:name w:val="样式 样式 标题 4h4H4Fab-4T5Ref Heading 1rh1Heading sqlsect 1.2.3.... +... Char"/>
    <w:link w:val="302"/>
    <w:qFormat/>
    <w:uiPriority w:val="0"/>
    <w:rPr>
      <w:rFonts w:ascii="微软雅黑" w:hAnsi="微软雅黑" w:eastAsia="微软雅黑"/>
      <w:b/>
      <w:bCs/>
      <w:kern w:val="2"/>
      <w:sz w:val="24"/>
      <w:szCs w:val="28"/>
    </w:rPr>
  </w:style>
  <w:style w:type="paragraph" w:customStyle="1" w:styleId="302">
    <w:name w:val="样式 样式 标题 4h4H4Fab-4T5Ref Heading 1rh1Heading sqlsect 1.2.3.... +..."/>
    <w:basedOn w:val="303"/>
    <w:link w:val="301"/>
    <w:qFormat/>
    <w:uiPriority w:val="0"/>
    <w:pPr>
      <w:tabs>
        <w:tab w:val="left" w:pos="2356"/>
      </w:tabs>
    </w:pPr>
  </w:style>
  <w:style w:type="paragraph" w:customStyle="1" w:styleId="303">
    <w:name w:val="样式 标题 4h4H4Fab-4T5Ref Heading 1rh1Heading sqlsect 1.2.3...."/>
    <w:basedOn w:val="6"/>
    <w:link w:val="411"/>
    <w:qFormat/>
    <w:uiPriority w:val="0"/>
    <w:pPr>
      <w:tabs>
        <w:tab w:val="left" w:pos="2356"/>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4">
    <w:name w:val="正文非缩进 Char"/>
    <w:qFormat/>
    <w:uiPriority w:val="0"/>
    <w:rPr>
      <w:rFonts w:ascii="宋体" w:eastAsia="宋体"/>
      <w:snapToGrid w:val="0"/>
      <w:color w:val="000000"/>
      <w:kern w:val="28"/>
      <w:sz w:val="28"/>
      <w:lang w:val="en-US" w:eastAsia="zh-CN" w:bidi="ar-SA"/>
    </w:rPr>
  </w:style>
  <w:style w:type="character" w:customStyle="1" w:styleId="305">
    <w:name w:val="标题 7 Char"/>
    <w:link w:val="9"/>
    <w:qFormat/>
    <w:uiPriority w:val="0"/>
    <w:rPr>
      <w:b/>
      <w:bCs/>
      <w:kern w:val="2"/>
      <w:sz w:val="24"/>
      <w:szCs w:val="24"/>
    </w:rPr>
  </w:style>
  <w:style w:type="character" w:customStyle="1" w:styleId="306">
    <w:name w:val="正文文本缩进 2 Char"/>
    <w:link w:val="38"/>
    <w:qFormat/>
    <w:uiPriority w:val="0"/>
    <w:rPr>
      <w:rFonts w:ascii="宋体"/>
      <w:sz w:val="28"/>
    </w:rPr>
  </w:style>
  <w:style w:type="character" w:customStyle="1" w:styleId="307">
    <w:name w:val="Char Char5"/>
    <w:qFormat/>
    <w:uiPriority w:val="0"/>
    <w:rPr>
      <w:rFonts w:ascii="宋体" w:hAnsi="Courier New" w:eastAsia="宋体"/>
      <w:kern w:val="2"/>
      <w:sz w:val="21"/>
      <w:lang w:val="en-US" w:eastAsia="zh-CN"/>
    </w:rPr>
  </w:style>
  <w:style w:type="character" w:customStyle="1" w:styleId="308">
    <w:name w:val="脚注文本 Char"/>
    <w:link w:val="51"/>
    <w:qFormat/>
    <w:uiPriority w:val="0"/>
    <w:rPr>
      <w:color w:val="0000FF"/>
      <w:sz w:val="21"/>
    </w:rPr>
  </w:style>
  <w:style w:type="character" w:customStyle="1" w:styleId="309">
    <w:name w:val="称呼 Char1"/>
    <w:qFormat/>
    <w:uiPriority w:val="0"/>
    <w:rPr>
      <w:rFonts w:ascii="Times New Roman" w:hAnsi="Times New Roman" w:eastAsia="宋体" w:cs="Times New Roman"/>
      <w:szCs w:val="24"/>
    </w:rPr>
  </w:style>
  <w:style w:type="character" w:customStyle="1" w:styleId="310">
    <w:name w:val="正文1 Char"/>
    <w:qFormat/>
    <w:uiPriority w:val="0"/>
    <w:rPr>
      <w:rFonts w:ascii="宋体" w:eastAsia="宋体"/>
      <w:snapToGrid w:val="0"/>
      <w:color w:val="000000"/>
      <w:kern w:val="28"/>
      <w:sz w:val="28"/>
      <w:lang w:val="en-US" w:eastAsia="zh-CN" w:bidi="ar-SA"/>
    </w:rPr>
  </w:style>
  <w:style w:type="character" w:customStyle="1" w:styleId="311">
    <w:name w:val="正文缩进 Char1"/>
    <w:qFormat/>
    <w:uiPriority w:val="0"/>
    <w:rPr>
      <w:rFonts w:ascii="宋体" w:eastAsia="宋体"/>
      <w:snapToGrid w:val="0"/>
      <w:color w:val="000000"/>
      <w:kern w:val="28"/>
      <w:sz w:val="28"/>
      <w:lang w:val="en-US" w:eastAsia="zh-CN" w:bidi="ar-SA"/>
    </w:rPr>
  </w:style>
  <w:style w:type="character" w:customStyle="1" w:styleId="312">
    <w:name w:val="font21"/>
    <w:qFormat/>
    <w:uiPriority w:val="0"/>
    <w:rPr>
      <w:rFonts w:hint="eastAsia" w:ascii="宋体" w:hAnsi="宋体" w:eastAsia="宋体"/>
      <w:kern w:val="2"/>
      <w:sz w:val="28"/>
      <w:szCs w:val="28"/>
      <w:lang w:val="en-US" w:eastAsia="zh-CN" w:bidi="ar-SA"/>
    </w:rPr>
  </w:style>
  <w:style w:type="character" w:customStyle="1" w:styleId="313">
    <w:name w:val="Char Char26"/>
    <w:qFormat/>
    <w:uiPriority w:val="6"/>
    <w:rPr>
      <w:kern w:val="1"/>
      <w:sz w:val="21"/>
      <w:szCs w:val="24"/>
    </w:rPr>
  </w:style>
  <w:style w:type="character" w:customStyle="1" w:styleId="314">
    <w:name w:val="Item List Char"/>
    <w:link w:val="315"/>
    <w:qFormat/>
    <w:uiPriority w:val="0"/>
    <w:rPr>
      <w:rFonts w:ascii="Arial"/>
      <w:bCs/>
      <w:sz w:val="21"/>
      <w:szCs w:val="21"/>
      <w:lang w:val="en-US" w:eastAsia="zh-CN" w:bidi="ar-SA"/>
    </w:rPr>
  </w:style>
  <w:style w:type="paragraph" w:customStyle="1" w:styleId="315">
    <w:name w:val="Item List"/>
    <w:link w:val="314"/>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6">
    <w:name w:val="批注框文本 Char1"/>
    <w:qFormat/>
    <w:uiPriority w:val="0"/>
    <w:rPr>
      <w:rFonts w:ascii="Times New Roman" w:hAnsi="Times New Roman" w:eastAsia="宋体" w:cs="Times New Roman"/>
      <w:sz w:val="18"/>
      <w:szCs w:val="18"/>
    </w:rPr>
  </w:style>
  <w:style w:type="character" w:customStyle="1" w:styleId="317">
    <w:name w:val="纯文本 Char1"/>
    <w:link w:val="318"/>
    <w:qFormat/>
    <w:uiPriority w:val="0"/>
    <w:rPr>
      <w:rFonts w:ascii="宋体" w:hAnsi="Courier New"/>
    </w:rPr>
  </w:style>
  <w:style w:type="paragraph" w:customStyle="1" w:styleId="318">
    <w:name w:val="纯文本1"/>
    <w:basedOn w:val="1"/>
    <w:link w:val="317"/>
    <w:qFormat/>
    <w:uiPriority w:val="0"/>
    <w:pPr>
      <w:adjustRightInd/>
    </w:pPr>
    <w:rPr>
      <w:rFonts w:ascii="宋体" w:hAnsi="Courier New"/>
      <w:kern w:val="0"/>
      <w:sz w:val="20"/>
      <w:szCs w:val="20"/>
    </w:rPr>
  </w:style>
  <w:style w:type="character" w:customStyle="1" w:styleId="319">
    <w:name w:val="正文首行缩进 Char"/>
    <w:link w:val="62"/>
    <w:qFormat/>
    <w:uiPriority w:val="0"/>
    <w:rPr>
      <w:rFonts w:ascii="宋体"/>
      <w:kern w:val="2"/>
      <w:sz w:val="24"/>
      <w:lang w:val="zh-CN"/>
    </w:rPr>
  </w:style>
  <w:style w:type="character" w:customStyle="1" w:styleId="320">
    <w:name w:val="h3 Char"/>
    <w:qFormat/>
    <w:uiPriority w:val="0"/>
    <w:rPr>
      <w:rFonts w:eastAsia="宋体"/>
      <w:b/>
      <w:kern w:val="2"/>
      <w:sz w:val="32"/>
      <w:lang w:val="en-US" w:eastAsia="zh-CN" w:bidi="ar-SA"/>
    </w:rPr>
  </w:style>
  <w:style w:type="character" w:customStyle="1" w:styleId="321">
    <w:name w:val="dandyren_title1"/>
    <w:qFormat/>
    <w:uiPriority w:val="0"/>
    <w:rPr>
      <w:b/>
      <w:bCs/>
      <w:color w:val="FF6633"/>
      <w:sz w:val="18"/>
      <w:szCs w:val="18"/>
    </w:rPr>
  </w:style>
  <w:style w:type="character" w:customStyle="1" w:styleId="322">
    <w:name w:val="Char Char31"/>
    <w:qFormat/>
    <w:uiPriority w:val="6"/>
    <w:rPr>
      <w:rFonts w:ascii="Arial" w:hAnsi="Arial" w:eastAsia="黑体"/>
      <w:kern w:val="1"/>
      <w:sz w:val="24"/>
      <w:szCs w:val="24"/>
    </w:rPr>
  </w:style>
  <w:style w:type="character" w:customStyle="1" w:styleId="323">
    <w:name w:val="h Char1"/>
    <w:qFormat/>
    <w:uiPriority w:val="0"/>
    <w:rPr>
      <w:sz w:val="18"/>
      <w:szCs w:val="18"/>
    </w:rPr>
  </w:style>
  <w:style w:type="character" w:customStyle="1" w:styleId="324">
    <w:name w:val="solutionfonts"/>
    <w:qFormat/>
    <w:uiPriority w:val="0"/>
  </w:style>
  <w:style w:type="character" w:customStyle="1" w:styleId="325">
    <w:name w:val="标题 4 Char2"/>
    <w:link w:val="6"/>
    <w:qFormat/>
    <w:uiPriority w:val="9"/>
    <w:rPr>
      <w:rFonts w:ascii="Arial" w:hAnsi="Arial" w:eastAsia="黑体"/>
      <w:b/>
      <w:bCs/>
      <w:kern w:val="2"/>
      <w:sz w:val="28"/>
      <w:szCs w:val="28"/>
      <w:lang w:val="zh-CN"/>
    </w:rPr>
  </w:style>
  <w:style w:type="character" w:customStyle="1" w:styleId="326">
    <w:name w:val="首行缩进 Char"/>
    <w:qFormat/>
    <w:uiPriority w:val="0"/>
    <w:rPr>
      <w:rFonts w:ascii="宋体" w:eastAsia="宋体"/>
      <w:kern w:val="2"/>
      <w:sz w:val="24"/>
      <w:lang w:val="en-US" w:eastAsia="zh-CN" w:bidi="ar-SA"/>
    </w:rPr>
  </w:style>
  <w:style w:type="character" w:customStyle="1" w:styleId="327">
    <w:name w:val="Char Char52"/>
    <w:qFormat/>
    <w:uiPriority w:val="0"/>
    <w:rPr>
      <w:rFonts w:ascii="宋体" w:hAnsi="Courier New" w:eastAsia="宋体"/>
      <w:kern w:val="2"/>
      <w:sz w:val="21"/>
      <w:lang w:val="en-US" w:eastAsia="zh-CN"/>
    </w:rPr>
  </w:style>
  <w:style w:type="character" w:customStyle="1" w:styleId="328">
    <w:name w:val="正文文本 3 Char"/>
    <w:link w:val="22"/>
    <w:qFormat/>
    <w:uiPriority w:val="0"/>
    <w:rPr>
      <w:kern w:val="2"/>
      <w:sz w:val="21"/>
    </w:rPr>
  </w:style>
  <w:style w:type="character" w:customStyle="1" w:styleId="329">
    <w:name w:val="font31"/>
    <w:qFormat/>
    <w:uiPriority w:val="0"/>
    <w:rPr>
      <w:rFonts w:hint="eastAsia" w:ascii="仿宋" w:hAnsi="仿宋" w:eastAsia="仿宋" w:cs="仿宋"/>
      <w:color w:val="000000"/>
      <w:sz w:val="20"/>
      <w:szCs w:val="20"/>
      <w:u w:val="none"/>
    </w:rPr>
  </w:style>
  <w:style w:type="character" w:customStyle="1" w:styleId="330">
    <w:name w:val="正文说明 Char"/>
    <w:link w:val="331"/>
    <w:qFormat/>
    <w:uiPriority w:val="0"/>
    <w:rPr>
      <w:sz w:val="24"/>
      <w:szCs w:val="24"/>
    </w:rPr>
  </w:style>
  <w:style w:type="paragraph" w:customStyle="1" w:styleId="331">
    <w:name w:val="正文说明"/>
    <w:basedOn w:val="1"/>
    <w:link w:val="330"/>
    <w:qFormat/>
    <w:uiPriority w:val="0"/>
    <w:pPr>
      <w:adjustRightInd/>
      <w:spacing w:line="360" w:lineRule="auto"/>
    </w:pPr>
    <w:rPr>
      <w:kern w:val="0"/>
      <w:sz w:val="24"/>
    </w:rPr>
  </w:style>
  <w:style w:type="character" w:customStyle="1" w:styleId="332">
    <w:name w:val="脚注文本 Char1"/>
    <w:qFormat/>
    <w:uiPriority w:val="0"/>
    <w:rPr>
      <w:rFonts w:ascii="Times New Roman" w:hAnsi="Times New Roman" w:eastAsia="宋体" w:cs="Times New Roman"/>
      <w:sz w:val="18"/>
      <w:szCs w:val="18"/>
    </w:rPr>
  </w:style>
  <w:style w:type="character" w:customStyle="1" w:styleId="333">
    <w:name w:val="Char Char1211"/>
    <w:qFormat/>
    <w:uiPriority w:val="0"/>
    <w:rPr>
      <w:rFonts w:ascii="仿宋_GB2312" w:eastAsia="仿宋_GB2312"/>
      <w:b/>
      <w:bCs/>
      <w:kern w:val="2"/>
      <w:sz w:val="24"/>
      <w:szCs w:val="24"/>
      <w:lang w:val="zh-CN" w:eastAsia="zh-CN" w:bidi="ar-SA"/>
    </w:rPr>
  </w:style>
  <w:style w:type="character" w:customStyle="1" w:styleId="334">
    <w:name w:val="标题 Char"/>
    <w:qFormat/>
    <w:uiPriority w:val="0"/>
    <w:rPr>
      <w:rFonts w:eastAsia="宋体"/>
      <w:b/>
      <w:sz w:val="24"/>
      <w:lang w:val="en-GB" w:eastAsia="zh-CN" w:bidi="ar-SA"/>
    </w:rPr>
  </w:style>
  <w:style w:type="character" w:customStyle="1" w:styleId="335">
    <w:name w:val="Char Char35"/>
    <w:qFormat/>
    <w:uiPriority w:val="6"/>
    <w:rPr>
      <w:rFonts w:ascii="Arial" w:hAnsi="Arial" w:eastAsia="黑体"/>
      <w:b/>
      <w:kern w:val="1"/>
      <w:sz w:val="28"/>
      <w:szCs w:val="28"/>
      <w:lang w:val="zh-CN"/>
    </w:rPr>
  </w:style>
  <w:style w:type="character" w:customStyle="1" w:styleId="336">
    <w:name w:val="纯文本 Char Char Char"/>
    <w:qFormat/>
    <w:uiPriority w:val="0"/>
    <w:rPr>
      <w:rFonts w:ascii="宋体" w:hAnsi="Courier New" w:eastAsia="宋体"/>
      <w:kern w:val="2"/>
      <w:sz w:val="21"/>
      <w:lang w:val="en-US" w:eastAsia="zh-CN" w:bidi="ar-SA"/>
    </w:rPr>
  </w:style>
  <w:style w:type="character" w:customStyle="1" w:styleId="337">
    <w:name w:val="Table Text Char"/>
    <w:link w:val="338"/>
    <w:qFormat/>
    <w:uiPriority w:val="0"/>
    <w:rPr>
      <w:sz w:val="24"/>
      <w:szCs w:val="24"/>
    </w:rPr>
  </w:style>
  <w:style w:type="paragraph" w:customStyle="1" w:styleId="338">
    <w:name w:val="Table Text"/>
    <w:basedOn w:val="1"/>
    <w:link w:val="337"/>
    <w:qFormat/>
    <w:uiPriority w:val="0"/>
    <w:pPr>
      <w:widowControl/>
      <w:spacing w:before="60" w:after="60"/>
      <w:jc w:val="left"/>
    </w:pPr>
    <w:rPr>
      <w:kern w:val="0"/>
      <w:sz w:val="24"/>
    </w:rPr>
  </w:style>
  <w:style w:type="character" w:customStyle="1" w:styleId="339">
    <w:name w:val="正文1 Char1"/>
    <w:qFormat/>
    <w:uiPriority w:val="0"/>
    <w:rPr>
      <w:rFonts w:ascii="仿宋_GB2312" w:hAnsi="Courier New" w:eastAsia="仿宋_GB2312"/>
      <w:kern w:val="28"/>
      <w:sz w:val="24"/>
      <w:szCs w:val="24"/>
      <w:lang w:val="en-US" w:eastAsia="zh-CN"/>
    </w:rPr>
  </w:style>
  <w:style w:type="character" w:customStyle="1" w:styleId="340">
    <w:name w:val="页脚 Char1"/>
    <w:qFormat/>
    <w:uiPriority w:val="0"/>
    <w:rPr>
      <w:rFonts w:eastAsia="宋体"/>
      <w:kern w:val="2"/>
      <w:sz w:val="18"/>
      <w:szCs w:val="18"/>
      <w:lang w:val="en-US" w:eastAsia="zh-CN" w:bidi="ar-SA"/>
    </w:rPr>
  </w:style>
  <w:style w:type="character" w:customStyle="1" w:styleId="341">
    <w:name w:val="Bold"/>
    <w:qFormat/>
    <w:uiPriority w:val="0"/>
    <w:rPr>
      <w:rFonts w:ascii="Arial" w:hAnsi="Arial" w:eastAsia="黑体" w:cs="Times New Roman"/>
      <w:b/>
      <w:kern w:val="2"/>
      <w:sz w:val="32"/>
      <w:szCs w:val="32"/>
      <w:lang w:val="en-US" w:eastAsia="zh-CN" w:bidi="ar-SA"/>
    </w:rPr>
  </w:style>
  <w:style w:type="character" w:customStyle="1" w:styleId="342">
    <w:name w:val="批注文字 Char1"/>
    <w:link w:val="20"/>
    <w:qFormat/>
    <w:uiPriority w:val="99"/>
    <w:rPr>
      <w:kern w:val="2"/>
      <w:sz w:val="21"/>
      <w:szCs w:val="24"/>
    </w:rPr>
  </w:style>
  <w:style w:type="character" w:customStyle="1" w:styleId="343">
    <w:name w:val="签名 Char"/>
    <w:link w:val="43"/>
    <w:qFormat/>
    <w:uiPriority w:val="0"/>
    <w:rPr>
      <w:rFonts w:eastAsia="仿宋_GB2312"/>
      <w:sz w:val="24"/>
    </w:rPr>
  </w:style>
  <w:style w:type="character" w:customStyle="1" w:styleId="344">
    <w:name w:val="hui3"/>
    <w:qFormat/>
    <w:uiPriority w:val="0"/>
    <w:rPr>
      <w:color w:val="333333"/>
    </w:rPr>
  </w:style>
  <w:style w:type="character" w:customStyle="1" w:styleId="345">
    <w:name w:val="Char Char17"/>
    <w:qFormat/>
    <w:uiPriority w:val="6"/>
    <w:rPr>
      <w:rFonts w:eastAsia="仿宋_GB2312"/>
      <w:sz w:val="24"/>
    </w:rPr>
  </w:style>
  <w:style w:type="character" w:customStyle="1" w:styleId="346">
    <w:name w:val="标题 4 字符"/>
    <w:qFormat/>
    <w:uiPriority w:val="9"/>
    <w:rPr>
      <w:rFonts w:ascii="等线 Light" w:hAnsi="等线 Light" w:eastAsia="等线 Light" w:cs="Times New Roman"/>
      <w:b/>
      <w:bCs/>
      <w:snapToGrid w:val="0"/>
      <w:kern w:val="0"/>
      <w:sz w:val="28"/>
      <w:szCs w:val="28"/>
    </w:rPr>
  </w:style>
  <w:style w:type="character" w:customStyle="1" w:styleId="347">
    <w:name w:val="Char Char37"/>
    <w:qFormat/>
    <w:uiPriority w:val="6"/>
    <w:rPr>
      <w:b/>
      <w:kern w:val="1"/>
      <w:sz w:val="44"/>
      <w:szCs w:val="44"/>
    </w:rPr>
  </w:style>
  <w:style w:type="character" w:customStyle="1" w:styleId="348">
    <w:name w:val="列出段落 Char"/>
    <w:qFormat/>
    <w:uiPriority w:val="0"/>
    <w:rPr>
      <w:rFonts w:eastAsia="楷体_GB2312" w:cs="Lucida Sans"/>
      <w:kern w:val="2"/>
      <w:sz w:val="24"/>
      <w:szCs w:val="24"/>
      <w:lang w:val="en-US" w:eastAsia="zh-CN" w:bidi="ar-SA"/>
    </w:rPr>
  </w:style>
  <w:style w:type="character" w:customStyle="1" w:styleId="349">
    <w:name w:val="正文文本缩进 3 Char1"/>
    <w:semiHidden/>
    <w:qFormat/>
    <w:uiPriority w:val="99"/>
    <w:rPr>
      <w:rFonts w:ascii="Times New Roman" w:hAnsi="Times New Roman" w:eastAsia="宋体" w:cs="Times New Roman"/>
      <w:sz w:val="16"/>
      <w:szCs w:val="16"/>
    </w:rPr>
  </w:style>
  <w:style w:type="character" w:customStyle="1" w:styleId="350">
    <w:name w:val="公文正文 Char Char"/>
    <w:link w:val="351"/>
    <w:qFormat/>
    <w:uiPriority w:val="0"/>
    <w:rPr>
      <w:rFonts w:ascii="仿宋_GB2312" w:eastAsia="仿宋_GB2312"/>
      <w:kern w:val="2"/>
      <w:sz w:val="24"/>
      <w:szCs w:val="24"/>
    </w:rPr>
  </w:style>
  <w:style w:type="paragraph" w:customStyle="1" w:styleId="351">
    <w:name w:val="公文正文"/>
    <w:basedOn w:val="1"/>
    <w:link w:val="350"/>
    <w:qFormat/>
    <w:uiPriority w:val="0"/>
    <w:pPr>
      <w:adjustRightInd/>
      <w:spacing w:before="156" w:line="360" w:lineRule="auto"/>
      <w:ind w:firstLine="360" w:firstLineChars="200"/>
    </w:pPr>
    <w:rPr>
      <w:rFonts w:ascii="仿宋_GB2312" w:eastAsia="仿宋_GB2312"/>
      <w:sz w:val="24"/>
    </w:rPr>
  </w:style>
  <w:style w:type="character" w:customStyle="1" w:styleId="352">
    <w:name w:val="Table Text Char1"/>
    <w:qFormat/>
    <w:uiPriority w:val="0"/>
    <w:rPr>
      <w:rFonts w:eastAsia="宋体"/>
      <w:sz w:val="24"/>
      <w:szCs w:val="24"/>
      <w:lang w:val="en-US" w:eastAsia="zh-CN" w:bidi="ar-SA"/>
    </w:rPr>
  </w:style>
  <w:style w:type="character" w:customStyle="1" w:styleId="353">
    <w:name w:val="标题 1 Char Char"/>
    <w:qFormat/>
    <w:uiPriority w:val="0"/>
    <w:rPr>
      <w:rFonts w:hint="eastAsia" w:ascii="宋体" w:hAnsi="宋体" w:eastAsia="宋体"/>
      <w:b/>
      <w:spacing w:val="-2"/>
      <w:sz w:val="24"/>
      <w:lang w:val="en-US" w:eastAsia="zh-CN" w:bidi="ar-SA"/>
    </w:rPr>
  </w:style>
  <w:style w:type="character" w:customStyle="1" w:styleId="354">
    <w:name w:val="正文（缩进2汉字） Char"/>
    <w:link w:val="355"/>
    <w:qFormat/>
    <w:uiPriority w:val="0"/>
    <w:rPr>
      <w:rFonts w:ascii="宋体"/>
    </w:rPr>
  </w:style>
  <w:style w:type="paragraph" w:customStyle="1" w:styleId="355">
    <w:name w:val="正文（缩进2汉字）"/>
    <w:basedOn w:val="1"/>
    <w:link w:val="354"/>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6">
    <w:name w:val="标题 8 Char"/>
    <w:link w:val="10"/>
    <w:qFormat/>
    <w:uiPriority w:val="0"/>
    <w:rPr>
      <w:rFonts w:ascii="Arial" w:hAnsi="Arial" w:eastAsia="黑体"/>
      <w:kern w:val="2"/>
      <w:sz w:val="24"/>
      <w:szCs w:val="24"/>
    </w:rPr>
  </w:style>
  <w:style w:type="character" w:customStyle="1" w:styleId="357">
    <w:name w:val="标书表格字体格式 Char"/>
    <w:qFormat/>
    <w:uiPriority w:val="0"/>
    <w:rPr>
      <w:kern w:val="2"/>
      <w:sz w:val="21"/>
      <w:szCs w:val="24"/>
      <w:lang w:bidi="ar-SA"/>
    </w:rPr>
  </w:style>
  <w:style w:type="character" w:customStyle="1" w:styleId="358">
    <w:name w:val="tw4winError"/>
    <w:qFormat/>
    <w:uiPriority w:val="0"/>
    <w:rPr>
      <w:rFonts w:ascii="Courier New" w:hAnsi="Courier New" w:cs="Courier New"/>
      <w:color w:val="00FF00"/>
      <w:sz w:val="40"/>
      <w:szCs w:val="40"/>
    </w:rPr>
  </w:style>
  <w:style w:type="character" w:customStyle="1" w:styleId="359">
    <w:name w:val="Body Text(ch) Char Char"/>
    <w:qFormat/>
    <w:uiPriority w:val="0"/>
    <w:rPr>
      <w:rFonts w:ascii="宋体"/>
      <w:kern w:val="2"/>
      <w:sz w:val="24"/>
      <w:szCs w:val="21"/>
      <w:lang w:val="zh-CN"/>
    </w:rPr>
  </w:style>
  <w:style w:type="character" w:customStyle="1" w:styleId="360">
    <w:name w:val="正文首行缩进两字 Char"/>
    <w:qFormat/>
    <w:uiPriority w:val="0"/>
    <w:rPr>
      <w:sz w:val="24"/>
      <w:szCs w:val="24"/>
      <w:lang w:val="en-US" w:eastAsia="zh-CN" w:bidi="ar-SA"/>
    </w:rPr>
  </w:style>
  <w:style w:type="character" w:customStyle="1" w:styleId="361">
    <w:name w:val="正文文本 Char"/>
    <w:qFormat/>
    <w:uiPriority w:val="0"/>
    <w:rPr>
      <w:rFonts w:eastAsia="宋体"/>
      <w:kern w:val="2"/>
      <w:sz w:val="24"/>
      <w:szCs w:val="24"/>
      <w:lang w:val="en-US" w:eastAsia="zh-CN" w:bidi="ar-SA"/>
    </w:rPr>
  </w:style>
  <w:style w:type="character" w:customStyle="1" w:styleId="362">
    <w:name w:val="文档结构图 字符1"/>
    <w:qFormat/>
    <w:uiPriority w:val="0"/>
    <w:rPr>
      <w:rFonts w:ascii="宋体" w:hAnsi="Calibri" w:eastAsia="黑体" w:cs="Arial"/>
      <w:snapToGrid w:val="0"/>
      <w:kern w:val="2"/>
      <w:sz w:val="18"/>
      <w:szCs w:val="18"/>
    </w:rPr>
  </w:style>
  <w:style w:type="character" w:customStyle="1" w:styleId="363">
    <w:name w:val="content"/>
    <w:qFormat/>
    <w:uiPriority w:val="0"/>
  </w:style>
  <w:style w:type="character" w:customStyle="1" w:styleId="364">
    <w:name w:val="tw4winPopup"/>
    <w:qFormat/>
    <w:uiPriority w:val="0"/>
    <w:rPr>
      <w:rFonts w:ascii="Courier New" w:hAnsi="Courier New" w:cs="Courier New"/>
      <w:color w:val="008000"/>
      <w:lang w:val="en-US" w:eastAsia="zh-CN"/>
    </w:rPr>
  </w:style>
  <w:style w:type="character" w:customStyle="1" w:styleId="365">
    <w:name w:val="param-name"/>
    <w:qFormat/>
    <w:uiPriority w:val="99"/>
    <w:rPr>
      <w:rFonts w:ascii="Arial" w:hAnsi="Arial" w:eastAsia="黑体" w:cs="Arial"/>
      <w:snapToGrid w:val="0"/>
      <w:kern w:val="0"/>
      <w:szCs w:val="21"/>
    </w:rPr>
  </w:style>
  <w:style w:type="character" w:customStyle="1" w:styleId="366">
    <w:name w:val="标准正文格式 Char"/>
    <w:qFormat/>
    <w:uiPriority w:val="0"/>
    <w:rPr>
      <w:rFonts w:ascii="宋体" w:eastAsia="仿宋_GB2312" w:cs="宋体"/>
      <w:color w:val="000000"/>
      <w:sz w:val="24"/>
      <w:lang w:val="en-US" w:eastAsia="zh-CN" w:bidi="ar-SA"/>
    </w:rPr>
  </w:style>
  <w:style w:type="character" w:customStyle="1" w:styleId="367">
    <w:name w:val="Char Char212"/>
    <w:qFormat/>
    <w:uiPriority w:val="0"/>
    <w:rPr>
      <w:rFonts w:eastAsia="宋体"/>
      <w:b/>
      <w:bCs/>
      <w:kern w:val="2"/>
      <w:sz w:val="21"/>
      <w:szCs w:val="24"/>
      <w:lang w:val="en-US" w:eastAsia="zh-CN" w:bidi="ar-SA"/>
    </w:rPr>
  </w:style>
  <w:style w:type="character" w:customStyle="1" w:styleId="368">
    <w:name w:val="文档结构图 Char"/>
    <w:qFormat/>
    <w:uiPriority w:val="0"/>
    <w:rPr>
      <w:rFonts w:eastAsia="宋体"/>
      <w:kern w:val="2"/>
      <w:sz w:val="21"/>
      <w:szCs w:val="24"/>
      <w:lang w:val="en-US" w:eastAsia="zh-CN" w:bidi="ar-SA"/>
    </w:rPr>
  </w:style>
  <w:style w:type="character" w:customStyle="1" w:styleId="369">
    <w:name w:val="zbggmain style9"/>
    <w:qFormat/>
    <w:uiPriority w:val="0"/>
  </w:style>
  <w:style w:type="character" w:customStyle="1" w:styleId="370">
    <w:name w:val="Char Char16"/>
    <w:qFormat/>
    <w:uiPriority w:val="6"/>
    <w:rPr>
      <w:kern w:val="1"/>
      <w:sz w:val="18"/>
      <w:szCs w:val="18"/>
    </w:rPr>
  </w:style>
  <w:style w:type="character" w:customStyle="1" w:styleId="371">
    <w:name w:val="font51"/>
    <w:qFormat/>
    <w:uiPriority w:val="0"/>
    <w:rPr>
      <w:rFonts w:hint="eastAsia" w:ascii="仿宋" w:hAnsi="仿宋" w:eastAsia="仿宋" w:cs="仿宋"/>
      <w:color w:val="000000"/>
      <w:sz w:val="20"/>
      <w:szCs w:val="20"/>
      <w:u w:val="none"/>
    </w:rPr>
  </w:style>
  <w:style w:type="character" w:customStyle="1" w:styleId="372">
    <w:name w:val="Char Char82"/>
    <w:qFormat/>
    <w:uiPriority w:val="0"/>
    <w:rPr>
      <w:rFonts w:eastAsia="宋体"/>
      <w:b/>
      <w:sz w:val="24"/>
      <w:lang w:val="en-GB" w:eastAsia="zh-CN"/>
    </w:rPr>
  </w:style>
  <w:style w:type="character" w:customStyle="1" w:styleId="373">
    <w:name w:val="正文文本缩进 3 Char"/>
    <w:link w:val="54"/>
    <w:qFormat/>
    <w:uiPriority w:val="0"/>
    <w:rPr>
      <w:kern w:val="2"/>
      <w:sz w:val="24"/>
    </w:rPr>
  </w:style>
  <w:style w:type="character" w:customStyle="1" w:styleId="374">
    <w:name w:val="日期 Char1"/>
    <w:semiHidden/>
    <w:qFormat/>
    <w:uiPriority w:val="99"/>
    <w:rPr>
      <w:rFonts w:ascii="Times New Roman" w:hAnsi="Times New Roman" w:eastAsia="宋体" w:cs="Times New Roman"/>
      <w:szCs w:val="24"/>
    </w:rPr>
  </w:style>
  <w:style w:type="character" w:customStyle="1" w:styleId="375">
    <w:name w:val="页眉 字符"/>
    <w:qFormat/>
    <w:uiPriority w:val="99"/>
    <w:rPr>
      <w:kern w:val="2"/>
      <w:sz w:val="18"/>
      <w:szCs w:val="18"/>
    </w:rPr>
  </w:style>
  <w:style w:type="character" w:customStyle="1" w:styleId="376">
    <w:name w:val="Char Char33"/>
    <w:qFormat/>
    <w:uiPriority w:val="6"/>
    <w:rPr>
      <w:rFonts w:ascii="Arial" w:hAnsi="Arial" w:eastAsia="黑体"/>
      <w:b/>
      <w:kern w:val="1"/>
      <w:sz w:val="24"/>
      <w:szCs w:val="24"/>
    </w:rPr>
  </w:style>
  <w:style w:type="character" w:customStyle="1" w:styleId="377">
    <w:name w:val="b11_01b Char"/>
    <w:link w:val="378"/>
    <w:qFormat/>
    <w:uiPriority w:val="0"/>
    <w:rPr>
      <w:rFonts w:ascii="Verdana" w:hAnsi="Verdana"/>
      <w:b/>
      <w:bCs/>
      <w:color w:val="4A82CA"/>
      <w:sz w:val="17"/>
      <w:szCs w:val="17"/>
    </w:rPr>
  </w:style>
  <w:style w:type="paragraph" w:customStyle="1" w:styleId="378">
    <w:name w:val="b11_01b"/>
    <w:basedOn w:val="1"/>
    <w:next w:val="1"/>
    <w:link w:val="377"/>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79">
    <w:name w:val="Char Char121"/>
    <w:qFormat/>
    <w:uiPriority w:val="6"/>
    <w:rPr>
      <w:rFonts w:ascii="仿宋_GB2312" w:eastAsia="仿宋_GB2312"/>
      <w:b/>
      <w:bCs/>
      <w:kern w:val="2"/>
      <w:sz w:val="24"/>
      <w:szCs w:val="24"/>
      <w:lang w:val="zh-CN" w:eastAsia="zh-CN" w:bidi="ar-SA"/>
    </w:rPr>
  </w:style>
  <w:style w:type="character" w:customStyle="1" w:styleId="380">
    <w:name w:val="Footer-Even Char"/>
    <w:qFormat/>
    <w:uiPriority w:val="0"/>
    <w:rPr>
      <w:rFonts w:eastAsia="宋体"/>
      <w:kern w:val="2"/>
      <w:sz w:val="18"/>
      <w:lang w:val="en-US" w:eastAsia="zh-CN" w:bidi="ar-SA"/>
    </w:rPr>
  </w:style>
  <w:style w:type="character" w:customStyle="1" w:styleId="381">
    <w:name w:val="页脚 Char2"/>
    <w:link w:val="41"/>
    <w:qFormat/>
    <w:locked/>
    <w:uiPriority w:val="99"/>
    <w:rPr>
      <w:kern w:val="2"/>
      <w:sz w:val="18"/>
      <w:szCs w:val="18"/>
    </w:rPr>
  </w:style>
  <w:style w:type="character" w:customStyle="1" w:styleId="382">
    <w:name w:val="Char Char36"/>
    <w:qFormat/>
    <w:uiPriority w:val="6"/>
    <w:rPr>
      <w:rFonts w:ascii="仿宋_GB2312" w:hAnsi="仿宋_GB2312" w:eastAsia="仿宋_GB2312" w:cs="Arial"/>
      <w:b/>
      <w:kern w:val="1"/>
      <w:sz w:val="32"/>
      <w:szCs w:val="32"/>
      <w:lang w:val="zh-CN" w:eastAsia="zh-CN" w:bidi="ar-SA"/>
    </w:rPr>
  </w:style>
  <w:style w:type="character" w:customStyle="1" w:styleId="383">
    <w:name w:val="Char Char61"/>
    <w:qFormat/>
    <w:uiPriority w:val="6"/>
    <w:rPr>
      <w:rFonts w:eastAsia="宋体"/>
      <w:kern w:val="2"/>
      <w:sz w:val="21"/>
      <w:szCs w:val="24"/>
      <w:lang w:val="en-US" w:eastAsia="zh-CN" w:bidi="ar-SA"/>
    </w:rPr>
  </w:style>
  <w:style w:type="character" w:customStyle="1" w:styleId="384">
    <w:name w:val="正文文字缩进 2 Char Char"/>
    <w:qFormat/>
    <w:uiPriority w:val="0"/>
    <w:rPr>
      <w:rFonts w:ascii="宋体"/>
      <w:sz w:val="28"/>
    </w:rPr>
  </w:style>
  <w:style w:type="character" w:customStyle="1" w:styleId="385">
    <w:name w:val="f141"/>
    <w:qFormat/>
    <w:uiPriority w:val="0"/>
    <w:rPr>
      <w:rFonts w:ascii="Tahoma" w:hAnsi="Tahoma" w:eastAsia="宋体"/>
      <w:b/>
      <w:kern w:val="2"/>
      <w:sz w:val="21"/>
      <w:szCs w:val="21"/>
      <w:lang w:val="en-US" w:eastAsia="zh-CN" w:bidi="ar-SA"/>
    </w:rPr>
  </w:style>
  <w:style w:type="character" w:customStyle="1" w:styleId="386">
    <w:name w:val="段落 Char Char"/>
    <w:link w:val="387"/>
    <w:qFormat/>
    <w:uiPriority w:val="0"/>
    <w:rPr>
      <w:rFonts w:ascii="宋体" w:hAnsi="宋体"/>
      <w:sz w:val="24"/>
    </w:rPr>
  </w:style>
  <w:style w:type="paragraph" w:customStyle="1" w:styleId="387">
    <w:name w:val="段落"/>
    <w:basedOn w:val="1"/>
    <w:link w:val="386"/>
    <w:qFormat/>
    <w:uiPriority w:val="0"/>
    <w:pPr>
      <w:adjustRightInd/>
      <w:spacing w:line="360" w:lineRule="auto"/>
      <w:ind w:firstLine="480" w:firstLineChars="200"/>
    </w:pPr>
    <w:rPr>
      <w:rFonts w:ascii="宋体" w:hAnsi="宋体"/>
      <w:kern w:val="0"/>
      <w:sz w:val="24"/>
      <w:szCs w:val="20"/>
    </w:rPr>
  </w:style>
  <w:style w:type="character" w:customStyle="1" w:styleId="388">
    <w:name w:val="标题 3 Char2"/>
    <w:qFormat/>
    <w:uiPriority w:val="0"/>
    <w:rPr>
      <w:rFonts w:eastAsia="宋体"/>
      <w:b/>
      <w:bCs/>
      <w:kern w:val="2"/>
      <w:sz w:val="32"/>
      <w:szCs w:val="32"/>
      <w:lang w:val="en-US" w:eastAsia="zh-CN" w:bidi="ar-SA"/>
    </w:rPr>
  </w:style>
  <w:style w:type="character" w:customStyle="1" w:styleId="389">
    <w:name w:val="apple-converted-space"/>
    <w:qFormat/>
    <w:uiPriority w:val="0"/>
  </w:style>
  <w:style w:type="character" w:customStyle="1" w:styleId="390">
    <w:name w:val="页眉 Char2"/>
    <w:link w:val="42"/>
    <w:qFormat/>
    <w:uiPriority w:val="99"/>
    <w:rPr>
      <w:kern w:val="2"/>
      <w:sz w:val="18"/>
      <w:szCs w:val="18"/>
    </w:rPr>
  </w:style>
  <w:style w:type="character" w:customStyle="1" w:styleId="391">
    <w:name w:val="Char Char9"/>
    <w:qFormat/>
    <w:uiPriority w:val="0"/>
    <w:rPr>
      <w:rFonts w:eastAsia="宋体"/>
      <w:kern w:val="2"/>
      <w:sz w:val="18"/>
      <w:szCs w:val="18"/>
      <w:lang w:val="en-US" w:eastAsia="zh-CN" w:bidi="ar-SA"/>
    </w:rPr>
  </w:style>
  <w:style w:type="character" w:customStyle="1" w:styleId="392">
    <w:name w:val="Char Char41"/>
    <w:qFormat/>
    <w:uiPriority w:val="0"/>
    <w:rPr>
      <w:rFonts w:eastAsia="宋体"/>
      <w:b/>
      <w:sz w:val="24"/>
      <w:lang w:val="en-GB" w:eastAsia="zh-CN" w:bidi="ar-SA"/>
    </w:rPr>
  </w:style>
  <w:style w:type="character" w:customStyle="1" w:styleId="393">
    <w:name w:val="large1"/>
    <w:qFormat/>
    <w:uiPriority w:val="0"/>
    <w:rPr>
      <w:rFonts w:hint="eastAsia" w:ascii="宋体" w:hAnsi="宋体" w:eastAsia="宋体"/>
      <w:sz w:val="21"/>
      <w:szCs w:val="21"/>
    </w:rPr>
  </w:style>
  <w:style w:type="character" w:customStyle="1" w:styleId="394">
    <w:name w:val="正文段 Char"/>
    <w:link w:val="395"/>
    <w:qFormat/>
    <w:uiPriority w:val="0"/>
    <w:rPr>
      <w:sz w:val="24"/>
    </w:rPr>
  </w:style>
  <w:style w:type="paragraph" w:customStyle="1" w:styleId="395">
    <w:name w:val="正文段"/>
    <w:basedOn w:val="1"/>
    <w:link w:val="394"/>
    <w:qFormat/>
    <w:uiPriority w:val="0"/>
    <w:pPr>
      <w:widowControl/>
      <w:snapToGrid w:val="0"/>
      <w:spacing w:after="156" w:afterLines="50"/>
      <w:ind w:firstLine="200" w:firstLineChars="200"/>
    </w:pPr>
    <w:rPr>
      <w:kern w:val="0"/>
      <w:sz w:val="24"/>
      <w:szCs w:val="20"/>
    </w:rPr>
  </w:style>
  <w:style w:type="character" w:customStyle="1" w:styleId="396">
    <w:name w:val="Char Char13"/>
    <w:qFormat/>
    <w:uiPriority w:val="6"/>
    <w:rPr>
      <w:rFonts w:ascii="宋体" w:hAnsi="宋体"/>
      <w:kern w:val="1"/>
      <w:sz w:val="21"/>
      <w:szCs w:val="24"/>
    </w:rPr>
  </w:style>
  <w:style w:type="character" w:customStyle="1" w:styleId="397">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398">
    <w:name w:val="冯广丽 Char"/>
    <w:link w:val="399"/>
    <w:qFormat/>
    <w:uiPriority w:val="0"/>
    <w:rPr>
      <w:rFonts w:ascii="宋体" w:hAnsi="宋体"/>
      <w:kern w:val="2"/>
      <w:sz w:val="24"/>
      <w:szCs w:val="22"/>
    </w:rPr>
  </w:style>
  <w:style w:type="paragraph" w:customStyle="1" w:styleId="399">
    <w:name w:val="冯广丽"/>
    <w:basedOn w:val="1"/>
    <w:link w:val="398"/>
    <w:qFormat/>
    <w:uiPriority w:val="0"/>
    <w:pPr>
      <w:adjustRightInd/>
      <w:spacing w:line="360" w:lineRule="auto"/>
      <w:ind w:firstLine="480" w:firstLineChars="200"/>
    </w:pPr>
    <w:rPr>
      <w:rFonts w:ascii="宋体" w:hAnsi="宋体"/>
      <w:sz w:val="24"/>
      <w:szCs w:val="22"/>
    </w:rPr>
  </w:style>
  <w:style w:type="character" w:customStyle="1" w:styleId="400">
    <w:name w:val="批注文字 字符"/>
    <w:qFormat/>
    <w:uiPriority w:val="0"/>
    <w:rPr>
      <w:rFonts w:ascii="Arial" w:hAnsi="Arial" w:eastAsia="黑体" w:cs="Arial"/>
      <w:snapToGrid w:val="0"/>
      <w:kern w:val="0"/>
      <w:szCs w:val="21"/>
    </w:rPr>
  </w:style>
  <w:style w:type="character" w:customStyle="1" w:styleId="401">
    <w:name w:val="Char Char161"/>
    <w:qFormat/>
    <w:uiPriority w:val="0"/>
    <w:rPr>
      <w:rFonts w:eastAsia="宋体"/>
      <w:b/>
      <w:kern w:val="2"/>
      <w:sz w:val="32"/>
      <w:lang w:val="en-US" w:eastAsia="zh-CN"/>
    </w:rPr>
  </w:style>
  <w:style w:type="character" w:customStyle="1" w:styleId="402">
    <w:name w:val="javascript"/>
    <w:qFormat/>
    <w:uiPriority w:val="0"/>
  </w:style>
  <w:style w:type="character" w:customStyle="1" w:styleId="403">
    <w:name w:val="图名 Char"/>
    <w:qFormat/>
    <w:uiPriority w:val="0"/>
    <w:rPr>
      <w:rFonts w:ascii="Arial" w:hAnsi="Arial" w:eastAsia="黑体"/>
      <w:kern w:val="2"/>
      <w:sz w:val="24"/>
      <w:szCs w:val="24"/>
      <w:lang w:val="en-US" w:eastAsia="zh-CN" w:bidi="ar-SA"/>
    </w:rPr>
  </w:style>
  <w:style w:type="character" w:customStyle="1" w:styleId="404">
    <w:name w:val="Used by Word for text of Help footnotes Char Char"/>
    <w:qFormat/>
    <w:uiPriority w:val="0"/>
    <w:rPr>
      <w:rFonts w:ascii="Times New Roman" w:hAnsi="Times New Roman" w:eastAsia="宋体" w:cs="Times New Roman"/>
      <w:sz w:val="20"/>
      <w:szCs w:val="20"/>
    </w:rPr>
  </w:style>
  <w:style w:type="character" w:customStyle="1" w:styleId="405">
    <w:name w:val="编号，小四 Char"/>
    <w:link w:val="406"/>
    <w:qFormat/>
    <w:uiPriority w:val="0"/>
    <w:rPr>
      <w:rFonts w:ascii="Arial" w:hAnsi="Arial"/>
      <w:sz w:val="24"/>
    </w:rPr>
  </w:style>
  <w:style w:type="paragraph" w:customStyle="1" w:styleId="406">
    <w:name w:val="编号，小四"/>
    <w:basedOn w:val="1"/>
    <w:link w:val="405"/>
    <w:qFormat/>
    <w:uiPriority w:val="0"/>
    <w:pPr>
      <w:tabs>
        <w:tab w:val="left" w:pos="432"/>
      </w:tabs>
      <w:adjustRightInd/>
      <w:spacing w:line="360" w:lineRule="auto"/>
      <w:ind w:left="432" w:hanging="432"/>
    </w:pPr>
    <w:rPr>
      <w:rFonts w:ascii="Arial" w:hAnsi="Arial"/>
      <w:kern w:val="0"/>
      <w:sz w:val="24"/>
      <w:szCs w:val="20"/>
    </w:rPr>
  </w:style>
  <w:style w:type="character" w:customStyle="1" w:styleId="407">
    <w:name w:val="Font Style82"/>
    <w:qFormat/>
    <w:uiPriority w:val="99"/>
    <w:rPr>
      <w:rFonts w:ascii="宋体" w:eastAsia="宋体" w:cs="宋体"/>
      <w:color w:val="000000"/>
      <w:sz w:val="14"/>
      <w:szCs w:val="14"/>
    </w:rPr>
  </w:style>
  <w:style w:type="character" w:customStyle="1" w:styleId="408">
    <w:name w:val="标题 2 Char Char"/>
    <w:qFormat/>
    <w:uiPriority w:val="0"/>
    <w:rPr>
      <w:rFonts w:ascii="楷体_GB2312" w:hAnsi="Arial" w:eastAsia="楷体_GB2312"/>
      <w:b/>
      <w:bCs/>
      <w:kern w:val="2"/>
      <w:sz w:val="24"/>
      <w:szCs w:val="32"/>
      <w:lang w:val="en-US" w:eastAsia="zh-CN" w:bidi="ar-SA"/>
    </w:rPr>
  </w:style>
  <w:style w:type="character" w:customStyle="1" w:styleId="409">
    <w:name w:val="未用 Char"/>
    <w:qFormat/>
    <w:uiPriority w:val="0"/>
    <w:rPr>
      <w:rFonts w:ascii="Arial" w:hAnsi="Arial" w:eastAsia="黑体"/>
      <w:kern w:val="2"/>
      <w:sz w:val="21"/>
      <w:szCs w:val="21"/>
      <w:lang w:val="en-US" w:eastAsia="zh-CN" w:bidi="ar-SA"/>
    </w:rPr>
  </w:style>
  <w:style w:type="character" w:customStyle="1" w:styleId="410">
    <w:name w:val="myp1111"/>
    <w:qFormat/>
    <w:uiPriority w:val="0"/>
    <w:rPr>
      <w:rFonts w:hint="default" w:ascii="ˎ̥" w:hAnsi="ˎ̥"/>
      <w:color w:val="000000"/>
      <w:sz w:val="20"/>
      <w:szCs w:val="20"/>
      <w:u w:val="none"/>
    </w:rPr>
  </w:style>
  <w:style w:type="character" w:customStyle="1" w:styleId="411">
    <w:name w:val="样式 标题 4h4H4Fab-4T5Ref Heading 1rh1Heading sqlsect 1.2.3.... Char"/>
    <w:link w:val="303"/>
    <w:qFormat/>
    <w:uiPriority w:val="0"/>
    <w:rPr>
      <w:rFonts w:ascii="微软雅黑" w:hAnsi="微软雅黑" w:eastAsia="微软雅黑"/>
      <w:b/>
      <w:bCs/>
      <w:kern w:val="2"/>
      <w:sz w:val="24"/>
      <w:szCs w:val="28"/>
    </w:rPr>
  </w:style>
  <w:style w:type="character" w:customStyle="1" w:styleId="412">
    <w:name w:val="h Char Char"/>
    <w:qFormat/>
    <w:uiPriority w:val="0"/>
    <w:rPr>
      <w:rFonts w:eastAsia="宋体"/>
      <w:kern w:val="2"/>
      <w:sz w:val="18"/>
      <w:lang w:val="en-US" w:eastAsia="zh-CN" w:bidi="ar-SA"/>
    </w:rPr>
  </w:style>
  <w:style w:type="character" w:customStyle="1" w:styleId="413">
    <w:name w:val="仿宋正文 Char"/>
    <w:link w:val="414"/>
    <w:qFormat/>
    <w:uiPriority w:val="0"/>
    <w:rPr>
      <w:rFonts w:ascii="仿宋_GB2312" w:eastAsia="仿宋_GB2312"/>
      <w:kern w:val="2"/>
      <w:sz w:val="24"/>
      <w:lang w:val="en-US" w:eastAsia="zh-CN" w:bidi="ar-SA"/>
    </w:rPr>
  </w:style>
  <w:style w:type="paragraph" w:customStyle="1" w:styleId="414">
    <w:name w:val="仿宋正文"/>
    <w:basedOn w:val="1"/>
    <w:link w:val="413"/>
    <w:qFormat/>
    <w:uiPriority w:val="0"/>
    <w:pPr>
      <w:adjustRightInd/>
      <w:spacing w:line="360" w:lineRule="auto"/>
      <w:ind w:firstLine="480" w:firstLineChars="200"/>
    </w:pPr>
    <w:rPr>
      <w:rFonts w:ascii="仿宋_GB2312" w:eastAsia="仿宋_GB2312"/>
      <w:sz w:val="24"/>
      <w:szCs w:val="20"/>
    </w:rPr>
  </w:style>
  <w:style w:type="character" w:customStyle="1" w:styleId="415">
    <w:name w:val="正文首行缩进 Char Char Char Char Char Char"/>
    <w:qFormat/>
    <w:uiPriority w:val="0"/>
    <w:rPr>
      <w:rFonts w:ascii="宋体" w:eastAsia="宋体"/>
      <w:kern w:val="2"/>
      <w:sz w:val="24"/>
      <w:lang w:val="zh-CN" w:bidi="ar-SA"/>
    </w:rPr>
  </w:style>
  <w:style w:type="character" w:customStyle="1" w:styleId="416">
    <w:name w:val="样式 宋体"/>
    <w:qFormat/>
    <w:uiPriority w:val="0"/>
    <w:rPr>
      <w:rFonts w:ascii="宋体" w:hAnsi="宋体"/>
      <w:sz w:val="24"/>
    </w:rPr>
  </w:style>
  <w:style w:type="character" w:customStyle="1" w:styleId="417">
    <w:name w:val="tw4winJump"/>
    <w:qFormat/>
    <w:uiPriority w:val="0"/>
    <w:rPr>
      <w:rFonts w:ascii="Courier New" w:hAnsi="Courier New" w:cs="Courier New"/>
      <w:color w:val="008080"/>
      <w:lang w:val="en-US" w:eastAsia="zh-CN"/>
    </w:rPr>
  </w:style>
  <w:style w:type="character" w:customStyle="1" w:styleId="418">
    <w:name w:val="标题 1 字符"/>
    <w:qFormat/>
    <w:uiPriority w:val="9"/>
    <w:rPr>
      <w:rFonts w:ascii="Arial" w:hAnsi="Arial" w:eastAsia="黑体" w:cs="Arial"/>
      <w:b/>
      <w:bCs/>
      <w:snapToGrid w:val="0"/>
      <w:kern w:val="44"/>
      <w:sz w:val="44"/>
      <w:szCs w:val="44"/>
    </w:rPr>
  </w:style>
  <w:style w:type="character" w:customStyle="1" w:styleId="419">
    <w:name w:val="style36"/>
    <w:basedOn w:val="70"/>
    <w:qFormat/>
    <w:uiPriority w:val="0"/>
    <w:rPr>
      <w:rFonts w:ascii="Arial" w:hAnsi="Arial" w:eastAsia="黑体" w:cs="Arial"/>
      <w:snapToGrid w:val="0"/>
      <w:kern w:val="0"/>
      <w:szCs w:val="21"/>
    </w:rPr>
  </w:style>
  <w:style w:type="character" w:customStyle="1" w:styleId="420">
    <w:name w:val="pt9"/>
    <w:qFormat/>
    <w:uiPriority w:val="0"/>
    <w:rPr>
      <w:rFonts w:ascii="仿宋_GB2312" w:eastAsia="微软雅黑"/>
      <w:b/>
      <w:kern w:val="2"/>
      <w:sz w:val="32"/>
      <w:szCs w:val="32"/>
      <w:lang w:val="en-US" w:eastAsia="zh-CN" w:bidi="ar-SA"/>
    </w:rPr>
  </w:style>
  <w:style w:type="character" w:customStyle="1" w:styleId="421">
    <w:name w:val="DO_NOT_TRANSLATE"/>
    <w:qFormat/>
    <w:uiPriority w:val="0"/>
    <w:rPr>
      <w:rFonts w:ascii="Courier New" w:hAnsi="Courier New" w:cs="Courier New"/>
      <w:color w:val="800000"/>
      <w:lang w:val="en-US" w:eastAsia="zh-CN"/>
    </w:rPr>
  </w:style>
  <w:style w:type="character" w:customStyle="1" w:styleId="422">
    <w:name w:val="标书1 Char1"/>
    <w:qFormat/>
    <w:uiPriority w:val="0"/>
    <w:rPr>
      <w:rFonts w:eastAsia="宋体"/>
      <w:b/>
      <w:bCs/>
      <w:kern w:val="44"/>
      <w:sz w:val="44"/>
      <w:szCs w:val="44"/>
      <w:lang w:val="en-US" w:eastAsia="zh-CN" w:bidi="ar-SA"/>
    </w:rPr>
  </w:style>
  <w:style w:type="character" w:customStyle="1" w:styleId="423">
    <w:name w:val="页脚 字符"/>
    <w:qFormat/>
    <w:uiPriority w:val="99"/>
    <w:rPr>
      <w:kern w:val="2"/>
      <w:sz w:val="18"/>
      <w:szCs w:val="18"/>
    </w:rPr>
  </w:style>
  <w:style w:type="character" w:customStyle="1" w:styleId="424">
    <w:name w:val="正文2 Char"/>
    <w:qFormat/>
    <w:uiPriority w:val="0"/>
    <w:rPr>
      <w:rFonts w:eastAsia="宋体"/>
      <w:kern w:val="2"/>
      <w:sz w:val="24"/>
      <w:lang w:val="en-US" w:eastAsia="zh-CN" w:bidi="ar-SA"/>
    </w:rPr>
  </w:style>
  <w:style w:type="character" w:customStyle="1" w:styleId="425">
    <w:name w:val="Char Char21"/>
    <w:qFormat/>
    <w:uiPriority w:val="6"/>
    <w:rPr>
      <w:rFonts w:ascii="宋体" w:hAnsi="宋体"/>
      <w:kern w:val="1"/>
      <w:sz w:val="24"/>
      <w:szCs w:val="21"/>
      <w:lang w:val="zh-CN"/>
    </w:rPr>
  </w:style>
  <w:style w:type="character" w:customStyle="1" w:styleId="426">
    <w:name w:val="样式 正文缩进 + 首行缩进:  2 字符 Char Char"/>
    <w:link w:val="427"/>
    <w:qFormat/>
    <w:uiPriority w:val="0"/>
    <w:rPr>
      <w:rFonts w:cs="宋体"/>
      <w:kern w:val="2"/>
      <w:sz w:val="24"/>
    </w:rPr>
  </w:style>
  <w:style w:type="paragraph" w:customStyle="1" w:styleId="427">
    <w:name w:val="样式 正文缩进 + 首行缩进:  2 字符"/>
    <w:basedOn w:val="2"/>
    <w:link w:val="426"/>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28">
    <w:name w:val="正文文本 Char1"/>
    <w:link w:val="24"/>
    <w:qFormat/>
    <w:uiPriority w:val="0"/>
    <w:rPr>
      <w:rFonts w:ascii="宋体" w:hAnsi="Arial" w:eastAsia="宋体" w:cs="Arial"/>
      <w:snapToGrid w:val="0"/>
      <w:kern w:val="2"/>
      <w:sz w:val="24"/>
      <w:szCs w:val="21"/>
      <w:lang w:val="zh-CN" w:eastAsia="zh-CN" w:bidi="ar-SA"/>
    </w:rPr>
  </w:style>
  <w:style w:type="character" w:customStyle="1" w:styleId="429">
    <w:name w:val="gray6"/>
    <w:basedOn w:val="70"/>
    <w:qFormat/>
    <w:uiPriority w:val="0"/>
    <w:rPr>
      <w:rFonts w:ascii="Arial" w:hAnsi="Arial" w:eastAsia="黑体" w:cs="Arial"/>
      <w:snapToGrid w:val="0"/>
      <w:kern w:val="0"/>
      <w:szCs w:val="21"/>
    </w:rPr>
  </w:style>
  <w:style w:type="character" w:customStyle="1" w:styleId="430">
    <w:name w:val="hui"/>
    <w:basedOn w:val="70"/>
    <w:qFormat/>
    <w:uiPriority w:val="0"/>
    <w:rPr>
      <w:rFonts w:ascii="Arial" w:hAnsi="Arial" w:eastAsia="黑体" w:cs="Arial"/>
      <w:snapToGrid w:val="0"/>
      <w:kern w:val="0"/>
      <w:szCs w:val="21"/>
    </w:rPr>
  </w:style>
  <w:style w:type="character" w:customStyle="1" w:styleId="431">
    <w:name w:val="哈哈正文 Char Char"/>
    <w:qFormat/>
    <w:uiPriority w:val="0"/>
    <w:rPr>
      <w:rFonts w:ascii="宋体" w:hAnsi="宋体" w:eastAsia="宋体" w:cs="宋体"/>
      <w:kern w:val="2"/>
      <w:sz w:val="24"/>
      <w:lang w:val="en-US" w:eastAsia="zh-CN" w:bidi="ar-SA"/>
    </w:rPr>
  </w:style>
  <w:style w:type="paragraph" w:customStyle="1" w:styleId="432">
    <w:name w:val="样式 正文文本缩进 + 左侧:  2 字符 首行缩进:  2 字符"/>
    <w:basedOn w:val="26"/>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3">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4">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5">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6">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37">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38">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39">
    <w:name w:val="标题4_自定义"/>
    <w:basedOn w:val="6"/>
    <w:qFormat/>
    <w:uiPriority w:val="0"/>
    <w:pPr>
      <w:adjustRightInd/>
      <w:spacing w:before="0" w:after="0" w:line="360" w:lineRule="auto"/>
    </w:pPr>
    <w:rPr>
      <w:rFonts w:ascii="Verdana" w:eastAsia="Verdana"/>
      <w:sz w:val="21"/>
      <w:lang w:val="en-US"/>
    </w:rPr>
  </w:style>
  <w:style w:type="paragraph" w:customStyle="1" w:styleId="440">
    <w:name w:val="正文 内标 序号标"/>
    <w:basedOn w:val="441"/>
    <w:qFormat/>
    <w:uiPriority w:val="0"/>
    <w:pPr>
      <w:tabs>
        <w:tab w:val="left" w:pos="0"/>
      </w:tabs>
      <w:adjustRightInd/>
      <w:spacing w:before="0"/>
      <w:ind w:firstLine="482"/>
    </w:pPr>
    <w:rPr>
      <w:rFonts w:ascii="微软雅黑" w:hAnsi="微软雅黑"/>
      <w:sz w:val="24"/>
      <w:szCs w:val="24"/>
    </w:rPr>
  </w:style>
  <w:style w:type="paragraph" w:customStyle="1" w:styleId="441">
    <w:name w:val="My正文"/>
    <w:basedOn w:val="1"/>
    <w:qFormat/>
    <w:uiPriority w:val="0"/>
    <w:pPr>
      <w:spacing w:before="120" w:line="360" w:lineRule="auto"/>
      <w:ind w:firstLine="567"/>
    </w:pPr>
    <w:rPr>
      <w:rFonts w:ascii="Arial" w:hAnsi="Arial"/>
      <w:sz w:val="20"/>
      <w:szCs w:val="20"/>
    </w:rPr>
  </w:style>
  <w:style w:type="paragraph" w:customStyle="1" w:styleId="442">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3">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4">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5">
    <w:name w:val="修订2"/>
    <w:qFormat/>
    <w:uiPriority w:val="0"/>
    <w:rPr>
      <w:rFonts w:ascii="Times New Roman" w:hAnsi="Times New Roman" w:eastAsia="宋体" w:cs="Times New Roman"/>
      <w:kern w:val="2"/>
      <w:sz w:val="21"/>
      <w:lang w:val="en-US" w:eastAsia="zh-CN" w:bidi="ar-SA"/>
    </w:rPr>
  </w:style>
  <w:style w:type="paragraph" w:customStyle="1" w:styleId="446">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47">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48">
    <w:name w:val="文章标题"/>
    <w:next w:val="449"/>
    <w:qFormat/>
    <w:uiPriority w:val="0"/>
    <w:pPr>
      <w:spacing w:before="2496" w:beforeLines="800" w:after="312" w:afterLines="100"/>
      <w:jc w:val="center"/>
    </w:pPr>
    <w:rPr>
      <w:rFonts w:ascii="Arial" w:hAnsi="Arial" w:eastAsia="黑体" w:cs="宋体"/>
      <w:bCs/>
      <w:kern w:val="2"/>
      <w:sz w:val="52"/>
      <w:lang w:val="en-US" w:eastAsia="zh-CN" w:bidi="ar-SA"/>
    </w:rPr>
  </w:style>
  <w:style w:type="paragraph" w:customStyle="1" w:styleId="449">
    <w:name w:val="封面公司名"/>
    <w:qFormat/>
    <w:uiPriority w:val="0"/>
    <w:pPr>
      <w:jc w:val="center"/>
    </w:pPr>
    <w:rPr>
      <w:rFonts w:ascii="Arial" w:hAnsi="Arial" w:eastAsia="楷体_GB2312" w:cs="宋体"/>
      <w:bCs/>
      <w:kern w:val="2"/>
      <w:sz w:val="28"/>
      <w:lang w:val="en-US" w:eastAsia="zh-CN" w:bidi="ar-SA"/>
    </w:rPr>
  </w:style>
  <w:style w:type="paragraph" w:customStyle="1" w:styleId="450">
    <w:name w:val="Char1 Char Char Char5"/>
    <w:basedOn w:val="1"/>
    <w:qFormat/>
    <w:uiPriority w:val="0"/>
    <w:pPr>
      <w:adjustRightInd/>
      <w:ind w:firstLine="200" w:firstLineChars="200"/>
    </w:pPr>
    <w:rPr>
      <w:rFonts w:ascii="Tahoma" w:hAnsi="Tahoma"/>
      <w:sz w:val="24"/>
      <w:szCs w:val="20"/>
    </w:rPr>
  </w:style>
  <w:style w:type="paragraph" w:customStyle="1" w:styleId="451">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2">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3">
    <w:name w:val="Char Char Char Char Char Char Char Char"/>
    <w:basedOn w:val="1"/>
    <w:qFormat/>
    <w:uiPriority w:val="0"/>
    <w:pPr>
      <w:tabs>
        <w:tab w:val="left" w:pos="360"/>
      </w:tabs>
    </w:pPr>
    <w:rPr>
      <w:sz w:val="24"/>
      <w:szCs w:val="20"/>
    </w:rPr>
  </w:style>
  <w:style w:type="paragraph" w:customStyle="1" w:styleId="454">
    <w:name w:val="Char Char11 Char Char Char"/>
    <w:basedOn w:val="1"/>
    <w:qFormat/>
    <w:uiPriority w:val="0"/>
    <w:pPr>
      <w:spacing w:line="360" w:lineRule="auto"/>
    </w:pPr>
    <w:rPr>
      <w:szCs w:val="20"/>
    </w:rPr>
  </w:style>
  <w:style w:type="paragraph" w:customStyle="1" w:styleId="455">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6">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57">
    <w:name w:val="样式3"/>
    <w:basedOn w:val="458"/>
    <w:qFormat/>
    <w:uiPriority w:val="0"/>
    <w:pPr>
      <w:tabs>
        <w:tab w:val="left" w:pos="2790"/>
        <w:tab w:val="left" w:pos="4230"/>
      </w:tabs>
      <w:spacing w:before="312" w:beforeLines="100"/>
      <w:jc w:val="left"/>
    </w:pPr>
  </w:style>
  <w:style w:type="paragraph" w:customStyle="1" w:styleId="458">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59">
    <w:name w:val="Char Char1 Char Char1 Char Char1"/>
    <w:basedOn w:val="1"/>
    <w:qFormat/>
    <w:uiPriority w:val="0"/>
    <w:pPr>
      <w:tabs>
        <w:tab w:val="left" w:pos="840"/>
      </w:tabs>
      <w:ind w:left="840" w:hanging="420"/>
    </w:pPr>
    <w:rPr>
      <w:rFonts w:ascii="Tahoma" w:hAnsi="Tahoma"/>
      <w:sz w:val="24"/>
    </w:rPr>
  </w:style>
  <w:style w:type="paragraph" w:customStyle="1" w:styleId="460">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1">
    <w:name w:val="标书标题2"/>
    <w:basedOn w:val="4"/>
    <w:qFormat/>
    <w:uiPriority w:val="0"/>
    <w:pPr>
      <w:keepLines w:val="0"/>
      <w:widowControl/>
      <w:tabs>
        <w:tab w:val="left" w:pos="840"/>
        <w:tab w:val="clear" w:pos="432"/>
      </w:tabs>
      <w:adjustRightInd w:val="0"/>
      <w:snapToGrid w:val="0"/>
      <w:spacing w:before="156" w:beforeLines="50" w:after="60" w:line="300" w:lineRule="auto"/>
      <w:ind w:left="840" w:hanging="420"/>
    </w:pPr>
    <w:rPr>
      <w:rFonts w:ascii="Arial Narrow" w:hAnsi="Arial Narrow"/>
      <w:snapToGrid w:val="0"/>
      <w:kern w:val="0"/>
      <w:szCs w:val="20"/>
      <w:lang w:val="en-US"/>
    </w:rPr>
  </w:style>
  <w:style w:type="paragraph" w:customStyle="1" w:styleId="462">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3">
    <w:name w:val="正文21"/>
    <w:basedOn w:val="1"/>
    <w:qFormat/>
    <w:uiPriority w:val="0"/>
    <w:pPr>
      <w:adjustRightInd/>
      <w:spacing w:before="156" w:line="360" w:lineRule="auto"/>
      <w:ind w:firstLine="510" w:firstLineChars="200"/>
    </w:pPr>
    <w:rPr>
      <w:sz w:val="24"/>
      <w:szCs w:val="20"/>
    </w:rPr>
  </w:style>
  <w:style w:type="paragraph" w:customStyle="1" w:styleId="464">
    <w:name w:val="Test2"/>
    <w:basedOn w:val="4"/>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5">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6">
    <w:name w:val="Char1"/>
    <w:basedOn w:val="1"/>
    <w:qFormat/>
    <w:uiPriority w:val="0"/>
    <w:rPr>
      <w:rFonts w:ascii="仿宋_GB2312" w:eastAsia="仿宋_GB2312"/>
      <w:b/>
      <w:sz w:val="32"/>
      <w:szCs w:val="32"/>
    </w:rPr>
  </w:style>
  <w:style w:type="paragraph" w:customStyle="1" w:styleId="467">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68">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69">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0">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1">
    <w:name w:val="6级标题"/>
    <w:basedOn w:val="472"/>
    <w:qFormat/>
    <w:uiPriority w:val="0"/>
    <w:pPr>
      <w:keepNext/>
      <w:tabs>
        <w:tab w:val="left" w:pos="360"/>
      </w:tabs>
      <w:spacing w:before="0" w:after="0"/>
      <w:outlineLvl w:val="5"/>
    </w:pPr>
  </w:style>
  <w:style w:type="paragraph" w:customStyle="1" w:styleId="472">
    <w:name w:val="5级标题"/>
    <w:basedOn w:val="473"/>
    <w:qFormat/>
    <w:uiPriority w:val="0"/>
    <w:pPr>
      <w:keepLines w:val="0"/>
      <w:tabs>
        <w:tab w:val="left" w:pos="360"/>
      </w:tabs>
      <w:spacing w:before="10" w:beforeLines="10" w:after="10" w:afterLines="10"/>
      <w:outlineLvl w:val="4"/>
    </w:pPr>
    <w:rPr>
      <w:rFonts w:ascii="Times New Roman" w:hAnsi="Times New Roman" w:eastAsia="仿宋"/>
      <w:b/>
      <w:kern w:val="2"/>
      <w:szCs w:val="20"/>
      <w:lang w:eastAsia="zh-CN" w:bidi="ar-SA"/>
    </w:rPr>
  </w:style>
  <w:style w:type="paragraph" w:customStyle="1" w:styleId="473">
    <w:name w:val="4级标题"/>
    <w:basedOn w:val="256"/>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4">
    <w:name w:val="样式 正文文本缩进 + 段前: 2 字符"/>
    <w:basedOn w:val="1"/>
    <w:qFormat/>
    <w:uiPriority w:val="0"/>
    <w:pPr>
      <w:adjustRightInd/>
      <w:ind w:left="420" w:leftChars="200"/>
      <w:jc w:val="left"/>
    </w:pPr>
    <w:rPr>
      <w:sz w:val="28"/>
      <w:szCs w:val="20"/>
      <w:lang w:eastAsia="zh-TW"/>
    </w:rPr>
  </w:style>
  <w:style w:type="paragraph" w:customStyle="1" w:styleId="475">
    <w:name w:val="Char2 Char Char"/>
    <w:basedOn w:val="1"/>
    <w:qFormat/>
    <w:uiPriority w:val="0"/>
    <w:pPr>
      <w:adjustRightInd/>
    </w:pPr>
    <w:rPr>
      <w:rFonts w:ascii="Tahoma" w:hAnsi="Tahoma"/>
      <w:sz w:val="24"/>
      <w:szCs w:val="20"/>
    </w:rPr>
  </w:style>
  <w:style w:type="paragraph" w:customStyle="1" w:styleId="476">
    <w:name w:val="_Style 11"/>
    <w:basedOn w:val="1"/>
    <w:qFormat/>
    <w:uiPriority w:val="34"/>
    <w:pPr>
      <w:adjustRightInd/>
      <w:ind w:firstLine="420" w:firstLineChars="200"/>
    </w:pPr>
    <w:rPr>
      <w:rFonts w:eastAsia="仿宋_GB2312"/>
      <w:sz w:val="28"/>
    </w:rPr>
  </w:style>
  <w:style w:type="paragraph" w:customStyle="1" w:styleId="477">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78">
    <w:name w:val="Char Char Char"/>
    <w:basedOn w:val="1"/>
    <w:qFormat/>
    <w:uiPriority w:val="0"/>
    <w:rPr>
      <w:rFonts w:ascii="Tahoma" w:hAnsi="Tahoma"/>
      <w:sz w:val="24"/>
      <w:szCs w:val="20"/>
    </w:rPr>
  </w:style>
  <w:style w:type="paragraph" w:customStyle="1" w:styleId="479">
    <w:name w:val="数字标题6"/>
    <w:basedOn w:val="8"/>
    <w:next w:val="1"/>
    <w:qFormat/>
    <w:uiPriority w:val="0"/>
    <w:pPr>
      <w:tabs>
        <w:tab w:val="left" w:pos="1080"/>
      </w:tabs>
      <w:ind w:left="1080" w:hanging="1080"/>
    </w:pPr>
    <w:rPr>
      <w:rFonts w:ascii="Times New Roman" w:hAnsi="Times New Roman" w:eastAsia="宋体"/>
      <w:i/>
    </w:rPr>
  </w:style>
  <w:style w:type="paragraph" w:customStyle="1" w:styleId="480">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styleId="481">
    <w:name w:val="No Spacing"/>
    <w:basedOn w:val="1"/>
    <w:link w:val="931"/>
    <w:qFormat/>
    <w:uiPriority w:val="99"/>
    <w:rPr>
      <w:szCs w:val="22"/>
    </w:rPr>
  </w:style>
  <w:style w:type="paragraph" w:customStyle="1" w:styleId="482">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3">
    <w:name w:val="Char Char Char Char Char Char Char Char Char Char Char Char1 Char1"/>
    <w:basedOn w:val="1"/>
    <w:qFormat/>
    <w:uiPriority w:val="6"/>
    <w:rPr>
      <w:rFonts w:ascii="Tahoma" w:hAnsi="Tahoma" w:cs="仿宋_GB2312"/>
      <w:sz w:val="24"/>
      <w:szCs w:val="20"/>
    </w:rPr>
  </w:style>
  <w:style w:type="paragraph" w:customStyle="1" w:styleId="484">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5">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6">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87">
    <w:name w:val="MM Topic 2"/>
    <w:basedOn w:val="4"/>
    <w:qFormat/>
    <w:uiPriority w:val="0"/>
    <w:pPr>
      <w:tabs>
        <w:tab w:val="left" w:pos="1260"/>
      </w:tabs>
      <w:ind w:left="1260" w:hanging="420"/>
    </w:pPr>
    <w:rPr>
      <w:rFonts w:ascii="Arial" w:hAnsi="Arial" w:eastAsia="黑体"/>
      <w:lang w:val="en-US"/>
    </w:rPr>
  </w:style>
  <w:style w:type="paragraph" w:customStyle="1" w:styleId="488">
    <w:name w:val="五级无标题条"/>
    <w:basedOn w:val="1"/>
    <w:qFormat/>
    <w:uiPriority w:val="0"/>
    <w:pPr>
      <w:adjustRightInd/>
    </w:pPr>
  </w:style>
  <w:style w:type="paragraph" w:customStyle="1" w:styleId="489">
    <w:name w:val="Char5"/>
    <w:basedOn w:val="1"/>
    <w:qFormat/>
    <w:uiPriority w:val="0"/>
    <w:rPr>
      <w:rFonts w:ascii="仿宋_GB2312" w:eastAsia="仿宋_GB2312"/>
      <w:b/>
      <w:sz w:val="32"/>
      <w:szCs w:val="32"/>
    </w:rPr>
  </w:style>
  <w:style w:type="paragraph" w:customStyle="1" w:styleId="490">
    <w:name w:val="TOC 标题1"/>
    <w:basedOn w:val="3"/>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1">
    <w:name w:val="彩色列表 - 强调文字颜色 12"/>
    <w:basedOn w:val="1"/>
    <w:qFormat/>
    <w:uiPriority w:val="0"/>
    <w:pPr>
      <w:adjustRightInd/>
      <w:ind w:firstLine="420" w:firstLineChars="200"/>
    </w:pPr>
    <w:rPr>
      <w:rFonts w:ascii="Calibri" w:hAnsi="Calibri"/>
      <w:szCs w:val="22"/>
    </w:rPr>
  </w:style>
  <w:style w:type="paragraph" w:customStyle="1" w:styleId="492">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3">
    <w:name w:val="Char2"/>
    <w:basedOn w:val="1"/>
    <w:qFormat/>
    <w:uiPriority w:val="0"/>
    <w:rPr>
      <w:rFonts w:ascii="仿宋_GB2312" w:eastAsia="仿宋_GB2312"/>
      <w:b/>
      <w:sz w:val="32"/>
      <w:szCs w:val="32"/>
    </w:rPr>
  </w:style>
  <w:style w:type="paragraph" w:customStyle="1" w:styleId="494">
    <w:name w:val="数字标题3"/>
    <w:basedOn w:val="5"/>
    <w:next w:val="1"/>
    <w:qFormat/>
    <w:uiPriority w:val="0"/>
    <w:pPr>
      <w:spacing w:line="240" w:lineRule="auto"/>
    </w:pPr>
    <w:rPr>
      <w:sz w:val="28"/>
      <w:szCs w:val="28"/>
    </w:rPr>
  </w:style>
  <w:style w:type="paragraph" w:customStyle="1" w:styleId="495">
    <w:name w:val="FA正文"/>
    <w:basedOn w:val="1"/>
    <w:qFormat/>
    <w:uiPriority w:val="0"/>
    <w:pPr>
      <w:spacing w:line="360" w:lineRule="auto"/>
      <w:ind w:firstLine="480" w:firstLineChars="200"/>
    </w:pPr>
    <w:rPr>
      <w:rFonts w:hAnsi="宋体"/>
      <w:sz w:val="24"/>
      <w:szCs w:val="20"/>
    </w:rPr>
  </w:style>
  <w:style w:type="paragraph" w:customStyle="1" w:styleId="496">
    <w:name w:val="MM Topic 5"/>
    <w:basedOn w:val="7"/>
    <w:qFormat/>
    <w:uiPriority w:val="0"/>
    <w:pPr>
      <w:tabs>
        <w:tab w:val="left" w:pos="2520"/>
      </w:tabs>
      <w:adjustRightInd/>
      <w:ind w:left="2520" w:hanging="420"/>
    </w:pPr>
  </w:style>
  <w:style w:type="paragraph" w:customStyle="1" w:styleId="497">
    <w:name w:val="Char Char Char Char Char Char Char Char Char Char1"/>
    <w:basedOn w:val="1"/>
    <w:qFormat/>
    <w:uiPriority w:val="0"/>
    <w:rPr>
      <w:rFonts w:ascii="仿宋_GB2312" w:eastAsia="仿宋_GB2312"/>
      <w:b/>
      <w:sz w:val="32"/>
      <w:szCs w:val="32"/>
    </w:rPr>
  </w:style>
  <w:style w:type="paragraph" w:customStyle="1" w:styleId="498">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499">
    <w:name w:val="修订1"/>
    <w:qFormat/>
    <w:uiPriority w:val="3"/>
    <w:rPr>
      <w:rFonts w:ascii="Times New Roman" w:hAnsi="Times New Roman" w:eastAsia="宋体" w:cs="Times New Roman"/>
      <w:color w:val="000000"/>
      <w:kern w:val="1"/>
      <w:sz w:val="21"/>
      <w:lang w:val="en-US" w:eastAsia="zh-CN" w:bidi="ar-SA"/>
    </w:rPr>
  </w:style>
  <w:style w:type="paragraph" w:customStyle="1" w:styleId="500">
    <w:name w:val="Char2 Char Char Char"/>
    <w:basedOn w:val="1"/>
    <w:qFormat/>
    <w:uiPriority w:val="0"/>
    <w:rPr>
      <w:rFonts w:ascii="仿宋_GB2312" w:eastAsia="仿宋_GB2312"/>
      <w:b/>
      <w:sz w:val="32"/>
      <w:szCs w:val="32"/>
    </w:rPr>
  </w:style>
  <w:style w:type="paragraph" w:customStyle="1" w:styleId="501">
    <w:name w:val="Char2 Char Char Char1"/>
    <w:basedOn w:val="1"/>
    <w:qFormat/>
    <w:uiPriority w:val="6"/>
    <w:rPr>
      <w:rFonts w:ascii="仿宋_GB2312" w:eastAsia="仿宋_GB2312"/>
      <w:b/>
      <w:sz w:val="32"/>
      <w:szCs w:val="32"/>
    </w:rPr>
  </w:style>
  <w:style w:type="paragraph" w:customStyle="1" w:styleId="502">
    <w:name w:val="默认段落样式"/>
    <w:basedOn w:val="129"/>
    <w:qFormat/>
    <w:uiPriority w:val="0"/>
    <w:pPr>
      <w:spacing w:before="0"/>
      <w:ind w:firstLine="480"/>
      <w:outlineLvl w:val="2"/>
    </w:pPr>
    <w:rPr>
      <w:rFonts w:ascii="仿宋_GB2312" w:hAnsi="宋体" w:eastAsia="仿宋_GB2312"/>
      <w:color w:val="000000"/>
      <w:szCs w:val="24"/>
    </w:rPr>
  </w:style>
  <w:style w:type="paragraph" w:customStyle="1" w:styleId="503">
    <w:name w:val="图中文字"/>
    <w:basedOn w:val="1"/>
    <w:qFormat/>
    <w:uiPriority w:val="0"/>
    <w:pPr>
      <w:snapToGrid w:val="0"/>
      <w:spacing w:line="0" w:lineRule="atLeast"/>
      <w:ind w:firstLine="200" w:firstLineChars="200"/>
      <w:jc w:val="center"/>
    </w:pPr>
    <w:rPr>
      <w:sz w:val="24"/>
      <w:szCs w:val="20"/>
    </w:rPr>
  </w:style>
  <w:style w:type="paragraph" w:customStyle="1" w:styleId="504">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5">
    <w:name w:val="MM Topic 3"/>
    <w:basedOn w:val="5"/>
    <w:qFormat/>
    <w:uiPriority w:val="0"/>
    <w:pPr>
      <w:tabs>
        <w:tab w:val="left" w:pos="1680"/>
      </w:tabs>
      <w:adjustRightInd/>
      <w:ind w:left="1680" w:hanging="420"/>
    </w:pPr>
  </w:style>
  <w:style w:type="paragraph" w:customStyle="1" w:styleId="506">
    <w:name w:val="标准小四"/>
    <w:basedOn w:val="1"/>
    <w:qFormat/>
    <w:uiPriority w:val="0"/>
    <w:pPr>
      <w:spacing w:line="360" w:lineRule="auto"/>
      <w:ind w:firstLine="480" w:firstLineChars="200"/>
    </w:pPr>
    <w:rPr>
      <w:rFonts w:ascii="Arial" w:hAnsi="Arial"/>
      <w:sz w:val="24"/>
      <w:szCs w:val="21"/>
    </w:rPr>
  </w:style>
  <w:style w:type="paragraph" w:customStyle="1" w:styleId="507">
    <w:name w:val="样式 标题 2H2h2Underrubrik1prop2l2Chapter Titlesect 1.2DO NO..."/>
    <w:basedOn w:val="4"/>
    <w:qFormat/>
    <w:uiPriority w:val="0"/>
    <w:pPr>
      <w:spacing w:before="120" w:after="120"/>
      <w:ind w:left="425" w:hanging="425"/>
    </w:pPr>
    <w:rPr>
      <w:rFonts w:ascii="微软雅黑" w:hAnsi="微软雅黑" w:eastAsia="微软雅黑" w:cs="宋体"/>
      <w:szCs w:val="20"/>
      <w:lang w:val="en-US"/>
    </w:rPr>
  </w:style>
  <w:style w:type="paragraph" w:customStyle="1" w:styleId="508">
    <w:name w:val="表格（小）"/>
    <w:basedOn w:val="1"/>
    <w:qFormat/>
    <w:uiPriority w:val="0"/>
    <w:pPr>
      <w:adjustRightInd/>
      <w:snapToGrid w:val="0"/>
      <w:spacing w:line="300" w:lineRule="auto"/>
    </w:pPr>
    <w:rPr>
      <w:rFonts w:eastAsia="仿宋"/>
      <w:szCs w:val="21"/>
    </w:rPr>
  </w:style>
  <w:style w:type="paragraph" w:customStyle="1" w:styleId="509">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0">
    <w:name w:val="Char2 Char Char1"/>
    <w:basedOn w:val="1"/>
    <w:qFormat/>
    <w:uiPriority w:val="6"/>
    <w:pPr>
      <w:adjustRightInd/>
    </w:pPr>
    <w:rPr>
      <w:rFonts w:ascii="Tahoma" w:hAnsi="Tahoma"/>
      <w:sz w:val="24"/>
      <w:szCs w:val="20"/>
    </w:rPr>
  </w:style>
  <w:style w:type="paragraph" w:customStyle="1" w:styleId="511">
    <w:name w:val="列出段落5"/>
    <w:basedOn w:val="1"/>
    <w:qFormat/>
    <w:uiPriority w:val="0"/>
    <w:pPr>
      <w:spacing w:line="360" w:lineRule="auto"/>
      <w:ind w:firstLine="200" w:firstLineChars="200"/>
    </w:pPr>
    <w:rPr>
      <w:rFonts w:eastAsia="楷体_GB2312" w:cs="Lucida Sans"/>
      <w:sz w:val="24"/>
    </w:rPr>
  </w:style>
  <w:style w:type="paragraph" w:customStyle="1" w:styleId="512">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3">
    <w:name w:val="表格文字"/>
    <w:basedOn w:val="1"/>
    <w:qFormat/>
    <w:uiPriority w:val="99"/>
    <w:pPr>
      <w:adjustRightInd/>
      <w:ind w:firstLine="200" w:firstLineChars="200"/>
    </w:pPr>
    <w:rPr>
      <w:rFonts w:ascii="Arial" w:hAnsi="Arial"/>
      <w:spacing w:val="-5"/>
      <w:kern w:val="0"/>
      <w:sz w:val="24"/>
      <w:szCs w:val="20"/>
    </w:rPr>
  </w:style>
  <w:style w:type="paragraph" w:customStyle="1" w:styleId="514">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5">
    <w:name w:val="TOC 标题111"/>
    <w:basedOn w:val="3"/>
    <w:next w:val="1"/>
    <w:unhideWhenUsed/>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6">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17">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18">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19">
    <w:name w:val="_Style 3"/>
    <w:basedOn w:val="1"/>
    <w:qFormat/>
    <w:uiPriority w:val="0"/>
    <w:pPr>
      <w:adjustRightInd/>
      <w:ind w:firstLine="420" w:firstLineChars="200"/>
    </w:pPr>
    <w:rPr>
      <w:rFonts w:eastAsia="仿宋_GB2312"/>
      <w:sz w:val="28"/>
    </w:rPr>
  </w:style>
  <w:style w:type="paragraph" w:customStyle="1" w:styleId="520">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1">
    <w:name w:val="Bulleting First Indent 1"/>
    <w:basedOn w:val="62"/>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2">
    <w:name w:val="左对齐表格文字"/>
    <w:basedOn w:val="1"/>
    <w:qFormat/>
    <w:uiPriority w:val="0"/>
    <w:pPr>
      <w:adjustRightInd/>
      <w:ind w:firstLine="200" w:firstLineChars="200"/>
      <w:jc w:val="right"/>
    </w:pPr>
  </w:style>
  <w:style w:type="paragraph" w:customStyle="1" w:styleId="523">
    <w:name w:val="Char Char11 Char Char Char Char Char Char Char Char Char"/>
    <w:basedOn w:val="1"/>
    <w:qFormat/>
    <w:uiPriority w:val="0"/>
    <w:pPr>
      <w:spacing w:line="360" w:lineRule="auto"/>
    </w:pPr>
    <w:rPr>
      <w:szCs w:val="20"/>
    </w:rPr>
  </w:style>
  <w:style w:type="paragraph" w:customStyle="1" w:styleId="524">
    <w:name w:val="正文1.25"/>
    <w:basedOn w:val="1"/>
    <w:qFormat/>
    <w:uiPriority w:val="0"/>
    <w:pPr>
      <w:adjustRightInd/>
      <w:spacing w:line="300" w:lineRule="auto"/>
      <w:ind w:firstLine="480" w:firstLineChars="200"/>
    </w:pPr>
    <w:rPr>
      <w:sz w:val="24"/>
      <w:szCs w:val="20"/>
    </w:rPr>
  </w:style>
  <w:style w:type="paragraph" w:customStyle="1" w:styleId="525">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6">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27">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28">
    <w:name w:val="Char Char1 Char Char Char1"/>
    <w:basedOn w:val="1"/>
    <w:qFormat/>
    <w:uiPriority w:val="6"/>
    <w:rPr>
      <w:rFonts w:ascii="仿宋_GB2312" w:eastAsia="仿宋_GB2312"/>
      <w:b/>
      <w:sz w:val="32"/>
      <w:szCs w:val="20"/>
    </w:rPr>
  </w:style>
  <w:style w:type="paragraph" w:customStyle="1" w:styleId="529">
    <w:name w:val="列出段落2"/>
    <w:basedOn w:val="1"/>
    <w:qFormat/>
    <w:uiPriority w:val="0"/>
    <w:pPr>
      <w:adjustRightInd/>
      <w:ind w:firstLine="420" w:firstLineChars="200"/>
    </w:pPr>
    <w:rPr>
      <w:rFonts w:ascii="宋体" w:hAnsi="宋体"/>
      <w:sz w:val="24"/>
    </w:rPr>
  </w:style>
  <w:style w:type="paragraph" w:customStyle="1" w:styleId="530">
    <w:name w:val="默认段落字体 Para Char Char Char Char Char Char Char"/>
    <w:basedOn w:val="1"/>
    <w:qFormat/>
    <w:uiPriority w:val="0"/>
    <w:rPr>
      <w:rFonts w:eastAsia="仿宋_GB2312"/>
      <w:sz w:val="28"/>
      <w:szCs w:val="20"/>
    </w:rPr>
  </w:style>
  <w:style w:type="paragraph" w:customStyle="1" w:styleId="531">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2">
    <w:name w:val="样式 标题 4PIM 4H4h4bulletblbbH41H42H43H44H45H46H47H48...1"/>
    <w:basedOn w:val="6"/>
    <w:qFormat/>
    <w:uiPriority w:val="0"/>
    <w:pPr>
      <w:widowControl/>
      <w:jc w:val="left"/>
    </w:pPr>
    <w:rPr>
      <w:rFonts w:cs="宋体"/>
      <w:sz w:val="24"/>
      <w:szCs w:val="20"/>
    </w:rPr>
  </w:style>
  <w:style w:type="paragraph" w:customStyle="1" w:styleId="533">
    <w:name w:val="彩色列表 - 强调文字颜色 11"/>
    <w:basedOn w:val="1"/>
    <w:qFormat/>
    <w:uiPriority w:val="0"/>
    <w:pPr>
      <w:adjustRightInd/>
      <w:ind w:firstLine="420" w:firstLineChars="200"/>
    </w:pPr>
    <w:rPr>
      <w:rFonts w:ascii="Calibri" w:hAnsi="Calibri"/>
      <w:szCs w:val="22"/>
    </w:rPr>
  </w:style>
  <w:style w:type="paragraph" w:customStyle="1" w:styleId="534">
    <w:name w:val="加粗正文"/>
    <w:basedOn w:val="1"/>
    <w:qFormat/>
    <w:uiPriority w:val="0"/>
    <w:pPr>
      <w:adjustRightInd/>
      <w:spacing w:before="156" w:beforeLines="50" w:after="156" w:afterLines="50" w:line="360" w:lineRule="auto"/>
      <w:ind w:firstLine="422" w:firstLineChars="200"/>
    </w:pPr>
    <w:rPr>
      <w:b/>
      <w:bCs/>
      <w:szCs w:val="21"/>
    </w:rPr>
  </w:style>
  <w:style w:type="paragraph" w:customStyle="1" w:styleId="535">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6">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37">
    <w:name w:val="Char Char Char1 Char1"/>
    <w:basedOn w:val="1"/>
    <w:qFormat/>
    <w:uiPriority w:val="6"/>
    <w:rPr>
      <w:szCs w:val="20"/>
    </w:rPr>
  </w:style>
  <w:style w:type="paragraph" w:customStyle="1" w:styleId="538">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39">
    <w:name w:val="样式 标题 2 + 宋体 左侧:  1.76 厘米 首行缩进:  0 厘米"/>
    <w:basedOn w:val="4"/>
    <w:qFormat/>
    <w:uiPriority w:val="0"/>
    <w:pPr>
      <w:tabs>
        <w:tab w:val="left" w:pos="0"/>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0">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1">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2">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3">
    <w:name w:val="CM14"/>
    <w:basedOn w:val="233"/>
    <w:next w:val="233"/>
    <w:qFormat/>
    <w:uiPriority w:val="0"/>
    <w:pPr>
      <w:spacing w:after="68"/>
    </w:pPr>
    <w:rPr>
      <w:rFonts w:ascii="FHLHE E+ Futura Bk" w:eastAsia="FHLHE E+ Futura Bk" w:cs="Times New Roman"/>
      <w:color w:val="auto"/>
    </w:rPr>
  </w:style>
  <w:style w:type="paragraph" w:customStyle="1" w:styleId="544">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5">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6">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47">
    <w:name w:val="正文文字 2"/>
    <w:basedOn w:val="233"/>
    <w:next w:val="233"/>
    <w:qFormat/>
    <w:uiPriority w:val="0"/>
    <w:rPr>
      <w:rFonts w:ascii="宋体" w:eastAsia="宋体" w:cs="Times New Roman"/>
      <w:color w:val="auto"/>
    </w:rPr>
  </w:style>
  <w:style w:type="paragraph" w:customStyle="1" w:styleId="548">
    <w:name w:val="正文首行缩进两字"/>
    <w:qFormat/>
    <w:uiPriority w:val="0"/>
    <w:pPr>
      <w:spacing w:after="156"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49">
    <w:name w:val="Char Char1 Char"/>
    <w:basedOn w:val="1"/>
    <w:qFormat/>
    <w:uiPriority w:val="0"/>
    <w:rPr>
      <w:rFonts w:ascii="仿宋_GB2312" w:eastAsia="仿宋_GB2312"/>
      <w:b/>
      <w:sz w:val="32"/>
      <w:szCs w:val="32"/>
    </w:rPr>
  </w:style>
  <w:style w:type="paragraph" w:customStyle="1" w:styleId="550">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1">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2">
    <w:name w:val="Char Char111"/>
    <w:basedOn w:val="1"/>
    <w:qFormat/>
    <w:uiPriority w:val="0"/>
    <w:pPr>
      <w:spacing w:line="360" w:lineRule="auto"/>
    </w:pPr>
    <w:rPr>
      <w:szCs w:val="20"/>
    </w:rPr>
  </w:style>
  <w:style w:type="paragraph" w:customStyle="1" w:styleId="553">
    <w:name w:val="Char"/>
    <w:basedOn w:val="1"/>
    <w:qFormat/>
    <w:uiPriority w:val="0"/>
    <w:rPr>
      <w:rFonts w:ascii="仿宋_GB2312" w:eastAsia="仿宋_GB2312"/>
      <w:b/>
      <w:sz w:val="32"/>
      <w:szCs w:val="32"/>
    </w:rPr>
  </w:style>
  <w:style w:type="paragraph" w:customStyle="1" w:styleId="554">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5">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6">
    <w:name w:val="Char Char Char1 Char"/>
    <w:basedOn w:val="1"/>
    <w:qFormat/>
    <w:uiPriority w:val="0"/>
    <w:rPr>
      <w:szCs w:val="20"/>
    </w:rPr>
  </w:style>
  <w:style w:type="paragraph" w:customStyle="1" w:styleId="557">
    <w:name w:val="正文标准"/>
    <w:basedOn w:val="1"/>
    <w:qFormat/>
    <w:uiPriority w:val="0"/>
    <w:pPr>
      <w:adjustRightInd/>
      <w:spacing w:line="360" w:lineRule="auto"/>
      <w:ind w:firstLine="200" w:firstLineChars="200"/>
    </w:pPr>
    <w:rPr>
      <w:rFonts w:ascii="宋体" w:hAnsi="Calibri"/>
      <w:sz w:val="24"/>
    </w:rPr>
  </w:style>
  <w:style w:type="paragraph" w:customStyle="1" w:styleId="558">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59">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0">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1">
    <w:name w:val="规范正文"/>
    <w:basedOn w:val="1"/>
    <w:qFormat/>
    <w:uiPriority w:val="0"/>
    <w:pPr>
      <w:tabs>
        <w:tab w:val="left" w:pos="840"/>
      </w:tabs>
      <w:spacing w:before="156" w:beforeLines="50" w:line="360" w:lineRule="auto"/>
      <w:ind w:left="840" w:hanging="420"/>
      <w:textAlignment w:val="baseline"/>
    </w:pPr>
    <w:rPr>
      <w:szCs w:val="20"/>
    </w:rPr>
  </w:style>
  <w:style w:type="paragraph" w:customStyle="1" w:styleId="562">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3">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4">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5">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6">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67">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8">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69">
    <w:name w:val="标准有序列表（L1）"/>
    <w:basedOn w:val="2"/>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0">
    <w:name w:val="Char Char Char Char Char Char Char Char Char Char"/>
    <w:basedOn w:val="1"/>
    <w:qFormat/>
    <w:uiPriority w:val="0"/>
    <w:rPr>
      <w:rFonts w:ascii="仿宋_GB2312" w:eastAsia="仿宋_GB2312"/>
      <w:b/>
      <w:sz w:val="32"/>
      <w:szCs w:val="32"/>
    </w:rPr>
  </w:style>
  <w:style w:type="paragraph" w:customStyle="1" w:styleId="571">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2">
    <w:name w:val="_正文段落"/>
    <w:basedOn w:val="1"/>
    <w:qFormat/>
    <w:uiPriority w:val="0"/>
    <w:pPr>
      <w:adjustRightInd/>
      <w:ind w:firstLine="560"/>
    </w:pPr>
    <w:rPr>
      <w:rFonts w:ascii="仿宋_GB2312" w:hAnsi="仿宋" w:eastAsia="仿宋_GB2312"/>
      <w:kern w:val="0"/>
      <w:sz w:val="28"/>
      <w:szCs w:val="28"/>
    </w:rPr>
  </w:style>
  <w:style w:type="paragraph" w:customStyle="1" w:styleId="573">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4">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5">
    <w:name w:val="正文（首行缩进）"/>
    <w:basedOn w:val="26"/>
    <w:qFormat/>
    <w:uiPriority w:val="0"/>
    <w:pPr>
      <w:widowControl/>
      <w:tabs>
        <w:tab w:val="left" w:pos="840"/>
      </w:tabs>
      <w:overflowPunct w:val="0"/>
      <w:autoSpaceDE w:val="0"/>
      <w:autoSpaceDN w:val="0"/>
      <w:spacing w:before="156"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6">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77">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78">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79">
    <w:name w:val="Char Char Char1 Char2"/>
    <w:basedOn w:val="1"/>
    <w:qFormat/>
    <w:uiPriority w:val="0"/>
    <w:rPr>
      <w:szCs w:val="20"/>
    </w:rPr>
  </w:style>
  <w:style w:type="paragraph" w:customStyle="1" w:styleId="580">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1">
    <w:name w:val="默认段落字体 Para Char"/>
    <w:basedOn w:val="1"/>
    <w:qFormat/>
    <w:uiPriority w:val="0"/>
    <w:rPr>
      <w:rFonts w:ascii="Tahoma" w:hAnsi="Tahoma"/>
      <w:sz w:val="24"/>
      <w:szCs w:val="20"/>
    </w:rPr>
  </w:style>
  <w:style w:type="paragraph" w:customStyle="1" w:styleId="582">
    <w:name w:val="标题五"/>
    <w:basedOn w:val="1"/>
    <w:qFormat/>
    <w:uiPriority w:val="0"/>
    <w:pPr>
      <w:adjustRightInd/>
      <w:spacing w:before="156" w:beforeLines="50" w:line="360" w:lineRule="auto"/>
    </w:pPr>
    <w:rPr>
      <w:b/>
      <w:sz w:val="24"/>
    </w:rPr>
  </w:style>
  <w:style w:type="paragraph" w:customStyle="1" w:styleId="583">
    <w:name w:val="Char Char1101"/>
    <w:basedOn w:val="1"/>
    <w:qFormat/>
    <w:uiPriority w:val="0"/>
    <w:pPr>
      <w:spacing w:line="360" w:lineRule="auto"/>
    </w:pPr>
    <w:rPr>
      <w:rFonts w:ascii="Tahoma" w:hAnsi="Tahoma"/>
      <w:sz w:val="24"/>
      <w:szCs w:val="20"/>
    </w:rPr>
  </w:style>
  <w:style w:type="paragraph" w:customStyle="1" w:styleId="584">
    <w:name w:val="Char Char Char Char Char Char Char Char1"/>
    <w:basedOn w:val="1"/>
    <w:qFormat/>
    <w:uiPriority w:val="0"/>
    <w:pPr>
      <w:tabs>
        <w:tab w:val="left" w:pos="360"/>
      </w:tabs>
    </w:pPr>
    <w:rPr>
      <w:sz w:val="24"/>
      <w:szCs w:val="20"/>
    </w:rPr>
  </w:style>
  <w:style w:type="paragraph" w:customStyle="1" w:styleId="585">
    <w:name w:val="Char Char Char 字元 字元"/>
    <w:basedOn w:val="1"/>
    <w:qFormat/>
    <w:uiPriority w:val="0"/>
    <w:pPr>
      <w:adjustRightInd/>
      <w:spacing w:line="360" w:lineRule="auto"/>
      <w:ind w:firstLine="200" w:firstLineChars="200"/>
    </w:pPr>
    <w:rPr>
      <w:szCs w:val="20"/>
    </w:rPr>
  </w:style>
  <w:style w:type="paragraph" w:customStyle="1" w:styleId="586">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87">
    <w:name w:val="Char Char Char Char Char Char Char"/>
    <w:basedOn w:val="1"/>
    <w:qFormat/>
    <w:uiPriority w:val="0"/>
    <w:rPr>
      <w:rFonts w:ascii="仿宋_GB2312" w:eastAsia="仿宋_GB2312"/>
      <w:b/>
      <w:sz w:val="32"/>
      <w:szCs w:val="32"/>
    </w:rPr>
  </w:style>
  <w:style w:type="paragraph" w:customStyle="1" w:styleId="588">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89">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0">
    <w:name w:val="样式 标题 22h2L1 Heading 2H2sect 1.2H21sect 1.21H22sect 1.2..."/>
    <w:basedOn w:val="4"/>
    <w:next w:val="1"/>
    <w:qFormat/>
    <w:uiPriority w:val="0"/>
    <w:pPr>
      <w:tabs>
        <w:tab w:val="left" w:pos="425"/>
        <w:tab w:val="clear" w:pos="432"/>
      </w:tabs>
      <w:spacing w:before="260" w:after="260" w:line="415" w:lineRule="auto"/>
      <w:ind w:left="425" w:hanging="425"/>
    </w:pPr>
    <w:rPr>
      <w:rFonts w:ascii="微软雅黑" w:hAnsi="微软雅黑" w:eastAsia="微软雅黑"/>
      <w:lang w:val="en-US"/>
    </w:rPr>
  </w:style>
  <w:style w:type="paragraph" w:customStyle="1" w:styleId="591">
    <w:name w:val="样式6"/>
    <w:basedOn w:val="34"/>
    <w:qFormat/>
    <w:uiPriority w:val="0"/>
    <w:pPr>
      <w:spacing w:line="460" w:lineRule="exact"/>
      <w:outlineLvl w:val="2"/>
    </w:pPr>
    <w:rPr>
      <w:rFonts w:ascii="仿宋_GB2312" w:hAnsi="宋体" w:eastAsia="仿宋_GB2312"/>
      <w:b/>
      <w:bCs/>
      <w:sz w:val="24"/>
      <w:szCs w:val="24"/>
    </w:rPr>
  </w:style>
  <w:style w:type="paragraph" w:customStyle="1" w:styleId="592">
    <w:name w:val="批注框文本 Char Char"/>
    <w:basedOn w:val="1"/>
    <w:qFormat/>
    <w:uiPriority w:val="0"/>
    <w:pPr>
      <w:adjustRightInd/>
    </w:pPr>
    <w:rPr>
      <w:sz w:val="18"/>
      <w:szCs w:val="20"/>
    </w:rPr>
  </w:style>
  <w:style w:type="paragraph" w:customStyle="1" w:styleId="593">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4">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5">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6">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597">
    <w:name w:val="索引 11"/>
    <w:basedOn w:val="1"/>
    <w:next w:val="1"/>
    <w:qFormat/>
    <w:uiPriority w:val="99"/>
    <w:pPr>
      <w:adjustRightInd/>
      <w:spacing w:line="360" w:lineRule="auto"/>
    </w:pPr>
    <w:rPr>
      <w:rFonts w:ascii="仿宋_GB2312" w:eastAsia="仿宋_GB2312"/>
      <w:sz w:val="24"/>
      <w:szCs w:val="20"/>
    </w:rPr>
  </w:style>
  <w:style w:type="paragraph" w:customStyle="1" w:styleId="598">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9">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0">
    <w:name w:val="正文文字缩进项目"/>
    <w:basedOn w:val="26"/>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1">
    <w:name w:val="文档正文"/>
    <w:basedOn w:val="1"/>
    <w:qFormat/>
    <w:uiPriority w:val="0"/>
    <w:pPr>
      <w:spacing w:line="480" w:lineRule="atLeast"/>
      <w:ind w:firstLine="567"/>
      <w:textAlignment w:val="baseline"/>
    </w:pPr>
    <w:rPr>
      <w:kern w:val="0"/>
      <w:sz w:val="24"/>
      <w:szCs w:val="20"/>
    </w:rPr>
  </w:style>
  <w:style w:type="paragraph" w:customStyle="1" w:styleId="602">
    <w:name w:val="正文文字表格居中"/>
    <w:basedOn w:val="1"/>
    <w:next w:val="57"/>
    <w:qFormat/>
    <w:uiPriority w:val="0"/>
    <w:pPr>
      <w:snapToGrid w:val="0"/>
      <w:spacing w:line="360" w:lineRule="auto"/>
    </w:pPr>
    <w:rPr>
      <w:rFonts w:ascii="宋体"/>
      <w:b/>
      <w:sz w:val="24"/>
      <w:szCs w:val="20"/>
    </w:rPr>
  </w:style>
  <w:style w:type="paragraph" w:customStyle="1" w:styleId="603">
    <w:name w:val="规划正文"/>
    <w:basedOn w:val="1"/>
    <w:qFormat/>
    <w:uiPriority w:val="0"/>
    <w:pPr>
      <w:adjustRightInd/>
      <w:spacing w:before="312" w:beforeLines="100" w:line="360" w:lineRule="auto"/>
      <w:jc w:val="left"/>
    </w:pPr>
    <w:rPr>
      <w:rFonts w:ascii="Arial" w:hAnsi="Arial" w:eastAsia="仿宋_GB2312"/>
      <w:bCs/>
      <w:sz w:val="28"/>
    </w:rPr>
  </w:style>
  <w:style w:type="paragraph" w:customStyle="1" w:styleId="604">
    <w:name w:val="小节"/>
    <w:basedOn w:val="5"/>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5">
    <w:name w:val="Plain Text1"/>
    <w:basedOn w:val="1"/>
    <w:qFormat/>
    <w:uiPriority w:val="7"/>
    <w:pPr>
      <w:adjustRightInd/>
    </w:pPr>
    <w:rPr>
      <w:rFonts w:ascii="宋体" w:hAnsi="Courier New"/>
    </w:rPr>
  </w:style>
  <w:style w:type="paragraph" w:customStyle="1" w:styleId="606">
    <w:name w:val="Char3"/>
    <w:basedOn w:val="1"/>
    <w:qFormat/>
    <w:uiPriority w:val="0"/>
    <w:pPr>
      <w:adjustRightInd/>
    </w:pPr>
    <w:rPr>
      <w:rFonts w:ascii="仿宋_GB2312" w:eastAsia="仿宋_GB2312"/>
      <w:b/>
      <w:sz w:val="32"/>
      <w:szCs w:val="32"/>
    </w:rPr>
  </w:style>
  <w:style w:type="paragraph" w:customStyle="1" w:styleId="607">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08">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09">
    <w:name w:val="标题2"/>
    <w:basedOn w:val="4"/>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0">
    <w:name w:val="List Paragraph1"/>
    <w:basedOn w:val="1"/>
    <w:qFormat/>
    <w:uiPriority w:val="0"/>
    <w:pPr>
      <w:spacing w:line="360" w:lineRule="auto"/>
      <w:ind w:firstLine="200" w:firstLineChars="200"/>
    </w:pPr>
    <w:rPr>
      <w:rFonts w:eastAsia="楷体_GB2312" w:cs="Lucida Sans"/>
      <w:sz w:val="24"/>
    </w:rPr>
  </w:style>
  <w:style w:type="paragraph" w:customStyle="1" w:styleId="611">
    <w:name w:val="样式 标题 3标题 3 Char第二层条h33Bold Headbh章标题1小标题level_3PIM 3..."/>
    <w:basedOn w:val="5"/>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2">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3">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4">
    <w:name w:val="Char3 Char Char Char"/>
    <w:basedOn w:val="1"/>
    <w:qFormat/>
    <w:uiPriority w:val="0"/>
    <w:pPr>
      <w:widowControl/>
      <w:adjustRightInd/>
      <w:spacing w:after="160" w:line="240" w:lineRule="exact"/>
      <w:jc w:val="left"/>
    </w:pPr>
    <w:rPr>
      <w:szCs w:val="20"/>
    </w:rPr>
  </w:style>
  <w:style w:type="paragraph" w:customStyle="1" w:styleId="615">
    <w:name w:val="表格标题2"/>
    <w:basedOn w:val="616"/>
    <w:qFormat/>
    <w:uiPriority w:val="0"/>
    <w:rPr>
      <w:b/>
    </w:rPr>
  </w:style>
  <w:style w:type="paragraph" w:customStyle="1" w:styleId="616">
    <w:name w:val="表格内文"/>
    <w:basedOn w:val="1"/>
    <w:qFormat/>
    <w:uiPriority w:val="0"/>
    <w:pPr>
      <w:adjustRightInd/>
      <w:spacing w:line="360" w:lineRule="auto"/>
    </w:pPr>
    <w:rPr>
      <w:rFonts w:ascii="宋体" w:hAnsi="宋体" w:cs="宋体"/>
      <w:color w:val="000000"/>
      <w:szCs w:val="20"/>
    </w:rPr>
  </w:style>
  <w:style w:type="paragraph" w:customStyle="1" w:styleId="617">
    <w:name w:val="Char Char Char Char Char Char Char Char Char Char2"/>
    <w:basedOn w:val="1"/>
    <w:qFormat/>
    <w:uiPriority w:val="0"/>
    <w:rPr>
      <w:rFonts w:ascii="仿宋_GB2312" w:eastAsia="仿宋_GB2312"/>
      <w:b/>
      <w:sz w:val="32"/>
      <w:szCs w:val="32"/>
    </w:rPr>
  </w:style>
  <w:style w:type="paragraph" w:customStyle="1" w:styleId="618">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19">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0">
    <w:name w:val="Char Char11 Char Char Char Char Char Char Char Char Char11"/>
    <w:basedOn w:val="1"/>
    <w:qFormat/>
    <w:uiPriority w:val="0"/>
    <w:pPr>
      <w:spacing w:line="360" w:lineRule="auto"/>
    </w:pPr>
    <w:rPr>
      <w:szCs w:val="20"/>
    </w:rPr>
  </w:style>
  <w:style w:type="paragraph" w:customStyle="1" w:styleId="621">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2">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3">
    <w:name w:val="MM Topic 1"/>
    <w:basedOn w:val="3"/>
    <w:qFormat/>
    <w:uiPriority w:val="0"/>
    <w:pPr>
      <w:tabs>
        <w:tab w:val="left" w:pos="840"/>
      </w:tabs>
      <w:adjustRightInd/>
      <w:ind w:left="840" w:hanging="420"/>
    </w:pPr>
  </w:style>
  <w:style w:type="paragraph" w:customStyle="1" w:styleId="624">
    <w:name w:val="样式 标题 2标题2H2Heading 2 HiddenHeading 2 CCBSheading 22nd lev..."/>
    <w:basedOn w:val="4"/>
    <w:qFormat/>
    <w:uiPriority w:val="0"/>
    <w:pPr>
      <w:widowControl/>
      <w:spacing w:before="260" w:after="260" w:line="416" w:lineRule="auto"/>
      <w:ind w:left="0" w:firstLine="0"/>
    </w:pPr>
    <w:rPr>
      <w:rFonts w:ascii="Arial" w:hAnsi="Arial" w:eastAsia="黑体"/>
      <w:sz w:val="30"/>
      <w:szCs w:val="21"/>
    </w:rPr>
  </w:style>
  <w:style w:type="paragraph" w:customStyle="1" w:styleId="625">
    <w:name w:val="文本正文 Char"/>
    <w:basedOn w:val="1"/>
    <w:qFormat/>
    <w:uiPriority w:val="0"/>
    <w:pPr>
      <w:spacing w:line="360" w:lineRule="auto"/>
      <w:ind w:firstLine="200" w:firstLineChars="200"/>
    </w:pPr>
    <w:rPr>
      <w:kern w:val="0"/>
      <w:sz w:val="24"/>
      <w:szCs w:val="20"/>
    </w:rPr>
  </w:style>
  <w:style w:type="paragraph" w:customStyle="1" w:styleId="626">
    <w:name w:val="表格"/>
    <w:basedOn w:val="1"/>
    <w:qFormat/>
    <w:uiPriority w:val="0"/>
    <w:pPr>
      <w:snapToGrid w:val="0"/>
      <w:ind w:firstLine="42" w:firstLineChars="21"/>
    </w:pPr>
    <w:rPr>
      <w:rFonts w:ascii="宋体" w:hAnsi="宋体"/>
      <w:kern w:val="0"/>
      <w:sz w:val="20"/>
      <w:szCs w:val="20"/>
    </w:rPr>
  </w:style>
  <w:style w:type="paragraph" w:customStyle="1" w:styleId="627">
    <w:name w:val="标书标题4"/>
    <w:basedOn w:val="6"/>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28">
    <w:name w:val="插图题注"/>
    <w:next w:val="1"/>
    <w:qFormat/>
    <w:uiPriority w:val="0"/>
    <w:pPr>
      <w:tabs>
        <w:tab w:val="left" w:pos="3780"/>
      </w:tabs>
      <w:spacing w:after="312" w:afterLines="100"/>
      <w:ind w:left="1089" w:hanging="369"/>
      <w:jc w:val="center"/>
    </w:pPr>
    <w:rPr>
      <w:rFonts w:ascii="Arial" w:hAnsi="Arial" w:eastAsia="宋体" w:cs="Times New Roman"/>
      <w:sz w:val="18"/>
      <w:szCs w:val="18"/>
      <w:lang w:val="en-US" w:eastAsia="zh-CN" w:bidi="ar-SA"/>
    </w:rPr>
  </w:style>
  <w:style w:type="paragraph" w:customStyle="1" w:styleId="629">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0">
    <w:name w:val="表格项目符号 2"/>
    <w:basedOn w:val="30"/>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1">
    <w:name w:val="EB_表格"/>
    <w:basedOn w:val="1"/>
    <w:qFormat/>
    <w:uiPriority w:val="0"/>
    <w:pPr>
      <w:adjustRightInd/>
      <w:spacing w:line="300" w:lineRule="auto"/>
      <w:jc w:val="center"/>
    </w:pPr>
  </w:style>
  <w:style w:type="paragraph" w:customStyle="1" w:styleId="632">
    <w:name w:val="_Style 6"/>
    <w:basedOn w:val="1"/>
    <w:qFormat/>
    <w:uiPriority w:val="34"/>
    <w:pPr>
      <w:adjustRightInd/>
      <w:ind w:firstLine="420" w:firstLineChars="200"/>
    </w:pPr>
    <w:rPr>
      <w:rFonts w:eastAsia="仿宋_GB2312"/>
      <w:sz w:val="28"/>
    </w:rPr>
  </w:style>
  <w:style w:type="paragraph" w:customStyle="1" w:styleId="633">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4">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5">
    <w:name w:val="!大节"/>
    <w:basedOn w:val="4"/>
    <w:qFormat/>
    <w:uiPriority w:val="0"/>
    <w:pPr>
      <w:spacing w:before="260" w:after="260" w:line="415" w:lineRule="auto"/>
      <w:ind w:left="420" w:hanging="420"/>
    </w:pPr>
    <w:rPr>
      <w:rFonts w:ascii="Arial" w:hAnsi="Arial" w:eastAsia="微软雅黑"/>
      <w:lang w:val="en-US"/>
    </w:rPr>
  </w:style>
  <w:style w:type="paragraph" w:customStyle="1" w:styleId="636">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37">
    <w:name w:val="正文表标题"/>
    <w:next w:val="638"/>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38">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39">
    <w:name w:val="Char Char Char Char Char Char"/>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640">
    <w:name w:val="trademark"/>
    <w:qFormat/>
    <w:uiPriority w:val="0"/>
    <w:pPr>
      <w:spacing w:after="60"/>
    </w:pPr>
    <w:rPr>
      <w:rFonts w:ascii="Futura Bk" w:hAnsi="Futura Bk" w:eastAsia="宋体" w:cs="Times New Roman"/>
      <w:sz w:val="15"/>
      <w:lang w:val="en-US" w:eastAsia="en-US" w:bidi="ar-SA"/>
    </w:rPr>
  </w:style>
  <w:style w:type="paragraph" w:customStyle="1" w:styleId="641">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2">
    <w:name w:val="Char Char1 Char Char Char Char Char Char1"/>
    <w:basedOn w:val="1"/>
    <w:qFormat/>
    <w:uiPriority w:val="0"/>
    <w:rPr>
      <w:rFonts w:ascii="仿宋_GB2312" w:eastAsia="仿宋_GB2312"/>
      <w:b/>
      <w:sz w:val="32"/>
      <w:szCs w:val="20"/>
    </w:rPr>
  </w:style>
  <w:style w:type="paragraph" w:customStyle="1" w:styleId="643">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4">
    <w:name w:val="Char1 Char Char Char1"/>
    <w:basedOn w:val="1"/>
    <w:qFormat/>
    <w:uiPriority w:val="0"/>
    <w:pPr>
      <w:adjustRightInd/>
      <w:ind w:firstLine="200" w:firstLineChars="200"/>
    </w:pPr>
    <w:rPr>
      <w:rFonts w:ascii="Tahoma" w:hAnsi="Tahoma"/>
      <w:sz w:val="24"/>
      <w:szCs w:val="20"/>
    </w:rPr>
  </w:style>
  <w:style w:type="paragraph" w:customStyle="1" w:styleId="645">
    <w:name w:val="a1"/>
    <w:basedOn w:val="1"/>
    <w:qFormat/>
    <w:uiPriority w:val="0"/>
    <w:pPr>
      <w:widowControl/>
      <w:spacing w:line="300" w:lineRule="atLeast"/>
      <w:jc w:val="left"/>
    </w:pPr>
    <w:rPr>
      <w:rFonts w:ascii="宋体" w:hAnsi="宋体"/>
      <w:kern w:val="0"/>
      <w:sz w:val="18"/>
      <w:szCs w:val="20"/>
    </w:rPr>
  </w:style>
  <w:style w:type="paragraph" w:customStyle="1" w:styleId="646">
    <w:name w:val="样式7"/>
    <w:basedOn w:val="647"/>
    <w:next w:val="1"/>
    <w:qFormat/>
    <w:uiPriority w:val="0"/>
    <w:pPr>
      <w:spacing w:after="156" w:afterLines="50"/>
      <w:jc w:val="left"/>
      <w:outlineLvl w:val="3"/>
    </w:pPr>
    <w:rPr>
      <w:sz w:val="24"/>
      <w:szCs w:val="24"/>
    </w:rPr>
  </w:style>
  <w:style w:type="paragraph" w:customStyle="1" w:styleId="647">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48">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49">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0">
    <w:name w:val="样式 样式2 + 左侧:  1 字符 右侧:  1 字符"/>
    <w:basedOn w:val="458"/>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1">
    <w:name w:val="Char2 Char Char2"/>
    <w:basedOn w:val="1"/>
    <w:qFormat/>
    <w:uiPriority w:val="0"/>
    <w:pPr>
      <w:adjustRightInd/>
    </w:pPr>
    <w:rPr>
      <w:rFonts w:ascii="Tahoma" w:hAnsi="Tahoma"/>
      <w:sz w:val="24"/>
      <w:szCs w:val="20"/>
    </w:rPr>
  </w:style>
  <w:style w:type="paragraph" w:customStyle="1" w:styleId="652">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3">
    <w:name w:val="三级条标题"/>
    <w:basedOn w:val="654"/>
    <w:next w:val="638"/>
    <w:qFormat/>
    <w:uiPriority w:val="0"/>
    <w:pPr>
      <w:tabs>
        <w:tab w:val="left" w:pos="1260"/>
        <w:tab w:val="left" w:pos="1680"/>
        <w:tab w:val="left" w:pos="2100"/>
        <w:tab w:val="left" w:pos="2520"/>
      </w:tabs>
      <w:ind w:left="2520"/>
      <w:outlineLvl w:val="4"/>
    </w:pPr>
  </w:style>
  <w:style w:type="paragraph" w:customStyle="1" w:styleId="654">
    <w:name w:val="二级条标题"/>
    <w:basedOn w:val="655"/>
    <w:next w:val="638"/>
    <w:qFormat/>
    <w:uiPriority w:val="0"/>
    <w:pPr>
      <w:tabs>
        <w:tab w:val="left" w:pos="1260"/>
        <w:tab w:val="left" w:pos="1680"/>
        <w:tab w:val="left" w:pos="2100"/>
      </w:tabs>
      <w:ind w:left="0"/>
      <w:outlineLvl w:val="3"/>
    </w:pPr>
  </w:style>
  <w:style w:type="paragraph" w:customStyle="1" w:styleId="655">
    <w:name w:val="一级条标题"/>
    <w:basedOn w:val="656"/>
    <w:next w:val="638"/>
    <w:qFormat/>
    <w:uiPriority w:val="0"/>
    <w:pPr>
      <w:tabs>
        <w:tab w:val="left" w:pos="1260"/>
        <w:tab w:val="left" w:pos="1680"/>
      </w:tabs>
      <w:spacing w:before="0" w:beforeLines="0" w:after="0" w:afterLines="0"/>
      <w:ind w:left="1680"/>
      <w:outlineLvl w:val="2"/>
    </w:pPr>
  </w:style>
  <w:style w:type="paragraph" w:customStyle="1" w:styleId="656">
    <w:name w:val="章标题"/>
    <w:next w:val="638"/>
    <w:qFormat/>
    <w:uiPriority w:val="0"/>
    <w:pPr>
      <w:tabs>
        <w:tab w:val="left" w:pos="1260"/>
      </w:tabs>
      <w:spacing w:before="156" w:beforeLines="50" w:after="156" w:afterLines="50"/>
      <w:ind w:left="1260" w:hanging="420"/>
      <w:jc w:val="both"/>
      <w:outlineLvl w:val="1"/>
    </w:pPr>
    <w:rPr>
      <w:rFonts w:ascii="黑体" w:hAnsi="Times New Roman" w:eastAsia="黑体" w:cs="Times New Roman"/>
      <w:sz w:val="21"/>
      <w:lang w:val="en-US" w:eastAsia="zh-CN" w:bidi="ar-SA"/>
    </w:rPr>
  </w:style>
  <w:style w:type="paragraph" w:customStyle="1" w:styleId="657">
    <w:name w:val="数字标题2"/>
    <w:basedOn w:val="4"/>
    <w:next w:val="1"/>
    <w:qFormat/>
    <w:uiPriority w:val="0"/>
    <w:pPr>
      <w:tabs>
        <w:tab w:val="left" w:pos="480"/>
      </w:tabs>
      <w:ind w:left="480" w:hanging="480"/>
    </w:pPr>
    <w:rPr>
      <w:rFonts w:ascii="Times New Roman" w:eastAsia="宋体"/>
      <w:i/>
      <w:sz w:val="36"/>
      <w:szCs w:val="36"/>
      <w:lang w:val="en-US"/>
    </w:rPr>
  </w:style>
  <w:style w:type="paragraph" w:customStyle="1" w:styleId="658">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59">
    <w:name w:val="样式 标题 1Level 1 HeadPIM 1Section Headh1l11Heading 0Datash..."/>
    <w:basedOn w:val="3"/>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0">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1">
    <w:name w:val="样式 标题 1章节第一层h1H"/>
    <w:basedOn w:val="3"/>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2">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3">
    <w:name w:val="正文 项目2"/>
    <w:basedOn w:val="664"/>
    <w:qFormat/>
    <w:uiPriority w:val="0"/>
    <w:pPr>
      <w:tabs>
        <w:tab w:val="left" w:pos="840"/>
      </w:tabs>
      <w:spacing w:after="0"/>
      <w:ind w:left="900"/>
    </w:pPr>
  </w:style>
  <w:style w:type="paragraph" w:customStyle="1" w:styleId="664">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5">
    <w:name w:val="Body Text 2*"/>
    <w:basedOn w:val="1"/>
    <w:qFormat/>
    <w:uiPriority w:val="6"/>
    <w:pPr>
      <w:widowControl/>
      <w:adjustRightInd/>
      <w:ind w:left="720" w:hanging="720"/>
    </w:pPr>
    <w:rPr>
      <w:color w:val="000000"/>
      <w:kern w:val="0"/>
      <w:sz w:val="24"/>
      <w:szCs w:val="20"/>
      <w:lang w:val="en-GB"/>
    </w:rPr>
  </w:style>
  <w:style w:type="paragraph" w:customStyle="1" w:styleId="666">
    <w:name w:val="表1"/>
    <w:basedOn w:val="1"/>
    <w:qFormat/>
    <w:uiPriority w:val="0"/>
    <w:pPr>
      <w:tabs>
        <w:tab w:val="left" w:pos="703"/>
      </w:tabs>
      <w:adjustRightInd/>
      <w:spacing w:line="360" w:lineRule="auto"/>
      <w:ind w:left="703"/>
      <w:jc w:val="center"/>
    </w:pPr>
  </w:style>
  <w:style w:type="paragraph" w:customStyle="1" w:styleId="667">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68">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69">
    <w:name w:val="章正文"/>
    <w:basedOn w:val="1"/>
    <w:qFormat/>
    <w:uiPriority w:val="0"/>
    <w:pPr>
      <w:adjustRightInd/>
      <w:spacing w:before="156" w:beforeLines="50" w:after="120" w:line="300" w:lineRule="auto"/>
      <w:ind w:firstLine="480" w:firstLineChars="200"/>
    </w:pPr>
    <w:rPr>
      <w:rFonts w:ascii="Helvetica" w:hAnsi="Helvetica"/>
      <w:kern w:val="0"/>
      <w:sz w:val="24"/>
    </w:rPr>
  </w:style>
  <w:style w:type="paragraph" w:customStyle="1" w:styleId="670">
    <w:name w:val="2级标题"/>
    <w:basedOn w:val="671"/>
    <w:qFormat/>
    <w:uiPriority w:val="0"/>
    <w:pPr>
      <w:jc w:val="left"/>
      <w:outlineLvl w:val="1"/>
    </w:pPr>
    <w:rPr>
      <w:rFonts w:ascii="Times New Roman" w:hAnsi="Times New Roman" w:eastAsia="仿宋"/>
      <w:sz w:val="30"/>
    </w:rPr>
  </w:style>
  <w:style w:type="paragraph" w:customStyle="1" w:styleId="671">
    <w:name w:val="1级标题"/>
    <w:basedOn w:val="1"/>
    <w:qFormat/>
    <w:uiPriority w:val="0"/>
    <w:pPr>
      <w:adjustRightInd/>
      <w:spacing w:before="31" w:beforeLines="10" w:after="31" w:afterLines="10" w:line="360" w:lineRule="auto"/>
      <w:jc w:val="center"/>
      <w:outlineLvl w:val="0"/>
    </w:pPr>
    <w:rPr>
      <w:rFonts w:ascii="Calibri" w:hAnsi="Calibri"/>
      <w:b/>
      <w:sz w:val="44"/>
      <w:szCs w:val="22"/>
    </w:rPr>
  </w:style>
  <w:style w:type="paragraph" w:customStyle="1" w:styleId="672">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3">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4">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5">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6">
    <w:name w:val="bullet"/>
    <w:basedOn w:val="1"/>
    <w:qFormat/>
    <w:uiPriority w:val="0"/>
    <w:pPr>
      <w:tabs>
        <w:tab w:val="left" w:pos="840"/>
      </w:tabs>
      <w:adjustRightInd/>
      <w:ind w:left="840" w:hanging="420"/>
    </w:pPr>
  </w:style>
  <w:style w:type="paragraph" w:customStyle="1" w:styleId="677">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78">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79">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0">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1">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2">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3">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4">
    <w:name w:val="MM Topic 4"/>
    <w:basedOn w:val="6"/>
    <w:qFormat/>
    <w:uiPriority w:val="0"/>
    <w:pPr>
      <w:tabs>
        <w:tab w:val="left" w:pos="2100"/>
      </w:tabs>
      <w:adjustRightInd/>
      <w:ind w:left="2100" w:hanging="420"/>
    </w:pPr>
    <w:rPr>
      <w:lang w:val="en-US"/>
    </w:rPr>
  </w:style>
  <w:style w:type="paragraph" w:customStyle="1" w:styleId="685">
    <w:name w:val="Char11"/>
    <w:basedOn w:val="1"/>
    <w:qFormat/>
    <w:uiPriority w:val="0"/>
    <w:pPr>
      <w:tabs>
        <w:tab w:val="left" w:pos="432"/>
      </w:tabs>
      <w:adjustRightInd/>
      <w:spacing w:before="156" w:beforeLines="50" w:after="156" w:afterLines="50"/>
      <w:ind w:left="432" w:hanging="432" w:firstLineChars="200"/>
    </w:pPr>
    <w:rPr>
      <w:sz w:val="24"/>
    </w:rPr>
  </w:style>
  <w:style w:type="paragraph" w:customStyle="1" w:styleId="686">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87">
    <w:name w:val="Char Char11 Char Char Char Char Char Char Char Char Char1"/>
    <w:basedOn w:val="1"/>
    <w:qFormat/>
    <w:uiPriority w:val="6"/>
    <w:pPr>
      <w:spacing w:line="360" w:lineRule="auto"/>
    </w:pPr>
    <w:rPr>
      <w:szCs w:val="20"/>
    </w:rPr>
  </w:style>
  <w:style w:type="paragraph" w:customStyle="1" w:styleId="688">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89">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0">
    <w:name w:val="body text bold"/>
    <w:basedOn w:val="24"/>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1">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2">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3">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4">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5">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6">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697">
    <w:name w:val="单元格居中"/>
    <w:basedOn w:val="1"/>
    <w:qFormat/>
    <w:uiPriority w:val="0"/>
    <w:pPr>
      <w:adjustRightInd/>
      <w:spacing w:line="360" w:lineRule="auto"/>
      <w:jc w:val="center"/>
    </w:pPr>
    <w:rPr>
      <w:sz w:val="24"/>
    </w:rPr>
  </w:style>
  <w:style w:type="paragraph" w:customStyle="1" w:styleId="698">
    <w:name w:val="正文3"/>
    <w:basedOn w:val="1"/>
    <w:qFormat/>
    <w:uiPriority w:val="0"/>
    <w:pPr>
      <w:adjustRightInd/>
      <w:spacing w:before="156" w:beforeLines="50" w:after="156" w:afterLines="50" w:line="360" w:lineRule="auto"/>
      <w:outlineLvl w:val="8"/>
    </w:pPr>
    <w:rPr>
      <w:rFonts w:ascii="Segoe UI" w:hAnsi="宋体" w:eastAsia="楷体_GB2312" w:cs="Latha"/>
      <w:sz w:val="24"/>
      <w:szCs w:val="21"/>
    </w:rPr>
  </w:style>
  <w:style w:type="paragraph" w:customStyle="1" w:styleId="699">
    <w:name w:val="Char Char Char Char Char Char Char1"/>
    <w:basedOn w:val="1"/>
    <w:qFormat/>
    <w:uiPriority w:val="6"/>
    <w:rPr>
      <w:rFonts w:ascii="仿宋_GB2312" w:eastAsia="仿宋_GB2312"/>
      <w:b/>
      <w:sz w:val="32"/>
      <w:szCs w:val="32"/>
    </w:rPr>
  </w:style>
  <w:style w:type="paragraph" w:customStyle="1" w:styleId="700">
    <w:name w:val="正文缩进1"/>
    <w:basedOn w:val="1"/>
    <w:next w:val="26"/>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1">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2">
    <w:name w:val="Char3 Char Char Char11"/>
    <w:basedOn w:val="1"/>
    <w:qFormat/>
    <w:uiPriority w:val="0"/>
    <w:pPr>
      <w:widowControl/>
      <w:adjustRightInd/>
      <w:spacing w:after="160" w:line="240" w:lineRule="exact"/>
      <w:jc w:val="left"/>
    </w:pPr>
    <w:rPr>
      <w:szCs w:val="20"/>
    </w:rPr>
  </w:style>
  <w:style w:type="paragraph" w:customStyle="1" w:styleId="703">
    <w:name w:val="Char Char1121"/>
    <w:basedOn w:val="1"/>
    <w:qFormat/>
    <w:uiPriority w:val="0"/>
    <w:pPr>
      <w:spacing w:line="360" w:lineRule="auto"/>
    </w:pPr>
    <w:rPr>
      <w:szCs w:val="20"/>
    </w:rPr>
  </w:style>
  <w:style w:type="paragraph" w:customStyle="1" w:styleId="704">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5">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6">
    <w:name w:val="Normal0"/>
    <w:qFormat/>
    <w:uiPriority w:val="0"/>
    <w:rPr>
      <w:rFonts w:ascii="Times New Roman" w:hAnsi="Times New Roman" w:eastAsia="宋体" w:cs="Times New Roman"/>
      <w:lang w:val="en-US" w:eastAsia="en-US" w:bidi="ar-SA"/>
    </w:rPr>
  </w:style>
  <w:style w:type="paragraph" w:customStyle="1" w:styleId="707">
    <w:name w:val="带编号样式"/>
    <w:basedOn w:val="625"/>
    <w:qFormat/>
    <w:uiPriority w:val="0"/>
    <w:pPr>
      <w:tabs>
        <w:tab w:val="left" w:pos="840"/>
      </w:tabs>
      <w:snapToGrid w:val="0"/>
      <w:ind w:left="840" w:hanging="420" w:firstLineChars="0"/>
    </w:pPr>
    <w:rPr>
      <w:rFonts w:ascii="仿宋_GB2312" w:eastAsia="仿宋_GB2312"/>
      <w:color w:val="000000"/>
    </w:rPr>
  </w:style>
  <w:style w:type="paragraph" w:customStyle="1" w:styleId="708">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09">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0">
    <w:name w:val="封面"/>
    <w:basedOn w:val="1"/>
    <w:qFormat/>
    <w:uiPriority w:val="0"/>
    <w:pPr>
      <w:spacing w:line="360" w:lineRule="atLeast"/>
      <w:jc w:val="right"/>
      <w:textAlignment w:val="baseline"/>
    </w:pPr>
    <w:rPr>
      <w:rFonts w:ascii="Symbol" w:hAnsi="Symbol"/>
      <w:kern w:val="0"/>
      <w:szCs w:val="20"/>
    </w:rPr>
  </w:style>
  <w:style w:type="paragraph" w:customStyle="1" w:styleId="711">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2">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3">
    <w:name w:val="默认段落字体 Para Char Char Char1 Char"/>
    <w:basedOn w:val="1"/>
    <w:qFormat/>
    <w:uiPriority w:val="0"/>
    <w:pPr>
      <w:spacing w:line="240" w:lineRule="atLeast"/>
      <w:ind w:left="420" w:firstLine="420"/>
    </w:pPr>
    <w:rPr>
      <w:sz w:val="24"/>
    </w:rPr>
  </w:style>
  <w:style w:type="paragraph" w:customStyle="1" w:styleId="714">
    <w:name w:val="WW-正文文字缩进 2"/>
    <w:basedOn w:val="1"/>
    <w:qFormat/>
    <w:uiPriority w:val="0"/>
    <w:pPr>
      <w:suppressAutoHyphens/>
      <w:adjustRightInd/>
      <w:ind w:firstLine="420"/>
    </w:pPr>
    <w:rPr>
      <w:kern w:val="1"/>
      <w:szCs w:val="20"/>
    </w:rPr>
  </w:style>
  <w:style w:type="paragraph" w:customStyle="1" w:styleId="715">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6">
    <w:name w:val="样式 标题 2 + 四号"/>
    <w:basedOn w:val="4"/>
    <w:qFormat/>
    <w:uiPriority w:val="0"/>
    <w:pPr>
      <w:spacing w:before="120" w:after="120"/>
      <w:ind w:left="0" w:firstLine="0"/>
      <w:jc w:val="both"/>
    </w:pPr>
    <w:rPr>
      <w:rFonts w:ascii="宋体" w:hAnsi="Arial" w:eastAsia="宋体"/>
      <w:sz w:val="28"/>
      <w:lang w:val="en-US"/>
    </w:rPr>
  </w:style>
  <w:style w:type="paragraph" w:customStyle="1" w:styleId="717">
    <w:name w:val="有符号正文"/>
    <w:basedOn w:val="1"/>
    <w:qFormat/>
    <w:uiPriority w:val="0"/>
    <w:pPr>
      <w:adjustRightInd/>
      <w:spacing w:line="400" w:lineRule="exact"/>
      <w:ind w:firstLine="200" w:firstLineChars="200"/>
    </w:pPr>
    <w:rPr>
      <w:rFonts w:ascii="Arial" w:hAnsi="Arial"/>
    </w:rPr>
  </w:style>
  <w:style w:type="paragraph" w:customStyle="1" w:styleId="718">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19">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0">
    <w:name w:val="4"/>
    <w:basedOn w:val="1"/>
    <w:next w:val="38"/>
    <w:qFormat/>
    <w:uiPriority w:val="0"/>
    <w:pPr>
      <w:spacing w:after="120" w:line="480" w:lineRule="auto"/>
      <w:ind w:left="420" w:leftChars="200"/>
    </w:pPr>
    <w:rPr>
      <w:sz w:val="24"/>
      <w:szCs w:val="20"/>
    </w:rPr>
  </w:style>
  <w:style w:type="paragraph" w:customStyle="1" w:styleId="721">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2">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3">
    <w:name w:val="样式 标题 3H3 + 两端对齐"/>
    <w:basedOn w:val="5"/>
    <w:qFormat/>
    <w:uiPriority w:val="0"/>
    <w:pPr>
      <w:keepLines w:val="0"/>
      <w:spacing w:before="0" w:after="0" w:line="240" w:lineRule="auto"/>
      <w:jc w:val="left"/>
    </w:pPr>
    <w:rPr>
      <w:rFonts w:cs="宋体"/>
      <w:sz w:val="21"/>
      <w:szCs w:val="20"/>
    </w:rPr>
  </w:style>
  <w:style w:type="paragraph" w:customStyle="1" w:styleId="724">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5">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6">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27">
    <w:name w:val="表格 表头"/>
    <w:basedOn w:val="1"/>
    <w:qFormat/>
    <w:uiPriority w:val="0"/>
    <w:pPr>
      <w:adjustRightInd/>
      <w:spacing w:before="50" w:beforeLines="50" w:after="50" w:afterLines="50" w:line="360" w:lineRule="auto"/>
      <w:jc w:val="center"/>
    </w:pPr>
    <w:rPr>
      <w:rFonts w:ascii="微软雅黑" w:hAnsi="Calibri" w:eastAsia="微软雅黑"/>
      <w:b/>
      <w:sz w:val="28"/>
      <w:szCs w:val="20"/>
    </w:rPr>
  </w:style>
  <w:style w:type="paragraph" w:customStyle="1" w:styleId="728">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29">
    <w:name w:val="Char Char1 Char Char Char"/>
    <w:basedOn w:val="1"/>
    <w:qFormat/>
    <w:uiPriority w:val="0"/>
    <w:rPr>
      <w:rFonts w:ascii="仿宋_GB2312" w:eastAsia="仿宋_GB2312"/>
      <w:b/>
      <w:sz w:val="32"/>
      <w:szCs w:val="20"/>
    </w:rPr>
  </w:style>
  <w:style w:type="paragraph" w:customStyle="1" w:styleId="730">
    <w:name w:val="表格题注"/>
    <w:next w:val="1"/>
    <w:qFormat/>
    <w:uiPriority w:val="0"/>
    <w:pPr>
      <w:keepLines/>
      <w:tabs>
        <w:tab w:val="left" w:pos="4200"/>
      </w:tabs>
      <w:spacing w:before="312" w:beforeLines="100"/>
      <w:ind w:left="1089" w:hanging="369"/>
      <w:jc w:val="center"/>
    </w:pPr>
    <w:rPr>
      <w:rFonts w:ascii="Arial" w:hAnsi="Arial" w:eastAsia="宋体" w:cs="Times New Roman"/>
      <w:sz w:val="18"/>
      <w:szCs w:val="18"/>
      <w:lang w:val="en-US" w:eastAsia="zh-CN" w:bidi="ar-SA"/>
    </w:rPr>
  </w:style>
  <w:style w:type="paragraph" w:customStyle="1" w:styleId="731">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2">
    <w:name w:val="Picture"/>
    <w:basedOn w:val="1"/>
    <w:next w:val="17"/>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3">
    <w:name w:val="Char Char1 Char Char Char2"/>
    <w:basedOn w:val="1"/>
    <w:qFormat/>
    <w:uiPriority w:val="0"/>
    <w:rPr>
      <w:rFonts w:ascii="仿宋_GB2312" w:eastAsia="仿宋_GB2312"/>
      <w:b/>
      <w:sz w:val="32"/>
      <w:szCs w:val="32"/>
    </w:rPr>
  </w:style>
  <w:style w:type="paragraph" w:customStyle="1" w:styleId="734">
    <w:name w:val="Char3 Char Char Char1"/>
    <w:basedOn w:val="1"/>
    <w:qFormat/>
    <w:uiPriority w:val="6"/>
    <w:pPr>
      <w:widowControl/>
      <w:adjustRightInd/>
      <w:spacing w:after="160" w:line="240" w:lineRule="exact"/>
      <w:jc w:val="left"/>
    </w:pPr>
    <w:rPr>
      <w:szCs w:val="20"/>
    </w:rPr>
  </w:style>
  <w:style w:type="paragraph" w:customStyle="1" w:styleId="735">
    <w:name w:val="Char1 Char Char Char21"/>
    <w:basedOn w:val="1"/>
    <w:qFormat/>
    <w:uiPriority w:val="0"/>
    <w:rPr>
      <w:rFonts w:ascii="Tahoma" w:hAnsi="Tahoma"/>
      <w:sz w:val="24"/>
      <w:szCs w:val="20"/>
    </w:rPr>
  </w:style>
  <w:style w:type="paragraph" w:customStyle="1" w:styleId="736">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37">
    <w:name w:val="正文（标题三）"/>
    <w:basedOn w:val="1"/>
    <w:qFormat/>
    <w:uiPriority w:val="0"/>
    <w:pPr>
      <w:spacing w:line="360" w:lineRule="auto"/>
      <w:ind w:firstLine="200" w:firstLineChars="200"/>
    </w:pPr>
    <w:rPr>
      <w:sz w:val="24"/>
    </w:rPr>
  </w:style>
  <w:style w:type="paragraph" w:customStyle="1" w:styleId="738">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39">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0">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1">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2">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3">
    <w:name w:val="Char1 Char Char Char4"/>
    <w:basedOn w:val="1"/>
    <w:qFormat/>
    <w:uiPriority w:val="0"/>
    <w:pPr>
      <w:adjustRightInd/>
      <w:ind w:firstLine="200" w:firstLineChars="200"/>
    </w:pPr>
    <w:rPr>
      <w:rFonts w:ascii="Tahoma" w:hAnsi="Tahoma"/>
      <w:sz w:val="24"/>
      <w:szCs w:val="20"/>
    </w:rPr>
  </w:style>
  <w:style w:type="paragraph" w:customStyle="1" w:styleId="744">
    <w:name w:val="_标题2"/>
    <w:basedOn w:val="711"/>
    <w:next w:val="711"/>
    <w:qFormat/>
    <w:uiPriority w:val="0"/>
    <w:pPr>
      <w:widowControl w:val="0"/>
      <w:tabs>
        <w:tab w:val="left" w:pos="480"/>
      </w:tabs>
      <w:spacing w:before="50" w:beforeLines="50" w:after="50" w:afterLines="50"/>
      <w:ind w:left="50" w:leftChars="50" w:hanging="420" w:firstLineChars="0"/>
      <w:outlineLvl w:val="1"/>
    </w:pPr>
    <w:rPr>
      <w:b/>
      <w:sz w:val="36"/>
    </w:rPr>
  </w:style>
  <w:style w:type="paragraph" w:customStyle="1" w:styleId="745">
    <w:name w:val="样式1 + (中宋体"/>
    <w:basedOn w:val="722"/>
    <w:qFormat/>
    <w:uiPriority w:val="0"/>
    <w:pPr>
      <w:widowControl w:val="0"/>
      <w:tabs>
        <w:tab w:val="left" w:pos="1200"/>
        <w:tab w:val="clear" w:pos="1212"/>
        <w:tab w:val="clear" w:pos="3888"/>
      </w:tabs>
      <w:adjustRightInd/>
      <w:snapToGrid/>
      <w:spacing w:line="360" w:lineRule="auto"/>
      <w:ind w:left="1200" w:hanging="360" w:firstLineChars="200"/>
      <w:jc w:val="both"/>
    </w:pPr>
    <w:rPr>
      <w:kern w:val="2"/>
      <w:szCs w:val="24"/>
    </w:rPr>
  </w:style>
  <w:style w:type="paragraph" w:customStyle="1" w:styleId="746">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47">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48">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49">
    <w:name w:val="四号　首行缩进"/>
    <w:basedOn w:val="1"/>
    <w:qFormat/>
    <w:uiPriority w:val="0"/>
    <w:pPr>
      <w:adjustRightInd/>
      <w:spacing w:line="360" w:lineRule="auto"/>
    </w:pPr>
    <w:rPr>
      <w:rFonts w:ascii="宋体" w:hAnsi="宋体"/>
      <w:szCs w:val="20"/>
    </w:rPr>
  </w:style>
  <w:style w:type="paragraph" w:customStyle="1" w:styleId="750">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1">
    <w:name w:val="Char Char Char Char Char Char Char Char Char Char Char1 Char"/>
    <w:basedOn w:val="1"/>
    <w:qFormat/>
    <w:uiPriority w:val="0"/>
    <w:pPr>
      <w:adjustRightInd/>
    </w:pPr>
    <w:rPr>
      <w:rFonts w:ascii="Tahoma" w:hAnsi="Tahoma"/>
      <w:sz w:val="24"/>
    </w:rPr>
  </w:style>
  <w:style w:type="paragraph" w:customStyle="1" w:styleId="752">
    <w:name w:val="Char Char Char Char11"/>
    <w:basedOn w:val="1"/>
    <w:qFormat/>
    <w:uiPriority w:val="0"/>
    <w:rPr>
      <w:rFonts w:ascii="Tahoma" w:hAnsi="Tahoma"/>
      <w:sz w:val="24"/>
      <w:szCs w:val="20"/>
    </w:rPr>
  </w:style>
  <w:style w:type="paragraph" w:customStyle="1" w:styleId="753">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4">
    <w:name w:val="Char Char Char Char"/>
    <w:basedOn w:val="1"/>
    <w:qFormat/>
    <w:uiPriority w:val="0"/>
    <w:rPr>
      <w:rFonts w:ascii="Tahoma" w:hAnsi="Tahoma"/>
      <w:sz w:val="24"/>
      <w:szCs w:val="20"/>
    </w:rPr>
  </w:style>
  <w:style w:type="paragraph" w:customStyle="1" w:styleId="755">
    <w:name w:val="标1"/>
    <w:basedOn w:val="1"/>
    <w:qFormat/>
    <w:uiPriority w:val="0"/>
    <w:pPr>
      <w:widowControl/>
      <w:tabs>
        <w:tab w:val="left" w:pos="1020"/>
      </w:tabs>
      <w:snapToGrid w:val="0"/>
      <w:spacing w:before="312"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6">
    <w:name w:val="Char19"/>
    <w:basedOn w:val="1"/>
    <w:qFormat/>
    <w:uiPriority w:val="0"/>
    <w:pPr>
      <w:adjustRightInd/>
    </w:pPr>
    <w:rPr>
      <w:szCs w:val="20"/>
    </w:rPr>
  </w:style>
  <w:style w:type="paragraph" w:customStyle="1" w:styleId="757">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58">
    <w:name w:val="样式8"/>
    <w:basedOn w:val="1"/>
    <w:qFormat/>
    <w:uiPriority w:val="0"/>
    <w:pPr>
      <w:spacing w:before="156" w:beforeLines="50" w:after="156" w:afterLines="50"/>
      <w:ind w:firstLine="200" w:firstLineChars="200"/>
      <w:outlineLvl w:val="4"/>
    </w:pPr>
    <w:rPr>
      <w:rFonts w:ascii="仿宋_GB2312" w:hAnsi="宋体" w:eastAsia="仿宋_GB2312"/>
      <w:b/>
      <w:bCs/>
      <w:sz w:val="24"/>
    </w:rPr>
  </w:style>
  <w:style w:type="paragraph" w:customStyle="1" w:styleId="759">
    <w:name w:val="_Style 5"/>
    <w:basedOn w:val="1"/>
    <w:qFormat/>
    <w:uiPriority w:val="34"/>
    <w:pPr>
      <w:adjustRightInd/>
      <w:ind w:firstLine="420" w:firstLineChars="200"/>
    </w:pPr>
    <w:rPr>
      <w:rFonts w:eastAsia="仿宋_GB2312"/>
      <w:sz w:val="28"/>
    </w:rPr>
  </w:style>
  <w:style w:type="paragraph" w:customStyle="1" w:styleId="760">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1">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2">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3">
    <w:name w:val="标书表格字体格式"/>
    <w:next w:val="757"/>
    <w:qFormat/>
    <w:uiPriority w:val="0"/>
    <w:rPr>
      <w:rFonts w:ascii="Times New Roman" w:hAnsi="Times New Roman" w:eastAsia="宋体" w:cs="Times New Roman"/>
      <w:kern w:val="2"/>
      <w:sz w:val="21"/>
      <w:szCs w:val="24"/>
      <w:lang w:val="en-US" w:eastAsia="zh-CN" w:bidi="ar-SA"/>
    </w:rPr>
  </w:style>
  <w:style w:type="paragraph" w:customStyle="1" w:styleId="764">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5">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6">
    <w:name w:val="修订3"/>
    <w:qFormat/>
    <w:uiPriority w:val="0"/>
    <w:rPr>
      <w:rFonts w:ascii="Times New Roman" w:hAnsi="Times New Roman" w:eastAsia="宋体" w:cs="Times New Roman"/>
      <w:kern w:val="2"/>
      <w:sz w:val="21"/>
      <w:lang w:val="en-US" w:eastAsia="zh-CN" w:bidi="ar-SA"/>
    </w:rPr>
  </w:style>
  <w:style w:type="paragraph" w:customStyle="1" w:styleId="767">
    <w:name w:val="CSS1级正文 Char"/>
    <w:basedOn w:val="24"/>
    <w:qFormat/>
    <w:uiPriority w:val="0"/>
    <w:pPr>
      <w:autoSpaceDE/>
      <w:autoSpaceDN/>
      <w:snapToGrid w:val="0"/>
      <w:ind w:firstLine="480" w:firstLineChars="200"/>
    </w:pPr>
    <w:rPr>
      <w:rFonts w:ascii="Times New Roman"/>
      <w:szCs w:val="24"/>
      <w:lang w:val="en-US"/>
    </w:rPr>
  </w:style>
  <w:style w:type="paragraph" w:customStyle="1" w:styleId="768">
    <w:name w:val="无间隔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9">
    <w:name w:val="表文字"/>
    <w:qFormat/>
    <w:uiPriority w:val="0"/>
    <w:rPr>
      <w:rFonts w:ascii="宋体" w:hAnsi="Times New Roman" w:eastAsia="宋体" w:cs="Times New Roman"/>
      <w:kern w:val="2"/>
      <w:lang w:val="en-US" w:eastAsia="zh-CN" w:bidi="ar-SA"/>
    </w:rPr>
  </w:style>
  <w:style w:type="paragraph" w:customStyle="1" w:styleId="770">
    <w:name w:val="MM Title"/>
    <w:basedOn w:val="60"/>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1">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2">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3">
    <w:name w:val="Char Char Char Char Char Char Char Char2"/>
    <w:basedOn w:val="1"/>
    <w:qFormat/>
    <w:uiPriority w:val="0"/>
    <w:pPr>
      <w:tabs>
        <w:tab w:val="left" w:pos="360"/>
      </w:tabs>
    </w:pPr>
    <w:rPr>
      <w:sz w:val="24"/>
      <w:szCs w:val="20"/>
    </w:rPr>
  </w:style>
  <w:style w:type="paragraph" w:customStyle="1" w:styleId="774">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5">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6">
    <w:name w:val="中文标题 3"/>
    <w:basedOn w:val="26"/>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77">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78">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79">
    <w:name w:val="正文－恩普"/>
    <w:basedOn w:val="2"/>
    <w:qFormat/>
    <w:uiPriority w:val="0"/>
    <w:pPr>
      <w:adjustRightInd/>
      <w:snapToGrid/>
      <w:spacing w:before="100" w:beforeAutospacing="1" w:after="100" w:afterLines="50" w:afterAutospacing="1" w:line="360" w:lineRule="auto"/>
      <w:ind w:firstLine="480" w:firstLineChars="200"/>
      <w:jc w:val="left"/>
    </w:pPr>
    <w:rPr>
      <w:rFonts w:ascii="Times New Roman"/>
      <w:snapToGrid/>
      <w:color w:val="auto"/>
      <w:kern w:val="0"/>
      <w:sz w:val="24"/>
    </w:rPr>
  </w:style>
  <w:style w:type="paragraph" w:customStyle="1" w:styleId="780">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1">
    <w:name w:val="Char4"/>
    <w:basedOn w:val="1"/>
    <w:qFormat/>
    <w:uiPriority w:val="0"/>
    <w:pPr>
      <w:tabs>
        <w:tab w:val="left" w:pos="432"/>
      </w:tabs>
      <w:adjustRightInd/>
      <w:spacing w:before="156" w:beforeLines="50" w:after="156" w:afterLines="50" w:line="360" w:lineRule="auto"/>
      <w:ind w:left="432" w:hanging="432" w:firstLineChars="200"/>
    </w:pPr>
    <w:rPr>
      <w:rFonts w:ascii="宋体" w:hAnsi="宋体" w:eastAsia="微软雅黑"/>
      <w:b/>
      <w:kern w:val="44"/>
      <w:sz w:val="32"/>
      <w:szCs w:val="32"/>
    </w:rPr>
  </w:style>
  <w:style w:type="paragraph" w:customStyle="1" w:styleId="782">
    <w:name w:val="p0"/>
    <w:basedOn w:val="1"/>
    <w:qFormat/>
    <w:uiPriority w:val="0"/>
    <w:pPr>
      <w:widowControl/>
      <w:adjustRightInd/>
    </w:pPr>
    <w:rPr>
      <w:kern w:val="0"/>
      <w:szCs w:val="21"/>
    </w:rPr>
  </w:style>
  <w:style w:type="paragraph" w:customStyle="1" w:styleId="783">
    <w:name w:val="Char6"/>
    <w:basedOn w:val="1"/>
    <w:qFormat/>
    <w:uiPriority w:val="0"/>
    <w:rPr>
      <w:rFonts w:ascii="仿宋_GB2312" w:eastAsia="仿宋_GB2312"/>
      <w:b/>
      <w:sz w:val="32"/>
      <w:szCs w:val="32"/>
    </w:rPr>
  </w:style>
  <w:style w:type="paragraph" w:customStyle="1" w:styleId="784">
    <w:name w:val="Char111"/>
    <w:basedOn w:val="1"/>
    <w:qFormat/>
    <w:uiPriority w:val="0"/>
    <w:rPr>
      <w:rFonts w:ascii="仿宋_GB2312" w:eastAsia="仿宋_GB2312"/>
      <w:b/>
      <w:sz w:val="32"/>
      <w:szCs w:val="32"/>
    </w:rPr>
  </w:style>
  <w:style w:type="paragraph" w:customStyle="1" w:styleId="785">
    <w:name w:val="标题3"/>
    <w:basedOn w:val="5"/>
    <w:next w:val="54"/>
    <w:qFormat/>
    <w:uiPriority w:val="0"/>
    <w:pPr>
      <w:tabs>
        <w:tab w:val="clear" w:pos="900"/>
      </w:tabs>
      <w:spacing w:after="0" w:line="360" w:lineRule="auto"/>
    </w:pPr>
    <w:rPr>
      <w:rFonts w:ascii="仿宋" w:hAnsi="仿宋" w:eastAsia="仿宋" w:cs="仿宋"/>
    </w:rPr>
  </w:style>
  <w:style w:type="paragraph" w:customStyle="1" w:styleId="786">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87">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88">
    <w:name w:val="Char1 Char Char Char2"/>
    <w:basedOn w:val="1"/>
    <w:qFormat/>
    <w:uiPriority w:val="0"/>
    <w:pPr>
      <w:adjustRightInd/>
      <w:ind w:firstLine="200" w:firstLineChars="200"/>
    </w:pPr>
    <w:rPr>
      <w:rFonts w:ascii="Tahoma" w:hAnsi="Tahoma"/>
      <w:sz w:val="24"/>
      <w:szCs w:val="20"/>
    </w:rPr>
  </w:style>
  <w:style w:type="paragraph" w:customStyle="1" w:styleId="789">
    <w:name w:val="列出段落1"/>
    <w:basedOn w:val="1"/>
    <w:qFormat/>
    <w:uiPriority w:val="0"/>
    <w:pPr>
      <w:adjustRightInd/>
      <w:spacing w:line="360" w:lineRule="auto"/>
      <w:ind w:firstLine="420" w:firstLineChars="200"/>
    </w:pPr>
    <w:rPr>
      <w:rFonts w:ascii="Calibri" w:hAnsi="Calibri"/>
      <w:sz w:val="24"/>
      <w:szCs w:val="22"/>
    </w:rPr>
  </w:style>
  <w:style w:type="paragraph" w:customStyle="1" w:styleId="790">
    <w:name w:val="样式 标题 1 + 黑色 段前: 0.5 行 段后: 0.5 行1"/>
    <w:basedOn w:val="3"/>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1">
    <w:name w:val="Char Char Char Char Char Char Char2"/>
    <w:basedOn w:val="1"/>
    <w:qFormat/>
    <w:uiPriority w:val="0"/>
    <w:rPr>
      <w:rFonts w:ascii="仿宋_GB2312" w:eastAsia="仿宋_GB2312"/>
      <w:b/>
      <w:sz w:val="32"/>
      <w:szCs w:val="32"/>
    </w:rPr>
  </w:style>
  <w:style w:type="paragraph" w:customStyle="1" w:styleId="792">
    <w:name w:val="五级条标题"/>
    <w:basedOn w:val="793"/>
    <w:next w:val="638"/>
    <w:qFormat/>
    <w:uiPriority w:val="0"/>
    <w:pPr>
      <w:tabs>
        <w:tab w:val="left" w:pos="1260"/>
        <w:tab w:val="left" w:pos="1680"/>
        <w:tab w:val="left" w:pos="2100"/>
        <w:tab w:val="left" w:pos="2940"/>
        <w:tab w:val="left" w:pos="3360"/>
      </w:tabs>
      <w:ind w:left="3360"/>
      <w:outlineLvl w:val="6"/>
    </w:pPr>
  </w:style>
  <w:style w:type="paragraph" w:customStyle="1" w:styleId="793">
    <w:name w:val="四级条标题"/>
    <w:basedOn w:val="653"/>
    <w:next w:val="638"/>
    <w:qFormat/>
    <w:uiPriority w:val="0"/>
    <w:pPr>
      <w:tabs>
        <w:tab w:val="left" w:pos="2940"/>
        <w:tab w:val="clear" w:pos="2520"/>
      </w:tabs>
      <w:ind w:left="2940"/>
      <w:outlineLvl w:val="5"/>
    </w:pPr>
  </w:style>
  <w:style w:type="paragraph" w:customStyle="1" w:styleId="794">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5">
    <w:name w:val="Char23"/>
    <w:basedOn w:val="1"/>
    <w:qFormat/>
    <w:uiPriority w:val="0"/>
    <w:rPr>
      <w:rFonts w:ascii="仿宋_GB2312" w:eastAsia="仿宋_GB2312"/>
      <w:b/>
      <w:sz w:val="32"/>
      <w:szCs w:val="32"/>
    </w:rPr>
  </w:style>
  <w:style w:type="paragraph" w:customStyle="1" w:styleId="796">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797">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798">
    <w:name w:val="首行缩进"/>
    <w:basedOn w:val="1"/>
    <w:qFormat/>
    <w:uiPriority w:val="0"/>
    <w:pPr>
      <w:spacing w:line="360" w:lineRule="auto"/>
      <w:ind w:firstLine="480" w:firstLineChars="200"/>
    </w:pPr>
    <w:rPr>
      <w:rFonts w:ascii="宋体"/>
      <w:sz w:val="24"/>
      <w:szCs w:val="20"/>
    </w:rPr>
  </w:style>
  <w:style w:type="paragraph" w:customStyle="1" w:styleId="799">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0">
    <w:name w:val="单元格左对齐"/>
    <w:basedOn w:val="1"/>
    <w:qFormat/>
    <w:uiPriority w:val="0"/>
    <w:pPr>
      <w:adjustRightInd/>
      <w:spacing w:line="360" w:lineRule="auto"/>
    </w:pPr>
    <w:rPr>
      <w:sz w:val="24"/>
    </w:rPr>
  </w:style>
  <w:style w:type="paragraph" w:customStyle="1" w:styleId="801">
    <w:name w:val="正文主体"/>
    <w:basedOn w:val="622"/>
    <w:qFormat/>
    <w:uiPriority w:val="0"/>
  </w:style>
  <w:style w:type="paragraph" w:customStyle="1" w:styleId="802">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3">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4">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5">
    <w:name w:val="正文（首行缩进2字符）"/>
    <w:basedOn w:val="1"/>
    <w:qFormat/>
    <w:uiPriority w:val="0"/>
    <w:pPr>
      <w:adjustRightInd/>
      <w:spacing w:line="360" w:lineRule="auto"/>
      <w:ind w:firstLine="480" w:firstLineChars="200"/>
    </w:pPr>
    <w:rPr>
      <w:sz w:val="24"/>
      <w:szCs w:val="20"/>
    </w:rPr>
  </w:style>
  <w:style w:type="paragraph" w:customStyle="1" w:styleId="806">
    <w:name w:val="P1"/>
    <w:basedOn w:val="1"/>
    <w:qFormat/>
    <w:uiPriority w:val="0"/>
    <w:pPr>
      <w:adjustRightInd/>
      <w:spacing w:line="288" w:lineRule="auto"/>
      <w:ind w:firstLine="425" w:firstLineChars="200"/>
    </w:pPr>
  </w:style>
  <w:style w:type="paragraph" w:customStyle="1" w:styleId="807">
    <w:name w:val="列表内容"/>
    <w:basedOn w:val="1"/>
    <w:next w:val="1"/>
    <w:qFormat/>
    <w:uiPriority w:val="0"/>
    <w:pPr>
      <w:widowControl/>
      <w:tabs>
        <w:tab w:val="left" w:pos="840"/>
      </w:tabs>
      <w:ind w:left="840" w:hanging="420"/>
      <w:jc w:val="left"/>
    </w:pPr>
    <w:rPr>
      <w:kern w:val="0"/>
      <w:sz w:val="18"/>
    </w:rPr>
  </w:style>
  <w:style w:type="paragraph" w:customStyle="1" w:styleId="808">
    <w:name w:val="Char Char11 Char Char Char1"/>
    <w:basedOn w:val="1"/>
    <w:qFormat/>
    <w:uiPriority w:val="6"/>
    <w:pPr>
      <w:spacing w:line="360" w:lineRule="auto"/>
    </w:pPr>
    <w:rPr>
      <w:szCs w:val="20"/>
    </w:rPr>
  </w:style>
  <w:style w:type="paragraph" w:customStyle="1" w:styleId="809">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0">
    <w:name w:val="Char Char Char Char Char Char11"/>
    <w:basedOn w:val="1"/>
    <w:qFormat/>
    <w:uiPriority w:val="0"/>
    <w:pPr>
      <w:widowControl/>
      <w:spacing w:before="156" w:beforeLines="50" w:after="156" w:afterLines="50" w:line="240" w:lineRule="exact"/>
      <w:jc w:val="left"/>
    </w:pPr>
    <w:rPr>
      <w:rFonts w:ascii="Verdana" w:hAnsi="Verdana"/>
      <w:kern w:val="0"/>
      <w:sz w:val="20"/>
      <w:szCs w:val="20"/>
      <w:lang w:eastAsia="en-US"/>
    </w:rPr>
  </w:style>
  <w:style w:type="paragraph" w:customStyle="1" w:styleId="811">
    <w:name w:val="标题 41"/>
    <w:basedOn w:val="1"/>
    <w:next w:val="1"/>
    <w:unhideWhenUsed/>
    <w:qFormat/>
    <w:uiPriority w:val="9"/>
    <w:pPr>
      <w:keepNext/>
      <w:keepLines/>
      <w:adjustRightInd/>
      <w:spacing w:before="280" w:after="290" w:line="376" w:lineRule="auto"/>
      <w:outlineLvl w:val="3"/>
    </w:pPr>
    <w:rPr>
      <w:rFonts w:ascii="Cambria" w:hAnsi="Cambria"/>
      <w:b/>
      <w:bCs/>
      <w:sz w:val="28"/>
      <w:szCs w:val="28"/>
    </w:rPr>
  </w:style>
  <w:style w:type="paragraph" w:customStyle="1" w:styleId="812">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3">
    <w:name w:val="正文文字缩进2字"/>
    <w:basedOn w:val="24"/>
    <w:qFormat/>
    <w:uiPriority w:val="0"/>
    <w:pPr>
      <w:autoSpaceDE/>
      <w:autoSpaceDN/>
      <w:adjustRightInd/>
      <w:spacing w:before="60" w:after="60"/>
      <w:ind w:firstLine="200" w:firstLineChars="200"/>
    </w:pPr>
    <w:rPr>
      <w:rFonts w:ascii="Times New Roman"/>
      <w:szCs w:val="20"/>
      <w:lang w:val="en-US"/>
    </w:rPr>
  </w:style>
  <w:style w:type="paragraph" w:customStyle="1" w:styleId="814">
    <w:name w:val="默认段落字体 Para Char Char Char Char"/>
    <w:basedOn w:val="1"/>
    <w:qFormat/>
    <w:uiPriority w:val="0"/>
    <w:pPr>
      <w:spacing w:line="360" w:lineRule="auto"/>
    </w:pPr>
    <w:rPr>
      <w:szCs w:val="20"/>
    </w:rPr>
  </w:style>
  <w:style w:type="paragraph" w:customStyle="1" w:styleId="815">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6">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17">
    <w:name w:val="Char2 Char Char Char2"/>
    <w:basedOn w:val="1"/>
    <w:qFormat/>
    <w:uiPriority w:val="0"/>
    <w:rPr>
      <w:rFonts w:ascii="仿宋_GB2312" w:eastAsia="仿宋_GB2312"/>
      <w:b/>
      <w:sz w:val="32"/>
      <w:szCs w:val="32"/>
    </w:rPr>
  </w:style>
  <w:style w:type="paragraph" w:customStyle="1" w:styleId="818">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19">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0">
    <w:name w:val="正文 首行缩进:  2 字符 Char"/>
    <w:basedOn w:val="1"/>
    <w:qFormat/>
    <w:uiPriority w:val="0"/>
    <w:pPr>
      <w:adjustRightInd/>
      <w:spacing w:line="360" w:lineRule="auto"/>
      <w:ind w:firstLine="480"/>
    </w:pPr>
    <w:rPr>
      <w:rFonts w:cs="宋体"/>
      <w:sz w:val="24"/>
      <w:szCs w:val="20"/>
    </w:rPr>
  </w:style>
  <w:style w:type="paragraph" w:customStyle="1" w:styleId="821">
    <w:name w:val="Char Char4 Char Char"/>
    <w:basedOn w:val="1"/>
    <w:qFormat/>
    <w:uiPriority w:val="0"/>
    <w:pPr>
      <w:widowControl/>
      <w:adjustRightInd/>
      <w:spacing w:after="160" w:line="240" w:lineRule="exact"/>
      <w:jc w:val="left"/>
    </w:pPr>
  </w:style>
  <w:style w:type="paragraph" w:customStyle="1" w:styleId="822">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3">
    <w:name w:val="Char Char11 Char Char Char2"/>
    <w:basedOn w:val="1"/>
    <w:qFormat/>
    <w:uiPriority w:val="0"/>
    <w:pPr>
      <w:spacing w:line="360" w:lineRule="auto"/>
    </w:pPr>
    <w:rPr>
      <w:szCs w:val="20"/>
    </w:rPr>
  </w:style>
  <w:style w:type="paragraph" w:customStyle="1" w:styleId="824">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5">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6">
    <w:name w:val="数字标题4"/>
    <w:basedOn w:val="6"/>
    <w:qFormat/>
    <w:uiPriority w:val="0"/>
    <w:pPr>
      <w:tabs>
        <w:tab w:val="left" w:pos="0"/>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27">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28">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29">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0">
    <w:name w:val="Char311"/>
    <w:basedOn w:val="1"/>
    <w:qFormat/>
    <w:uiPriority w:val="0"/>
    <w:pPr>
      <w:adjustRightInd/>
      <w:ind w:firstLine="200" w:firstLineChars="200"/>
    </w:pPr>
    <w:rPr>
      <w:rFonts w:ascii="Tahoma" w:hAnsi="Tahoma"/>
      <w:sz w:val="24"/>
      <w:szCs w:val="20"/>
    </w:rPr>
  </w:style>
  <w:style w:type="paragraph" w:customStyle="1" w:styleId="831">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2">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3">
    <w:name w:val="正文 内标"/>
    <w:basedOn w:val="748"/>
    <w:qFormat/>
    <w:uiPriority w:val="0"/>
    <w:pPr>
      <w:tabs>
        <w:tab w:val="left" w:pos="0"/>
      </w:tabs>
      <w:ind w:left="900" w:firstLine="0" w:firstLineChars="0"/>
    </w:pPr>
  </w:style>
  <w:style w:type="paragraph" w:customStyle="1" w:styleId="834">
    <w:name w:val="Bulleted List"/>
    <w:basedOn w:val="1"/>
    <w:qFormat/>
    <w:uiPriority w:val="0"/>
    <w:pPr>
      <w:tabs>
        <w:tab w:val="left" w:pos="1260"/>
      </w:tabs>
      <w:adjustRightInd/>
      <w:ind w:left="1260" w:hanging="420"/>
    </w:pPr>
  </w:style>
  <w:style w:type="paragraph" w:customStyle="1" w:styleId="835">
    <w:name w:val="样式 正文文本缩进 2 + 仿宋_GB2312 黑色 行距: 1.5 倍行距"/>
    <w:basedOn w:val="38"/>
    <w:qFormat/>
    <w:uiPriority w:val="0"/>
    <w:pPr>
      <w:adjustRightInd/>
      <w:ind w:firstLine="560" w:firstLineChars="200"/>
      <w:textAlignment w:val="auto"/>
    </w:pPr>
    <w:rPr>
      <w:rFonts w:hAnsi="宋体" w:cs="宋体"/>
      <w:color w:val="000000"/>
      <w:kern w:val="2"/>
      <w:sz w:val="24"/>
    </w:rPr>
  </w:style>
  <w:style w:type="paragraph" w:customStyle="1" w:styleId="836">
    <w:name w:val="样式 左侧:  0.85 厘米"/>
    <w:basedOn w:val="1"/>
    <w:qFormat/>
    <w:uiPriority w:val="2"/>
    <w:pPr>
      <w:adjustRightInd/>
      <w:spacing w:line="360" w:lineRule="auto"/>
    </w:pPr>
    <w:rPr>
      <w:rFonts w:cs="宋体"/>
      <w:sz w:val="24"/>
      <w:szCs w:val="20"/>
    </w:rPr>
  </w:style>
  <w:style w:type="paragraph" w:customStyle="1" w:styleId="837">
    <w:name w:val="Char Char Char Char Char Char Char Char Char Char Char Char1 Char"/>
    <w:basedOn w:val="1"/>
    <w:qFormat/>
    <w:uiPriority w:val="0"/>
    <w:rPr>
      <w:rFonts w:ascii="Tahoma" w:hAnsi="Tahoma" w:cs="仿宋_GB2312"/>
      <w:sz w:val="24"/>
      <w:szCs w:val="20"/>
    </w:rPr>
  </w:style>
  <w:style w:type="paragraph" w:customStyle="1" w:styleId="838">
    <w:name w:val="正文1"/>
    <w:basedOn w:val="33"/>
    <w:qFormat/>
    <w:uiPriority w:val="0"/>
    <w:pPr>
      <w:ind w:left="0" w:leftChars="0" w:firstLine="480" w:firstLineChars="200"/>
    </w:pPr>
    <w:rPr>
      <w:rFonts w:ascii="仿宋_GB2312" w:hAnsi="Courier New" w:eastAsia="仿宋_GB2312"/>
      <w:kern w:val="28"/>
      <w:sz w:val="24"/>
    </w:rPr>
  </w:style>
  <w:style w:type="paragraph" w:customStyle="1" w:styleId="839">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0">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1">
    <w:name w:val="模板普通正文"/>
    <w:basedOn w:val="26"/>
    <w:qFormat/>
    <w:uiPriority w:val="0"/>
    <w:pPr>
      <w:adjustRightInd/>
      <w:spacing w:before="156" w:beforeLines="50" w:after="10" w:line="360" w:lineRule="auto"/>
      <w:ind w:firstLine="175" w:firstLineChars="175"/>
      <w:jc w:val="left"/>
    </w:pPr>
    <w:rPr>
      <w:rFonts w:ascii="Times New Roman" w:hAnsi="Times New Roman"/>
    </w:rPr>
  </w:style>
  <w:style w:type="paragraph" w:customStyle="1" w:styleId="842">
    <w:name w:val="Char Char1 Char Char Char Char Char Char"/>
    <w:basedOn w:val="1"/>
    <w:qFormat/>
    <w:uiPriority w:val="0"/>
    <w:rPr>
      <w:rFonts w:ascii="仿宋_GB2312" w:eastAsia="仿宋_GB2312"/>
      <w:b/>
      <w:sz w:val="32"/>
      <w:szCs w:val="20"/>
    </w:rPr>
  </w:style>
  <w:style w:type="paragraph" w:customStyle="1" w:styleId="843">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4">
    <w:name w:val="Char Char1 Char Char Char Char Char Char2"/>
    <w:basedOn w:val="1"/>
    <w:qFormat/>
    <w:uiPriority w:val="0"/>
    <w:rPr>
      <w:rFonts w:ascii="仿宋_GB2312" w:eastAsia="仿宋_GB2312"/>
      <w:b/>
      <w:sz w:val="32"/>
      <w:szCs w:val="20"/>
    </w:rPr>
  </w:style>
  <w:style w:type="paragraph" w:customStyle="1" w:styleId="845">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6">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47">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48">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49">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0">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1">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2">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3">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4">
    <w:name w:val="Char31"/>
    <w:basedOn w:val="1"/>
    <w:qFormat/>
    <w:uiPriority w:val="0"/>
    <w:pPr>
      <w:adjustRightInd/>
    </w:pPr>
    <w:rPr>
      <w:rFonts w:ascii="仿宋_GB2312" w:eastAsia="仿宋_GB2312"/>
      <w:b/>
      <w:sz w:val="32"/>
      <w:szCs w:val="32"/>
    </w:rPr>
  </w:style>
  <w:style w:type="paragraph" w:customStyle="1" w:styleId="855">
    <w:name w:val="样式 标题 3h33rd level3Heading 3 - oldH3l3CTheading 3Headin..."/>
    <w:basedOn w:val="5"/>
    <w:qFormat/>
    <w:uiPriority w:val="0"/>
    <w:pPr>
      <w:snapToGrid w:val="0"/>
      <w:ind w:left="0" w:firstLine="0"/>
      <w:jc w:val="left"/>
    </w:pPr>
    <w:rPr>
      <w:rFonts w:eastAsia="黑体" w:cs="宋体"/>
      <w:sz w:val="28"/>
      <w:szCs w:val="20"/>
    </w:rPr>
  </w:style>
  <w:style w:type="paragraph" w:customStyle="1" w:styleId="856">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57">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58">
    <w:name w:val="Char Char1"/>
    <w:basedOn w:val="1"/>
    <w:qFormat/>
    <w:uiPriority w:val="0"/>
    <w:pPr>
      <w:widowControl/>
      <w:spacing w:after="160" w:line="240" w:lineRule="exact"/>
      <w:jc w:val="left"/>
    </w:pPr>
    <w:rPr>
      <w:rFonts w:eastAsia="仿宋_GB2312"/>
      <w:sz w:val="28"/>
    </w:rPr>
  </w:style>
  <w:style w:type="paragraph" w:customStyle="1" w:styleId="859">
    <w:name w:val="Char21"/>
    <w:basedOn w:val="1"/>
    <w:qFormat/>
    <w:uiPriority w:val="0"/>
    <w:pPr>
      <w:adjustRightInd/>
      <w:ind w:firstLine="200" w:firstLineChars="200"/>
    </w:pPr>
    <w:rPr>
      <w:rFonts w:ascii="仿宋_GB2312" w:eastAsia="仿宋_GB2312"/>
      <w:b/>
      <w:sz w:val="32"/>
      <w:szCs w:val="32"/>
    </w:rPr>
  </w:style>
  <w:style w:type="paragraph" w:customStyle="1" w:styleId="860">
    <w:name w:val="列表段落1"/>
    <w:basedOn w:val="1"/>
    <w:qFormat/>
    <w:uiPriority w:val="34"/>
    <w:pPr>
      <w:adjustRightInd/>
      <w:ind w:right="238" w:firstLine="420"/>
    </w:pPr>
    <w:rPr>
      <w:rFonts w:ascii="Calibri" w:hAnsi="Calibri"/>
      <w:sz w:val="24"/>
    </w:rPr>
  </w:style>
  <w:style w:type="paragraph" w:customStyle="1" w:styleId="861">
    <w:name w:val="Char Char110"/>
    <w:basedOn w:val="1"/>
    <w:qFormat/>
    <w:uiPriority w:val="6"/>
    <w:pPr>
      <w:spacing w:line="360" w:lineRule="auto"/>
    </w:pPr>
    <w:rPr>
      <w:rFonts w:ascii="Tahoma" w:hAnsi="Tahoma"/>
      <w:sz w:val="24"/>
      <w:szCs w:val="20"/>
    </w:rPr>
  </w:style>
  <w:style w:type="paragraph" w:customStyle="1" w:styleId="862">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3">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4">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5">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6">
    <w:name w:val="Char Char Char Char Char Char Char Char Char Char Char Char1 Char2"/>
    <w:basedOn w:val="1"/>
    <w:qFormat/>
    <w:uiPriority w:val="0"/>
    <w:rPr>
      <w:rFonts w:ascii="Tahoma" w:hAnsi="Tahoma" w:cs="仿宋_GB2312"/>
      <w:sz w:val="24"/>
      <w:szCs w:val="20"/>
    </w:rPr>
  </w:style>
  <w:style w:type="paragraph" w:customStyle="1" w:styleId="867">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68">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69">
    <w:name w:val="样式 列表编号 + 段后: 0.5 行"/>
    <w:basedOn w:val="16"/>
    <w:qFormat/>
    <w:uiPriority w:val="2"/>
    <w:pPr>
      <w:tabs>
        <w:tab w:val="clear" w:pos="390"/>
        <w:tab w:val="clear" w:pos="454"/>
      </w:tabs>
      <w:spacing w:after="0"/>
      <w:ind w:left="840" w:hanging="420"/>
      <w:contextualSpacing/>
    </w:pPr>
    <w:rPr>
      <w:rFonts w:cs="宋体"/>
    </w:rPr>
  </w:style>
  <w:style w:type="paragraph" w:customStyle="1" w:styleId="870">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1">
    <w:name w:val="_Style 12"/>
    <w:basedOn w:val="19"/>
    <w:qFormat/>
    <w:uiPriority w:val="0"/>
    <w:pPr>
      <w:snapToGrid w:val="0"/>
      <w:spacing w:line="360" w:lineRule="auto"/>
    </w:pPr>
  </w:style>
  <w:style w:type="paragraph" w:customStyle="1" w:styleId="872">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3">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4">
    <w:name w:val="_Style 94"/>
    <w:basedOn w:val="1"/>
    <w:next w:val="256"/>
    <w:qFormat/>
    <w:uiPriority w:val="34"/>
    <w:pPr>
      <w:adjustRightInd/>
      <w:spacing w:line="360" w:lineRule="auto"/>
      <w:ind w:firstLine="200" w:firstLineChars="200"/>
    </w:pPr>
    <w:rPr>
      <w:rFonts w:ascii="Calibri" w:hAnsi="Calibri"/>
      <w:sz w:val="28"/>
      <w:szCs w:val="20"/>
    </w:rPr>
  </w:style>
  <w:style w:type="paragraph" w:customStyle="1" w:styleId="875">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6">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77">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78">
    <w:name w:val="3级标题"/>
    <w:basedOn w:val="670"/>
    <w:qFormat/>
    <w:uiPriority w:val="0"/>
    <w:pPr>
      <w:outlineLvl w:val="2"/>
    </w:pPr>
  </w:style>
  <w:style w:type="paragraph" w:customStyle="1" w:styleId="879">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0">
    <w:name w:val="Char1 Char Char Char3"/>
    <w:basedOn w:val="1"/>
    <w:qFormat/>
    <w:uiPriority w:val="0"/>
    <w:pPr>
      <w:adjustRightInd/>
      <w:ind w:firstLine="200" w:firstLineChars="200"/>
    </w:pPr>
    <w:rPr>
      <w:rFonts w:ascii="Tahoma" w:hAnsi="Tahoma"/>
      <w:sz w:val="24"/>
      <w:szCs w:val="20"/>
    </w:rPr>
  </w:style>
  <w:style w:type="paragraph" w:customStyle="1" w:styleId="881">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2">
    <w:name w:val="MM Empty"/>
    <w:basedOn w:val="1"/>
    <w:qFormat/>
    <w:uiPriority w:val="0"/>
    <w:pPr>
      <w:adjustRightInd/>
    </w:pPr>
  </w:style>
  <w:style w:type="paragraph" w:customStyle="1" w:styleId="883">
    <w:name w:val="Char24"/>
    <w:basedOn w:val="1"/>
    <w:qFormat/>
    <w:uiPriority w:val="0"/>
    <w:rPr>
      <w:rFonts w:ascii="仿宋_GB2312" w:eastAsia="仿宋_GB2312"/>
      <w:b/>
      <w:sz w:val="32"/>
      <w:szCs w:val="32"/>
    </w:rPr>
  </w:style>
  <w:style w:type="paragraph" w:customStyle="1" w:styleId="884">
    <w:name w:val="正文箭头"/>
    <w:basedOn w:val="536"/>
    <w:qFormat/>
    <w:uiPriority w:val="0"/>
  </w:style>
  <w:style w:type="paragraph" w:customStyle="1" w:styleId="885">
    <w:name w:val="U_编号2"/>
    <w:basedOn w:val="1"/>
    <w:qFormat/>
    <w:uiPriority w:val="0"/>
    <w:pPr>
      <w:tabs>
        <w:tab w:val="left" w:pos="785"/>
      </w:tabs>
      <w:adjustRightInd/>
      <w:spacing w:beforeLines="10" w:afterLines="10" w:line="300" w:lineRule="auto"/>
    </w:pPr>
    <w:rPr>
      <w:sz w:val="24"/>
    </w:rPr>
  </w:style>
  <w:style w:type="paragraph" w:customStyle="1" w:styleId="886">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87">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88">
    <w:name w:val="标书标题3"/>
    <w:basedOn w:val="5"/>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89">
    <w:name w:val="TOC 标题11"/>
    <w:basedOn w:val="3"/>
    <w:next w:val="1"/>
    <w:unhideWhenUsed/>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0">
    <w:name w:val="_Style 1"/>
    <w:basedOn w:val="1"/>
    <w:qFormat/>
    <w:uiPriority w:val="34"/>
    <w:pPr>
      <w:adjustRightInd/>
      <w:ind w:firstLine="420" w:firstLineChars="200"/>
    </w:pPr>
    <w:rPr>
      <w:rFonts w:eastAsia="仿宋_GB2312"/>
      <w:sz w:val="28"/>
    </w:rPr>
  </w:style>
  <w:style w:type="paragraph" w:customStyle="1" w:styleId="891">
    <w:name w:val="表格 内容"/>
    <w:basedOn w:val="727"/>
    <w:qFormat/>
    <w:uiPriority w:val="0"/>
    <w:rPr>
      <w:b w:val="0"/>
      <w:sz w:val="20"/>
    </w:rPr>
  </w:style>
  <w:style w:type="paragraph" w:customStyle="1" w:styleId="892">
    <w:name w:val="正文首行缩进1"/>
    <w:basedOn w:val="24"/>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3">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4">
    <w:name w:val="数字标题5"/>
    <w:basedOn w:val="7"/>
    <w:next w:val="1"/>
    <w:qFormat/>
    <w:uiPriority w:val="0"/>
    <w:pPr>
      <w:tabs>
        <w:tab w:val="left" w:pos="1080"/>
      </w:tabs>
      <w:ind w:left="1080" w:hanging="1080"/>
    </w:pPr>
  </w:style>
  <w:style w:type="paragraph" w:customStyle="1" w:styleId="895">
    <w:name w:val="数字标题1"/>
    <w:basedOn w:val="3"/>
    <w:next w:val="1"/>
    <w:qFormat/>
    <w:uiPriority w:val="0"/>
    <w:pPr>
      <w:tabs>
        <w:tab w:val="left" w:pos="480"/>
      </w:tabs>
      <w:ind w:left="480" w:hanging="480"/>
    </w:pPr>
  </w:style>
  <w:style w:type="paragraph" w:customStyle="1" w:styleId="896">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897">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898">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899">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0">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1">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2">
    <w:name w:val="0"/>
    <w:basedOn w:val="1"/>
    <w:qFormat/>
    <w:uiPriority w:val="0"/>
    <w:pPr>
      <w:widowControl/>
    </w:pPr>
    <w:rPr>
      <w:kern w:val="0"/>
      <w:sz w:val="24"/>
      <w:szCs w:val="20"/>
    </w:rPr>
  </w:style>
  <w:style w:type="paragraph" w:customStyle="1" w:styleId="903">
    <w:name w:val="Char Char113"/>
    <w:basedOn w:val="1"/>
    <w:qFormat/>
    <w:uiPriority w:val="0"/>
    <w:pPr>
      <w:widowControl/>
      <w:spacing w:after="160" w:line="240" w:lineRule="exact"/>
      <w:jc w:val="left"/>
    </w:pPr>
    <w:rPr>
      <w:rFonts w:eastAsia="仿宋_GB2312"/>
      <w:sz w:val="28"/>
    </w:rPr>
  </w:style>
  <w:style w:type="paragraph" w:customStyle="1" w:styleId="904">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5">
    <w:name w:val="_Style 8"/>
    <w:basedOn w:val="1"/>
    <w:qFormat/>
    <w:uiPriority w:val="34"/>
    <w:pPr>
      <w:adjustRightInd/>
      <w:ind w:firstLine="420" w:firstLineChars="200"/>
    </w:pPr>
    <w:rPr>
      <w:rFonts w:eastAsia="仿宋_GB2312"/>
      <w:sz w:val="28"/>
    </w:rPr>
  </w:style>
  <w:style w:type="paragraph" w:customStyle="1" w:styleId="906">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07">
    <w:name w:val="正文样式 首行缩进:  0.74 厘米"/>
    <w:basedOn w:val="1"/>
    <w:qFormat/>
    <w:uiPriority w:val="0"/>
    <w:pPr>
      <w:adjustRightInd/>
      <w:spacing w:before="156" w:beforeLines="50" w:line="360" w:lineRule="auto"/>
      <w:ind w:firstLine="420"/>
    </w:pPr>
    <w:rPr>
      <w:rFonts w:cs="宋体"/>
      <w:sz w:val="24"/>
      <w:szCs w:val="20"/>
    </w:rPr>
  </w:style>
  <w:style w:type="paragraph" w:customStyle="1" w:styleId="908">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09">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0">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1">
    <w:name w:val="Char Char112"/>
    <w:basedOn w:val="1"/>
    <w:qFormat/>
    <w:uiPriority w:val="6"/>
    <w:pPr>
      <w:widowControl/>
      <w:spacing w:after="160" w:line="240" w:lineRule="exact"/>
      <w:jc w:val="left"/>
    </w:pPr>
    <w:rPr>
      <w:rFonts w:eastAsia="仿宋_GB2312"/>
      <w:sz w:val="28"/>
    </w:rPr>
  </w:style>
  <w:style w:type="paragraph" w:customStyle="1" w:styleId="912">
    <w:name w:val="正文 图"/>
    <w:basedOn w:val="441"/>
    <w:qFormat/>
    <w:uiPriority w:val="0"/>
    <w:pPr>
      <w:adjustRightInd/>
      <w:spacing w:before="0"/>
      <w:ind w:firstLine="0"/>
      <w:jc w:val="center"/>
    </w:pPr>
    <w:rPr>
      <w:rFonts w:ascii="微软雅黑" w:hAnsi="微软雅黑"/>
    </w:rPr>
  </w:style>
  <w:style w:type="paragraph" w:customStyle="1" w:styleId="913">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4">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5">
    <w:name w:val="Thf"/>
    <w:basedOn w:val="560"/>
    <w:qFormat/>
    <w:uiPriority w:val="0"/>
    <w:pPr>
      <w:ind w:left="0"/>
    </w:pPr>
  </w:style>
  <w:style w:type="paragraph" w:customStyle="1" w:styleId="916">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17">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18">
    <w:name w:val="注释"/>
    <w:basedOn w:val="1"/>
    <w:qFormat/>
    <w:uiPriority w:val="0"/>
    <w:pPr>
      <w:adjustRightInd/>
      <w:spacing w:line="360" w:lineRule="auto"/>
      <w:ind w:firstLine="480"/>
    </w:pPr>
    <w:rPr>
      <w:sz w:val="24"/>
    </w:rPr>
  </w:style>
  <w:style w:type="table" w:customStyle="1" w:styleId="919">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0">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1">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2">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5">
    <w:name w:val="列出段落111"/>
    <w:basedOn w:val="1"/>
    <w:qFormat/>
    <w:uiPriority w:val="34"/>
    <w:pPr>
      <w:ind w:firstLine="420" w:firstLineChars="200"/>
    </w:pPr>
  </w:style>
  <w:style w:type="character" w:customStyle="1" w:styleId="926">
    <w:name w:val="交叉引用"/>
    <w:qFormat/>
    <w:uiPriority w:val="1"/>
    <w:rPr>
      <w:rFonts w:ascii="Arial" w:hAnsi="Arial" w:eastAsia="黑体"/>
      <w:snapToGrid w:val="0"/>
      <w:color w:val="0000FF"/>
      <w:kern w:val="0"/>
      <w:sz w:val="20"/>
      <w:szCs w:val="21"/>
      <w:u w:val="single"/>
      <w:lang w:val="en-US" w:eastAsia="zh-CN"/>
    </w:rPr>
  </w:style>
  <w:style w:type="character" w:customStyle="1" w:styleId="927">
    <w:name w:val="正文缩进 字符1"/>
    <w:qFormat/>
    <w:uiPriority w:val="0"/>
    <w:rPr>
      <w:rFonts w:ascii="宋体" w:eastAsia="宋体"/>
      <w:snapToGrid w:val="0"/>
      <w:color w:val="000000"/>
      <w:kern w:val="28"/>
      <w:sz w:val="28"/>
      <w:lang w:val="en-US" w:eastAsia="zh-CN" w:bidi="ar-SA"/>
    </w:rPr>
  </w:style>
  <w:style w:type="character" w:customStyle="1" w:styleId="928">
    <w:name w:val="页脚 字符1"/>
    <w:qFormat/>
    <w:locked/>
    <w:uiPriority w:val="99"/>
    <w:rPr>
      <w:kern w:val="2"/>
      <w:sz w:val="18"/>
      <w:szCs w:val="18"/>
    </w:rPr>
  </w:style>
  <w:style w:type="character" w:customStyle="1" w:styleId="929">
    <w:name w:val="页眉 字符1"/>
    <w:qFormat/>
    <w:uiPriority w:val="99"/>
    <w:rPr>
      <w:kern w:val="2"/>
      <w:sz w:val="18"/>
      <w:szCs w:val="18"/>
    </w:rPr>
  </w:style>
  <w:style w:type="character" w:customStyle="1" w:styleId="930">
    <w:name w:val="尾注文本 Char"/>
    <w:link w:val="39"/>
    <w:qFormat/>
    <w:uiPriority w:val="0"/>
    <w:rPr>
      <w:kern w:val="2"/>
      <w:sz w:val="21"/>
      <w:szCs w:val="24"/>
      <w:lang w:val="zh-CN"/>
    </w:rPr>
  </w:style>
  <w:style w:type="character" w:customStyle="1" w:styleId="931">
    <w:name w:val="无间隔 Char"/>
    <w:link w:val="481"/>
    <w:qFormat/>
    <w:uiPriority w:val="99"/>
    <w:rPr>
      <w:kern w:val="2"/>
      <w:sz w:val="21"/>
      <w:szCs w:val="22"/>
    </w:rPr>
  </w:style>
  <w:style w:type="character" w:customStyle="1" w:styleId="932">
    <w:name w:val="标准文本 Char Char"/>
    <w:link w:val="933"/>
    <w:qFormat/>
    <w:uiPriority w:val="0"/>
    <w:rPr>
      <w:rFonts w:cs="宋体"/>
      <w:kern w:val="2"/>
      <w:sz w:val="24"/>
    </w:rPr>
  </w:style>
  <w:style w:type="paragraph" w:customStyle="1" w:styleId="933">
    <w:name w:val="标准文本"/>
    <w:basedOn w:val="1"/>
    <w:link w:val="932"/>
    <w:qFormat/>
    <w:uiPriority w:val="0"/>
    <w:pPr>
      <w:adjustRightInd/>
      <w:spacing w:line="360" w:lineRule="auto"/>
      <w:ind w:firstLine="480" w:firstLineChars="200"/>
    </w:pPr>
    <w:rPr>
      <w:rFonts w:cs="宋体"/>
      <w:sz w:val="24"/>
      <w:szCs w:val="20"/>
    </w:rPr>
  </w:style>
  <w:style w:type="character" w:customStyle="1" w:styleId="934">
    <w:name w:val="Char Char213"/>
    <w:qFormat/>
    <w:uiPriority w:val="0"/>
    <w:rPr>
      <w:rFonts w:eastAsia="Century Gothic"/>
      <w:b/>
      <w:bCs/>
      <w:kern w:val="44"/>
      <w:sz w:val="32"/>
      <w:szCs w:val="44"/>
      <w:lang w:val="en-US" w:eastAsia="zh-CN" w:bidi="ar-SA"/>
    </w:rPr>
  </w:style>
  <w:style w:type="character" w:customStyle="1" w:styleId="935">
    <w:name w:val="apple-style-span"/>
    <w:qFormat/>
    <w:uiPriority w:val="0"/>
    <w:rPr>
      <w:rFonts w:ascii="Arial" w:hAnsi="Arial" w:eastAsia="黑体" w:cs="Arial"/>
      <w:snapToGrid w:val="0"/>
      <w:kern w:val="0"/>
      <w:szCs w:val="21"/>
    </w:rPr>
  </w:style>
  <w:style w:type="character" w:customStyle="1" w:styleId="936">
    <w:name w:val="15"/>
    <w:qFormat/>
    <w:uiPriority w:val="0"/>
    <w:rPr>
      <w:rFonts w:hint="default" w:ascii="Calibri" w:hAnsi="Calibri"/>
      <w:color w:val="0000FF"/>
      <w:u w:val="single"/>
    </w:rPr>
  </w:style>
  <w:style w:type="character" w:customStyle="1" w:styleId="937">
    <w:name w:val="16"/>
    <w:qFormat/>
    <w:uiPriority w:val="0"/>
    <w:rPr>
      <w:rFonts w:hint="eastAsia" w:ascii="宋体" w:hAnsi="宋体" w:eastAsia="宋体"/>
      <w:color w:val="000000"/>
      <w:sz w:val="20"/>
      <w:szCs w:val="20"/>
    </w:rPr>
  </w:style>
  <w:style w:type="character" w:customStyle="1" w:styleId="938">
    <w:name w:val="edui-unclickable"/>
    <w:qFormat/>
    <w:uiPriority w:val="0"/>
    <w:rPr>
      <w:color w:val="808080"/>
    </w:rPr>
  </w:style>
  <w:style w:type="character" w:customStyle="1" w:styleId="939">
    <w:name w:val="tpc_content1"/>
    <w:qFormat/>
    <w:uiPriority w:val="0"/>
    <w:rPr>
      <w:sz w:val="20"/>
      <w:szCs w:val="20"/>
    </w:rPr>
  </w:style>
  <w:style w:type="character" w:customStyle="1" w:styleId="940">
    <w:name w:val="正文文本缩进 字符"/>
    <w:qFormat/>
    <w:uiPriority w:val="0"/>
    <w:rPr>
      <w:rFonts w:ascii="Century Gothic" w:hAnsi="Century Gothic" w:eastAsia="Century Gothic"/>
      <w:kern w:val="2"/>
      <w:sz w:val="24"/>
      <w:lang w:val="en-US" w:eastAsia="zh-CN" w:bidi="ar-SA"/>
    </w:rPr>
  </w:style>
  <w:style w:type="character" w:customStyle="1" w:styleId="941">
    <w:name w:val="正文文本 2 字符"/>
    <w:qFormat/>
    <w:uiPriority w:val="0"/>
    <w:rPr>
      <w:rFonts w:ascii="Arial" w:hAnsi="Arial" w:eastAsia="宋体"/>
      <w:kern w:val="2"/>
      <w:sz w:val="24"/>
      <w:szCs w:val="24"/>
      <w:lang w:val="en-US" w:eastAsia="zh-CN" w:bidi="ar-SA"/>
    </w:rPr>
  </w:style>
  <w:style w:type="character" w:customStyle="1" w:styleId="942">
    <w:name w:val="edui-clickable2"/>
    <w:qFormat/>
    <w:uiPriority w:val="0"/>
    <w:rPr>
      <w:color w:val="0000FF"/>
      <w:u w:val="single"/>
    </w:rPr>
  </w:style>
  <w:style w:type="character" w:customStyle="1" w:styleId="943">
    <w:name w:val="style1"/>
    <w:qFormat/>
    <w:uiPriority w:val="0"/>
    <w:rPr>
      <w:rFonts w:ascii="Arial" w:hAnsi="Arial" w:eastAsia="黑体" w:cs="Arial"/>
      <w:snapToGrid w:val="0"/>
      <w:kern w:val="0"/>
      <w:szCs w:val="21"/>
    </w:rPr>
  </w:style>
  <w:style w:type="character" w:customStyle="1" w:styleId="944">
    <w:name w:val="zbggtop11 style5"/>
    <w:qFormat/>
    <w:uiPriority w:val="0"/>
    <w:rPr>
      <w:rFonts w:ascii="Arial" w:hAnsi="Arial" w:eastAsia="黑体" w:cs="Arial"/>
      <w:snapToGrid w:val="0"/>
      <w:kern w:val="0"/>
      <w:szCs w:val="21"/>
    </w:rPr>
  </w:style>
  <w:style w:type="character" w:customStyle="1" w:styleId="945">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6">
    <w:name w:val="bulletintext1"/>
    <w:qFormat/>
    <w:uiPriority w:val="0"/>
    <w:rPr>
      <w:color w:val="000000"/>
      <w:sz w:val="18"/>
    </w:rPr>
  </w:style>
  <w:style w:type="paragraph" w:customStyle="1" w:styleId="947">
    <w:name w:val="_Style 947"/>
    <w:basedOn w:val="1"/>
    <w:next w:val="256"/>
    <w:qFormat/>
    <w:uiPriority w:val="34"/>
    <w:pPr>
      <w:adjustRightInd/>
      <w:ind w:firstLine="420" w:firstLineChars="200"/>
    </w:pPr>
  </w:style>
  <w:style w:type="paragraph" w:customStyle="1" w:styleId="948">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49">
    <w:name w:val="纯文本2"/>
    <w:basedOn w:val="1"/>
    <w:qFormat/>
    <w:uiPriority w:val="0"/>
    <w:pPr>
      <w:adjustRightInd/>
      <w:snapToGrid w:val="0"/>
      <w:jc w:val="left"/>
    </w:pPr>
    <w:rPr>
      <w:rFonts w:ascii="Century Gothic" w:hAnsi="楷体_GB2312" w:eastAsia="Century Gothic"/>
      <w:szCs w:val="20"/>
    </w:rPr>
  </w:style>
  <w:style w:type="paragraph" w:customStyle="1" w:styleId="950">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1">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2">
    <w:name w:val="节"/>
    <w:basedOn w:val="4"/>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3">
    <w:name w:val="Blockquote"/>
    <w:basedOn w:val="1"/>
    <w:qFormat/>
    <w:uiPriority w:val="0"/>
    <w:pPr>
      <w:autoSpaceDE w:val="0"/>
      <w:autoSpaceDN w:val="0"/>
      <w:spacing w:before="100" w:after="100"/>
      <w:ind w:left="360" w:right="360"/>
      <w:jc w:val="left"/>
    </w:pPr>
    <w:rPr>
      <w:kern w:val="0"/>
      <w:sz w:val="24"/>
      <w:szCs w:val="20"/>
    </w:rPr>
  </w:style>
  <w:style w:type="paragraph" w:customStyle="1" w:styleId="954">
    <w:name w:val="p1"/>
    <w:basedOn w:val="1"/>
    <w:qFormat/>
    <w:uiPriority w:val="0"/>
    <w:pPr>
      <w:widowControl/>
      <w:adjustRightInd/>
      <w:jc w:val="left"/>
    </w:pPr>
    <w:rPr>
      <w:rFonts w:ascii=".PingFang SC" w:eastAsia=".PingFang SC"/>
      <w:color w:val="454545"/>
      <w:kern w:val="0"/>
      <w:sz w:val="18"/>
      <w:szCs w:val="18"/>
    </w:rPr>
  </w:style>
  <w:style w:type="paragraph" w:customStyle="1" w:styleId="955">
    <w:name w:val="Table Paragraph"/>
    <w:basedOn w:val="1"/>
    <w:qFormat/>
    <w:uiPriority w:val="0"/>
    <w:pPr>
      <w:adjustRightInd/>
      <w:jc w:val="left"/>
    </w:pPr>
    <w:rPr>
      <w:rFonts w:ascii="Calibri" w:hAnsi="Calibri"/>
      <w:kern w:val="0"/>
      <w:sz w:val="22"/>
      <w:szCs w:val="22"/>
      <w:lang w:eastAsia="en-US"/>
    </w:rPr>
  </w:style>
  <w:style w:type="paragraph" w:customStyle="1" w:styleId="956">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57">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58">
    <w:name w:val="text-tag"/>
    <w:basedOn w:val="1"/>
    <w:semiHidden/>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59">
    <w:name w:val="ksfind_class_select1"/>
    <w:basedOn w:val="70"/>
    <w:qFormat/>
    <w:uiPriority w:val="0"/>
    <w:rPr>
      <w:color w:val="000000"/>
      <w:shd w:val="clear" w:color="auto" w:fill="EFD200"/>
    </w:rPr>
  </w:style>
  <w:style w:type="character" w:customStyle="1" w:styleId="960">
    <w:name w:val="font71"/>
    <w:qFormat/>
    <w:uiPriority w:val="0"/>
    <w:rPr>
      <w:rFonts w:hint="eastAsia" w:ascii="宋体" w:hAnsi="宋体" w:eastAsia="宋体" w:cs="宋体"/>
      <w:color w:val="000000"/>
      <w:sz w:val="22"/>
      <w:szCs w:val="22"/>
      <w:u w:val="none"/>
    </w:rPr>
  </w:style>
  <w:style w:type="character" w:customStyle="1" w:styleId="961">
    <w:name w:val="font91"/>
    <w:qFormat/>
    <w:uiPriority w:val="0"/>
    <w:rPr>
      <w:rFonts w:hint="eastAsia" w:ascii="仿宋" w:hAnsi="仿宋" w:eastAsia="仿宋" w:cs="仿宋"/>
      <w:color w:val="000000"/>
      <w:sz w:val="22"/>
      <w:szCs w:val="22"/>
      <w:u w:val="none"/>
    </w:rPr>
  </w:style>
  <w:style w:type="paragraph" w:customStyle="1" w:styleId="962">
    <w:name w:val="修订4"/>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header" Target="header3.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3" Type="http://schemas.openxmlformats.org/officeDocument/2006/relationships/fontTable" Target="fontTable.xml"/><Relationship Id="rId32" Type="http://schemas.openxmlformats.org/officeDocument/2006/relationships/customXml" Target="../customXml/item2.xml"/><Relationship Id="rId31" Type="http://schemas.openxmlformats.org/officeDocument/2006/relationships/numbering" Target="numbering.xml"/><Relationship Id="rId30" Type="http://schemas.openxmlformats.org/officeDocument/2006/relationships/customXml" Target="../customXml/item1.xml"/><Relationship Id="rId3" Type="http://schemas.openxmlformats.org/officeDocument/2006/relationships/header" Target="header1.xml"/><Relationship Id="rId29" Type="http://schemas.openxmlformats.org/officeDocument/2006/relationships/theme" Target="theme/theme1.xml"/><Relationship Id="rId28" Type="http://schemas.openxmlformats.org/officeDocument/2006/relationships/footer" Target="footer14.xml"/><Relationship Id="rId27" Type="http://schemas.openxmlformats.org/officeDocument/2006/relationships/footer" Target="footer13.xml"/><Relationship Id="rId26" Type="http://schemas.openxmlformats.org/officeDocument/2006/relationships/footer" Target="footer12.xml"/><Relationship Id="rId25" Type="http://schemas.openxmlformats.org/officeDocument/2006/relationships/header" Target="header12.xml"/><Relationship Id="rId24" Type="http://schemas.openxmlformats.org/officeDocument/2006/relationships/header" Target="header11.xml"/><Relationship Id="rId23" Type="http://schemas.openxmlformats.org/officeDocument/2006/relationships/footer" Target="footer11.xml"/><Relationship Id="rId22" Type="http://schemas.openxmlformats.org/officeDocument/2006/relationships/footer" Target="footer10.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footer" Target="footer9.xml"/><Relationship Id="rId18" Type="http://schemas.openxmlformats.org/officeDocument/2006/relationships/footer" Target="footer8.xml"/><Relationship Id="rId17" Type="http://schemas.openxmlformats.org/officeDocument/2006/relationships/header" Target="header8.xml"/><Relationship Id="rId16" Type="http://schemas.openxmlformats.org/officeDocument/2006/relationships/header" Target="header7.xml"/><Relationship Id="rId15" Type="http://schemas.openxmlformats.org/officeDocument/2006/relationships/footer" Target="footer7.xml"/><Relationship Id="rId14" Type="http://schemas.openxmlformats.org/officeDocument/2006/relationships/footer" Target="footer6.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5C0F1E-588E-4294-BC6B-557906210F64}">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146</Pages>
  <Words>14187</Words>
  <Characters>15593</Characters>
  <Lines>704</Lines>
  <Paragraphs>198</Paragraphs>
  <TotalTime>7</TotalTime>
  <ScaleCrop>false</ScaleCrop>
  <LinksUpToDate>false</LinksUpToDate>
  <CharactersWithSpaces>15934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2021-07-30T08:22:00Z</dcterms:created>
  <dc:creator>北海市政府采购中心</dc:creator>
  <cp:lastModifiedBy>WPS_1526954301</cp:lastModifiedBy>
  <cp:lastPrinted>2026-05-29T07:09:00Z</cp:lastPrinted>
  <dcterms:modified xsi:type="dcterms:W3CDTF">2026-06-05T10:30:02Z</dcterms:modified>
  <dc:title>北海市政府采购中心</dc:title>
  <cp:revision>506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86BBCA169018484F9F49BB5ABEC5C768_13</vt:lpwstr>
  </property>
  <property fmtid="{D5CDD505-2E9C-101B-9397-08002B2CF9AE}" pid="5" name="KSOTemplateDocerSaveRecord">
    <vt:lpwstr>eyJoZGlkIjoiNmI4NjNjMzYzNDdlYmMzMDAxYjYwOTgwNGI5MjE1NjEiLCJ1c2VySWQiOiIzNzI1ODIwNjgifQ==</vt:lpwstr>
  </property>
</Properties>
</file>