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2109">
      <w:pPr>
        <w:adjustRightInd w:val="0"/>
        <w:spacing w:line="360" w:lineRule="auto"/>
        <w:jc w:val="center"/>
        <w:rPr>
          <w:rFonts w:ascii="宋体" w:hAnsi="宋体" w:cs="仿宋_GB2312"/>
          <w:b/>
          <w:color w:val="auto"/>
          <w:sz w:val="24"/>
        </w:rPr>
      </w:pPr>
    </w:p>
    <w:p w14:paraId="7B3EBC34">
      <w:pPr>
        <w:adjustRightInd w:val="0"/>
        <w:spacing w:line="360" w:lineRule="auto"/>
        <w:jc w:val="center"/>
        <w:rPr>
          <w:rFonts w:ascii="宋体" w:hAnsi="宋体" w:cs="仿宋_GB2312"/>
          <w:b/>
          <w:color w:val="auto"/>
          <w:sz w:val="24"/>
        </w:rPr>
      </w:pPr>
    </w:p>
    <w:p w14:paraId="20584E53">
      <w:pPr>
        <w:spacing w:line="360" w:lineRule="auto"/>
        <w:jc w:val="center"/>
        <w:rPr>
          <w:rFonts w:ascii="宋体" w:hAnsi="宋体" w:cs="仿宋_GB2312"/>
          <w:b/>
          <w:color w:val="auto"/>
          <w:sz w:val="44"/>
          <w:szCs w:val="44"/>
        </w:rPr>
      </w:pPr>
    </w:p>
    <w:p w14:paraId="0DEAE9FE">
      <w:pPr>
        <w:spacing w:line="360" w:lineRule="auto"/>
        <w:jc w:val="center"/>
        <w:rPr>
          <w:rFonts w:ascii="宋体" w:hAnsi="宋体" w:cs="仿宋_GB2312"/>
          <w:b/>
          <w:color w:val="auto"/>
          <w:sz w:val="44"/>
          <w:szCs w:val="44"/>
        </w:rPr>
      </w:pPr>
    </w:p>
    <w:p w14:paraId="799C54E8">
      <w:pPr>
        <w:spacing w:line="360" w:lineRule="auto"/>
        <w:jc w:val="center"/>
        <w:rPr>
          <w:rFonts w:ascii="宋体" w:hAnsi="宋体" w:cs="仿宋_GB2312"/>
          <w:b/>
          <w:color w:val="auto"/>
          <w:sz w:val="44"/>
          <w:szCs w:val="44"/>
        </w:rPr>
      </w:pPr>
    </w:p>
    <w:p w14:paraId="55C15267">
      <w:pPr>
        <w:spacing w:line="360" w:lineRule="auto"/>
        <w:jc w:val="center"/>
        <w:rPr>
          <w:rFonts w:hint="eastAsia" w:ascii="宋体" w:hAnsi="宋体" w:eastAsia="宋体" w:cs="仿宋_GB2312"/>
          <w:b/>
          <w:color w:val="auto"/>
          <w:sz w:val="36"/>
          <w:szCs w:val="36"/>
          <w:lang w:eastAsia="zh-CN"/>
        </w:rPr>
      </w:pPr>
      <w:r>
        <w:rPr>
          <w:rFonts w:hint="eastAsia" w:hAnsi="宋体" w:cs="宋体"/>
          <w:b/>
          <w:color w:val="auto"/>
          <w:sz w:val="36"/>
          <w:szCs w:val="36"/>
          <w:lang w:eastAsia="zh-CN"/>
        </w:rPr>
        <w:t>旺盛江水库第三溢洪道行洪区水毁修复工程（第三次）</w:t>
      </w:r>
    </w:p>
    <w:p w14:paraId="0F1E3D62">
      <w:pPr>
        <w:spacing w:line="360" w:lineRule="auto"/>
        <w:jc w:val="center"/>
        <w:rPr>
          <w:rFonts w:ascii="宋体" w:hAnsi="宋体" w:cs="仿宋_GB2312"/>
          <w:b/>
          <w:color w:val="auto"/>
          <w:sz w:val="72"/>
          <w:szCs w:val="72"/>
        </w:rPr>
      </w:pPr>
      <w:r>
        <w:rPr>
          <w:rFonts w:hint="eastAsia" w:ascii="宋体" w:hAnsi="宋体" w:cs="仿宋_GB2312"/>
          <w:b/>
          <w:bCs/>
          <w:color w:val="auto"/>
          <w:w w:val="95"/>
          <w:sz w:val="72"/>
          <w:szCs w:val="72"/>
          <w:lang w:val="zh-CN"/>
        </w:rPr>
        <w:t>竞争性磋商</w:t>
      </w:r>
      <w:r>
        <w:rPr>
          <w:rFonts w:hint="eastAsia" w:ascii="宋体" w:hAnsi="宋体" w:cs="仿宋_GB2312"/>
          <w:b/>
          <w:color w:val="auto"/>
          <w:sz w:val="72"/>
          <w:szCs w:val="72"/>
        </w:rPr>
        <w:t>文件</w:t>
      </w:r>
    </w:p>
    <w:p w14:paraId="049CFA26">
      <w:pPr>
        <w:spacing w:line="360" w:lineRule="auto"/>
        <w:jc w:val="center"/>
        <w:rPr>
          <w:rFonts w:ascii="宋体" w:hAnsi="宋体" w:cs="仿宋_GB2312"/>
          <w:b/>
          <w:color w:val="auto"/>
          <w:sz w:val="44"/>
          <w:szCs w:val="44"/>
        </w:rPr>
      </w:pPr>
      <w:r>
        <w:rPr>
          <w:rFonts w:hint="eastAsia" w:ascii="宋体" w:hAnsi="宋体" w:cs="仿宋_GB2312"/>
          <w:b/>
          <w:color w:val="auto"/>
          <w:sz w:val="44"/>
          <w:szCs w:val="44"/>
        </w:rPr>
        <w:t>（电子交易）</w:t>
      </w:r>
    </w:p>
    <w:p w14:paraId="1640C73F">
      <w:pPr>
        <w:adjustRightInd w:val="0"/>
        <w:snapToGrid w:val="0"/>
        <w:spacing w:line="360" w:lineRule="auto"/>
        <w:jc w:val="center"/>
        <w:rPr>
          <w:rFonts w:ascii="宋体" w:hAnsi="宋体" w:cs="仿宋_GB2312"/>
          <w:color w:val="auto"/>
          <w:sz w:val="30"/>
          <w:szCs w:val="30"/>
        </w:rPr>
      </w:pPr>
    </w:p>
    <w:p w14:paraId="14D152DE">
      <w:pPr>
        <w:adjustRightInd w:val="0"/>
        <w:snapToGrid w:val="0"/>
        <w:spacing w:line="360" w:lineRule="auto"/>
        <w:jc w:val="center"/>
        <w:rPr>
          <w:rFonts w:hint="eastAsia" w:ascii="宋体" w:hAnsi="宋体" w:eastAsia="宋体" w:cs="仿宋_GB2312"/>
          <w:color w:val="auto"/>
          <w:sz w:val="32"/>
          <w:szCs w:val="32"/>
          <w:lang w:eastAsia="zh-CN"/>
        </w:rPr>
      </w:pPr>
      <w:r>
        <w:rPr>
          <w:rFonts w:hint="eastAsia" w:ascii="宋体" w:hAnsi="宋体" w:cs="仿宋_GB2312"/>
          <w:color w:val="auto"/>
          <w:sz w:val="32"/>
          <w:szCs w:val="32"/>
        </w:rPr>
        <w:t>项目编号:</w:t>
      </w:r>
      <w:r>
        <w:rPr>
          <w:rFonts w:hint="eastAsia" w:ascii="宋体" w:hAnsi="宋体" w:cs="宋体"/>
          <w:color w:val="auto"/>
          <w:sz w:val="32"/>
          <w:szCs w:val="32"/>
          <w:lang w:eastAsia="zh-CN"/>
        </w:rPr>
        <w:t>BHZC2026-C2-990113-CGZX</w:t>
      </w:r>
    </w:p>
    <w:p w14:paraId="414607DB">
      <w:pPr>
        <w:spacing w:line="360" w:lineRule="auto"/>
        <w:rPr>
          <w:rFonts w:ascii="宋体" w:hAnsi="宋体" w:cs="仿宋_GB2312"/>
          <w:color w:val="auto"/>
          <w:sz w:val="28"/>
          <w:szCs w:val="20"/>
        </w:rPr>
      </w:pPr>
    </w:p>
    <w:p w14:paraId="1170DE1B">
      <w:pPr>
        <w:adjustRightInd w:val="0"/>
        <w:spacing w:line="360" w:lineRule="auto"/>
        <w:jc w:val="center"/>
        <w:rPr>
          <w:rFonts w:ascii="宋体" w:hAnsi="宋体" w:cs="仿宋_GB2312"/>
          <w:color w:val="auto"/>
          <w:sz w:val="24"/>
        </w:rPr>
      </w:pPr>
    </w:p>
    <w:p w14:paraId="0664E820">
      <w:pPr>
        <w:adjustRightInd w:val="0"/>
        <w:spacing w:line="360" w:lineRule="auto"/>
        <w:jc w:val="center"/>
        <w:rPr>
          <w:rFonts w:ascii="宋体" w:hAnsi="宋体" w:cs="仿宋_GB2312"/>
          <w:color w:val="auto"/>
          <w:sz w:val="24"/>
        </w:rPr>
      </w:pPr>
    </w:p>
    <w:p w14:paraId="0D79A410">
      <w:pPr>
        <w:adjustRightInd w:val="0"/>
        <w:spacing w:line="360" w:lineRule="auto"/>
        <w:jc w:val="center"/>
        <w:rPr>
          <w:rFonts w:ascii="宋体" w:hAnsi="宋体" w:cs="仿宋_GB2312"/>
          <w:color w:val="auto"/>
          <w:sz w:val="24"/>
        </w:rPr>
      </w:pPr>
    </w:p>
    <w:p w14:paraId="4F4FDAC2">
      <w:pPr>
        <w:adjustRightInd w:val="0"/>
        <w:spacing w:line="360" w:lineRule="auto"/>
        <w:jc w:val="center"/>
        <w:rPr>
          <w:rFonts w:ascii="宋体" w:hAnsi="宋体" w:cs="仿宋_GB2312"/>
          <w:color w:val="auto"/>
          <w:sz w:val="24"/>
        </w:rPr>
      </w:pPr>
    </w:p>
    <w:p w14:paraId="1244F7CE">
      <w:pPr>
        <w:adjustRightInd w:val="0"/>
        <w:spacing w:line="360" w:lineRule="auto"/>
        <w:rPr>
          <w:rFonts w:ascii="宋体" w:hAnsi="宋体" w:cs="仿宋_GB2312"/>
          <w:b/>
          <w:color w:val="auto"/>
          <w:sz w:val="24"/>
        </w:rPr>
      </w:pPr>
      <w:r>
        <w:rPr>
          <w:rFonts w:hint="eastAsia" w:ascii="宋体" w:hAnsi="宋体" w:cs="仿宋_GB2312"/>
          <w:color w:val="auto"/>
          <w:sz w:val="24"/>
        </w:rPr>
        <w:t xml:space="preserve">                                      </w:t>
      </w:r>
    </w:p>
    <w:p w14:paraId="71E917C3">
      <w:pPr>
        <w:adjustRightInd w:val="0"/>
        <w:snapToGrid w:val="0"/>
        <w:spacing w:line="360" w:lineRule="auto"/>
        <w:jc w:val="center"/>
        <w:rPr>
          <w:rFonts w:ascii="宋体" w:hAnsi="宋体" w:cs="仿宋_GB2312"/>
          <w:color w:val="auto"/>
          <w:sz w:val="32"/>
          <w:szCs w:val="32"/>
        </w:rPr>
      </w:pPr>
    </w:p>
    <w:p w14:paraId="390B5D39">
      <w:pPr>
        <w:adjustRightInd w:val="0"/>
        <w:spacing w:line="360" w:lineRule="auto"/>
        <w:jc w:val="center"/>
        <w:rPr>
          <w:rFonts w:ascii="宋体" w:hAnsi="宋体" w:cs="宋体"/>
          <w:color w:val="auto"/>
          <w:sz w:val="32"/>
          <w:szCs w:val="32"/>
        </w:rPr>
      </w:pPr>
      <w:r>
        <w:rPr>
          <w:rFonts w:hint="eastAsia" w:ascii="宋体" w:hAnsi="宋体" w:cs="宋体"/>
          <w:color w:val="auto"/>
          <w:sz w:val="32"/>
          <w:szCs w:val="32"/>
        </w:rPr>
        <w:t>采购单位：</w:t>
      </w:r>
      <w:r>
        <w:rPr>
          <w:rFonts w:hint="eastAsia" w:hAnsi="宋体" w:cs="宋体"/>
          <w:b/>
          <w:color w:val="auto"/>
          <w:sz w:val="32"/>
          <w:szCs w:val="32"/>
        </w:rPr>
        <w:t>北海市合浦水库工程管理中心</w:t>
      </w:r>
    </w:p>
    <w:p w14:paraId="78506A92">
      <w:pPr>
        <w:adjustRightInd w:val="0"/>
        <w:spacing w:line="360" w:lineRule="auto"/>
        <w:jc w:val="center"/>
        <w:rPr>
          <w:rFonts w:ascii="宋体" w:hAnsi="宋体" w:cs="仿宋_GB2312"/>
          <w:bCs/>
          <w:color w:val="auto"/>
          <w:sz w:val="32"/>
          <w:szCs w:val="32"/>
        </w:rPr>
      </w:pPr>
      <w:r>
        <w:rPr>
          <w:rFonts w:hint="eastAsia" w:ascii="宋体" w:hAnsi="宋体" w:cs="宋体"/>
          <w:bCs/>
          <w:color w:val="auto"/>
          <w:sz w:val="32"/>
          <w:szCs w:val="32"/>
        </w:rPr>
        <w:t>采购代理机构：</w:t>
      </w:r>
      <w:r>
        <w:rPr>
          <w:rFonts w:hint="eastAsia" w:hAnsi="宋体" w:cs="宋体"/>
          <w:b/>
          <w:color w:val="auto"/>
          <w:kern w:val="0"/>
          <w:sz w:val="32"/>
          <w:szCs w:val="32"/>
        </w:rPr>
        <w:t>北海市政府采购中心</w:t>
      </w:r>
    </w:p>
    <w:p w14:paraId="3A1F6CAF">
      <w:pPr>
        <w:pStyle w:val="22"/>
        <w:jc w:val="center"/>
        <w:rPr>
          <w:rFonts w:hint="eastAsia" w:hAnsi="宋体" w:eastAsia="宋体" w:cs="宋体"/>
          <w:color w:val="auto"/>
          <w:sz w:val="28"/>
          <w:szCs w:val="28"/>
          <w:lang w:eastAsia="zh-CN"/>
        </w:rPr>
      </w:pPr>
      <w:r>
        <w:rPr>
          <w:rFonts w:hint="eastAsia" w:hAnsi="宋体" w:cs="宋体"/>
          <w:b/>
          <w:color w:val="auto"/>
          <w:kern w:val="0"/>
          <w:sz w:val="28"/>
          <w:szCs w:val="28"/>
          <w:lang w:eastAsia="zh-CN"/>
        </w:rPr>
        <w:t>2026年5月28日</w:t>
      </w:r>
    </w:p>
    <w:p w14:paraId="7ACB446F">
      <w:pPr>
        <w:adjustRightInd w:val="0"/>
        <w:spacing w:line="360" w:lineRule="auto"/>
        <w:jc w:val="center"/>
        <w:rPr>
          <w:color w:val="auto"/>
          <w:sz w:val="32"/>
          <w:szCs w:val="32"/>
        </w:rPr>
      </w:pPr>
      <w:r>
        <w:rPr>
          <w:rFonts w:hint="eastAsia" w:ascii="宋体" w:hAnsi="宋体" w:cs="仿宋_GB2312"/>
          <w:color w:val="auto"/>
          <w:sz w:val="24"/>
        </w:rPr>
        <w:br w:type="page"/>
      </w:r>
      <w:bookmarkStart w:id="0" w:name="_Hlt67893495"/>
      <w:bookmarkEnd w:id="0"/>
    </w:p>
    <w:p w14:paraId="36521C79">
      <w:pPr>
        <w:pStyle w:val="22"/>
        <w:adjustRightInd w:val="0"/>
        <w:snapToGrid w:val="0"/>
        <w:spacing w:line="360" w:lineRule="auto"/>
        <w:ind w:firstLine="15"/>
        <w:jc w:val="center"/>
        <w:rPr>
          <w:color w:val="auto"/>
          <w:sz w:val="32"/>
          <w:szCs w:val="32"/>
        </w:rPr>
      </w:pPr>
    </w:p>
    <w:p w14:paraId="7088B710">
      <w:pPr>
        <w:pStyle w:val="22"/>
        <w:adjustRightInd w:val="0"/>
        <w:snapToGrid w:val="0"/>
        <w:spacing w:line="360" w:lineRule="auto"/>
        <w:rPr>
          <w:color w:val="auto"/>
          <w:sz w:val="32"/>
          <w:szCs w:val="32"/>
        </w:rPr>
      </w:pPr>
    </w:p>
    <w:p w14:paraId="4D85912F">
      <w:pPr>
        <w:spacing w:line="800" w:lineRule="exact"/>
        <w:jc w:val="center"/>
        <w:rPr>
          <w:rFonts w:ascii="黑体" w:hAnsi="Courier New" w:eastAsia="黑体" w:cs="Courier New"/>
          <w:color w:val="auto"/>
          <w:sz w:val="48"/>
          <w:szCs w:val="48"/>
        </w:rPr>
      </w:pPr>
      <w:r>
        <w:rPr>
          <w:rFonts w:hint="eastAsia" w:ascii="黑体" w:hAnsi="Courier New" w:eastAsia="黑体" w:cs="Courier New"/>
          <w:color w:val="auto"/>
          <w:sz w:val="48"/>
          <w:szCs w:val="48"/>
        </w:rPr>
        <w:t>目   录</w:t>
      </w:r>
    </w:p>
    <w:p w14:paraId="62092700">
      <w:pPr>
        <w:spacing w:line="560" w:lineRule="exact"/>
        <w:ind w:left="1" w:firstLine="2"/>
        <w:rPr>
          <w:rFonts w:ascii="宋体" w:hAnsi="宋体" w:cs="Courier New"/>
          <w:b/>
          <w:color w:val="auto"/>
          <w:spacing w:val="4"/>
          <w:sz w:val="32"/>
        </w:rPr>
      </w:pPr>
    </w:p>
    <w:p w14:paraId="22C26714">
      <w:pPr>
        <w:spacing w:line="400" w:lineRule="exact"/>
        <w:jc w:val="center"/>
        <w:rPr>
          <w:rFonts w:ascii="仿宋_GB2312" w:hAnsi="宋体" w:eastAsia="仿宋_GB2312"/>
          <w:b/>
          <w:color w:val="auto"/>
          <w:sz w:val="32"/>
          <w:szCs w:val="32"/>
        </w:rPr>
      </w:pPr>
    </w:p>
    <w:p w14:paraId="1B9A1622">
      <w:pPr>
        <w:spacing w:line="400" w:lineRule="exact"/>
        <w:rPr>
          <w:rFonts w:ascii="仿宋_GB2312" w:hAnsi="宋体" w:eastAsia="仿宋_GB2312"/>
          <w:b/>
          <w:color w:val="auto"/>
          <w:sz w:val="32"/>
          <w:szCs w:val="32"/>
        </w:rPr>
      </w:pPr>
    </w:p>
    <w:p w14:paraId="5B2091DE">
      <w:pPr>
        <w:pStyle w:val="28"/>
        <w:tabs>
          <w:tab w:val="right" w:leader="dot" w:pos="9288"/>
        </w:tabs>
        <w:spacing w:line="360" w:lineRule="auto"/>
        <w:rPr>
          <w:rFonts w:ascii="宋体" w:hAnsi="宋体"/>
          <w:color w:val="auto"/>
          <w:sz w:val="32"/>
          <w:szCs w:val="32"/>
        </w:rPr>
      </w:pPr>
      <w:r>
        <w:rPr>
          <w:rFonts w:ascii="宋体" w:hAnsi="宋体" w:cs="Courier New"/>
          <w:bCs/>
          <w:color w:val="auto"/>
          <w:spacing w:val="4"/>
          <w:sz w:val="32"/>
          <w:szCs w:val="32"/>
        </w:rPr>
        <w:fldChar w:fldCharType="begin"/>
      </w:r>
      <w:r>
        <w:rPr>
          <w:rFonts w:ascii="宋体" w:hAnsi="宋体" w:cs="Courier New"/>
          <w:bCs/>
          <w:color w:val="auto"/>
          <w:spacing w:val="4"/>
          <w:sz w:val="32"/>
          <w:szCs w:val="32"/>
        </w:rPr>
        <w:instrText xml:space="preserve"> </w:instrText>
      </w:r>
      <w:r>
        <w:rPr>
          <w:rFonts w:hint="eastAsia" w:ascii="宋体" w:hAnsi="宋体" w:cs="Courier New"/>
          <w:bCs/>
          <w:color w:val="auto"/>
          <w:spacing w:val="4"/>
          <w:sz w:val="32"/>
          <w:szCs w:val="32"/>
        </w:rPr>
        <w:instrText xml:space="preserve">TOC \o "1-2" \h \z \u</w:instrText>
      </w:r>
      <w:r>
        <w:rPr>
          <w:rFonts w:ascii="宋体" w:hAnsi="宋体" w:cs="Courier New"/>
          <w:bCs/>
          <w:color w:val="auto"/>
          <w:spacing w:val="4"/>
          <w:sz w:val="32"/>
          <w:szCs w:val="32"/>
        </w:rPr>
        <w:instrText xml:space="preserve"> </w:instrText>
      </w:r>
      <w:r>
        <w:rPr>
          <w:rFonts w:ascii="宋体" w:hAnsi="宋体" w:cs="Courier New"/>
          <w:bCs/>
          <w:color w:val="auto"/>
          <w:spacing w:val="4"/>
          <w:sz w:val="32"/>
          <w:szCs w:val="32"/>
        </w:rPr>
        <w:fldChar w:fldCharType="separate"/>
      </w:r>
      <w:r>
        <w:rPr>
          <w:color w:val="auto"/>
        </w:rPr>
        <w:fldChar w:fldCharType="begin"/>
      </w:r>
      <w:r>
        <w:rPr>
          <w:color w:val="auto"/>
        </w:rPr>
        <w:instrText xml:space="preserve"> HYPERLINK \l "_Toc176861406" </w:instrText>
      </w:r>
      <w:r>
        <w:rPr>
          <w:color w:val="auto"/>
        </w:rPr>
        <w:fldChar w:fldCharType="separate"/>
      </w:r>
      <w:r>
        <w:rPr>
          <w:rStyle w:val="42"/>
          <w:rFonts w:hint="eastAsia" w:ascii="宋体" w:hAnsi="宋体"/>
          <w:color w:val="auto"/>
          <w:sz w:val="32"/>
          <w:szCs w:val="32"/>
        </w:rPr>
        <w:t>第一章</w:t>
      </w:r>
      <w:r>
        <w:rPr>
          <w:rStyle w:val="42"/>
          <w:rFonts w:ascii="宋体" w:hAnsi="宋体"/>
          <w:color w:val="auto"/>
          <w:sz w:val="32"/>
          <w:szCs w:val="32"/>
        </w:rPr>
        <w:t xml:space="preserve">  </w:t>
      </w:r>
      <w:r>
        <w:rPr>
          <w:rStyle w:val="42"/>
          <w:rFonts w:hint="eastAsia" w:ascii="宋体" w:hAnsi="宋体"/>
          <w:color w:val="auto"/>
          <w:sz w:val="32"/>
          <w:szCs w:val="32"/>
        </w:rPr>
        <w:t>竞争性磋商公告</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_Toc176861406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14:paraId="7E9F4920">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"_Toc176861407" </w:instrText>
      </w:r>
      <w:r>
        <w:rPr>
          <w:color w:val="auto"/>
        </w:rPr>
        <w:fldChar w:fldCharType="separate"/>
      </w:r>
      <w:r>
        <w:rPr>
          <w:rStyle w:val="42"/>
          <w:rFonts w:hint="eastAsia" w:ascii="宋体" w:hAnsi="宋体"/>
          <w:color w:val="auto"/>
          <w:sz w:val="32"/>
          <w:szCs w:val="32"/>
        </w:rPr>
        <w:t>第二章</w:t>
      </w:r>
      <w:r>
        <w:rPr>
          <w:rStyle w:val="42"/>
          <w:rFonts w:ascii="宋体" w:hAnsi="宋体"/>
          <w:color w:val="auto"/>
          <w:sz w:val="32"/>
          <w:szCs w:val="32"/>
        </w:rPr>
        <w:t xml:space="preserve">  </w:t>
      </w:r>
      <w:r>
        <w:rPr>
          <w:rStyle w:val="42"/>
          <w:rFonts w:hint="eastAsia" w:ascii="宋体" w:hAnsi="宋体"/>
          <w:color w:val="auto"/>
          <w:sz w:val="32"/>
          <w:szCs w:val="32"/>
        </w:rPr>
        <w:t>磋商供应商须知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_Toc176861407 \h </w:instrText>
      </w:r>
      <w:r>
        <w:rPr>
          <w:rFonts w:ascii="宋体" w:hAnsi="宋体"/>
          <w:color w:val="auto"/>
          <w:sz w:val="32"/>
          <w:szCs w:val="32"/>
        </w:rPr>
        <w:fldChar w:fldCharType="separate"/>
      </w:r>
      <w:r>
        <w:rPr>
          <w:rFonts w:ascii="宋体" w:hAnsi="宋体"/>
          <w:color w:val="auto"/>
          <w:sz w:val="32"/>
          <w:szCs w:val="32"/>
        </w:rPr>
        <w:t>8</w:t>
      </w:r>
      <w:r>
        <w:rPr>
          <w:rFonts w:ascii="宋体" w:hAnsi="宋体"/>
          <w:color w:val="auto"/>
          <w:sz w:val="32"/>
          <w:szCs w:val="32"/>
        </w:rPr>
        <w:fldChar w:fldCharType="end"/>
      </w:r>
      <w:r>
        <w:rPr>
          <w:rFonts w:ascii="宋体" w:hAnsi="宋体"/>
          <w:color w:val="auto"/>
          <w:sz w:val="32"/>
          <w:szCs w:val="32"/>
        </w:rPr>
        <w:fldChar w:fldCharType="end"/>
      </w:r>
    </w:p>
    <w:p w14:paraId="072983EA">
      <w:pPr>
        <w:pStyle w:val="28"/>
        <w:tabs>
          <w:tab w:val="right" w:leader="dot" w:pos="9288"/>
        </w:tabs>
        <w:spacing w:line="360" w:lineRule="auto"/>
        <w:rPr>
          <w:rFonts w:hint="eastAsia" w:ascii="宋体" w:hAnsi="宋体" w:eastAsia="宋体"/>
          <w:color w:val="auto"/>
          <w:sz w:val="32"/>
          <w:szCs w:val="32"/>
          <w:lang w:val="en-US" w:eastAsia="zh-CN"/>
        </w:rPr>
      </w:pPr>
      <w:r>
        <w:rPr>
          <w:color w:val="auto"/>
        </w:rPr>
        <w:fldChar w:fldCharType="begin"/>
      </w:r>
      <w:r>
        <w:rPr>
          <w:color w:val="auto"/>
        </w:rPr>
        <w:instrText xml:space="preserve"> HYPERLINK \l "_Toc176861408" </w:instrText>
      </w:r>
      <w:r>
        <w:rPr>
          <w:color w:val="auto"/>
        </w:rPr>
        <w:fldChar w:fldCharType="separate"/>
      </w:r>
      <w:r>
        <w:rPr>
          <w:rStyle w:val="42"/>
          <w:rFonts w:hint="eastAsia" w:ascii="宋体" w:hAnsi="宋体"/>
          <w:color w:val="auto"/>
          <w:sz w:val="32"/>
          <w:szCs w:val="32"/>
        </w:rPr>
        <w:t>第三章</w:t>
      </w:r>
      <w:r>
        <w:rPr>
          <w:rStyle w:val="42"/>
          <w:rFonts w:ascii="宋体" w:hAnsi="宋体"/>
          <w:color w:val="auto"/>
          <w:sz w:val="32"/>
          <w:szCs w:val="32"/>
        </w:rPr>
        <w:t xml:space="preserve">  </w:t>
      </w:r>
      <w:r>
        <w:rPr>
          <w:rStyle w:val="42"/>
          <w:rFonts w:hint="eastAsia" w:ascii="宋体" w:hAnsi="宋体"/>
          <w:color w:val="auto"/>
          <w:sz w:val="32"/>
          <w:szCs w:val="32"/>
        </w:rPr>
        <w:t>竞争性磋商响应文件格式</w:t>
      </w:r>
      <w:r>
        <w:rPr>
          <w:rFonts w:ascii="宋体" w:hAnsi="宋体"/>
          <w:color w:val="auto"/>
          <w:sz w:val="32"/>
          <w:szCs w:val="32"/>
        </w:rPr>
        <w:tab/>
      </w:r>
      <w:r>
        <w:rPr>
          <w:rFonts w:hint="eastAsia" w:ascii="宋体" w:hAnsi="宋体"/>
          <w:color w:val="auto"/>
          <w:sz w:val="32"/>
          <w:szCs w:val="32"/>
          <w:lang w:val="en-US" w:eastAsia="zh-CN"/>
        </w:rPr>
        <w:t>3</w:t>
      </w:r>
      <w:r>
        <w:rPr>
          <w:rFonts w:ascii="宋体" w:hAnsi="宋体"/>
          <w:color w:val="auto"/>
          <w:sz w:val="32"/>
          <w:szCs w:val="32"/>
        </w:rPr>
        <w:fldChar w:fldCharType="end"/>
      </w:r>
      <w:r>
        <w:rPr>
          <w:rFonts w:hint="eastAsia" w:ascii="宋体" w:hAnsi="宋体"/>
          <w:color w:val="auto"/>
          <w:sz w:val="32"/>
          <w:szCs w:val="32"/>
          <w:lang w:val="en-US" w:eastAsia="zh-CN"/>
        </w:rPr>
        <w:t>4</w:t>
      </w:r>
    </w:p>
    <w:p w14:paraId="095B3F56">
      <w:pPr>
        <w:pStyle w:val="28"/>
        <w:tabs>
          <w:tab w:val="right" w:leader="dot" w:pos="9288"/>
        </w:tabs>
        <w:spacing w:line="360" w:lineRule="auto"/>
        <w:rPr>
          <w:rFonts w:hint="default" w:ascii="宋体" w:hAnsi="宋体" w:eastAsia="宋体"/>
          <w:color w:val="auto"/>
          <w:sz w:val="32"/>
          <w:szCs w:val="32"/>
          <w:lang w:val="en-US" w:eastAsia="zh-CN"/>
        </w:rPr>
      </w:pPr>
      <w:r>
        <w:rPr>
          <w:color w:val="auto"/>
        </w:rPr>
        <w:fldChar w:fldCharType="begin"/>
      </w:r>
      <w:r>
        <w:rPr>
          <w:color w:val="auto"/>
        </w:rPr>
        <w:instrText xml:space="preserve"> HYPERLINK \l "_Toc176861409" </w:instrText>
      </w:r>
      <w:r>
        <w:rPr>
          <w:color w:val="auto"/>
        </w:rPr>
        <w:fldChar w:fldCharType="separate"/>
      </w:r>
      <w:r>
        <w:rPr>
          <w:rStyle w:val="42"/>
          <w:rFonts w:hint="eastAsia" w:ascii="宋体" w:hAnsi="宋体"/>
          <w:color w:val="auto"/>
          <w:sz w:val="32"/>
          <w:szCs w:val="32"/>
        </w:rPr>
        <w:t>第四章</w:t>
      </w:r>
      <w:r>
        <w:rPr>
          <w:rStyle w:val="42"/>
          <w:rFonts w:ascii="宋体" w:hAnsi="宋体"/>
          <w:color w:val="auto"/>
          <w:sz w:val="32"/>
          <w:szCs w:val="32"/>
        </w:rPr>
        <w:t xml:space="preserve">  </w:t>
      </w:r>
      <w:r>
        <w:rPr>
          <w:rStyle w:val="42"/>
          <w:rFonts w:hint="eastAsia" w:ascii="宋体" w:hAnsi="宋体"/>
          <w:color w:val="auto"/>
          <w:sz w:val="32"/>
          <w:szCs w:val="32"/>
        </w:rPr>
        <w:t>采购项目需求</w:t>
      </w:r>
      <w:r>
        <w:rPr>
          <w:rFonts w:ascii="宋体" w:hAnsi="宋体"/>
          <w:color w:val="auto"/>
          <w:sz w:val="32"/>
          <w:szCs w:val="32"/>
        </w:rPr>
        <w:tab/>
      </w:r>
      <w:r>
        <w:rPr>
          <w:rFonts w:hint="eastAsia" w:ascii="宋体" w:hAnsi="宋体"/>
          <w:color w:val="auto"/>
          <w:sz w:val="32"/>
          <w:szCs w:val="32"/>
        </w:rPr>
        <w:fldChar w:fldCharType="end"/>
      </w:r>
      <w:r>
        <w:rPr>
          <w:rFonts w:hint="eastAsia" w:ascii="宋体" w:hAnsi="宋体"/>
          <w:color w:val="auto"/>
          <w:sz w:val="32"/>
          <w:szCs w:val="32"/>
          <w:lang w:val="en-US" w:eastAsia="zh-CN"/>
        </w:rPr>
        <w:t>66</w:t>
      </w:r>
    </w:p>
    <w:p w14:paraId="373E6E45">
      <w:pPr>
        <w:pStyle w:val="28"/>
        <w:tabs>
          <w:tab w:val="right" w:leader="dot" w:pos="9288"/>
        </w:tabs>
        <w:spacing w:line="360" w:lineRule="auto"/>
        <w:rPr>
          <w:rFonts w:hint="eastAsia" w:ascii="宋体" w:hAnsi="宋体" w:eastAsia="宋体"/>
          <w:color w:val="auto"/>
          <w:sz w:val="32"/>
          <w:szCs w:val="32"/>
          <w:lang w:val="en-US" w:eastAsia="zh-CN"/>
        </w:rPr>
      </w:pPr>
      <w:r>
        <w:rPr>
          <w:color w:val="auto"/>
        </w:rPr>
        <w:fldChar w:fldCharType="begin"/>
      </w:r>
      <w:r>
        <w:rPr>
          <w:color w:val="auto"/>
        </w:rPr>
        <w:instrText xml:space="preserve"> HYPERLINK \l "_Toc176861410" </w:instrText>
      </w:r>
      <w:r>
        <w:rPr>
          <w:color w:val="auto"/>
        </w:rPr>
        <w:fldChar w:fldCharType="separate"/>
      </w:r>
      <w:r>
        <w:rPr>
          <w:rStyle w:val="42"/>
          <w:rFonts w:hint="eastAsia" w:ascii="宋体" w:hAnsi="宋体"/>
          <w:color w:val="auto"/>
          <w:sz w:val="32"/>
          <w:szCs w:val="32"/>
        </w:rPr>
        <w:t>第五章</w:t>
      </w:r>
      <w:r>
        <w:rPr>
          <w:rStyle w:val="42"/>
          <w:rFonts w:ascii="宋体" w:hAnsi="宋体"/>
          <w:color w:val="auto"/>
          <w:sz w:val="32"/>
          <w:szCs w:val="32"/>
        </w:rPr>
        <w:t xml:space="preserve">  </w:t>
      </w:r>
      <w:r>
        <w:rPr>
          <w:rStyle w:val="42"/>
          <w:rFonts w:hint="eastAsia" w:ascii="宋体" w:hAnsi="宋体"/>
          <w:color w:val="auto"/>
          <w:sz w:val="32"/>
          <w:szCs w:val="32"/>
        </w:rPr>
        <w:t>工程量清单及图纸</w:t>
      </w:r>
      <w:r>
        <w:rPr>
          <w:rFonts w:ascii="宋体" w:hAnsi="宋体"/>
          <w:color w:val="auto"/>
          <w:sz w:val="32"/>
          <w:szCs w:val="32"/>
        </w:rPr>
        <w:tab/>
      </w:r>
      <w:r>
        <w:rPr>
          <w:rFonts w:hint="eastAsia" w:ascii="宋体" w:hAnsi="宋体"/>
          <w:color w:val="auto"/>
          <w:sz w:val="32"/>
          <w:szCs w:val="32"/>
        </w:rPr>
        <w:t>7</w:t>
      </w:r>
      <w:r>
        <w:rPr>
          <w:rFonts w:hint="eastAsia" w:ascii="宋体" w:hAnsi="宋体"/>
          <w:color w:val="auto"/>
          <w:sz w:val="32"/>
          <w:szCs w:val="32"/>
        </w:rPr>
        <w:fldChar w:fldCharType="end"/>
      </w:r>
      <w:r>
        <w:rPr>
          <w:rFonts w:hint="eastAsia" w:ascii="宋体" w:hAnsi="宋体"/>
          <w:color w:val="auto"/>
          <w:sz w:val="32"/>
          <w:szCs w:val="32"/>
          <w:lang w:val="en-US" w:eastAsia="zh-CN"/>
        </w:rPr>
        <w:t>0</w:t>
      </w:r>
    </w:p>
    <w:p w14:paraId="40E4ED1C">
      <w:pPr>
        <w:pStyle w:val="28"/>
        <w:tabs>
          <w:tab w:val="right" w:leader="dot" w:pos="9288"/>
        </w:tabs>
        <w:spacing w:line="360" w:lineRule="auto"/>
        <w:rPr>
          <w:rFonts w:hint="eastAsia" w:ascii="宋体" w:hAnsi="宋体" w:eastAsia="宋体"/>
          <w:color w:val="auto"/>
          <w:sz w:val="32"/>
          <w:szCs w:val="32"/>
          <w:lang w:val="en-US" w:eastAsia="zh-CN"/>
        </w:rPr>
      </w:pPr>
      <w:r>
        <w:rPr>
          <w:color w:val="auto"/>
        </w:rPr>
        <w:fldChar w:fldCharType="begin"/>
      </w:r>
      <w:r>
        <w:rPr>
          <w:color w:val="auto"/>
        </w:rPr>
        <w:instrText xml:space="preserve"> HYPERLINK \l "_Toc176861411" </w:instrText>
      </w:r>
      <w:r>
        <w:rPr>
          <w:color w:val="auto"/>
        </w:rPr>
        <w:fldChar w:fldCharType="separate"/>
      </w:r>
      <w:r>
        <w:rPr>
          <w:rStyle w:val="42"/>
          <w:rFonts w:hint="eastAsia" w:ascii="宋体" w:hAnsi="宋体"/>
          <w:color w:val="auto"/>
          <w:kern w:val="0"/>
          <w:sz w:val="32"/>
          <w:szCs w:val="32"/>
        </w:rPr>
        <w:t>第六章</w:t>
      </w:r>
      <w:r>
        <w:rPr>
          <w:rStyle w:val="42"/>
          <w:rFonts w:ascii="宋体" w:hAnsi="宋体"/>
          <w:color w:val="auto"/>
          <w:kern w:val="0"/>
          <w:sz w:val="32"/>
          <w:szCs w:val="32"/>
        </w:rPr>
        <w:t xml:space="preserve">  </w:t>
      </w:r>
      <w:r>
        <w:rPr>
          <w:rStyle w:val="42"/>
          <w:rFonts w:hint="eastAsia" w:ascii="宋体" w:hAnsi="宋体"/>
          <w:color w:val="auto"/>
          <w:kern w:val="0"/>
          <w:sz w:val="32"/>
          <w:szCs w:val="32"/>
        </w:rPr>
        <w:t>合同格式</w:t>
      </w:r>
      <w:r>
        <w:rPr>
          <w:rFonts w:ascii="宋体" w:hAnsi="宋体"/>
          <w:color w:val="auto"/>
          <w:sz w:val="32"/>
          <w:szCs w:val="32"/>
        </w:rPr>
        <w:tab/>
      </w:r>
      <w:r>
        <w:rPr>
          <w:rFonts w:hint="eastAsia" w:ascii="宋体" w:hAnsi="宋体"/>
          <w:color w:val="auto"/>
          <w:sz w:val="32"/>
          <w:szCs w:val="32"/>
          <w:lang w:val="en-US" w:eastAsia="zh-CN"/>
        </w:rPr>
        <w:t>7</w:t>
      </w:r>
      <w:r>
        <w:rPr>
          <w:rFonts w:ascii="宋体" w:hAnsi="宋体"/>
          <w:color w:val="auto"/>
          <w:sz w:val="32"/>
          <w:szCs w:val="32"/>
        </w:rPr>
        <w:fldChar w:fldCharType="end"/>
      </w:r>
      <w:r>
        <w:rPr>
          <w:rFonts w:hint="eastAsia" w:ascii="宋体" w:hAnsi="宋体"/>
          <w:color w:val="auto"/>
          <w:sz w:val="32"/>
          <w:szCs w:val="32"/>
          <w:lang w:val="en-US" w:eastAsia="zh-CN"/>
        </w:rPr>
        <w:t>1</w:t>
      </w:r>
    </w:p>
    <w:p w14:paraId="58FDF39E">
      <w:pPr>
        <w:pStyle w:val="28"/>
        <w:tabs>
          <w:tab w:val="right" w:leader="dot" w:pos="9288"/>
        </w:tabs>
        <w:spacing w:line="360" w:lineRule="auto"/>
        <w:rPr>
          <w:rFonts w:hint="eastAsia" w:ascii="宋体" w:hAnsi="宋体" w:eastAsia="宋体"/>
          <w:color w:val="auto"/>
          <w:sz w:val="32"/>
          <w:szCs w:val="32"/>
          <w:lang w:val="en-US" w:eastAsia="zh-CN"/>
        </w:rPr>
      </w:pPr>
      <w:r>
        <w:rPr>
          <w:color w:val="auto"/>
        </w:rPr>
        <w:fldChar w:fldCharType="begin"/>
      </w:r>
      <w:r>
        <w:rPr>
          <w:color w:val="auto"/>
        </w:rPr>
        <w:instrText xml:space="preserve"> HYPERLINK \l "_Toc176861412" </w:instrText>
      </w:r>
      <w:r>
        <w:rPr>
          <w:color w:val="auto"/>
        </w:rPr>
        <w:fldChar w:fldCharType="separate"/>
      </w:r>
      <w:r>
        <w:rPr>
          <w:rStyle w:val="42"/>
          <w:rFonts w:hint="eastAsia" w:ascii="宋体" w:hAnsi="宋体"/>
          <w:color w:val="auto"/>
          <w:kern w:val="0"/>
          <w:sz w:val="32"/>
          <w:szCs w:val="32"/>
        </w:rPr>
        <w:t>第七章</w:t>
      </w:r>
      <w:r>
        <w:rPr>
          <w:rStyle w:val="42"/>
          <w:rFonts w:ascii="宋体" w:hAnsi="宋体"/>
          <w:color w:val="auto"/>
          <w:kern w:val="0"/>
          <w:sz w:val="32"/>
          <w:szCs w:val="32"/>
        </w:rPr>
        <w:t xml:space="preserve">  </w:t>
      </w:r>
      <w:r>
        <w:rPr>
          <w:rStyle w:val="42"/>
          <w:rFonts w:hint="eastAsia" w:ascii="宋体" w:hAnsi="宋体"/>
          <w:color w:val="auto"/>
          <w:kern w:val="0"/>
          <w:sz w:val="32"/>
          <w:szCs w:val="32"/>
        </w:rPr>
        <w:t>评定标准</w:t>
      </w:r>
      <w:r>
        <w:rPr>
          <w:rFonts w:ascii="宋体" w:hAnsi="宋体"/>
          <w:color w:val="auto"/>
          <w:sz w:val="32"/>
          <w:szCs w:val="32"/>
        </w:rPr>
        <w:tab/>
      </w:r>
      <w:r>
        <w:rPr>
          <w:rFonts w:hint="eastAsia" w:ascii="宋体" w:hAnsi="宋体"/>
          <w:color w:val="auto"/>
          <w:sz w:val="32"/>
          <w:szCs w:val="32"/>
        </w:rPr>
        <w:t>1</w:t>
      </w:r>
      <w:r>
        <w:rPr>
          <w:rFonts w:hint="eastAsia" w:ascii="宋体" w:hAnsi="宋体"/>
          <w:color w:val="auto"/>
          <w:sz w:val="32"/>
          <w:szCs w:val="32"/>
        </w:rPr>
        <w:fldChar w:fldCharType="end"/>
      </w:r>
      <w:r>
        <w:rPr>
          <w:rFonts w:hint="eastAsia" w:ascii="宋体" w:hAnsi="宋体"/>
          <w:color w:val="auto"/>
          <w:sz w:val="32"/>
          <w:szCs w:val="32"/>
        </w:rPr>
        <w:t>2</w:t>
      </w:r>
      <w:r>
        <w:rPr>
          <w:rFonts w:hint="eastAsia" w:ascii="宋体" w:hAnsi="宋体"/>
          <w:color w:val="auto"/>
          <w:sz w:val="32"/>
          <w:szCs w:val="32"/>
          <w:lang w:val="en-US" w:eastAsia="zh-CN"/>
        </w:rPr>
        <w:t>4</w:t>
      </w:r>
    </w:p>
    <w:p w14:paraId="4B3DD0F3">
      <w:pPr>
        <w:spacing w:line="360" w:lineRule="auto"/>
        <w:jc w:val="center"/>
        <w:rPr>
          <w:rFonts w:ascii="仿宋_GB2312" w:hAnsi="宋体" w:eastAsia="仿宋_GB2312"/>
          <w:b/>
          <w:color w:val="auto"/>
          <w:sz w:val="32"/>
          <w:szCs w:val="32"/>
        </w:rPr>
      </w:pPr>
      <w:r>
        <w:rPr>
          <w:rFonts w:ascii="宋体" w:hAnsi="宋体" w:cs="Courier New"/>
          <w:bCs/>
          <w:color w:val="auto"/>
          <w:spacing w:val="4"/>
          <w:sz w:val="32"/>
          <w:szCs w:val="32"/>
        </w:rPr>
        <w:fldChar w:fldCharType="end"/>
      </w:r>
    </w:p>
    <w:p w14:paraId="0B9DD999">
      <w:pPr>
        <w:spacing w:line="400" w:lineRule="exact"/>
        <w:jc w:val="center"/>
        <w:rPr>
          <w:rFonts w:ascii="仿宋_GB2312" w:hAnsi="宋体" w:eastAsia="仿宋_GB2312"/>
          <w:b/>
          <w:color w:val="auto"/>
          <w:sz w:val="32"/>
          <w:szCs w:val="32"/>
        </w:rPr>
      </w:pPr>
    </w:p>
    <w:p w14:paraId="6143C054">
      <w:pPr>
        <w:spacing w:line="400" w:lineRule="exact"/>
        <w:jc w:val="center"/>
        <w:rPr>
          <w:rFonts w:ascii="仿宋_GB2312" w:hAnsi="宋体" w:eastAsia="仿宋_GB2312"/>
          <w:b/>
          <w:color w:val="auto"/>
          <w:sz w:val="32"/>
          <w:szCs w:val="32"/>
        </w:rPr>
      </w:pPr>
    </w:p>
    <w:p w14:paraId="72CF2084">
      <w:pPr>
        <w:spacing w:line="400" w:lineRule="exact"/>
        <w:jc w:val="center"/>
        <w:rPr>
          <w:rFonts w:ascii="仿宋_GB2312" w:hAnsi="宋体" w:eastAsia="仿宋_GB2312"/>
          <w:b/>
          <w:color w:val="auto"/>
          <w:sz w:val="32"/>
          <w:szCs w:val="32"/>
        </w:rPr>
      </w:pPr>
    </w:p>
    <w:p w14:paraId="10310BF2">
      <w:pPr>
        <w:spacing w:line="400" w:lineRule="exact"/>
        <w:jc w:val="center"/>
        <w:rPr>
          <w:rFonts w:ascii="仿宋_GB2312" w:hAnsi="宋体" w:eastAsia="仿宋_GB2312"/>
          <w:b/>
          <w:color w:val="auto"/>
          <w:sz w:val="32"/>
          <w:szCs w:val="32"/>
        </w:rPr>
      </w:pPr>
    </w:p>
    <w:p w14:paraId="1BB642B5">
      <w:pPr>
        <w:spacing w:line="400" w:lineRule="exact"/>
        <w:jc w:val="center"/>
        <w:rPr>
          <w:rFonts w:ascii="仿宋_GB2312" w:hAnsi="宋体" w:eastAsia="仿宋_GB2312"/>
          <w:b/>
          <w:color w:val="auto"/>
          <w:sz w:val="32"/>
          <w:szCs w:val="32"/>
        </w:rPr>
      </w:pPr>
    </w:p>
    <w:p w14:paraId="66730B76">
      <w:pPr>
        <w:spacing w:line="400" w:lineRule="exact"/>
        <w:jc w:val="center"/>
        <w:rPr>
          <w:rFonts w:ascii="仿宋_GB2312" w:hAnsi="宋体" w:eastAsia="仿宋_GB2312"/>
          <w:b/>
          <w:color w:val="auto"/>
          <w:sz w:val="32"/>
          <w:szCs w:val="32"/>
        </w:rPr>
      </w:pPr>
    </w:p>
    <w:p w14:paraId="18FD8E32">
      <w:pPr>
        <w:spacing w:line="400" w:lineRule="exact"/>
        <w:jc w:val="center"/>
        <w:rPr>
          <w:rFonts w:ascii="仿宋_GB2312" w:hAnsi="宋体" w:eastAsia="仿宋_GB2312"/>
          <w:b/>
          <w:color w:val="auto"/>
          <w:sz w:val="32"/>
          <w:szCs w:val="32"/>
        </w:rPr>
      </w:pPr>
    </w:p>
    <w:p w14:paraId="1F31EEB6">
      <w:pPr>
        <w:spacing w:line="400" w:lineRule="exact"/>
        <w:jc w:val="center"/>
        <w:rPr>
          <w:rFonts w:ascii="仿宋_GB2312" w:hAnsi="宋体" w:eastAsia="仿宋_GB2312"/>
          <w:b/>
          <w:color w:val="auto"/>
          <w:sz w:val="32"/>
          <w:szCs w:val="32"/>
        </w:rPr>
      </w:pPr>
    </w:p>
    <w:p w14:paraId="5EA95380">
      <w:pPr>
        <w:spacing w:line="400" w:lineRule="exact"/>
        <w:jc w:val="center"/>
        <w:rPr>
          <w:rFonts w:ascii="仿宋_GB2312" w:hAnsi="宋体" w:eastAsia="仿宋_GB2312"/>
          <w:b/>
          <w:color w:val="auto"/>
          <w:sz w:val="32"/>
          <w:szCs w:val="32"/>
        </w:rPr>
      </w:pPr>
    </w:p>
    <w:p w14:paraId="538C811D">
      <w:pPr>
        <w:spacing w:line="400" w:lineRule="exact"/>
        <w:rPr>
          <w:rFonts w:ascii="仿宋_GB2312" w:hAnsi="宋体" w:eastAsia="仿宋_GB2312"/>
          <w:b/>
          <w:color w:val="auto"/>
          <w:sz w:val="32"/>
          <w:szCs w:val="32"/>
        </w:rPr>
      </w:pPr>
    </w:p>
    <w:p w14:paraId="0A4CE559">
      <w:pPr>
        <w:spacing w:line="400" w:lineRule="exact"/>
        <w:rPr>
          <w:rFonts w:ascii="仿宋_GB2312" w:hAnsi="宋体" w:eastAsia="仿宋_GB2312"/>
          <w:b/>
          <w:color w:val="auto"/>
          <w:sz w:val="32"/>
          <w:szCs w:val="32"/>
        </w:rPr>
        <w:sectPr>
          <w:headerReference r:id="rId4" w:type="first"/>
          <w:footerReference r:id="rId6" w:type="first"/>
          <w:headerReference r:id="rId3" w:type="default"/>
          <w:footerReference r:id="rId5" w:type="default"/>
          <w:pgSz w:w="11906" w:h="16838"/>
          <w:pgMar w:top="1474" w:right="1304" w:bottom="1134" w:left="1304" w:header="851" w:footer="992" w:gutter="0"/>
          <w:pgNumType w:start="1"/>
          <w:cols w:space="720" w:num="1"/>
          <w:docGrid w:type="lines" w:linePitch="312" w:charSpace="0"/>
        </w:sectPr>
      </w:pPr>
    </w:p>
    <w:p w14:paraId="3EC6E43A">
      <w:pPr>
        <w:pStyle w:val="18"/>
        <w:rPr>
          <w:color w:val="auto"/>
        </w:rPr>
      </w:pPr>
    </w:p>
    <w:p w14:paraId="48FAF3D6">
      <w:pPr>
        <w:spacing w:line="400" w:lineRule="exact"/>
        <w:rPr>
          <w:rFonts w:ascii="仿宋_GB2312" w:hAnsi="宋体" w:eastAsia="仿宋_GB2312"/>
          <w:b/>
          <w:color w:val="auto"/>
          <w:sz w:val="32"/>
          <w:szCs w:val="32"/>
        </w:rPr>
      </w:pPr>
    </w:p>
    <w:p w14:paraId="1E31C2BA">
      <w:pPr>
        <w:spacing w:line="400" w:lineRule="exact"/>
        <w:rPr>
          <w:rFonts w:ascii="仿宋_GB2312" w:hAnsi="宋体" w:eastAsia="仿宋_GB2312"/>
          <w:b/>
          <w:color w:val="auto"/>
          <w:sz w:val="32"/>
          <w:szCs w:val="32"/>
        </w:rPr>
      </w:pPr>
    </w:p>
    <w:p w14:paraId="319B7CC4">
      <w:pPr>
        <w:spacing w:line="400" w:lineRule="exact"/>
        <w:rPr>
          <w:rFonts w:ascii="仿宋_GB2312" w:hAnsi="宋体" w:eastAsia="仿宋_GB2312"/>
          <w:b/>
          <w:color w:val="auto"/>
          <w:sz w:val="32"/>
          <w:szCs w:val="32"/>
        </w:rPr>
      </w:pPr>
    </w:p>
    <w:p w14:paraId="245B6F2D">
      <w:pPr>
        <w:spacing w:line="400" w:lineRule="exact"/>
        <w:rPr>
          <w:rFonts w:ascii="仿宋_GB2312" w:hAnsi="宋体" w:eastAsia="仿宋_GB2312"/>
          <w:b/>
          <w:color w:val="auto"/>
          <w:sz w:val="32"/>
          <w:szCs w:val="32"/>
        </w:rPr>
      </w:pPr>
    </w:p>
    <w:p w14:paraId="4339707D">
      <w:pPr>
        <w:spacing w:line="400" w:lineRule="exact"/>
        <w:jc w:val="center"/>
        <w:rPr>
          <w:rFonts w:ascii="黑体" w:hAnsi="宋体" w:eastAsia="黑体"/>
          <w:b/>
          <w:color w:val="auto"/>
          <w:sz w:val="32"/>
          <w:szCs w:val="32"/>
        </w:rPr>
      </w:pPr>
    </w:p>
    <w:p w14:paraId="6C77497A">
      <w:pPr>
        <w:spacing w:line="400" w:lineRule="exact"/>
        <w:jc w:val="center"/>
        <w:rPr>
          <w:rFonts w:ascii="黑体" w:hAnsi="宋体" w:eastAsia="黑体"/>
          <w:b/>
          <w:color w:val="auto"/>
          <w:sz w:val="32"/>
          <w:szCs w:val="32"/>
        </w:rPr>
      </w:pPr>
    </w:p>
    <w:p w14:paraId="65234E39">
      <w:pPr>
        <w:spacing w:line="400" w:lineRule="exact"/>
        <w:jc w:val="center"/>
        <w:rPr>
          <w:rFonts w:ascii="黑体" w:hAnsi="宋体" w:eastAsia="黑体"/>
          <w:b/>
          <w:color w:val="auto"/>
          <w:sz w:val="32"/>
          <w:szCs w:val="32"/>
        </w:rPr>
      </w:pPr>
    </w:p>
    <w:p w14:paraId="183A0CF8">
      <w:pPr>
        <w:spacing w:line="400" w:lineRule="exact"/>
        <w:jc w:val="center"/>
        <w:rPr>
          <w:rFonts w:ascii="黑体" w:hAnsi="宋体" w:eastAsia="黑体"/>
          <w:b/>
          <w:color w:val="auto"/>
          <w:sz w:val="32"/>
          <w:szCs w:val="32"/>
        </w:rPr>
      </w:pPr>
    </w:p>
    <w:p w14:paraId="3D2DAE48">
      <w:pPr>
        <w:pStyle w:val="18"/>
        <w:rPr>
          <w:color w:val="auto"/>
        </w:rPr>
      </w:pPr>
    </w:p>
    <w:p w14:paraId="1F74A1A5">
      <w:pPr>
        <w:spacing w:line="400" w:lineRule="exact"/>
        <w:jc w:val="center"/>
        <w:rPr>
          <w:rFonts w:ascii="黑体" w:hAnsi="宋体" w:eastAsia="黑体"/>
          <w:b/>
          <w:color w:val="auto"/>
          <w:sz w:val="32"/>
          <w:szCs w:val="32"/>
        </w:rPr>
      </w:pPr>
    </w:p>
    <w:p w14:paraId="4DC3F3B7">
      <w:pPr>
        <w:spacing w:line="400" w:lineRule="exact"/>
        <w:jc w:val="center"/>
        <w:rPr>
          <w:rFonts w:ascii="黑体" w:hAnsi="宋体" w:eastAsia="黑体"/>
          <w:b/>
          <w:color w:val="auto"/>
          <w:sz w:val="32"/>
          <w:szCs w:val="32"/>
        </w:rPr>
      </w:pPr>
    </w:p>
    <w:p w14:paraId="705CDA9C">
      <w:pPr>
        <w:spacing w:line="400" w:lineRule="exact"/>
        <w:jc w:val="center"/>
        <w:rPr>
          <w:rFonts w:ascii="黑体" w:hAnsi="宋体" w:eastAsia="黑体"/>
          <w:b/>
          <w:color w:val="auto"/>
          <w:sz w:val="32"/>
          <w:szCs w:val="32"/>
        </w:rPr>
      </w:pPr>
    </w:p>
    <w:p w14:paraId="7555EF45">
      <w:pPr>
        <w:spacing w:line="600" w:lineRule="exact"/>
        <w:jc w:val="center"/>
        <w:outlineLvl w:val="0"/>
        <w:rPr>
          <w:rFonts w:ascii="宋体" w:hAnsi="宋体"/>
          <w:b/>
          <w:color w:val="auto"/>
          <w:sz w:val="44"/>
          <w:szCs w:val="44"/>
        </w:rPr>
      </w:pPr>
      <w:bookmarkStart w:id="1" w:name="_Toc23639"/>
      <w:bookmarkStart w:id="2" w:name="_Toc3994503"/>
      <w:bookmarkStart w:id="3" w:name="_Toc176861406"/>
      <w:r>
        <w:rPr>
          <w:rFonts w:hint="eastAsia" w:ascii="宋体" w:hAnsi="宋体"/>
          <w:b/>
          <w:color w:val="auto"/>
          <w:sz w:val="44"/>
          <w:szCs w:val="44"/>
        </w:rPr>
        <w:t>第一章  竞争性磋商公告</w:t>
      </w:r>
      <w:bookmarkEnd w:id="1"/>
      <w:bookmarkEnd w:id="2"/>
      <w:bookmarkEnd w:id="3"/>
    </w:p>
    <w:p w14:paraId="376E500D">
      <w:pPr>
        <w:spacing w:line="400" w:lineRule="exact"/>
        <w:jc w:val="center"/>
        <w:rPr>
          <w:rFonts w:ascii="黑体" w:hAnsi="宋体" w:eastAsia="黑体"/>
          <w:b/>
          <w:color w:val="auto"/>
          <w:sz w:val="32"/>
          <w:szCs w:val="32"/>
        </w:rPr>
      </w:pPr>
    </w:p>
    <w:p w14:paraId="2CB2E192">
      <w:pPr>
        <w:spacing w:line="400" w:lineRule="exact"/>
        <w:jc w:val="center"/>
        <w:rPr>
          <w:rFonts w:ascii="黑体" w:hAnsi="宋体" w:eastAsia="黑体"/>
          <w:b/>
          <w:color w:val="auto"/>
          <w:sz w:val="32"/>
          <w:szCs w:val="32"/>
        </w:rPr>
      </w:pPr>
    </w:p>
    <w:p w14:paraId="6D9A7030">
      <w:pPr>
        <w:spacing w:line="400" w:lineRule="exact"/>
        <w:jc w:val="center"/>
        <w:rPr>
          <w:rFonts w:ascii="黑体" w:hAnsi="宋体" w:eastAsia="黑体"/>
          <w:b/>
          <w:color w:val="auto"/>
          <w:sz w:val="32"/>
          <w:szCs w:val="32"/>
        </w:rPr>
      </w:pPr>
    </w:p>
    <w:p w14:paraId="222673FD">
      <w:pPr>
        <w:spacing w:line="400" w:lineRule="exact"/>
        <w:jc w:val="center"/>
        <w:rPr>
          <w:rFonts w:ascii="黑体" w:hAnsi="宋体" w:eastAsia="黑体"/>
          <w:b/>
          <w:color w:val="auto"/>
          <w:sz w:val="32"/>
          <w:szCs w:val="32"/>
        </w:rPr>
      </w:pPr>
    </w:p>
    <w:p w14:paraId="095B8574">
      <w:pPr>
        <w:spacing w:line="400" w:lineRule="exact"/>
        <w:jc w:val="center"/>
        <w:rPr>
          <w:rFonts w:ascii="黑体" w:hAnsi="宋体" w:eastAsia="黑体"/>
          <w:b/>
          <w:color w:val="auto"/>
          <w:sz w:val="32"/>
          <w:szCs w:val="32"/>
        </w:rPr>
      </w:pPr>
    </w:p>
    <w:p w14:paraId="13CA59A2">
      <w:pPr>
        <w:spacing w:line="400" w:lineRule="exact"/>
        <w:jc w:val="center"/>
        <w:rPr>
          <w:rFonts w:ascii="黑体" w:hAnsi="宋体" w:eastAsia="黑体"/>
          <w:b/>
          <w:color w:val="auto"/>
          <w:sz w:val="32"/>
          <w:szCs w:val="32"/>
        </w:rPr>
      </w:pPr>
    </w:p>
    <w:p w14:paraId="79A4AAEC">
      <w:pPr>
        <w:spacing w:line="400" w:lineRule="exact"/>
        <w:jc w:val="center"/>
        <w:rPr>
          <w:rFonts w:ascii="黑体" w:hAnsi="宋体" w:eastAsia="黑体"/>
          <w:b/>
          <w:color w:val="auto"/>
          <w:sz w:val="32"/>
          <w:szCs w:val="32"/>
        </w:rPr>
      </w:pPr>
    </w:p>
    <w:p w14:paraId="72F45B5D">
      <w:pPr>
        <w:spacing w:line="400" w:lineRule="exact"/>
        <w:jc w:val="center"/>
        <w:rPr>
          <w:rFonts w:ascii="黑体" w:hAnsi="宋体" w:eastAsia="黑体"/>
          <w:b/>
          <w:color w:val="auto"/>
          <w:sz w:val="32"/>
          <w:szCs w:val="32"/>
        </w:rPr>
      </w:pPr>
    </w:p>
    <w:p w14:paraId="4BDB4167">
      <w:pPr>
        <w:spacing w:line="400" w:lineRule="exact"/>
        <w:jc w:val="center"/>
        <w:rPr>
          <w:rFonts w:ascii="黑体" w:hAnsi="宋体" w:eastAsia="黑体"/>
          <w:b/>
          <w:color w:val="auto"/>
          <w:sz w:val="32"/>
          <w:szCs w:val="32"/>
        </w:rPr>
      </w:pPr>
    </w:p>
    <w:p w14:paraId="7F32CAE7">
      <w:pPr>
        <w:spacing w:line="400" w:lineRule="exact"/>
        <w:jc w:val="center"/>
        <w:rPr>
          <w:rFonts w:ascii="黑体" w:hAnsi="宋体" w:eastAsia="黑体"/>
          <w:b/>
          <w:color w:val="auto"/>
          <w:sz w:val="32"/>
          <w:szCs w:val="32"/>
        </w:rPr>
      </w:pPr>
    </w:p>
    <w:p w14:paraId="252FB8FA">
      <w:pPr>
        <w:spacing w:line="400" w:lineRule="exact"/>
        <w:jc w:val="center"/>
        <w:rPr>
          <w:rFonts w:ascii="黑体" w:hAnsi="宋体" w:eastAsia="黑体"/>
          <w:b/>
          <w:color w:val="auto"/>
          <w:sz w:val="32"/>
          <w:szCs w:val="32"/>
        </w:rPr>
      </w:pPr>
    </w:p>
    <w:p w14:paraId="5559B89A">
      <w:pPr>
        <w:spacing w:line="400" w:lineRule="exact"/>
        <w:jc w:val="center"/>
        <w:rPr>
          <w:rFonts w:ascii="黑体" w:hAnsi="宋体" w:eastAsia="黑体"/>
          <w:b/>
          <w:color w:val="auto"/>
          <w:sz w:val="32"/>
          <w:szCs w:val="32"/>
        </w:rPr>
      </w:pPr>
    </w:p>
    <w:p w14:paraId="763321A7">
      <w:pPr>
        <w:spacing w:line="400" w:lineRule="exact"/>
        <w:rPr>
          <w:rFonts w:ascii="黑体" w:hAnsi="宋体" w:eastAsia="黑体"/>
          <w:b/>
          <w:color w:val="auto"/>
          <w:sz w:val="32"/>
          <w:szCs w:val="32"/>
        </w:rPr>
      </w:pPr>
    </w:p>
    <w:p w14:paraId="453548B5">
      <w:pPr>
        <w:tabs>
          <w:tab w:val="left" w:pos="9639"/>
          <w:tab w:val="left" w:pos="9746"/>
        </w:tabs>
        <w:adjustRightInd w:val="0"/>
        <w:snapToGrid w:val="0"/>
        <w:spacing w:line="360" w:lineRule="auto"/>
        <w:jc w:val="center"/>
        <w:rPr>
          <w:rFonts w:hAnsi="宋体" w:cs="宋体"/>
          <w:bCs/>
          <w:color w:val="auto"/>
          <w:kern w:val="0"/>
          <w:szCs w:val="21"/>
        </w:rPr>
      </w:pPr>
      <w:r>
        <w:rPr>
          <w:rFonts w:hAnsi="宋体" w:cs="宋体"/>
          <w:bCs/>
          <w:color w:val="auto"/>
          <w:kern w:val="0"/>
          <w:szCs w:val="21"/>
        </w:rPr>
        <w:br w:type="page"/>
      </w:r>
    </w:p>
    <w:p w14:paraId="0FA660C7">
      <w:pPr>
        <w:spacing w:line="440" w:lineRule="exact"/>
        <w:ind w:right="-307" w:rightChars="-146"/>
        <w:jc w:val="center"/>
        <w:rPr>
          <w:b/>
          <w:color w:val="auto"/>
          <w:sz w:val="30"/>
          <w:szCs w:val="30"/>
        </w:rPr>
      </w:pPr>
      <w:r>
        <w:rPr>
          <w:rFonts w:hint="eastAsia"/>
          <w:b/>
          <w:color w:val="auto"/>
          <w:sz w:val="30"/>
          <w:szCs w:val="30"/>
        </w:rPr>
        <w:t>第一章  竞争性磋商公告</w:t>
      </w:r>
    </w:p>
    <w:p w14:paraId="18FFAABB">
      <w:pPr>
        <w:tabs>
          <w:tab w:val="left" w:pos="9639"/>
          <w:tab w:val="left" w:pos="9746"/>
        </w:tabs>
        <w:adjustRightInd w:val="0"/>
        <w:snapToGrid w:val="0"/>
        <w:ind w:firstLine="420" w:firstLineChars="200"/>
        <w:rPr>
          <w:rFonts w:ascii="宋体" w:hAnsi="宋体" w:cs="宋体"/>
          <w:color w:val="auto"/>
          <w:kern w:val="0"/>
          <w:szCs w:val="21"/>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7AC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44D077D">
            <w:pPr>
              <w:tabs>
                <w:tab w:val="left" w:pos="9639"/>
                <w:tab w:val="left" w:pos="9746"/>
              </w:tabs>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项目概况</w:t>
            </w:r>
          </w:p>
          <w:p w14:paraId="1556AA38">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rPr>
            </w:pPr>
            <w:r>
              <w:rPr>
                <w:rFonts w:hint="eastAsia" w:ascii="宋体" w:hAnsi="宋体" w:cs="宋体"/>
                <w:color w:val="auto"/>
                <w:sz w:val="24"/>
                <w:lang w:eastAsia="zh-CN"/>
              </w:rPr>
              <w:t>旺盛江水库第三溢洪道行洪区水毁修复工程（第三次）</w:t>
            </w:r>
            <w:r>
              <w:rPr>
                <w:rFonts w:hint="eastAsia" w:ascii="宋体" w:hAnsi="宋体" w:cs="宋体"/>
                <w:color w:val="auto"/>
                <w:kern w:val="0"/>
                <w:sz w:val="24"/>
              </w:rPr>
              <w:t>采购项目的潜在供应商应在广西政府采购云平台（https://www.gcy.zfcg.gxzf.gov.cn/）获取采购文件，并于</w:t>
            </w:r>
            <w:r>
              <w:rPr>
                <w:rFonts w:hint="eastAsia" w:ascii="宋体" w:hAnsi="宋体" w:cs="宋体"/>
                <w:color w:val="auto"/>
                <w:sz w:val="24"/>
                <w:lang w:eastAsia="zh-CN"/>
              </w:rPr>
              <w:t>2026年6月9日</w:t>
            </w:r>
            <w:r>
              <w:rPr>
                <w:rFonts w:hint="eastAsia" w:ascii="宋体" w:hAnsi="宋体" w:cs="宋体"/>
                <w:color w:val="auto"/>
                <w:sz w:val="24"/>
              </w:rPr>
              <w:t xml:space="preserve"> 09:00</w:t>
            </w:r>
            <w:r>
              <w:rPr>
                <w:rFonts w:hint="eastAsia" w:ascii="宋体" w:hAnsi="宋体" w:cs="宋体"/>
                <w:color w:val="auto"/>
                <w:kern w:val="0"/>
                <w:sz w:val="24"/>
              </w:rPr>
              <w:t>（北京时间）前提交响应文件。</w:t>
            </w:r>
          </w:p>
        </w:tc>
      </w:tr>
    </w:tbl>
    <w:p w14:paraId="445BEF19">
      <w:pPr>
        <w:tabs>
          <w:tab w:val="left" w:pos="9639"/>
          <w:tab w:val="left" w:pos="9746"/>
        </w:tabs>
        <w:adjustRightInd w:val="0"/>
        <w:snapToGrid w:val="0"/>
        <w:rPr>
          <w:rFonts w:ascii="宋体" w:hAnsi="宋体" w:cs="宋体"/>
          <w:color w:val="auto"/>
          <w:kern w:val="0"/>
          <w:szCs w:val="21"/>
        </w:rPr>
      </w:pPr>
    </w:p>
    <w:p w14:paraId="06BDF6DC">
      <w:pPr>
        <w:tabs>
          <w:tab w:val="left" w:pos="9639"/>
          <w:tab w:val="left" w:pos="9746"/>
        </w:tabs>
        <w:adjustRightInd w:val="0"/>
        <w:snapToGrid w:val="0"/>
        <w:spacing w:line="480" w:lineRule="exact"/>
        <w:rPr>
          <w:rFonts w:ascii="宋体" w:hAnsi="宋体" w:cs="宋体"/>
          <w:b/>
          <w:color w:val="auto"/>
          <w:kern w:val="0"/>
          <w:sz w:val="24"/>
        </w:rPr>
      </w:pPr>
      <w:r>
        <w:rPr>
          <w:rFonts w:hint="eastAsia" w:ascii="宋体" w:hAnsi="宋体" w:cs="宋体"/>
          <w:b/>
          <w:color w:val="auto"/>
          <w:kern w:val="0"/>
          <w:sz w:val="24"/>
        </w:rPr>
        <w:t>一、项目基本情况</w:t>
      </w:r>
    </w:p>
    <w:p w14:paraId="6C07C810">
      <w:pPr>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BHZC2026-C2-990113-CGZX</w:t>
      </w:r>
    </w:p>
    <w:p w14:paraId="03229DAB">
      <w:pPr>
        <w:adjustRightInd w:val="0"/>
        <w:spacing w:line="480" w:lineRule="exact"/>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lang w:eastAsia="zh-CN"/>
        </w:rPr>
        <w:t>旺盛江水库第三溢洪道行洪区水毁修复工程（第三次）</w:t>
      </w:r>
    </w:p>
    <w:p w14:paraId="6D21A2C1">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采购方式：竞争性磋商</w:t>
      </w:r>
    </w:p>
    <w:p w14:paraId="01FC0666">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预算金额（元）：</w:t>
      </w:r>
      <w:r>
        <w:rPr>
          <w:rFonts w:hint="eastAsia" w:ascii="宋体" w:hAnsi="宋体" w:cs="宋体"/>
          <w:bCs/>
          <w:color w:val="auto"/>
          <w:sz w:val="24"/>
        </w:rPr>
        <w:t>745171.86</w:t>
      </w:r>
      <w:r>
        <w:rPr>
          <w:rFonts w:hint="eastAsia" w:ascii="宋体" w:hAnsi="宋体" w:cs="宋体"/>
          <w:color w:val="auto"/>
          <w:sz w:val="24"/>
        </w:rPr>
        <w:t xml:space="preserve"> </w:t>
      </w:r>
    </w:p>
    <w:p w14:paraId="1CF223EF">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最高限价（元）：</w:t>
      </w:r>
      <w:r>
        <w:rPr>
          <w:rFonts w:hint="eastAsia" w:ascii="宋体" w:hAnsi="宋体" w:cs="宋体"/>
          <w:bCs/>
          <w:color w:val="auto"/>
          <w:sz w:val="24"/>
        </w:rPr>
        <w:t>745171.86</w:t>
      </w:r>
    </w:p>
    <w:p w14:paraId="609822FA">
      <w:pPr>
        <w:spacing w:line="480" w:lineRule="exact"/>
        <w:ind w:firstLine="480" w:firstLineChars="200"/>
        <w:rPr>
          <w:rFonts w:ascii="宋体" w:hAnsi="宋体" w:cs="宋体"/>
          <w:color w:val="auto"/>
          <w:sz w:val="24"/>
        </w:rPr>
      </w:pPr>
      <w:r>
        <w:rPr>
          <w:rFonts w:hint="eastAsia" w:ascii="宋体" w:hAnsi="宋体" w:cs="宋体"/>
          <w:color w:val="auto"/>
          <w:sz w:val="24"/>
        </w:rPr>
        <w:t>采购需求：</w:t>
      </w:r>
    </w:p>
    <w:p w14:paraId="2442EE05">
      <w:pPr>
        <w:spacing w:line="48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旺盛江水库第三溢洪道行洪区水毁修复工程（第三次）</w:t>
      </w:r>
    </w:p>
    <w:p w14:paraId="248F1FCB">
      <w:pPr>
        <w:spacing w:line="480" w:lineRule="exact"/>
        <w:ind w:firstLine="480" w:firstLineChars="200"/>
        <w:rPr>
          <w:rFonts w:ascii="宋体" w:hAnsi="宋体" w:cs="宋体"/>
          <w:color w:val="auto"/>
          <w:sz w:val="24"/>
        </w:rPr>
      </w:pPr>
      <w:r>
        <w:rPr>
          <w:rFonts w:hint="eastAsia" w:ascii="宋体" w:hAnsi="宋体" w:cs="宋体"/>
          <w:color w:val="auto"/>
          <w:sz w:val="24"/>
        </w:rPr>
        <w:t>数量：1项</w:t>
      </w:r>
    </w:p>
    <w:p w14:paraId="2E7DF722">
      <w:pPr>
        <w:adjustRightInd w:val="0"/>
        <w:spacing w:line="480" w:lineRule="exact"/>
        <w:ind w:firstLine="480" w:firstLineChars="200"/>
        <w:rPr>
          <w:rFonts w:ascii="宋体" w:hAnsi="宋体" w:cs="宋体"/>
          <w:color w:val="auto"/>
          <w:sz w:val="24"/>
        </w:rPr>
      </w:pPr>
      <w:r>
        <w:rPr>
          <w:rFonts w:ascii="仿宋" w:hAnsi="仿宋"/>
          <w:color w:val="auto"/>
          <w:sz w:val="24"/>
          <w:szCs w:val="24"/>
        </w:rPr>
        <w:t>简要规格描述或项目基本概况介绍、用途</w:t>
      </w:r>
      <w:r>
        <w:rPr>
          <w:rFonts w:hint="eastAsia" w:ascii="宋体" w:hAnsi="宋体" w:cs="宋体"/>
          <w:color w:val="auto"/>
          <w:sz w:val="24"/>
          <w:szCs w:val="24"/>
        </w:rPr>
        <w:t>：</w:t>
      </w:r>
      <w:r>
        <w:rPr>
          <w:rFonts w:hint="eastAsia" w:ascii="宋体" w:hAnsi="宋体" w:cs="宋体"/>
          <w:color w:val="auto"/>
          <w:sz w:val="24"/>
          <w:lang w:eastAsia="zh-CN"/>
        </w:rPr>
        <w:t>旺盛江水库第三溢洪道行洪区水毁修复工程</w:t>
      </w:r>
      <w:r>
        <w:rPr>
          <w:rFonts w:hint="eastAsia" w:ascii="宋体" w:hAnsi="宋体" w:cs="宋体"/>
          <w:color w:val="auto"/>
          <w:sz w:val="24"/>
        </w:rPr>
        <w:t>。具体详见竞争性磋商文件和工程量清单及图纸的内容。</w:t>
      </w:r>
    </w:p>
    <w:p w14:paraId="1CED85C9">
      <w:pPr>
        <w:adjustRightInd w:val="0"/>
        <w:spacing w:line="480" w:lineRule="exact"/>
        <w:ind w:firstLine="480" w:firstLineChars="200"/>
        <w:rPr>
          <w:rFonts w:ascii="宋体" w:hAnsi="宋体" w:cs="宋体"/>
          <w:color w:val="auto"/>
          <w:sz w:val="24"/>
          <w:u w:val="single"/>
        </w:rPr>
      </w:pPr>
      <w:r>
        <w:rPr>
          <w:rFonts w:hint="eastAsia" w:ascii="宋体" w:hAnsi="宋体" w:cs="宋体"/>
          <w:color w:val="auto"/>
          <w:sz w:val="24"/>
        </w:rPr>
        <w:t>合同履行期限：90日历天</w:t>
      </w:r>
    </w:p>
    <w:p w14:paraId="1C39C518">
      <w:pPr>
        <w:pStyle w:val="107"/>
        <w:spacing w:line="480" w:lineRule="exact"/>
        <w:ind w:firstLine="480"/>
        <w:rPr>
          <w:rFonts w:ascii="宋体" w:hAnsi="宋体" w:eastAsia="宋体" w:cs="宋体"/>
          <w:color w:val="auto"/>
          <w:sz w:val="24"/>
        </w:rPr>
      </w:pPr>
      <w:r>
        <w:rPr>
          <w:rFonts w:hint="eastAsia" w:ascii="宋体" w:hAnsi="宋体" w:eastAsia="宋体" w:cs="宋体"/>
          <w:color w:val="auto"/>
          <w:sz w:val="24"/>
        </w:rPr>
        <w:t>设计单位：北海河海水利水电设计院有限责任公司</w:t>
      </w:r>
    </w:p>
    <w:p w14:paraId="7FAFF01B">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本项目是否接受联合体磋商：☐是，</w:t>
      </w:r>
      <w:r>
        <w:rPr>
          <w:rFonts w:hint="eastAsia" w:ascii="宋体" w:hAnsi="宋体" w:cs="宋体"/>
          <w:color w:val="auto"/>
          <w:sz w:val="24"/>
        </w:rPr>
        <w:sym w:font="Wingdings" w:char="00FE"/>
      </w:r>
      <w:r>
        <w:rPr>
          <w:rFonts w:hint="eastAsia" w:ascii="宋体" w:hAnsi="宋体" w:cs="宋体"/>
          <w:color w:val="auto"/>
          <w:sz w:val="24"/>
        </w:rPr>
        <w:t>否。</w:t>
      </w:r>
    </w:p>
    <w:p w14:paraId="2DADFE7E">
      <w:pPr>
        <w:tabs>
          <w:tab w:val="left" w:pos="9639"/>
          <w:tab w:val="left" w:pos="9746"/>
        </w:tabs>
        <w:adjustRightInd w:val="0"/>
        <w:snapToGrid w:val="0"/>
        <w:spacing w:line="480" w:lineRule="exact"/>
        <w:rPr>
          <w:rFonts w:ascii="宋体" w:hAnsi="宋体" w:cs="宋体"/>
          <w:b/>
          <w:color w:val="auto"/>
          <w:kern w:val="0"/>
          <w:sz w:val="24"/>
        </w:rPr>
      </w:pPr>
      <w:r>
        <w:rPr>
          <w:rFonts w:hint="eastAsia" w:ascii="宋体" w:hAnsi="宋体" w:cs="宋体"/>
          <w:b/>
          <w:color w:val="auto"/>
          <w:kern w:val="0"/>
          <w:sz w:val="24"/>
        </w:rPr>
        <w:t>二、申请人的资格要求</w:t>
      </w:r>
    </w:p>
    <w:p w14:paraId="1A4C54F1">
      <w:pPr>
        <w:adjustRightInd w:val="0"/>
        <w:spacing w:line="480" w:lineRule="exact"/>
        <w:ind w:firstLine="480"/>
        <w:rPr>
          <w:rFonts w:ascii="宋体" w:hAnsi="宋体" w:cs="宋体"/>
          <w:snapToGrid w:val="0"/>
          <w:color w:val="auto"/>
          <w:kern w:val="28"/>
          <w:sz w:val="24"/>
        </w:rPr>
      </w:pPr>
      <w:r>
        <w:rPr>
          <w:rFonts w:hint="eastAsia" w:ascii="宋体" w:hAnsi="宋体" w:cs="宋体"/>
          <w:snapToGrid w:val="0"/>
          <w:color w:val="auto"/>
          <w:kern w:val="28"/>
          <w:sz w:val="24"/>
        </w:rPr>
        <w:t>1.满足《中华人民共和国政府采购法》第二十二条规定；</w:t>
      </w:r>
    </w:p>
    <w:p w14:paraId="05B85A28">
      <w:pPr>
        <w:adjustRightInd w:val="0"/>
        <w:spacing w:line="480" w:lineRule="exact"/>
        <w:rPr>
          <w:rFonts w:ascii="宋体" w:hAnsi="宋体" w:cs="宋体"/>
          <w:snapToGrid w:val="0"/>
          <w:color w:val="auto"/>
          <w:kern w:val="28"/>
          <w:sz w:val="24"/>
        </w:rPr>
      </w:pPr>
      <w:r>
        <w:rPr>
          <w:rFonts w:hint="eastAsia" w:ascii="宋体" w:hAnsi="宋体" w:cs="宋体"/>
          <w:snapToGrid w:val="0"/>
          <w:color w:val="auto"/>
          <w:kern w:val="28"/>
          <w:sz w:val="24"/>
        </w:rPr>
        <w:t xml:space="preserve">    </w:t>
      </w:r>
      <w:r>
        <w:rPr>
          <w:rFonts w:ascii="宋体" w:hAnsi="宋体" w:cs="宋体"/>
          <w:snapToGrid w:val="0"/>
          <w:color w:val="auto"/>
          <w:kern w:val="28"/>
          <w:sz w:val="24"/>
        </w:rPr>
        <w:t>2</w:t>
      </w:r>
      <w:r>
        <w:rPr>
          <w:rFonts w:hint="eastAsia" w:ascii="宋体" w:hAnsi="宋体" w:cs="宋体"/>
          <w:snapToGrid w:val="0"/>
          <w:color w:val="auto"/>
          <w:kern w:val="28"/>
          <w:sz w:val="24"/>
        </w:rPr>
        <w:t>.落实政府采购政策需满足的资格要求：</w:t>
      </w:r>
    </w:p>
    <w:p w14:paraId="04990F9D">
      <w:pPr>
        <w:adjustRightInd w:val="0"/>
        <w:spacing w:line="480" w:lineRule="exact"/>
        <w:ind w:firstLine="480" w:firstLineChars="200"/>
        <w:rPr>
          <w:rFonts w:ascii="宋体" w:hAnsi="宋体" w:cs="宋体"/>
          <w:color w:val="auto"/>
          <w:sz w:val="24"/>
        </w:rPr>
      </w:pPr>
      <w:r>
        <w:rPr>
          <w:rFonts w:hint="eastAsia" w:ascii="MS Mincho" w:hAnsi="MS Mincho" w:eastAsia="MS Mincho" w:cs="MS Mincho"/>
          <w:color w:val="auto"/>
          <w:sz w:val="24"/>
        </w:rPr>
        <w:t>☐</w:t>
      </w:r>
      <w:r>
        <w:rPr>
          <w:rFonts w:hint="eastAsia" w:ascii="宋体" w:hAnsi="宋体" w:cs="宋体"/>
          <w:color w:val="auto"/>
          <w:sz w:val="24"/>
        </w:rPr>
        <w:t>无</w:t>
      </w:r>
      <w:r>
        <w:rPr>
          <w:rFonts w:hint="eastAsia" w:ascii="宋体" w:hAnsi="宋体" w:cs="宋体"/>
          <w:snapToGrid w:val="0"/>
          <w:color w:val="auto"/>
          <w:kern w:val="28"/>
          <w:sz w:val="24"/>
        </w:rPr>
        <w:t>（注：不得限制大中型企业与小微企业组成联合体参与响应）</w:t>
      </w:r>
      <w:r>
        <w:rPr>
          <w:rFonts w:hint="eastAsia" w:ascii="宋体" w:hAnsi="宋体" w:cs="宋体"/>
          <w:color w:val="auto"/>
          <w:sz w:val="24"/>
        </w:rPr>
        <w:t>；</w:t>
      </w:r>
    </w:p>
    <w:p w14:paraId="2F047F39">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kern w:val="0"/>
          <w:sz w:val="24"/>
        </w:rPr>
        <w:t>专</w:t>
      </w:r>
      <w:r>
        <w:rPr>
          <w:rFonts w:hint="eastAsia" w:ascii="宋体" w:hAnsi="宋体" w:cs="宋体"/>
          <w:color w:val="auto"/>
          <w:sz w:val="24"/>
        </w:rPr>
        <w:t>门面向中小企业</w:t>
      </w:r>
    </w:p>
    <w:p w14:paraId="3E4171FB">
      <w:pPr>
        <w:adjustRightInd w:val="0"/>
        <w:spacing w:line="480" w:lineRule="exact"/>
        <w:ind w:firstLine="897" w:firstLineChars="374"/>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lang w:eastAsia="zh-CN"/>
        </w:rPr>
        <w:t>工程全部由符合政策要求的中小企业承建，</w:t>
      </w:r>
      <w:r>
        <w:rPr>
          <w:rFonts w:hint="eastAsia" w:ascii="宋体" w:hAnsi="宋体" w:cs="宋体"/>
          <w:color w:val="auto"/>
          <w:sz w:val="24"/>
        </w:rPr>
        <w:t>提供中小企业声明函；</w:t>
      </w:r>
    </w:p>
    <w:p w14:paraId="0A803DF6">
      <w:pPr>
        <w:adjustRightInd w:val="0"/>
        <w:spacing w:line="480" w:lineRule="exact"/>
        <w:ind w:firstLine="897" w:firstLineChars="374"/>
        <w:rPr>
          <w:rFonts w:hint="eastAsia" w:ascii="宋体" w:hAnsi="宋体" w:eastAsia="宋体" w:cs="宋体"/>
          <w:color w:val="auto"/>
          <w:sz w:val="24"/>
          <w:lang w:eastAsia="zh-CN"/>
        </w:rPr>
      </w:pPr>
      <w:r>
        <w:rPr>
          <w:rFonts w:hint="eastAsia" w:ascii="MS Mincho" w:hAnsi="MS Mincho" w:eastAsia="MS Mincho" w:cs="MS Mincho"/>
          <w:color w:val="auto"/>
          <w:sz w:val="24"/>
        </w:rPr>
        <w:t>☐</w:t>
      </w:r>
      <w:r>
        <w:rPr>
          <w:rFonts w:hint="eastAsia" w:ascii="宋体" w:hAnsi="宋体" w:eastAsia="宋体" w:cs="宋体"/>
          <w:color w:val="auto"/>
          <w:sz w:val="24"/>
          <w:lang w:eastAsia="zh-CN"/>
        </w:rPr>
        <w:t>工程全部由符合政策要求的小微企业承建，</w:t>
      </w:r>
      <w:r>
        <w:rPr>
          <w:rFonts w:hint="eastAsia" w:ascii="宋体" w:hAnsi="宋体" w:cs="宋体"/>
          <w:color w:val="auto"/>
          <w:sz w:val="24"/>
        </w:rPr>
        <w:t>提供中小企业声明函</w:t>
      </w:r>
      <w:r>
        <w:rPr>
          <w:rFonts w:hint="eastAsia" w:ascii="宋体" w:hAnsi="宋体" w:cs="宋体"/>
          <w:color w:val="auto"/>
          <w:sz w:val="24"/>
          <w:lang w:eastAsia="zh-CN"/>
        </w:rPr>
        <w:t>。</w:t>
      </w:r>
    </w:p>
    <w:p w14:paraId="255A397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本项目的特定资格要求：</w:t>
      </w:r>
      <w:bookmarkStart w:id="4" w:name="OLE_LINK7"/>
      <w:r>
        <w:rPr>
          <w:rFonts w:hint="eastAsia" w:ascii="宋体" w:hAnsi="宋体" w:eastAsia="宋体" w:cs="宋体"/>
          <w:color w:val="auto"/>
          <w:sz w:val="24"/>
          <w:szCs w:val="24"/>
        </w:rPr>
        <w:t>供应商须具备水利水电工程施工二级（含）以上资质，具备有效的安全生产许可证, 并在人员、设备、资金等方面具备相应的施工能力；拟派驻项目经理须具备水利水电工程类专业二级（含）以上注册建造师执业资格，并获得省级或省级以上水行政主管部门或其授权部门（机构）颁发的安全生产考核合格证书（B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同时提供项目经理无在建、已中标（成交）未开工或已列为其他项目中标（成交）候选人第一名的情况的承诺函；专职安全员须持有效的安全生产考核合格证书（C类）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项目管理机构人员配置最低要求：项目经理1人、技术负责人1人、施工员1人、安全员1人、质量员1人、材料员1人。拟投入人员需为本单位在职员工，需提供项目管理机构所有人员身份证、有效资格证、近三个月（</w:t>
      </w:r>
      <w:r>
        <w:rPr>
          <w:rFonts w:hint="eastAsia" w:ascii="宋体" w:hAnsi="宋体" w:cs="宋体"/>
          <w:color w:val="auto"/>
          <w:sz w:val="24"/>
          <w:szCs w:val="24"/>
          <w:lang w:eastAsia="zh-CN"/>
        </w:rPr>
        <w:t>2026年02月至2026年04月</w:t>
      </w:r>
      <w:r>
        <w:rPr>
          <w:rFonts w:hint="eastAsia" w:ascii="宋体" w:hAnsi="宋体" w:eastAsia="宋体" w:cs="宋体"/>
          <w:color w:val="auto"/>
          <w:sz w:val="24"/>
          <w:szCs w:val="24"/>
        </w:rPr>
        <w:t>）其中任何一个月在现任职单位依法缴纳社会保险证明材料（注：入职或转注本单位不足三个月的须提供最近一个月的参保缴费凭证）。</w:t>
      </w:r>
      <w:bookmarkEnd w:id="4"/>
    </w:p>
    <w:p w14:paraId="072DDDC5">
      <w:pPr>
        <w:spacing w:line="480" w:lineRule="exact"/>
        <w:rPr>
          <w:rFonts w:ascii="宋体" w:hAnsi="宋体" w:cs="宋体"/>
          <w:b/>
          <w:color w:val="auto"/>
          <w:kern w:val="0"/>
          <w:sz w:val="24"/>
        </w:rPr>
      </w:pPr>
      <w:r>
        <w:rPr>
          <w:rFonts w:hint="eastAsia" w:ascii="宋体" w:hAnsi="宋体" w:cs="宋体"/>
          <w:b/>
          <w:color w:val="auto"/>
          <w:kern w:val="0"/>
          <w:sz w:val="24"/>
        </w:rPr>
        <w:t>三、获取响应文件</w:t>
      </w:r>
    </w:p>
    <w:p w14:paraId="7D8BA4C5">
      <w:pPr>
        <w:adjustRightInd w:val="0"/>
        <w:spacing w:line="480" w:lineRule="exact"/>
        <w:ind w:firstLine="54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lang w:eastAsia="zh-CN"/>
        </w:rPr>
        <w:t>2026年5月28日</w:t>
      </w:r>
      <w:r>
        <w:rPr>
          <w:rFonts w:hint="eastAsia" w:ascii="宋体" w:hAnsi="宋体" w:cs="宋体"/>
          <w:color w:val="auto"/>
          <w:sz w:val="24"/>
        </w:rPr>
        <w:t>至</w:t>
      </w:r>
      <w:r>
        <w:rPr>
          <w:rFonts w:hint="eastAsia" w:ascii="宋体" w:hAnsi="宋体" w:cs="宋体"/>
          <w:color w:val="auto"/>
          <w:sz w:val="24"/>
          <w:lang w:eastAsia="zh-CN"/>
        </w:rPr>
        <w:t>2026年6月</w:t>
      </w:r>
      <w:r>
        <w:rPr>
          <w:rFonts w:hint="eastAsia" w:ascii="宋体" w:hAnsi="宋体" w:cs="宋体"/>
          <w:color w:val="auto"/>
          <w:sz w:val="24"/>
          <w:lang w:val="en-US" w:eastAsia="zh-CN"/>
        </w:rPr>
        <w:t>8</w:t>
      </w:r>
      <w:r>
        <w:rPr>
          <w:rFonts w:hint="eastAsia" w:ascii="宋体" w:hAnsi="宋体" w:cs="宋体"/>
          <w:color w:val="auto"/>
          <w:sz w:val="24"/>
          <w:lang w:eastAsia="zh-CN"/>
        </w:rPr>
        <w:t>日</w:t>
      </w:r>
      <w:r>
        <w:rPr>
          <w:rFonts w:hint="eastAsia" w:ascii="宋体" w:hAnsi="宋体" w:cs="宋体"/>
          <w:color w:val="auto"/>
          <w:sz w:val="24"/>
        </w:rPr>
        <w:t>，每天上午</w:t>
      </w:r>
      <w:r>
        <w:rPr>
          <w:rFonts w:hint="eastAsia" w:ascii="宋体" w:hAnsi="宋体"/>
          <w:color w:val="auto"/>
          <w:sz w:val="24"/>
        </w:rPr>
        <w:t>00:00至12:00 ，下午12:00至23:59</w:t>
      </w:r>
      <w:r>
        <w:rPr>
          <w:rFonts w:hint="eastAsia" w:ascii="宋体" w:hAnsi="宋体" w:cs="宋体"/>
          <w:color w:val="auto"/>
          <w:sz w:val="24"/>
        </w:rPr>
        <w:t>（北京时间，法定节假日除外）；</w:t>
      </w:r>
    </w:p>
    <w:p w14:paraId="6220463E">
      <w:pPr>
        <w:adjustRightInd w:val="0"/>
        <w:spacing w:line="480" w:lineRule="exact"/>
        <w:ind w:firstLine="540"/>
        <w:rPr>
          <w:rFonts w:ascii="宋体" w:hAnsi="宋体" w:cs="宋体"/>
          <w:color w:val="auto"/>
          <w:sz w:val="24"/>
          <w:u w:val="single"/>
        </w:rPr>
      </w:pPr>
      <w:r>
        <w:rPr>
          <w:rFonts w:hint="eastAsia" w:ascii="宋体" w:hAnsi="宋体" w:cs="宋体"/>
          <w:b/>
          <w:color w:val="auto"/>
          <w:sz w:val="24"/>
        </w:rPr>
        <w:t>地点（网址）：</w:t>
      </w:r>
      <w:r>
        <w:rPr>
          <w:rFonts w:hint="eastAsia" w:ascii="宋体" w:hAnsi="宋体" w:cs="宋体"/>
          <w:color w:val="auto"/>
          <w:sz w:val="24"/>
        </w:rPr>
        <w:t>广西政府采购云平台（https://www.gcy.zfcg.gxzf.gov.cn/）</w:t>
      </w:r>
    </w:p>
    <w:p w14:paraId="72E20C20">
      <w:pPr>
        <w:adjustRightInd w:val="0"/>
        <w:spacing w:line="480" w:lineRule="exact"/>
        <w:ind w:firstLine="540"/>
        <w:rPr>
          <w:rFonts w:ascii="宋体" w:hAnsi="宋体" w:cs="宋体"/>
          <w:color w:val="auto"/>
          <w:sz w:val="24"/>
          <w:u w:val="single"/>
        </w:rPr>
      </w:pPr>
      <w:r>
        <w:rPr>
          <w:rFonts w:hint="eastAsia" w:ascii="宋体" w:hAnsi="宋体" w:cs="宋体"/>
          <w:b/>
          <w:color w:val="auto"/>
          <w:sz w:val="24"/>
        </w:rPr>
        <w:t>方式：</w:t>
      </w:r>
      <w:r>
        <w:rPr>
          <w:rFonts w:hint="eastAsia" w:ascii="宋体" w:hAnsi="宋体" w:cs="宋体"/>
          <w:color w:val="auto"/>
          <w:sz w:val="24"/>
        </w:rPr>
        <w:t>供应商登录广西政府采购云平台（https://www.gcy.zfcg.gxzf.gov.cn/）在线申请获取采购文件（进入“项目采购”应用，在获取采购文件菜单中选择项目，申请获取采购文件）。</w:t>
      </w:r>
    </w:p>
    <w:p w14:paraId="274CDD30">
      <w:pPr>
        <w:adjustRightInd w:val="0"/>
        <w:spacing w:line="480" w:lineRule="exact"/>
        <w:ind w:firstLine="540"/>
        <w:rPr>
          <w:rFonts w:ascii="宋体" w:hAnsi="宋体" w:cs="宋体"/>
          <w:color w:val="auto"/>
          <w:sz w:val="24"/>
        </w:rPr>
      </w:pPr>
      <w:r>
        <w:rPr>
          <w:rFonts w:hint="eastAsia" w:ascii="宋体" w:hAnsi="宋体" w:cs="宋体"/>
          <w:b/>
          <w:color w:val="auto"/>
          <w:sz w:val="24"/>
        </w:rPr>
        <w:t>售价：</w:t>
      </w:r>
      <w:r>
        <w:rPr>
          <w:rFonts w:hint="eastAsia" w:ascii="宋体" w:hAnsi="宋体" w:cs="仿宋_GB2312"/>
          <w:color w:val="auto"/>
          <w:sz w:val="24"/>
        </w:rPr>
        <w:t>0。</w:t>
      </w:r>
    </w:p>
    <w:p w14:paraId="19C01DD5">
      <w:pPr>
        <w:adjustRightInd w:val="0"/>
        <w:snapToGrid w:val="0"/>
        <w:spacing w:line="480" w:lineRule="exact"/>
        <w:jc w:val="left"/>
        <w:rPr>
          <w:rFonts w:ascii="宋体" w:hAnsi="宋体"/>
          <w:b/>
          <w:color w:val="auto"/>
          <w:kern w:val="0"/>
          <w:sz w:val="24"/>
        </w:rPr>
      </w:pPr>
      <w:bookmarkStart w:id="5" w:name="_Toc35393801"/>
      <w:bookmarkStart w:id="6" w:name="_Toc35393632"/>
      <w:bookmarkStart w:id="7" w:name="_Toc28359092"/>
      <w:bookmarkStart w:id="8" w:name="_Toc28359015"/>
      <w:r>
        <w:rPr>
          <w:rFonts w:hint="eastAsia" w:ascii="宋体" w:hAnsi="宋体"/>
          <w:b/>
          <w:color w:val="auto"/>
          <w:kern w:val="0"/>
          <w:sz w:val="24"/>
        </w:rPr>
        <w:t>四、响应文件提交</w:t>
      </w:r>
      <w:bookmarkEnd w:id="5"/>
      <w:bookmarkEnd w:id="6"/>
      <w:bookmarkEnd w:id="7"/>
      <w:bookmarkEnd w:id="8"/>
      <w:r>
        <w:rPr>
          <w:rFonts w:hint="eastAsia" w:ascii="宋体" w:hAnsi="宋体"/>
          <w:b/>
          <w:color w:val="auto"/>
          <w:kern w:val="0"/>
          <w:sz w:val="24"/>
        </w:rPr>
        <w:t>（上传）</w:t>
      </w:r>
    </w:p>
    <w:p w14:paraId="1EB71E23">
      <w:pPr>
        <w:adjustRightInd w:val="0"/>
        <w:spacing w:line="480" w:lineRule="exact"/>
        <w:ind w:firstLine="480" w:firstLineChars="200"/>
        <w:rPr>
          <w:rFonts w:ascii="宋体" w:hAnsi="宋体"/>
          <w:bCs/>
          <w:color w:val="auto"/>
          <w:sz w:val="24"/>
          <w:u w:val="single"/>
        </w:rPr>
      </w:pPr>
      <w:r>
        <w:rPr>
          <w:rFonts w:hint="eastAsia" w:ascii="宋体" w:hAnsi="宋体"/>
          <w:color w:val="auto"/>
          <w:sz w:val="24"/>
        </w:rPr>
        <w:t>截止时间：</w:t>
      </w:r>
      <w:r>
        <w:rPr>
          <w:rFonts w:hint="eastAsia" w:ascii="宋体" w:hAnsi="宋体"/>
          <w:color w:val="auto"/>
          <w:sz w:val="24"/>
          <w:u w:val="single"/>
          <w:lang w:eastAsia="zh-CN"/>
        </w:rPr>
        <w:t>2026年6月9日</w:t>
      </w:r>
      <w:r>
        <w:rPr>
          <w:rFonts w:hint="eastAsia" w:ascii="宋体" w:hAnsi="宋体"/>
          <w:bCs/>
          <w:color w:val="auto"/>
          <w:sz w:val="24"/>
          <w:u w:val="single"/>
        </w:rPr>
        <w:t>9点</w:t>
      </w:r>
      <w:r>
        <w:rPr>
          <w:rFonts w:hint="eastAsia" w:ascii="宋体" w:hAnsi="宋体"/>
          <w:bCs/>
          <w:color w:val="auto"/>
          <w:sz w:val="24"/>
        </w:rPr>
        <w:t>（北京时间）</w:t>
      </w:r>
    </w:p>
    <w:p w14:paraId="00BA8D89">
      <w:pPr>
        <w:adjustRightInd w:val="0"/>
        <w:spacing w:line="480" w:lineRule="exact"/>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广西政府采购云平台（https://www.gcy.zfcg.gxzf.gov.cn/）</w:t>
      </w:r>
      <w:r>
        <w:rPr>
          <w:rFonts w:hint="eastAsia" w:ascii="宋体" w:hAnsi="宋体" w:cs="仿宋_GB2312"/>
          <w:b/>
          <w:color w:val="auto"/>
          <w:sz w:val="24"/>
        </w:rPr>
        <w:t>。</w:t>
      </w:r>
    </w:p>
    <w:p w14:paraId="28FD27B2">
      <w:pPr>
        <w:adjustRightInd w:val="0"/>
        <w:snapToGrid w:val="0"/>
        <w:spacing w:line="480" w:lineRule="exact"/>
        <w:jc w:val="left"/>
        <w:rPr>
          <w:rFonts w:ascii="宋体" w:hAnsi="宋体"/>
          <w:b/>
          <w:color w:val="auto"/>
          <w:kern w:val="0"/>
          <w:sz w:val="24"/>
        </w:rPr>
      </w:pPr>
      <w:bookmarkStart w:id="9" w:name="_Toc35393633"/>
      <w:bookmarkStart w:id="10" w:name="_Toc35393802"/>
      <w:bookmarkStart w:id="11" w:name="_Toc28359016"/>
      <w:bookmarkStart w:id="12" w:name="_Toc28359093"/>
      <w:r>
        <w:rPr>
          <w:rFonts w:hint="eastAsia" w:ascii="宋体" w:hAnsi="宋体"/>
          <w:b/>
          <w:color w:val="auto"/>
          <w:kern w:val="0"/>
          <w:sz w:val="24"/>
        </w:rPr>
        <w:t>五、响应文件开启</w:t>
      </w:r>
      <w:bookmarkEnd w:id="9"/>
      <w:bookmarkEnd w:id="10"/>
      <w:bookmarkEnd w:id="11"/>
      <w:bookmarkEnd w:id="12"/>
    </w:p>
    <w:p w14:paraId="75449AD4">
      <w:pPr>
        <w:adjustRightInd w:val="0"/>
        <w:spacing w:line="480" w:lineRule="exact"/>
        <w:ind w:firstLine="480" w:firstLineChars="200"/>
        <w:rPr>
          <w:rFonts w:ascii="宋体" w:hAnsi="宋体"/>
          <w:bCs/>
          <w:color w:val="auto"/>
          <w:sz w:val="24"/>
          <w:u w:val="single"/>
        </w:rPr>
      </w:pPr>
      <w:r>
        <w:rPr>
          <w:rFonts w:hint="eastAsia" w:ascii="宋体" w:hAnsi="宋体"/>
          <w:color w:val="auto"/>
          <w:sz w:val="24"/>
        </w:rPr>
        <w:t>时间：</w:t>
      </w:r>
      <w:r>
        <w:rPr>
          <w:rFonts w:hint="eastAsia" w:ascii="宋体" w:hAnsi="宋体"/>
          <w:color w:val="auto"/>
          <w:sz w:val="24"/>
          <w:u w:val="single"/>
          <w:lang w:eastAsia="zh-CN"/>
        </w:rPr>
        <w:t>2026年6月9日</w:t>
      </w:r>
      <w:r>
        <w:rPr>
          <w:rFonts w:hint="eastAsia" w:ascii="宋体" w:hAnsi="宋体"/>
          <w:bCs/>
          <w:color w:val="auto"/>
          <w:sz w:val="24"/>
          <w:u w:val="single"/>
        </w:rPr>
        <w:t>9点</w:t>
      </w:r>
      <w:r>
        <w:rPr>
          <w:rFonts w:hint="eastAsia" w:ascii="宋体" w:hAnsi="宋体"/>
          <w:bCs/>
          <w:color w:val="auto"/>
          <w:sz w:val="24"/>
        </w:rPr>
        <w:t>（北京时间）</w:t>
      </w:r>
    </w:p>
    <w:p w14:paraId="2EE0C9C1">
      <w:pPr>
        <w:adjustRightInd w:val="0"/>
        <w:spacing w:line="480" w:lineRule="exact"/>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广西政府采购云平台（https://www.gcy.zfcg.gxzf.gov.cn/）。</w:t>
      </w:r>
    </w:p>
    <w:p w14:paraId="0FD3D92B">
      <w:pPr>
        <w:adjustRightInd w:val="0"/>
        <w:snapToGrid w:val="0"/>
        <w:spacing w:line="480" w:lineRule="exact"/>
        <w:jc w:val="left"/>
        <w:rPr>
          <w:rFonts w:ascii="宋体" w:hAnsi="宋体"/>
          <w:b/>
          <w:color w:val="auto"/>
          <w:kern w:val="0"/>
          <w:sz w:val="24"/>
        </w:rPr>
      </w:pPr>
      <w:bookmarkStart w:id="13" w:name="_Toc28359094"/>
      <w:bookmarkStart w:id="14" w:name="_Toc28359017"/>
      <w:bookmarkStart w:id="15" w:name="_Toc35393634"/>
      <w:bookmarkStart w:id="16" w:name="_Toc35393803"/>
      <w:r>
        <w:rPr>
          <w:rFonts w:hint="eastAsia" w:ascii="宋体" w:hAnsi="宋体"/>
          <w:b/>
          <w:color w:val="auto"/>
          <w:kern w:val="0"/>
          <w:sz w:val="24"/>
        </w:rPr>
        <w:t>六、公告期限</w:t>
      </w:r>
      <w:bookmarkEnd w:id="13"/>
      <w:bookmarkEnd w:id="14"/>
      <w:bookmarkEnd w:id="15"/>
      <w:bookmarkEnd w:id="16"/>
    </w:p>
    <w:p w14:paraId="269DB3FD">
      <w:pPr>
        <w:adjustRightInd w:val="0"/>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自本公告发布之日起3个工作日。</w:t>
      </w:r>
    </w:p>
    <w:p w14:paraId="327264DD">
      <w:pPr>
        <w:adjustRightInd w:val="0"/>
        <w:snapToGrid w:val="0"/>
        <w:spacing w:line="480" w:lineRule="exact"/>
        <w:jc w:val="left"/>
        <w:rPr>
          <w:rFonts w:ascii="宋体" w:hAnsi="宋体"/>
          <w:b/>
          <w:color w:val="auto"/>
          <w:kern w:val="0"/>
          <w:sz w:val="24"/>
        </w:rPr>
      </w:pPr>
      <w:bookmarkStart w:id="17" w:name="_Toc35393804"/>
      <w:bookmarkStart w:id="18" w:name="_Toc35393635"/>
      <w:r>
        <w:rPr>
          <w:rFonts w:hint="eastAsia" w:ascii="宋体" w:hAnsi="宋体"/>
          <w:b/>
          <w:color w:val="auto"/>
          <w:kern w:val="0"/>
          <w:sz w:val="24"/>
        </w:rPr>
        <w:t>七、其他补充事宜</w:t>
      </w:r>
      <w:bookmarkEnd w:id="17"/>
      <w:bookmarkEnd w:id="18"/>
    </w:p>
    <w:p w14:paraId="543F79F7">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1.磋商保证金：本项目不收取磋商保证金。</w:t>
      </w:r>
    </w:p>
    <w:p w14:paraId="4888C23B">
      <w:pPr>
        <w:adjustRightInd w:val="0"/>
        <w:spacing w:line="480" w:lineRule="exact"/>
        <w:ind w:firstLine="480" w:firstLineChars="200"/>
        <w:rPr>
          <w:rFonts w:ascii="宋体" w:hAnsi="宋体"/>
          <w:color w:val="auto"/>
          <w:kern w:val="0"/>
          <w:sz w:val="24"/>
        </w:rPr>
      </w:pPr>
      <w:r>
        <w:rPr>
          <w:rFonts w:hint="eastAsia" w:ascii="宋体" w:hAnsi="宋体" w:cs="宋体"/>
          <w:color w:val="auto"/>
          <w:sz w:val="24"/>
        </w:rPr>
        <w:t>2.本项目需要落实的政府采购政策：（</w:t>
      </w:r>
      <w:r>
        <w:rPr>
          <w:rFonts w:hint="eastAsia" w:ascii="宋体" w:hAnsi="宋体" w:cs="宋体"/>
          <w:color w:val="auto"/>
          <w:sz w:val="24"/>
          <w:lang w:val="en-US" w:eastAsia="zh-CN"/>
        </w:rPr>
        <w:t>1</w:t>
      </w:r>
      <w:r>
        <w:rPr>
          <w:rFonts w:hint="eastAsia" w:ascii="宋体" w:hAnsi="宋体" w:cs="宋体"/>
          <w:color w:val="auto"/>
          <w:sz w:val="24"/>
        </w:rPr>
        <w:t>）支持绿色发展：落实强制采购节能产品、鼓励节能政策；鼓励环保政策；推广使用绿色包装；采购绿色建材等。（</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本项目专门面向中小企业采购。</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）支持监狱企业、残疾人福利性单位发展：监狱企业、残疾人福利性单位视同小型和微型企业。（</w:t>
      </w:r>
      <w:r>
        <w:rPr>
          <w:rFonts w:hint="eastAsia" w:ascii="宋体" w:hAnsi="宋体" w:cs="宋体"/>
          <w:color w:val="auto"/>
          <w:sz w:val="24"/>
          <w:lang w:val="en-US" w:eastAsia="zh-CN"/>
        </w:rPr>
        <w:t>4</w:t>
      </w:r>
      <w:r>
        <w:rPr>
          <w:rFonts w:hint="eastAsia" w:ascii="宋体" w:hAnsi="宋体" w:cs="宋体"/>
          <w:color w:val="auto"/>
          <w:sz w:val="24"/>
        </w:rPr>
        <w:t>）平等对待内外资企业和符合条件的破产重整企业。</w:t>
      </w:r>
    </w:p>
    <w:p w14:paraId="531724ED">
      <w:pPr>
        <w:adjustRightInd w:val="0"/>
        <w:spacing w:line="480" w:lineRule="exact"/>
        <w:ind w:firstLine="480" w:firstLineChars="200"/>
        <w:rPr>
          <w:color w:val="auto"/>
          <w:sz w:val="24"/>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7CAC4C8">
      <w:pPr>
        <w:spacing w:line="480" w:lineRule="exact"/>
        <w:ind w:firstLine="480" w:firstLineChars="200"/>
        <w:rPr>
          <w:rFonts w:ascii="宋体" w:hAnsi="宋体" w:cs="宋体"/>
          <w:color w:val="auto"/>
          <w:sz w:val="24"/>
        </w:rPr>
      </w:pPr>
      <w:r>
        <w:rPr>
          <w:rFonts w:hint="eastAsia" w:ascii="宋体" w:hAnsi="宋体" w:cs="宋体"/>
          <w:color w:val="auto"/>
          <w:sz w:val="24"/>
        </w:rPr>
        <w:t>4.网上公告媒体查询：中国政府采购网、广西政府采购网、北海市政府采购监管网、北海市政府采购中心 - 北海市人民政府网、全国公共资源交易平台（广西·北海）。</w:t>
      </w:r>
    </w:p>
    <w:p w14:paraId="330A1AEB">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94B1715">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29397A7">
      <w:pPr>
        <w:adjustRightInd w:val="0"/>
        <w:snapToGrid w:val="0"/>
        <w:spacing w:line="480" w:lineRule="exact"/>
        <w:jc w:val="left"/>
        <w:rPr>
          <w:rFonts w:ascii="宋体" w:hAnsi="宋体"/>
          <w:b/>
          <w:color w:val="auto"/>
          <w:kern w:val="0"/>
          <w:sz w:val="24"/>
        </w:rPr>
      </w:pPr>
      <w:bookmarkStart w:id="19" w:name="_Toc35393805"/>
      <w:bookmarkStart w:id="20" w:name="_Toc35393636"/>
      <w:bookmarkStart w:id="21" w:name="_Toc28359018"/>
      <w:bookmarkStart w:id="22" w:name="_Toc28359095"/>
      <w:bookmarkStart w:id="2236" w:name="_GoBack"/>
      <w:bookmarkEnd w:id="2236"/>
      <w:r>
        <w:rPr>
          <w:rFonts w:hint="eastAsia" w:ascii="宋体" w:hAnsi="宋体"/>
          <w:b/>
          <w:color w:val="auto"/>
          <w:kern w:val="0"/>
          <w:sz w:val="24"/>
        </w:rPr>
        <w:t>八、凡对本次采购提出询问，请按以下方式联系</w:t>
      </w:r>
      <w:bookmarkEnd w:id="19"/>
      <w:bookmarkEnd w:id="20"/>
      <w:bookmarkEnd w:id="21"/>
      <w:bookmarkEnd w:id="22"/>
    </w:p>
    <w:p w14:paraId="0EB67F3E">
      <w:pPr>
        <w:adjustRightInd w:val="0"/>
        <w:spacing w:line="480" w:lineRule="exact"/>
        <w:ind w:firstLine="480"/>
        <w:rPr>
          <w:rFonts w:ascii="宋体" w:hAnsi="宋体" w:cs="宋体"/>
          <w:color w:val="auto"/>
          <w:sz w:val="24"/>
        </w:rPr>
      </w:pPr>
      <w:r>
        <w:rPr>
          <w:rFonts w:hint="eastAsia" w:ascii="宋体" w:hAnsi="宋体" w:cs="宋体"/>
          <w:color w:val="auto"/>
          <w:sz w:val="24"/>
        </w:rPr>
        <w:t>1.采购人信息</w:t>
      </w:r>
    </w:p>
    <w:p w14:paraId="5C655876">
      <w:pPr>
        <w:adjustRightInd w:val="0"/>
        <w:spacing w:line="480" w:lineRule="exact"/>
        <w:ind w:firstLine="480"/>
        <w:rPr>
          <w:rFonts w:ascii="宋体" w:hAnsi="宋体" w:cs="宋体"/>
          <w:color w:val="auto"/>
          <w:sz w:val="24"/>
        </w:rPr>
      </w:pPr>
      <w:r>
        <w:rPr>
          <w:rFonts w:hint="eastAsia" w:ascii="宋体" w:hAnsi="宋体" w:cs="宋体"/>
          <w:color w:val="auto"/>
          <w:sz w:val="24"/>
        </w:rPr>
        <w:t>名    称：北海市合浦水库工程管理中心</w:t>
      </w:r>
    </w:p>
    <w:p w14:paraId="135879C2">
      <w:pPr>
        <w:spacing w:line="480" w:lineRule="exact"/>
        <w:ind w:firstLine="480" w:firstLineChars="200"/>
        <w:rPr>
          <w:rFonts w:ascii="宋体" w:hAnsi="宋体" w:cs="宋体"/>
          <w:color w:val="auto"/>
          <w:sz w:val="24"/>
        </w:rPr>
      </w:pPr>
      <w:r>
        <w:rPr>
          <w:rFonts w:hint="eastAsia" w:ascii="宋体" w:hAnsi="宋体" w:cs="宋体"/>
          <w:color w:val="auto"/>
          <w:sz w:val="24"/>
        </w:rPr>
        <w:t>地    址：北海市合浦县石康镇十字路</w:t>
      </w:r>
      <w:r>
        <w:rPr>
          <w:rFonts w:hint="eastAsia" w:ascii="宋体" w:hAnsi="宋体" w:cs="宋体"/>
          <w:color w:val="auto"/>
          <w:sz w:val="24"/>
          <w:lang w:val="en-US" w:eastAsia="zh-CN"/>
        </w:rPr>
        <w:t>21号</w:t>
      </w:r>
      <w:r>
        <w:rPr>
          <w:rFonts w:hint="eastAsia" w:ascii="宋体" w:hAnsi="宋体" w:cs="宋体"/>
          <w:color w:val="auto"/>
          <w:sz w:val="24"/>
        </w:rPr>
        <w:t xml:space="preserve">合浦水库  </w:t>
      </w:r>
    </w:p>
    <w:p w14:paraId="5F82568C">
      <w:pPr>
        <w:adjustRightInd w:val="0"/>
        <w:spacing w:line="480" w:lineRule="exact"/>
        <w:ind w:firstLine="480"/>
        <w:rPr>
          <w:rFonts w:ascii="宋体" w:hAnsi="宋体" w:cs="宋体"/>
          <w:color w:val="auto"/>
          <w:sz w:val="24"/>
        </w:rPr>
      </w:pPr>
      <w:r>
        <w:rPr>
          <w:rFonts w:hint="eastAsia" w:ascii="宋体" w:hAnsi="宋体" w:cs="宋体"/>
          <w:color w:val="auto"/>
          <w:sz w:val="24"/>
        </w:rPr>
        <w:t xml:space="preserve">项目联系人：陈显彬  </w:t>
      </w:r>
    </w:p>
    <w:p w14:paraId="03C9CF0C">
      <w:pPr>
        <w:adjustRightInd w:val="0"/>
        <w:spacing w:line="480" w:lineRule="exact"/>
        <w:rPr>
          <w:rFonts w:ascii="宋体" w:hAnsi="宋体" w:cs="宋体"/>
          <w:color w:val="auto"/>
          <w:sz w:val="24"/>
        </w:rPr>
      </w:pPr>
      <w:r>
        <w:rPr>
          <w:rFonts w:hint="eastAsia" w:ascii="宋体" w:hAnsi="宋体" w:cs="宋体"/>
          <w:color w:val="auto"/>
          <w:sz w:val="24"/>
        </w:rPr>
        <w:t xml:space="preserve">    项目联系方式：0779-5400174 </w:t>
      </w:r>
    </w:p>
    <w:p w14:paraId="6234A862">
      <w:pPr>
        <w:adjustRightInd w:val="0"/>
        <w:spacing w:line="480" w:lineRule="exact"/>
        <w:rPr>
          <w:rFonts w:ascii="宋体" w:hAnsi="宋体" w:cs="宋体"/>
          <w:color w:val="auto"/>
          <w:sz w:val="24"/>
        </w:rPr>
      </w:pPr>
      <w:r>
        <w:rPr>
          <w:rFonts w:hint="eastAsia" w:ascii="宋体" w:hAnsi="宋体" w:cs="宋体"/>
          <w:color w:val="auto"/>
          <w:sz w:val="24"/>
        </w:rPr>
        <w:t xml:space="preserve">    2.采购代理机构信息            </w:t>
      </w:r>
    </w:p>
    <w:p w14:paraId="4D7782CC">
      <w:pPr>
        <w:adjustRightInd w:val="0"/>
        <w:spacing w:line="480" w:lineRule="exact"/>
        <w:ind w:firstLine="480"/>
        <w:rPr>
          <w:rFonts w:ascii="宋体" w:hAnsi="宋体" w:cs="宋体"/>
          <w:color w:val="auto"/>
          <w:sz w:val="24"/>
        </w:rPr>
      </w:pPr>
      <w:r>
        <w:rPr>
          <w:rFonts w:hint="eastAsia" w:ascii="宋体" w:hAnsi="宋体" w:cs="宋体"/>
          <w:color w:val="auto"/>
          <w:sz w:val="24"/>
        </w:rPr>
        <w:t>名    称：</w:t>
      </w:r>
      <w:r>
        <w:rPr>
          <w:rFonts w:ascii="宋体" w:hAnsi="宋体" w:cs="宋体"/>
          <w:color w:val="auto"/>
          <w:sz w:val="24"/>
        </w:rPr>
        <w:t>北海市政府采购中心</w:t>
      </w:r>
    </w:p>
    <w:p w14:paraId="3063E097">
      <w:pPr>
        <w:adjustRightInd w:val="0"/>
        <w:spacing w:line="480" w:lineRule="exact"/>
        <w:ind w:firstLine="480"/>
        <w:rPr>
          <w:rFonts w:ascii="宋体" w:hAnsi="宋体" w:cs="宋体"/>
          <w:color w:val="auto"/>
          <w:sz w:val="24"/>
        </w:rPr>
      </w:pPr>
      <w:r>
        <w:rPr>
          <w:rFonts w:hint="eastAsia" w:ascii="宋体" w:hAnsi="宋体" w:cs="宋体"/>
          <w:color w:val="auto"/>
          <w:sz w:val="24"/>
        </w:rPr>
        <w:t>地    址：北海市海城区陈文村北路7号市直机关第三办公区</w:t>
      </w:r>
    </w:p>
    <w:p w14:paraId="453FC472">
      <w:pPr>
        <w:adjustRightInd w:val="0"/>
        <w:spacing w:line="480" w:lineRule="exact"/>
        <w:rPr>
          <w:rFonts w:ascii="宋体" w:hAnsi="宋体" w:cs="宋体"/>
          <w:color w:val="auto"/>
          <w:sz w:val="24"/>
        </w:rPr>
      </w:pPr>
      <w:r>
        <w:rPr>
          <w:rFonts w:hint="eastAsia" w:ascii="宋体" w:hAnsi="宋体" w:cs="宋体"/>
          <w:color w:val="auto"/>
          <w:sz w:val="24"/>
        </w:rPr>
        <w:t xml:space="preserve">    项目联系人：林学慧 </w:t>
      </w:r>
    </w:p>
    <w:p w14:paraId="7C651463">
      <w:pPr>
        <w:tabs>
          <w:tab w:val="left" w:pos="9639"/>
          <w:tab w:val="left" w:pos="9746"/>
        </w:tabs>
        <w:adjustRightInd w:val="0"/>
        <w:snapToGrid w:val="0"/>
        <w:spacing w:line="480" w:lineRule="exact"/>
        <w:ind w:firstLine="480" w:firstLineChars="200"/>
        <w:rPr>
          <w:rFonts w:ascii="宋体" w:hAnsi="宋体" w:cs="宋体"/>
          <w:color w:val="auto"/>
          <w:sz w:val="24"/>
        </w:rPr>
      </w:pPr>
      <w:r>
        <w:rPr>
          <w:rFonts w:hint="eastAsia" w:ascii="宋体" w:hAnsi="宋体" w:cs="宋体"/>
          <w:color w:val="auto"/>
          <w:sz w:val="24"/>
        </w:rPr>
        <w:t>项目联系方式：0779-3960819</w:t>
      </w:r>
      <w:r>
        <w:rPr>
          <w:rFonts w:ascii="宋体" w:hAnsi="宋体" w:cs="宋体"/>
          <w:color w:val="auto"/>
          <w:sz w:val="24"/>
        </w:rPr>
        <w:t> </w:t>
      </w:r>
    </w:p>
    <w:p w14:paraId="44E426D2">
      <w:pPr>
        <w:tabs>
          <w:tab w:val="left" w:pos="9639"/>
          <w:tab w:val="left" w:pos="9746"/>
        </w:tabs>
        <w:adjustRightInd w:val="0"/>
        <w:snapToGrid w:val="0"/>
        <w:spacing w:line="480" w:lineRule="exact"/>
        <w:ind w:firstLine="480" w:firstLineChars="200"/>
        <w:rPr>
          <w:rFonts w:ascii="宋体" w:hAnsi="宋体" w:cs="宋体"/>
          <w:color w:val="auto"/>
          <w:sz w:val="24"/>
        </w:rPr>
      </w:pPr>
    </w:p>
    <w:p w14:paraId="6AA44C30">
      <w:pPr>
        <w:adjustRightInd w:val="0"/>
        <w:spacing w:line="480" w:lineRule="exact"/>
        <w:ind w:firstLine="480" w:firstLineChars="200"/>
        <w:rPr>
          <w:rFonts w:ascii="仿宋_GB2312" w:hAnsi="宋体" w:eastAsia="仿宋_GB2312"/>
          <w:b/>
          <w:color w:val="auto"/>
          <w:sz w:val="32"/>
          <w:szCs w:val="32"/>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r>
        <w:rPr>
          <w:rFonts w:hAnsi="宋体" w:cs="宋体"/>
          <w:color w:val="auto"/>
          <w:kern w:val="0"/>
          <w:szCs w:val="21"/>
        </w:rPr>
        <w:br w:type="page"/>
      </w:r>
    </w:p>
    <w:p w14:paraId="0541E1FD">
      <w:pPr>
        <w:spacing w:line="400" w:lineRule="exact"/>
        <w:jc w:val="center"/>
        <w:rPr>
          <w:rFonts w:ascii="仿宋_GB2312" w:hAnsi="宋体" w:eastAsia="仿宋_GB2312"/>
          <w:b/>
          <w:color w:val="auto"/>
          <w:sz w:val="32"/>
          <w:szCs w:val="32"/>
        </w:rPr>
      </w:pPr>
    </w:p>
    <w:p w14:paraId="1716B196">
      <w:pPr>
        <w:spacing w:line="400" w:lineRule="exact"/>
        <w:jc w:val="center"/>
        <w:rPr>
          <w:rFonts w:ascii="仿宋_GB2312" w:hAnsi="宋体" w:eastAsia="仿宋_GB2312"/>
          <w:b/>
          <w:color w:val="auto"/>
          <w:sz w:val="32"/>
          <w:szCs w:val="32"/>
        </w:rPr>
      </w:pPr>
    </w:p>
    <w:p w14:paraId="3BEDC85E">
      <w:pPr>
        <w:spacing w:line="400" w:lineRule="exact"/>
        <w:jc w:val="center"/>
        <w:rPr>
          <w:rFonts w:ascii="仿宋_GB2312" w:hAnsi="宋体" w:eastAsia="仿宋_GB2312"/>
          <w:b/>
          <w:color w:val="auto"/>
          <w:sz w:val="32"/>
          <w:szCs w:val="32"/>
        </w:rPr>
      </w:pPr>
    </w:p>
    <w:p w14:paraId="62E900D4">
      <w:pPr>
        <w:spacing w:line="400" w:lineRule="exact"/>
        <w:jc w:val="center"/>
        <w:rPr>
          <w:rFonts w:ascii="仿宋_GB2312" w:hAnsi="宋体" w:eastAsia="仿宋_GB2312"/>
          <w:b/>
          <w:color w:val="auto"/>
          <w:sz w:val="32"/>
          <w:szCs w:val="32"/>
        </w:rPr>
      </w:pPr>
    </w:p>
    <w:p w14:paraId="10E6330F">
      <w:pPr>
        <w:spacing w:line="400" w:lineRule="exact"/>
        <w:jc w:val="center"/>
        <w:rPr>
          <w:rFonts w:ascii="仿宋_GB2312" w:hAnsi="宋体" w:eastAsia="仿宋_GB2312"/>
          <w:b/>
          <w:color w:val="auto"/>
          <w:sz w:val="32"/>
          <w:szCs w:val="32"/>
        </w:rPr>
      </w:pPr>
    </w:p>
    <w:p w14:paraId="35BEAD51">
      <w:pPr>
        <w:spacing w:line="400" w:lineRule="exact"/>
        <w:jc w:val="center"/>
        <w:rPr>
          <w:rFonts w:ascii="仿宋_GB2312" w:hAnsi="宋体" w:eastAsia="仿宋_GB2312"/>
          <w:b/>
          <w:color w:val="auto"/>
          <w:sz w:val="32"/>
          <w:szCs w:val="32"/>
        </w:rPr>
      </w:pPr>
    </w:p>
    <w:p w14:paraId="751CE34B">
      <w:pPr>
        <w:spacing w:line="400" w:lineRule="exact"/>
        <w:jc w:val="center"/>
        <w:rPr>
          <w:rFonts w:ascii="仿宋_GB2312" w:hAnsi="宋体" w:eastAsia="仿宋_GB2312"/>
          <w:b/>
          <w:color w:val="auto"/>
          <w:sz w:val="32"/>
          <w:szCs w:val="32"/>
        </w:rPr>
      </w:pPr>
    </w:p>
    <w:p w14:paraId="34307A46">
      <w:pPr>
        <w:spacing w:line="400" w:lineRule="exact"/>
        <w:jc w:val="center"/>
        <w:rPr>
          <w:rFonts w:ascii="仿宋_GB2312" w:hAnsi="宋体" w:eastAsia="仿宋_GB2312"/>
          <w:b/>
          <w:color w:val="auto"/>
          <w:sz w:val="32"/>
          <w:szCs w:val="32"/>
        </w:rPr>
      </w:pPr>
    </w:p>
    <w:p w14:paraId="613D532F">
      <w:pPr>
        <w:spacing w:line="400" w:lineRule="exact"/>
        <w:jc w:val="center"/>
        <w:rPr>
          <w:rFonts w:ascii="仿宋_GB2312" w:hAnsi="宋体" w:eastAsia="仿宋_GB2312"/>
          <w:b/>
          <w:color w:val="auto"/>
          <w:sz w:val="32"/>
          <w:szCs w:val="32"/>
        </w:rPr>
      </w:pPr>
    </w:p>
    <w:p w14:paraId="16C7C3B7">
      <w:pPr>
        <w:spacing w:line="400" w:lineRule="exact"/>
        <w:jc w:val="center"/>
        <w:rPr>
          <w:rFonts w:ascii="仿宋_GB2312" w:hAnsi="宋体" w:eastAsia="仿宋_GB2312"/>
          <w:b/>
          <w:color w:val="auto"/>
          <w:sz w:val="32"/>
          <w:szCs w:val="32"/>
        </w:rPr>
      </w:pPr>
    </w:p>
    <w:p w14:paraId="7D1BB896">
      <w:pPr>
        <w:spacing w:line="400" w:lineRule="exact"/>
        <w:jc w:val="center"/>
        <w:rPr>
          <w:rFonts w:ascii="仿宋_GB2312" w:hAnsi="宋体" w:eastAsia="仿宋_GB2312"/>
          <w:b/>
          <w:color w:val="auto"/>
          <w:sz w:val="32"/>
          <w:szCs w:val="32"/>
        </w:rPr>
      </w:pPr>
    </w:p>
    <w:p w14:paraId="23CFFB92">
      <w:pPr>
        <w:spacing w:line="400" w:lineRule="exact"/>
        <w:jc w:val="center"/>
        <w:rPr>
          <w:rFonts w:ascii="仿宋_GB2312" w:hAnsi="宋体" w:eastAsia="仿宋_GB2312"/>
          <w:b/>
          <w:color w:val="auto"/>
          <w:sz w:val="32"/>
          <w:szCs w:val="32"/>
        </w:rPr>
      </w:pPr>
    </w:p>
    <w:p w14:paraId="1619C865">
      <w:pPr>
        <w:spacing w:line="600" w:lineRule="exact"/>
        <w:jc w:val="center"/>
        <w:outlineLvl w:val="0"/>
        <w:rPr>
          <w:rFonts w:ascii="宋体" w:hAnsi="宋体"/>
          <w:b/>
          <w:color w:val="auto"/>
          <w:sz w:val="44"/>
          <w:szCs w:val="44"/>
        </w:rPr>
      </w:pPr>
      <w:bookmarkStart w:id="23" w:name="_Toc3994504"/>
      <w:bookmarkStart w:id="24" w:name="_Toc176861407"/>
      <w:bookmarkStart w:id="25" w:name="_Toc3943"/>
      <w:r>
        <w:rPr>
          <w:rFonts w:hint="eastAsia" w:ascii="宋体" w:hAnsi="宋体"/>
          <w:b/>
          <w:color w:val="auto"/>
          <w:sz w:val="44"/>
          <w:szCs w:val="44"/>
        </w:rPr>
        <w:t>第二章  磋商供应商须知</w:t>
      </w:r>
      <w:bookmarkEnd w:id="23"/>
      <w:bookmarkEnd w:id="24"/>
      <w:bookmarkEnd w:id="25"/>
    </w:p>
    <w:p w14:paraId="2724FAC3">
      <w:pPr>
        <w:spacing w:line="400" w:lineRule="exact"/>
        <w:jc w:val="center"/>
        <w:rPr>
          <w:rFonts w:ascii="仿宋_GB2312" w:hAnsi="宋体" w:eastAsia="仿宋_GB2312"/>
          <w:b/>
          <w:color w:val="auto"/>
          <w:sz w:val="32"/>
          <w:szCs w:val="32"/>
        </w:rPr>
      </w:pPr>
    </w:p>
    <w:p w14:paraId="3070580D">
      <w:pPr>
        <w:spacing w:line="400" w:lineRule="exact"/>
        <w:jc w:val="center"/>
        <w:rPr>
          <w:rFonts w:ascii="仿宋_GB2312" w:hAnsi="宋体" w:eastAsia="仿宋_GB2312"/>
          <w:b/>
          <w:color w:val="auto"/>
          <w:sz w:val="32"/>
          <w:szCs w:val="32"/>
        </w:rPr>
      </w:pPr>
    </w:p>
    <w:p w14:paraId="2093780C">
      <w:pPr>
        <w:spacing w:line="400" w:lineRule="exact"/>
        <w:jc w:val="center"/>
        <w:rPr>
          <w:rFonts w:ascii="仿宋_GB2312" w:hAnsi="宋体" w:eastAsia="仿宋_GB2312"/>
          <w:b/>
          <w:color w:val="auto"/>
          <w:sz w:val="32"/>
          <w:szCs w:val="32"/>
        </w:rPr>
      </w:pPr>
    </w:p>
    <w:p w14:paraId="6BB7CD89">
      <w:pPr>
        <w:spacing w:line="400" w:lineRule="exact"/>
        <w:jc w:val="center"/>
        <w:rPr>
          <w:rFonts w:ascii="仿宋_GB2312" w:hAnsi="宋体" w:eastAsia="仿宋_GB2312"/>
          <w:b/>
          <w:color w:val="auto"/>
          <w:sz w:val="32"/>
          <w:szCs w:val="32"/>
        </w:rPr>
      </w:pPr>
    </w:p>
    <w:p w14:paraId="5C69BDDE">
      <w:pPr>
        <w:spacing w:line="400" w:lineRule="exact"/>
        <w:jc w:val="center"/>
        <w:rPr>
          <w:rFonts w:ascii="仿宋_GB2312" w:hAnsi="宋体" w:eastAsia="仿宋_GB2312"/>
          <w:b/>
          <w:color w:val="auto"/>
          <w:sz w:val="32"/>
          <w:szCs w:val="32"/>
        </w:rPr>
      </w:pPr>
    </w:p>
    <w:p w14:paraId="588F147A">
      <w:pPr>
        <w:spacing w:line="400" w:lineRule="exact"/>
        <w:jc w:val="center"/>
        <w:rPr>
          <w:rFonts w:ascii="仿宋_GB2312" w:hAnsi="宋体" w:eastAsia="仿宋_GB2312"/>
          <w:b/>
          <w:color w:val="auto"/>
          <w:sz w:val="32"/>
          <w:szCs w:val="32"/>
        </w:rPr>
      </w:pPr>
    </w:p>
    <w:p w14:paraId="76363238">
      <w:pPr>
        <w:spacing w:line="400" w:lineRule="exact"/>
        <w:jc w:val="center"/>
        <w:rPr>
          <w:rFonts w:ascii="仿宋_GB2312" w:hAnsi="宋体" w:eastAsia="仿宋_GB2312"/>
          <w:b/>
          <w:color w:val="auto"/>
          <w:sz w:val="32"/>
          <w:szCs w:val="32"/>
        </w:rPr>
      </w:pPr>
    </w:p>
    <w:p w14:paraId="3F5BAA79">
      <w:pPr>
        <w:spacing w:line="400" w:lineRule="exact"/>
        <w:jc w:val="center"/>
        <w:rPr>
          <w:rFonts w:ascii="仿宋_GB2312" w:hAnsi="宋体" w:eastAsia="仿宋_GB2312"/>
          <w:b/>
          <w:color w:val="auto"/>
          <w:sz w:val="32"/>
          <w:szCs w:val="32"/>
        </w:rPr>
      </w:pPr>
    </w:p>
    <w:p w14:paraId="7C52C78F">
      <w:pPr>
        <w:spacing w:line="400" w:lineRule="exact"/>
        <w:jc w:val="center"/>
        <w:rPr>
          <w:rFonts w:ascii="仿宋_GB2312" w:hAnsi="宋体" w:eastAsia="仿宋_GB2312"/>
          <w:b/>
          <w:color w:val="auto"/>
          <w:sz w:val="32"/>
          <w:szCs w:val="32"/>
        </w:rPr>
      </w:pPr>
    </w:p>
    <w:p w14:paraId="1D0C0B30">
      <w:pPr>
        <w:spacing w:line="400" w:lineRule="exact"/>
        <w:jc w:val="center"/>
        <w:rPr>
          <w:rFonts w:ascii="仿宋_GB2312" w:hAnsi="宋体" w:eastAsia="仿宋_GB2312"/>
          <w:b/>
          <w:color w:val="auto"/>
          <w:sz w:val="32"/>
          <w:szCs w:val="32"/>
        </w:rPr>
      </w:pPr>
    </w:p>
    <w:p w14:paraId="6CE7422B">
      <w:pPr>
        <w:spacing w:line="400" w:lineRule="exact"/>
        <w:jc w:val="center"/>
        <w:rPr>
          <w:rFonts w:ascii="仿宋_GB2312" w:hAnsi="宋体" w:eastAsia="仿宋_GB2312"/>
          <w:b/>
          <w:color w:val="auto"/>
          <w:sz w:val="32"/>
          <w:szCs w:val="32"/>
        </w:rPr>
      </w:pPr>
    </w:p>
    <w:p w14:paraId="6CC88687">
      <w:pPr>
        <w:spacing w:line="400" w:lineRule="exact"/>
        <w:rPr>
          <w:rFonts w:ascii="仿宋_GB2312" w:hAnsi="宋体" w:eastAsia="仿宋_GB2312"/>
          <w:b/>
          <w:color w:val="auto"/>
          <w:sz w:val="32"/>
          <w:szCs w:val="32"/>
        </w:rPr>
      </w:pPr>
    </w:p>
    <w:p w14:paraId="24BF4F20">
      <w:pPr>
        <w:spacing w:line="400" w:lineRule="exact"/>
        <w:rPr>
          <w:rFonts w:ascii="仿宋_GB2312" w:hAnsi="宋体" w:eastAsia="仿宋_GB2312"/>
          <w:b/>
          <w:color w:val="auto"/>
          <w:sz w:val="32"/>
          <w:szCs w:val="32"/>
        </w:rPr>
      </w:pPr>
    </w:p>
    <w:p w14:paraId="37F258E4">
      <w:pPr>
        <w:spacing w:line="400" w:lineRule="exact"/>
        <w:rPr>
          <w:rFonts w:ascii="仿宋_GB2312" w:hAnsi="宋体" w:eastAsia="仿宋_GB2312"/>
          <w:b/>
          <w:color w:val="auto"/>
          <w:sz w:val="32"/>
          <w:szCs w:val="32"/>
        </w:rPr>
      </w:pPr>
    </w:p>
    <w:p w14:paraId="097B71C2">
      <w:pPr>
        <w:spacing w:line="400" w:lineRule="exact"/>
        <w:rPr>
          <w:rFonts w:ascii="仿宋_GB2312" w:hAnsi="宋体" w:eastAsia="仿宋_GB2312"/>
          <w:b/>
          <w:color w:val="auto"/>
          <w:sz w:val="32"/>
          <w:szCs w:val="32"/>
        </w:rPr>
      </w:pPr>
    </w:p>
    <w:p w14:paraId="735D46D1">
      <w:pPr>
        <w:spacing w:line="400" w:lineRule="exact"/>
        <w:rPr>
          <w:rFonts w:ascii="仿宋_GB2312" w:hAnsi="宋体" w:eastAsia="仿宋_GB2312"/>
          <w:b/>
          <w:color w:val="auto"/>
          <w:sz w:val="32"/>
          <w:szCs w:val="32"/>
        </w:rPr>
      </w:pPr>
    </w:p>
    <w:p w14:paraId="7FBF6EA7">
      <w:pPr>
        <w:pStyle w:val="18"/>
        <w:rPr>
          <w:color w:val="auto"/>
        </w:rPr>
      </w:pPr>
    </w:p>
    <w:p w14:paraId="2C12240C">
      <w:pPr>
        <w:rPr>
          <w:color w:val="auto"/>
        </w:rPr>
      </w:pPr>
    </w:p>
    <w:p w14:paraId="678E5F7A">
      <w:pPr>
        <w:pStyle w:val="18"/>
        <w:rPr>
          <w:color w:val="auto"/>
        </w:rPr>
      </w:pPr>
    </w:p>
    <w:p w14:paraId="0010F720">
      <w:pPr>
        <w:rPr>
          <w:color w:val="auto"/>
        </w:rPr>
      </w:pPr>
    </w:p>
    <w:p w14:paraId="7E0913CE">
      <w:pPr>
        <w:pStyle w:val="18"/>
        <w:rPr>
          <w:color w:val="auto"/>
        </w:rPr>
      </w:pPr>
    </w:p>
    <w:p w14:paraId="6D127D84">
      <w:pPr>
        <w:spacing w:line="400" w:lineRule="exact"/>
        <w:rPr>
          <w:rFonts w:ascii="仿宋_GB2312" w:hAnsi="宋体" w:eastAsia="仿宋_GB2312"/>
          <w:b/>
          <w:color w:val="auto"/>
          <w:sz w:val="32"/>
          <w:szCs w:val="32"/>
        </w:rPr>
      </w:pPr>
    </w:p>
    <w:p w14:paraId="444DCD5E">
      <w:pPr>
        <w:spacing w:line="400" w:lineRule="exact"/>
        <w:jc w:val="center"/>
        <w:rPr>
          <w:rFonts w:ascii="宋体" w:hAnsi="宋体"/>
          <w:b/>
          <w:color w:val="auto"/>
          <w:sz w:val="32"/>
          <w:szCs w:val="32"/>
        </w:rPr>
      </w:pPr>
      <w:r>
        <w:rPr>
          <w:rFonts w:hint="eastAsia" w:ascii="宋体" w:hAnsi="宋体"/>
          <w:b/>
          <w:color w:val="auto"/>
          <w:sz w:val="32"/>
          <w:szCs w:val="32"/>
        </w:rPr>
        <w:t>磋商</w:t>
      </w:r>
      <w:r>
        <w:rPr>
          <w:rFonts w:ascii="宋体" w:hAnsi="宋体"/>
          <w:b/>
          <w:color w:val="auto"/>
          <w:sz w:val="32"/>
          <w:szCs w:val="32"/>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3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637" w:type="dxa"/>
            <w:vAlign w:val="center"/>
          </w:tcPr>
          <w:p w14:paraId="62C90C78">
            <w:pPr>
              <w:pStyle w:val="68"/>
              <w:spacing w:line="360" w:lineRule="auto"/>
              <w:jc w:val="center"/>
              <w:rPr>
                <w:rFonts w:hAnsi="宋体"/>
                <w:color w:val="auto"/>
                <w:sz w:val="24"/>
                <w:szCs w:val="24"/>
              </w:rPr>
            </w:pPr>
            <w:r>
              <w:rPr>
                <w:rFonts w:hint="eastAsia" w:hAnsi="宋体"/>
                <w:color w:val="auto"/>
                <w:sz w:val="24"/>
                <w:szCs w:val="24"/>
              </w:rPr>
              <w:t>序号</w:t>
            </w:r>
          </w:p>
        </w:tc>
        <w:tc>
          <w:tcPr>
            <w:tcW w:w="1284" w:type="dxa"/>
            <w:vAlign w:val="center"/>
          </w:tcPr>
          <w:p w14:paraId="3720E61B">
            <w:pPr>
              <w:pStyle w:val="68"/>
              <w:spacing w:line="360" w:lineRule="auto"/>
              <w:jc w:val="center"/>
              <w:rPr>
                <w:rFonts w:hAnsi="宋体"/>
                <w:color w:val="auto"/>
                <w:sz w:val="24"/>
                <w:szCs w:val="24"/>
              </w:rPr>
            </w:pPr>
            <w:r>
              <w:rPr>
                <w:rFonts w:hint="eastAsia" w:hAnsi="宋体"/>
                <w:color w:val="auto"/>
                <w:sz w:val="24"/>
                <w:szCs w:val="24"/>
              </w:rPr>
              <w:t>名称</w:t>
            </w:r>
          </w:p>
        </w:tc>
        <w:tc>
          <w:tcPr>
            <w:tcW w:w="8781" w:type="dxa"/>
            <w:vAlign w:val="center"/>
          </w:tcPr>
          <w:p w14:paraId="64AA39C9">
            <w:pPr>
              <w:pStyle w:val="68"/>
              <w:spacing w:line="360" w:lineRule="auto"/>
              <w:jc w:val="center"/>
              <w:rPr>
                <w:rFonts w:hAnsi="宋体"/>
                <w:color w:val="auto"/>
                <w:sz w:val="24"/>
                <w:szCs w:val="24"/>
              </w:rPr>
            </w:pPr>
            <w:r>
              <w:rPr>
                <w:rFonts w:hint="eastAsia" w:hAnsi="宋体"/>
                <w:color w:val="auto"/>
                <w:sz w:val="24"/>
                <w:szCs w:val="24"/>
              </w:rPr>
              <w:t>内    容</w:t>
            </w:r>
          </w:p>
        </w:tc>
      </w:tr>
      <w:tr w14:paraId="7C9D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9051A06">
            <w:pPr>
              <w:pStyle w:val="68"/>
              <w:spacing w:line="360" w:lineRule="auto"/>
              <w:jc w:val="center"/>
              <w:rPr>
                <w:rFonts w:hAnsi="宋体"/>
                <w:color w:val="auto"/>
                <w:sz w:val="24"/>
                <w:szCs w:val="24"/>
              </w:rPr>
            </w:pPr>
            <w:r>
              <w:rPr>
                <w:rFonts w:hint="eastAsia" w:hAnsi="宋体"/>
                <w:color w:val="auto"/>
                <w:sz w:val="24"/>
                <w:szCs w:val="24"/>
              </w:rPr>
              <w:t>1</w:t>
            </w:r>
          </w:p>
        </w:tc>
        <w:tc>
          <w:tcPr>
            <w:tcW w:w="1284" w:type="dxa"/>
            <w:vAlign w:val="center"/>
          </w:tcPr>
          <w:p w14:paraId="2C119FB3">
            <w:pPr>
              <w:pStyle w:val="68"/>
              <w:spacing w:line="360" w:lineRule="auto"/>
              <w:jc w:val="center"/>
              <w:rPr>
                <w:rFonts w:hAnsi="宋体"/>
                <w:color w:val="auto"/>
                <w:sz w:val="24"/>
                <w:szCs w:val="24"/>
              </w:rPr>
            </w:pPr>
            <w:r>
              <w:rPr>
                <w:rFonts w:hint="eastAsia" w:hAnsi="宋体"/>
                <w:color w:val="auto"/>
                <w:sz w:val="24"/>
                <w:szCs w:val="24"/>
              </w:rPr>
              <w:t>项目名称及编号</w:t>
            </w:r>
          </w:p>
        </w:tc>
        <w:tc>
          <w:tcPr>
            <w:tcW w:w="8781" w:type="dxa"/>
            <w:vAlign w:val="center"/>
          </w:tcPr>
          <w:p w14:paraId="36CEDF84">
            <w:pPr>
              <w:spacing w:line="360" w:lineRule="auto"/>
              <w:rPr>
                <w:rFonts w:ascii="宋体" w:hAnsi="宋体" w:cs="宋体"/>
                <w:color w:val="auto"/>
                <w:sz w:val="24"/>
              </w:rPr>
            </w:pPr>
            <w:r>
              <w:rPr>
                <w:rFonts w:hint="eastAsia" w:ascii="宋体" w:hAnsi="宋体" w:cs="宋体"/>
                <w:color w:val="auto"/>
                <w:spacing w:val="2"/>
                <w:sz w:val="24"/>
              </w:rPr>
              <w:t>工程名称：</w:t>
            </w:r>
            <w:r>
              <w:rPr>
                <w:rFonts w:hint="eastAsia"/>
                <w:color w:val="auto"/>
                <w:sz w:val="24"/>
                <w:lang w:eastAsia="zh-CN"/>
              </w:rPr>
              <w:t>旺盛江水库第三溢洪道行洪区水毁修复工程（第三次）</w:t>
            </w:r>
            <w:r>
              <w:rPr>
                <w:rFonts w:hint="eastAsia"/>
                <w:color w:val="auto"/>
                <w:sz w:val="24"/>
              </w:rPr>
              <w:t xml:space="preserve"> </w:t>
            </w:r>
            <w:r>
              <w:rPr>
                <w:rFonts w:hint="eastAsia" w:ascii="宋体" w:hAnsi="宋体" w:cs="宋体"/>
                <w:color w:val="auto"/>
                <w:sz w:val="24"/>
              </w:rPr>
              <w:t xml:space="preserve"> </w:t>
            </w:r>
          </w:p>
          <w:p w14:paraId="578395D0">
            <w:pPr>
              <w:spacing w:line="360" w:lineRule="auto"/>
              <w:rPr>
                <w:rFonts w:ascii="宋体" w:hAnsi="宋体" w:cs="宋体"/>
                <w:color w:val="auto"/>
                <w:sz w:val="24"/>
              </w:rPr>
            </w:pPr>
            <w:r>
              <w:rPr>
                <w:rFonts w:hint="eastAsia" w:ascii="宋体" w:hAnsi="宋体" w:cs="宋体"/>
                <w:color w:val="auto"/>
                <w:spacing w:val="2"/>
                <w:sz w:val="24"/>
              </w:rPr>
              <w:t>项目编号：</w:t>
            </w:r>
            <w:r>
              <w:rPr>
                <w:rFonts w:hint="eastAsia" w:ascii="宋体" w:hAnsi="宋体" w:cs="宋体"/>
                <w:color w:val="auto"/>
                <w:sz w:val="24"/>
                <w:lang w:eastAsia="zh-CN"/>
              </w:rPr>
              <w:t>BHZC2026-C2-990113-CGZX</w:t>
            </w:r>
            <w:r>
              <w:rPr>
                <w:rFonts w:hint="eastAsia" w:ascii="宋体" w:hAnsi="宋体" w:cs="宋体"/>
                <w:color w:val="auto"/>
                <w:sz w:val="24"/>
              </w:rPr>
              <w:t xml:space="preserve"> </w:t>
            </w:r>
          </w:p>
          <w:p w14:paraId="15CCBD5A">
            <w:pPr>
              <w:spacing w:line="360" w:lineRule="auto"/>
              <w:rPr>
                <w:rFonts w:ascii="宋体" w:hAnsi="宋体" w:cs="宋体"/>
                <w:color w:val="auto"/>
                <w:sz w:val="24"/>
              </w:rPr>
            </w:pPr>
            <w:r>
              <w:rPr>
                <w:rFonts w:hint="eastAsia" w:ascii="宋体" w:hAnsi="宋体" w:cs="宋体"/>
                <w:color w:val="auto"/>
                <w:spacing w:val="2"/>
                <w:sz w:val="24"/>
              </w:rPr>
              <w:t>建设地点：</w:t>
            </w:r>
            <w:r>
              <w:rPr>
                <w:rFonts w:hint="eastAsia" w:ascii="宋体" w:hAnsi="宋体" w:cs="宋体"/>
                <w:color w:val="auto"/>
                <w:sz w:val="24"/>
              </w:rPr>
              <w:t xml:space="preserve">位于旺盛江水库第三溢洪道消力池下游海漫段左岸挡墙处及下游尾水渠右岸 </w:t>
            </w:r>
          </w:p>
          <w:p w14:paraId="3F91C8A6">
            <w:pPr>
              <w:spacing w:line="360" w:lineRule="auto"/>
              <w:rPr>
                <w:rFonts w:ascii="宋体" w:hAnsi="宋体" w:cs="宋体"/>
                <w:color w:val="auto"/>
                <w:spacing w:val="2"/>
                <w:sz w:val="24"/>
              </w:rPr>
            </w:pPr>
            <w:r>
              <w:rPr>
                <w:rFonts w:hint="eastAsia" w:ascii="宋体" w:hAnsi="宋体" w:cs="宋体"/>
                <w:color w:val="auto"/>
                <w:spacing w:val="2"/>
                <w:sz w:val="24"/>
              </w:rPr>
              <w:t>发包方式：包工包料</w:t>
            </w:r>
          </w:p>
          <w:p w14:paraId="3761B375">
            <w:pPr>
              <w:spacing w:line="360" w:lineRule="auto"/>
              <w:rPr>
                <w:rFonts w:ascii="宋体" w:hAnsi="宋体" w:cs="宋体"/>
                <w:color w:val="auto"/>
                <w:spacing w:val="2"/>
                <w:sz w:val="24"/>
              </w:rPr>
            </w:pPr>
            <w:r>
              <w:rPr>
                <w:rFonts w:hint="eastAsia" w:ascii="宋体" w:hAnsi="宋体" w:cs="宋体"/>
                <w:color w:val="auto"/>
                <w:spacing w:val="2"/>
                <w:sz w:val="24"/>
              </w:rPr>
              <w:t>工程质量要求：达到国家工程施工验收规范合格标准</w:t>
            </w:r>
          </w:p>
          <w:p w14:paraId="7D17AC19">
            <w:pPr>
              <w:spacing w:line="360" w:lineRule="auto"/>
              <w:rPr>
                <w:rFonts w:ascii="宋体" w:hAnsi="宋体" w:cs="宋体"/>
                <w:color w:val="auto"/>
                <w:spacing w:val="2"/>
                <w:sz w:val="24"/>
              </w:rPr>
            </w:pPr>
            <w:r>
              <w:rPr>
                <w:rFonts w:hint="eastAsia" w:ascii="宋体" w:hAnsi="宋体" w:cs="宋体"/>
                <w:color w:val="auto"/>
                <w:spacing w:val="2"/>
                <w:sz w:val="24"/>
              </w:rPr>
              <w:t>要求工期：</w:t>
            </w:r>
            <w:r>
              <w:rPr>
                <w:rFonts w:hint="eastAsia" w:ascii="宋体" w:hAnsi="宋体" w:cs="宋体"/>
                <w:color w:val="auto"/>
                <w:sz w:val="24"/>
              </w:rPr>
              <w:t>90日历天</w:t>
            </w:r>
            <w:r>
              <w:rPr>
                <w:rFonts w:hint="eastAsia" w:ascii="宋体" w:hAnsi="宋体" w:cs="宋体"/>
                <w:color w:val="auto"/>
                <w:spacing w:val="2"/>
                <w:sz w:val="24"/>
              </w:rPr>
              <w:t xml:space="preserve"> </w:t>
            </w:r>
          </w:p>
          <w:p w14:paraId="269AC522">
            <w:pPr>
              <w:pStyle w:val="68"/>
              <w:spacing w:line="360" w:lineRule="auto"/>
              <w:rPr>
                <w:rFonts w:hAnsi="宋体"/>
                <w:color w:val="auto"/>
                <w:sz w:val="24"/>
                <w:szCs w:val="24"/>
              </w:rPr>
            </w:pPr>
            <w:r>
              <w:rPr>
                <w:rFonts w:hint="eastAsia" w:hAnsi="宋体" w:cs="宋体"/>
                <w:color w:val="auto"/>
                <w:spacing w:val="2"/>
                <w:sz w:val="24"/>
                <w:szCs w:val="24"/>
              </w:rPr>
              <w:t>采购范围：</w:t>
            </w:r>
            <w:r>
              <w:rPr>
                <w:rFonts w:hint="eastAsia" w:hAnsi="宋体" w:cs="宋体"/>
                <w:color w:val="auto"/>
                <w:kern w:val="0"/>
                <w:sz w:val="24"/>
                <w:szCs w:val="24"/>
              </w:rPr>
              <w:t>详见工程量清单及图纸。</w:t>
            </w:r>
            <w:r>
              <w:rPr>
                <w:rFonts w:hint="eastAsia" w:hAnsi="宋体" w:cs="宋体"/>
                <w:color w:val="auto"/>
                <w:spacing w:val="2"/>
                <w:sz w:val="24"/>
                <w:szCs w:val="24"/>
              </w:rPr>
              <w:t xml:space="preserve"> </w:t>
            </w:r>
          </w:p>
        </w:tc>
      </w:tr>
      <w:tr w14:paraId="2BE3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B952888">
            <w:pPr>
              <w:pStyle w:val="68"/>
              <w:spacing w:line="360" w:lineRule="auto"/>
              <w:jc w:val="center"/>
              <w:rPr>
                <w:rFonts w:hAnsi="宋体"/>
                <w:color w:val="auto"/>
                <w:sz w:val="24"/>
                <w:szCs w:val="24"/>
              </w:rPr>
            </w:pPr>
            <w:r>
              <w:rPr>
                <w:rFonts w:hint="eastAsia" w:hAnsi="宋体"/>
                <w:color w:val="auto"/>
                <w:sz w:val="24"/>
                <w:szCs w:val="24"/>
              </w:rPr>
              <w:t>2</w:t>
            </w:r>
          </w:p>
        </w:tc>
        <w:tc>
          <w:tcPr>
            <w:tcW w:w="1284" w:type="dxa"/>
            <w:vAlign w:val="center"/>
          </w:tcPr>
          <w:p w14:paraId="18D11BA2">
            <w:pPr>
              <w:pStyle w:val="68"/>
              <w:spacing w:line="360" w:lineRule="auto"/>
              <w:rPr>
                <w:rFonts w:hAnsi="宋体"/>
                <w:color w:val="auto"/>
                <w:sz w:val="24"/>
                <w:szCs w:val="24"/>
              </w:rPr>
            </w:pPr>
            <w:r>
              <w:rPr>
                <w:rFonts w:hint="eastAsia" w:hAnsi="宋体" w:cs="宋体"/>
                <w:color w:val="auto"/>
                <w:spacing w:val="2"/>
                <w:sz w:val="24"/>
                <w:szCs w:val="24"/>
              </w:rPr>
              <w:t>项目采购预算控制价</w:t>
            </w:r>
          </w:p>
        </w:tc>
        <w:tc>
          <w:tcPr>
            <w:tcW w:w="8781" w:type="dxa"/>
            <w:vAlign w:val="center"/>
          </w:tcPr>
          <w:p w14:paraId="391924B1">
            <w:pPr>
              <w:pStyle w:val="68"/>
              <w:spacing w:line="360" w:lineRule="auto"/>
              <w:rPr>
                <w:rFonts w:hAnsi="宋体" w:cs="宋体"/>
                <w:color w:val="auto"/>
                <w:spacing w:val="2"/>
                <w:sz w:val="24"/>
                <w:szCs w:val="24"/>
              </w:rPr>
            </w:pPr>
            <w:r>
              <w:rPr>
                <w:rFonts w:hint="eastAsia" w:hAnsi="宋体" w:cs="宋体"/>
                <w:color w:val="auto"/>
                <w:spacing w:val="2"/>
                <w:sz w:val="24"/>
                <w:szCs w:val="24"/>
              </w:rPr>
              <w:t xml:space="preserve"> </w:t>
            </w:r>
            <w:r>
              <w:rPr>
                <w:rFonts w:hint="eastAsia" w:hAnsi="宋体" w:cs="宋体"/>
                <w:bCs/>
                <w:color w:val="auto"/>
                <w:sz w:val="24"/>
                <w:szCs w:val="24"/>
              </w:rPr>
              <w:t>745171.86元</w:t>
            </w:r>
          </w:p>
        </w:tc>
      </w:tr>
      <w:tr w14:paraId="437B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0A63531A">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284" w:type="dxa"/>
            <w:vAlign w:val="center"/>
          </w:tcPr>
          <w:p w14:paraId="3321A7C4">
            <w:pPr>
              <w:pStyle w:val="94"/>
              <w:ind w:firstLine="0"/>
              <w:jc w:val="center"/>
              <w:rPr>
                <w:color w:val="auto"/>
              </w:rPr>
            </w:pPr>
            <w:r>
              <w:rPr>
                <w:rFonts w:hint="eastAsia"/>
                <w:color w:val="auto"/>
              </w:rPr>
              <w:t>采购标的及其对应的中小企业划分标准所属行业</w:t>
            </w:r>
          </w:p>
        </w:tc>
        <w:tc>
          <w:tcPr>
            <w:tcW w:w="8781" w:type="dxa"/>
            <w:vAlign w:val="center"/>
          </w:tcPr>
          <w:p w14:paraId="5FD8DE0D">
            <w:pPr>
              <w:pStyle w:val="94"/>
              <w:ind w:firstLine="0"/>
              <w:rPr>
                <w:color w:val="auto"/>
              </w:rPr>
            </w:pPr>
            <w:r>
              <w:rPr>
                <w:rFonts w:hint="eastAsia" w:cs="宋体"/>
                <w:color w:val="auto"/>
                <w:szCs w:val="21"/>
              </w:rPr>
              <w:t xml:space="preserve">根据《关于印发中小企业划型标准规定的通知》（工信部联企业〔2011〕300号）规定的划分标准，本项目采购所有标的对应的中小企业划分标准所属行业为：建筑业。  </w:t>
            </w:r>
          </w:p>
        </w:tc>
      </w:tr>
      <w:tr w14:paraId="5602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95F2301">
            <w:pPr>
              <w:pStyle w:val="68"/>
              <w:spacing w:line="360" w:lineRule="auto"/>
              <w:jc w:val="center"/>
              <w:rPr>
                <w:rFonts w:hAnsi="宋体"/>
                <w:color w:val="auto"/>
                <w:sz w:val="24"/>
                <w:szCs w:val="24"/>
              </w:rPr>
            </w:pPr>
            <w:r>
              <w:rPr>
                <w:rFonts w:hint="eastAsia" w:hAnsi="宋体"/>
                <w:color w:val="auto"/>
                <w:sz w:val="24"/>
                <w:szCs w:val="24"/>
              </w:rPr>
              <w:t>4</w:t>
            </w:r>
          </w:p>
        </w:tc>
        <w:tc>
          <w:tcPr>
            <w:tcW w:w="1284" w:type="dxa"/>
            <w:vAlign w:val="center"/>
          </w:tcPr>
          <w:p w14:paraId="1E22DA6C">
            <w:pPr>
              <w:pStyle w:val="68"/>
              <w:spacing w:line="360" w:lineRule="auto"/>
              <w:jc w:val="center"/>
              <w:rPr>
                <w:rFonts w:hAnsi="宋体"/>
                <w:color w:val="auto"/>
                <w:sz w:val="24"/>
                <w:szCs w:val="24"/>
              </w:rPr>
            </w:pPr>
            <w:r>
              <w:rPr>
                <w:rFonts w:hint="eastAsia" w:hAnsi="宋体"/>
                <w:color w:val="auto"/>
                <w:sz w:val="24"/>
                <w:szCs w:val="24"/>
              </w:rPr>
              <w:t>磋商供应商资格</w:t>
            </w:r>
          </w:p>
        </w:tc>
        <w:tc>
          <w:tcPr>
            <w:tcW w:w="8781" w:type="dxa"/>
            <w:vAlign w:val="center"/>
          </w:tcPr>
          <w:p w14:paraId="3C0BD05B">
            <w:pPr>
              <w:widowControl/>
              <w:adjustRightInd w:val="0"/>
              <w:snapToGrid w:val="0"/>
              <w:spacing w:line="360" w:lineRule="auto"/>
              <w:rPr>
                <w:rFonts w:ascii="宋体" w:hAnsi="宋体"/>
                <w:color w:val="auto"/>
                <w:sz w:val="24"/>
              </w:rPr>
            </w:pPr>
            <w:r>
              <w:rPr>
                <w:rFonts w:hint="eastAsia" w:ascii="宋体" w:hAnsi="宋体"/>
                <w:color w:val="auto"/>
                <w:sz w:val="24"/>
              </w:rPr>
              <w:t>磋商供应商资格要求：</w:t>
            </w:r>
          </w:p>
          <w:p w14:paraId="7FE4C337">
            <w:pPr>
              <w:adjustRightInd w:val="0"/>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529EB4F6">
            <w:pPr>
              <w:adjustRightInd w:val="0"/>
              <w:spacing w:line="360" w:lineRule="auto"/>
              <w:rPr>
                <w:rFonts w:ascii="宋体" w:hAnsi="宋体" w:cs="宋体"/>
                <w:snapToGrid w:val="0"/>
                <w:color w:val="auto"/>
                <w:kern w:val="28"/>
                <w:sz w:val="24"/>
              </w:rPr>
            </w:pPr>
            <w:r>
              <w:rPr>
                <w:rFonts w:ascii="宋体" w:hAnsi="宋体" w:cs="宋体"/>
                <w:snapToGrid w:val="0"/>
                <w:color w:val="auto"/>
                <w:kern w:val="28"/>
                <w:sz w:val="24"/>
              </w:rPr>
              <w:t>2</w:t>
            </w:r>
            <w:r>
              <w:rPr>
                <w:rFonts w:hint="eastAsia" w:ascii="宋体" w:hAnsi="宋体" w:cs="宋体"/>
                <w:snapToGrid w:val="0"/>
                <w:color w:val="auto"/>
                <w:kern w:val="28"/>
                <w:sz w:val="24"/>
              </w:rPr>
              <w:t>.以联合体形式响应的，提供联合协议(本项目不接受联合体响应或者供应商不以联合体形式响应的，则不需要提供) ；</w:t>
            </w:r>
          </w:p>
          <w:p w14:paraId="39B94794">
            <w:pPr>
              <w:adjustRightInd w:val="0"/>
              <w:spacing w:line="360" w:lineRule="auto"/>
              <w:rPr>
                <w:rFonts w:ascii="宋体" w:hAnsi="宋体" w:cs="宋体"/>
                <w:snapToGrid w:val="0"/>
                <w:color w:val="auto"/>
                <w:kern w:val="28"/>
                <w:sz w:val="24"/>
              </w:rPr>
            </w:pPr>
            <w:r>
              <w:rPr>
                <w:rFonts w:ascii="宋体" w:hAnsi="宋体" w:cs="宋体"/>
                <w:snapToGrid w:val="0"/>
                <w:color w:val="auto"/>
                <w:kern w:val="28"/>
                <w:sz w:val="24"/>
              </w:rPr>
              <w:t>3</w:t>
            </w:r>
            <w:r>
              <w:rPr>
                <w:rFonts w:hint="eastAsia" w:ascii="宋体" w:hAnsi="宋体" w:cs="宋体"/>
                <w:snapToGrid w:val="0"/>
                <w:color w:val="auto"/>
                <w:kern w:val="28"/>
                <w:sz w:val="24"/>
              </w:rPr>
              <w:t>.落实政府采购政策需满足的资格要求：</w:t>
            </w:r>
          </w:p>
          <w:p w14:paraId="58297752">
            <w:pPr>
              <w:adjustRightInd w:val="0"/>
              <w:spacing w:line="360" w:lineRule="auto"/>
              <w:rPr>
                <w:rFonts w:ascii="宋体" w:hAnsi="宋体" w:cs="宋体"/>
                <w:color w:val="auto"/>
                <w:sz w:val="24"/>
              </w:rPr>
            </w:pPr>
            <w:r>
              <w:rPr>
                <w:rFonts w:hint="eastAsia" w:ascii="MS Mincho" w:hAnsi="MS Mincho" w:eastAsia="MS Mincho" w:cs="MS Mincho"/>
                <w:color w:val="auto"/>
                <w:sz w:val="24"/>
              </w:rPr>
              <w:t>☐</w:t>
            </w:r>
            <w:r>
              <w:rPr>
                <w:rFonts w:hint="eastAsia" w:ascii="宋体" w:hAnsi="宋体" w:cs="宋体"/>
                <w:color w:val="auto"/>
                <w:sz w:val="24"/>
              </w:rPr>
              <w:t>无</w:t>
            </w:r>
            <w:r>
              <w:rPr>
                <w:rFonts w:hint="eastAsia" w:ascii="宋体" w:hAnsi="宋体" w:cs="宋体"/>
                <w:snapToGrid w:val="0"/>
                <w:color w:val="auto"/>
                <w:kern w:val="28"/>
                <w:sz w:val="24"/>
              </w:rPr>
              <w:t>（注：不得限制大中型企业与小微企业组成联合体参与响应）</w:t>
            </w:r>
            <w:r>
              <w:rPr>
                <w:rFonts w:hint="eastAsia" w:ascii="宋体" w:hAnsi="宋体" w:cs="宋体"/>
                <w:color w:val="auto"/>
                <w:sz w:val="24"/>
              </w:rPr>
              <w:t>；</w:t>
            </w:r>
          </w:p>
          <w:p w14:paraId="2B4FED5D">
            <w:pPr>
              <w:adjustRightInd w:val="0"/>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kern w:val="0"/>
                <w:sz w:val="24"/>
              </w:rPr>
              <w:t>专</w:t>
            </w:r>
            <w:r>
              <w:rPr>
                <w:rFonts w:hint="eastAsia" w:ascii="宋体" w:hAnsi="宋体" w:cs="宋体"/>
                <w:color w:val="auto"/>
                <w:sz w:val="24"/>
              </w:rPr>
              <w:t>门面向中小企业</w:t>
            </w:r>
          </w:p>
          <w:p w14:paraId="6D1ACBDE">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lang w:eastAsia="zh-CN"/>
              </w:rPr>
              <w:t>工程全部由符合政策要求的中小企业承建</w:t>
            </w:r>
            <w:r>
              <w:rPr>
                <w:rFonts w:hint="eastAsia" w:ascii="宋体" w:hAnsi="宋体" w:cs="宋体"/>
                <w:color w:val="auto"/>
                <w:sz w:val="24"/>
              </w:rPr>
              <w:t>，提供中小企业声明函；</w:t>
            </w:r>
          </w:p>
          <w:p w14:paraId="0BC01F6A">
            <w:pPr>
              <w:adjustRightInd w:val="0"/>
              <w:spacing w:line="360" w:lineRule="auto"/>
              <w:ind w:firstLine="480" w:firstLineChars="200"/>
              <w:rPr>
                <w:rFonts w:hint="eastAsia" w:ascii="宋体" w:hAnsi="宋体" w:eastAsia="宋体" w:cs="宋体"/>
                <w:color w:val="auto"/>
                <w:sz w:val="24"/>
                <w:lang w:eastAsia="zh-CN"/>
              </w:rPr>
            </w:pPr>
            <w:r>
              <w:rPr>
                <w:rFonts w:hint="eastAsia" w:ascii="MS Mincho" w:hAnsi="MS Mincho" w:eastAsia="MS Mincho" w:cs="MS Mincho"/>
                <w:color w:val="auto"/>
                <w:sz w:val="24"/>
              </w:rPr>
              <w:t>☐</w:t>
            </w:r>
            <w:r>
              <w:rPr>
                <w:rFonts w:hint="eastAsia" w:ascii="宋体" w:hAnsi="宋体" w:eastAsia="宋体" w:cs="宋体"/>
                <w:color w:val="auto"/>
                <w:sz w:val="24"/>
                <w:lang w:eastAsia="zh-CN"/>
              </w:rPr>
              <w:t>工程全部由符合政策要求的小微企业承建</w:t>
            </w:r>
            <w:r>
              <w:rPr>
                <w:rFonts w:hint="eastAsia" w:ascii="宋体" w:hAnsi="宋体" w:cs="宋体"/>
                <w:color w:val="auto"/>
                <w:sz w:val="24"/>
                <w:lang w:eastAsia="zh-CN"/>
              </w:rPr>
              <w:t>，</w:t>
            </w:r>
            <w:r>
              <w:rPr>
                <w:rFonts w:hint="eastAsia" w:ascii="宋体" w:hAnsi="宋体" w:cs="宋体"/>
                <w:color w:val="auto"/>
                <w:sz w:val="24"/>
              </w:rPr>
              <w:t>提供中小企业声明函</w:t>
            </w:r>
            <w:r>
              <w:rPr>
                <w:rFonts w:hint="eastAsia" w:ascii="宋体" w:hAnsi="宋体" w:cs="宋体"/>
                <w:color w:val="auto"/>
                <w:sz w:val="24"/>
                <w:lang w:eastAsia="zh-CN"/>
              </w:rPr>
              <w:t>。</w:t>
            </w:r>
          </w:p>
          <w:p w14:paraId="0E6B786A">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4.本项目的特定资格要求：</w:t>
            </w:r>
            <w:r>
              <w:rPr>
                <w:rFonts w:hint="eastAsia" w:ascii="宋体" w:hAnsi="宋体" w:eastAsia="宋体" w:cs="宋体"/>
                <w:color w:val="auto"/>
                <w:kern w:val="0"/>
                <w:sz w:val="24"/>
                <w:szCs w:val="24"/>
              </w:rPr>
              <w:t>供应商须</w:t>
            </w:r>
            <w:r>
              <w:rPr>
                <w:rFonts w:hint="eastAsia" w:ascii="宋体" w:hAnsi="宋体" w:eastAsia="宋体" w:cs="宋体"/>
                <w:color w:val="auto"/>
                <w:sz w:val="24"/>
                <w:szCs w:val="24"/>
              </w:rPr>
              <w:t>具备水利水电工程施工二级（含）以上资质，具备有效的安全生产许可证, 并在人员、设备、资金等方面具备相应的施工能力</w:t>
            </w:r>
            <w:r>
              <w:rPr>
                <w:rFonts w:hint="eastAsia" w:ascii="宋体" w:hAnsi="宋体" w:eastAsia="宋体" w:cs="宋体"/>
                <w:color w:val="auto"/>
                <w:kern w:val="0"/>
                <w:sz w:val="24"/>
                <w:szCs w:val="24"/>
              </w:rPr>
              <w:t>。</w:t>
            </w:r>
          </w:p>
          <w:p w14:paraId="0DA73F13">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5.项目经理及管理人员的资格要求：</w:t>
            </w:r>
            <w:r>
              <w:rPr>
                <w:rFonts w:hint="eastAsia" w:ascii="宋体" w:hAnsi="宋体" w:eastAsia="宋体" w:cs="宋体"/>
                <w:color w:val="auto"/>
                <w:sz w:val="24"/>
                <w:szCs w:val="24"/>
              </w:rPr>
              <w:t>拟派驻项目经理须具备水利水电工程类专业二级（含）以上注册建造师执业资格，并获得省级或省级以上水行政主管部门或其授权部门（机构）颁发的安全生产考核合格证书（B类）</w:t>
            </w:r>
            <w:r>
              <w:rPr>
                <w:rFonts w:hint="eastAsia" w:ascii="宋体" w:hAnsi="宋体" w:eastAsia="宋体" w:cs="宋体"/>
                <w:color w:val="auto"/>
                <w:sz w:val="24"/>
                <w:szCs w:val="24"/>
                <w:lang w:eastAsia="zh-CN"/>
              </w:rPr>
              <w:t>，同时提供项目经理无在建、已中标（成交）未开工或已列为其他项目中标（成交）候选人第一名的情况的承诺函；专职安全员须持有效的安全生产考核合格证书（C类）；项目管理机构人员配置最低要求：项目经理1人、技术负责人1人、施工员1人、安全员1人、质量员1人、材料员1人。拟投入人员需为本单位在职员工，需提供项目管理机构所有人员身份证、有效资格证、近三个月（</w:t>
            </w:r>
            <w:r>
              <w:rPr>
                <w:rFonts w:hint="eastAsia" w:ascii="宋体" w:hAnsi="宋体" w:cs="宋体"/>
                <w:color w:val="auto"/>
                <w:sz w:val="24"/>
                <w:szCs w:val="24"/>
                <w:lang w:eastAsia="zh-CN"/>
              </w:rPr>
              <w:t>2026年02月至2026年04月</w:t>
            </w:r>
            <w:r>
              <w:rPr>
                <w:rFonts w:hint="eastAsia" w:ascii="宋体" w:hAnsi="宋体" w:eastAsia="宋体" w:cs="宋体"/>
                <w:color w:val="auto"/>
                <w:sz w:val="24"/>
                <w:szCs w:val="24"/>
                <w:lang w:eastAsia="zh-CN"/>
              </w:rPr>
              <w:t>）其中任何一个月在现任职单位依法缴纳社会保险证明材料（注：入职或转注本单位不足三个月的须提供最近一个月的参保缴费凭证）。</w:t>
            </w:r>
          </w:p>
          <w:p w14:paraId="16D675BC">
            <w:pPr>
              <w:spacing w:line="480" w:lineRule="exact"/>
              <w:jc w:val="left"/>
              <w:rPr>
                <w:rFonts w:ascii="宋体" w:hAnsi="宋体" w:cs="宋体"/>
                <w:color w:val="auto"/>
                <w:sz w:val="24"/>
              </w:rPr>
            </w:pPr>
            <w:r>
              <w:rPr>
                <w:rFonts w:hint="eastAsia" w:ascii="宋体" w:hAnsi="宋体" w:cs="宋体"/>
                <w:color w:val="auto"/>
                <w:sz w:val="24"/>
              </w:rPr>
              <w:t>6.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12F9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3CBEE2">
            <w:pPr>
              <w:pStyle w:val="68"/>
              <w:spacing w:line="360" w:lineRule="auto"/>
              <w:jc w:val="center"/>
              <w:rPr>
                <w:rFonts w:hAnsi="宋体"/>
                <w:color w:val="auto"/>
                <w:sz w:val="24"/>
                <w:szCs w:val="24"/>
              </w:rPr>
            </w:pPr>
            <w:r>
              <w:rPr>
                <w:rFonts w:hint="eastAsia" w:hAnsi="宋体"/>
                <w:color w:val="auto"/>
                <w:sz w:val="24"/>
                <w:szCs w:val="24"/>
              </w:rPr>
              <w:t>5</w:t>
            </w:r>
          </w:p>
        </w:tc>
        <w:tc>
          <w:tcPr>
            <w:tcW w:w="1284" w:type="dxa"/>
            <w:vAlign w:val="center"/>
          </w:tcPr>
          <w:p w14:paraId="79FD2244">
            <w:pPr>
              <w:pStyle w:val="68"/>
              <w:spacing w:line="360" w:lineRule="auto"/>
              <w:jc w:val="center"/>
              <w:rPr>
                <w:rFonts w:hAnsi="宋体"/>
                <w:color w:val="auto"/>
                <w:sz w:val="24"/>
                <w:szCs w:val="24"/>
              </w:rPr>
            </w:pPr>
            <w:r>
              <w:rPr>
                <w:rFonts w:hint="eastAsia" w:hAnsi="宋体" w:cs="宋体"/>
                <w:b/>
                <w:color w:val="auto"/>
                <w:sz w:val="24"/>
                <w:szCs w:val="24"/>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704CEBA2">
            <w:pPr>
              <w:snapToGrid w:val="0"/>
              <w:spacing w:line="360" w:lineRule="auto"/>
              <w:rPr>
                <w:rFonts w:ascii="宋体" w:hAnsi="宋体" w:cs="宋体"/>
                <w:color w:val="auto"/>
                <w:sz w:val="24"/>
              </w:rPr>
            </w:pPr>
            <w:r>
              <w:rPr>
                <w:rFonts w:hint="eastAsia" w:ascii="宋体" w:hAnsi="宋体" w:cs="宋体"/>
                <w:color w:val="auto"/>
                <w:sz w:val="24"/>
              </w:rPr>
              <w:t>本项目不收取磋商保证金。</w:t>
            </w:r>
          </w:p>
        </w:tc>
      </w:tr>
      <w:tr w14:paraId="28BE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3F81316">
            <w:pPr>
              <w:pStyle w:val="68"/>
              <w:spacing w:line="360" w:lineRule="auto"/>
              <w:jc w:val="center"/>
              <w:rPr>
                <w:rFonts w:hAnsi="宋体"/>
                <w:color w:val="auto"/>
                <w:sz w:val="24"/>
                <w:szCs w:val="24"/>
              </w:rPr>
            </w:pPr>
            <w:r>
              <w:rPr>
                <w:rFonts w:hint="eastAsia" w:hAnsi="宋体"/>
                <w:color w:val="auto"/>
                <w:sz w:val="24"/>
                <w:szCs w:val="24"/>
              </w:rPr>
              <w:t>6</w:t>
            </w:r>
          </w:p>
        </w:tc>
        <w:tc>
          <w:tcPr>
            <w:tcW w:w="1284" w:type="dxa"/>
            <w:vAlign w:val="center"/>
          </w:tcPr>
          <w:p w14:paraId="4643D79B">
            <w:pPr>
              <w:pStyle w:val="68"/>
              <w:spacing w:line="360" w:lineRule="auto"/>
              <w:jc w:val="center"/>
              <w:rPr>
                <w:rFonts w:hAnsi="宋体"/>
                <w:color w:val="auto"/>
                <w:sz w:val="24"/>
                <w:szCs w:val="24"/>
              </w:rPr>
            </w:pPr>
            <w:r>
              <w:rPr>
                <w:rFonts w:hint="eastAsia" w:hAnsi="宋体" w:cs="宋体"/>
                <w:b/>
                <w:bCs/>
                <w:color w:val="auto"/>
                <w:sz w:val="24"/>
                <w:szCs w:val="24"/>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49209C9C">
            <w:pPr>
              <w:snapToGrid w:val="0"/>
              <w:spacing w:line="360" w:lineRule="auto"/>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A同意将非主体、非关键性的工作分包。</w:t>
            </w:r>
          </w:p>
          <w:p w14:paraId="25D7EA1C">
            <w:pPr>
              <w:snapToGrid w:val="0"/>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B不同意分包。</w:t>
            </w:r>
          </w:p>
        </w:tc>
      </w:tr>
      <w:tr w14:paraId="2C5F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F7178A1">
            <w:pPr>
              <w:pStyle w:val="68"/>
              <w:spacing w:line="360" w:lineRule="auto"/>
              <w:jc w:val="center"/>
              <w:rPr>
                <w:rFonts w:hAnsi="宋体"/>
                <w:color w:val="auto"/>
                <w:sz w:val="24"/>
                <w:szCs w:val="24"/>
              </w:rPr>
            </w:pPr>
            <w:r>
              <w:rPr>
                <w:rFonts w:hint="eastAsia" w:hAnsi="宋体"/>
                <w:color w:val="auto"/>
                <w:sz w:val="24"/>
                <w:szCs w:val="24"/>
              </w:rPr>
              <w:t>7</w:t>
            </w:r>
          </w:p>
        </w:tc>
        <w:tc>
          <w:tcPr>
            <w:tcW w:w="1284" w:type="dxa"/>
            <w:vAlign w:val="center"/>
          </w:tcPr>
          <w:p w14:paraId="38EDA428">
            <w:pPr>
              <w:pStyle w:val="68"/>
              <w:spacing w:line="360" w:lineRule="auto"/>
              <w:jc w:val="center"/>
              <w:rPr>
                <w:rFonts w:hAnsi="宋体"/>
                <w:color w:val="auto"/>
                <w:sz w:val="24"/>
                <w:szCs w:val="24"/>
              </w:rPr>
            </w:pPr>
            <w:r>
              <w:rPr>
                <w:rFonts w:hint="eastAsia" w:hAnsi="宋体"/>
                <w:color w:val="auto"/>
                <w:sz w:val="24"/>
                <w:szCs w:val="24"/>
              </w:rPr>
              <w:t>报价要求</w:t>
            </w:r>
          </w:p>
        </w:tc>
        <w:tc>
          <w:tcPr>
            <w:tcW w:w="8781" w:type="dxa"/>
            <w:vAlign w:val="center"/>
          </w:tcPr>
          <w:p w14:paraId="6ADC50D4">
            <w:pPr>
              <w:widowControl/>
              <w:adjustRightInd w:val="0"/>
              <w:snapToGrid w:val="0"/>
              <w:spacing w:line="360" w:lineRule="auto"/>
              <w:rPr>
                <w:rFonts w:ascii="宋体" w:hAnsi="宋体"/>
                <w:color w:val="auto"/>
                <w:sz w:val="24"/>
              </w:rPr>
            </w:pPr>
            <w:r>
              <w:rPr>
                <w:rFonts w:hint="eastAsia" w:ascii="宋体" w:hAnsi="宋体"/>
                <w:color w:val="auto"/>
                <w:kern w:val="0"/>
                <w:sz w:val="24"/>
              </w:rPr>
              <w:t>供应商应就《采购需求》中所有的服务内容作完整唯一报价。</w:t>
            </w:r>
          </w:p>
        </w:tc>
      </w:tr>
      <w:tr w14:paraId="1477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2DECA234">
            <w:pPr>
              <w:pStyle w:val="68"/>
              <w:spacing w:line="360" w:lineRule="auto"/>
              <w:jc w:val="center"/>
              <w:rPr>
                <w:rFonts w:hAnsi="宋体"/>
                <w:color w:val="auto"/>
                <w:sz w:val="24"/>
                <w:szCs w:val="24"/>
              </w:rPr>
            </w:pPr>
            <w:r>
              <w:rPr>
                <w:rFonts w:hint="eastAsia" w:hAnsi="宋体"/>
                <w:color w:val="auto"/>
                <w:sz w:val="24"/>
                <w:szCs w:val="24"/>
              </w:rPr>
              <w:t>8</w:t>
            </w:r>
          </w:p>
        </w:tc>
        <w:tc>
          <w:tcPr>
            <w:tcW w:w="1284" w:type="dxa"/>
            <w:vAlign w:val="center"/>
          </w:tcPr>
          <w:p w14:paraId="12C57E13">
            <w:pPr>
              <w:pStyle w:val="68"/>
              <w:spacing w:line="360" w:lineRule="auto"/>
              <w:jc w:val="center"/>
              <w:rPr>
                <w:rFonts w:hAnsi="宋体"/>
                <w:color w:val="auto"/>
                <w:sz w:val="24"/>
                <w:szCs w:val="24"/>
              </w:rPr>
            </w:pPr>
            <w:r>
              <w:rPr>
                <w:rFonts w:hint="eastAsia" w:hAnsi="宋体"/>
                <w:color w:val="auto"/>
                <w:sz w:val="24"/>
                <w:szCs w:val="24"/>
              </w:rPr>
              <w:t>磋商前准备</w:t>
            </w:r>
          </w:p>
        </w:tc>
        <w:tc>
          <w:tcPr>
            <w:tcW w:w="8781" w:type="dxa"/>
            <w:vAlign w:val="center"/>
          </w:tcPr>
          <w:p w14:paraId="081F6867">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本项目实行网上</w:t>
            </w:r>
            <w:r>
              <w:rPr>
                <w:rFonts w:hint="eastAsia" w:ascii="宋体" w:hAnsi="宋体"/>
                <w:color w:val="auto"/>
                <w:kern w:val="0"/>
                <w:sz w:val="24"/>
              </w:rPr>
              <w:t>磋商</w:t>
            </w:r>
            <w:r>
              <w:rPr>
                <w:rFonts w:ascii="宋体" w:hAnsi="宋体"/>
                <w:color w:val="auto"/>
                <w:kern w:val="0"/>
                <w:sz w:val="24"/>
              </w:rPr>
              <w:t>，采用电子</w:t>
            </w:r>
            <w:r>
              <w:rPr>
                <w:rFonts w:hint="eastAsia" w:ascii="宋体" w:hAnsi="宋体"/>
                <w:color w:val="auto"/>
                <w:kern w:val="0"/>
                <w:sz w:val="24"/>
              </w:rPr>
              <w:t>磋商响应</w:t>
            </w:r>
            <w:r>
              <w:rPr>
                <w:rFonts w:ascii="宋体" w:hAnsi="宋体"/>
                <w:color w:val="auto"/>
                <w:kern w:val="0"/>
                <w:sz w:val="24"/>
              </w:rPr>
              <w:t>文件。若供应商参与</w:t>
            </w:r>
            <w:r>
              <w:rPr>
                <w:rFonts w:hint="eastAsia" w:ascii="宋体" w:hAnsi="宋体"/>
                <w:color w:val="auto"/>
                <w:kern w:val="0"/>
                <w:sz w:val="24"/>
              </w:rPr>
              <w:t>磋商</w:t>
            </w:r>
            <w:r>
              <w:rPr>
                <w:rFonts w:ascii="宋体" w:hAnsi="宋体"/>
                <w:color w:val="auto"/>
                <w:kern w:val="0"/>
                <w:sz w:val="24"/>
              </w:rPr>
              <w:t>，自行承担</w:t>
            </w:r>
            <w:r>
              <w:rPr>
                <w:rFonts w:hint="eastAsia" w:ascii="宋体" w:hAnsi="宋体"/>
                <w:color w:val="auto"/>
                <w:kern w:val="0"/>
                <w:sz w:val="24"/>
              </w:rPr>
              <w:t>磋商</w:t>
            </w:r>
            <w:r>
              <w:rPr>
                <w:rFonts w:ascii="宋体" w:hAnsi="宋体"/>
                <w:color w:val="auto"/>
                <w:kern w:val="0"/>
                <w:sz w:val="24"/>
              </w:rPr>
              <w:t>一切费用</w:t>
            </w:r>
            <w:r>
              <w:rPr>
                <w:rFonts w:hint="eastAsia" w:ascii="宋体" w:hAnsi="宋体"/>
                <w:color w:val="auto"/>
                <w:kern w:val="0"/>
                <w:sz w:val="24"/>
              </w:rPr>
              <w:t>。</w:t>
            </w:r>
          </w:p>
          <w:p w14:paraId="107028C4">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各供应商应在</w:t>
            </w:r>
            <w:r>
              <w:rPr>
                <w:rFonts w:hint="eastAsia" w:ascii="宋体" w:hAnsi="宋体"/>
                <w:color w:val="auto"/>
                <w:kern w:val="0"/>
                <w:sz w:val="24"/>
              </w:rPr>
              <w:t>截</w:t>
            </w:r>
            <w:r>
              <w:rPr>
                <w:rFonts w:ascii="宋体" w:hAnsi="宋体"/>
                <w:color w:val="auto"/>
                <w:kern w:val="0"/>
                <w:sz w:val="24"/>
              </w:rPr>
              <w:t>标前应确保成为</w:t>
            </w:r>
            <w:r>
              <w:rPr>
                <w:rFonts w:hint="eastAsia" w:ascii="宋体" w:hAnsi="宋体"/>
                <w:color w:val="auto"/>
                <w:kern w:val="0"/>
                <w:sz w:val="24"/>
              </w:rPr>
              <w:t>“广西政府采购云平台”</w:t>
            </w:r>
            <w:r>
              <w:rPr>
                <w:rFonts w:ascii="宋体" w:hAnsi="宋体"/>
                <w:color w:val="auto"/>
                <w:kern w:val="0"/>
                <w:sz w:val="24"/>
              </w:rPr>
              <w:t>正式注册入库供应商，并完成CA数字证书</w:t>
            </w:r>
            <w:r>
              <w:rPr>
                <w:rFonts w:hint="eastAsia" w:ascii="宋体" w:hAnsi="宋体"/>
                <w:color w:val="auto"/>
                <w:kern w:val="0"/>
                <w:sz w:val="24"/>
              </w:rPr>
              <w:t>申领</w:t>
            </w:r>
            <w:r>
              <w:rPr>
                <w:rFonts w:ascii="宋体" w:hAnsi="宋体"/>
                <w:color w:val="auto"/>
                <w:kern w:val="0"/>
                <w:sz w:val="24"/>
              </w:rPr>
              <w:t>。因未注册入库、未办理CA数字证书等原因造成无法</w:t>
            </w:r>
            <w:r>
              <w:rPr>
                <w:rFonts w:hint="eastAsia" w:ascii="宋体" w:hAnsi="宋体"/>
                <w:color w:val="auto"/>
                <w:kern w:val="0"/>
                <w:sz w:val="24"/>
              </w:rPr>
              <w:t>磋商</w:t>
            </w:r>
            <w:r>
              <w:rPr>
                <w:rFonts w:ascii="宋体" w:hAnsi="宋体"/>
                <w:color w:val="auto"/>
                <w:kern w:val="0"/>
                <w:sz w:val="24"/>
              </w:rPr>
              <w:t>或</w:t>
            </w:r>
            <w:r>
              <w:rPr>
                <w:rFonts w:hint="eastAsia" w:ascii="宋体" w:hAnsi="宋体"/>
                <w:color w:val="auto"/>
                <w:kern w:val="0"/>
                <w:sz w:val="24"/>
              </w:rPr>
              <w:t>磋商</w:t>
            </w:r>
            <w:r>
              <w:rPr>
                <w:rFonts w:ascii="宋体" w:hAnsi="宋体"/>
                <w:color w:val="auto"/>
                <w:kern w:val="0"/>
                <w:sz w:val="24"/>
              </w:rPr>
              <w:t>失败等后果由供应商自行承担。</w:t>
            </w:r>
          </w:p>
          <w:p w14:paraId="73695B9B">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供应商将</w:t>
            </w:r>
            <w:r>
              <w:rPr>
                <w:rFonts w:hint="eastAsia" w:ascii="宋体" w:hAnsi="宋体"/>
                <w:color w:val="auto"/>
                <w:kern w:val="0"/>
                <w:sz w:val="24"/>
              </w:rPr>
              <w:t>广西政府采购云平台</w:t>
            </w:r>
            <w:r>
              <w:rPr>
                <w:rFonts w:ascii="宋体" w:hAnsi="宋体"/>
                <w:color w:val="auto"/>
                <w:kern w:val="0"/>
                <w:sz w:val="24"/>
              </w:rPr>
              <w:t>电子交易客户端下载、安装完成后，可通过账号密码或CA登录客户端进行</w:t>
            </w:r>
            <w:r>
              <w:rPr>
                <w:rFonts w:hint="eastAsia" w:ascii="宋体" w:hAnsi="宋体"/>
                <w:color w:val="auto"/>
                <w:kern w:val="0"/>
                <w:sz w:val="24"/>
              </w:rPr>
              <w:t>磋商响应</w:t>
            </w:r>
            <w:r>
              <w:rPr>
                <w:rFonts w:ascii="宋体" w:hAnsi="宋体"/>
                <w:color w:val="auto"/>
                <w:kern w:val="0"/>
                <w:sz w:val="24"/>
              </w:rPr>
              <w:t>文件制作。</w:t>
            </w:r>
            <w:r>
              <w:rPr>
                <w:rFonts w:hint="eastAsia" w:ascii="宋体" w:hAnsi="宋体"/>
                <w:color w:val="auto"/>
                <w:kern w:val="0"/>
                <w:sz w:val="24"/>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rPr>
              <w:t>95763</w:t>
            </w:r>
            <w:r>
              <w:rPr>
                <w:rFonts w:hint="eastAsia" w:ascii="宋体" w:hAnsi="宋体"/>
                <w:color w:val="auto"/>
                <w:kern w:val="0"/>
                <w:sz w:val="24"/>
              </w:rPr>
              <w:t>进行咨询。</w:t>
            </w:r>
          </w:p>
          <w:p w14:paraId="1772087B">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4.通过“广西政府采购云平台”上传递交的“电子加密磋商响应文件”无法按时解密，视为磋商响应文件撤回，磋商无效。</w:t>
            </w:r>
          </w:p>
        </w:tc>
      </w:tr>
      <w:tr w14:paraId="000F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B20B3BD">
            <w:pPr>
              <w:pStyle w:val="68"/>
              <w:spacing w:line="360" w:lineRule="auto"/>
              <w:jc w:val="center"/>
              <w:rPr>
                <w:rFonts w:hAnsi="宋体"/>
                <w:color w:val="auto"/>
                <w:sz w:val="24"/>
                <w:szCs w:val="24"/>
              </w:rPr>
            </w:pPr>
            <w:r>
              <w:rPr>
                <w:rFonts w:hint="eastAsia" w:hAnsi="宋体"/>
                <w:color w:val="auto"/>
                <w:sz w:val="24"/>
                <w:szCs w:val="24"/>
              </w:rPr>
              <w:t>9</w:t>
            </w:r>
          </w:p>
        </w:tc>
        <w:tc>
          <w:tcPr>
            <w:tcW w:w="1284" w:type="dxa"/>
            <w:vAlign w:val="center"/>
          </w:tcPr>
          <w:p w14:paraId="7D7BFF0C">
            <w:pPr>
              <w:pStyle w:val="68"/>
              <w:spacing w:line="360" w:lineRule="auto"/>
              <w:jc w:val="center"/>
              <w:rPr>
                <w:rFonts w:hAnsi="宋体"/>
                <w:color w:val="auto"/>
                <w:sz w:val="24"/>
                <w:szCs w:val="24"/>
              </w:rPr>
            </w:pPr>
            <w:r>
              <w:rPr>
                <w:rFonts w:hint="eastAsia" w:hAnsi="宋体"/>
                <w:color w:val="auto"/>
                <w:sz w:val="24"/>
                <w:szCs w:val="24"/>
              </w:rPr>
              <w:t>响应文件递交截止时间</w:t>
            </w:r>
          </w:p>
        </w:tc>
        <w:tc>
          <w:tcPr>
            <w:tcW w:w="8781" w:type="dxa"/>
            <w:vAlign w:val="center"/>
          </w:tcPr>
          <w:p w14:paraId="72F1E0E0">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响应文件递交截止时间：</w:t>
            </w:r>
            <w:r>
              <w:rPr>
                <w:rFonts w:hint="eastAsia" w:ascii="宋体" w:hAnsi="宋体" w:cs="宋体"/>
                <w:color w:val="auto"/>
                <w:kern w:val="0"/>
                <w:sz w:val="24"/>
                <w:u w:val="single"/>
                <w:lang w:eastAsia="zh-CN"/>
              </w:rPr>
              <w:t>2026年6月9日</w:t>
            </w:r>
            <w:r>
              <w:rPr>
                <w:rFonts w:hint="eastAsia" w:ascii="宋体" w:hAnsi="宋体" w:cs="宋体"/>
                <w:color w:val="auto"/>
                <w:kern w:val="0"/>
                <w:sz w:val="24"/>
                <w:u w:val="single"/>
              </w:rPr>
              <w:t>9:00</w:t>
            </w:r>
            <w:r>
              <w:rPr>
                <w:rFonts w:hint="eastAsia" w:ascii="宋体" w:hAnsi="宋体" w:cs="宋体"/>
                <w:color w:val="auto"/>
                <w:kern w:val="0"/>
                <w:sz w:val="24"/>
              </w:rPr>
              <w:t>之前将</w:t>
            </w:r>
            <w:r>
              <w:rPr>
                <w:rFonts w:hint="eastAsia" w:ascii="宋体" w:hAnsi="宋体"/>
                <w:color w:val="auto"/>
                <w:kern w:val="0"/>
                <w:sz w:val="24"/>
              </w:rPr>
              <w:t>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rPr>
              <w:t>95763</w:t>
            </w:r>
            <w:r>
              <w:rPr>
                <w:rFonts w:hint="eastAsia" w:ascii="宋体" w:hAnsi="宋体"/>
                <w:color w:val="auto"/>
                <w:kern w:val="0"/>
                <w:sz w:val="24"/>
              </w:rPr>
              <w:t>。</w:t>
            </w:r>
          </w:p>
        </w:tc>
      </w:tr>
      <w:tr w14:paraId="363D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27936F7C">
            <w:pPr>
              <w:pStyle w:val="68"/>
              <w:spacing w:line="360" w:lineRule="auto"/>
              <w:jc w:val="center"/>
              <w:rPr>
                <w:rFonts w:hAnsi="宋体"/>
                <w:color w:val="auto"/>
                <w:sz w:val="24"/>
                <w:szCs w:val="24"/>
              </w:rPr>
            </w:pPr>
            <w:r>
              <w:rPr>
                <w:rFonts w:hint="eastAsia" w:hAnsi="宋体"/>
                <w:color w:val="auto"/>
                <w:sz w:val="24"/>
                <w:szCs w:val="24"/>
              </w:rPr>
              <w:t>10</w:t>
            </w:r>
          </w:p>
        </w:tc>
        <w:tc>
          <w:tcPr>
            <w:tcW w:w="1284" w:type="dxa"/>
            <w:vAlign w:val="center"/>
          </w:tcPr>
          <w:p w14:paraId="03507738">
            <w:pPr>
              <w:pStyle w:val="22"/>
              <w:spacing w:line="360" w:lineRule="auto"/>
              <w:jc w:val="center"/>
              <w:rPr>
                <w:rFonts w:hAnsi="宋体"/>
                <w:color w:val="auto"/>
                <w:sz w:val="24"/>
                <w:szCs w:val="24"/>
              </w:rPr>
            </w:pPr>
            <w:r>
              <w:rPr>
                <w:rFonts w:hint="eastAsia" w:hAnsi="宋体"/>
                <w:color w:val="auto"/>
                <w:sz w:val="24"/>
                <w:szCs w:val="24"/>
              </w:rPr>
              <w:t>有效期</w:t>
            </w:r>
          </w:p>
        </w:tc>
        <w:tc>
          <w:tcPr>
            <w:tcW w:w="8781" w:type="dxa"/>
            <w:vAlign w:val="center"/>
          </w:tcPr>
          <w:p w14:paraId="66B13695">
            <w:pPr>
              <w:widowControl/>
              <w:adjustRightInd w:val="0"/>
              <w:snapToGrid w:val="0"/>
              <w:spacing w:line="360" w:lineRule="auto"/>
              <w:rPr>
                <w:rFonts w:ascii="宋体" w:hAnsi="宋体"/>
                <w:color w:val="auto"/>
                <w:sz w:val="24"/>
              </w:rPr>
            </w:pPr>
            <w:r>
              <w:rPr>
                <w:rFonts w:hint="eastAsia" w:ascii="宋体" w:hAnsi="宋体"/>
                <w:color w:val="auto"/>
                <w:kern w:val="0"/>
                <w:sz w:val="24"/>
              </w:rPr>
              <w:t>响应文件有效期：响应文件递交截止日期后六十日。</w:t>
            </w:r>
          </w:p>
        </w:tc>
      </w:tr>
      <w:tr w14:paraId="4E28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08AF34D">
            <w:pPr>
              <w:pStyle w:val="68"/>
              <w:spacing w:line="360" w:lineRule="auto"/>
              <w:jc w:val="center"/>
              <w:rPr>
                <w:rFonts w:hAnsi="宋体"/>
                <w:color w:val="auto"/>
                <w:sz w:val="24"/>
                <w:szCs w:val="24"/>
              </w:rPr>
            </w:pPr>
            <w:r>
              <w:rPr>
                <w:rFonts w:hint="eastAsia" w:hAnsi="宋体"/>
                <w:color w:val="auto"/>
                <w:sz w:val="24"/>
                <w:szCs w:val="24"/>
              </w:rPr>
              <w:t>11</w:t>
            </w:r>
          </w:p>
        </w:tc>
        <w:tc>
          <w:tcPr>
            <w:tcW w:w="1284" w:type="dxa"/>
            <w:vAlign w:val="center"/>
          </w:tcPr>
          <w:p w14:paraId="07B4D355">
            <w:pPr>
              <w:overflowPunct w:val="0"/>
              <w:spacing w:line="360" w:lineRule="auto"/>
              <w:jc w:val="center"/>
              <w:rPr>
                <w:rFonts w:ascii="宋体" w:hAnsi="宋体" w:cs="Courier New"/>
                <w:color w:val="auto"/>
                <w:sz w:val="24"/>
              </w:rPr>
            </w:pPr>
            <w:r>
              <w:rPr>
                <w:rFonts w:hint="eastAsia" w:ascii="宋体" w:hAnsi="宋体" w:cs="Courier New"/>
                <w:color w:val="auto"/>
                <w:sz w:val="24"/>
              </w:rPr>
              <w:t>磋商响应文件解密时间</w:t>
            </w:r>
          </w:p>
        </w:tc>
        <w:tc>
          <w:tcPr>
            <w:tcW w:w="8781" w:type="dxa"/>
            <w:vAlign w:val="center"/>
          </w:tcPr>
          <w:p w14:paraId="11216BB0">
            <w:pPr>
              <w:widowControl/>
              <w:adjustRightInd w:val="0"/>
              <w:snapToGrid w:val="0"/>
              <w:spacing w:line="360" w:lineRule="auto"/>
              <w:rPr>
                <w:rFonts w:ascii="宋体" w:hAnsi="宋体" w:cs="Courier New"/>
                <w:color w:val="auto"/>
                <w:sz w:val="24"/>
              </w:rPr>
            </w:pPr>
            <w:r>
              <w:rPr>
                <w:rFonts w:hint="eastAsia" w:ascii="宋体" w:hAnsi="宋体"/>
                <w:color w:val="auto"/>
                <w:kern w:val="0"/>
                <w:sz w:val="24"/>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2DC9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497C109">
            <w:pPr>
              <w:pStyle w:val="68"/>
              <w:spacing w:line="360" w:lineRule="auto"/>
              <w:jc w:val="center"/>
              <w:rPr>
                <w:rFonts w:hAnsi="宋体"/>
                <w:color w:val="auto"/>
                <w:sz w:val="24"/>
                <w:szCs w:val="24"/>
              </w:rPr>
            </w:pPr>
            <w:r>
              <w:rPr>
                <w:rFonts w:hint="eastAsia" w:hAnsi="宋体"/>
                <w:color w:val="auto"/>
                <w:sz w:val="24"/>
                <w:szCs w:val="24"/>
              </w:rPr>
              <w:t>12</w:t>
            </w:r>
          </w:p>
        </w:tc>
        <w:tc>
          <w:tcPr>
            <w:tcW w:w="1284" w:type="dxa"/>
            <w:vAlign w:val="center"/>
          </w:tcPr>
          <w:p w14:paraId="00DDB05A">
            <w:pPr>
              <w:pStyle w:val="68"/>
              <w:spacing w:line="360" w:lineRule="auto"/>
              <w:jc w:val="center"/>
              <w:rPr>
                <w:rFonts w:hAnsi="宋体"/>
                <w:color w:val="auto"/>
                <w:sz w:val="24"/>
                <w:szCs w:val="24"/>
              </w:rPr>
            </w:pPr>
            <w:r>
              <w:rPr>
                <w:rFonts w:hint="eastAsia" w:hAnsi="宋体"/>
                <w:color w:val="auto"/>
                <w:sz w:val="24"/>
                <w:szCs w:val="24"/>
              </w:rPr>
              <w:t>评审方法</w:t>
            </w:r>
          </w:p>
        </w:tc>
        <w:tc>
          <w:tcPr>
            <w:tcW w:w="8781" w:type="dxa"/>
            <w:vAlign w:val="center"/>
          </w:tcPr>
          <w:p w14:paraId="011B4283">
            <w:pPr>
              <w:pStyle w:val="68"/>
              <w:spacing w:line="360" w:lineRule="auto"/>
              <w:rPr>
                <w:rFonts w:hAnsi="宋体"/>
                <w:color w:val="auto"/>
                <w:sz w:val="24"/>
                <w:szCs w:val="24"/>
              </w:rPr>
            </w:pPr>
            <w:r>
              <w:rPr>
                <w:rFonts w:hint="eastAsia" w:hAnsi="宋体"/>
                <w:color w:val="auto"/>
                <w:sz w:val="24"/>
                <w:szCs w:val="24"/>
              </w:rPr>
              <w:t>评审方法：综合评分法（详细见第七章）</w:t>
            </w:r>
          </w:p>
        </w:tc>
      </w:tr>
      <w:tr w14:paraId="619B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DC74803">
            <w:pPr>
              <w:pStyle w:val="68"/>
              <w:spacing w:line="360" w:lineRule="auto"/>
              <w:jc w:val="center"/>
              <w:rPr>
                <w:rFonts w:hAnsi="宋体"/>
                <w:color w:val="auto"/>
                <w:sz w:val="24"/>
                <w:szCs w:val="24"/>
              </w:rPr>
            </w:pPr>
            <w:r>
              <w:rPr>
                <w:rFonts w:hint="eastAsia" w:hAnsi="宋体"/>
                <w:color w:val="auto"/>
                <w:sz w:val="24"/>
                <w:szCs w:val="24"/>
              </w:rPr>
              <w:t>13</w:t>
            </w:r>
          </w:p>
        </w:tc>
        <w:tc>
          <w:tcPr>
            <w:tcW w:w="1284" w:type="dxa"/>
            <w:vAlign w:val="center"/>
          </w:tcPr>
          <w:p w14:paraId="6F5BAB68">
            <w:pPr>
              <w:pStyle w:val="68"/>
              <w:spacing w:line="360" w:lineRule="auto"/>
              <w:jc w:val="center"/>
              <w:rPr>
                <w:rFonts w:hAnsi="宋体"/>
                <w:bCs/>
                <w:color w:val="auto"/>
                <w:sz w:val="24"/>
                <w:szCs w:val="24"/>
              </w:rPr>
            </w:pPr>
            <w:r>
              <w:rPr>
                <w:rFonts w:hint="eastAsia" w:hAnsi="宋体"/>
                <w:bCs/>
                <w:color w:val="auto"/>
                <w:sz w:val="24"/>
                <w:szCs w:val="24"/>
              </w:rPr>
              <w:t>成交</w:t>
            </w:r>
            <w:r>
              <w:rPr>
                <w:rFonts w:hAnsi="宋体"/>
                <w:bCs/>
                <w:color w:val="auto"/>
                <w:sz w:val="24"/>
                <w:szCs w:val="24"/>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9F5C782">
            <w:pPr>
              <w:autoSpaceDE w:val="0"/>
              <w:autoSpaceDN w:val="0"/>
              <w:snapToGrid w:val="0"/>
              <w:spacing w:line="360" w:lineRule="auto"/>
              <w:textAlignment w:val="bottom"/>
              <w:rPr>
                <w:rFonts w:ascii="宋体" w:hAnsi="宋体" w:cs="宋体"/>
                <w:color w:val="auto"/>
                <w:sz w:val="24"/>
              </w:rPr>
            </w:pPr>
            <w:r>
              <w:rPr>
                <w:rFonts w:hint="eastAsia" w:ascii="宋体" w:hAnsi="宋体" w:cs="宋体"/>
                <w:b/>
                <w:bCs/>
                <w:color w:val="auto"/>
                <w:sz w:val="24"/>
              </w:rPr>
              <w:t>成交通知书及成交公告：</w:t>
            </w:r>
            <w:r>
              <w:rPr>
                <w:rFonts w:hint="eastAsia" w:ascii="宋体" w:hAnsi="宋体" w:cs="宋体"/>
                <w:color w:val="auto"/>
                <w:sz w:val="24"/>
              </w:rPr>
              <w:t>北海市政府采购中心在采购人依法确定成交人之日起2个工作日内发出成交通知书，并在中国政府采购网、广西政府采购网、北海市政府采购监管网、北海市政府采购中心 - 北海市人民政府网、全国公共资源交易平台（广西·北海）发布成交公告。</w:t>
            </w:r>
          </w:p>
          <w:p w14:paraId="35EAFE8C">
            <w:pPr>
              <w:autoSpaceDE w:val="0"/>
              <w:autoSpaceDN w:val="0"/>
              <w:snapToGrid w:val="0"/>
              <w:spacing w:line="360" w:lineRule="auto"/>
              <w:textAlignment w:val="bottom"/>
              <w:rPr>
                <w:rFonts w:ascii="宋体" w:hAnsi="宋体" w:cs="宋体"/>
                <w:color w:val="auto"/>
                <w:sz w:val="24"/>
              </w:rPr>
            </w:pPr>
            <w:r>
              <w:rPr>
                <w:rFonts w:hint="eastAsia" w:ascii="宋体" w:hAnsi="宋体" w:cs="宋体"/>
                <w:b/>
                <w:bCs/>
                <w:color w:val="auto"/>
                <w:sz w:val="24"/>
              </w:rPr>
              <w:t>中小企业信用融资：</w:t>
            </w:r>
            <w:r>
              <w:rPr>
                <w:rFonts w:hint="eastAsia" w:ascii="宋体" w:hAnsi="宋体" w:cs="宋体"/>
                <w:color w:val="auto"/>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43DF1B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供应商成交后也可在“广西政府采购云平台”申请政采贷：操作路径：登录广西政府采购云平台-金融服务中心-【融资服务】，可在热门申请中选择产品直接申请。</w:t>
            </w:r>
          </w:p>
        </w:tc>
      </w:tr>
      <w:tr w14:paraId="42A8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4AF9FE91">
            <w:pPr>
              <w:pStyle w:val="68"/>
              <w:spacing w:line="360" w:lineRule="auto"/>
              <w:jc w:val="center"/>
              <w:rPr>
                <w:rFonts w:hAnsi="宋体"/>
                <w:color w:val="auto"/>
                <w:sz w:val="24"/>
                <w:szCs w:val="24"/>
              </w:rPr>
            </w:pPr>
            <w:r>
              <w:rPr>
                <w:rFonts w:hint="eastAsia" w:hAnsi="宋体"/>
                <w:color w:val="auto"/>
                <w:sz w:val="24"/>
                <w:szCs w:val="24"/>
              </w:rPr>
              <w:t>14</w:t>
            </w:r>
          </w:p>
        </w:tc>
        <w:tc>
          <w:tcPr>
            <w:tcW w:w="1284" w:type="dxa"/>
            <w:vAlign w:val="center"/>
          </w:tcPr>
          <w:p w14:paraId="233FFA26">
            <w:pPr>
              <w:pStyle w:val="68"/>
              <w:spacing w:line="360" w:lineRule="auto"/>
              <w:jc w:val="center"/>
              <w:rPr>
                <w:rFonts w:hAnsi="宋体"/>
                <w:bCs/>
                <w:color w:val="auto"/>
                <w:sz w:val="24"/>
                <w:szCs w:val="24"/>
              </w:rPr>
            </w:pPr>
            <w:r>
              <w:rPr>
                <w:rFonts w:hint="eastAsia" w:hAnsi="宋体" w:cs="宋体"/>
                <w:b/>
                <w:bCs/>
                <w:color w:val="auto"/>
                <w:sz w:val="24"/>
                <w:szCs w:val="24"/>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448F9AC7">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自成交通知书发出之日起，原则上要求</w:t>
            </w:r>
            <w:r>
              <w:rPr>
                <w:rFonts w:ascii="宋体" w:hAnsi="宋体" w:cs="宋体"/>
                <w:color w:val="auto"/>
                <w:sz w:val="24"/>
              </w:rPr>
              <w:t>25</w:t>
            </w:r>
            <w:r>
              <w:rPr>
                <w:rFonts w:hint="eastAsia" w:ascii="宋体" w:hAnsi="宋体" w:cs="宋体"/>
                <w:color w:val="auto"/>
                <w:sz w:val="24"/>
              </w:rPr>
              <w:t>日内签订（项目实施过程中出现质疑或投诉的情形除外）。</w:t>
            </w:r>
          </w:p>
        </w:tc>
      </w:tr>
      <w:tr w14:paraId="4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5F9E522">
            <w:pPr>
              <w:pStyle w:val="68"/>
              <w:spacing w:line="360" w:lineRule="auto"/>
              <w:jc w:val="center"/>
              <w:rPr>
                <w:rFonts w:hAnsi="宋体"/>
                <w:color w:val="auto"/>
                <w:sz w:val="24"/>
                <w:szCs w:val="24"/>
              </w:rPr>
            </w:pPr>
            <w:r>
              <w:rPr>
                <w:rFonts w:hint="eastAsia" w:hAnsi="宋体"/>
                <w:color w:val="auto"/>
                <w:sz w:val="24"/>
                <w:szCs w:val="24"/>
              </w:rPr>
              <w:t>15</w:t>
            </w:r>
          </w:p>
        </w:tc>
        <w:tc>
          <w:tcPr>
            <w:tcW w:w="1284" w:type="dxa"/>
            <w:vAlign w:val="center"/>
          </w:tcPr>
          <w:p w14:paraId="4D9412AC">
            <w:pPr>
              <w:pStyle w:val="68"/>
              <w:spacing w:line="360" w:lineRule="auto"/>
              <w:jc w:val="center"/>
              <w:rPr>
                <w:rFonts w:hAnsi="宋体"/>
                <w:bCs/>
                <w:color w:val="auto"/>
                <w:sz w:val="24"/>
                <w:szCs w:val="24"/>
              </w:rPr>
            </w:pPr>
            <w:r>
              <w:rPr>
                <w:rFonts w:hint="eastAsia" w:hAnsi="宋体" w:cs="宋体"/>
                <w:b/>
                <w:color w:val="auto"/>
                <w:sz w:val="24"/>
                <w:szCs w:val="24"/>
              </w:rPr>
              <w:t>电子签名</w:t>
            </w:r>
          </w:p>
        </w:tc>
        <w:tc>
          <w:tcPr>
            <w:tcW w:w="8781" w:type="dxa"/>
            <w:vAlign w:val="center"/>
          </w:tcPr>
          <w:p w14:paraId="3551D880">
            <w:pPr>
              <w:pStyle w:val="22"/>
              <w:adjustRightInd w:val="0"/>
              <w:snapToGrid w:val="0"/>
              <w:spacing w:line="360" w:lineRule="auto"/>
              <w:rPr>
                <w:rFonts w:hAnsi="宋体" w:cs="宋体"/>
                <w:b/>
                <w:color w:val="auto"/>
                <w:sz w:val="24"/>
                <w:szCs w:val="24"/>
              </w:rPr>
            </w:pPr>
            <w:r>
              <w:rPr>
                <w:rFonts w:hint="eastAsia" w:hAnsi="宋体" w:cs="宋体"/>
                <w:b/>
                <w:color w:val="auto"/>
                <w:sz w:val="24"/>
                <w:szCs w:val="24"/>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40655F2">
            <w:pPr>
              <w:pStyle w:val="22"/>
              <w:adjustRightInd w:val="0"/>
              <w:snapToGrid w:val="0"/>
              <w:spacing w:line="360" w:lineRule="auto"/>
              <w:rPr>
                <w:rFonts w:hAnsi="宋体"/>
                <w:bCs/>
                <w:color w:val="auto"/>
                <w:sz w:val="24"/>
                <w:szCs w:val="24"/>
              </w:rPr>
            </w:pPr>
            <w:r>
              <w:rPr>
                <w:rFonts w:hint="eastAsia" w:hAnsi="宋体" w:cs="宋体"/>
                <w:b/>
                <w:color w:val="auto"/>
                <w:sz w:val="24"/>
                <w:szCs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4F0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7891D1A">
            <w:pPr>
              <w:pStyle w:val="68"/>
              <w:spacing w:line="360" w:lineRule="auto"/>
              <w:jc w:val="center"/>
              <w:rPr>
                <w:rFonts w:hAnsi="宋体"/>
                <w:color w:val="auto"/>
                <w:sz w:val="24"/>
                <w:szCs w:val="24"/>
              </w:rPr>
            </w:pPr>
            <w:r>
              <w:rPr>
                <w:rFonts w:hint="eastAsia" w:hAnsi="宋体"/>
                <w:color w:val="auto"/>
                <w:sz w:val="24"/>
                <w:szCs w:val="24"/>
              </w:rPr>
              <w:t>16</w:t>
            </w:r>
          </w:p>
        </w:tc>
        <w:tc>
          <w:tcPr>
            <w:tcW w:w="1284" w:type="dxa"/>
            <w:vAlign w:val="center"/>
          </w:tcPr>
          <w:p w14:paraId="509C1FA4">
            <w:pPr>
              <w:pStyle w:val="68"/>
              <w:spacing w:line="360" w:lineRule="auto"/>
              <w:jc w:val="center"/>
              <w:rPr>
                <w:rFonts w:hAnsi="宋体"/>
                <w:color w:val="auto"/>
                <w:sz w:val="24"/>
                <w:szCs w:val="24"/>
              </w:rPr>
            </w:pPr>
            <w:r>
              <w:rPr>
                <w:rFonts w:hint="eastAsia" w:hAnsi="宋体"/>
                <w:bCs/>
                <w:color w:val="auto"/>
                <w:sz w:val="24"/>
                <w:szCs w:val="24"/>
              </w:rPr>
              <w:t>质疑及投诉联系方式</w:t>
            </w:r>
          </w:p>
        </w:tc>
        <w:tc>
          <w:tcPr>
            <w:tcW w:w="8781" w:type="dxa"/>
            <w:vAlign w:val="center"/>
          </w:tcPr>
          <w:p w14:paraId="0F828E79">
            <w:pPr>
              <w:pStyle w:val="22"/>
              <w:adjustRightInd w:val="0"/>
              <w:snapToGrid w:val="0"/>
              <w:spacing w:line="480" w:lineRule="exact"/>
              <w:jc w:val="left"/>
              <w:rPr>
                <w:bCs/>
                <w:color w:val="auto"/>
                <w:sz w:val="24"/>
                <w:szCs w:val="24"/>
              </w:rPr>
            </w:pPr>
            <w:r>
              <w:rPr>
                <w:rFonts w:hint="eastAsia"/>
                <w:bCs/>
                <w:color w:val="auto"/>
                <w:sz w:val="24"/>
                <w:szCs w:val="24"/>
              </w:rPr>
              <w:t xml:space="preserve">质疑联系部门及电话为：北海市政府采购中心   联系电话：0779-3960826 </w:t>
            </w:r>
          </w:p>
          <w:p w14:paraId="7C47B19C">
            <w:pPr>
              <w:pStyle w:val="22"/>
              <w:adjustRightInd w:val="0"/>
              <w:snapToGrid w:val="0"/>
              <w:spacing w:line="480" w:lineRule="exact"/>
              <w:jc w:val="left"/>
              <w:rPr>
                <w:rFonts w:hAnsi="宋体"/>
                <w:bCs/>
                <w:color w:val="auto"/>
                <w:sz w:val="24"/>
                <w:szCs w:val="24"/>
              </w:rPr>
            </w:pPr>
            <w:r>
              <w:rPr>
                <w:rFonts w:hint="eastAsia"/>
                <w:bCs/>
                <w:color w:val="auto"/>
                <w:sz w:val="24"/>
                <w:szCs w:val="24"/>
              </w:rPr>
              <w:t xml:space="preserve">投诉联系部门及电话为：北海市财政局（财政监督部门）联系电话：0779-3063975 </w:t>
            </w:r>
            <w:r>
              <w:rPr>
                <w:rFonts w:hint="eastAsia" w:hAnsi="宋体"/>
                <w:bCs/>
                <w:color w:val="auto"/>
                <w:sz w:val="24"/>
                <w:szCs w:val="24"/>
                <w:u w:val="single"/>
              </w:rPr>
              <w:t xml:space="preserve">     </w:t>
            </w:r>
          </w:p>
        </w:tc>
      </w:tr>
      <w:tr w14:paraId="0EF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21E71B2">
            <w:pPr>
              <w:snapToGrid w:val="0"/>
              <w:spacing w:line="360" w:lineRule="auto"/>
              <w:jc w:val="center"/>
              <w:rPr>
                <w:rFonts w:ascii="宋体" w:hAnsi="宋体" w:cs="宋体"/>
                <w:color w:val="auto"/>
                <w:sz w:val="24"/>
              </w:rPr>
            </w:pPr>
            <w:r>
              <w:rPr>
                <w:rFonts w:hint="eastAsia" w:ascii="宋体" w:hAnsi="宋体" w:cs="宋体"/>
                <w:color w:val="auto"/>
                <w:sz w:val="24"/>
              </w:rPr>
              <w:t>17</w:t>
            </w:r>
          </w:p>
        </w:tc>
        <w:tc>
          <w:tcPr>
            <w:tcW w:w="1284" w:type="dxa"/>
            <w:vAlign w:val="center"/>
          </w:tcPr>
          <w:p w14:paraId="496EB83E">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8781" w:type="dxa"/>
            <w:vAlign w:val="center"/>
          </w:tcPr>
          <w:p w14:paraId="2383C4EE">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本磋商文件解释权属采购人及北海市政府采购中心。</w:t>
            </w:r>
          </w:p>
        </w:tc>
      </w:tr>
    </w:tbl>
    <w:p w14:paraId="42B2115C">
      <w:pPr>
        <w:spacing w:line="360" w:lineRule="auto"/>
        <w:ind w:firstLine="482" w:firstLineChars="200"/>
        <w:jc w:val="center"/>
        <w:rPr>
          <w:rFonts w:ascii="宋体" w:hAnsi="宋体"/>
          <w:b/>
          <w:color w:val="auto"/>
          <w:sz w:val="24"/>
        </w:rPr>
      </w:pPr>
    </w:p>
    <w:p w14:paraId="3783DB46">
      <w:pPr>
        <w:spacing w:line="480" w:lineRule="exact"/>
        <w:ind w:firstLine="602" w:firstLineChars="200"/>
        <w:jc w:val="center"/>
        <w:rPr>
          <w:rFonts w:ascii="宋体" w:hAnsi="宋体"/>
          <w:b/>
          <w:color w:val="auto"/>
          <w:sz w:val="30"/>
          <w:szCs w:val="30"/>
        </w:rPr>
      </w:pPr>
      <w:r>
        <w:rPr>
          <w:rFonts w:hint="eastAsia" w:ascii="宋体" w:hAnsi="宋体"/>
          <w:b/>
          <w:color w:val="auto"/>
          <w:sz w:val="30"/>
          <w:szCs w:val="30"/>
        </w:rPr>
        <w:t>磋商</w:t>
      </w:r>
      <w:r>
        <w:rPr>
          <w:rFonts w:ascii="宋体" w:hAnsi="宋体"/>
          <w:b/>
          <w:color w:val="auto"/>
          <w:sz w:val="30"/>
          <w:szCs w:val="30"/>
        </w:rPr>
        <w:t>供应商须知</w:t>
      </w:r>
    </w:p>
    <w:p w14:paraId="19674B7F">
      <w:pPr>
        <w:spacing w:line="480" w:lineRule="exact"/>
        <w:ind w:firstLine="480" w:firstLineChars="200"/>
        <w:rPr>
          <w:rFonts w:ascii="宋体" w:hAnsi="宋体"/>
          <w:color w:val="auto"/>
          <w:sz w:val="24"/>
        </w:rPr>
      </w:pPr>
    </w:p>
    <w:p w14:paraId="25AD085E">
      <w:pPr>
        <w:adjustRightInd w:val="0"/>
        <w:snapToGrid w:val="0"/>
        <w:spacing w:line="480" w:lineRule="exact"/>
        <w:ind w:firstLine="482" w:firstLineChars="200"/>
        <w:rPr>
          <w:rFonts w:ascii="宋体" w:hAnsi="宋体"/>
          <w:b/>
          <w:color w:val="auto"/>
          <w:sz w:val="24"/>
        </w:rPr>
      </w:pPr>
      <w:r>
        <w:rPr>
          <w:rFonts w:hint="eastAsia" w:ascii="宋体" w:hAnsi="宋体"/>
          <w:b/>
          <w:color w:val="auto"/>
          <w:sz w:val="24"/>
        </w:rPr>
        <w:t>一、总　则</w:t>
      </w:r>
    </w:p>
    <w:p w14:paraId="7B26E729">
      <w:pPr>
        <w:snapToGrid w:val="0"/>
        <w:spacing w:line="360" w:lineRule="auto"/>
        <w:ind w:firstLine="482" w:firstLineChars="200"/>
        <w:jc w:val="left"/>
        <w:rPr>
          <w:rFonts w:ascii="宋体" w:hAnsi="宋体" w:cs="宋体"/>
          <w:b/>
          <w:color w:val="auto"/>
          <w:sz w:val="24"/>
        </w:rPr>
      </w:pPr>
      <w:bookmarkStart w:id="26" w:name="_Toc254970527"/>
      <w:bookmarkStart w:id="27" w:name="_Toc254970668"/>
      <w:r>
        <w:rPr>
          <w:rFonts w:hint="eastAsia" w:ascii="宋体" w:hAnsi="宋体" w:cs="宋体"/>
          <w:b/>
          <w:color w:val="auto"/>
          <w:sz w:val="24"/>
        </w:rPr>
        <w:t>1.适用范围</w:t>
      </w:r>
      <w:bookmarkEnd w:id="26"/>
      <w:bookmarkEnd w:id="27"/>
    </w:p>
    <w:p w14:paraId="1AE01BC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本磋商文件适用于本项目的磋商、响应、评审、定标、验收、合同履约、付款等行为（法律、法规另有规定的，从其规定）。</w:t>
      </w:r>
    </w:p>
    <w:p w14:paraId="1394A5D8">
      <w:pPr>
        <w:snapToGrid w:val="0"/>
        <w:spacing w:line="360" w:lineRule="auto"/>
        <w:ind w:firstLine="482" w:firstLineChars="200"/>
        <w:jc w:val="left"/>
        <w:rPr>
          <w:rFonts w:ascii="宋体" w:hAnsi="宋体" w:cs="宋体"/>
          <w:b/>
          <w:color w:val="auto"/>
          <w:sz w:val="24"/>
        </w:rPr>
      </w:pPr>
      <w:bookmarkStart w:id="28" w:name="_Toc254970669"/>
      <w:bookmarkStart w:id="29" w:name="_Toc254970528"/>
      <w:r>
        <w:rPr>
          <w:rFonts w:hint="eastAsia" w:ascii="宋体" w:hAnsi="宋体" w:cs="宋体"/>
          <w:b/>
          <w:color w:val="auto"/>
          <w:sz w:val="24"/>
        </w:rPr>
        <w:t>2.定义</w:t>
      </w:r>
      <w:bookmarkEnd w:id="28"/>
      <w:bookmarkEnd w:id="29"/>
    </w:p>
    <w:p w14:paraId="24C565BB">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1“采购人”系指组织本次磋商的采购单位。</w:t>
      </w:r>
    </w:p>
    <w:p w14:paraId="07BBEEA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2</w:t>
      </w:r>
      <w:r>
        <w:rPr>
          <w:rFonts w:hint="eastAsia" w:ascii="宋体" w:hAnsi="宋体" w:cs="宋体"/>
          <w:color w:val="auto"/>
          <w:sz w:val="24"/>
        </w:rPr>
        <w:t>“采购代理机构”系指组织本次磋商的采购代理机构（以下简称“</w:t>
      </w:r>
      <w:r>
        <w:rPr>
          <w:rFonts w:hint="eastAsia" w:ascii="宋体" w:hAnsi="宋体"/>
          <w:color w:val="auto"/>
          <w:sz w:val="24"/>
        </w:rPr>
        <w:t>本代理机构</w:t>
      </w:r>
      <w:r>
        <w:rPr>
          <w:rFonts w:hint="eastAsia" w:ascii="宋体" w:hAnsi="宋体" w:cs="宋体"/>
          <w:color w:val="auto"/>
          <w:sz w:val="24"/>
        </w:rPr>
        <w:t>”）。</w:t>
      </w:r>
    </w:p>
    <w:p w14:paraId="027ACC89">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2.3</w:t>
      </w:r>
      <w:r>
        <w:rPr>
          <w:rFonts w:hint="eastAsia" w:ascii="宋体" w:hAnsi="宋体" w:cs="宋体"/>
          <w:color w:val="auto"/>
          <w:sz w:val="24"/>
        </w:rPr>
        <w:t>“磋商供应商”系指响应磋商、参加磋商竞争的法人、其他组织或者自然人。</w:t>
      </w:r>
    </w:p>
    <w:p w14:paraId="57B2BA09">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4“工程”是指建设工程，包括建筑物和构筑物的新建、改建、扩建、装修、拆除、修缮等。</w:t>
      </w:r>
    </w:p>
    <w:p w14:paraId="39E8FE7E">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5“项目”系指磋商供应商按竞争性磋商文件规定向采购人提供的产品和服务。</w:t>
      </w:r>
    </w:p>
    <w:p w14:paraId="254F224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2.6“书面形式”包括信函、传真、电报等。</w:t>
      </w:r>
    </w:p>
    <w:p w14:paraId="27060AC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2.7“▲”系指实质性要求条款。</w:t>
      </w:r>
    </w:p>
    <w:p w14:paraId="07B68DBA">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3. 供应商的基本条件</w:t>
      </w:r>
    </w:p>
    <w:p w14:paraId="3321A3FE">
      <w:pPr>
        <w:adjustRightInd w:val="0"/>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3.1满足《中华人民共和国政府采购法》第二十二条规定；未被“信用中国”（www.creditchina.gov.cn)、中国政府采购网（www.ccgp.gov.cn）列入失信被执行人、重大税收违法案件当事人名单、政府采购严重违法失信行为记录名单；</w:t>
      </w:r>
    </w:p>
    <w:p w14:paraId="1D4C4892">
      <w:pPr>
        <w:adjustRightInd w:val="0"/>
        <w:spacing w:line="360" w:lineRule="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3.</w:t>
      </w: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以联合体形式响应的，提供联合协议(本项目不接受联合体响应或者供应商不以联合体形式响应的，则不需要提供) ；</w:t>
      </w:r>
    </w:p>
    <w:p w14:paraId="2813B2A3">
      <w:pPr>
        <w:adjustRightInd w:val="0"/>
        <w:spacing w:line="360" w:lineRule="auto"/>
        <w:ind w:firstLine="480" w:firstLineChars="200"/>
        <w:rPr>
          <w:rFonts w:ascii="宋体" w:hAnsi="宋体" w:cs="宋体"/>
          <w:snapToGrid w:val="0"/>
          <w:color w:val="auto"/>
          <w:kern w:val="28"/>
          <w:sz w:val="24"/>
          <w:szCs w:val="20"/>
        </w:rPr>
      </w:pPr>
      <w:r>
        <w:rPr>
          <w:rFonts w:hint="eastAsia" w:ascii="宋体" w:hAnsi="宋体" w:cs="宋体"/>
          <w:snapToGrid w:val="0"/>
          <w:color w:val="auto"/>
          <w:kern w:val="28"/>
          <w:sz w:val="24"/>
          <w:szCs w:val="20"/>
        </w:rPr>
        <w:t>3.</w:t>
      </w:r>
      <w:r>
        <w:rPr>
          <w:rFonts w:ascii="宋体" w:hAnsi="宋体" w:cs="宋体"/>
          <w:snapToGrid w:val="0"/>
          <w:color w:val="auto"/>
          <w:kern w:val="28"/>
          <w:sz w:val="24"/>
          <w:szCs w:val="20"/>
        </w:rPr>
        <w:t>3</w:t>
      </w:r>
      <w:r>
        <w:rPr>
          <w:rFonts w:hint="eastAsia" w:ascii="宋体" w:hAnsi="宋体" w:cs="宋体"/>
          <w:snapToGrid w:val="0"/>
          <w:color w:val="auto"/>
          <w:kern w:val="28"/>
          <w:sz w:val="24"/>
          <w:szCs w:val="20"/>
        </w:rPr>
        <w:t>落实政府采购政策需满足的资格要求：</w:t>
      </w:r>
    </w:p>
    <w:p w14:paraId="2F2D782E">
      <w:pPr>
        <w:adjustRightInd w:val="0"/>
        <w:spacing w:line="360" w:lineRule="auto"/>
        <w:ind w:firstLine="420" w:firstLineChars="200"/>
        <w:rPr>
          <w:rFonts w:ascii="宋体" w:hAnsi="宋体" w:cs="宋体"/>
          <w:color w:val="auto"/>
          <w:sz w:val="24"/>
        </w:rPr>
      </w:pPr>
      <w:r>
        <w:rPr>
          <w:rFonts w:hint="eastAsia" w:ascii="MS Mincho" w:hAnsi="MS Mincho" w:eastAsia="MS Mincho" w:cs="MS Mincho"/>
          <w:color w:val="auto"/>
        </w:rPr>
        <w:t>☐</w:t>
      </w:r>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ascii="宋体" w:hAnsi="宋体" w:cs="宋体"/>
          <w:color w:val="auto"/>
          <w:sz w:val="24"/>
        </w:rPr>
        <w:t>；</w:t>
      </w:r>
    </w:p>
    <w:p w14:paraId="0C7136C3">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kern w:val="0"/>
          <w:sz w:val="24"/>
        </w:rPr>
        <w:t>专</w:t>
      </w:r>
      <w:r>
        <w:rPr>
          <w:rFonts w:hint="eastAsia" w:ascii="宋体" w:hAnsi="宋体" w:cs="宋体"/>
          <w:color w:val="auto"/>
          <w:sz w:val="24"/>
        </w:rPr>
        <w:t>门面向中小企业</w:t>
      </w:r>
    </w:p>
    <w:p w14:paraId="0834B380">
      <w:pPr>
        <w:adjustRightInd w:val="0"/>
        <w:spacing w:line="360" w:lineRule="auto"/>
        <w:ind w:firstLine="720" w:firstLineChars="300"/>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lang w:eastAsia="zh-CN"/>
        </w:rPr>
        <w:t>工程全部由符合政策要求的中小企业承建</w:t>
      </w:r>
      <w:r>
        <w:rPr>
          <w:rFonts w:hint="eastAsia" w:ascii="宋体" w:hAnsi="宋体" w:cs="宋体"/>
          <w:color w:val="auto"/>
          <w:sz w:val="24"/>
        </w:rPr>
        <w:t>，提供中小企业声明函；</w:t>
      </w:r>
    </w:p>
    <w:p w14:paraId="649685C6">
      <w:pPr>
        <w:adjustRightInd w:val="0"/>
        <w:spacing w:line="360" w:lineRule="auto"/>
        <w:ind w:firstLine="785" w:firstLineChars="374"/>
        <w:rPr>
          <w:rFonts w:hint="eastAsia" w:ascii="宋体" w:hAnsi="宋体" w:eastAsia="宋体" w:cs="宋体"/>
          <w:color w:val="auto"/>
          <w:sz w:val="24"/>
          <w:lang w:eastAsia="zh-CN"/>
        </w:rPr>
      </w:pPr>
      <w:r>
        <w:rPr>
          <w:rFonts w:hint="eastAsia" w:ascii="MS Mincho" w:hAnsi="MS Mincho" w:eastAsia="MS Mincho" w:cs="MS Mincho"/>
          <w:color w:val="auto"/>
        </w:rPr>
        <w:t>☐</w:t>
      </w:r>
      <w:r>
        <w:rPr>
          <w:rFonts w:hint="eastAsia" w:ascii="宋体" w:hAnsi="宋体" w:eastAsia="宋体" w:cs="宋体"/>
          <w:color w:val="auto"/>
          <w:sz w:val="24"/>
          <w:lang w:eastAsia="zh-CN"/>
        </w:rPr>
        <w:t>工程全部由符合政策要求的小微企业承建</w:t>
      </w:r>
      <w:r>
        <w:rPr>
          <w:rFonts w:hint="eastAsia" w:ascii="宋体" w:hAnsi="宋体" w:cs="宋体"/>
          <w:color w:val="auto"/>
          <w:sz w:val="24"/>
          <w:lang w:eastAsia="zh-CN"/>
        </w:rPr>
        <w:t>，</w:t>
      </w:r>
      <w:r>
        <w:rPr>
          <w:rFonts w:hint="eastAsia" w:ascii="宋体" w:hAnsi="宋体" w:cs="宋体"/>
          <w:color w:val="auto"/>
          <w:sz w:val="24"/>
        </w:rPr>
        <w:t>提供中小企业声明函</w:t>
      </w:r>
      <w:r>
        <w:rPr>
          <w:rFonts w:hint="eastAsia" w:ascii="宋体" w:hAnsi="宋体" w:cs="宋体"/>
          <w:color w:val="auto"/>
          <w:sz w:val="24"/>
          <w:lang w:eastAsia="zh-CN"/>
        </w:rPr>
        <w:t>。</w:t>
      </w:r>
    </w:p>
    <w:p w14:paraId="0EE2AE3E">
      <w:pPr>
        <w:adjustRightInd w:val="0"/>
        <w:spacing w:line="360" w:lineRule="auto"/>
        <w:ind w:firstLine="480" w:firstLineChars="200"/>
        <w:rPr>
          <w:rFonts w:ascii="宋体" w:hAnsi="宋体" w:cs="宋体"/>
          <w:color w:val="auto"/>
          <w:kern w:val="0"/>
          <w:sz w:val="24"/>
          <w:szCs w:val="21"/>
        </w:rPr>
      </w:pPr>
      <w:r>
        <w:rPr>
          <w:rFonts w:hint="eastAsia" w:ascii="宋体" w:hAnsi="宋体" w:cs="宋体"/>
          <w:color w:val="auto"/>
          <w:sz w:val="24"/>
        </w:rPr>
        <w:t>3.</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color w:val="auto"/>
          <w:kern w:val="0"/>
          <w:sz w:val="24"/>
          <w:szCs w:val="21"/>
        </w:rPr>
        <w:t>供应商须</w:t>
      </w:r>
      <w:r>
        <w:rPr>
          <w:rFonts w:hint="eastAsia" w:ascii="宋体" w:hAnsi="宋体" w:cs="宋体"/>
          <w:color w:val="auto"/>
          <w:sz w:val="24"/>
        </w:rPr>
        <w:t>具备水利水电工程施工二级（含）以上资质</w:t>
      </w:r>
      <w:r>
        <w:rPr>
          <w:rFonts w:hint="eastAsia" w:hAnsi="宋体" w:cs="宋体"/>
          <w:color w:val="auto"/>
          <w:sz w:val="24"/>
        </w:rPr>
        <w:t>，具备有效的安全生产许可证, 并在人员、设备、资金等方面具备相应的施工能力</w:t>
      </w:r>
      <w:r>
        <w:rPr>
          <w:rFonts w:hint="eastAsia" w:ascii="宋体" w:hAnsi="宋体" w:cs="宋体"/>
          <w:color w:val="auto"/>
          <w:kern w:val="0"/>
          <w:sz w:val="24"/>
          <w:szCs w:val="21"/>
        </w:rPr>
        <w:t>。</w:t>
      </w:r>
    </w:p>
    <w:p w14:paraId="6109DA6F">
      <w:pPr>
        <w:spacing w:line="360" w:lineRule="auto"/>
        <w:ind w:firstLine="480" w:firstLineChars="200"/>
        <w:jc w:val="left"/>
        <w:rPr>
          <w:rFonts w:hint="eastAsia" w:ascii="宋体" w:hAnsi="宋体" w:cs="宋体"/>
          <w:color w:val="auto"/>
          <w:kern w:val="0"/>
          <w:sz w:val="24"/>
          <w:szCs w:val="21"/>
        </w:rPr>
      </w:pPr>
      <w:r>
        <w:rPr>
          <w:rFonts w:hint="eastAsia" w:ascii="宋体" w:hAnsi="宋体" w:cs="宋体"/>
          <w:color w:val="auto"/>
          <w:sz w:val="24"/>
        </w:rPr>
        <w:t>3.5</w:t>
      </w:r>
      <w:r>
        <w:rPr>
          <w:rFonts w:hint="eastAsia" w:ascii="宋体" w:hAnsi="宋体" w:cs="宋体"/>
          <w:color w:val="auto"/>
          <w:kern w:val="0"/>
          <w:sz w:val="24"/>
          <w:szCs w:val="21"/>
        </w:rPr>
        <w:t>项目经理及管理人员的资格要求：拟派驻项目经理须具备水利水电工程类专业二级（含）以上注册建造师执业资格，并获得省级或省级以上水行政主管部门或其授权部门（机构）颁发的安全生产考核合格证书（B类），同时提供项目经理无在建、已中标（成交）未开工或已列为其他项目中标（成交）候选人第一名的情况的承诺函；专职安全员须持有效的安全生产考核合格证书（C类）；项目管理机构人员配置最低要求：项目经理1人、技术负责人1人、施工员1人、安全员1人、质量员1人、材料员1人。拟投入人员需为本单位在职员工，需提供项目管理机构所有人员身份证、有效资格证、近三个月（</w:t>
      </w:r>
      <w:r>
        <w:rPr>
          <w:rFonts w:hint="eastAsia" w:ascii="宋体" w:hAnsi="宋体" w:cs="宋体"/>
          <w:color w:val="auto"/>
          <w:kern w:val="0"/>
          <w:sz w:val="24"/>
          <w:szCs w:val="21"/>
          <w:lang w:eastAsia="zh-CN"/>
        </w:rPr>
        <w:t>2026年02月至2026年04月</w:t>
      </w:r>
      <w:r>
        <w:rPr>
          <w:rFonts w:hint="eastAsia" w:ascii="宋体" w:hAnsi="宋体" w:cs="宋体"/>
          <w:color w:val="auto"/>
          <w:kern w:val="0"/>
          <w:sz w:val="24"/>
          <w:szCs w:val="21"/>
        </w:rPr>
        <w:t>）其中任何一个月在现任职单位依法缴纳社会保险证明材料（注：入职或转注本单位不足三个月的须提供最近一个月的参保缴费凭证）。</w:t>
      </w:r>
    </w:p>
    <w:p w14:paraId="04420557">
      <w:pPr>
        <w:pStyle w:val="22"/>
        <w:adjustRightInd w:val="0"/>
        <w:snapToGrid w:val="0"/>
        <w:spacing w:line="360" w:lineRule="auto"/>
        <w:ind w:firstLine="480" w:firstLineChars="200"/>
        <w:rPr>
          <w:rFonts w:hAnsi="宋体" w:cs="宋体"/>
          <w:color w:val="auto"/>
          <w:sz w:val="24"/>
          <w:szCs w:val="24"/>
        </w:rPr>
      </w:pPr>
      <w:r>
        <w:rPr>
          <w:rFonts w:hint="eastAsia" w:hAnsi="宋体" w:cs="宋体"/>
          <w:color w:val="auto"/>
          <w:sz w:val="24"/>
        </w:rPr>
        <w:t>3.6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0029340">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4.需要落实的政府采购政策</w:t>
      </w:r>
    </w:p>
    <w:p w14:paraId="09003216">
      <w:pPr>
        <w:adjustRightInd w:val="0"/>
        <w:spacing w:line="360" w:lineRule="auto"/>
        <w:ind w:firstLine="482" w:firstLineChars="200"/>
        <w:rPr>
          <w:rFonts w:ascii="宋体" w:hAnsi="宋体"/>
          <w:b/>
          <w:color w:val="auto"/>
          <w:sz w:val="24"/>
        </w:rPr>
      </w:pPr>
      <w:r>
        <w:rPr>
          <w:rFonts w:hint="eastAsia" w:ascii="宋体" w:hAnsi="宋体"/>
          <w:b/>
          <w:color w:val="auto"/>
          <w:sz w:val="24"/>
        </w:rPr>
        <w:t>4.1支持绿色发展</w:t>
      </w:r>
    </w:p>
    <w:p w14:paraId="1218D2B2">
      <w:pPr>
        <w:adjustRightInd w:val="0"/>
        <w:spacing w:line="360" w:lineRule="auto"/>
        <w:ind w:firstLine="480" w:firstLineChars="200"/>
        <w:rPr>
          <w:rFonts w:ascii="宋体" w:hAnsi="宋体" w:cs="宋体"/>
          <w:b/>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366F343C">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rPr>
        <w:t>.2纳入政府采购管理的修缮、装修类项目采购建材的，鼓励采购单位将绿色建材性能、指标等作为实质性条件纳入采购文件和合同，具体性能指标要求参考相关绿色建材政府采购需求标准。</w:t>
      </w:r>
    </w:p>
    <w:p w14:paraId="6A45447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123B856">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FDFE0B">
      <w:pPr>
        <w:adjustRightInd w:val="0"/>
        <w:spacing w:line="360" w:lineRule="auto"/>
        <w:ind w:firstLine="482" w:firstLineChars="200"/>
        <w:rPr>
          <w:rFonts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2</w:t>
      </w:r>
      <w:r>
        <w:rPr>
          <w:rFonts w:hint="eastAsia" w:ascii="宋体" w:hAnsi="宋体"/>
          <w:b/>
          <w:color w:val="auto"/>
          <w:sz w:val="24"/>
        </w:rPr>
        <w:t>支持中小企业发展。</w:t>
      </w:r>
    </w:p>
    <w:p w14:paraId="60D01A0D">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29890B66">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6837AEA2">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ascii="宋体" w:hAnsi="宋体" w:cs="宋体"/>
          <w:bCs/>
          <w:color w:val="auto"/>
          <w:sz w:val="24"/>
        </w:rPr>
        <w:t>.2</w:t>
      </w:r>
      <w:r>
        <w:rPr>
          <w:rFonts w:hint="eastAsia" w:ascii="宋体" w:hAnsi="宋体" w:cs="宋体"/>
          <w:color w:val="auto"/>
          <w:kern w:val="0"/>
          <w:sz w:val="24"/>
        </w:rPr>
        <w:t>在政府采购活动中，服务类项目采购，服务由中小企业承接，即提供服务的人员为中小企业依照《中华人民共和国劳动合同法》订立劳动合同的从业人员，享受中小企业扶持政策。</w:t>
      </w:r>
    </w:p>
    <w:p w14:paraId="530BAE25">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1FD9D737">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rPr>
        <w:t>—</w:t>
      </w:r>
      <w:r>
        <w:rPr>
          <w:rFonts w:hint="eastAsia" w:ascii="宋体" w:hAnsi="宋体" w:cs="宋体"/>
          <w:color w:val="auto"/>
          <w:sz w:val="24"/>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rPr>
        <w:t>1%—2%</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highlight w:val="yellow"/>
        </w:rPr>
        <w:t>专门面向中小企业采购的政府采购项目或者采购包不再执行价格扣除政策。</w:t>
      </w:r>
    </w:p>
    <w:p w14:paraId="671A05B2">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.4符合《关于促进残疾人就业政府采购政策的通知》（财库〔2017〕141号）规定的条件并提供《残疾人福利性单位声明函》（附件</w:t>
      </w:r>
      <w:r>
        <w:rPr>
          <w:rFonts w:ascii="宋体" w:hAnsi="宋体" w:cs="宋体"/>
          <w:color w:val="auto"/>
          <w:sz w:val="24"/>
        </w:rPr>
        <w:t>3</w:t>
      </w:r>
      <w:r>
        <w:rPr>
          <w:rFonts w:hint="eastAsia" w:ascii="宋体" w:hAnsi="宋体" w:cs="宋体"/>
          <w:color w:val="auto"/>
          <w:sz w:val="24"/>
        </w:rPr>
        <w:t>）的残疾人福利性单位视同小型、微型企业；</w:t>
      </w:r>
    </w:p>
    <w:p w14:paraId="358F7D4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55B7B20B">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0C5FD562">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2</w:t>
      </w:r>
      <w:r>
        <w:rPr>
          <w:rFonts w:hint="eastAsia" w:ascii="宋体" w:hAnsi="宋体" w:cs="宋体"/>
          <w:color w:val="auto"/>
          <w:sz w:val="24"/>
        </w:rPr>
        <w:t>.7中小企业享受扶持政策获得政府采购合同的，小微企业不得将合同分包给大中型企业，中型企业不得将合同分包给大型企业。</w:t>
      </w:r>
    </w:p>
    <w:p w14:paraId="4622CCFB">
      <w:pPr>
        <w:adjustRightInd w:val="0"/>
        <w:spacing w:line="360" w:lineRule="auto"/>
        <w:ind w:firstLine="482" w:firstLineChars="200"/>
        <w:rPr>
          <w:rFonts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3</w:t>
      </w:r>
      <w:r>
        <w:rPr>
          <w:rFonts w:hint="eastAsia" w:ascii="宋体" w:hAnsi="宋体" w:cs="宋体"/>
          <w:b/>
          <w:color w:val="auto"/>
          <w:sz w:val="24"/>
        </w:rPr>
        <w:t>平等对待内外资企业</w:t>
      </w:r>
    </w:p>
    <w:p w14:paraId="7C693757">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1B1BFCA">
      <w:pPr>
        <w:adjustRightInd w:val="0"/>
        <w:snapToGrid w:val="0"/>
        <w:spacing w:line="480" w:lineRule="exact"/>
        <w:ind w:firstLine="482" w:firstLineChars="200"/>
        <w:jc w:val="left"/>
        <w:rPr>
          <w:rFonts w:ascii="宋体" w:hAnsi="宋体"/>
          <w:b/>
          <w:bCs/>
          <w:color w:val="auto"/>
          <w:kern w:val="0"/>
          <w:sz w:val="24"/>
          <w:szCs w:val="20"/>
        </w:rPr>
      </w:pPr>
      <w:r>
        <w:rPr>
          <w:rFonts w:hint="eastAsia" w:ascii="宋体" w:hAnsi="宋体" w:cs="宋体"/>
          <w:b/>
          <w:color w:val="auto"/>
          <w:kern w:val="0"/>
          <w:sz w:val="24"/>
          <w:szCs w:val="20"/>
        </w:rPr>
        <w:t>4.</w:t>
      </w:r>
      <w:r>
        <w:rPr>
          <w:rFonts w:hint="eastAsia" w:ascii="宋体" w:hAnsi="宋体" w:cs="宋体"/>
          <w:b/>
          <w:color w:val="auto"/>
          <w:kern w:val="0"/>
          <w:sz w:val="24"/>
          <w:szCs w:val="20"/>
          <w:lang w:val="en-US" w:eastAsia="zh-CN"/>
        </w:rPr>
        <w:t>4</w:t>
      </w:r>
      <w:r>
        <w:rPr>
          <w:rFonts w:hint="eastAsia" w:ascii="宋体" w:hAnsi="宋体"/>
          <w:b/>
          <w:color w:val="auto"/>
          <w:kern w:val="0"/>
          <w:sz w:val="24"/>
          <w:szCs w:val="20"/>
        </w:rPr>
        <w:t>平等对待符合条件的破产重整企业</w:t>
      </w:r>
    </w:p>
    <w:p w14:paraId="76A9C5FC">
      <w:pPr>
        <w:adjustRightInd w:val="0"/>
        <w:snapToGrid w:val="0"/>
        <w:spacing w:line="480" w:lineRule="exact"/>
        <w:ind w:firstLine="482"/>
        <w:jc w:val="left"/>
        <w:rPr>
          <w:rFonts w:ascii="宋体" w:hAnsi="宋体"/>
          <w:color w:val="auto"/>
          <w:kern w:val="0"/>
          <w:sz w:val="24"/>
          <w:szCs w:val="20"/>
        </w:rPr>
      </w:pPr>
      <w:r>
        <w:rPr>
          <w:rFonts w:hint="eastAsia" w:ascii="宋体" w:hAnsi="宋体" w:cs="宋体"/>
          <w:color w:val="auto"/>
          <w:kern w:val="0"/>
          <w:sz w:val="24"/>
          <w:szCs w:val="20"/>
        </w:rPr>
        <w:t>平等对待符合条件的破产重整企业，切实保障企业公平竞争，平等维护企业的合法利益。</w:t>
      </w:r>
    </w:p>
    <w:p w14:paraId="1EA71821">
      <w:pPr>
        <w:widowControl/>
        <w:adjustRightInd w:val="0"/>
        <w:snapToGrid w:val="0"/>
        <w:spacing w:line="480" w:lineRule="exact"/>
        <w:ind w:firstLine="482" w:firstLineChars="200"/>
        <w:jc w:val="left"/>
        <w:rPr>
          <w:rFonts w:ascii="宋体" w:hAnsi="宋体"/>
          <w:b/>
          <w:color w:val="auto"/>
          <w:sz w:val="24"/>
        </w:rPr>
      </w:pPr>
      <w:r>
        <w:rPr>
          <w:rFonts w:hint="eastAsia" w:ascii="宋体" w:hAnsi="宋体"/>
          <w:b/>
          <w:color w:val="auto"/>
          <w:sz w:val="24"/>
        </w:rPr>
        <w:t>5.联合体磋商</w:t>
      </w:r>
    </w:p>
    <w:p w14:paraId="759A55CD">
      <w:pPr>
        <w:widowControl/>
        <w:adjustRightInd w:val="0"/>
        <w:snapToGrid w:val="0"/>
        <w:spacing w:line="480" w:lineRule="exact"/>
        <w:ind w:firstLine="480" w:firstLineChars="200"/>
        <w:jc w:val="left"/>
        <w:rPr>
          <w:b/>
          <w:color w:val="auto"/>
          <w:sz w:val="24"/>
        </w:rPr>
      </w:pPr>
      <w:r>
        <w:rPr>
          <w:rFonts w:ascii="仿宋" w:hAnsi="仿宋"/>
          <w:color w:val="auto"/>
          <w:sz w:val="24"/>
        </w:rPr>
        <w:t>本标项</w:t>
      </w:r>
      <w:r>
        <w:rPr>
          <w:rFonts w:hint="eastAsia" w:ascii="仿宋" w:hAnsi="仿宋"/>
          <w:color w:val="auto"/>
          <w:sz w:val="24"/>
        </w:rPr>
        <w:t>不</w:t>
      </w:r>
      <w:r>
        <w:rPr>
          <w:rFonts w:ascii="仿宋" w:hAnsi="仿宋"/>
          <w:color w:val="auto"/>
          <w:sz w:val="24"/>
        </w:rPr>
        <w:t>接受联合体</w:t>
      </w:r>
      <w:r>
        <w:rPr>
          <w:rFonts w:hint="eastAsia" w:ascii="仿宋" w:hAnsi="仿宋"/>
          <w:color w:val="auto"/>
          <w:sz w:val="24"/>
        </w:rPr>
        <w:t>磋商。</w:t>
      </w:r>
    </w:p>
    <w:p w14:paraId="6EAFEA24">
      <w:pPr>
        <w:adjustRightInd w:val="0"/>
        <w:snapToGrid w:val="0"/>
        <w:spacing w:line="480" w:lineRule="exact"/>
        <w:ind w:firstLine="482" w:firstLineChars="200"/>
        <w:rPr>
          <w:rFonts w:ascii="宋体" w:hAnsi="宋体"/>
          <w:b/>
          <w:color w:val="auto"/>
          <w:sz w:val="24"/>
        </w:rPr>
      </w:pPr>
      <w:r>
        <w:rPr>
          <w:rFonts w:hint="eastAsia" w:ascii="宋体" w:hAnsi="宋体"/>
          <w:b/>
          <w:color w:val="auto"/>
          <w:sz w:val="24"/>
        </w:rPr>
        <w:t>6.磋商费用、竞争性磋商公告、竞争性磋商文件的澄清和修改</w:t>
      </w:r>
    </w:p>
    <w:p w14:paraId="682A31B6">
      <w:pPr>
        <w:adjustRightInd w:val="0"/>
        <w:snapToGrid w:val="0"/>
        <w:spacing w:line="480" w:lineRule="exact"/>
        <w:ind w:firstLine="480" w:firstLineChars="200"/>
        <w:rPr>
          <w:rFonts w:ascii="宋体" w:hAnsi="宋体"/>
          <w:color w:val="auto"/>
          <w:sz w:val="24"/>
        </w:rPr>
      </w:pPr>
      <w:r>
        <w:rPr>
          <w:rFonts w:hint="eastAsia" w:ascii="宋体" w:hAnsi="宋体"/>
          <w:color w:val="auto"/>
          <w:sz w:val="24"/>
        </w:rPr>
        <w:t>6.1磋商费用：供应商应自行承担所有与编写和提交竞争性磋商响应文件有关的费用，不论磋商结果如何，采购人和本代理机构在任何情况下无义务和责任承担此类费用。</w:t>
      </w:r>
    </w:p>
    <w:p w14:paraId="51C40E35">
      <w:pPr>
        <w:pStyle w:val="22"/>
        <w:adjustRightInd w:val="0"/>
        <w:snapToGrid w:val="0"/>
        <w:spacing w:line="480" w:lineRule="exact"/>
        <w:ind w:firstLine="480" w:firstLineChars="200"/>
        <w:rPr>
          <w:rFonts w:hAnsi="宋体"/>
          <w:color w:val="auto"/>
          <w:sz w:val="24"/>
          <w:szCs w:val="24"/>
        </w:rPr>
      </w:pPr>
      <w:r>
        <w:rPr>
          <w:rFonts w:hint="eastAsia" w:hAnsi="宋体"/>
          <w:color w:val="auto"/>
          <w:sz w:val="24"/>
          <w:szCs w:val="24"/>
        </w:rPr>
        <w:t>6.2竞争性磋商公告：见</w:t>
      </w:r>
      <w:r>
        <w:rPr>
          <w:rFonts w:hint="eastAsia" w:hAnsi="宋体"/>
          <w:b/>
          <w:color w:val="auto"/>
          <w:sz w:val="24"/>
          <w:szCs w:val="24"/>
          <w:u w:val="single"/>
          <w:lang w:eastAsia="zh-CN"/>
        </w:rPr>
        <w:t>2026年5月28日</w:t>
      </w:r>
      <w:r>
        <w:rPr>
          <w:rFonts w:hint="eastAsia" w:cs="宋体"/>
          <w:color w:val="auto"/>
          <w:sz w:val="24"/>
          <w:szCs w:val="24"/>
        </w:rPr>
        <w:t>中国政府采购网、广西政府采购网、北海市政府采购监管网、北海市政府采购中心 - 北海市人民政府网、全国公共资源交易平台（广西·北海）</w:t>
      </w:r>
      <w:r>
        <w:rPr>
          <w:rFonts w:hint="eastAsia"/>
          <w:color w:val="auto"/>
          <w:sz w:val="24"/>
          <w:szCs w:val="24"/>
        </w:rPr>
        <w:t>。</w:t>
      </w:r>
    </w:p>
    <w:p w14:paraId="0BF3244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6.3竞争性磋商文件的澄清和修改：</w:t>
      </w:r>
    </w:p>
    <w:p w14:paraId="312600B8">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6.3.1</w:t>
      </w:r>
      <w:r>
        <w:rPr>
          <w:rFonts w:hint="eastAsia" w:hAnsi="宋体"/>
          <w:bCs/>
          <w:color w:val="auto"/>
          <w:sz w:val="24"/>
          <w:szCs w:val="24"/>
        </w:rPr>
        <w:t>供应商应认真审核《采购需求》中的服务要求，如发现采购需求中服务要求有误或要求不合理的，供应商必须在规定的时间前要求澄清，否则，由此产生的后果由供应商负责。</w:t>
      </w:r>
    </w:p>
    <w:p w14:paraId="1CD52F00">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08730090">
      <w:pPr>
        <w:widowControl/>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rPr>
        <w:t>广西政府采购网、北海市政府采购中心 - 北海市人民政府网、全国公共资源交易平台（广西·北海）</w:t>
      </w:r>
      <w:r>
        <w:rPr>
          <w:rFonts w:hint="eastAsia" w:ascii="宋体" w:hAnsi="宋体"/>
          <w:color w:val="auto"/>
          <w:sz w:val="24"/>
        </w:rPr>
        <w:t>上发布更正公告，并以书面形式通知所有竞争性磋商文件收受人。该澄清或者修改的内容为竞争性磋商文件的组成部分。</w:t>
      </w:r>
    </w:p>
    <w:p w14:paraId="3CDD64F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rPr>
        <w:t>广西政府采购网、北海市政府采购中心 - 北海市人民政府网、全国公共资源交易平台（广西·北海）</w:t>
      </w:r>
      <w:r>
        <w:rPr>
          <w:rFonts w:hint="eastAsia" w:ascii="宋体" w:hAnsi="宋体"/>
          <w:color w:val="auto"/>
          <w:sz w:val="24"/>
        </w:rPr>
        <w:t>上发布变更公告。</w:t>
      </w:r>
    </w:p>
    <w:p w14:paraId="320614D9">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二、竞争性磋商响应文件的编制</w:t>
      </w:r>
    </w:p>
    <w:p w14:paraId="46BC6CC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7.竞争性磋商响应文件编制基本要求</w:t>
      </w:r>
    </w:p>
    <w:p w14:paraId="776F66E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w:t>
      </w:r>
      <w:r>
        <w:rPr>
          <w:rFonts w:ascii="宋体" w:hAnsi="宋体"/>
          <w:color w:val="auto"/>
          <w:sz w:val="24"/>
        </w:rPr>
        <w:t>本项目实行电子</w:t>
      </w:r>
      <w:r>
        <w:rPr>
          <w:rFonts w:hint="eastAsia" w:ascii="宋体" w:hAnsi="宋体"/>
          <w:color w:val="auto"/>
          <w:sz w:val="24"/>
        </w:rPr>
        <w:t>磋商</w:t>
      </w:r>
      <w:r>
        <w:rPr>
          <w:rFonts w:ascii="宋体" w:hAnsi="宋体"/>
          <w:color w:val="auto"/>
          <w:sz w:val="24"/>
        </w:rPr>
        <w:t>，供应商应准备电子</w:t>
      </w:r>
      <w:r>
        <w:rPr>
          <w:rFonts w:hint="eastAsia" w:ascii="宋体" w:hAnsi="宋体"/>
          <w:color w:val="auto"/>
          <w:sz w:val="24"/>
        </w:rPr>
        <w:t>磋商</w:t>
      </w:r>
      <w:r>
        <w:rPr>
          <w:rFonts w:ascii="宋体" w:hAnsi="宋体"/>
          <w:color w:val="auto"/>
          <w:sz w:val="24"/>
        </w:rPr>
        <w:t>响应文件：</w:t>
      </w:r>
    </w:p>
    <w:p w14:paraId="180F004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7.1.1</w:t>
      </w:r>
      <w:r>
        <w:rPr>
          <w:rFonts w:ascii="宋体" w:hAnsi="宋体"/>
          <w:color w:val="auto"/>
          <w:sz w:val="24"/>
        </w:rPr>
        <w:t>电子响应文件按广西政府采购云平台平台</w:t>
      </w:r>
      <w:r>
        <w:rPr>
          <w:rFonts w:hint="eastAsia" w:ascii="宋体" w:hAnsi="宋体"/>
          <w:color w:val="auto"/>
          <w:sz w:val="24"/>
        </w:rPr>
        <w:t>要求</w:t>
      </w:r>
      <w:r>
        <w:rPr>
          <w:rFonts w:ascii="宋体" w:hAnsi="宋体"/>
          <w:color w:val="auto"/>
          <w:sz w:val="24"/>
        </w:rPr>
        <w:t>及本磋商文件要求制作、加密并递交。具体操作流程</w:t>
      </w:r>
      <w:r>
        <w:rPr>
          <w:rFonts w:hint="eastAsia" w:ascii="宋体" w:hAnsi="宋体"/>
          <w:color w:val="auto"/>
          <w:sz w:val="24"/>
        </w:rPr>
        <w:t>可参考</w:t>
      </w:r>
      <w:r>
        <w:rPr>
          <w:rFonts w:ascii="宋体" w:hAnsi="宋体"/>
          <w:color w:val="auto"/>
          <w:sz w:val="24"/>
        </w:rPr>
        <w:t>《</w:t>
      </w:r>
      <w:r>
        <w:rPr>
          <w:rFonts w:hint="eastAsia" w:ascii="宋体" w:hAnsi="宋体"/>
          <w:color w:val="auto"/>
          <w:sz w:val="24"/>
        </w:rPr>
        <w:t>政府采购</w:t>
      </w:r>
      <w:r>
        <w:rPr>
          <w:rFonts w:ascii="宋体" w:hAnsi="宋体"/>
          <w:color w:val="auto"/>
          <w:sz w:val="24"/>
        </w:rPr>
        <w:t>项目电子交易管理操作指南</w:t>
      </w:r>
      <w:r>
        <w:rPr>
          <w:rFonts w:hint="eastAsia" w:ascii="宋体" w:hAnsi="宋体"/>
          <w:color w:val="auto"/>
          <w:sz w:val="24"/>
        </w:rPr>
        <w:t>-</w:t>
      </w:r>
      <w:r>
        <w:rPr>
          <w:rFonts w:ascii="宋体" w:hAnsi="宋体"/>
          <w:color w:val="auto"/>
          <w:sz w:val="24"/>
        </w:rPr>
        <w:t>供应商》</w:t>
      </w:r>
      <w:r>
        <w:rPr>
          <w:rFonts w:hint="eastAsia" w:ascii="宋体" w:hAnsi="宋体"/>
          <w:color w:val="auto"/>
          <w:sz w:val="24"/>
        </w:rPr>
        <w:t>，</w:t>
      </w:r>
      <w:r>
        <w:rPr>
          <w:rFonts w:ascii="宋体" w:hAnsi="宋体"/>
          <w:color w:val="auto"/>
          <w:sz w:val="24"/>
        </w:rPr>
        <w:t>指南可在</w:t>
      </w:r>
      <w:r>
        <w:rPr>
          <w:rFonts w:hint="eastAsia" w:ascii="宋体" w:hAnsi="宋体"/>
          <w:color w:val="auto"/>
          <w:sz w:val="24"/>
        </w:rPr>
        <w:t>广西政府采购网进行查阅。</w:t>
      </w:r>
    </w:p>
    <w:p w14:paraId="7EE6E01E">
      <w:pPr>
        <w:adjustRightInd w:val="0"/>
        <w:snapToGrid w:val="0"/>
        <w:spacing w:line="360" w:lineRule="auto"/>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7.1.3磋商响应</w:t>
      </w:r>
      <w:r>
        <w:rPr>
          <w:rFonts w:ascii="宋体" w:hAnsi="宋体"/>
          <w:color w:val="auto"/>
          <w:sz w:val="24"/>
        </w:rPr>
        <w:t>文件</w:t>
      </w:r>
      <w:r>
        <w:rPr>
          <w:rFonts w:hint="eastAsia" w:ascii="宋体" w:hAnsi="宋体"/>
          <w:color w:val="auto"/>
          <w:sz w:val="24"/>
        </w:rPr>
        <w:t>解密</w:t>
      </w:r>
      <w:r>
        <w:rPr>
          <w:rFonts w:ascii="宋体" w:hAnsi="宋体"/>
          <w:color w:val="auto"/>
          <w:sz w:val="24"/>
        </w:rPr>
        <w:t>：</w:t>
      </w:r>
      <w:r>
        <w:rPr>
          <w:rFonts w:hint="eastAsia" w:ascii="宋体" w:hAnsi="宋体"/>
          <w:color w:val="auto"/>
          <w:sz w:val="24"/>
        </w:rPr>
        <w:t>若磋商供应商在规定时间内无法解密或解密失败，视为磋商响应文件撤回，磋商无效。</w:t>
      </w:r>
    </w:p>
    <w:p w14:paraId="422EEAF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7.2供应商提交的竞争性磋商响应文件以及供应商与北海市政府采购中心和采购人就有关磋商的所有来往函电均应使用中文。供应商提交的支持文件和印刷的文献可以使用别的语言，但其相应内容必须附有中文翻译文本，在解释竞争性磋商响应文件时以翻译文本为主。</w:t>
      </w:r>
    </w:p>
    <w:p w14:paraId="12E0BAA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7.3供应商应认真阅读、并充分理解本文件的全部内容（包括所有的澄清、更改、补充、答疑等内容），承诺并履行本文件中各项条款规定及要求。</w:t>
      </w:r>
    </w:p>
    <w:p w14:paraId="0C2C679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7.4竞争性磋商响应文件必须按本文件的全部内容，包括所有的澄清、更改、补充、答疑等内容及附件进行编制。</w:t>
      </w:r>
    </w:p>
    <w:p w14:paraId="5327C1C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7.5如因供应商只填写和提供了本文件要求的部分内容和附件，而给磋商小组评审造成困难，其可能导致的结果和责任由供应商自行承担。</w:t>
      </w:r>
    </w:p>
    <w:p w14:paraId="232236EF">
      <w:pPr>
        <w:snapToGrid w:val="0"/>
        <w:spacing w:line="360" w:lineRule="auto"/>
        <w:ind w:firstLine="480" w:firstLineChars="200"/>
        <w:jc w:val="left"/>
        <w:rPr>
          <w:rFonts w:ascii="宋体" w:hAnsi="宋体"/>
          <w:color w:val="auto"/>
          <w:sz w:val="24"/>
        </w:rPr>
      </w:pPr>
      <w:r>
        <w:rPr>
          <w:rFonts w:hint="eastAsia" w:ascii="宋体" w:hAnsi="宋体"/>
          <w:color w:val="auto"/>
          <w:sz w:val="24"/>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1A6829B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7.7竞争性磋商响应文件的组成：竞争性磋商响应文件应分为资格文件、价格文件和商务技术文件组成。</w:t>
      </w:r>
      <w:r>
        <w:rPr>
          <w:rFonts w:ascii="宋体" w:hAnsi="宋体"/>
          <w:color w:val="auto"/>
          <w:sz w:val="24"/>
        </w:rPr>
        <w:t>供应商应仔细阅读磋商采购文件的所有内容，按磋商采购文件的要求，详细编制磋商响应文件。</w:t>
      </w:r>
    </w:p>
    <w:p w14:paraId="5FD51E21">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7.7.1资格文件</w:t>
      </w:r>
    </w:p>
    <w:p w14:paraId="75684F2D">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（1）</w:t>
      </w:r>
      <w:r>
        <w:rPr>
          <w:rFonts w:hint="eastAsia" w:ascii="宋体" w:hAnsi="宋体" w:cs="宋体"/>
          <w:color w:val="auto"/>
          <w:sz w:val="24"/>
        </w:rPr>
        <w:t>北海市政府采购供应商信用承诺函</w:t>
      </w:r>
      <w:r>
        <w:rPr>
          <w:rFonts w:hint="eastAsia" w:ascii="宋体" w:hAnsi="宋体"/>
          <w:b/>
          <w:bCs/>
          <w:color w:val="auto"/>
          <w:sz w:val="24"/>
        </w:rPr>
        <w:t>（必须提供，格式见第三章）</w:t>
      </w:r>
    </w:p>
    <w:p w14:paraId="172AA7E0">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（2）</w:t>
      </w:r>
      <w:r>
        <w:rPr>
          <w:rFonts w:hint="eastAsia" w:ascii="宋体" w:hAnsi="宋体" w:cs="宋体"/>
          <w:color w:val="auto"/>
          <w:sz w:val="24"/>
        </w:rPr>
        <w:t>磋商供应商有效的</w:t>
      </w:r>
      <w:r>
        <w:rPr>
          <w:rFonts w:hint="eastAsia" w:hAnsi="宋体" w:cs="宋体"/>
          <w:color w:val="auto"/>
          <w:sz w:val="24"/>
        </w:rPr>
        <w:t>水利水电工程施工二级（含）以上资质</w:t>
      </w:r>
      <w:r>
        <w:rPr>
          <w:rFonts w:hint="eastAsia" w:ascii="宋体" w:hAnsi="宋体" w:cs="宋体"/>
          <w:color w:val="auto"/>
          <w:sz w:val="24"/>
        </w:rPr>
        <w:t>复印件、供应商有效的安全生产许可证复印件</w:t>
      </w:r>
      <w:r>
        <w:rPr>
          <w:rFonts w:hint="eastAsia" w:ascii="宋体" w:hAnsi="宋体"/>
          <w:b/>
          <w:bCs/>
          <w:color w:val="auto"/>
          <w:sz w:val="24"/>
        </w:rPr>
        <w:t>（必须提供）</w:t>
      </w:r>
    </w:p>
    <w:p w14:paraId="455B074A">
      <w:pPr>
        <w:adjustRightInd w:val="0"/>
        <w:snapToGrid w:val="0"/>
        <w:spacing w:line="360" w:lineRule="auto"/>
        <w:ind w:firstLine="482" w:firstLineChars="200"/>
        <w:rPr>
          <w:rFonts w:hint="eastAsia" w:ascii="宋体" w:hAnsi="宋体" w:cs="宋体"/>
          <w:b/>
          <w:bCs/>
          <w:color w:val="auto"/>
          <w:sz w:val="24"/>
        </w:rPr>
      </w:pPr>
      <w:r>
        <w:rPr>
          <w:rFonts w:hint="eastAsia" w:ascii="宋体" w:hAnsi="宋体"/>
          <w:b/>
          <w:bCs/>
          <w:color w:val="auto"/>
          <w:sz w:val="24"/>
        </w:rPr>
        <w:t>▲</w:t>
      </w:r>
      <w:r>
        <w:rPr>
          <w:rFonts w:hint="eastAsia" w:ascii="宋体" w:hAnsi="宋体" w:cs="宋体"/>
          <w:b w:val="0"/>
          <w:bCs w:val="0"/>
          <w:color w:val="auto"/>
          <w:sz w:val="24"/>
        </w:rPr>
        <w:t>（3）供应商拟派驻项目经理须具备水利水电工程类专业二级（含）以上注册建造师执业资格，并获得省级或省级以上水行政主管部门或其授权部门（机构）颁发的安全生产考核合格证书（B类）</w:t>
      </w:r>
      <w:r>
        <w:rPr>
          <w:rFonts w:hint="eastAsia" w:ascii="宋体" w:hAnsi="宋体" w:cs="宋体"/>
          <w:b w:val="0"/>
          <w:bCs w:val="0"/>
          <w:color w:val="auto"/>
          <w:sz w:val="24"/>
          <w:lang w:eastAsia="zh-CN"/>
        </w:rPr>
        <w:t>的</w:t>
      </w:r>
      <w:r>
        <w:rPr>
          <w:rFonts w:hint="eastAsia" w:ascii="宋体" w:hAnsi="宋体" w:cs="宋体"/>
          <w:b w:val="0"/>
          <w:bCs w:val="0"/>
          <w:color w:val="auto"/>
          <w:sz w:val="24"/>
          <w:lang w:val="en-US" w:eastAsia="zh-CN"/>
        </w:rPr>
        <w:t>复印件</w:t>
      </w:r>
      <w:r>
        <w:rPr>
          <w:rFonts w:hint="eastAsia" w:ascii="宋体" w:hAnsi="宋体" w:cs="宋体"/>
          <w:b w:val="0"/>
          <w:bCs w:val="0"/>
          <w:color w:val="auto"/>
          <w:sz w:val="24"/>
        </w:rPr>
        <w:t>，同时提供项目经理无在建、已中标（成交）未开工或已列为其他项目中标（成交）候选人第一名的情况的承诺函（格式自拟）；专职安全员须持有效的安全生产考核合格证书（C类）</w:t>
      </w:r>
      <w:r>
        <w:rPr>
          <w:rFonts w:hint="eastAsia" w:ascii="宋体" w:hAnsi="宋体" w:cs="宋体"/>
          <w:b w:val="0"/>
          <w:bCs w:val="0"/>
          <w:color w:val="auto"/>
          <w:sz w:val="24"/>
          <w:lang w:val="en-US" w:eastAsia="zh-CN"/>
        </w:rPr>
        <w:t>复印件</w:t>
      </w:r>
      <w:r>
        <w:rPr>
          <w:rFonts w:hint="eastAsia" w:ascii="宋体" w:hAnsi="宋体" w:cs="宋体"/>
          <w:b w:val="0"/>
          <w:bCs w:val="0"/>
          <w:color w:val="auto"/>
          <w:sz w:val="24"/>
        </w:rPr>
        <w:t>；项目管理机构人员配置最低要求：项目经理1人、技术负责人1人、施工员1人、安全员1人、质量员1人、材料员1人。拟投入人员需为本单位在职员工，需提供项目管理机构所有人员身份证、有效资格证、近三个月（</w:t>
      </w:r>
      <w:r>
        <w:rPr>
          <w:rFonts w:hint="eastAsia" w:ascii="宋体" w:hAnsi="宋体" w:cs="宋体"/>
          <w:b w:val="0"/>
          <w:bCs w:val="0"/>
          <w:color w:val="auto"/>
          <w:sz w:val="24"/>
          <w:lang w:eastAsia="zh-CN"/>
        </w:rPr>
        <w:t>2026年02月至2026年04月</w:t>
      </w:r>
      <w:r>
        <w:rPr>
          <w:rFonts w:hint="eastAsia" w:ascii="宋体" w:hAnsi="宋体" w:cs="宋体"/>
          <w:b w:val="0"/>
          <w:bCs w:val="0"/>
          <w:color w:val="auto"/>
          <w:sz w:val="24"/>
        </w:rPr>
        <w:t>）其中任何一个月在现任职单位依法缴纳社会保险证明材料</w:t>
      </w:r>
      <w:r>
        <w:rPr>
          <w:rFonts w:hint="eastAsia" w:ascii="宋体" w:hAnsi="宋体" w:cs="宋体"/>
          <w:b w:val="0"/>
          <w:bCs w:val="0"/>
          <w:color w:val="auto"/>
          <w:sz w:val="24"/>
          <w:lang w:val="en-US" w:eastAsia="zh-CN"/>
        </w:rPr>
        <w:t>复印件</w:t>
      </w:r>
      <w:r>
        <w:rPr>
          <w:rFonts w:hint="eastAsia" w:ascii="宋体" w:hAnsi="宋体" w:cs="宋体"/>
          <w:b w:val="0"/>
          <w:bCs w:val="0"/>
          <w:color w:val="auto"/>
          <w:sz w:val="24"/>
        </w:rPr>
        <w:t>（注：入职或转注本单位不足三个月的须提供最近一个月的参保缴费凭证）。（必须提供）</w:t>
      </w:r>
    </w:p>
    <w:p w14:paraId="2B0F8A50">
      <w:pPr>
        <w:adjustRightInd w:val="0"/>
        <w:snapToGrid w:val="0"/>
        <w:spacing w:line="360" w:lineRule="auto"/>
        <w:ind w:firstLine="482" w:firstLineChars="200"/>
        <w:rPr>
          <w:rFonts w:ascii="宋体" w:hAnsi="宋体"/>
          <w:color w:val="auto"/>
          <w:sz w:val="24"/>
        </w:rPr>
      </w:pPr>
      <w:r>
        <w:rPr>
          <w:rFonts w:hint="eastAsia" w:ascii="宋体" w:hAnsi="宋体"/>
          <w:b/>
          <w:bCs/>
          <w:color w:val="auto"/>
          <w:sz w:val="24"/>
        </w:rPr>
        <w:t>▲</w:t>
      </w:r>
      <w:r>
        <w:rPr>
          <w:rFonts w:hint="eastAsia" w:ascii="宋体" w:hAnsi="宋体"/>
          <w:color w:val="auto"/>
          <w:sz w:val="24"/>
        </w:rPr>
        <w:t>（4）中小企业声明函（格式见第三章）</w:t>
      </w:r>
      <w:r>
        <w:rPr>
          <w:rFonts w:hint="eastAsia" w:ascii="宋体" w:hAnsi="宋体" w:cs="宋体"/>
          <w:b/>
          <w:bCs/>
          <w:color w:val="auto"/>
          <w:sz w:val="24"/>
        </w:rPr>
        <w:t>（专门面向中小企业采购项目必须提供）</w:t>
      </w:r>
    </w:p>
    <w:p w14:paraId="7DB5BEA4">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7.7.2价格文件</w:t>
      </w:r>
    </w:p>
    <w:p w14:paraId="0E5BE2C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▲（1）竞标函及竞标函附录</w:t>
      </w:r>
      <w:r>
        <w:rPr>
          <w:rFonts w:hint="eastAsia" w:ascii="宋体" w:hAnsi="宋体"/>
          <w:b/>
          <w:bCs/>
          <w:color w:val="auto"/>
          <w:sz w:val="24"/>
        </w:rPr>
        <w:t>（必须提供，格式见第三章）。</w:t>
      </w:r>
    </w:p>
    <w:p w14:paraId="227C076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▲（2）竞标报价表</w:t>
      </w:r>
      <w:r>
        <w:rPr>
          <w:rFonts w:hint="eastAsia" w:ascii="宋体" w:hAnsi="宋体"/>
          <w:b/>
          <w:color w:val="auto"/>
          <w:sz w:val="24"/>
        </w:rPr>
        <w:t>（必须提供，格式见第三章）。</w:t>
      </w:r>
    </w:p>
    <w:p w14:paraId="34CDD3A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▲（3）已标价工程量清单</w:t>
      </w:r>
      <w:r>
        <w:rPr>
          <w:rFonts w:hint="eastAsia" w:ascii="宋体" w:hAnsi="宋体"/>
          <w:b/>
          <w:color w:val="auto"/>
          <w:sz w:val="24"/>
        </w:rPr>
        <w:t>（必须提供，格式见第三章）。</w:t>
      </w:r>
    </w:p>
    <w:p w14:paraId="68331E6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（4）供应商认为需要提供的其他有关资料。</w:t>
      </w:r>
    </w:p>
    <w:p w14:paraId="255C7A7F">
      <w:pPr>
        <w:adjustRightInd w:val="0"/>
        <w:snapToGrid w:val="0"/>
        <w:spacing w:line="360" w:lineRule="auto"/>
        <w:ind w:firstLine="482" w:firstLineChars="200"/>
        <w:rPr>
          <w:rFonts w:ascii="宋体" w:hAnsi="宋体"/>
          <w:color w:val="auto"/>
          <w:sz w:val="24"/>
        </w:rPr>
      </w:pPr>
      <w:r>
        <w:rPr>
          <w:rFonts w:hint="eastAsia" w:ascii="宋体" w:hAnsi="宋体"/>
          <w:b/>
          <w:color w:val="auto"/>
          <w:sz w:val="24"/>
        </w:rPr>
        <w:t>7.7.3 商务技术文件</w:t>
      </w:r>
      <w:r>
        <w:rPr>
          <w:rFonts w:hint="eastAsia" w:ascii="宋体" w:hAnsi="宋体"/>
          <w:color w:val="auto"/>
          <w:sz w:val="24"/>
        </w:rPr>
        <w:t>（应该有的必须提供,如未提供,磋商小组有权拒绝其磋商响应文件）。</w:t>
      </w:r>
    </w:p>
    <w:p w14:paraId="5BA0F63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▲（1）磋商书</w:t>
      </w:r>
      <w:r>
        <w:rPr>
          <w:rFonts w:hint="eastAsia" w:ascii="宋体" w:hAnsi="宋体"/>
          <w:b/>
          <w:color w:val="auto"/>
          <w:sz w:val="24"/>
        </w:rPr>
        <w:t xml:space="preserve"> （必须提供，格式见第三章）；</w:t>
      </w:r>
    </w:p>
    <w:p w14:paraId="057144D5">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▲（2）法定代表人（负责人）授权委托书和委托代理人身份证复印件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委托代理时必须提供）</w:t>
      </w:r>
      <w:r>
        <w:rPr>
          <w:rFonts w:hint="eastAsia" w:ascii="宋体" w:hAnsi="宋体"/>
          <w:color w:val="auto"/>
          <w:sz w:val="24"/>
        </w:rPr>
        <w:t>，法定代表人（负责人）参加磋商时，提供法定代表人（负责人）身份证明书和身份证复印件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必须提供）</w:t>
      </w:r>
      <w:r>
        <w:rPr>
          <w:rFonts w:hint="eastAsia" w:ascii="宋体" w:hAnsi="宋体"/>
          <w:color w:val="auto"/>
          <w:sz w:val="24"/>
        </w:rPr>
        <w:t>；</w:t>
      </w:r>
    </w:p>
    <w:p w14:paraId="38844156">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▲（3）承诺函</w:t>
      </w:r>
      <w:r>
        <w:rPr>
          <w:rFonts w:hint="eastAsia" w:ascii="宋体" w:hAnsi="宋体"/>
          <w:b/>
          <w:color w:val="auto"/>
          <w:sz w:val="24"/>
        </w:rPr>
        <w:t>（必须提供，格式见第三章）；</w:t>
      </w:r>
      <w:r>
        <w:rPr>
          <w:rFonts w:hint="eastAsia" w:ascii="宋体" w:hAnsi="宋体"/>
          <w:color w:val="auto"/>
          <w:sz w:val="24"/>
        </w:rPr>
        <w:t xml:space="preserve"> </w:t>
      </w:r>
    </w:p>
    <w:p w14:paraId="71BF5FE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snapToGrid w:val="0"/>
          <w:color w:val="auto"/>
          <w:spacing w:val="-1"/>
          <w:kern w:val="0"/>
          <w:sz w:val="24"/>
        </w:rPr>
        <w:t>施工组织设计</w:t>
      </w:r>
      <w:r>
        <w:rPr>
          <w:rFonts w:hint="eastAsia" w:ascii="宋体" w:hAnsi="宋体" w:cs="宋体"/>
          <w:b/>
          <w:bCs/>
          <w:snapToGrid w:val="0"/>
          <w:color w:val="auto"/>
          <w:spacing w:val="-1"/>
          <w:kern w:val="0"/>
          <w:sz w:val="24"/>
        </w:rPr>
        <w:t>(</w:t>
      </w:r>
      <w:r>
        <w:rPr>
          <w:rFonts w:hint="eastAsia" w:ascii="宋体" w:hAnsi="宋体"/>
          <w:b/>
          <w:color w:val="auto"/>
          <w:sz w:val="24"/>
        </w:rPr>
        <w:t>必须提供，格式</w:t>
      </w:r>
      <w:r>
        <w:rPr>
          <w:rFonts w:hint="eastAsia" w:ascii="宋体" w:hAnsi="宋体"/>
          <w:b/>
          <w:bCs/>
          <w:color w:val="auto"/>
          <w:sz w:val="24"/>
        </w:rPr>
        <w:t>自拟</w:t>
      </w:r>
      <w:r>
        <w:rPr>
          <w:rFonts w:hint="eastAsia" w:ascii="宋体" w:hAnsi="宋体"/>
          <w:color w:val="auto"/>
          <w:sz w:val="24"/>
        </w:rPr>
        <w:t>）；</w:t>
      </w:r>
    </w:p>
    <w:p w14:paraId="2FB4B08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▲（5）项目管理机构配备情况表及主要人员简历表</w:t>
      </w:r>
      <w:r>
        <w:rPr>
          <w:rFonts w:hint="eastAsia" w:ascii="宋体" w:hAnsi="宋体"/>
          <w:b/>
          <w:color w:val="auto"/>
          <w:sz w:val="24"/>
        </w:rPr>
        <w:t>（根据采购需求相关要求提供，格式自拟，必须提供）</w:t>
      </w:r>
      <w:r>
        <w:rPr>
          <w:rFonts w:hint="eastAsia" w:ascii="宋体" w:hAnsi="宋体"/>
          <w:color w:val="auto"/>
          <w:sz w:val="24"/>
        </w:rPr>
        <w:t>；</w:t>
      </w:r>
    </w:p>
    <w:p w14:paraId="0FE4D036">
      <w:pPr>
        <w:numPr>
          <w:ilvl w:val="0"/>
          <w:numId w:val="2"/>
        </w:numPr>
        <w:adjustRightInd w:val="0"/>
        <w:snapToGrid w:val="0"/>
        <w:spacing w:line="360" w:lineRule="auto"/>
        <w:ind w:firstLine="476" w:firstLineChars="200"/>
        <w:rPr>
          <w:rFonts w:ascii="宋体" w:hAnsi="宋体"/>
          <w:color w:val="auto"/>
          <w:sz w:val="24"/>
        </w:rPr>
      </w:pPr>
      <w:r>
        <w:rPr>
          <w:rFonts w:hint="eastAsia" w:ascii="宋体" w:hAnsi="宋体" w:cs="宋体"/>
          <w:snapToGrid w:val="0"/>
          <w:color w:val="auto"/>
          <w:spacing w:val="-1"/>
          <w:kern w:val="0"/>
          <w:sz w:val="24"/>
        </w:rPr>
        <w:t>拟分包项目情况表（格式见第三章）；（如有）</w:t>
      </w:r>
    </w:p>
    <w:p w14:paraId="2F9CDD6A">
      <w:pPr>
        <w:adjustRightInd w:val="0"/>
        <w:snapToGrid w:val="0"/>
        <w:spacing w:line="360" w:lineRule="auto"/>
        <w:ind w:firstLine="480" w:firstLineChars="200"/>
        <w:rPr>
          <w:rFonts w:hint="eastAsia" w:ascii="宋体" w:hAnsi="宋体" w:eastAsia="宋体"/>
          <w:b w:val="0"/>
          <w:bCs/>
          <w:color w:val="auto"/>
          <w:sz w:val="24"/>
          <w:lang w:eastAsia="zh-CN"/>
        </w:rPr>
      </w:pPr>
      <w:r>
        <w:rPr>
          <w:rFonts w:hint="eastAsia" w:ascii="宋体" w:hAnsi="宋体"/>
          <w:color w:val="auto"/>
          <w:sz w:val="24"/>
        </w:rPr>
        <w:t>▲（7）建设工程项目管理承诺书</w:t>
      </w:r>
      <w:r>
        <w:rPr>
          <w:rFonts w:hint="eastAsia" w:ascii="宋体" w:hAnsi="宋体"/>
          <w:b/>
          <w:color w:val="auto"/>
          <w:sz w:val="24"/>
        </w:rPr>
        <w:t>（必须提供，格式见第三章）</w:t>
      </w:r>
      <w:r>
        <w:rPr>
          <w:rFonts w:hint="eastAsia" w:ascii="宋体" w:hAnsi="宋体"/>
          <w:b w:val="0"/>
          <w:bCs/>
          <w:color w:val="auto"/>
          <w:sz w:val="24"/>
          <w:lang w:eastAsia="zh-CN"/>
        </w:rPr>
        <w:t>；</w:t>
      </w:r>
    </w:p>
    <w:p w14:paraId="21E7AEB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（8）供应商负责过与本项目相类似的成功案例和经验（如有，需提供合同复印件）；</w:t>
      </w:r>
    </w:p>
    <w:p w14:paraId="186629C0">
      <w:pPr>
        <w:adjustRightInd w:val="0"/>
        <w:snapToGri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（9）采购需求要求提供的材料</w:t>
      </w:r>
      <w:r>
        <w:rPr>
          <w:rFonts w:hint="eastAsia" w:ascii="宋体" w:hAnsi="宋体"/>
          <w:b/>
          <w:bCs/>
          <w:color w:val="auto"/>
          <w:sz w:val="24"/>
        </w:rPr>
        <w:t>（格式自拟，如有要求则提供）</w:t>
      </w:r>
      <w:r>
        <w:rPr>
          <w:rFonts w:hint="eastAsia" w:ascii="宋体" w:hAnsi="宋体"/>
          <w:b/>
          <w:bCs/>
          <w:color w:val="auto"/>
          <w:sz w:val="24"/>
          <w:lang w:eastAsia="zh-CN"/>
        </w:rPr>
        <w:t>；</w:t>
      </w:r>
    </w:p>
    <w:p w14:paraId="0AD94902">
      <w:pPr>
        <w:adjustRightInd w:val="0"/>
        <w:snapToGrid w:val="0"/>
        <w:spacing w:line="360" w:lineRule="auto"/>
        <w:ind w:firstLine="480" w:firstLineChars="200"/>
        <w:rPr>
          <w:rFonts w:ascii="宋体" w:hAnsi="宋体"/>
          <w:b/>
          <w:color w:val="auto"/>
          <w:sz w:val="24"/>
        </w:rPr>
      </w:pPr>
      <w:r>
        <w:rPr>
          <w:rFonts w:hint="eastAsia" w:ascii="宋体" w:hAnsi="宋体"/>
          <w:color w:val="auto"/>
          <w:sz w:val="24"/>
        </w:rPr>
        <w:t>（10）具备履行合同所必需的设备和专业技术能力的证明材料</w:t>
      </w:r>
      <w:r>
        <w:rPr>
          <w:rFonts w:hint="eastAsia" w:ascii="宋体" w:hAnsi="宋体"/>
          <w:b/>
          <w:color w:val="auto"/>
          <w:sz w:val="24"/>
        </w:rPr>
        <w:t>；</w:t>
      </w:r>
    </w:p>
    <w:p w14:paraId="7D5C4FD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（11）磋商供应商认为需要提供的有关资料。</w:t>
      </w:r>
    </w:p>
    <w:p w14:paraId="3533BAB4">
      <w:pPr>
        <w:spacing w:line="360" w:lineRule="auto"/>
        <w:ind w:firstLine="480" w:firstLineChars="200"/>
        <w:rPr>
          <w:rFonts w:ascii="宋体" w:hAnsi="宋体"/>
          <w:b/>
          <w:color w:val="auto"/>
          <w:sz w:val="24"/>
        </w:rPr>
      </w:pPr>
      <w:r>
        <w:rPr>
          <w:rFonts w:hint="eastAsia" w:ascii="宋体" w:hAnsi="宋体"/>
          <w:color w:val="auto"/>
          <w:sz w:val="24"/>
        </w:rPr>
        <w:t>▲特别说明：</w:t>
      </w:r>
      <w:r>
        <w:rPr>
          <w:rFonts w:hint="eastAsia" w:ascii="宋体" w:hAnsi="宋体"/>
          <w:b/>
          <w:color w:val="auto"/>
          <w:sz w:val="24"/>
        </w:rPr>
        <w:t>（1）</w:t>
      </w:r>
      <w:r>
        <w:rPr>
          <w:rFonts w:ascii="宋体" w:hAnsi="宋体"/>
          <w:b/>
          <w:color w:val="auto"/>
          <w:sz w:val="24"/>
        </w:rPr>
        <w:t>若磋商文件中有专门标注的某关联点</w:t>
      </w:r>
      <w:r>
        <w:rPr>
          <w:rFonts w:hint="eastAsia" w:ascii="宋体" w:hAnsi="宋体"/>
          <w:b/>
          <w:color w:val="auto"/>
          <w:sz w:val="24"/>
        </w:rPr>
        <w:t>，</w:t>
      </w:r>
      <w:r>
        <w:rPr>
          <w:rFonts w:ascii="宋体" w:hAnsi="宋体"/>
          <w:b/>
          <w:color w:val="auto"/>
          <w:sz w:val="24"/>
        </w:rPr>
        <w:t>并要求供应商在电子投标系统中作出磋商响应的，如供应商未对关联点进行响应或者在响应文件其它内容进行描述，造成电子评审不能查询的责任由供应商自行承担。</w:t>
      </w:r>
    </w:p>
    <w:p w14:paraId="1FC29783">
      <w:pPr>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2</w:t>
      </w:r>
      <w:r>
        <w:rPr>
          <w:rFonts w:hint="eastAsia" w:ascii="宋体" w:hAnsi="宋体"/>
          <w:b/>
          <w:color w:val="auto"/>
          <w:sz w:val="24"/>
        </w:rPr>
        <w:t>）磋商文件要求提供的各种复印件，必须加盖磋商供应商CA签章，否则其磋商无效。</w:t>
      </w:r>
    </w:p>
    <w:p w14:paraId="44FE9EE2">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3</w:t>
      </w:r>
      <w:r>
        <w:rPr>
          <w:rFonts w:hint="eastAsia" w:ascii="宋体" w:hAnsi="宋体"/>
          <w:b/>
          <w:color w:val="auto"/>
          <w:sz w:val="24"/>
        </w:rPr>
        <w:t>）磋商文件要求“必须提供”的证明等材料，磋商供应商必须全部提供，缺一不可，否则磋商无效。</w:t>
      </w:r>
    </w:p>
    <w:p w14:paraId="562515A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 计量单位</w:t>
      </w:r>
    </w:p>
    <w:p w14:paraId="6C068BD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8.1除技术要求中另有规定外，本文件所要求使用的计量单位均应采用国家法定计量单位。</w:t>
      </w:r>
    </w:p>
    <w:p w14:paraId="7FF626CA">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三、报价要求</w:t>
      </w:r>
    </w:p>
    <w:p w14:paraId="32BA9A6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9.1对于本文件中未列明，而供应商认为必需的费用也需列入总报价。在合同实施时，采购人将不予支付成交供应商没有列入的项目费用，并认为此项目的费用已包括在总报价中。</w:t>
      </w:r>
    </w:p>
    <w:p w14:paraId="0A961B8A">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9.2成交供应商负责本项目所需服务及售后服务等全部工作。</w:t>
      </w:r>
    </w:p>
    <w:p w14:paraId="269227B0">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6DE6A7D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9.4报价：供应商应就《采购项目需求》中所有的服务内容作完整唯一报价。</w:t>
      </w:r>
    </w:p>
    <w:p w14:paraId="35154A65">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四、竞争性磋商响应文件的封装和递交</w:t>
      </w:r>
    </w:p>
    <w:p w14:paraId="047213E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10.竞争性磋商响应文件的封装</w:t>
      </w:r>
    </w:p>
    <w:p w14:paraId="7ECD2AB2">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10.1</w:t>
      </w:r>
      <w:r>
        <w:rPr>
          <w:rFonts w:hAnsi="宋体"/>
          <w:color w:val="auto"/>
          <w:sz w:val="24"/>
          <w:szCs w:val="24"/>
        </w:rPr>
        <w:t>电子</w:t>
      </w:r>
      <w:r>
        <w:rPr>
          <w:rFonts w:hint="eastAsia" w:hAnsi="宋体"/>
          <w:color w:val="auto"/>
          <w:sz w:val="24"/>
          <w:szCs w:val="24"/>
        </w:rPr>
        <w:t>磋商</w:t>
      </w:r>
      <w:r>
        <w:rPr>
          <w:rFonts w:hAnsi="宋体"/>
          <w:color w:val="auto"/>
          <w:sz w:val="24"/>
          <w:szCs w:val="24"/>
        </w:rPr>
        <w:t>响应文件中须加盖供应商公章部分均采用 CA 签章，并根据“政府采购项目电子交易管理操作指南-供应商” 及本</w:t>
      </w:r>
      <w:r>
        <w:rPr>
          <w:rFonts w:hint="eastAsia" w:hAnsi="宋体"/>
          <w:color w:val="auto"/>
          <w:sz w:val="24"/>
          <w:szCs w:val="24"/>
        </w:rPr>
        <w:t>磋商</w:t>
      </w:r>
      <w:r>
        <w:rPr>
          <w:rFonts w:hAnsi="宋体"/>
          <w:color w:val="auto"/>
          <w:sz w:val="24"/>
          <w:szCs w:val="24"/>
        </w:rPr>
        <w:t>文件规定的格式和顺序编制电子</w:t>
      </w:r>
      <w:r>
        <w:rPr>
          <w:rFonts w:hint="eastAsia" w:hAnsi="宋体"/>
          <w:color w:val="auto"/>
          <w:sz w:val="24"/>
          <w:szCs w:val="24"/>
        </w:rPr>
        <w:t>磋商</w:t>
      </w:r>
      <w:r>
        <w:rPr>
          <w:rFonts w:hAnsi="宋体"/>
          <w:color w:val="auto"/>
          <w:sz w:val="24"/>
          <w:szCs w:val="24"/>
        </w:rPr>
        <w:t>响应文件并进行关联定位，以便</w:t>
      </w:r>
      <w:r>
        <w:rPr>
          <w:rFonts w:hint="eastAsia" w:hAnsi="宋体"/>
          <w:color w:val="auto"/>
          <w:sz w:val="24"/>
          <w:szCs w:val="24"/>
        </w:rPr>
        <w:t>磋商小组</w:t>
      </w:r>
      <w:r>
        <w:rPr>
          <w:rFonts w:hAnsi="宋体"/>
          <w:color w:val="auto"/>
          <w:sz w:val="24"/>
          <w:szCs w:val="24"/>
        </w:rPr>
        <w:t>在评</w:t>
      </w:r>
      <w:r>
        <w:rPr>
          <w:rFonts w:hint="eastAsia" w:hAnsi="宋体"/>
          <w:color w:val="auto"/>
          <w:sz w:val="24"/>
          <w:szCs w:val="24"/>
        </w:rPr>
        <w:t>时</w:t>
      </w:r>
      <w:r>
        <w:rPr>
          <w:rFonts w:hAnsi="宋体"/>
          <w:color w:val="auto"/>
          <w:sz w:val="24"/>
          <w:szCs w:val="24"/>
        </w:rPr>
        <w:t>时，点击评分项可直接定位到该评分项内容。如对</w:t>
      </w:r>
      <w:r>
        <w:rPr>
          <w:rFonts w:hint="eastAsia" w:hAnsi="宋体"/>
          <w:color w:val="auto"/>
          <w:sz w:val="24"/>
          <w:szCs w:val="24"/>
        </w:rPr>
        <w:t>磋商</w:t>
      </w:r>
      <w:r>
        <w:rPr>
          <w:rFonts w:hAnsi="宋体"/>
          <w:color w:val="auto"/>
          <w:sz w:val="24"/>
          <w:szCs w:val="24"/>
        </w:rPr>
        <w:t>文件的某项要求，供应商的电子</w:t>
      </w:r>
      <w:r>
        <w:rPr>
          <w:rFonts w:hint="eastAsia" w:hAnsi="宋体"/>
          <w:color w:val="auto"/>
          <w:sz w:val="24"/>
          <w:szCs w:val="24"/>
        </w:rPr>
        <w:t>磋商</w:t>
      </w:r>
      <w:r>
        <w:rPr>
          <w:rFonts w:hAnsi="宋体"/>
          <w:color w:val="auto"/>
          <w:sz w:val="24"/>
          <w:szCs w:val="24"/>
        </w:rPr>
        <w:t>响应文件未能关联定位提供相应的内容与其对应，则</w:t>
      </w:r>
      <w:r>
        <w:rPr>
          <w:rFonts w:hint="eastAsia" w:hAnsi="宋体"/>
          <w:color w:val="auto"/>
          <w:sz w:val="24"/>
          <w:szCs w:val="24"/>
        </w:rPr>
        <w:t>磋商小组</w:t>
      </w:r>
      <w:r>
        <w:rPr>
          <w:rFonts w:hAnsi="宋体"/>
          <w:color w:val="auto"/>
          <w:sz w:val="24"/>
          <w:szCs w:val="24"/>
        </w:rPr>
        <w:t>在评审时如做出对供应商不利的评审由供应商自行承担。电子</w:t>
      </w:r>
      <w:r>
        <w:rPr>
          <w:rFonts w:hint="eastAsia" w:hAnsi="宋体"/>
          <w:color w:val="auto"/>
          <w:sz w:val="24"/>
          <w:szCs w:val="24"/>
        </w:rPr>
        <w:t>磋商</w:t>
      </w:r>
      <w:r>
        <w:rPr>
          <w:rFonts w:hAnsi="宋体"/>
          <w:color w:val="auto"/>
          <w:sz w:val="24"/>
          <w:szCs w:val="24"/>
        </w:rPr>
        <w:t>响应文件如内容不完整</w:t>
      </w:r>
      <w:r>
        <w:rPr>
          <w:rFonts w:hint="eastAsia" w:hAnsi="宋体"/>
          <w:color w:val="auto"/>
          <w:sz w:val="24"/>
          <w:szCs w:val="24"/>
        </w:rPr>
        <w:t>、</w:t>
      </w:r>
      <w:r>
        <w:rPr>
          <w:rFonts w:hAnsi="宋体"/>
          <w:color w:val="auto"/>
          <w:sz w:val="24"/>
          <w:szCs w:val="24"/>
        </w:rPr>
        <w:t>编排混乱导致磋商响应文件被误读、 漏读，或者在按采购文件规定的部位查找不到相关内容的，由供应商自行承担。</w:t>
      </w:r>
    </w:p>
    <w:p w14:paraId="4710762C">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10.2</w:t>
      </w:r>
      <w:r>
        <w:rPr>
          <w:rFonts w:hAnsi="宋体"/>
          <w:color w:val="auto"/>
          <w:sz w:val="24"/>
          <w:szCs w:val="24"/>
        </w:rPr>
        <w:t>磋商响应文件不得涂改，若有修改错漏处，须法定代表人</w:t>
      </w:r>
      <w:r>
        <w:rPr>
          <w:rFonts w:hint="eastAsia" w:hAnsi="宋体"/>
          <w:color w:val="auto"/>
          <w:sz w:val="24"/>
          <w:szCs w:val="24"/>
        </w:rPr>
        <w:t>（负责人）</w:t>
      </w:r>
      <w:r>
        <w:rPr>
          <w:rFonts w:hAnsi="宋体"/>
          <w:color w:val="auto"/>
          <w:sz w:val="24"/>
          <w:szCs w:val="24"/>
        </w:rPr>
        <w:t>或授权委托人签字</w:t>
      </w:r>
      <w:r>
        <w:rPr>
          <w:rFonts w:hint="eastAsia" w:hAnsi="宋体"/>
          <w:color w:val="auto"/>
          <w:sz w:val="24"/>
          <w:szCs w:val="24"/>
        </w:rPr>
        <w:t>。</w:t>
      </w:r>
      <w:r>
        <w:rPr>
          <w:rFonts w:hAnsi="宋体"/>
          <w:color w:val="auto"/>
          <w:sz w:val="24"/>
          <w:szCs w:val="24"/>
        </w:rPr>
        <w:t>磋商响应文件因字迹潦草或表达不清所引起的后果由供应商负责。</w:t>
      </w:r>
    </w:p>
    <w:p w14:paraId="6F9A9ED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11.竞争性磋商响应文件的递交</w:t>
      </w:r>
    </w:p>
    <w:p w14:paraId="3C3F087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11.1所有竞争性磋商响应文件应于竞争性磋商文件中规定的时间前</w:t>
      </w:r>
      <w:r>
        <w:rPr>
          <w:rFonts w:ascii="宋体" w:hAnsi="宋体"/>
          <w:color w:val="auto"/>
          <w:sz w:val="24"/>
        </w:rPr>
        <w:t>上传递交至广西政府采购云平台。</w:t>
      </w:r>
    </w:p>
    <w:p w14:paraId="7B690C69">
      <w:pPr>
        <w:adjustRightInd w:val="0"/>
        <w:snapToGrid w:val="0"/>
        <w:spacing w:line="360" w:lineRule="auto"/>
        <w:ind w:firstLine="482" w:firstLineChars="200"/>
        <w:rPr>
          <w:rFonts w:ascii="宋体" w:hAnsi="宋体"/>
          <w:b/>
          <w:color w:val="auto"/>
          <w:sz w:val="24"/>
        </w:rPr>
      </w:pPr>
      <w:r>
        <w:rPr>
          <w:rFonts w:ascii="宋体" w:hAnsi="宋体"/>
          <w:b/>
          <w:color w:val="auto"/>
          <w:sz w:val="24"/>
        </w:rPr>
        <w:t>电子</w:t>
      </w:r>
      <w:r>
        <w:rPr>
          <w:rFonts w:hint="eastAsia" w:ascii="宋体" w:hAnsi="宋体"/>
          <w:b/>
          <w:color w:val="auto"/>
          <w:sz w:val="24"/>
        </w:rPr>
        <w:t>磋商</w:t>
      </w:r>
      <w:r>
        <w:rPr>
          <w:rFonts w:ascii="宋体" w:hAnsi="宋体"/>
          <w:b/>
          <w:color w:val="auto"/>
          <w:sz w:val="24"/>
        </w:rPr>
        <w:t>文件的相关说明</w:t>
      </w:r>
    </w:p>
    <w:p w14:paraId="18F82974">
      <w:pPr>
        <w:adjustRightInd w:val="0"/>
        <w:snapToGrid w:val="0"/>
        <w:spacing w:line="360" w:lineRule="auto"/>
        <w:ind w:firstLine="482" w:firstLineChars="200"/>
        <w:rPr>
          <w:rFonts w:ascii="宋体" w:hAnsi="宋体"/>
          <w:b/>
          <w:color w:val="auto"/>
          <w:sz w:val="24"/>
        </w:rPr>
      </w:pPr>
      <w:r>
        <w:rPr>
          <w:rFonts w:ascii="宋体" w:hAnsi="宋体"/>
          <w:b/>
          <w:color w:val="auto"/>
          <w:sz w:val="24"/>
        </w:rPr>
        <w:t>（1）供应商进行电子</w:t>
      </w:r>
      <w:r>
        <w:rPr>
          <w:rFonts w:hint="eastAsia" w:ascii="宋体" w:hAnsi="宋体"/>
          <w:b/>
          <w:color w:val="auto"/>
          <w:sz w:val="24"/>
        </w:rPr>
        <w:t>磋商</w:t>
      </w:r>
      <w:r>
        <w:rPr>
          <w:rFonts w:ascii="宋体" w:hAnsi="宋体"/>
          <w:b/>
          <w:color w:val="auto"/>
          <w:sz w:val="24"/>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rPr>
        <w:t>，</w:t>
      </w:r>
      <w:r>
        <w:rPr>
          <w:rFonts w:ascii="宋体" w:hAnsi="宋体"/>
          <w:b/>
          <w:color w:val="auto"/>
          <w:sz w:val="24"/>
        </w:rPr>
        <w:t>补充、修改后重新传输递交。磋商截止时间前未完成传输的，视为撤回磋商响应文件。磋商截止时间后递交的磋商响应文件，电子交易平台将拒收。</w:t>
      </w:r>
    </w:p>
    <w:p w14:paraId="5CA3A91B">
      <w:pPr>
        <w:adjustRightInd w:val="0"/>
        <w:snapToGrid w:val="0"/>
        <w:spacing w:line="360" w:lineRule="auto"/>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2</w:t>
      </w:r>
      <w:r>
        <w:rPr>
          <w:rFonts w:ascii="宋体" w:hAnsi="宋体"/>
          <w:b/>
          <w:color w:val="auto"/>
          <w:sz w:val="24"/>
        </w:rPr>
        <w:t>）如有特殊情况，采购代理机构延长截止时间和开标时间，采购代理机构和供应商的权利和义务将受到新的截止时间和开标时间的约束。</w:t>
      </w:r>
    </w:p>
    <w:p w14:paraId="13582C3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11.2竞争性磋商响应文件从响应文件递交截止日期后六十日内有效。</w:t>
      </w:r>
    </w:p>
    <w:p w14:paraId="4D4FE2E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12.迟交的竞争性磋商响应文件</w:t>
      </w:r>
    </w:p>
    <w:p w14:paraId="176C0B0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12.1在本文件要求竞争性磋商响应文件递交截止时间后送达的竞争性磋商响应文件为无效文件，本中心将拒收。</w:t>
      </w:r>
    </w:p>
    <w:p w14:paraId="17698B9F">
      <w:pPr>
        <w:spacing w:line="360" w:lineRule="auto"/>
        <w:ind w:firstLine="480" w:firstLineChars="200"/>
        <w:rPr>
          <w:rFonts w:ascii="宋体" w:hAnsi="宋体" w:cs="宋体"/>
          <w:b/>
          <w:snapToGrid w:val="0"/>
          <w:color w:val="auto"/>
        </w:rPr>
      </w:pPr>
      <w:r>
        <w:rPr>
          <w:rFonts w:hint="eastAsia" w:ascii="宋体" w:hAnsi="宋体"/>
          <w:color w:val="auto"/>
          <w:sz w:val="24"/>
        </w:rPr>
        <w:t>13.</w:t>
      </w:r>
      <w:r>
        <w:rPr>
          <w:rFonts w:hint="eastAsia" w:ascii="宋体" w:hAnsi="宋体" w:cs="宋体"/>
          <w:b/>
          <w:snapToGrid w:val="0"/>
          <w:color w:val="auto"/>
          <w:kern w:val="28"/>
          <w:sz w:val="24"/>
        </w:rPr>
        <w:t xml:space="preserve"> 磋商保证金</w:t>
      </w:r>
    </w:p>
    <w:p w14:paraId="6A766547">
      <w:pPr>
        <w:adjustRightInd w:val="0"/>
        <w:snapToGrid w:val="0"/>
        <w:spacing w:line="360" w:lineRule="auto"/>
        <w:ind w:firstLine="480" w:firstLineChars="200"/>
        <w:rPr>
          <w:rFonts w:ascii="宋体"/>
          <w:color w:val="auto"/>
          <w:sz w:val="24"/>
        </w:rPr>
      </w:pPr>
      <w:r>
        <w:rPr>
          <w:rFonts w:hint="eastAsia" w:ascii="宋体"/>
          <w:color w:val="auto"/>
          <w:sz w:val="24"/>
        </w:rPr>
        <w:t>本项目不收取磋商保证金。</w:t>
      </w:r>
    </w:p>
    <w:p w14:paraId="4A2F2F91">
      <w:pPr>
        <w:adjustRightInd w:val="0"/>
        <w:snapToGrid w:val="0"/>
        <w:spacing w:line="360" w:lineRule="auto"/>
        <w:ind w:firstLine="482" w:firstLineChars="200"/>
        <w:rPr>
          <w:rFonts w:ascii="宋体" w:hAnsi="宋体"/>
          <w:b/>
          <w:color w:val="auto"/>
          <w:sz w:val="24"/>
        </w:rPr>
      </w:pPr>
      <w:r>
        <w:rPr>
          <w:rFonts w:hint="eastAsia" w:ascii="宋体" w:hAnsi="宋体"/>
          <w:b/>
          <w:bCs/>
          <w:color w:val="auto"/>
          <w:sz w:val="24"/>
        </w:rPr>
        <w:t>五、</w:t>
      </w:r>
      <w:r>
        <w:rPr>
          <w:rFonts w:hint="eastAsia" w:ascii="宋体" w:hAnsi="宋体"/>
          <w:b/>
          <w:color w:val="auto"/>
          <w:sz w:val="24"/>
        </w:rPr>
        <w:t>磋</w:t>
      </w:r>
      <w:r>
        <w:rPr>
          <w:rFonts w:hint="eastAsia" w:ascii="宋体" w:hAnsi="宋体"/>
          <w:b/>
          <w:bCs/>
          <w:color w:val="auto"/>
          <w:sz w:val="24"/>
        </w:rPr>
        <w:t>商程序及评审方法</w:t>
      </w:r>
    </w:p>
    <w:p w14:paraId="522AEA7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14．磋商程序</w:t>
      </w:r>
    </w:p>
    <w:p w14:paraId="0BDCB21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14.1磋商截止时间后，主持人宣布磋商开始。</w:t>
      </w:r>
    </w:p>
    <w:p w14:paraId="25B8C81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14.2供应商登录广西政府采购云平台，用“项目采购-开标评标”功能对电子磋商响应文件进行在线解密。在线解密电子磋商响应文件时间为开标时间起半小时内。</w:t>
      </w:r>
    </w:p>
    <w:p w14:paraId="57EFF8D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14.3磋商小组对磋商响应文件进行评估和比较。</w:t>
      </w:r>
    </w:p>
    <w:p w14:paraId="22D28F6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14.4以广西政府采购云平台中“项目采购”应用模块获取磋商文件顺序确定各供应商磋商、顺序。</w:t>
      </w:r>
    </w:p>
    <w:p w14:paraId="7562981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14.5磋商小组与单一供应商分别进行磋商。（磋商时供应商的技术资料、价格和其他信息在评审、磋商过程中保密）</w:t>
      </w:r>
    </w:p>
    <w:p w14:paraId="2B9BD3D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14.6磋商小组要求所有实质性响应的供应商在规定时间内提交最后报价（只公开最后报价，最后报价不得高于初次报价）。</w:t>
      </w:r>
    </w:p>
    <w:p w14:paraId="48D1048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14.7由磋商小组采用综合评分法对提交最后报价的供应商的响应文件和最后报价进行综合评审，在符合采购需求、质量和服务要求的前提下，按评审得分从高到低顺序推荐确定成交候选供应商。</w:t>
      </w:r>
    </w:p>
    <w:p w14:paraId="59573D4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特别说明：广西政府采购云平台如对电子化磋商及评审程序有调整的，按调整后的程序操作。</w:t>
      </w:r>
    </w:p>
    <w:p w14:paraId="1CD2E3B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15.采购过程中出现以下情形，导致电子交易平台无法正常运行，或者无法保证电子交易的公平、公正和安全时，采购组织机构可中止电子交易活动：</w:t>
      </w:r>
    </w:p>
    <w:p w14:paraId="0C920F9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15.1电子交易平台发生故障而无法登录访问的； </w:t>
      </w:r>
    </w:p>
    <w:p w14:paraId="25F6C20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15.2电子交易平台应用或数据库出现错误，不能进行正常操作的；</w:t>
      </w:r>
    </w:p>
    <w:p w14:paraId="5323ACF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15.3电子交易平台发现严重安全漏洞，有潜在泄密危险的；</w:t>
      </w:r>
    </w:p>
    <w:p w14:paraId="73B3CE8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15.4病毒发作导致不能进行正常操作的； </w:t>
      </w:r>
    </w:p>
    <w:p w14:paraId="19BEC59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15.5其他无法保证电子交易的公平、公正和安全的情况。</w:t>
      </w:r>
    </w:p>
    <w:p w14:paraId="068301A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53B0349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16．磋商内容</w:t>
      </w:r>
    </w:p>
    <w:p w14:paraId="13315E5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16.1本次磋商内容为在磋商文件范围内就供应商的磋商响应文件，磋商小组与供应商在技术、价格、服务、合同等问题进行磋商，最终确定成交与否。</w:t>
      </w:r>
    </w:p>
    <w:p w14:paraId="3F5307C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16.2磋商应作书面记录，供应商并就磋商内容作出书面承诺，并由供应商法定代表人或其授权委托人签字后生效，作为磋商响应文件的一部分。</w:t>
      </w:r>
    </w:p>
    <w:p w14:paraId="03B4B85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16.3磋商文件有实质性变动的，磋商小组以书面形式通知所有参加磋商的供应商。</w:t>
      </w:r>
    </w:p>
    <w:p w14:paraId="2876BCA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17．磋商</w:t>
      </w:r>
    </w:p>
    <w:p w14:paraId="3869EC1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17.1磋商小组由采购人、集中采购机构依法组建，负责评审活动。磋商小组遵循公开、公平、公正、科学合理、竞争择优的原则。</w:t>
      </w:r>
    </w:p>
    <w:p w14:paraId="34CFBBD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17.2磋商小组由采购人代表和有关方面专家组成，成员人数为3人以上单数。</w:t>
      </w:r>
    </w:p>
    <w:p w14:paraId="61A79D2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17.3磋商小组负责对供应商资格的最终审定。</w:t>
      </w:r>
    </w:p>
    <w:p w14:paraId="41C9D23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17.4磋商小组可以要求供应商对其磋商响应文件中含义不明确的内容作必要的澄清或者说明，但澄清或者说明不得超过磋商响应文件的范围或者改变磋商响应文件的实质性内容。</w:t>
      </w:r>
    </w:p>
    <w:p w14:paraId="20443F2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17.5磋商小组对磋商响应文件的判定，只依据磋商响应文件和磋商文件内容本身，不依据任何外来证明。</w:t>
      </w:r>
    </w:p>
    <w:p w14:paraId="4F540F5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17.6磋商小组不向落标方解释落标的原因，不退还磋商响应文件。</w:t>
      </w:r>
    </w:p>
    <w:p w14:paraId="2FB513B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18．磋商响应文件的初审鉴定</w:t>
      </w:r>
    </w:p>
    <w:p w14:paraId="3915333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18.1资格审查</w:t>
      </w:r>
    </w:p>
    <w:p w14:paraId="0D3BC16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2BC0815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18.2符合性审查</w:t>
      </w:r>
    </w:p>
    <w:p w14:paraId="3108BA8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73448B7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18.3如果磋商响应文件实质不响应磋商文件的各项要求，磋商小组将予以拒绝，并且不允许供应商通过修改或撤销其不符合要求的差异或保留，使之成为具有响应性的磋商。</w:t>
      </w:r>
    </w:p>
    <w:p w14:paraId="7934A7C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 对明显的文字和计算错误的修正原则</w:t>
      </w:r>
    </w:p>
    <w:p w14:paraId="5255AD1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19.1磋商响应文件中报价一览表（报价表）内容与磋商响应文件中相应内容不一致的，以报价一览表（报价表）为准；</w:t>
      </w:r>
    </w:p>
    <w:p w14:paraId="2A5A6AC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19.2大写金额和小写金额不一致的，以大写金额为准；</w:t>
      </w:r>
    </w:p>
    <w:p w14:paraId="5FF7589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19.3单价金额小数点或者百分比有明显错位的，以开标一览表的总价为准，并修改单价；</w:t>
      </w:r>
    </w:p>
    <w:p w14:paraId="751CF77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19.4总价金额与按单价汇总金额不一致的，以单价金额计算结果为准。</w:t>
      </w:r>
    </w:p>
    <w:p w14:paraId="7660295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同时出现两种以上不一致的，按照前款规定的顺序修正。修正后的报价经磋商响应人确认后产生约束力，磋商响应人不确认的，其磋商无效。</w:t>
      </w:r>
    </w:p>
    <w:p w14:paraId="49B66CE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20.磋商响应文件的评审、比较和否决</w:t>
      </w:r>
    </w:p>
    <w:p w14:paraId="0F1F58D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20.1磋商小组将对在实质上响应磋商文件要求的磋商响应文件进行评估和比较。</w:t>
      </w:r>
    </w:p>
    <w:p w14:paraId="4B3F66A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20.2在评审过程中，磋商小组可以书面形式要求供应商就磋商响应文件含义不明确的内容进行书面说明并提供相关材料。</w:t>
      </w:r>
    </w:p>
    <w:p w14:paraId="3533873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20.3在磋商过程中，如发现与磋商文件要求相偏离的，磋商小组应对其偏离情形进行必要的书面核实。</w:t>
      </w:r>
    </w:p>
    <w:p w14:paraId="7FA5E8E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20.4在评审过程中，如属于实质性偏离或符合无效响应条件的，应当询问相关供应商，并允许其进行陈述申辩，但不允许对偏离条款撤回。</w:t>
      </w:r>
    </w:p>
    <w:p w14:paraId="23D2A52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20.5比较与评价。磋商小组依据磋商文件规定的评审标准和方法，对磋商响应文件进行商务和技术评估，综合比较与评价。</w:t>
      </w:r>
    </w:p>
    <w:p w14:paraId="787B7B2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20.6汇总（商务技术得分情况）。磋商小组各成员应当独立对每个供应商的磋商响应文件进行评价，并汇总商务技术得分情况。</w:t>
      </w:r>
    </w:p>
    <w:p w14:paraId="164E4BB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20.7 报价评审 </w:t>
      </w:r>
    </w:p>
    <w:p w14:paraId="6D61099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20.7.1根据财政部发布的《政府采购促进中小企业发展管理办法》规定，对于非专门面向中小企业的项目，对小型和微型企业产品的价格给予一定的扣除，用扣除后的价格参与评审。</w:t>
      </w:r>
    </w:p>
    <w:p w14:paraId="0F103D19">
      <w:pPr>
        <w:pStyle w:val="22"/>
        <w:adjustRightInd w:val="0"/>
        <w:snapToGrid w:val="0"/>
        <w:spacing w:line="360" w:lineRule="auto"/>
        <w:ind w:firstLine="480" w:firstLineChars="200"/>
        <w:rPr>
          <w:rFonts w:hAnsi="宋体" w:cs="Times New Roman"/>
          <w:color w:val="auto"/>
          <w:sz w:val="24"/>
          <w:szCs w:val="24"/>
          <w:highlight w:val="yellow"/>
        </w:rPr>
      </w:pPr>
      <w:r>
        <w:rPr>
          <w:rFonts w:hint="eastAsia" w:hAnsi="宋体" w:cs="Times New Roman"/>
          <w:color w:val="auto"/>
          <w:sz w:val="24"/>
          <w:szCs w:val="24"/>
          <w:highlight w:val="yellow"/>
        </w:rPr>
        <w:t>20.7.2政府采购异常低价审查：</w:t>
      </w:r>
    </w:p>
    <w:p w14:paraId="4BE9064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20.7.2.1按照《关于推动解决政府采购异常低价问题的通知》（财库〔2026〕2号）有关规定，本项目评审中出现下列情形之一的，磋商小组应当启动异常低价响应审查程序：</w:t>
      </w:r>
    </w:p>
    <w:p w14:paraId="4F4DD3C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（1）最后报价低于全部通过符合性审查供应商最后报价平均值50%的，即最后报价&lt;全部通过符合性审查供应商最后报价平均值×50%；</w:t>
      </w:r>
    </w:p>
    <w:p w14:paraId="4DF1175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（2）最后报价低于通过符合性审查的次低报价供应商最后报价50%的，即最后报价&lt;通过符合性审查的次低报价供应商最后报价×50%；</w:t>
      </w:r>
    </w:p>
    <w:p w14:paraId="1E13D99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（3）最后报价低于采购项目最高限价45%的，即最后报价&lt;采购项目最高限价×45%；</w:t>
      </w:r>
    </w:p>
    <w:p w14:paraId="3337E21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（4）磋商小组基于专业判断，认为供应商报价过低，有可能影响产品质量或者不能诚信履约的其他情形。</w:t>
      </w:r>
    </w:p>
    <w:p w14:paraId="0414A20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按照规定，采购人可以结合具体项目实际情况，提高上述第（1）项至第（3）项中启动异常低价响应审查的数值标准，但是最高不得超过65%，本项目采购人决定将上述（1）（2）（3）数值标准分别确定为50%，50%，45%。采购项目未设定最高限价的，审查时取项目预算金额作为最高限价。</w:t>
      </w:r>
    </w:p>
    <w:p w14:paraId="594B63F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20.7.2.2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86D3B1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7E0521C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C6A46C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异常低价响应审查的启动原因、审查意见和审查结果应当在评审报告中记录，并随供应商提供的相关书面说明及证明材料，以及磋商小组有关互联网浏览、查询历史一并归档。</w:t>
      </w:r>
    </w:p>
    <w:p w14:paraId="3D23B9E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20.7.3供应商存在以下报价情形的，磋商无效</w:t>
      </w:r>
    </w:p>
    <w:p w14:paraId="7F17307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1）响应文件未提供“供应商须知前附表” 报价文件中规定的“竞标报价表”的； </w:t>
      </w:r>
    </w:p>
    <w:p w14:paraId="61CD12F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2）未采用人民币报价或者未按照磋商文件标明的币种报价的； </w:t>
      </w:r>
    </w:p>
    <w:p w14:paraId="6B9EBFD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4158EFD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25E2BB2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537C1E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6）在单价合同工程中供应商采用总价优惠或以总价百分比优惠的方式进行竞标报价的； </w:t>
      </w:r>
    </w:p>
    <w:p w14:paraId="399015D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7）竞标总报价与已标价工程量清单汇总表不一致的； </w:t>
      </w:r>
    </w:p>
    <w:p w14:paraId="7437DFF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8）安全文明施工费和规费、增值税不按广西区费用定额及造价管理相关文件规定报价的（园林绿化及仿古建筑工程除外）；（适用于房屋建筑和市政工程项目） </w:t>
      </w:r>
    </w:p>
    <w:p w14:paraId="2BD28C5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9）供应商已标价工程量清单的项目编码（12位）、计量单位、工程量任何一处与工程量清单不一致的； </w:t>
      </w:r>
    </w:p>
    <w:p w14:paraId="0208518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10）供应商已标价工程量清单的项目名称或项目特征与工程量清单不一致，磋商小组要求澄清、说明或补正，但供应商拒绝澄清、说明或补正的；（适用于房屋建筑和市政工程项目） </w:t>
      </w:r>
    </w:p>
    <w:p w14:paraId="5A2A7D6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11）设有暂估价、暂列金额的，竞标时未按工程量清单给出的暂估价总价、暂列金额总价计入竞标总报价中的； </w:t>
      </w:r>
    </w:p>
    <w:p w14:paraId="628FF57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12）供应商对工程量清单内容进行增减或对竞标范围进行调整的； </w:t>
      </w:r>
    </w:p>
    <w:p w14:paraId="0DE6668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13）响应文件响应的标的数量及单位与竞争性磋商采购文件要求实质性不一致的； </w:t>
      </w:r>
    </w:p>
    <w:p w14:paraId="6642889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14）未响应磋商文件实质性要求的。 </w:t>
      </w:r>
    </w:p>
    <w:p w14:paraId="7ADA551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20.8磋商小组依据磋商文件规定的评审标准和方法，对磋商响应文件进行评审和比较后，向代理机构提供书面磋商报告，并按得分高低排序推荐成交候选供应商。</w:t>
      </w:r>
    </w:p>
    <w:p w14:paraId="7BA48C8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20.9.磋商响应文件的澄清</w:t>
      </w:r>
    </w:p>
    <w:p w14:paraId="31A2C4C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为有利于对磋商响应文件的比较和评议，磋商小组可要求供应商对磋商响应文件进行澄清，必要时磋商小组可要求供应商对澄清的问题作出书面答复。</w:t>
      </w:r>
    </w:p>
    <w:p w14:paraId="09E3117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6D0C670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供应商通过广西政府采购云平台交换的数据电文必须进行电子签章。</w:t>
      </w:r>
    </w:p>
    <w:p w14:paraId="45494E5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21.无效磋商的情形</w:t>
      </w:r>
    </w:p>
    <w:p w14:paraId="2C18380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磋商响应文件有下列情形之一的作无效磋商响应处理：</w:t>
      </w:r>
    </w:p>
    <w:p w14:paraId="5589B94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21.1未按照磋商文件规定要求签署、盖章的；</w:t>
      </w:r>
    </w:p>
    <w:p w14:paraId="7B51D9B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21.2单位负责人为同一人或者存在直接控股、管理关系的不同供应商参加同一合同项下的政府采购活动的（均无效）；</w:t>
      </w:r>
    </w:p>
    <w:p w14:paraId="4E2F7F5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21.3为采购项目提供整体设计、规范编制或者项目管理、监理、检测等服务的供应商参加该采购项目的其他采购活动的； </w:t>
      </w:r>
    </w:p>
    <w:p w14:paraId="0736174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21.4供应商不具备磋商文件中规定的资格要求的（供应商未提供有效的资格证明文件的，视为其不具备磋商文件中规定的资格要求）；</w:t>
      </w:r>
    </w:p>
    <w:p w14:paraId="59E5ECF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w:t>
      </w:r>
      <w:r>
        <w:rPr>
          <w:rFonts w:hAnsi="宋体" w:cs="Times New Roman"/>
          <w:color w:val="auto"/>
          <w:sz w:val="24"/>
          <w:szCs w:val="24"/>
        </w:rPr>
        <w:t xml:space="preserve">.5 </w:t>
      </w:r>
      <w:r>
        <w:rPr>
          <w:rFonts w:hint="eastAsia" w:hAnsi="宋体" w:cs="Times New Roman"/>
          <w:color w:val="auto"/>
          <w:sz w:val="24"/>
          <w:szCs w:val="24"/>
        </w:rPr>
        <w:t>《法定代表人身份证明书》与提供的身份证复印件信息不符的；《法定代表人授权委托书》与提供的身份证复印件信息不符的；</w:t>
      </w:r>
    </w:p>
    <w:p w14:paraId="52CB250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21.6《法定代表人授权委托书》或《法定代表人身份证明书》填写不全、错误、未加盖公章(《法定代表人授权委托书》要求“盖章”和“签字”缺一不可）的；</w:t>
      </w:r>
    </w:p>
    <w:p w14:paraId="306BF81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21.7磋商响应文件中的磋商响应函未加盖供应商的企业公章或填写不全的；</w:t>
      </w:r>
    </w:p>
    <w:p w14:paraId="6DA15FD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21.8报价一经涂改，未在涂改处加盖磋商响应单位公章或者未经法定代表人或授权代表签字或盖章的；</w:t>
      </w:r>
    </w:p>
    <w:p w14:paraId="7319685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21.9磋商响应文件中未按磋商文件规定的格式填写，或未详细应答磋商服务（或技术或产品等要求），经磋商后仍无法详细应答或应答不完整有缺失，致使磋商小组无法评审的；</w:t>
      </w:r>
    </w:p>
    <w:p w14:paraId="3A3A102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21.10出现同一标的物或本次磋商产品(服务)内的主要产品(重要组成部分)出现商务技术（资信）文件资料、报价文件资料描述不一致或前后描述不一致，经磋商小组认定后为无法评审的；</w:t>
      </w:r>
    </w:p>
    <w:p w14:paraId="66A86FC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21.11《技术偏离说明表》不真实填写或弄虚作假的；</w:t>
      </w:r>
    </w:p>
    <w:p w14:paraId="13B38B6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21.12磋商响应文件有采购人不能接受的条件；</w:t>
      </w:r>
    </w:p>
    <w:p w14:paraId="38FC239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21.13最后报价超过预算金额或上限价的；</w:t>
      </w:r>
    </w:p>
    <w:p w14:paraId="51DEE89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21.14磋商小组认定有重大偏差或实质性不响应磋商文件要求的；</w:t>
      </w:r>
    </w:p>
    <w:p w14:paraId="1573546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21.15采购人拟采购的产品属于政府强制采购的节能产品品目清单范围的，供应商未按磋商文件要求提供国家确定的认证机构出具的、处于有效期之内的节能产品认证证书的；</w:t>
      </w:r>
    </w:p>
    <w:p w14:paraId="2064E55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21.16《报价一览表》填写不完整或字迹不能辨认或有漏项的；</w:t>
      </w:r>
    </w:p>
    <w:p w14:paraId="2FB0449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21.17供应商对根据修正原则修正后的报价不确认的；</w:t>
      </w:r>
    </w:p>
    <w:p w14:paraId="4FF08F3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21.18供应商提供虚假材料磋商的（包括但不限于以下情节）：</w:t>
      </w:r>
    </w:p>
    <w:p w14:paraId="1DE37D1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21.18.1使用伪造、变造的许可证件；</w:t>
      </w:r>
    </w:p>
    <w:p w14:paraId="6DDC86F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21.18.2提供虚假的财务状况或者业绩；</w:t>
      </w:r>
    </w:p>
    <w:p w14:paraId="637A11A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21.18.3提供虚假的项目负责人或者主要技术人员简历、劳动关系证明；</w:t>
      </w:r>
    </w:p>
    <w:p w14:paraId="42CCFC9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21.18.4提供虚假的信用状况；</w:t>
      </w:r>
    </w:p>
    <w:p w14:paraId="6E26FFE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21.18.5其他弄虚作假的行为。</w:t>
      </w:r>
    </w:p>
    <w:p w14:paraId="5B772E5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21.19有下列情形之一的，视为供应商串通磋商，其磋商无效：</w:t>
      </w:r>
    </w:p>
    <w:p w14:paraId="0C7973B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21.19.1不同供应商的磋商响应文件由同一单位或者个人编制；</w:t>
      </w:r>
    </w:p>
    <w:p w14:paraId="351DDA2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21.19.2不同供应商委托同一单位或者个人办理磋商事宜；</w:t>
      </w:r>
    </w:p>
    <w:p w14:paraId="6B476B2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21.19.3不同供应商的磋商响应文件载明的项目管理成员或者联系人员为同一人；</w:t>
      </w:r>
    </w:p>
    <w:p w14:paraId="165D836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21.19.4不同供应商的磋商响应文件异常一致或者磋商报价呈规律性差异；</w:t>
      </w:r>
    </w:p>
    <w:p w14:paraId="128AEA2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21.19.5不同供应商的磋商响应文件相互混装；</w:t>
      </w:r>
    </w:p>
    <w:p w14:paraId="440DE0C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21.20有下列情形之一的，属于恶意串通，其磋商无效：</w:t>
      </w:r>
    </w:p>
    <w:p w14:paraId="56913A7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21.20.1供应商直接或者间接从采购人或者采购机构处获得其他供应商的相关情况并修改其磋商文件或者响应文件；</w:t>
      </w:r>
    </w:p>
    <w:p w14:paraId="5B0A36F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21.20.2供应商按照采购人或者采购机构的授意撤换、修改磋商文件或者响应文件；</w:t>
      </w:r>
    </w:p>
    <w:p w14:paraId="377A48E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21.20.3供应商之间协商报价、技术方案等磋商文件或者响应文件的实质性内容；</w:t>
      </w:r>
    </w:p>
    <w:p w14:paraId="1026E5E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21.20.4属于同一集团、协会、商会等组织成员的供应商按照该组织要求协同参加政府采购活动；</w:t>
      </w:r>
    </w:p>
    <w:p w14:paraId="2803B89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21.20.5供应商之间事先约定由某一特定供应商成交；</w:t>
      </w:r>
    </w:p>
    <w:p w14:paraId="218AFA6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21.20.6供应商之间商定部分供应商放弃参加政府采购活动或者放弃成交；</w:t>
      </w:r>
    </w:p>
    <w:p w14:paraId="46231A7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21.20.7供应商与采购人或者采购机构之间、供应商相互之间，为谋求特定供应商成交或者排斥其他供应商的其他串通行为。</w:t>
      </w:r>
    </w:p>
    <w:p w14:paraId="0BAD51D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21.21其他违反法律、法规的情形。</w:t>
      </w:r>
    </w:p>
    <w:p w14:paraId="5656E65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 磋商过程保密</w:t>
      </w:r>
    </w:p>
    <w:p w14:paraId="24CBEA3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6FE3B5BE">
      <w:pPr>
        <w:pStyle w:val="22"/>
        <w:adjustRightInd w:val="0"/>
        <w:snapToGrid w:val="0"/>
        <w:spacing w:line="360" w:lineRule="auto"/>
        <w:ind w:firstLine="480" w:firstLineChars="200"/>
        <w:rPr>
          <w:rFonts w:hAnsi="宋体"/>
          <w:color w:val="auto"/>
          <w:sz w:val="24"/>
          <w:szCs w:val="24"/>
        </w:rPr>
      </w:pPr>
      <w:r>
        <w:rPr>
          <w:rFonts w:hint="eastAsia" w:hAnsi="宋体" w:cs="Times New Roman"/>
          <w:color w:val="auto"/>
          <w:sz w:val="24"/>
          <w:szCs w:val="24"/>
        </w:rPr>
        <w:t>22.2 在磋商期间，供应商企图影响采购人、集中采购机构或磋商小组的任何活动，都将导致磋商被拒绝，并由其承担相应的法律责任。</w:t>
      </w:r>
    </w:p>
    <w:p w14:paraId="3487D65C">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六、确定成交供应商办法</w:t>
      </w:r>
    </w:p>
    <w:p w14:paraId="5C60D43E">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kern w:val="0"/>
          <w:sz w:val="24"/>
        </w:rPr>
        <w:t>23.1根据以下原则确定成交供应商：</w:t>
      </w:r>
      <w:r>
        <w:rPr>
          <w:rFonts w:ascii="宋体" w:hAnsi="宋体" w:cs="宋体"/>
          <w:color w:val="auto"/>
          <w:sz w:val="24"/>
        </w:rPr>
        <w:t>确定成交供应商。采购代理机构应当在评审结束后2个工作日内将评审报告送采购人确认。采购人应当在收到评审报告后</w:t>
      </w:r>
      <w:r>
        <w:rPr>
          <w:rFonts w:hint="eastAsia" w:ascii="宋体" w:hAnsi="宋体" w:cs="宋体"/>
          <w:color w:val="auto"/>
          <w:sz w:val="24"/>
        </w:rPr>
        <w:t>2</w:t>
      </w:r>
      <w:r>
        <w:rPr>
          <w:rFonts w:ascii="宋体" w:hAnsi="宋体" w:cs="宋体"/>
          <w:color w:val="auto"/>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4D6010">
      <w:pPr>
        <w:pStyle w:val="22"/>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七、成交结果公告</w:t>
      </w:r>
    </w:p>
    <w:p w14:paraId="3487D144">
      <w:pPr>
        <w:adjustRightInd w:val="0"/>
        <w:spacing w:line="360" w:lineRule="auto"/>
        <w:ind w:firstLine="480" w:firstLineChars="200"/>
        <w:rPr>
          <w:rFonts w:ascii="宋体" w:hAnsi="宋体" w:cs="宋体"/>
          <w:color w:val="auto"/>
          <w:sz w:val="24"/>
        </w:rPr>
      </w:pPr>
      <w:r>
        <w:rPr>
          <w:rFonts w:hint="eastAsia" w:ascii="宋体" w:hAnsi="宋体"/>
          <w:color w:val="auto"/>
          <w:sz w:val="24"/>
          <w:szCs w:val="21"/>
        </w:rPr>
        <w:t>24.1自成交人确定之日起2个工作日内，本中心通过电子交易平台向成交人发出成交通知书，</w:t>
      </w:r>
      <w:r>
        <w:rPr>
          <w:rFonts w:hint="eastAsia" w:ascii="宋体" w:hAnsi="宋体" w:cs="宋体"/>
          <w:color w:val="auto"/>
          <w:sz w:val="24"/>
        </w:rPr>
        <w:t>同时编制发布采购</w:t>
      </w:r>
      <w:r>
        <w:rPr>
          <w:rFonts w:hint="eastAsia" w:ascii="宋体" w:hAnsi="宋体"/>
          <w:color w:val="auto"/>
          <w:sz w:val="24"/>
          <w:szCs w:val="21"/>
        </w:rPr>
        <w:t>成交结果公告。</w:t>
      </w:r>
    </w:p>
    <w:p w14:paraId="7406128B">
      <w:pPr>
        <w:adjustRightInd w:val="0"/>
        <w:spacing w:line="360" w:lineRule="auto"/>
        <w:ind w:firstLine="480" w:firstLineChars="200"/>
        <w:rPr>
          <w:rFonts w:ascii="宋体" w:hAnsi="宋体"/>
          <w:color w:val="auto"/>
          <w:sz w:val="24"/>
          <w:szCs w:val="21"/>
        </w:rPr>
      </w:pPr>
      <w:r>
        <w:rPr>
          <w:rFonts w:hint="eastAsia" w:ascii="宋体" w:hAnsi="宋体" w:cs="宋体"/>
          <w:color w:val="auto"/>
          <w:sz w:val="24"/>
        </w:rPr>
        <w:t>24.2</w:t>
      </w:r>
      <w:r>
        <w:rPr>
          <w:rFonts w:hint="eastAsia" w:ascii="宋体" w:hAnsi="宋体"/>
          <w:color w:val="auto"/>
          <w:sz w:val="24"/>
          <w:szCs w:val="21"/>
        </w:rPr>
        <w:t>成交</w:t>
      </w:r>
      <w:r>
        <w:rPr>
          <w:rFonts w:hint="eastAsia" w:ascii="宋体" w:hAnsi="宋体" w:cs="仿宋_GB2312"/>
          <w:color w:val="auto"/>
          <w:sz w:val="24"/>
        </w:rPr>
        <w:t>结果公告内容包括</w:t>
      </w:r>
      <w:r>
        <w:rPr>
          <w:rFonts w:hint="eastAsia" w:ascii="宋体" w:hAnsi="宋体" w:cs="宋体"/>
          <w:color w:val="auto"/>
          <w:sz w:val="24"/>
        </w:rPr>
        <w:t>采购人及其委托的采购代理机构的名称、地址、联系方式，项目名称和项目编号，成交人名称、地址和成交金额，主要成交标的的名称、规格型号、数量、单价、服务要求，</w:t>
      </w:r>
      <w:bookmarkStart w:id="30" w:name="_Hlk101184471"/>
      <w:r>
        <w:rPr>
          <w:rFonts w:hint="eastAsia" w:ascii="宋体" w:hAnsi="宋体" w:cs="宋体"/>
          <w:color w:val="auto"/>
          <w:sz w:val="24"/>
        </w:rPr>
        <w:t>评审专家抽取规则、</w:t>
      </w:r>
      <w:bookmarkEnd w:id="30"/>
      <w:r>
        <w:rPr>
          <w:rFonts w:hint="eastAsia" w:ascii="宋体" w:hAnsi="宋体" w:cs="宋体"/>
          <w:color w:val="auto"/>
          <w:sz w:val="24"/>
        </w:rPr>
        <w:t>未成交情况说明、成交公告期限以及评审专家名单、成交供应商和未成交供应商的评审总得分及排名。</w:t>
      </w:r>
    </w:p>
    <w:p w14:paraId="2FF2BB8A">
      <w:pPr>
        <w:adjustRightInd w:val="0"/>
        <w:spacing w:line="360" w:lineRule="auto"/>
        <w:ind w:firstLine="480" w:firstLineChars="200"/>
        <w:rPr>
          <w:rFonts w:ascii="宋体" w:hAnsi="宋体"/>
          <w:color w:val="auto"/>
          <w:sz w:val="24"/>
          <w:szCs w:val="21"/>
        </w:rPr>
      </w:pPr>
      <w:r>
        <w:rPr>
          <w:rFonts w:hint="eastAsia" w:ascii="宋体" w:hAnsi="宋体"/>
          <w:color w:val="auto"/>
          <w:sz w:val="24"/>
          <w:szCs w:val="21"/>
        </w:rPr>
        <w:t>24.3公告期限为1个工作日。</w:t>
      </w:r>
    </w:p>
    <w:p w14:paraId="16E4CB70">
      <w:pPr>
        <w:pStyle w:val="22"/>
        <w:adjustRightInd w:val="0"/>
        <w:snapToGrid w:val="0"/>
        <w:spacing w:line="480" w:lineRule="exact"/>
        <w:ind w:firstLine="482" w:firstLineChars="200"/>
        <w:rPr>
          <w:rFonts w:hAnsi="宋体"/>
          <w:b/>
          <w:color w:val="auto"/>
          <w:sz w:val="24"/>
          <w:szCs w:val="24"/>
        </w:rPr>
      </w:pPr>
      <w:r>
        <w:rPr>
          <w:rFonts w:hint="eastAsia" w:hAnsi="宋体"/>
          <w:b/>
          <w:color w:val="auto"/>
          <w:sz w:val="24"/>
          <w:szCs w:val="24"/>
        </w:rPr>
        <w:t>八、履约保证金</w:t>
      </w:r>
    </w:p>
    <w:p w14:paraId="29494D1C">
      <w:pPr>
        <w:adjustRightInd w:val="0"/>
        <w:snapToGrid w:val="0"/>
        <w:spacing w:line="480" w:lineRule="exact"/>
        <w:ind w:firstLine="480" w:firstLineChars="200"/>
        <w:rPr>
          <w:color w:val="auto"/>
          <w:sz w:val="24"/>
        </w:rPr>
      </w:pPr>
      <w:r>
        <w:rPr>
          <w:rFonts w:hint="eastAsia"/>
          <w:color w:val="auto"/>
          <w:sz w:val="24"/>
        </w:rPr>
        <w:t>不收取。</w:t>
      </w:r>
    </w:p>
    <w:p w14:paraId="3290BA64">
      <w:pPr>
        <w:adjustRightInd w:val="0"/>
        <w:snapToGrid w:val="0"/>
        <w:spacing w:line="480" w:lineRule="exact"/>
        <w:ind w:firstLine="482" w:firstLineChars="200"/>
        <w:rPr>
          <w:rFonts w:ascii="宋体" w:hAnsi="宋体"/>
          <w:b/>
          <w:color w:val="auto"/>
          <w:sz w:val="24"/>
        </w:rPr>
      </w:pPr>
      <w:r>
        <w:rPr>
          <w:rFonts w:hint="eastAsia" w:ascii="宋体" w:hAnsi="宋体"/>
          <w:b/>
          <w:color w:val="auto"/>
          <w:sz w:val="24"/>
        </w:rPr>
        <w:t>九、签订合同</w:t>
      </w:r>
    </w:p>
    <w:p w14:paraId="535E70A3">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26.1成交通知书发出后，采购人不得违法改变成交结果，成交供应商无正当理由不得放弃成交，否则，按政府采购采购相关规定处理。</w:t>
      </w:r>
    </w:p>
    <w:p w14:paraId="126592D9">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15BA1403">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2B58D8E9">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28AB6F86">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26.5采购人与成交供应商应当根据合同的约定依法履行合同义务。政府采购合同的履行、违约责任和解决争议的方法等适用《中华人民共和国民法典》。</w:t>
      </w:r>
    </w:p>
    <w:p w14:paraId="157D3C4D">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26.6采购人应当及时对采购项目进行验收。采购人可以邀请参加本项目的其他供应商或者第三方机构参与验收。参与验收的供应商或者第三方机构的意见作为验收书的参考资料一并存档。</w:t>
      </w:r>
    </w:p>
    <w:p w14:paraId="77BC1196">
      <w:pPr>
        <w:adjustRightInd w:val="0"/>
        <w:snapToGrid w:val="0"/>
        <w:spacing w:line="480" w:lineRule="exact"/>
        <w:ind w:firstLine="480" w:firstLineChars="200"/>
        <w:rPr>
          <w:rFonts w:ascii="宋体" w:hAnsi="宋体" w:cs="Courier New"/>
          <w:bCs/>
          <w:color w:val="auto"/>
          <w:sz w:val="24"/>
        </w:rPr>
      </w:pPr>
      <w:r>
        <w:rPr>
          <w:rFonts w:hint="eastAsia" w:ascii="宋体" w:hAnsi="宋体" w:cs="Courier New"/>
          <w:bCs/>
          <w:color w:val="auto"/>
          <w:sz w:val="24"/>
        </w:rPr>
        <w:t>26.7采购人应当加强对成交供应商的履约管理，并按照采购合同约定，及时向成交供应商支付采购资金。对于成交供应商违反采购合同约定的行为，采购人应当及时处理，依法追究其违约责任。</w:t>
      </w:r>
    </w:p>
    <w:p w14:paraId="0D184255">
      <w:pPr>
        <w:pStyle w:val="89"/>
        <w:snapToGrid w:val="0"/>
        <w:spacing w:before="0" w:line="480" w:lineRule="exact"/>
        <w:ind w:firstLine="480"/>
        <w:rPr>
          <w:rFonts w:ascii="宋体" w:hAnsi="宋体" w:cs="宋体"/>
          <w:color w:val="auto"/>
        </w:rPr>
      </w:pPr>
      <w:r>
        <w:rPr>
          <w:rFonts w:hint="eastAsia" w:ascii="宋体" w:hAnsi="宋体"/>
          <w:bCs/>
          <w:color w:val="auto"/>
          <w:szCs w:val="24"/>
        </w:rPr>
        <w:t>26.</w:t>
      </w:r>
      <w:r>
        <w:rPr>
          <w:rFonts w:hint="eastAsia" w:ascii="宋体" w:hAnsi="宋体" w:cs="宋体"/>
          <w:color w:val="auto"/>
          <w:szCs w:val="24"/>
        </w:rPr>
        <w:t>8</w:t>
      </w:r>
      <w:r>
        <w:rPr>
          <w:rFonts w:hint="eastAsia" w:ascii="宋体" w:hAnsi="宋体" w:cs="宋体"/>
          <w:color w:val="auto"/>
        </w:rPr>
        <w:t>政采贷</w:t>
      </w:r>
    </w:p>
    <w:p w14:paraId="024F13FD">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C5363FE">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E96FEA8">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77DE762">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24A4B11">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7CE64B11">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269D60DE">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0A2902F1">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22FE3EE1">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对于列入《政府采购信用白名单》的供应商，在获取“政采贷”流水贷产品时给予更高的授信额度，在申请“政采贷”合同贷产品时，可享受较低的贷款利率，同时信用白名单供应商获得信贷时长进一步缩短。</w:t>
      </w:r>
    </w:p>
    <w:p w14:paraId="45348362">
      <w:pPr>
        <w:adjustRightInd w:val="0"/>
        <w:snapToGrid w:val="0"/>
        <w:spacing w:line="480" w:lineRule="exact"/>
        <w:ind w:firstLine="480" w:firstLineChars="200"/>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7BDF761A">
      <w:pPr>
        <w:adjustRightInd w:val="0"/>
        <w:snapToGrid w:val="0"/>
        <w:spacing w:line="480" w:lineRule="exact"/>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3917B341">
      <w:pPr>
        <w:adjustRightInd w:val="0"/>
        <w:snapToGrid w:val="0"/>
        <w:spacing w:line="480" w:lineRule="exact"/>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BD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92D6140">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shd w:val="clear" w:color="auto" w:fill="auto"/>
            <w:vAlign w:val="center"/>
          </w:tcPr>
          <w:p w14:paraId="6C72333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shd w:val="clear" w:color="auto" w:fill="auto"/>
            <w:vAlign w:val="center"/>
          </w:tcPr>
          <w:p w14:paraId="78D94BCA">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shd w:val="clear" w:color="auto" w:fill="auto"/>
            <w:vAlign w:val="center"/>
          </w:tcPr>
          <w:p w14:paraId="57A7432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shd w:val="clear" w:color="auto" w:fill="auto"/>
            <w:vAlign w:val="center"/>
          </w:tcPr>
          <w:p w14:paraId="2B29D2E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shd w:val="clear" w:color="auto" w:fill="auto"/>
            <w:vAlign w:val="center"/>
          </w:tcPr>
          <w:p w14:paraId="3EF5DE2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147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6472E7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shd w:val="clear" w:color="auto" w:fill="auto"/>
            <w:vAlign w:val="center"/>
          </w:tcPr>
          <w:p w14:paraId="4B5BB4A0">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shd w:val="clear" w:color="auto" w:fill="auto"/>
            <w:vAlign w:val="center"/>
          </w:tcPr>
          <w:p w14:paraId="45480A08">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shd w:val="clear" w:color="auto" w:fill="auto"/>
            <w:vAlign w:val="center"/>
          </w:tcPr>
          <w:p w14:paraId="37E370F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7B028D12">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shd w:val="clear" w:color="auto" w:fill="auto"/>
            <w:vAlign w:val="center"/>
          </w:tcPr>
          <w:p w14:paraId="5EA083A0">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44F0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BB3ABE9">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shd w:val="clear" w:color="auto" w:fill="auto"/>
            <w:vAlign w:val="center"/>
          </w:tcPr>
          <w:p w14:paraId="2BC6846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shd w:val="clear" w:color="auto" w:fill="auto"/>
            <w:vAlign w:val="center"/>
          </w:tcPr>
          <w:p w14:paraId="57C91625">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7305F46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shd w:val="clear" w:color="auto" w:fill="auto"/>
            <w:vAlign w:val="center"/>
          </w:tcPr>
          <w:p w14:paraId="3107CF1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shd w:val="clear" w:color="auto" w:fill="auto"/>
            <w:vAlign w:val="center"/>
          </w:tcPr>
          <w:p w14:paraId="35EDBAD7">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41C9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AA0E80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shd w:val="clear" w:color="auto" w:fill="auto"/>
            <w:vAlign w:val="center"/>
          </w:tcPr>
          <w:p w14:paraId="0E13159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shd w:val="clear" w:color="auto" w:fill="auto"/>
            <w:vAlign w:val="center"/>
          </w:tcPr>
          <w:p w14:paraId="7710C18F">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shd w:val="clear" w:color="auto" w:fill="auto"/>
            <w:vAlign w:val="center"/>
          </w:tcPr>
          <w:p w14:paraId="259ACFB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255BD6A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shd w:val="clear" w:color="auto" w:fill="auto"/>
            <w:vAlign w:val="center"/>
          </w:tcPr>
          <w:p w14:paraId="5027488E">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1E34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1DB6A5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shd w:val="clear" w:color="auto" w:fill="auto"/>
            <w:vAlign w:val="center"/>
          </w:tcPr>
          <w:p w14:paraId="7644A62A">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shd w:val="clear" w:color="auto" w:fill="auto"/>
            <w:vAlign w:val="center"/>
          </w:tcPr>
          <w:p w14:paraId="61CC9CA2">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shd w:val="clear" w:color="auto" w:fill="auto"/>
            <w:vAlign w:val="center"/>
          </w:tcPr>
          <w:p w14:paraId="6117C3E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78A07AF5">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7A383FC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shd w:val="clear" w:color="auto" w:fill="auto"/>
            <w:vAlign w:val="center"/>
          </w:tcPr>
          <w:p w14:paraId="2D13FEEE">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0ACCBB00">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6BCD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6CB68BD">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shd w:val="clear" w:color="auto" w:fill="auto"/>
            <w:vAlign w:val="center"/>
          </w:tcPr>
          <w:p w14:paraId="57564A62">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shd w:val="clear" w:color="auto" w:fill="auto"/>
            <w:vAlign w:val="center"/>
          </w:tcPr>
          <w:p w14:paraId="3C2B3D68">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shd w:val="clear" w:color="auto" w:fill="auto"/>
            <w:vAlign w:val="center"/>
          </w:tcPr>
          <w:p w14:paraId="1C5849B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shd w:val="clear" w:color="auto" w:fill="auto"/>
            <w:vAlign w:val="center"/>
          </w:tcPr>
          <w:p w14:paraId="270E3DB9">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shd w:val="clear" w:color="auto" w:fill="auto"/>
            <w:vAlign w:val="center"/>
          </w:tcPr>
          <w:p w14:paraId="48909F5E">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7028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C7190F5">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shd w:val="clear" w:color="auto" w:fill="auto"/>
            <w:vAlign w:val="center"/>
          </w:tcPr>
          <w:p w14:paraId="2098732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shd w:val="clear" w:color="auto" w:fill="auto"/>
            <w:vAlign w:val="center"/>
          </w:tcPr>
          <w:p w14:paraId="08413AFC">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2A2C4AA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3917CB7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097147BA">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24DC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F6FD1D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shd w:val="clear" w:color="auto" w:fill="auto"/>
            <w:vAlign w:val="center"/>
          </w:tcPr>
          <w:p w14:paraId="14D5953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shd w:val="clear" w:color="auto" w:fill="auto"/>
            <w:vAlign w:val="center"/>
          </w:tcPr>
          <w:p w14:paraId="0D4A81F7">
            <w:pPr>
              <w:adjustRightInd w:val="0"/>
              <w:snapToGrid w:val="0"/>
              <w:spacing w:line="360" w:lineRule="auto"/>
              <w:jc w:val="left"/>
              <w:rPr>
                <w:rFonts w:ascii="宋体" w:hAnsi="宋体"/>
                <w:color w:val="auto"/>
                <w:kern w:val="0"/>
                <w:sz w:val="24"/>
                <w:szCs w:val="20"/>
              </w:rPr>
            </w:pPr>
          </w:p>
        </w:tc>
        <w:tc>
          <w:tcPr>
            <w:tcW w:w="993" w:type="dxa"/>
            <w:shd w:val="clear" w:color="auto" w:fill="auto"/>
            <w:vAlign w:val="center"/>
          </w:tcPr>
          <w:p w14:paraId="5AE9A662">
            <w:pPr>
              <w:adjustRightInd w:val="0"/>
              <w:snapToGrid w:val="0"/>
              <w:spacing w:line="360" w:lineRule="auto"/>
              <w:jc w:val="center"/>
              <w:rPr>
                <w:rFonts w:ascii="宋体" w:hAnsi="宋体"/>
                <w:color w:val="auto"/>
                <w:kern w:val="0"/>
                <w:sz w:val="24"/>
                <w:szCs w:val="20"/>
              </w:rPr>
            </w:pPr>
          </w:p>
        </w:tc>
        <w:tc>
          <w:tcPr>
            <w:tcW w:w="850" w:type="dxa"/>
            <w:shd w:val="clear" w:color="auto" w:fill="auto"/>
            <w:vAlign w:val="center"/>
          </w:tcPr>
          <w:p w14:paraId="34DB727F">
            <w:pPr>
              <w:adjustRightInd w:val="0"/>
              <w:snapToGrid w:val="0"/>
              <w:spacing w:line="360" w:lineRule="auto"/>
              <w:jc w:val="center"/>
              <w:rPr>
                <w:rFonts w:ascii="宋体" w:hAnsi="宋体"/>
                <w:color w:val="auto"/>
                <w:kern w:val="0"/>
                <w:sz w:val="24"/>
                <w:szCs w:val="20"/>
              </w:rPr>
            </w:pPr>
          </w:p>
        </w:tc>
        <w:tc>
          <w:tcPr>
            <w:tcW w:w="3366" w:type="dxa"/>
            <w:shd w:val="clear" w:color="auto" w:fill="auto"/>
            <w:vAlign w:val="center"/>
          </w:tcPr>
          <w:p w14:paraId="19E82FAE">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256AD044">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注：表中联系电话\授信金额、授信期限、最低利率等信息可能动态更新，仅供参考，具体以办理时相关银行公布的为准。</w:t>
      </w:r>
    </w:p>
    <w:p w14:paraId="4561AF4B">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26.9预付款</w:t>
      </w:r>
    </w:p>
    <w:p w14:paraId="4F133748">
      <w:pPr>
        <w:adjustRightInd w:val="0"/>
        <w:snapToGrid w:val="0"/>
        <w:spacing w:line="360" w:lineRule="auto"/>
        <w:ind w:firstLine="480" w:firstLineChars="200"/>
        <w:rPr>
          <w:rFonts w:ascii="宋体" w:hAnsi="宋体"/>
          <w:b/>
          <w:color w:val="auto"/>
          <w:sz w:val="24"/>
        </w:rPr>
      </w:pPr>
      <w:r>
        <w:rPr>
          <w:rFonts w:hint="eastAsia" w:ascii="宋体" w:hAnsi="宋体" w:cs="宋体"/>
          <w:color w:val="auto"/>
          <w:sz w:val="24"/>
        </w:rPr>
        <w:t>本项目无预付款。</w:t>
      </w:r>
    </w:p>
    <w:p w14:paraId="12D234ED">
      <w:pPr>
        <w:numPr>
          <w:ilvl w:val="0"/>
          <w:numId w:val="3"/>
        </w:num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转包与分包</w:t>
      </w:r>
    </w:p>
    <w:p w14:paraId="7629C4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27.1本项目不允许转包。</w:t>
      </w:r>
    </w:p>
    <w:p w14:paraId="2F03323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3FB4ACA9">
      <w:pPr>
        <w:widowControl/>
        <w:kinsoku w:val="0"/>
        <w:autoSpaceDE w:val="0"/>
        <w:autoSpaceDN w:val="0"/>
        <w:adjustRightInd w:val="0"/>
        <w:snapToGrid w:val="0"/>
        <w:spacing w:line="360" w:lineRule="auto"/>
        <w:ind w:firstLine="480" w:firstLineChars="200"/>
        <w:textAlignment w:val="baseline"/>
        <w:rPr>
          <w:rFonts w:ascii="宋体" w:hAnsi="宋体"/>
          <w:color w:val="auto"/>
          <w:sz w:val="24"/>
        </w:rPr>
      </w:pPr>
      <w:r>
        <w:rPr>
          <w:rFonts w:hint="eastAsia" w:ascii="宋体" w:hAnsi="宋体" w:cs="宋体"/>
          <w:color w:val="auto"/>
          <w:sz w:val="24"/>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6E2273FF">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十一、补充合同</w:t>
      </w:r>
    </w:p>
    <w:p w14:paraId="144BE610">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2B0F913">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十二、合同公告</w:t>
      </w:r>
    </w:p>
    <w:p w14:paraId="04C82AE7">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66779BD">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十三、适用法律</w:t>
      </w:r>
    </w:p>
    <w:p w14:paraId="04B6AA8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30.1采购当事人的一切活动均适用于《中华人民共和国政府采购法》及相关规定。最终磋商结束后，磋商小组不得再与供应商进行任何形式的磋商。</w:t>
      </w:r>
    </w:p>
    <w:p w14:paraId="581EDDB8">
      <w:pPr>
        <w:pStyle w:val="22"/>
        <w:snapToGrid w:val="0"/>
        <w:spacing w:line="360" w:lineRule="auto"/>
        <w:ind w:firstLine="482" w:firstLineChars="200"/>
        <w:rPr>
          <w:rFonts w:hAnsi="宋体" w:cs="宋体"/>
          <w:b/>
          <w:bCs/>
          <w:color w:val="auto"/>
          <w:kern w:val="0"/>
          <w:sz w:val="24"/>
          <w:szCs w:val="24"/>
        </w:rPr>
      </w:pPr>
      <w:r>
        <w:rPr>
          <w:rFonts w:hAnsi="宋体"/>
          <w:b/>
          <w:color w:val="auto"/>
          <w:kern w:val="0"/>
          <w:sz w:val="24"/>
          <w:szCs w:val="24"/>
        </w:rPr>
        <w:t>十</w:t>
      </w:r>
      <w:r>
        <w:rPr>
          <w:rFonts w:hint="eastAsia" w:hAnsi="宋体"/>
          <w:b/>
          <w:color w:val="auto"/>
          <w:kern w:val="0"/>
          <w:sz w:val="24"/>
          <w:szCs w:val="24"/>
        </w:rPr>
        <w:t>四</w:t>
      </w:r>
      <w:r>
        <w:rPr>
          <w:rFonts w:hAnsi="宋体"/>
          <w:b/>
          <w:color w:val="auto"/>
          <w:kern w:val="0"/>
          <w:sz w:val="24"/>
          <w:szCs w:val="24"/>
        </w:rPr>
        <w:t>、</w:t>
      </w:r>
      <w:r>
        <w:rPr>
          <w:rFonts w:hint="eastAsia" w:hAnsi="宋体" w:cs="宋体"/>
          <w:b/>
          <w:color w:val="auto"/>
          <w:kern w:val="0"/>
          <w:sz w:val="24"/>
          <w:szCs w:val="24"/>
        </w:rPr>
        <w:t>询问、质疑和投诉</w:t>
      </w:r>
    </w:p>
    <w:p w14:paraId="06693AFC">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.1</w:t>
      </w:r>
      <w:r>
        <w:rPr>
          <w:rFonts w:hint="eastAsia" w:ascii="宋体" w:hAnsi="宋体"/>
          <w:color w:val="auto"/>
          <w:sz w:val="24"/>
        </w:rPr>
        <w:t>供应商</w:t>
      </w:r>
      <w:r>
        <w:rPr>
          <w:rFonts w:hint="eastAsia" w:ascii="宋体" w:hAnsi="宋体" w:cs="宋体"/>
          <w:color w:val="auto"/>
          <w:kern w:val="0"/>
          <w:sz w:val="24"/>
        </w:rPr>
        <w:t>对政府采购活动事项有疑问的，可以向采购人、采购代理机构提出询问。</w:t>
      </w:r>
    </w:p>
    <w:p w14:paraId="63AAFAD1">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2供应商认为采购文件、采购过程或成交结果使自己的合法权益受到损害的，应当在知道或者应知其权益受到损害之日起七个工作日内，以书面形式向采购人、采购代理机构提出质疑。具体计算时间如下：</w:t>
      </w:r>
    </w:p>
    <w:p w14:paraId="216BF90A">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（1）对可以质疑的采购文件提出质疑的，为收到采购文件之日；</w:t>
      </w:r>
    </w:p>
    <w:p w14:paraId="18C85D75">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（2）对采购过程提出质疑的，为各采购程序环节结束之日；</w:t>
      </w:r>
    </w:p>
    <w:p w14:paraId="6AB33122">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8BD222">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3FA14327">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31.4对同一采购程序环节的质疑，供应商须一次性提出。</w:t>
      </w:r>
    </w:p>
    <w:p w14:paraId="0247BC40">
      <w:pPr>
        <w:adjustRightInd w:val="0"/>
        <w:spacing w:line="360" w:lineRule="auto"/>
        <w:ind w:firstLine="482" w:firstLineChars="200"/>
        <w:rPr>
          <w:rFonts w:ascii="宋体" w:hAnsi="宋体"/>
          <w:color w:val="auto"/>
          <w:sz w:val="24"/>
          <w:szCs w:val="20"/>
        </w:rPr>
      </w:pPr>
      <w:r>
        <w:rPr>
          <w:rFonts w:hint="eastAsia" w:ascii="宋体" w:hAnsi="宋体"/>
          <w:b/>
          <w:color w:val="auto"/>
          <w:sz w:val="24"/>
          <w:szCs w:val="20"/>
        </w:rPr>
        <w:t>31.5质疑答复</w:t>
      </w:r>
    </w:p>
    <w:p w14:paraId="08784DB6">
      <w:pPr>
        <w:adjustRightInd w:val="0"/>
        <w:spacing w:line="360" w:lineRule="auto"/>
        <w:ind w:firstLine="480" w:firstLineChars="200"/>
        <w:rPr>
          <w:color w:val="auto"/>
        </w:rPr>
      </w:pPr>
      <w:r>
        <w:rPr>
          <w:rFonts w:hint="eastAsia" w:ascii="宋体" w:hAnsi="宋体"/>
          <w:color w:val="auto"/>
          <w:sz w:val="24"/>
          <w:szCs w:val="20"/>
        </w:rPr>
        <w:t>31.5.1根据采购人与采购代理机构签订采购委托协议的规定，质疑答复责任主体如下：</w:t>
      </w:r>
    </w:p>
    <w:p w14:paraId="028A4AB7">
      <w:pPr>
        <w:widowControl/>
        <w:jc w:val="center"/>
        <w:rPr>
          <w:rFonts w:ascii="宋体" w:hAnsi="宋体"/>
          <w:b/>
          <w:color w:val="auto"/>
          <w:sz w:val="28"/>
          <w:szCs w:val="28"/>
        </w:rPr>
      </w:pPr>
      <w:r>
        <w:rPr>
          <w:rFonts w:hint="eastAsia" w:ascii="宋体" w:hAnsi="宋体"/>
          <w:b/>
          <w:color w:val="auto"/>
          <w:sz w:val="28"/>
          <w:szCs w:val="28"/>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A77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7EF57D76">
            <w:pPr>
              <w:adjustRightInd w:val="0"/>
              <w:spacing w:line="360" w:lineRule="auto"/>
              <w:jc w:val="center"/>
              <w:rPr>
                <w:rFonts w:ascii="宋体" w:hAnsi="宋体"/>
                <w:color w:val="auto"/>
                <w:sz w:val="24"/>
                <w:szCs w:val="20"/>
              </w:rPr>
            </w:pPr>
            <w:r>
              <w:rPr>
                <w:rFonts w:hint="eastAsia" w:ascii="宋体" w:hAnsi="宋体"/>
                <w:color w:val="auto"/>
                <w:sz w:val="24"/>
                <w:szCs w:val="20"/>
              </w:rPr>
              <w:t>质疑内容</w:t>
            </w:r>
          </w:p>
        </w:tc>
        <w:tc>
          <w:tcPr>
            <w:tcW w:w="2232" w:type="dxa"/>
            <w:shd w:val="clear" w:color="auto" w:fill="auto"/>
            <w:vAlign w:val="center"/>
          </w:tcPr>
          <w:p w14:paraId="1EED2700">
            <w:pPr>
              <w:adjustRightInd w:val="0"/>
              <w:spacing w:line="360" w:lineRule="auto"/>
              <w:jc w:val="center"/>
              <w:rPr>
                <w:rFonts w:ascii="宋体" w:hAnsi="宋体"/>
                <w:color w:val="auto"/>
                <w:sz w:val="24"/>
                <w:szCs w:val="20"/>
              </w:rPr>
            </w:pPr>
            <w:r>
              <w:rPr>
                <w:rFonts w:hint="eastAsia" w:ascii="宋体" w:hAnsi="宋体"/>
                <w:color w:val="auto"/>
                <w:sz w:val="24"/>
                <w:szCs w:val="20"/>
              </w:rPr>
              <w:t>质疑答复责任主体</w:t>
            </w:r>
          </w:p>
        </w:tc>
      </w:tr>
      <w:tr w14:paraId="7ACB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8E8268A">
            <w:pPr>
              <w:adjustRightInd w:val="0"/>
              <w:spacing w:line="360" w:lineRule="auto"/>
              <w:jc w:val="center"/>
              <w:rPr>
                <w:rFonts w:ascii="宋体" w:hAnsi="宋体"/>
                <w:color w:val="auto"/>
                <w:sz w:val="24"/>
                <w:szCs w:val="20"/>
              </w:rPr>
            </w:pPr>
            <w:r>
              <w:rPr>
                <w:rFonts w:hint="eastAsia" w:ascii="宋体" w:hAnsi="宋体"/>
                <w:color w:val="auto"/>
                <w:sz w:val="24"/>
                <w:szCs w:val="20"/>
              </w:rPr>
              <w:t>对采购文件提出质疑</w:t>
            </w:r>
          </w:p>
        </w:tc>
        <w:tc>
          <w:tcPr>
            <w:tcW w:w="4536" w:type="dxa"/>
            <w:shd w:val="clear" w:color="auto" w:fill="auto"/>
            <w:vAlign w:val="center"/>
          </w:tcPr>
          <w:p w14:paraId="57F30D9A">
            <w:pPr>
              <w:adjustRightInd w:val="0"/>
              <w:spacing w:line="360" w:lineRule="auto"/>
              <w:jc w:val="left"/>
              <w:rPr>
                <w:rFonts w:ascii="宋体" w:hAnsi="宋体"/>
                <w:color w:val="auto"/>
                <w:sz w:val="24"/>
                <w:szCs w:val="20"/>
              </w:rPr>
            </w:pPr>
            <w:r>
              <w:rPr>
                <w:rFonts w:hint="eastAsia" w:ascii="宋体" w:hAnsi="宋体"/>
                <w:color w:val="auto"/>
                <w:sz w:val="24"/>
                <w:szCs w:val="20"/>
              </w:rPr>
              <w:t>对采购文件中特定资格条件、采购需求、评审办法、评审标准提出的质疑</w:t>
            </w:r>
          </w:p>
        </w:tc>
        <w:tc>
          <w:tcPr>
            <w:tcW w:w="2232" w:type="dxa"/>
            <w:shd w:val="clear" w:color="auto" w:fill="auto"/>
            <w:vAlign w:val="center"/>
          </w:tcPr>
          <w:p w14:paraId="45E20712">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0FDC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45F2FBDE">
            <w:pPr>
              <w:adjustRightInd w:val="0"/>
              <w:spacing w:line="360" w:lineRule="auto"/>
              <w:jc w:val="center"/>
              <w:rPr>
                <w:rFonts w:ascii="宋体" w:hAnsi="宋体"/>
                <w:color w:val="auto"/>
                <w:sz w:val="24"/>
                <w:szCs w:val="20"/>
              </w:rPr>
            </w:pPr>
          </w:p>
        </w:tc>
        <w:tc>
          <w:tcPr>
            <w:tcW w:w="4536" w:type="dxa"/>
            <w:shd w:val="clear" w:color="auto" w:fill="auto"/>
            <w:vAlign w:val="center"/>
          </w:tcPr>
          <w:p w14:paraId="6DDB70F9">
            <w:pPr>
              <w:adjustRightInd w:val="0"/>
              <w:spacing w:line="360" w:lineRule="auto"/>
              <w:jc w:val="left"/>
              <w:rPr>
                <w:rFonts w:ascii="宋体" w:hAnsi="宋体"/>
                <w:color w:val="auto"/>
                <w:sz w:val="24"/>
                <w:szCs w:val="20"/>
              </w:rPr>
            </w:pPr>
            <w:r>
              <w:rPr>
                <w:rFonts w:hint="eastAsia" w:ascii="宋体" w:hAnsi="宋体"/>
                <w:color w:val="auto"/>
                <w:sz w:val="24"/>
                <w:szCs w:val="20"/>
              </w:rPr>
              <w:t>对采购文件中其他内容提出的质疑</w:t>
            </w:r>
          </w:p>
        </w:tc>
        <w:tc>
          <w:tcPr>
            <w:tcW w:w="2232" w:type="dxa"/>
            <w:shd w:val="clear" w:color="auto" w:fill="auto"/>
            <w:vAlign w:val="center"/>
          </w:tcPr>
          <w:p w14:paraId="46BB3013">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5B15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1ECB8317">
            <w:pPr>
              <w:adjustRightInd w:val="0"/>
              <w:spacing w:line="360" w:lineRule="auto"/>
              <w:jc w:val="center"/>
              <w:rPr>
                <w:rFonts w:ascii="宋体" w:hAnsi="宋体"/>
                <w:color w:val="auto"/>
                <w:sz w:val="24"/>
                <w:szCs w:val="20"/>
              </w:rPr>
            </w:pPr>
            <w:r>
              <w:rPr>
                <w:rFonts w:hint="eastAsia" w:ascii="宋体" w:hAnsi="宋体"/>
                <w:color w:val="auto"/>
                <w:sz w:val="24"/>
                <w:szCs w:val="20"/>
              </w:rPr>
              <w:t>对采购过程提出质疑</w:t>
            </w:r>
          </w:p>
        </w:tc>
        <w:tc>
          <w:tcPr>
            <w:tcW w:w="4536" w:type="dxa"/>
            <w:shd w:val="clear" w:color="auto" w:fill="auto"/>
            <w:vAlign w:val="center"/>
          </w:tcPr>
          <w:p w14:paraId="6CDFAF14">
            <w:pPr>
              <w:adjustRightInd w:val="0"/>
              <w:spacing w:line="360" w:lineRule="auto"/>
              <w:jc w:val="left"/>
              <w:rPr>
                <w:rFonts w:ascii="宋体" w:hAnsi="宋体"/>
                <w:color w:val="auto"/>
                <w:sz w:val="24"/>
                <w:szCs w:val="20"/>
              </w:rPr>
            </w:pPr>
            <w:r>
              <w:rPr>
                <w:rFonts w:hint="eastAsia" w:ascii="宋体" w:hAnsi="宋体"/>
                <w:color w:val="auto"/>
                <w:sz w:val="24"/>
                <w:szCs w:val="20"/>
              </w:rPr>
              <w:t>有关现场考察或开启响应文件前答疑会事项提出的质疑</w:t>
            </w:r>
          </w:p>
        </w:tc>
        <w:tc>
          <w:tcPr>
            <w:tcW w:w="2232" w:type="dxa"/>
            <w:shd w:val="clear" w:color="auto" w:fill="auto"/>
            <w:vAlign w:val="center"/>
          </w:tcPr>
          <w:p w14:paraId="4D05EA30">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45AB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397A71F3">
            <w:pPr>
              <w:adjustRightInd w:val="0"/>
              <w:spacing w:line="360" w:lineRule="auto"/>
              <w:jc w:val="center"/>
              <w:rPr>
                <w:rFonts w:ascii="宋体" w:hAnsi="宋体"/>
                <w:color w:val="auto"/>
                <w:sz w:val="24"/>
                <w:szCs w:val="20"/>
              </w:rPr>
            </w:pPr>
          </w:p>
        </w:tc>
        <w:tc>
          <w:tcPr>
            <w:tcW w:w="4536" w:type="dxa"/>
            <w:shd w:val="clear" w:color="auto" w:fill="auto"/>
            <w:vAlign w:val="center"/>
          </w:tcPr>
          <w:p w14:paraId="40AA3419">
            <w:pPr>
              <w:adjustRightInd w:val="0"/>
              <w:spacing w:line="360" w:lineRule="auto"/>
              <w:jc w:val="left"/>
              <w:rPr>
                <w:rFonts w:ascii="宋体" w:hAnsi="宋体"/>
                <w:color w:val="auto"/>
                <w:sz w:val="24"/>
                <w:szCs w:val="20"/>
              </w:rPr>
            </w:pPr>
            <w:r>
              <w:rPr>
                <w:rFonts w:hint="eastAsia" w:ascii="宋体" w:hAnsi="宋体"/>
                <w:color w:val="auto"/>
                <w:sz w:val="24"/>
                <w:szCs w:val="20"/>
              </w:rPr>
              <w:t>对采购过程中其它事项提出的质疑</w:t>
            </w:r>
          </w:p>
        </w:tc>
        <w:tc>
          <w:tcPr>
            <w:tcW w:w="2232" w:type="dxa"/>
            <w:shd w:val="clear" w:color="auto" w:fill="auto"/>
            <w:vAlign w:val="center"/>
          </w:tcPr>
          <w:p w14:paraId="6DE75B35">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7ECD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A00A68D">
            <w:pPr>
              <w:adjustRightInd w:val="0"/>
              <w:spacing w:line="360" w:lineRule="auto"/>
              <w:jc w:val="center"/>
              <w:rPr>
                <w:rFonts w:ascii="宋体" w:hAnsi="宋体"/>
                <w:color w:val="auto"/>
                <w:sz w:val="24"/>
                <w:szCs w:val="20"/>
              </w:rPr>
            </w:pPr>
            <w:r>
              <w:rPr>
                <w:rFonts w:hint="eastAsia" w:ascii="宋体" w:hAnsi="宋体"/>
                <w:color w:val="auto"/>
                <w:sz w:val="24"/>
                <w:szCs w:val="20"/>
              </w:rPr>
              <w:t>对采购结果提出质疑</w:t>
            </w:r>
          </w:p>
        </w:tc>
        <w:tc>
          <w:tcPr>
            <w:tcW w:w="4536" w:type="dxa"/>
            <w:shd w:val="clear" w:color="auto" w:fill="auto"/>
            <w:vAlign w:val="center"/>
          </w:tcPr>
          <w:p w14:paraId="5BD2BC2C">
            <w:pPr>
              <w:adjustRightInd w:val="0"/>
              <w:spacing w:line="360" w:lineRule="auto"/>
              <w:jc w:val="left"/>
              <w:rPr>
                <w:rFonts w:ascii="宋体" w:hAnsi="宋体"/>
                <w:color w:val="auto"/>
                <w:sz w:val="24"/>
                <w:szCs w:val="20"/>
              </w:rPr>
            </w:pPr>
            <w:r>
              <w:rPr>
                <w:rFonts w:hint="eastAsia" w:ascii="宋体" w:hAnsi="宋体"/>
                <w:color w:val="auto"/>
                <w:sz w:val="24"/>
                <w:szCs w:val="20"/>
              </w:rPr>
              <w:t>对采购结果提出的质疑</w:t>
            </w:r>
          </w:p>
        </w:tc>
        <w:tc>
          <w:tcPr>
            <w:tcW w:w="2232" w:type="dxa"/>
            <w:shd w:val="clear" w:color="auto" w:fill="auto"/>
            <w:vAlign w:val="center"/>
          </w:tcPr>
          <w:p w14:paraId="452B93D2">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bl>
    <w:p w14:paraId="78BD96DA">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注：采购人或代理机构应当协助质疑答复责任主体及时答复供应商的书面质疑。</w:t>
      </w:r>
    </w:p>
    <w:p w14:paraId="4E1372C4">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73DBEDBD">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31.5.3询问或者质疑事项可能影响采购结果的，采购人应当暂停签订合同，已经签订合同的，应当中止履行合同。</w:t>
      </w:r>
    </w:p>
    <w:p w14:paraId="43E7C509">
      <w:pPr>
        <w:spacing w:line="360" w:lineRule="auto"/>
        <w:ind w:firstLine="480" w:firstLineChars="200"/>
        <w:rPr>
          <w:rFonts w:ascii="宋体" w:hAnsi="宋体"/>
          <w:color w:val="auto"/>
          <w:sz w:val="24"/>
          <w:lang w:val="zh-CN"/>
        </w:rPr>
      </w:pPr>
      <w:r>
        <w:rPr>
          <w:rFonts w:hint="eastAsia" w:ascii="宋体" w:hAnsi="宋体"/>
          <w:color w:val="auto"/>
          <w:sz w:val="24"/>
          <w:szCs w:val="20"/>
        </w:rPr>
        <w:t>31.5.4</w:t>
      </w:r>
      <w:r>
        <w:rPr>
          <w:rFonts w:hint="eastAsia" w:ascii="宋体" w:hAnsi="宋体"/>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7D51357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质疑联系部门及电话为：北海市政府采购中心   联系电话：0779-3960826 </w:t>
      </w:r>
    </w:p>
    <w:p w14:paraId="69B0F81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投诉联系部门及电话为：北海市财政局（财政监督部门）联系电话：0779-3063975</w:t>
      </w:r>
    </w:p>
    <w:p w14:paraId="5AEA4130">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十五、其他事项</w:t>
      </w:r>
    </w:p>
    <w:p w14:paraId="660FBC59">
      <w:pPr>
        <w:spacing w:line="360" w:lineRule="auto"/>
        <w:ind w:firstLine="482" w:firstLineChars="200"/>
        <w:rPr>
          <w:rFonts w:ascii="宋体" w:hAnsi="宋体" w:cs="宋体"/>
          <w:b/>
          <w:color w:val="auto"/>
          <w:sz w:val="24"/>
        </w:rPr>
      </w:pPr>
      <w:r>
        <w:rPr>
          <w:rFonts w:hint="eastAsia" w:ascii="宋体" w:hAnsi="宋体"/>
          <w:b/>
          <w:color w:val="auto"/>
          <w:sz w:val="24"/>
        </w:rPr>
        <w:t>32</w:t>
      </w:r>
      <w:r>
        <w:rPr>
          <w:rFonts w:hint="eastAsia" w:ascii="宋体" w:hAnsi="宋体" w:cs="宋体"/>
          <w:b/>
          <w:color w:val="auto"/>
          <w:sz w:val="24"/>
        </w:rPr>
        <w:t>代理费用的收取标准和方式</w:t>
      </w:r>
    </w:p>
    <w:p w14:paraId="7CFB019D">
      <w:pPr>
        <w:spacing w:line="360" w:lineRule="auto"/>
        <w:ind w:firstLine="480" w:firstLineChars="200"/>
        <w:rPr>
          <w:rFonts w:ascii="宋体" w:hAnsi="宋体" w:cs="宋体"/>
          <w:bCs/>
          <w:color w:val="auto"/>
          <w:sz w:val="24"/>
        </w:rPr>
      </w:pPr>
      <w:r>
        <w:rPr>
          <w:rFonts w:hint="eastAsia" w:ascii="宋体" w:hAnsi="宋体" w:cs="宋体"/>
          <w:color w:val="auto"/>
          <w:sz w:val="24"/>
        </w:rPr>
        <w:t>本项目不收取代理服务费。</w:t>
      </w:r>
    </w:p>
    <w:p w14:paraId="716E6712">
      <w:pPr>
        <w:spacing w:line="360" w:lineRule="auto"/>
        <w:ind w:firstLine="482" w:firstLineChars="200"/>
        <w:rPr>
          <w:rFonts w:ascii="宋体" w:hAnsi="宋体"/>
          <w:b/>
          <w:color w:val="auto"/>
          <w:sz w:val="24"/>
        </w:rPr>
      </w:pPr>
      <w:r>
        <w:rPr>
          <w:rFonts w:hint="eastAsia" w:ascii="宋体" w:hAnsi="宋体"/>
          <w:b/>
          <w:color w:val="auto"/>
          <w:sz w:val="24"/>
        </w:rPr>
        <w:t>33</w:t>
      </w:r>
      <w:r>
        <w:rPr>
          <w:rFonts w:ascii="宋体" w:hAnsi="宋体"/>
          <w:b/>
          <w:color w:val="auto"/>
          <w:sz w:val="24"/>
        </w:rPr>
        <w:t>解释权</w:t>
      </w:r>
    </w:p>
    <w:p w14:paraId="45BB5EA6">
      <w:pPr>
        <w:pStyle w:val="22"/>
        <w:adjustRightInd w:val="0"/>
        <w:snapToGrid w:val="0"/>
        <w:spacing w:line="360" w:lineRule="auto"/>
        <w:ind w:firstLine="464" w:firstLineChars="200"/>
        <w:rPr>
          <w:rFonts w:hAnsi="宋体"/>
          <w:color w:val="auto"/>
          <w:spacing w:val="-4"/>
          <w:sz w:val="24"/>
          <w:szCs w:val="24"/>
        </w:rPr>
      </w:pPr>
      <w:r>
        <w:rPr>
          <w:rFonts w:hint="eastAsia" w:hAnsi="宋体"/>
          <w:color w:val="auto"/>
          <w:spacing w:val="-4"/>
          <w:sz w:val="24"/>
          <w:szCs w:val="24"/>
        </w:rPr>
        <w:t>本竞争性磋商文件解释权属采购人及北海市政府采购中心。</w:t>
      </w:r>
    </w:p>
    <w:p w14:paraId="62ACC13C">
      <w:pPr>
        <w:pStyle w:val="22"/>
        <w:spacing w:line="360" w:lineRule="auto"/>
        <w:ind w:firstLine="482" w:firstLineChars="200"/>
        <w:rPr>
          <w:rFonts w:hAnsi="宋体" w:cs="Times New Roman"/>
          <w:b/>
          <w:color w:val="auto"/>
          <w:sz w:val="24"/>
          <w:szCs w:val="24"/>
        </w:rPr>
      </w:pPr>
      <w:r>
        <w:rPr>
          <w:rFonts w:hint="eastAsia" w:hAnsi="宋体" w:cs="Times New Roman"/>
          <w:b/>
          <w:color w:val="auto"/>
          <w:sz w:val="24"/>
          <w:szCs w:val="24"/>
        </w:rPr>
        <w:t>34</w:t>
      </w:r>
      <w:r>
        <w:rPr>
          <w:rFonts w:hAnsi="宋体" w:cs="Times New Roman"/>
          <w:b/>
          <w:color w:val="auto"/>
          <w:sz w:val="24"/>
          <w:szCs w:val="24"/>
        </w:rPr>
        <w:t>有关事宜</w:t>
      </w:r>
    </w:p>
    <w:p w14:paraId="213CBA72">
      <w:pPr>
        <w:pStyle w:val="22"/>
        <w:spacing w:line="360" w:lineRule="auto"/>
        <w:ind w:firstLine="480" w:firstLineChars="200"/>
        <w:rPr>
          <w:rFonts w:hAnsi="宋体" w:cs="宋体"/>
          <w:color w:val="auto"/>
          <w:kern w:val="0"/>
          <w:sz w:val="24"/>
          <w:szCs w:val="24"/>
        </w:rPr>
      </w:pPr>
      <w:r>
        <w:rPr>
          <w:rFonts w:hint="eastAsia" w:hAnsi="宋体" w:cs="宋体"/>
          <w:color w:val="auto"/>
          <w:kern w:val="0"/>
          <w:sz w:val="24"/>
          <w:szCs w:val="24"/>
        </w:rPr>
        <w:t>所有与本磋商文件有关的函件请按下列通讯地址联系：</w:t>
      </w:r>
    </w:p>
    <w:p w14:paraId="60824CDD">
      <w:pPr>
        <w:pStyle w:val="22"/>
        <w:spacing w:line="360" w:lineRule="auto"/>
        <w:ind w:firstLine="480" w:firstLineChars="200"/>
        <w:rPr>
          <w:rFonts w:hAnsi="宋体" w:cs="宋体"/>
          <w:color w:val="auto"/>
          <w:sz w:val="24"/>
          <w:szCs w:val="24"/>
        </w:rPr>
      </w:pPr>
      <w:r>
        <w:rPr>
          <w:rFonts w:hint="eastAsia" w:hAnsi="宋体" w:cs="宋体"/>
          <w:color w:val="auto"/>
          <w:kern w:val="0"/>
          <w:sz w:val="24"/>
          <w:szCs w:val="24"/>
        </w:rPr>
        <w:t>单位全称：</w:t>
      </w:r>
      <w:r>
        <w:rPr>
          <w:rFonts w:hint="eastAsia" w:hAnsi="宋体" w:cs="宋体"/>
          <w:color w:val="auto"/>
          <w:sz w:val="24"/>
          <w:szCs w:val="24"/>
        </w:rPr>
        <w:t>北海市政府采购中心</w:t>
      </w:r>
    </w:p>
    <w:p w14:paraId="4859413C">
      <w:pPr>
        <w:pStyle w:val="22"/>
        <w:spacing w:line="360" w:lineRule="auto"/>
        <w:ind w:firstLine="480" w:firstLineChars="200"/>
        <w:rPr>
          <w:rFonts w:hAnsi="宋体" w:cs="宋体"/>
          <w:color w:val="auto"/>
          <w:kern w:val="0"/>
          <w:sz w:val="24"/>
          <w:szCs w:val="24"/>
        </w:rPr>
      </w:pPr>
      <w:r>
        <w:rPr>
          <w:rFonts w:hint="eastAsia" w:hAnsi="宋体" w:cs="宋体"/>
          <w:color w:val="auto"/>
          <w:kern w:val="0"/>
          <w:sz w:val="24"/>
          <w:szCs w:val="24"/>
        </w:rPr>
        <w:t>通讯地址：</w:t>
      </w:r>
      <w:r>
        <w:rPr>
          <w:rFonts w:hint="eastAsia" w:hAnsi="宋体" w:cs="宋体"/>
          <w:color w:val="auto"/>
          <w:sz w:val="24"/>
          <w:szCs w:val="24"/>
        </w:rPr>
        <w:t>北海市海城区陈文村北路7号市直机关第三办公区</w:t>
      </w:r>
    </w:p>
    <w:p w14:paraId="4E135526">
      <w:pPr>
        <w:pStyle w:val="22"/>
        <w:spacing w:line="360" w:lineRule="auto"/>
        <w:ind w:firstLine="480" w:firstLineChars="200"/>
        <w:rPr>
          <w:rFonts w:hAnsi="宋体" w:cs="宋体"/>
          <w:color w:val="auto"/>
          <w:sz w:val="24"/>
          <w:szCs w:val="24"/>
        </w:rPr>
      </w:pPr>
      <w:r>
        <w:rPr>
          <w:rFonts w:hint="eastAsia" w:hAnsi="宋体" w:cs="宋体"/>
          <w:color w:val="auto"/>
          <w:kern w:val="0"/>
          <w:sz w:val="24"/>
          <w:szCs w:val="24"/>
        </w:rPr>
        <w:t>电    话：</w:t>
      </w:r>
      <w:r>
        <w:rPr>
          <w:rFonts w:hint="eastAsia" w:hAnsi="宋体" w:cs="宋体"/>
          <w:bCs/>
          <w:color w:val="auto"/>
          <w:sz w:val="24"/>
          <w:szCs w:val="24"/>
        </w:rPr>
        <w:t>0779-</w:t>
      </w:r>
      <w:r>
        <w:rPr>
          <w:rFonts w:hint="eastAsia" w:hAnsi="宋体" w:cs="宋体"/>
          <w:color w:val="auto"/>
          <w:sz w:val="24"/>
          <w:szCs w:val="24"/>
        </w:rPr>
        <w:t>3960819</w:t>
      </w:r>
    </w:p>
    <w:p w14:paraId="688E0DB2">
      <w:pPr>
        <w:pStyle w:val="22"/>
        <w:spacing w:line="360" w:lineRule="auto"/>
        <w:ind w:firstLine="480" w:firstLineChars="200"/>
        <w:rPr>
          <w:rFonts w:hAnsi="宋体" w:cs="宋体"/>
          <w:b/>
          <w:color w:val="auto"/>
          <w:sz w:val="24"/>
          <w:szCs w:val="24"/>
        </w:rPr>
      </w:pPr>
      <w:r>
        <w:rPr>
          <w:rFonts w:hint="eastAsia" w:hAnsi="宋体" w:cs="宋体"/>
          <w:color w:val="auto"/>
          <w:kern w:val="0"/>
          <w:sz w:val="24"/>
          <w:szCs w:val="24"/>
        </w:rPr>
        <w:t>联 系 人:</w:t>
      </w:r>
      <w:r>
        <w:rPr>
          <w:rFonts w:hint="eastAsia" w:hAnsi="宋体" w:cs="宋体"/>
          <w:color w:val="auto"/>
          <w:sz w:val="24"/>
          <w:szCs w:val="24"/>
        </w:rPr>
        <w:t>林学慧</w:t>
      </w:r>
    </w:p>
    <w:p w14:paraId="149170AE">
      <w:pPr>
        <w:spacing w:line="620" w:lineRule="exact"/>
        <w:rPr>
          <w:rFonts w:ascii="宋体" w:hAnsi="宋体"/>
          <w:b/>
          <w:color w:val="auto"/>
          <w:sz w:val="44"/>
          <w:szCs w:val="44"/>
        </w:rPr>
      </w:pPr>
      <w:bookmarkStart w:id="31" w:name="_Toc3994506"/>
    </w:p>
    <w:p w14:paraId="09FE62A0">
      <w:pPr>
        <w:pStyle w:val="22"/>
        <w:rPr>
          <w:color w:val="auto"/>
        </w:rPr>
      </w:pPr>
      <w:bookmarkStart w:id="32" w:name="_Toc23819"/>
      <w:r>
        <w:rPr>
          <w:color w:val="auto"/>
        </w:rPr>
        <w:br w:type="page"/>
      </w:r>
    </w:p>
    <w:p w14:paraId="7C86BD62">
      <w:pPr>
        <w:pStyle w:val="22"/>
        <w:rPr>
          <w:color w:val="auto"/>
        </w:rPr>
      </w:pPr>
    </w:p>
    <w:p w14:paraId="449436D6">
      <w:pPr>
        <w:pStyle w:val="22"/>
        <w:rPr>
          <w:color w:val="auto"/>
        </w:rPr>
      </w:pPr>
    </w:p>
    <w:p w14:paraId="1AB47F2D">
      <w:pPr>
        <w:pStyle w:val="22"/>
        <w:rPr>
          <w:color w:val="auto"/>
        </w:rPr>
      </w:pPr>
    </w:p>
    <w:p w14:paraId="35F102B6">
      <w:pPr>
        <w:pStyle w:val="22"/>
        <w:rPr>
          <w:color w:val="auto"/>
        </w:rPr>
      </w:pPr>
    </w:p>
    <w:p w14:paraId="7772ABC2">
      <w:pPr>
        <w:pStyle w:val="22"/>
        <w:rPr>
          <w:color w:val="auto"/>
        </w:rPr>
      </w:pPr>
    </w:p>
    <w:p w14:paraId="58608299">
      <w:pPr>
        <w:pStyle w:val="22"/>
        <w:rPr>
          <w:color w:val="auto"/>
        </w:rPr>
      </w:pPr>
    </w:p>
    <w:p w14:paraId="242EB2CD">
      <w:pPr>
        <w:pStyle w:val="22"/>
        <w:rPr>
          <w:color w:val="auto"/>
        </w:rPr>
      </w:pPr>
    </w:p>
    <w:p w14:paraId="3AE58F3F">
      <w:pPr>
        <w:pStyle w:val="22"/>
        <w:rPr>
          <w:color w:val="auto"/>
        </w:rPr>
      </w:pPr>
    </w:p>
    <w:p w14:paraId="59A8670E">
      <w:pPr>
        <w:pStyle w:val="22"/>
        <w:rPr>
          <w:color w:val="auto"/>
        </w:rPr>
      </w:pPr>
    </w:p>
    <w:p w14:paraId="09A49C5B">
      <w:pPr>
        <w:pStyle w:val="22"/>
        <w:rPr>
          <w:color w:val="auto"/>
        </w:rPr>
      </w:pPr>
    </w:p>
    <w:p w14:paraId="44F9ABE1">
      <w:pPr>
        <w:pStyle w:val="22"/>
        <w:rPr>
          <w:color w:val="auto"/>
        </w:rPr>
      </w:pPr>
    </w:p>
    <w:p w14:paraId="2D0FBAFD">
      <w:pPr>
        <w:pStyle w:val="22"/>
        <w:rPr>
          <w:color w:val="auto"/>
        </w:rPr>
      </w:pPr>
    </w:p>
    <w:p w14:paraId="7A856C33">
      <w:pPr>
        <w:pStyle w:val="22"/>
        <w:rPr>
          <w:color w:val="auto"/>
        </w:rPr>
      </w:pPr>
    </w:p>
    <w:p w14:paraId="3AEF92E1">
      <w:pPr>
        <w:pStyle w:val="22"/>
        <w:rPr>
          <w:color w:val="auto"/>
        </w:rPr>
      </w:pPr>
    </w:p>
    <w:p w14:paraId="758E0B41">
      <w:pPr>
        <w:pStyle w:val="22"/>
        <w:rPr>
          <w:color w:val="auto"/>
        </w:rPr>
      </w:pPr>
    </w:p>
    <w:p w14:paraId="61CB175F">
      <w:pPr>
        <w:pStyle w:val="22"/>
        <w:rPr>
          <w:color w:val="auto"/>
        </w:rPr>
      </w:pPr>
    </w:p>
    <w:p w14:paraId="28708FFF">
      <w:pPr>
        <w:pStyle w:val="22"/>
        <w:rPr>
          <w:color w:val="auto"/>
        </w:rPr>
      </w:pPr>
    </w:p>
    <w:p w14:paraId="18B66976">
      <w:pPr>
        <w:pStyle w:val="22"/>
        <w:rPr>
          <w:color w:val="auto"/>
        </w:rPr>
      </w:pPr>
    </w:p>
    <w:p w14:paraId="1A5D47D6">
      <w:pPr>
        <w:pStyle w:val="22"/>
        <w:rPr>
          <w:color w:val="auto"/>
        </w:rPr>
      </w:pPr>
    </w:p>
    <w:p w14:paraId="7773AF74">
      <w:pPr>
        <w:pStyle w:val="22"/>
        <w:rPr>
          <w:color w:val="auto"/>
        </w:rPr>
      </w:pPr>
    </w:p>
    <w:p w14:paraId="2E6B5EAD">
      <w:pPr>
        <w:spacing w:line="620" w:lineRule="exact"/>
        <w:jc w:val="center"/>
        <w:outlineLvl w:val="0"/>
        <w:rPr>
          <w:rFonts w:ascii="宋体" w:hAnsi="宋体"/>
          <w:b/>
          <w:color w:val="auto"/>
          <w:sz w:val="44"/>
          <w:szCs w:val="44"/>
        </w:rPr>
      </w:pPr>
      <w:bookmarkStart w:id="33" w:name="_Toc176861408"/>
      <w:r>
        <w:rPr>
          <w:rFonts w:hint="eastAsia" w:ascii="宋体" w:hAnsi="宋体"/>
          <w:b/>
          <w:color w:val="auto"/>
          <w:sz w:val="44"/>
          <w:szCs w:val="44"/>
        </w:rPr>
        <w:t>第三章  竞争性磋商响应文件格式</w:t>
      </w:r>
      <w:bookmarkEnd w:id="31"/>
      <w:bookmarkEnd w:id="32"/>
      <w:bookmarkEnd w:id="33"/>
    </w:p>
    <w:p w14:paraId="167AD819">
      <w:pPr>
        <w:spacing w:line="500" w:lineRule="exact"/>
        <w:rPr>
          <w:rFonts w:ascii="仿宋_GB2312" w:hAnsi="宋体" w:eastAsia="仿宋_GB2312"/>
          <w:b/>
          <w:color w:val="auto"/>
          <w:sz w:val="32"/>
          <w:szCs w:val="32"/>
        </w:rPr>
      </w:pPr>
    </w:p>
    <w:p w14:paraId="68555AC3">
      <w:pPr>
        <w:spacing w:line="500" w:lineRule="exact"/>
        <w:rPr>
          <w:rFonts w:ascii="仿宋_GB2312" w:hAnsi="宋体" w:eastAsia="仿宋_GB2312"/>
          <w:b/>
          <w:color w:val="auto"/>
          <w:sz w:val="32"/>
          <w:szCs w:val="32"/>
        </w:rPr>
      </w:pPr>
    </w:p>
    <w:p w14:paraId="530BFA38">
      <w:pPr>
        <w:spacing w:line="500" w:lineRule="exact"/>
        <w:rPr>
          <w:rFonts w:ascii="仿宋_GB2312" w:hAnsi="宋体" w:eastAsia="仿宋_GB2312"/>
          <w:b/>
          <w:color w:val="auto"/>
          <w:sz w:val="32"/>
          <w:szCs w:val="32"/>
        </w:rPr>
      </w:pPr>
    </w:p>
    <w:p w14:paraId="280FA7F6">
      <w:pPr>
        <w:spacing w:line="500" w:lineRule="exact"/>
        <w:rPr>
          <w:rFonts w:ascii="仿宋_GB2312" w:hAnsi="宋体" w:eastAsia="仿宋_GB2312"/>
          <w:b/>
          <w:color w:val="auto"/>
          <w:sz w:val="32"/>
          <w:szCs w:val="32"/>
        </w:rPr>
      </w:pPr>
    </w:p>
    <w:p w14:paraId="70A353A5">
      <w:pPr>
        <w:spacing w:line="500" w:lineRule="exact"/>
        <w:rPr>
          <w:rFonts w:ascii="仿宋_GB2312" w:hAnsi="宋体" w:eastAsia="仿宋_GB2312"/>
          <w:b/>
          <w:color w:val="auto"/>
          <w:sz w:val="32"/>
          <w:szCs w:val="32"/>
        </w:rPr>
      </w:pPr>
    </w:p>
    <w:p w14:paraId="5514795F">
      <w:pPr>
        <w:spacing w:line="500" w:lineRule="exact"/>
        <w:rPr>
          <w:rFonts w:ascii="仿宋_GB2312" w:hAnsi="宋体" w:eastAsia="仿宋_GB2312"/>
          <w:b/>
          <w:color w:val="auto"/>
          <w:sz w:val="32"/>
          <w:szCs w:val="32"/>
        </w:rPr>
      </w:pPr>
    </w:p>
    <w:p w14:paraId="50D60E95">
      <w:pPr>
        <w:spacing w:line="500" w:lineRule="exact"/>
        <w:rPr>
          <w:rFonts w:ascii="仿宋_GB2312" w:hAnsi="宋体" w:eastAsia="仿宋_GB2312"/>
          <w:b/>
          <w:color w:val="auto"/>
          <w:sz w:val="32"/>
          <w:szCs w:val="32"/>
        </w:rPr>
      </w:pPr>
    </w:p>
    <w:p w14:paraId="1C7F251C">
      <w:pPr>
        <w:spacing w:line="500" w:lineRule="exact"/>
        <w:rPr>
          <w:rFonts w:ascii="仿宋_GB2312" w:hAnsi="宋体" w:eastAsia="仿宋_GB2312"/>
          <w:b/>
          <w:color w:val="auto"/>
          <w:sz w:val="32"/>
          <w:szCs w:val="32"/>
        </w:rPr>
      </w:pPr>
    </w:p>
    <w:p w14:paraId="0079ABD8">
      <w:pPr>
        <w:snapToGrid w:val="0"/>
        <w:spacing w:before="120" w:beforeLines="50" w:after="50" w:line="360" w:lineRule="exact"/>
        <w:rPr>
          <w:rFonts w:ascii="宋体" w:hAnsi="宋体"/>
          <w:b/>
          <w:bCs/>
          <w:color w:val="auto"/>
          <w:sz w:val="28"/>
          <w:szCs w:val="28"/>
        </w:rPr>
      </w:pPr>
    </w:p>
    <w:p w14:paraId="31EFAB32">
      <w:pPr>
        <w:snapToGrid w:val="0"/>
        <w:spacing w:before="120" w:beforeLines="50" w:after="50" w:line="360" w:lineRule="exact"/>
        <w:rPr>
          <w:rFonts w:ascii="宋体" w:hAnsi="宋体"/>
          <w:b/>
          <w:bCs/>
          <w:color w:val="auto"/>
          <w:sz w:val="28"/>
          <w:szCs w:val="28"/>
        </w:rPr>
      </w:pPr>
    </w:p>
    <w:p w14:paraId="4A88A07C">
      <w:pPr>
        <w:snapToGrid w:val="0"/>
        <w:spacing w:before="120" w:beforeLines="50" w:after="50" w:line="360" w:lineRule="exact"/>
        <w:rPr>
          <w:rFonts w:ascii="宋体" w:hAnsi="宋体"/>
          <w:b/>
          <w:bCs/>
          <w:color w:val="auto"/>
          <w:sz w:val="28"/>
          <w:szCs w:val="28"/>
        </w:rPr>
      </w:pPr>
    </w:p>
    <w:p w14:paraId="7E419ED9">
      <w:pPr>
        <w:snapToGrid w:val="0"/>
        <w:spacing w:before="120" w:beforeLines="50" w:after="50" w:line="360" w:lineRule="exact"/>
        <w:rPr>
          <w:rFonts w:ascii="宋体" w:hAnsi="宋体"/>
          <w:b/>
          <w:bCs/>
          <w:color w:val="auto"/>
          <w:sz w:val="28"/>
          <w:szCs w:val="28"/>
        </w:rPr>
      </w:pPr>
    </w:p>
    <w:p w14:paraId="4BDC438C">
      <w:pPr>
        <w:snapToGrid w:val="0"/>
        <w:spacing w:before="120" w:beforeLines="50" w:after="50" w:line="360" w:lineRule="exact"/>
        <w:rPr>
          <w:rFonts w:ascii="宋体" w:hAnsi="宋体"/>
          <w:b/>
          <w:bCs/>
          <w:color w:val="auto"/>
          <w:sz w:val="28"/>
          <w:szCs w:val="28"/>
        </w:rPr>
      </w:pPr>
    </w:p>
    <w:p w14:paraId="528C8AA6">
      <w:pPr>
        <w:pStyle w:val="18"/>
        <w:rPr>
          <w:color w:val="auto"/>
        </w:rPr>
      </w:pPr>
    </w:p>
    <w:p w14:paraId="689FFB6D">
      <w:pPr>
        <w:rPr>
          <w:color w:val="auto"/>
        </w:rPr>
      </w:pPr>
    </w:p>
    <w:p w14:paraId="6D1B0981">
      <w:pPr>
        <w:spacing w:line="360" w:lineRule="auto"/>
        <w:rPr>
          <w:rFonts w:ascii="宋体" w:hAnsi="宋体"/>
          <w:b/>
          <w:color w:val="auto"/>
          <w:sz w:val="28"/>
          <w:szCs w:val="28"/>
        </w:rPr>
      </w:pPr>
      <w:r>
        <w:rPr>
          <w:color w:val="auto"/>
        </w:rPr>
        <w:br w:type="page"/>
      </w:r>
      <w:r>
        <w:rPr>
          <w:rFonts w:hint="eastAsia" w:ascii="宋体" w:hAnsi="宋体"/>
          <w:b/>
          <w:color w:val="auto"/>
          <w:sz w:val="28"/>
          <w:szCs w:val="28"/>
        </w:rPr>
        <w:t>一、竞争性磋商响应文件外包装封面</w:t>
      </w:r>
      <w:r>
        <w:rPr>
          <w:rFonts w:hint="eastAsia" w:ascii="宋体" w:hAnsi="宋体"/>
          <w:b/>
          <w:bCs/>
          <w:color w:val="auto"/>
          <w:sz w:val="28"/>
          <w:szCs w:val="28"/>
        </w:rPr>
        <w:t>及</w:t>
      </w:r>
      <w:r>
        <w:rPr>
          <w:rFonts w:hint="eastAsia" w:ascii="宋体" w:hAnsi="宋体"/>
          <w:b/>
          <w:color w:val="auto"/>
          <w:sz w:val="28"/>
          <w:szCs w:val="28"/>
        </w:rPr>
        <w:t>竞争性磋商响应文件封面</w:t>
      </w:r>
      <w:r>
        <w:rPr>
          <w:rFonts w:hint="eastAsia" w:ascii="宋体" w:hAnsi="宋体"/>
          <w:b/>
          <w:bCs/>
          <w:color w:val="auto"/>
          <w:sz w:val="28"/>
          <w:szCs w:val="28"/>
        </w:rPr>
        <w:t>格式</w:t>
      </w:r>
    </w:p>
    <w:p w14:paraId="4AC21ED1">
      <w:pPr>
        <w:snapToGrid w:val="0"/>
        <w:spacing w:line="360" w:lineRule="auto"/>
        <w:rPr>
          <w:rFonts w:ascii="宋体" w:hAnsi="宋体"/>
          <w:b/>
          <w:color w:val="auto"/>
          <w:szCs w:val="21"/>
        </w:rPr>
      </w:pPr>
    </w:p>
    <w:p w14:paraId="79125FA3">
      <w:pPr>
        <w:snapToGrid w:val="0"/>
        <w:spacing w:line="360" w:lineRule="auto"/>
        <w:rPr>
          <w:rFonts w:ascii="宋体" w:hAnsi="宋体"/>
          <w:b/>
          <w:color w:val="auto"/>
          <w:szCs w:val="21"/>
        </w:rPr>
      </w:pPr>
      <w:r>
        <w:rPr>
          <w:rFonts w:hint="eastAsia" w:ascii="宋体" w:hAnsi="宋体"/>
          <w:b/>
          <w:color w:val="auto"/>
          <w:szCs w:val="21"/>
        </w:rPr>
        <w:t>一）.</w:t>
      </w:r>
      <w:r>
        <w:rPr>
          <w:rFonts w:hint="eastAsia" w:ascii="宋体" w:hAnsi="宋体"/>
          <w:b/>
          <w:color w:val="auto"/>
        </w:rPr>
        <w:t xml:space="preserve"> 竞争性磋商响应文件</w:t>
      </w:r>
      <w:r>
        <w:rPr>
          <w:rFonts w:hint="eastAsia" w:ascii="宋体" w:hAnsi="宋体"/>
          <w:b/>
          <w:color w:val="auto"/>
          <w:szCs w:val="21"/>
        </w:rPr>
        <w:t xml:space="preserve">的外包装封面格式： </w:t>
      </w:r>
    </w:p>
    <w:p w14:paraId="355DB96D">
      <w:pPr>
        <w:snapToGrid w:val="0"/>
        <w:spacing w:line="360" w:lineRule="auto"/>
        <w:rPr>
          <w:rFonts w:ascii="宋体" w:hAnsi="宋体"/>
          <w:color w:val="auto"/>
          <w:szCs w:val="21"/>
        </w:rPr>
      </w:pPr>
    </w:p>
    <w:p w14:paraId="4842C895">
      <w:pPr>
        <w:snapToGrid w:val="0"/>
        <w:spacing w:line="360" w:lineRule="auto"/>
        <w:ind w:firstLine="2638" w:firstLineChars="1095"/>
        <w:rPr>
          <w:rFonts w:ascii="宋体" w:hAnsi="宋体"/>
          <w:color w:val="auto"/>
          <w:sz w:val="24"/>
        </w:rPr>
      </w:pPr>
      <w:r>
        <w:rPr>
          <w:rFonts w:hint="eastAsia" w:ascii="宋体" w:hAnsi="宋体"/>
          <w:b/>
          <w:color w:val="auto"/>
          <w:sz w:val="24"/>
        </w:rPr>
        <w:t>竞争性磋商响应文件</w:t>
      </w:r>
      <w:r>
        <w:rPr>
          <w:rFonts w:hint="eastAsia" w:ascii="宋体" w:hAnsi="宋体"/>
          <w:b/>
          <w:bCs/>
          <w:color w:val="auto"/>
          <w:sz w:val="24"/>
        </w:rPr>
        <w:t xml:space="preserve">              </w:t>
      </w:r>
    </w:p>
    <w:p w14:paraId="45773090">
      <w:pPr>
        <w:snapToGrid w:val="0"/>
        <w:spacing w:line="360" w:lineRule="auto"/>
        <w:ind w:firstLine="720" w:firstLineChars="300"/>
        <w:rPr>
          <w:rFonts w:ascii="宋体" w:hAnsi="宋体"/>
          <w:bCs/>
          <w:color w:val="auto"/>
          <w:sz w:val="24"/>
        </w:rPr>
      </w:pPr>
      <w:r>
        <w:rPr>
          <w:rFonts w:hint="eastAsia" w:ascii="宋体" w:hAnsi="宋体"/>
          <w:color w:val="auto"/>
          <w:sz w:val="24"/>
        </w:rPr>
        <w:t>项目名称</w:t>
      </w:r>
      <w:r>
        <w:rPr>
          <w:rFonts w:hint="eastAsia" w:ascii="宋体" w:hAnsi="宋体"/>
          <w:bCs/>
          <w:color w:val="auto"/>
          <w:sz w:val="24"/>
        </w:rPr>
        <w:t>：</w:t>
      </w:r>
    </w:p>
    <w:p w14:paraId="3C9C58B9">
      <w:pPr>
        <w:snapToGrid w:val="0"/>
        <w:spacing w:line="360" w:lineRule="auto"/>
        <w:ind w:firstLine="720" w:firstLineChars="300"/>
        <w:rPr>
          <w:rFonts w:ascii="宋体" w:hAnsi="宋体"/>
          <w:bCs/>
          <w:color w:val="auto"/>
          <w:sz w:val="24"/>
        </w:rPr>
      </w:pPr>
      <w:r>
        <w:rPr>
          <w:rFonts w:hint="eastAsia" w:ascii="宋体" w:hAnsi="宋体"/>
          <w:color w:val="auto"/>
          <w:sz w:val="24"/>
        </w:rPr>
        <w:t>项目编号</w:t>
      </w:r>
      <w:r>
        <w:rPr>
          <w:rFonts w:hint="eastAsia" w:ascii="宋体" w:hAnsi="宋体"/>
          <w:bCs/>
          <w:color w:val="auto"/>
          <w:sz w:val="24"/>
        </w:rPr>
        <w:t>：</w:t>
      </w:r>
    </w:p>
    <w:p w14:paraId="0464E811">
      <w:pPr>
        <w:pStyle w:val="7"/>
        <w:snapToGrid w:val="0"/>
        <w:spacing w:line="360" w:lineRule="auto"/>
        <w:ind w:firstLine="720" w:firstLineChars="300"/>
        <w:rPr>
          <w:rFonts w:ascii="宋体" w:hAnsi="宋体"/>
          <w:bCs/>
          <w:color w:val="auto"/>
          <w:sz w:val="24"/>
          <w:szCs w:val="24"/>
        </w:rPr>
      </w:pPr>
      <w:r>
        <w:rPr>
          <w:rFonts w:hint="eastAsia" w:ascii="宋体" w:hAnsi="宋体"/>
          <w:color w:val="auto"/>
          <w:sz w:val="24"/>
          <w:szCs w:val="24"/>
        </w:rPr>
        <w:t>供应商名称</w:t>
      </w:r>
      <w:r>
        <w:rPr>
          <w:rFonts w:hint="eastAsia" w:ascii="宋体" w:hAnsi="宋体"/>
          <w:bCs/>
          <w:color w:val="auto"/>
          <w:sz w:val="24"/>
          <w:szCs w:val="24"/>
        </w:rPr>
        <w:t>：</w:t>
      </w:r>
    </w:p>
    <w:p w14:paraId="6ABDAC02">
      <w:pPr>
        <w:pStyle w:val="7"/>
        <w:snapToGrid w:val="0"/>
        <w:spacing w:line="360" w:lineRule="auto"/>
        <w:ind w:firstLine="720" w:firstLineChars="300"/>
        <w:rPr>
          <w:rFonts w:ascii="宋体" w:hAnsi="宋体"/>
          <w:bCs/>
          <w:color w:val="auto"/>
          <w:sz w:val="24"/>
          <w:szCs w:val="24"/>
        </w:rPr>
      </w:pPr>
      <w:r>
        <w:rPr>
          <w:rFonts w:hint="eastAsia" w:ascii="宋体" w:hAnsi="宋体"/>
          <w:bCs/>
          <w:color w:val="auto"/>
          <w:sz w:val="24"/>
          <w:szCs w:val="24"/>
        </w:rPr>
        <w:t>（截标时才能启封）</w:t>
      </w:r>
    </w:p>
    <w:p w14:paraId="26D392F1">
      <w:pPr>
        <w:pStyle w:val="7"/>
        <w:snapToGrid w:val="0"/>
        <w:spacing w:line="360" w:lineRule="auto"/>
        <w:ind w:firstLine="630" w:firstLineChars="300"/>
        <w:rPr>
          <w:rFonts w:ascii="宋体" w:hAnsi="宋体"/>
          <w:bCs/>
          <w:color w:val="auto"/>
          <w:szCs w:val="21"/>
        </w:rPr>
      </w:pPr>
    </w:p>
    <w:p w14:paraId="522799B0">
      <w:pPr>
        <w:snapToGrid w:val="0"/>
        <w:spacing w:line="360" w:lineRule="auto"/>
        <w:rPr>
          <w:rFonts w:ascii="宋体" w:hAnsi="宋体"/>
          <w:b/>
          <w:color w:val="auto"/>
          <w:sz w:val="24"/>
        </w:rPr>
      </w:pPr>
      <w:r>
        <w:rPr>
          <w:rFonts w:hint="eastAsia" w:ascii="宋体" w:hAnsi="宋体"/>
          <w:b/>
          <w:color w:val="auto"/>
          <w:szCs w:val="21"/>
        </w:rPr>
        <w:t>二）.</w:t>
      </w:r>
      <w:r>
        <w:rPr>
          <w:rFonts w:hint="eastAsia" w:ascii="宋体" w:hAnsi="宋体"/>
          <w:b/>
          <w:color w:val="auto"/>
        </w:rPr>
        <w:t xml:space="preserve"> 竞争性磋商响应文件</w:t>
      </w:r>
      <w:r>
        <w:rPr>
          <w:rFonts w:hint="eastAsia" w:ascii="宋体" w:hAnsi="宋体"/>
          <w:b/>
          <w:color w:val="auto"/>
          <w:szCs w:val="21"/>
        </w:rPr>
        <w:t>封面格式：</w:t>
      </w:r>
      <w:r>
        <w:rPr>
          <w:rFonts w:hint="eastAsia" w:ascii="宋体" w:hAnsi="宋体"/>
          <w:b/>
          <w:color w:val="auto"/>
          <w:sz w:val="24"/>
        </w:rPr>
        <w:t xml:space="preserve"> </w:t>
      </w:r>
    </w:p>
    <w:p w14:paraId="590643C8">
      <w:pPr>
        <w:snapToGrid w:val="0"/>
        <w:spacing w:line="360" w:lineRule="auto"/>
        <w:ind w:left="7200" w:hanging="7200" w:hangingChars="3000"/>
        <w:rPr>
          <w:rFonts w:ascii="宋体" w:hAnsi="宋体"/>
          <w:bCs/>
          <w:color w:val="auto"/>
          <w:sz w:val="24"/>
        </w:rPr>
      </w:pPr>
      <w:r>
        <w:rPr>
          <w:rFonts w:hint="eastAsia" w:ascii="宋体" w:hAnsi="宋体"/>
          <w:color w:val="auto"/>
          <w:sz w:val="24"/>
        </w:rPr>
        <w:t xml:space="preserve">                                                                                             </w:t>
      </w:r>
      <w:r>
        <w:rPr>
          <w:rFonts w:hint="eastAsia" w:ascii="宋体" w:hAnsi="宋体"/>
          <w:b/>
          <w:bCs/>
          <w:color w:val="auto"/>
          <w:szCs w:val="21"/>
        </w:rPr>
        <w:t>（正/副本）</w:t>
      </w:r>
    </w:p>
    <w:p w14:paraId="26AC1707">
      <w:pPr>
        <w:snapToGrid w:val="0"/>
        <w:spacing w:line="360" w:lineRule="auto"/>
        <w:ind w:firstLine="1915" w:firstLineChars="795"/>
        <w:rPr>
          <w:rFonts w:ascii="宋体" w:hAnsi="宋体"/>
          <w:bCs/>
          <w:color w:val="auto"/>
          <w:sz w:val="24"/>
        </w:rPr>
      </w:pPr>
      <w:r>
        <w:rPr>
          <w:rFonts w:hint="eastAsia" w:ascii="宋体" w:hAnsi="宋体"/>
          <w:b/>
          <w:color w:val="auto"/>
          <w:sz w:val="24"/>
        </w:rPr>
        <w:t>竞争性磋商响应文件（封面）</w:t>
      </w:r>
    </w:p>
    <w:p w14:paraId="7E1C55DE">
      <w:pPr>
        <w:spacing w:line="360" w:lineRule="auto"/>
        <w:ind w:firstLine="480" w:firstLineChars="200"/>
        <w:rPr>
          <w:rFonts w:ascii="宋体" w:hAnsi="宋体"/>
          <w:color w:val="auto"/>
          <w:sz w:val="24"/>
        </w:rPr>
      </w:pPr>
    </w:p>
    <w:p w14:paraId="65AABF0D">
      <w:pPr>
        <w:spacing w:line="360" w:lineRule="auto"/>
        <w:ind w:firstLine="480" w:firstLineChars="200"/>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p>
    <w:p w14:paraId="1FB3805C">
      <w:pPr>
        <w:snapToGrid w:val="0"/>
        <w:spacing w:line="360" w:lineRule="auto"/>
        <w:ind w:firstLine="480" w:firstLineChars="200"/>
        <w:rPr>
          <w:rFonts w:ascii="宋体" w:hAnsi="宋体"/>
          <w:color w:val="auto"/>
          <w:sz w:val="24"/>
          <w:u w:val="single"/>
        </w:rPr>
      </w:pPr>
      <w:r>
        <w:rPr>
          <w:rFonts w:hint="eastAsia" w:ascii="宋体" w:hAnsi="宋体"/>
          <w:color w:val="auto"/>
          <w:sz w:val="24"/>
        </w:rPr>
        <w:t>项目编号</w:t>
      </w:r>
      <w:r>
        <w:rPr>
          <w:rFonts w:hint="eastAsia" w:ascii="宋体" w:hAnsi="宋体"/>
          <w:bCs/>
          <w:color w:val="auto"/>
          <w:sz w:val="24"/>
        </w:rPr>
        <w:t>：</w:t>
      </w:r>
      <w:r>
        <w:rPr>
          <w:rFonts w:hint="eastAsia" w:ascii="宋体" w:hAnsi="宋体"/>
          <w:color w:val="auto"/>
          <w:sz w:val="24"/>
          <w:u w:val="single"/>
        </w:rPr>
        <w:t xml:space="preserve">                       </w:t>
      </w:r>
    </w:p>
    <w:p w14:paraId="68F7E99E">
      <w:pPr>
        <w:snapToGrid w:val="0"/>
        <w:spacing w:line="360" w:lineRule="auto"/>
        <w:ind w:firstLine="480" w:firstLineChars="200"/>
        <w:rPr>
          <w:rFonts w:ascii="宋体" w:hAnsi="宋体"/>
          <w:bCs/>
          <w:color w:val="auto"/>
          <w:sz w:val="24"/>
        </w:rPr>
      </w:pPr>
      <w:r>
        <w:rPr>
          <w:rFonts w:hint="eastAsia" w:ascii="宋体" w:hAnsi="宋体"/>
          <w:color w:val="auto"/>
          <w:sz w:val="24"/>
        </w:rPr>
        <w:t>供应商名称</w:t>
      </w:r>
      <w:r>
        <w:rPr>
          <w:rFonts w:hint="eastAsia" w:ascii="宋体" w:hAnsi="宋体"/>
          <w:bCs/>
          <w:color w:val="auto"/>
          <w:sz w:val="24"/>
        </w:rPr>
        <w:t>：</w:t>
      </w:r>
      <w:r>
        <w:rPr>
          <w:rFonts w:hint="eastAsia" w:ascii="宋体" w:hAnsi="宋体"/>
          <w:color w:val="auto"/>
          <w:sz w:val="24"/>
          <w:u w:val="single"/>
        </w:rPr>
        <w:t xml:space="preserve">                      </w:t>
      </w:r>
    </w:p>
    <w:p w14:paraId="27A8A1EA">
      <w:pPr>
        <w:spacing w:line="360" w:lineRule="auto"/>
        <w:jc w:val="center"/>
        <w:rPr>
          <w:rFonts w:ascii="宋体" w:hAnsi="宋体"/>
          <w:color w:val="auto"/>
          <w:sz w:val="24"/>
        </w:rPr>
      </w:pPr>
      <w:r>
        <w:rPr>
          <w:rFonts w:hint="eastAsia" w:ascii="宋体" w:hAnsi="宋体"/>
          <w:color w:val="auto"/>
          <w:sz w:val="24"/>
        </w:rPr>
        <w:t xml:space="preserve">                      </w:t>
      </w:r>
    </w:p>
    <w:p w14:paraId="12D8B7A6">
      <w:pPr>
        <w:snapToGrid w:val="0"/>
        <w:spacing w:line="360" w:lineRule="auto"/>
        <w:jc w:val="center"/>
        <w:rPr>
          <w:rFonts w:ascii="宋体" w:hAnsi="宋体"/>
          <w:color w:val="auto"/>
          <w:sz w:val="24"/>
        </w:rPr>
      </w:pPr>
      <w:r>
        <w:rPr>
          <w:rFonts w:hint="eastAsia" w:ascii="宋体" w:hAnsi="宋体"/>
          <w:color w:val="auto"/>
          <w:sz w:val="24"/>
        </w:rPr>
        <w:t xml:space="preserve">                                       年</w:t>
      </w:r>
      <w:r>
        <w:rPr>
          <w:rFonts w:hint="eastAsia" w:ascii="宋体" w:hAnsi="宋体" w:cs="宋体"/>
          <w:color w:val="auto"/>
          <w:sz w:val="24"/>
        </w:rPr>
        <w:t xml:space="preserve">    </w:t>
      </w:r>
      <w:r>
        <w:rPr>
          <w:rFonts w:hint="eastAsia" w:ascii="宋体" w:hAnsi="宋体"/>
          <w:color w:val="auto"/>
          <w:sz w:val="24"/>
        </w:rPr>
        <w:t>月    日</w:t>
      </w:r>
    </w:p>
    <w:p w14:paraId="56731424">
      <w:pPr>
        <w:spacing w:line="360" w:lineRule="auto"/>
        <w:ind w:firstLine="3229" w:firstLineChars="1340"/>
        <w:rPr>
          <w:rFonts w:ascii="宋体" w:hAnsi="宋体"/>
          <w:b/>
          <w:color w:val="auto"/>
          <w:sz w:val="24"/>
        </w:rPr>
      </w:pPr>
    </w:p>
    <w:p w14:paraId="4DF41117">
      <w:pPr>
        <w:spacing w:line="360" w:lineRule="auto"/>
        <w:rPr>
          <w:rFonts w:ascii="宋体" w:hAnsi="宋体"/>
          <w:b/>
          <w:color w:val="auto"/>
          <w:sz w:val="24"/>
        </w:rPr>
      </w:pPr>
    </w:p>
    <w:p w14:paraId="04C532DD">
      <w:pPr>
        <w:spacing w:line="360" w:lineRule="auto"/>
        <w:rPr>
          <w:rFonts w:ascii="宋体" w:hAnsi="宋体"/>
          <w:b/>
          <w:color w:val="auto"/>
          <w:sz w:val="24"/>
        </w:rPr>
      </w:pPr>
    </w:p>
    <w:p w14:paraId="0E397633">
      <w:pPr>
        <w:spacing w:line="360" w:lineRule="auto"/>
        <w:rPr>
          <w:rFonts w:ascii="宋体" w:hAnsi="宋体"/>
          <w:b/>
          <w:color w:val="auto"/>
          <w:sz w:val="24"/>
        </w:rPr>
      </w:pPr>
    </w:p>
    <w:p w14:paraId="7E879A55">
      <w:pPr>
        <w:spacing w:line="360" w:lineRule="auto"/>
        <w:rPr>
          <w:rFonts w:ascii="宋体" w:hAnsi="宋体"/>
          <w:b/>
          <w:color w:val="auto"/>
          <w:sz w:val="28"/>
          <w:szCs w:val="28"/>
        </w:rPr>
      </w:pPr>
    </w:p>
    <w:p w14:paraId="55EF1E30">
      <w:pPr>
        <w:spacing w:line="360" w:lineRule="auto"/>
        <w:rPr>
          <w:rFonts w:ascii="宋体" w:hAnsi="宋体"/>
          <w:b/>
          <w:color w:val="auto"/>
          <w:sz w:val="28"/>
          <w:szCs w:val="28"/>
        </w:rPr>
      </w:pPr>
    </w:p>
    <w:p w14:paraId="3DD85943">
      <w:pPr>
        <w:spacing w:line="360" w:lineRule="auto"/>
        <w:rPr>
          <w:rFonts w:ascii="宋体" w:hAnsi="宋体"/>
          <w:b/>
          <w:color w:val="auto"/>
          <w:sz w:val="28"/>
          <w:szCs w:val="28"/>
        </w:rPr>
      </w:pPr>
    </w:p>
    <w:p w14:paraId="4A9640A3">
      <w:pPr>
        <w:spacing w:line="360" w:lineRule="auto"/>
        <w:rPr>
          <w:rFonts w:ascii="宋体" w:hAnsi="宋体"/>
          <w:b/>
          <w:color w:val="auto"/>
          <w:sz w:val="28"/>
          <w:szCs w:val="28"/>
        </w:rPr>
      </w:pPr>
    </w:p>
    <w:p w14:paraId="48DA962D">
      <w:pPr>
        <w:spacing w:line="360" w:lineRule="auto"/>
        <w:rPr>
          <w:rFonts w:ascii="宋体" w:hAnsi="宋体"/>
          <w:b/>
          <w:color w:val="auto"/>
          <w:sz w:val="28"/>
          <w:szCs w:val="28"/>
        </w:rPr>
      </w:pPr>
    </w:p>
    <w:p w14:paraId="5220BBC5">
      <w:pPr>
        <w:spacing w:line="360" w:lineRule="auto"/>
        <w:rPr>
          <w:rFonts w:ascii="宋体" w:hAnsi="宋体"/>
          <w:b/>
          <w:color w:val="auto"/>
          <w:sz w:val="28"/>
          <w:szCs w:val="28"/>
        </w:rPr>
      </w:pPr>
      <w:r>
        <w:rPr>
          <w:rFonts w:hint="eastAsia" w:ascii="宋体" w:hAnsi="宋体"/>
          <w:b/>
          <w:color w:val="auto"/>
          <w:sz w:val="28"/>
          <w:szCs w:val="28"/>
        </w:rPr>
        <w:t>二、附  件</w:t>
      </w:r>
    </w:p>
    <w:p w14:paraId="5ED4BC84">
      <w:pPr>
        <w:spacing w:line="360" w:lineRule="auto"/>
        <w:rPr>
          <w:rFonts w:ascii="宋体" w:hAnsi="宋体"/>
          <w:color w:val="auto"/>
          <w:szCs w:val="21"/>
        </w:rPr>
      </w:pPr>
    </w:p>
    <w:p w14:paraId="3F851C05">
      <w:pPr>
        <w:spacing w:line="360" w:lineRule="auto"/>
        <w:ind w:left="420" w:hanging="420"/>
        <w:rPr>
          <w:rFonts w:ascii="宋体" w:hAnsi="宋体"/>
          <w:b/>
          <w:color w:val="auto"/>
          <w:sz w:val="24"/>
        </w:rPr>
      </w:pPr>
      <w:r>
        <w:rPr>
          <w:rFonts w:hint="eastAsia" w:ascii="宋体" w:hAnsi="宋体"/>
          <w:b/>
          <w:color w:val="auto"/>
          <w:sz w:val="24"/>
        </w:rPr>
        <w:t>附件1</w:t>
      </w:r>
    </w:p>
    <w:p w14:paraId="62FE88A0">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北海市政府采购供应商信用承诺函（格式）</w:t>
      </w:r>
    </w:p>
    <w:p w14:paraId="4088E458">
      <w:pPr>
        <w:widowControl/>
        <w:spacing w:line="360" w:lineRule="auto"/>
        <w:ind w:firstLine="480" w:firstLineChars="200"/>
        <w:jc w:val="left"/>
        <w:rPr>
          <w:rFonts w:ascii="宋体" w:hAnsi="宋体" w:cs="宋体"/>
          <w:color w:val="auto"/>
          <w:kern w:val="0"/>
          <w:sz w:val="24"/>
        </w:rPr>
      </w:pPr>
    </w:p>
    <w:p w14:paraId="2CB85E89">
      <w:pPr>
        <w:widowControl/>
        <w:spacing w:line="360" w:lineRule="auto"/>
        <w:jc w:val="left"/>
        <w:rPr>
          <w:rFonts w:ascii="宋体" w:hAnsi="宋体" w:cs="宋体"/>
          <w:color w:val="auto"/>
          <w:kern w:val="0"/>
          <w:sz w:val="24"/>
        </w:rPr>
      </w:pPr>
      <w:r>
        <w:rPr>
          <w:rFonts w:hint="eastAsia" w:ascii="宋体" w:hAnsi="宋体" w:cs="宋体"/>
          <w:color w:val="auto"/>
          <w:kern w:val="0"/>
          <w:sz w:val="24"/>
        </w:rPr>
        <w:t>（采购人）、（采购代理机构）：</w:t>
      </w:r>
    </w:p>
    <w:p w14:paraId="27B4032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供应商名称：</w:t>
      </w:r>
    </w:p>
    <w:p w14:paraId="77578DD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统一社会信用代码：</w:t>
      </w:r>
    </w:p>
    <w:p w14:paraId="7C2C0BD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供应商地址：</w:t>
      </w:r>
    </w:p>
    <w:p w14:paraId="4C41228D">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7621B6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1.我单位具有符合采购文件资格要求独立承担民事责任的能力。</w:t>
      </w:r>
    </w:p>
    <w:p w14:paraId="697409B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2.我单位具有符合采购文件资格要求的财务状况报告。</w:t>
      </w:r>
    </w:p>
    <w:p w14:paraId="2813D8F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3.我单位具有符合采购文件资格要求的依法缴纳税收和社会保障记录的良好记录。</w:t>
      </w:r>
    </w:p>
    <w:p w14:paraId="7DB4088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4.我单位具有符合采购文件资格要求履行合同所必需的设备和专业技术能力。</w:t>
      </w:r>
    </w:p>
    <w:p w14:paraId="691510CB">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5.参加政府采购活动前三年内，在经营活动中没有重大违法记录。</w:t>
      </w:r>
    </w:p>
    <w:p w14:paraId="49A510A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若我单位承诺不实，自愿承担提供虚假材料谋取成交的法律责任。</w:t>
      </w:r>
    </w:p>
    <w:p w14:paraId="238C4A35">
      <w:pPr>
        <w:widowControl/>
        <w:spacing w:line="360" w:lineRule="auto"/>
        <w:ind w:firstLine="480" w:firstLineChars="200"/>
        <w:jc w:val="left"/>
        <w:rPr>
          <w:rFonts w:ascii="宋体" w:hAnsi="宋体" w:cs="宋体"/>
          <w:color w:val="auto"/>
          <w:kern w:val="0"/>
          <w:sz w:val="24"/>
        </w:rPr>
      </w:pPr>
    </w:p>
    <w:p w14:paraId="567C8593">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0CDA64F6">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605563F2">
      <w:pPr>
        <w:adjustRightInd w:val="0"/>
        <w:snapToGrid w:val="0"/>
        <w:spacing w:line="360" w:lineRule="auto"/>
        <w:ind w:firstLine="360" w:firstLineChars="150"/>
        <w:jc w:val="left"/>
        <w:rPr>
          <w:rFonts w:ascii="宋体" w:hAnsi="宋体"/>
          <w:color w:val="auto"/>
          <w:szCs w:val="21"/>
          <w:u w:val="single"/>
        </w:rPr>
      </w:pPr>
      <w:r>
        <w:rPr>
          <w:rFonts w:hint="eastAsia" w:ascii="宋体" w:hAnsi="宋体"/>
          <w:color w:val="auto"/>
          <w:sz w:val="24"/>
        </w:rPr>
        <w:t xml:space="preserve">     日期：  年   月   日</w:t>
      </w:r>
      <w:r>
        <w:rPr>
          <w:rFonts w:hint="eastAsia" w:ascii="宋体" w:hAnsi="宋体"/>
          <w:color w:val="auto"/>
          <w:sz w:val="24"/>
          <w:u w:val="single"/>
        </w:rPr>
        <w:t xml:space="preserve">                           </w:t>
      </w:r>
      <w:r>
        <w:rPr>
          <w:rFonts w:hint="eastAsia" w:ascii="宋体" w:hAnsi="宋体"/>
          <w:color w:val="auto"/>
          <w:szCs w:val="21"/>
          <w:u w:val="single"/>
        </w:rPr>
        <w:t xml:space="preserve">    </w:t>
      </w:r>
    </w:p>
    <w:p w14:paraId="61FE7DD7">
      <w:pPr>
        <w:adjustRightInd w:val="0"/>
        <w:snapToGrid w:val="0"/>
        <w:spacing w:line="360" w:lineRule="auto"/>
        <w:ind w:firstLine="315" w:firstLineChars="150"/>
        <w:jc w:val="left"/>
        <w:rPr>
          <w:rFonts w:ascii="宋体" w:hAnsi="宋体"/>
          <w:color w:val="auto"/>
          <w:szCs w:val="21"/>
          <w:u w:val="single"/>
        </w:rPr>
      </w:pPr>
    </w:p>
    <w:p w14:paraId="57BE1172">
      <w:pPr>
        <w:adjustRightInd w:val="0"/>
        <w:snapToGrid w:val="0"/>
        <w:spacing w:line="360" w:lineRule="auto"/>
        <w:ind w:firstLine="360" w:firstLineChars="150"/>
        <w:jc w:val="left"/>
        <w:rPr>
          <w:rFonts w:ascii="宋体" w:hAnsi="宋体"/>
          <w:color w:val="auto"/>
          <w:szCs w:val="21"/>
        </w:rPr>
      </w:pPr>
      <w:r>
        <w:rPr>
          <w:rFonts w:hint="eastAsia" w:ascii="宋体" w:hAnsi="宋体" w:cs="宋体"/>
          <w:color w:val="auto"/>
          <w:kern w:val="0"/>
          <w:sz w:val="24"/>
        </w:rPr>
        <w:t>注：供应商须在响应文件中按此模板提供承诺函，未提供视为未实质性响应采购文件要求，按无效响应处理。</w:t>
      </w:r>
    </w:p>
    <w:p w14:paraId="2C094635">
      <w:pPr>
        <w:spacing w:line="360" w:lineRule="auto"/>
        <w:ind w:left="420" w:hanging="420"/>
        <w:rPr>
          <w:rFonts w:ascii="宋体" w:hAnsi="宋体"/>
          <w:b/>
          <w:color w:val="auto"/>
        </w:rPr>
        <w:sectPr>
          <w:footerReference r:id="rId7" w:type="default"/>
          <w:pgSz w:w="11907" w:h="16839"/>
          <w:pgMar w:top="1431" w:right="1272" w:bottom="1364" w:left="1418" w:header="850" w:footer="1204" w:gutter="0"/>
          <w:cols w:space="720" w:num="1"/>
          <w:docGrid w:linePitch="286" w:charSpace="0"/>
        </w:sectPr>
      </w:pPr>
    </w:p>
    <w:p w14:paraId="300E7215">
      <w:pPr>
        <w:spacing w:line="360" w:lineRule="auto"/>
        <w:ind w:left="420" w:hanging="420"/>
        <w:rPr>
          <w:rFonts w:ascii="宋体" w:hAnsi="宋体"/>
          <w:b/>
          <w:color w:val="auto"/>
          <w:sz w:val="24"/>
        </w:rPr>
      </w:pPr>
      <w:r>
        <w:rPr>
          <w:rFonts w:hint="eastAsia" w:ascii="宋体" w:hAnsi="宋体"/>
          <w:b/>
          <w:color w:val="auto"/>
          <w:sz w:val="24"/>
        </w:rPr>
        <w:t>附件2</w:t>
      </w:r>
    </w:p>
    <w:p w14:paraId="5FECE2F3">
      <w:pPr>
        <w:pStyle w:val="26"/>
        <w:spacing w:line="360" w:lineRule="auto"/>
        <w:jc w:val="center"/>
        <w:rPr>
          <w:rFonts w:ascii="宋体" w:hAnsi="宋体" w:cs="宋体"/>
          <w:b/>
          <w:bCs/>
          <w:color w:val="auto"/>
          <w:sz w:val="28"/>
          <w:szCs w:val="28"/>
        </w:rPr>
      </w:pPr>
      <w:r>
        <w:rPr>
          <w:rFonts w:hint="eastAsia" w:ascii="宋体" w:hAnsi="宋体" w:cs="宋体"/>
          <w:b/>
          <w:bCs/>
          <w:color w:val="auto"/>
          <w:sz w:val="28"/>
          <w:szCs w:val="28"/>
        </w:rPr>
        <w:t>竞标函及竞标函附录</w:t>
      </w:r>
    </w:p>
    <w:p w14:paraId="4413CAE1">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p>
    <w:p w14:paraId="3792F80C">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r>
        <w:rPr>
          <w:rFonts w:hint="eastAsia" w:ascii="宋体" w:hAnsi="宋体" w:cs="宋体"/>
          <w:b/>
          <w:bCs/>
          <w:color w:val="auto"/>
          <w:sz w:val="28"/>
          <w:szCs w:val="28"/>
        </w:rPr>
        <w:t>（一）竞标函</w:t>
      </w:r>
    </w:p>
    <w:p w14:paraId="20BF36C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7946CA7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46968C9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（采购人）、（采购代理机构）：</w:t>
      </w:r>
    </w:p>
    <w:p w14:paraId="471AC12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1.我方已仔细研究了</w:t>
      </w:r>
      <w:r>
        <w:rPr>
          <w:rFonts w:hint="eastAsia" w:ascii="宋体" w:hAnsi="宋体" w:cs="宋体"/>
          <w:color w:val="auto"/>
          <w:sz w:val="24"/>
          <w:u w:val="single"/>
        </w:rPr>
        <w:t xml:space="preserve">          （项目名称、项目编号：）          </w:t>
      </w:r>
      <w:r>
        <w:rPr>
          <w:rFonts w:hint="eastAsia" w:ascii="宋体" w:hAnsi="宋体" w:cs="宋体"/>
          <w:color w:val="auto"/>
          <w:sz w:val="24"/>
        </w:rPr>
        <w:t>磋商文件的全部内容，愿意以人民币（大写）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的竞标总报价，工期</w:t>
      </w:r>
      <w:r>
        <w:rPr>
          <w:rFonts w:hint="eastAsia" w:ascii="宋体" w:hAnsi="宋体" w:cs="宋体"/>
          <w:color w:val="auto"/>
          <w:sz w:val="24"/>
          <w:u w:val="single"/>
        </w:rPr>
        <w:t xml:space="preserve">             </w:t>
      </w:r>
      <w:r>
        <w:rPr>
          <w:rFonts w:hint="eastAsia" w:ascii="宋体" w:hAnsi="宋体" w:cs="宋体"/>
          <w:color w:val="auto"/>
          <w:sz w:val="24"/>
        </w:rPr>
        <w:t>，按合同约定实施和完成承包工程，修补工程中的任何缺陷，工程质量达到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35F2C2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2.我方承认竞标函附录是我方竞标函的组成部分。</w:t>
      </w:r>
    </w:p>
    <w:p w14:paraId="246BF1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3.如我方成交：</w:t>
      </w:r>
    </w:p>
    <w:p w14:paraId="69FD04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（1）我方承诺在收到成交通知书后，在成交通知书规定的期限内与你方签订合同。</w:t>
      </w:r>
    </w:p>
    <w:p w14:paraId="07EE79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（2）在签订合同时不向你方提出附加条件。</w:t>
      </w:r>
    </w:p>
    <w:p w14:paraId="6BA6177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（3）我方承诺按照磋商文件规定向你方递交履约担保。</w:t>
      </w:r>
    </w:p>
    <w:p w14:paraId="1481FF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（4）我方承诺在合同约定的期限内完成并移交全部合同工程。</w:t>
      </w:r>
    </w:p>
    <w:p w14:paraId="66FDCAC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4.在合同协议书正式签署生效之前，本竞标函连同你方的成交通知书将构成我们双方之间共同遵守的文件，对双方具有约束力。</w:t>
      </w:r>
    </w:p>
    <w:p w14:paraId="760A2D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5. </w:t>
      </w:r>
      <w:r>
        <w:rPr>
          <w:rFonts w:hint="eastAsia" w:ascii="宋体" w:hAnsi="宋体" w:cs="宋体"/>
          <w:color w:val="auto"/>
          <w:sz w:val="24"/>
          <w:u w:val="single"/>
        </w:rPr>
        <w:t xml:space="preserve">                                 </w:t>
      </w:r>
      <w:r>
        <w:rPr>
          <w:rFonts w:hint="eastAsia" w:ascii="宋体" w:hAnsi="宋体" w:cs="宋体"/>
          <w:color w:val="auto"/>
          <w:sz w:val="24"/>
        </w:rPr>
        <w:t xml:space="preserve">（其他补充说明）。                                                                                           </w:t>
      </w:r>
    </w:p>
    <w:p w14:paraId="41076DA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3871CD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364736D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5185B8CD">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11774F9B">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022C2597">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069AFB61">
      <w:pPr>
        <w:spacing w:line="360" w:lineRule="auto"/>
        <w:ind w:left="3222"/>
        <w:rPr>
          <w:rFonts w:ascii="宋体" w:hAnsi="宋体"/>
          <w:color w:val="auto"/>
          <w:sz w:val="24"/>
        </w:rPr>
      </w:pPr>
    </w:p>
    <w:p w14:paraId="5CBED44A">
      <w:pPr>
        <w:spacing w:line="360" w:lineRule="auto"/>
        <w:ind w:left="3222"/>
        <w:rPr>
          <w:rFonts w:ascii="宋体" w:hAnsi="宋体"/>
          <w:color w:val="auto"/>
          <w:sz w:val="24"/>
        </w:rPr>
      </w:pPr>
    </w:p>
    <w:p w14:paraId="416C9608">
      <w:pPr>
        <w:spacing w:line="360" w:lineRule="auto"/>
        <w:ind w:left="3222"/>
        <w:rPr>
          <w:rFonts w:ascii="宋体" w:hAnsi="宋体"/>
          <w:color w:val="auto"/>
          <w:sz w:val="24"/>
        </w:rPr>
      </w:pPr>
    </w:p>
    <w:p w14:paraId="2D96796D">
      <w:pPr>
        <w:spacing w:line="360" w:lineRule="auto"/>
        <w:ind w:left="3222"/>
        <w:rPr>
          <w:rFonts w:ascii="宋体" w:hAnsi="宋体" w:cs="宋体"/>
          <w:b/>
          <w:bCs/>
          <w:color w:val="auto"/>
          <w:sz w:val="31"/>
          <w:szCs w:val="31"/>
        </w:rPr>
      </w:pPr>
      <w:r>
        <w:rPr>
          <w:rFonts w:hint="eastAsia" w:ascii="宋体" w:hAnsi="宋体" w:cs="宋体"/>
          <w:b/>
          <w:bCs/>
          <w:color w:val="auto"/>
          <w:spacing w:val="-12"/>
          <w:sz w:val="31"/>
          <w:szCs w:val="31"/>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68C7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514C00B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序号</w:t>
            </w:r>
          </w:p>
        </w:tc>
        <w:tc>
          <w:tcPr>
            <w:tcW w:w="2386" w:type="dxa"/>
            <w:shd w:val="clear" w:color="auto" w:fill="auto"/>
            <w:vAlign w:val="center"/>
          </w:tcPr>
          <w:p w14:paraId="43958F63">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条款内容</w:t>
            </w:r>
          </w:p>
        </w:tc>
        <w:tc>
          <w:tcPr>
            <w:tcW w:w="1395" w:type="dxa"/>
            <w:shd w:val="clear" w:color="auto" w:fill="auto"/>
            <w:vAlign w:val="center"/>
          </w:tcPr>
          <w:p w14:paraId="336789A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合同条款号</w:t>
            </w:r>
          </w:p>
        </w:tc>
        <w:tc>
          <w:tcPr>
            <w:tcW w:w="2966" w:type="dxa"/>
            <w:shd w:val="clear" w:color="auto" w:fill="auto"/>
            <w:vAlign w:val="center"/>
          </w:tcPr>
          <w:p w14:paraId="4FFA0187">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约定内容</w:t>
            </w:r>
          </w:p>
        </w:tc>
        <w:tc>
          <w:tcPr>
            <w:tcW w:w="1516" w:type="dxa"/>
            <w:shd w:val="clear" w:color="auto" w:fill="auto"/>
            <w:vAlign w:val="center"/>
          </w:tcPr>
          <w:p w14:paraId="461029E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供应商承诺</w:t>
            </w:r>
          </w:p>
        </w:tc>
      </w:tr>
      <w:tr w14:paraId="7BAEE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2CCBD71">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w:t>
            </w:r>
          </w:p>
        </w:tc>
        <w:tc>
          <w:tcPr>
            <w:tcW w:w="2386" w:type="dxa"/>
            <w:shd w:val="clear" w:color="auto" w:fill="auto"/>
            <w:vAlign w:val="center"/>
          </w:tcPr>
          <w:p w14:paraId="03B551D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项目经理</w:t>
            </w:r>
          </w:p>
        </w:tc>
        <w:tc>
          <w:tcPr>
            <w:tcW w:w="1395" w:type="dxa"/>
            <w:shd w:val="clear" w:color="auto" w:fill="auto"/>
            <w:vAlign w:val="center"/>
          </w:tcPr>
          <w:p w14:paraId="43D8E33B">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5D814DD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姓名：</w:t>
            </w:r>
          </w:p>
        </w:tc>
        <w:tc>
          <w:tcPr>
            <w:tcW w:w="1516" w:type="dxa"/>
            <w:shd w:val="clear" w:color="auto" w:fill="auto"/>
            <w:vAlign w:val="center"/>
          </w:tcPr>
          <w:p w14:paraId="29B588C9">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C461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6CE1924">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2</w:t>
            </w:r>
          </w:p>
        </w:tc>
        <w:tc>
          <w:tcPr>
            <w:tcW w:w="2386" w:type="dxa"/>
            <w:shd w:val="clear" w:color="auto" w:fill="auto"/>
            <w:vAlign w:val="center"/>
          </w:tcPr>
          <w:p w14:paraId="6FAA99FE">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竞标有效期</w:t>
            </w:r>
          </w:p>
        </w:tc>
        <w:tc>
          <w:tcPr>
            <w:tcW w:w="1395" w:type="dxa"/>
            <w:shd w:val="clear" w:color="auto" w:fill="auto"/>
            <w:vAlign w:val="center"/>
          </w:tcPr>
          <w:p w14:paraId="5FAA9684">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27CFE831">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日历天</w:t>
            </w:r>
          </w:p>
        </w:tc>
        <w:tc>
          <w:tcPr>
            <w:tcW w:w="1516" w:type="dxa"/>
            <w:shd w:val="clear" w:color="auto" w:fill="auto"/>
            <w:vAlign w:val="center"/>
          </w:tcPr>
          <w:p w14:paraId="67DBED20">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3B5F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BCC5E51">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3</w:t>
            </w:r>
          </w:p>
        </w:tc>
        <w:tc>
          <w:tcPr>
            <w:tcW w:w="2386" w:type="dxa"/>
            <w:shd w:val="clear" w:color="auto" w:fill="auto"/>
            <w:vAlign w:val="center"/>
          </w:tcPr>
          <w:p w14:paraId="0FCEC187">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工期</w:t>
            </w:r>
          </w:p>
        </w:tc>
        <w:tc>
          <w:tcPr>
            <w:tcW w:w="1395" w:type="dxa"/>
            <w:shd w:val="clear" w:color="auto" w:fill="auto"/>
            <w:vAlign w:val="center"/>
          </w:tcPr>
          <w:p w14:paraId="772F0CB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6B3E4AA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3365F39B">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A031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68423116">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4</w:t>
            </w:r>
          </w:p>
        </w:tc>
        <w:tc>
          <w:tcPr>
            <w:tcW w:w="2386" w:type="dxa"/>
            <w:shd w:val="clear" w:color="auto" w:fill="auto"/>
            <w:vAlign w:val="center"/>
          </w:tcPr>
          <w:p w14:paraId="2783759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缺陷责任期</w:t>
            </w:r>
          </w:p>
        </w:tc>
        <w:tc>
          <w:tcPr>
            <w:tcW w:w="1395" w:type="dxa"/>
            <w:shd w:val="clear" w:color="auto" w:fill="auto"/>
            <w:vAlign w:val="center"/>
          </w:tcPr>
          <w:p w14:paraId="6DFCA93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264F7C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29C58F2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02F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A00402E">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5</w:t>
            </w:r>
          </w:p>
        </w:tc>
        <w:tc>
          <w:tcPr>
            <w:tcW w:w="2386" w:type="dxa"/>
            <w:shd w:val="clear" w:color="auto" w:fill="auto"/>
            <w:vAlign w:val="center"/>
          </w:tcPr>
          <w:p w14:paraId="35E8322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发包人支付担保</w:t>
            </w:r>
          </w:p>
        </w:tc>
        <w:tc>
          <w:tcPr>
            <w:tcW w:w="1395" w:type="dxa"/>
            <w:shd w:val="clear" w:color="auto" w:fill="auto"/>
            <w:vAlign w:val="center"/>
          </w:tcPr>
          <w:p w14:paraId="21266D65">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1D084D0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09EDF1DA">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F09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54BE4C49">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6</w:t>
            </w:r>
          </w:p>
        </w:tc>
        <w:tc>
          <w:tcPr>
            <w:tcW w:w="2386" w:type="dxa"/>
            <w:shd w:val="clear" w:color="auto" w:fill="auto"/>
            <w:vAlign w:val="center"/>
          </w:tcPr>
          <w:p w14:paraId="45B5901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承包人履约担保金额</w:t>
            </w:r>
          </w:p>
        </w:tc>
        <w:tc>
          <w:tcPr>
            <w:tcW w:w="1395" w:type="dxa"/>
            <w:shd w:val="clear" w:color="auto" w:fill="auto"/>
            <w:vAlign w:val="center"/>
          </w:tcPr>
          <w:p w14:paraId="4D599D7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F48BAA2">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28E61E8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8566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786129B">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7</w:t>
            </w:r>
          </w:p>
        </w:tc>
        <w:tc>
          <w:tcPr>
            <w:tcW w:w="2386" w:type="dxa"/>
            <w:shd w:val="clear" w:color="auto" w:fill="auto"/>
            <w:vAlign w:val="center"/>
          </w:tcPr>
          <w:p w14:paraId="2C5800D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分包</w:t>
            </w:r>
          </w:p>
        </w:tc>
        <w:tc>
          <w:tcPr>
            <w:tcW w:w="1395" w:type="dxa"/>
            <w:shd w:val="clear" w:color="auto" w:fill="auto"/>
            <w:vAlign w:val="center"/>
          </w:tcPr>
          <w:p w14:paraId="2B52ECBB">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5CC81C5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不允许</w:t>
            </w:r>
          </w:p>
        </w:tc>
        <w:tc>
          <w:tcPr>
            <w:tcW w:w="1516" w:type="dxa"/>
            <w:shd w:val="clear" w:color="auto" w:fill="auto"/>
            <w:vAlign w:val="center"/>
          </w:tcPr>
          <w:p w14:paraId="188E27B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938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D86870E">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8</w:t>
            </w:r>
          </w:p>
        </w:tc>
        <w:tc>
          <w:tcPr>
            <w:tcW w:w="2386" w:type="dxa"/>
            <w:shd w:val="clear" w:color="auto" w:fill="auto"/>
            <w:vAlign w:val="center"/>
          </w:tcPr>
          <w:p w14:paraId="5FA25D3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逾期竣工违约金</w:t>
            </w:r>
          </w:p>
        </w:tc>
        <w:tc>
          <w:tcPr>
            <w:tcW w:w="1395" w:type="dxa"/>
            <w:shd w:val="clear" w:color="auto" w:fill="auto"/>
            <w:vAlign w:val="center"/>
          </w:tcPr>
          <w:p w14:paraId="79B2525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6CE7B40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7ABF742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F67C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6D620DFC">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9</w:t>
            </w:r>
          </w:p>
        </w:tc>
        <w:tc>
          <w:tcPr>
            <w:tcW w:w="2386" w:type="dxa"/>
            <w:shd w:val="clear" w:color="auto" w:fill="auto"/>
            <w:vAlign w:val="center"/>
          </w:tcPr>
          <w:p w14:paraId="73FBCED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逾期竣工违约金的上限</w:t>
            </w:r>
          </w:p>
        </w:tc>
        <w:tc>
          <w:tcPr>
            <w:tcW w:w="1395" w:type="dxa"/>
            <w:shd w:val="clear" w:color="auto" w:fill="auto"/>
            <w:vAlign w:val="center"/>
          </w:tcPr>
          <w:p w14:paraId="545FDBB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0A63FB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22D43240">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AEE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EA4D6F4">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10</w:t>
            </w:r>
          </w:p>
        </w:tc>
        <w:tc>
          <w:tcPr>
            <w:tcW w:w="2386" w:type="dxa"/>
            <w:shd w:val="clear" w:color="auto" w:fill="auto"/>
            <w:vAlign w:val="center"/>
          </w:tcPr>
          <w:p w14:paraId="410D0AF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质量标准</w:t>
            </w:r>
          </w:p>
        </w:tc>
        <w:tc>
          <w:tcPr>
            <w:tcW w:w="1395" w:type="dxa"/>
            <w:shd w:val="clear" w:color="auto" w:fill="auto"/>
            <w:vAlign w:val="center"/>
          </w:tcPr>
          <w:p w14:paraId="58C3FF6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DF37A58">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0B5A2AF0">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2993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D6079F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11</w:t>
            </w:r>
          </w:p>
        </w:tc>
        <w:tc>
          <w:tcPr>
            <w:tcW w:w="2386" w:type="dxa"/>
            <w:shd w:val="clear" w:color="auto" w:fill="auto"/>
            <w:vAlign w:val="center"/>
          </w:tcPr>
          <w:p w14:paraId="6235759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预付款额度</w:t>
            </w:r>
          </w:p>
        </w:tc>
        <w:tc>
          <w:tcPr>
            <w:tcW w:w="1395" w:type="dxa"/>
            <w:shd w:val="clear" w:color="auto" w:fill="auto"/>
            <w:vAlign w:val="center"/>
          </w:tcPr>
          <w:p w14:paraId="4B28576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2535EF3E">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3145C314">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642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95C7463">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12</w:t>
            </w:r>
          </w:p>
        </w:tc>
        <w:tc>
          <w:tcPr>
            <w:tcW w:w="2386" w:type="dxa"/>
            <w:shd w:val="clear" w:color="auto" w:fill="auto"/>
            <w:vAlign w:val="center"/>
          </w:tcPr>
          <w:p w14:paraId="73EE2A9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预付款保函金额</w:t>
            </w:r>
          </w:p>
        </w:tc>
        <w:tc>
          <w:tcPr>
            <w:tcW w:w="1395" w:type="dxa"/>
            <w:shd w:val="clear" w:color="auto" w:fill="auto"/>
            <w:vAlign w:val="center"/>
          </w:tcPr>
          <w:p w14:paraId="54CBAD6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DE41460">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5B4C6ED9">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3777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4C2EDBF">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13</w:t>
            </w:r>
          </w:p>
        </w:tc>
        <w:tc>
          <w:tcPr>
            <w:tcW w:w="2386" w:type="dxa"/>
            <w:shd w:val="clear" w:color="auto" w:fill="auto"/>
            <w:vAlign w:val="center"/>
          </w:tcPr>
          <w:p w14:paraId="1784A60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质量保证金额度</w:t>
            </w:r>
          </w:p>
        </w:tc>
        <w:tc>
          <w:tcPr>
            <w:tcW w:w="1395" w:type="dxa"/>
            <w:shd w:val="clear" w:color="auto" w:fill="auto"/>
            <w:vAlign w:val="center"/>
          </w:tcPr>
          <w:p w14:paraId="713FF07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A186EFF">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58C391E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3DD1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9BF87">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21FFF14C">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2386" w:type="dxa"/>
            <w:shd w:val="clear" w:color="auto" w:fill="auto"/>
            <w:vAlign w:val="center"/>
          </w:tcPr>
          <w:p w14:paraId="162EF76E">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06B0034A">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1395" w:type="dxa"/>
            <w:shd w:val="clear" w:color="auto" w:fill="auto"/>
            <w:vAlign w:val="center"/>
          </w:tcPr>
          <w:p w14:paraId="6724C1E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045144D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002FB504">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F5B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1462EC97">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说明： 供应商在响应磋商文件中规定的实质性要求和条件的基础上，可做出其他有利于采购人的承诺。此类承诺可在本表中予以补充填写。</w:t>
            </w:r>
          </w:p>
        </w:tc>
      </w:tr>
    </w:tbl>
    <w:p w14:paraId="41B188F8">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15CB511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16680BF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559B2E7E">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1E2DAE9F">
      <w:pPr>
        <w:spacing w:line="360" w:lineRule="auto"/>
        <w:jc w:val="left"/>
        <w:rPr>
          <w:rFonts w:ascii="宋体" w:hAnsi="宋体" w:cs="宋体"/>
          <w:b/>
          <w:bCs/>
          <w:color w:val="auto"/>
          <w:spacing w:val="7"/>
          <w:sz w:val="24"/>
        </w:rPr>
      </w:pPr>
    </w:p>
    <w:p w14:paraId="1C56B7D2">
      <w:pPr>
        <w:spacing w:line="360" w:lineRule="auto"/>
        <w:jc w:val="left"/>
        <w:rPr>
          <w:rFonts w:ascii="宋体" w:hAnsi="宋体" w:cs="宋体"/>
          <w:b/>
          <w:bCs/>
          <w:color w:val="auto"/>
          <w:spacing w:val="7"/>
          <w:sz w:val="24"/>
        </w:rPr>
      </w:pPr>
    </w:p>
    <w:p w14:paraId="5DA00441">
      <w:pPr>
        <w:spacing w:line="360" w:lineRule="auto"/>
        <w:jc w:val="left"/>
        <w:rPr>
          <w:rFonts w:ascii="宋体" w:hAnsi="宋体" w:cs="宋体"/>
          <w:b/>
          <w:bCs/>
          <w:color w:val="auto"/>
          <w:spacing w:val="7"/>
          <w:sz w:val="24"/>
        </w:rPr>
      </w:pPr>
      <w:r>
        <w:rPr>
          <w:rFonts w:hint="eastAsia" w:ascii="宋体" w:hAnsi="宋体" w:cs="宋体"/>
          <w:b/>
          <w:bCs/>
          <w:color w:val="auto"/>
          <w:spacing w:val="7"/>
          <w:sz w:val="24"/>
        </w:rPr>
        <w:t>附件3</w:t>
      </w:r>
    </w:p>
    <w:p w14:paraId="16642861">
      <w:pPr>
        <w:spacing w:line="360" w:lineRule="auto"/>
        <w:ind w:left="3643"/>
        <w:rPr>
          <w:rFonts w:ascii="宋体" w:hAnsi="宋体" w:cs="宋体"/>
          <w:color w:val="auto"/>
          <w:sz w:val="31"/>
          <w:szCs w:val="31"/>
        </w:rPr>
      </w:pPr>
      <w:r>
        <w:rPr>
          <w:rFonts w:hint="eastAsia" w:ascii="宋体" w:hAnsi="宋体" w:cs="宋体"/>
          <w:color w:val="auto"/>
          <w:spacing w:val="7"/>
          <w:sz w:val="31"/>
          <w:szCs w:val="31"/>
        </w:rPr>
        <w:t>竞标报价表</w:t>
      </w:r>
    </w:p>
    <w:p w14:paraId="48ABAEE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项目名称：                  项目编号：                    </w:t>
      </w:r>
    </w:p>
    <w:p w14:paraId="417A7F0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分标（如有）：             </w:t>
      </w:r>
    </w:p>
    <w:p w14:paraId="026AF7C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供应商名称：                                            </w:t>
      </w:r>
    </w:p>
    <w:p w14:paraId="6B162C8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7"/>
        <w:gridCol w:w="3382"/>
        <w:gridCol w:w="1984"/>
        <w:gridCol w:w="1710"/>
      </w:tblGrid>
      <w:tr w14:paraId="3C14A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78A9372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磋商报价</w:t>
            </w:r>
          </w:p>
        </w:tc>
        <w:tc>
          <w:tcPr>
            <w:tcW w:w="1984" w:type="dxa"/>
            <w:shd w:val="clear" w:color="auto" w:fill="auto"/>
            <w:vAlign w:val="center"/>
          </w:tcPr>
          <w:p w14:paraId="47B0703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66F3003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备注</w:t>
            </w:r>
          </w:p>
        </w:tc>
      </w:tr>
      <w:tr w14:paraId="4721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27" w:type="dxa"/>
            <w:vMerge w:val="restart"/>
            <w:tcBorders>
              <w:bottom w:val="nil"/>
            </w:tcBorders>
            <w:shd w:val="clear" w:color="auto" w:fill="auto"/>
            <w:vAlign w:val="center"/>
          </w:tcPr>
          <w:p w14:paraId="7ADAF07A">
            <w:pPr>
              <w:widowControl/>
              <w:kinsoku w:val="0"/>
              <w:autoSpaceDE w:val="0"/>
              <w:autoSpaceDN w:val="0"/>
              <w:adjustRightInd w:val="0"/>
              <w:snapToGrid w:val="0"/>
              <w:spacing w:line="360" w:lineRule="auto"/>
              <w:textAlignment w:val="baseline"/>
              <w:rPr>
                <w:rFonts w:ascii="宋体" w:hAnsi="宋体" w:cs="宋体"/>
                <w:color w:val="auto"/>
                <w:sz w:val="24"/>
              </w:rPr>
            </w:pPr>
          </w:p>
          <w:p w14:paraId="05D6BF1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其中</w:t>
            </w:r>
          </w:p>
        </w:tc>
        <w:tc>
          <w:tcPr>
            <w:tcW w:w="3382" w:type="dxa"/>
            <w:shd w:val="clear" w:color="auto" w:fill="auto"/>
            <w:vAlign w:val="center"/>
          </w:tcPr>
          <w:p w14:paraId="0E9C0CE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安全文明施工费</w:t>
            </w:r>
          </w:p>
        </w:tc>
        <w:tc>
          <w:tcPr>
            <w:tcW w:w="1984" w:type="dxa"/>
            <w:shd w:val="clear" w:color="auto" w:fill="auto"/>
            <w:vAlign w:val="center"/>
          </w:tcPr>
          <w:p w14:paraId="70D6509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067453E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058EF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27" w:type="dxa"/>
            <w:vMerge w:val="continue"/>
            <w:tcBorders>
              <w:top w:val="nil"/>
              <w:bottom w:val="nil"/>
            </w:tcBorders>
            <w:shd w:val="clear" w:color="auto" w:fill="auto"/>
            <w:vAlign w:val="center"/>
          </w:tcPr>
          <w:p w14:paraId="3257728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382" w:type="dxa"/>
            <w:shd w:val="clear" w:color="auto" w:fill="auto"/>
            <w:vAlign w:val="center"/>
          </w:tcPr>
          <w:p w14:paraId="4B5AF749">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发包人提供材料（如有）</w:t>
            </w:r>
          </w:p>
        </w:tc>
        <w:tc>
          <w:tcPr>
            <w:tcW w:w="1984" w:type="dxa"/>
            <w:shd w:val="clear" w:color="auto" w:fill="auto"/>
            <w:vAlign w:val="center"/>
          </w:tcPr>
          <w:p w14:paraId="66965B3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60DDA4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5AAC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27" w:type="dxa"/>
            <w:vMerge w:val="continue"/>
            <w:tcBorders>
              <w:top w:val="nil"/>
              <w:bottom w:val="nil"/>
            </w:tcBorders>
            <w:shd w:val="clear" w:color="auto" w:fill="auto"/>
            <w:vAlign w:val="center"/>
          </w:tcPr>
          <w:p w14:paraId="5637783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382" w:type="dxa"/>
            <w:shd w:val="clear" w:color="auto" w:fill="auto"/>
            <w:vAlign w:val="center"/>
          </w:tcPr>
          <w:p w14:paraId="686D2876">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承包人提供材料（设备）暂估价</w:t>
            </w:r>
          </w:p>
          <w:p w14:paraId="4A8ADE2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（如有）</w:t>
            </w:r>
          </w:p>
        </w:tc>
        <w:tc>
          <w:tcPr>
            <w:tcW w:w="1984" w:type="dxa"/>
            <w:shd w:val="clear" w:color="auto" w:fill="auto"/>
            <w:vAlign w:val="center"/>
          </w:tcPr>
          <w:p w14:paraId="2BEC1C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420E488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24542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27" w:type="dxa"/>
            <w:vMerge w:val="continue"/>
            <w:tcBorders>
              <w:top w:val="nil"/>
              <w:bottom w:val="nil"/>
            </w:tcBorders>
            <w:shd w:val="clear" w:color="auto" w:fill="auto"/>
            <w:vAlign w:val="center"/>
          </w:tcPr>
          <w:p w14:paraId="6AFCBBD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382" w:type="dxa"/>
            <w:shd w:val="clear" w:color="auto" w:fill="auto"/>
            <w:vAlign w:val="center"/>
          </w:tcPr>
          <w:p w14:paraId="6C5A075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暂估专业工程（如有）</w:t>
            </w:r>
          </w:p>
        </w:tc>
        <w:tc>
          <w:tcPr>
            <w:tcW w:w="1984" w:type="dxa"/>
            <w:shd w:val="clear" w:color="auto" w:fill="auto"/>
            <w:vAlign w:val="center"/>
          </w:tcPr>
          <w:p w14:paraId="6591DCF6">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DFBE31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4CFF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727" w:type="dxa"/>
            <w:vMerge w:val="continue"/>
            <w:tcBorders>
              <w:top w:val="nil"/>
            </w:tcBorders>
            <w:shd w:val="clear" w:color="auto" w:fill="auto"/>
            <w:vAlign w:val="center"/>
          </w:tcPr>
          <w:p w14:paraId="7520CD86">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382" w:type="dxa"/>
            <w:shd w:val="clear" w:color="auto" w:fill="auto"/>
            <w:vAlign w:val="center"/>
          </w:tcPr>
          <w:p w14:paraId="228C791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暂列金额（如有）</w:t>
            </w:r>
          </w:p>
        </w:tc>
        <w:tc>
          <w:tcPr>
            <w:tcW w:w="1984" w:type="dxa"/>
            <w:shd w:val="clear" w:color="auto" w:fill="auto"/>
            <w:vAlign w:val="center"/>
          </w:tcPr>
          <w:p w14:paraId="0D17339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6EC4274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bl>
    <w:p w14:paraId="4C6DC42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注:</w:t>
      </w:r>
    </w:p>
    <w:p w14:paraId="628BBFC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 供应商的报价表使用电子签名，否则其响应文件按无效处理。</w:t>
      </w:r>
    </w:p>
    <w:p w14:paraId="55CE22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 报价一经涂改，应在涂改处使用电子签名，或由法定代表人或者授权委托人签字，否则其响应文件按无效处理。</w:t>
      </w:r>
    </w:p>
    <w:p w14:paraId="365DB4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3.如为联合体竞标，“供应商名称”处必须列明联合体各方名称，标注联合体牵头人名称，否则其响应文件按无效处理。</w:t>
      </w:r>
    </w:p>
    <w:p w14:paraId="592F9F3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 如为联合体竞标，须使用联合体牵头人电子签名，否则其响应文件按无效处理。</w:t>
      </w:r>
    </w:p>
    <w:p w14:paraId="4294F61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5.如有多分标，分别列明各分标的报价表，否则其响应文件按无效处理。</w:t>
      </w:r>
    </w:p>
    <w:p w14:paraId="10AD78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18475CA0">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00E73C0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766457B2">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305F6DDA">
      <w:pPr>
        <w:spacing w:line="360" w:lineRule="auto"/>
        <w:rPr>
          <w:rFonts w:ascii="宋体" w:hAnsi="宋体"/>
          <w:b/>
          <w:bCs/>
          <w:color w:val="auto"/>
          <w:sz w:val="24"/>
        </w:rPr>
      </w:pPr>
    </w:p>
    <w:p w14:paraId="71303DA7">
      <w:pPr>
        <w:spacing w:line="360" w:lineRule="auto"/>
        <w:rPr>
          <w:rFonts w:ascii="宋体" w:hAnsi="宋体"/>
          <w:b/>
          <w:bCs/>
          <w:color w:val="auto"/>
          <w:sz w:val="24"/>
        </w:rPr>
      </w:pPr>
    </w:p>
    <w:p w14:paraId="613D947C">
      <w:pPr>
        <w:pStyle w:val="107"/>
        <w:ind w:firstLine="0" w:firstLineChars="0"/>
        <w:rPr>
          <w:rFonts w:ascii="宋体" w:hAnsi="宋体"/>
          <w:b/>
          <w:bCs/>
          <w:color w:val="auto"/>
          <w:sz w:val="24"/>
        </w:rPr>
      </w:pPr>
    </w:p>
    <w:p w14:paraId="0A92FC10">
      <w:pPr>
        <w:pStyle w:val="107"/>
        <w:ind w:firstLine="0" w:firstLineChars="0"/>
        <w:rPr>
          <w:rFonts w:ascii="宋体" w:hAnsi="宋体"/>
          <w:b/>
          <w:bCs/>
          <w:color w:val="auto"/>
          <w:sz w:val="24"/>
        </w:rPr>
      </w:pPr>
    </w:p>
    <w:p w14:paraId="1FB7692A">
      <w:pPr>
        <w:spacing w:line="360" w:lineRule="auto"/>
        <w:rPr>
          <w:rFonts w:ascii="宋体" w:hAnsi="宋体"/>
          <w:b/>
          <w:bCs/>
          <w:color w:val="auto"/>
          <w:sz w:val="24"/>
        </w:rPr>
      </w:pPr>
      <w:r>
        <w:rPr>
          <w:rFonts w:hint="eastAsia" w:ascii="宋体" w:hAnsi="宋体"/>
          <w:b/>
          <w:bCs/>
          <w:color w:val="auto"/>
          <w:sz w:val="24"/>
        </w:rPr>
        <w:t>附件4</w:t>
      </w:r>
    </w:p>
    <w:p w14:paraId="26000765">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rPr>
      </w:pPr>
    </w:p>
    <w:p w14:paraId="5A6C223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rPr>
      </w:pPr>
      <w:r>
        <w:rPr>
          <w:rFonts w:hint="eastAsia" w:ascii="宋体" w:hAnsi="宋体" w:cs="宋体"/>
          <w:b/>
          <w:bCs/>
          <w:color w:val="auto"/>
          <w:sz w:val="24"/>
        </w:rPr>
        <w:t>已标价工程量清单</w:t>
      </w:r>
    </w:p>
    <w:p w14:paraId="21044CF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6EEFA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733FEB0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47E0C2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5AA36E26">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p>
    <w:p w14:paraId="71B44B2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备注：</w:t>
      </w:r>
    </w:p>
    <w:p w14:paraId="0A1FF8F0">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1）供应商在上传竞标报价文件时应上传纸质竞标总价封面的原件扫描件。报标总价封面必须经供应商盖章，并由法定代表人（或其授权人）签字（或盖章），同时由编制人签字盖专用章，否则按无效磋商处理。</w:t>
      </w:r>
    </w:p>
    <w:p w14:paraId="49BEC40B">
      <w:pPr>
        <w:spacing w:line="360" w:lineRule="auto"/>
        <w:ind w:firstLine="482" w:firstLineChars="200"/>
        <w:rPr>
          <w:rFonts w:ascii="宋体" w:hAnsi="宋体"/>
          <w:b/>
          <w:color w:val="auto"/>
          <w:sz w:val="24"/>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rPr>
        <w:t>（2）已标价工程量清单表格要严格按照工程量清单给出的表格要求和内容填报，否则按无效磋商处理。</w:t>
      </w:r>
    </w:p>
    <w:p w14:paraId="6AC708FC">
      <w:pPr>
        <w:spacing w:line="360" w:lineRule="auto"/>
        <w:ind w:left="420" w:hanging="420"/>
        <w:rPr>
          <w:rFonts w:ascii="宋体" w:hAnsi="宋体"/>
          <w:b/>
          <w:color w:val="auto"/>
          <w:sz w:val="24"/>
        </w:rPr>
      </w:pPr>
      <w:r>
        <w:rPr>
          <w:rFonts w:hint="eastAsia" w:ascii="宋体" w:hAnsi="宋体"/>
          <w:b/>
          <w:color w:val="auto"/>
          <w:sz w:val="24"/>
        </w:rPr>
        <w:t>附件5</w:t>
      </w:r>
    </w:p>
    <w:p w14:paraId="75E0FA30">
      <w:pPr>
        <w:spacing w:line="360" w:lineRule="auto"/>
        <w:jc w:val="center"/>
        <w:rPr>
          <w:rFonts w:ascii="宋体" w:hAnsi="宋体"/>
          <w:b/>
          <w:color w:val="auto"/>
          <w:sz w:val="32"/>
          <w:szCs w:val="32"/>
        </w:rPr>
      </w:pPr>
      <w:r>
        <w:rPr>
          <w:rFonts w:hint="eastAsia" w:ascii="宋体" w:hAnsi="宋体"/>
          <w:b/>
          <w:color w:val="auto"/>
          <w:sz w:val="32"/>
          <w:szCs w:val="32"/>
        </w:rPr>
        <w:t>磋 商 书</w:t>
      </w:r>
    </w:p>
    <w:p w14:paraId="07A4FCE0">
      <w:pPr>
        <w:spacing w:line="360" w:lineRule="auto"/>
        <w:jc w:val="center"/>
        <w:rPr>
          <w:rFonts w:ascii="宋体" w:hAnsi="宋体"/>
          <w:b/>
          <w:color w:val="auto"/>
          <w:sz w:val="24"/>
        </w:rPr>
      </w:pPr>
    </w:p>
    <w:p w14:paraId="731A1FB0">
      <w:pPr>
        <w:pStyle w:val="22"/>
        <w:spacing w:line="360" w:lineRule="auto"/>
        <w:rPr>
          <w:rFonts w:hAnsi="宋体"/>
          <w:color w:val="auto"/>
          <w:sz w:val="24"/>
          <w:szCs w:val="24"/>
        </w:rPr>
      </w:pPr>
      <w:r>
        <w:rPr>
          <w:rFonts w:hint="eastAsia" w:hAnsi="宋体"/>
          <w:color w:val="auto"/>
          <w:sz w:val="24"/>
          <w:szCs w:val="24"/>
        </w:rPr>
        <w:t>（采购人）、（采购代理机构）：</w:t>
      </w:r>
    </w:p>
    <w:p w14:paraId="01F7909B">
      <w:pPr>
        <w:pStyle w:val="22"/>
        <w:spacing w:line="360" w:lineRule="auto"/>
        <w:ind w:firstLine="480"/>
        <w:rPr>
          <w:rFonts w:hAnsi="宋体"/>
          <w:color w:val="auto"/>
          <w:sz w:val="24"/>
          <w:szCs w:val="24"/>
        </w:rPr>
      </w:pPr>
      <w:r>
        <w:rPr>
          <w:rFonts w:hint="eastAsia" w:hAnsi="宋体"/>
          <w:color w:val="auto"/>
          <w:sz w:val="24"/>
          <w:szCs w:val="24"/>
        </w:rPr>
        <w:t>依据贵方</w:t>
      </w:r>
      <w:r>
        <w:rPr>
          <w:rFonts w:hint="eastAsia" w:hAnsi="宋体"/>
          <w:color w:val="auto"/>
          <w:sz w:val="24"/>
          <w:szCs w:val="24"/>
          <w:u w:val="single"/>
        </w:rPr>
        <w:t>（项目名称/项目编号）</w:t>
      </w:r>
      <w:r>
        <w:rPr>
          <w:rFonts w:hint="eastAsia" w:hAnsi="宋体"/>
          <w:color w:val="auto"/>
          <w:sz w:val="24"/>
          <w:szCs w:val="24"/>
        </w:rPr>
        <w:t>项目政府采购的磋商邀请，我方</w:t>
      </w:r>
      <w:r>
        <w:rPr>
          <w:rFonts w:hint="eastAsia" w:hAnsi="宋体"/>
          <w:color w:val="auto"/>
          <w:sz w:val="24"/>
          <w:szCs w:val="24"/>
          <w:u w:val="single"/>
        </w:rPr>
        <w:t>（姓名和职务）</w:t>
      </w:r>
      <w:r>
        <w:rPr>
          <w:rFonts w:hint="eastAsia" w:hAnsi="宋体"/>
          <w:color w:val="auto"/>
          <w:sz w:val="24"/>
          <w:szCs w:val="24"/>
        </w:rPr>
        <w:t>经正式授权并代表本单位</w:t>
      </w:r>
      <w:r>
        <w:rPr>
          <w:rFonts w:hint="eastAsia" w:hAnsi="宋体"/>
          <w:color w:val="auto"/>
          <w:sz w:val="24"/>
          <w:szCs w:val="24"/>
          <w:u w:val="single"/>
        </w:rPr>
        <w:t>（供应商名称、地址）</w:t>
      </w:r>
      <w:r>
        <w:rPr>
          <w:rFonts w:hint="eastAsia" w:hAnsi="宋体"/>
          <w:color w:val="auto"/>
          <w:sz w:val="24"/>
          <w:szCs w:val="24"/>
        </w:rPr>
        <w:t>提交下述竞争性磋商响应文件</w:t>
      </w:r>
      <w:r>
        <w:rPr>
          <w:rFonts w:hint="eastAsia" w:hAnsi="宋体"/>
          <w:b/>
          <w:color w:val="auto"/>
          <w:sz w:val="24"/>
          <w:szCs w:val="24"/>
        </w:rPr>
        <w:t>（资格文件、价格文件、商务技术文件）</w:t>
      </w:r>
      <w:r>
        <w:rPr>
          <w:rFonts w:hint="eastAsia" w:hAnsi="宋体"/>
          <w:color w:val="auto"/>
          <w:sz w:val="24"/>
          <w:szCs w:val="24"/>
        </w:rPr>
        <w:t>。</w:t>
      </w:r>
    </w:p>
    <w:p w14:paraId="725F5375">
      <w:pPr>
        <w:pStyle w:val="22"/>
        <w:spacing w:line="360" w:lineRule="auto"/>
        <w:ind w:firstLine="480"/>
        <w:rPr>
          <w:rFonts w:hAnsi="宋体"/>
          <w:color w:val="auto"/>
          <w:sz w:val="24"/>
          <w:szCs w:val="24"/>
        </w:rPr>
      </w:pPr>
      <w:r>
        <w:rPr>
          <w:rFonts w:hint="eastAsia" w:hAnsi="宋体"/>
          <w:color w:val="auto"/>
          <w:sz w:val="24"/>
          <w:szCs w:val="24"/>
        </w:rPr>
        <w:t>1. 报价表；</w:t>
      </w:r>
    </w:p>
    <w:p w14:paraId="455D11DF">
      <w:pPr>
        <w:pStyle w:val="22"/>
        <w:spacing w:line="360" w:lineRule="auto"/>
        <w:ind w:firstLine="480"/>
        <w:rPr>
          <w:rFonts w:hAnsi="宋体"/>
          <w:color w:val="auto"/>
          <w:sz w:val="24"/>
          <w:szCs w:val="24"/>
        </w:rPr>
      </w:pPr>
      <w:r>
        <w:rPr>
          <w:rFonts w:hint="eastAsia" w:hAnsi="宋体"/>
          <w:color w:val="auto"/>
          <w:sz w:val="24"/>
          <w:szCs w:val="24"/>
        </w:rPr>
        <w:t xml:space="preserve">2. 资格证明文件； </w:t>
      </w:r>
    </w:p>
    <w:p w14:paraId="071D0C45">
      <w:pPr>
        <w:pStyle w:val="22"/>
        <w:spacing w:line="360" w:lineRule="auto"/>
        <w:ind w:firstLine="480"/>
        <w:rPr>
          <w:rFonts w:hAnsi="宋体"/>
          <w:color w:val="auto"/>
          <w:sz w:val="24"/>
          <w:szCs w:val="24"/>
        </w:rPr>
      </w:pPr>
      <w:r>
        <w:rPr>
          <w:rFonts w:hint="eastAsia" w:hAnsi="宋体"/>
          <w:color w:val="auto"/>
          <w:sz w:val="24"/>
          <w:szCs w:val="24"/>
        </w:rPr>
        <w:t>3. 按竞争性磋商文件供应商须知和采购需求提供的有关文件。</w:t>
      </w:r>
    </w:p>
    <w:p w14:paraId="01F11D9C">
      <w:pPr>
        <w:pStyle w:val="22"/>
        <w:spacing w:line="360" w:lineRule="auto"/>
        <w:ind w:firstLine="360" w:firstLineChars="150"/>
        <w:rPr>
          <w:rFonts w:hAnsi="宋体"/>
          <w:color w:val="auto"/>
          <w:sz w:val="24"/>
          <w:szCs w:val="24"/>
        </w:rPr>
      </w:pPr>
      <w:r>
        <w:rPr>
          <w:rFonts w:hint="eastAsia" w:hAnsi="宋体"/>
          <w:color w:val="auto"/>
          <w:sz w:val="24"/>
          <w:szCs w:val="24"/>
        </w:rPr>
        <w:t>在此，授权代表宣布同意如下：</w:t>
      </w:r>
    </w:p>
    <w:p w14:paraId="2B82B6ED">
      <w:pPr>
        <w:pStyle w:val="22"/>
        <w:spacing w:line="360" w:lineRule="auto"/>
        <w:ind w:firstLine="480" w:firstLineChars="200"/>
        <w:rPr>
          <w:rFonts w:hAnsi="宋体"/>
          <w:color w:val="auto"/>
          <w:sz w:val="24"/>
          <w:szCs w:val="24"/>
        </w:rPr>
      </w:pPr>
      <w:r>
        <w:rPr>
          <w:rFonts w:hint="eastAsia" w:hAnsi="宋体"/>
          <w:color w:val="auto"/>
          <w:sz w:val="24"/>
          <w:szCs w:val="24"/>
        </w:rPr>
        <w:t>1. 将按竞争性磋商文件的约定履行合同责任和义务；</w:t>
      </w:r>
    </w:p>
    <w:p w14:paraId="354E3E2D">
      <w:pPr>
        <w:pStyle w:val="22"/>
        <w:spacing w:line="360" w:lineRule="auto"/>
        <w:ind w:firstLine="480" w:firstLineChars="200"/>
        <w:rPr>
          <w:rFonts w:hAnsi="宋体"/>
          <w:color w:val="auto"/>
          <w:sz w:val="24"/>
          <w:szCs w:val="24"/>
        </w:rPr>
      </w:pPr>
      <w:r>
        <w:rPr>
          <w:rFonts w:hint="eastAsia" w:hAnsi="宋体"/>
          <w:color w:val="auto"/>
          <w:sz w:val="24"/>
          <w:szCs w:val="24"/>
        </w:rPr>
        <w:t>2. 已详细审查全部竞争性磋商文件，包括</w:t>
      </w:r>
      <w:r>
        <w:rPr>
          <w:rFonts w:hint="eastAsia" w:hAnsi="宋体"/>
          <w:color w:val="auto"/>
          <w:sz w:val="24"/>
          <w:szCs w:val="24"/>
          <w:u w:val="single"/>
        </w:rPr>
        <w:t>（补遗文件）（如果有的话）</w:t>
      </w:r>
      <w:r>
        <w:rPr>
          <w:rFonts w:hint="eastAsia" w:hAnsi="宋体"/>
          <w:color w:val="auto"/>
          <w:sz w:val="24"/>
          <w:szCs w:val="24"/>
        </w:rPr>
        <w:t>；</w:t>
      </w:r>
    </w:p>
    <w:p w14:paraId="2F23D2B6">
      <w:pPr>
        <w:pStyle w:val="22"/>
        <w:spacing w:line="360" w:lineRule="auto"/>
        <w:ind w:firstLine="480" w:firstLineChars="200"/>
        <w:rPr>
          <w:rFonts w:hAnsi="宋体"/>
          <w:color w:val="auto"/>
          <w:sz w:val="24"/>
          <w:szCs w:val="24"/>
        </w:rPr>
      </w:pPr>
      <w:r>
        <w:rPr>
          <w:rFonts w:hint="eastAsia" w:hAnsi="宋体"/>
          <w:color w:val="auto"/>
          <w:sz w:val="24"/>
          <w:szCs w:val="24"/>
        </w:rPr>
        <w:t>3. 同意提供按照贵方可能要求的与其磋商有关的一切数据或资料；</w:t>
      </w:r>
    </w:p>
    <w:p w14:paraId="2E63326D">
      <w:pPr>
        <w:pStyle w:val="22"/>
        <w:spacing w:line="360" w:lineRule="auto"/>
        <w:ind w:firstLine="480" w:firstLineChars="200"/>
        <w:rPr>
          <w:rFonts w:hAnsi="宋体"/>
          <w:color w:val="auto"/>
          <w:sz w:val="24"/>
          <w:szCs w:val="24"/>
          <w:u w:val="single"/>
        </w:rPr>
      </w:pPr>
      <w:r>
        <w:rPr>
          <w:rFonts w:hint="eastAsia" w:hAnsi="宋体"/>
          <w:color w:val="auto"/>
          <w:sz w:val="24"/>
          <w:szCs w:val="24"/>
        </w:rPr>
        <w:t>4. 与本磋商有关的一切正式往来信函请寄：</w:t>
      </w:r>
      <w:r>
        <w:rPr>
          <w:rFonts w:hint="eastAsia" w:hAnsi="宋体"/>
          <w:color w:val="auto"/>
          <w:sz w:val="24"/>
          <w:szCs w:val="24"/>
          <w:u w:val="single"/>
        </w:rPr>
        <w:t xml:space="preserve">                       </w:t>
      </w:r>
    </w:p>
    <w:p w14:paraId="0DC8D9EF">
      <w:pPr>
        <w:pStyle w:val="22"/>
        <w:spacing w:line="360" w:lineRule="auto"/>
        <w:ind w:firstLine="840"/>
        <w:rPr>
          <w:rFonts w:hAnsi="宋体"/>
          <w:color w:val="auto"/>
          <w:sz w:val="24"/>
          <w:szCs w:val="24"/>
          <w:u w:val="single"/>
        </w:rPr>
      </w:pPr>
      <w:r>
        <w:rPr>
          <w:rFonts w:hint="eastAsia" w:hAnsi="宋体"/>
          <w:color w:val="auto"/>
          <w:sz w:val="24"/>
          <w:szCs w:val="24"/>
        </w:rPr>
        <w:t>开户银行：</w:t>
      </w:r>
      <w:r>
        <w:rPr>
          <w:rFonts w:hint="eastAsia" w:hAnsi="宋体"/>
          <w:color w:val="auto"/>
          <w:sz w:val="24"/>
          <w:szCs w:val="24"/>
          <w:u w:val="single"/>
        </w:rPr>
        <w:t xml:space="preserve">                         </w:t>
      </w:r>
      <w:r>
        <w:rPr>
          <w:rFonts w:hint="eastAsia" w:hAnsi="宋体"/>
          <w:color w:val="auto"/>
          <w:sz w:val="24"/>
          <w:szCs w:val="24"/>
        </w:rPr>
        <w:t xml:space="preserve">  帐号/行号：</w:t>
      </w:r>
      <w:r>
        <w:rPr>
          <w:rFonts w:hint="eastAsia" w:hAnsi="宋体"/>
          <w:color w:val="auto"/>
          <w:sz w:val="24"/>
          <w:szCs w:val="24"/>
          <w:u w:val="single"/>
        </w:rPr>
        <w:t xml:space="preserve">          </w:t>
      </w:r>
    </w:p>
    <w:p w14:paraId="12619C9D">
      <w:pPr>
        <w:pStyle w:val="22"/>
        <w:spacing w:line="360" w:lineRule="auto"/>
        <w:ind w:firstLine="840"/>
        <w:rPr>
          <w:rFonts w:hAnsi="宋体"/>
          <w:color w:val="auto"/>
          <w:sz w:val="24"/>
          <w:szCs w:val="24"/>
        </w:rPr>
      </w:pPr>
      <w:r>
        <w:rPr>
          <w:rFonts w:hint="eastAsia" w:hAnsi="宋体"/>
          <w:color w:val="auto"/>
          <w:sz w:val="24"/>
          <w:szCs w:val="24"/>
        </w:rPr>
        <w:t>电话/传真：</w:t>
      </w:r>
      <w:r>
        <w:rPr>
          <w:rFonts w:hint="eastAsia" w:hAnsi="宋体"/>
          <w:color w:val="auto"/>
          <w:sz w:val="24"/>
          <w:szCs w:val="24"/>
          <w:u w:val="single"/>
        </w:rPr>
        <w:t xml:space="preserve">                        </w:t>
      </w:r>
      <w:r>
        <w:rPr>
          <w:rFonts w:hint="eastAsia" w:hAnsi="宋体"/>
          <w:color w:val="auto"/>
          <w:sz w:val="24"/>
          <w:szCs w:val="24"/>
        </w:rPr>
        <w:t xml:space="preserve"> 电子函件：</w:t>
      </w:r>
      <w:r>
        <w:rPr>
          <w:rFonts w:hint="eastAsia" w:hAnsi="宋体"/>
          <w:color w:val="auto"/>
          <w:sz w:val="24"/>
          <w:szCs w:val="24"/>
          <w:u w:val="single"/>
        </w:rPr>
        <w:t xml:space="preserve">             </w:t>
      </w:r>
      <w:r>
        <w:rPr>
          <w:rFonts w:hint="eastAsia" w:hAnsi="宋体"/>
          <w:color w:val="auto"/>
          <w:sz w:val="24"/>
          <w:szCs w:val="24"/>
        </w:rPr>
        <w:t xml:space="preserve">              </w:t>
      </w:r>
    </w:p>
    <w:p w14:paraId="2444CD39">
      <w:pPr>
        <w:pStyle w:val="22"/>
        <w:spacing w:line="360" w:lineRule="auto"/>
        <w:ind w:firstLine="840"/>
        <w:rPr>
          <w:rFonts w:hAnsi="宋体"/>
          <w:color w:val="auto"/>
          <w:sz w:val="24"/>
          <w:szCs w:val="24"/>
          <w:u w:val="single"/>
        </w:rPr>
      </w:pPr>
      <w:r>
        <w:rPr>
          <w:rFonts w:hint="eastAsia" w:hAnsi="宋体"/>
          <w:color w:val="auto"/>
          <w:sz w:val="24"/>
          <w:szCs w:val="24"/>
        </w:rPr>
        <w:t>日期：</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6A315593">
      <w:pPr>
        <w:adjustRightInd w:val="0"/>
        <w:snapToGrid w:val="0"/>
        <w:spacing w:line="360" w:lineRule="auto"/>
        <w:ind w:firstLine="1440" w:firstLineChars="600"/>
        <w:jc w:val="left"/>
        <w:rPr>
          <w:rFonts w:ascii="宋体" w:hAnsi="宋体"/>
          <w:color w:val="auto"/>
          <w:sz w:val="24"/>
        </w:rPr>
      </w:pPr>
    </w:p>
    <w:p w14:paraId="7B4084B9">
      <w:pPr>
        <w:adjustRightInd w:val="0"/>
        <w:snapToGrid w:val="0"/>
        <w:spacing w:line="360" w:lineRule="auto"/>
        <w:ind w:firstLine="1440" w:firstLineChars="600"/>
        <w:jc w:val="left"/>
        <w:rPr>
          <w:rFonts w:ascii="宋体" w:hAnsi="宋体"/>
          <w:color w:val="auto"/>
          <w:sz w:val="24"/>
        </w:rPr>
      </w:pPr>
    </w:p>
    <w:p w14:paraId="5E279E5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275218E2">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28F83489">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3007556A">
      <w:pPr>
        <w:pStyle w:val="22"/>
        <w:spacing w:line="360" w:lineRule="auto"/>
        <w:ind w:firstLine="840"/>
        <w:rPr>
          <w:rFonts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 xml:space="preserve">                           </w:t>
      </w:r>
    </w:p>
    <w:p w14:paraId="72B3BBDA">
      <w:pPr>
        <w:spacing w:line="360" w:lineRule="auto"/>
        <w:rPr>
          <w:rFonts w:ascii="宋体" w:hAnsi="宋体"/>
          <w:color w:val="auto"/>
          <w:sz w:val="24"/>
        </w:rPr>
      </w:pPr>
    </w:p>
    <w:p w14:paraId="54564302">
      <w:pPr>
        <w:spacing w:line="360" w:lineRule="auto"/>
        <w:rPr>
          <w:rFonts w:ascii="宋体" w:hAnsi="宋体"/>
          <w:color w:val="auto"/>
        </w:rPr>
      </w:pPr>
    </w:p>
    <w:p w14:paraId="30987328">
      <w:pPr>
        <w:spacing w:line="360" w:lineRule="auto"/>
        <w:rPr>
          <w:rFonts w:ascii="宋体" w:hAnsi="宋体"/>
          <w:color w:val="auto"/>
        </w:rPr>
      </w:pPr>
    </w:p>
    <w:p w14:paraId="132DCB9F">
      <w:pPr>
        <w:spacing w:line="360" w:lineRule="auto"/>
        <w:ind w:left="420" w:hanging="420"/>
        <w:rPr>
          <w:rFonts w:ascii="宋体" w:hAnsi="宋体"/>
          <w:color w:val="auto"/>
        </w:rPr>
      </w:pPr>
    </w:p>
    <w:p w14:paraId="0A820C42">
      <w:pPr>
        <w:spacing w:line="360" w:lineRule="auto"/>
        <w:ind w:left="420" w:hanging="420"/>
        <w:rPr>
          <w:rFonts w:ascii="宋体" w:hAnsi="宋体"/>
          <w:b/>
          <w:color w:val="auto"/>
        </w:rPr>
      </w:pPr>
      <w:r>
        <w:rPr>
          <w:rFonts w:hint="eastAsia" w:ascii="宋体" w:hAnsi="宋体"/>
          <w:color w:val="auto"/>
        </w:rPr>
        <w:br w:type="page"/>
      </w:r>
    </w:p>
    <w:p w14:paraId="1351B551">
      <w:pPr>
        <w:spacing w:line="360" w:lineRule="auto"/>
        <w:ind w:left="420" w:hanging="420"/>
        <w:rPr>
          <w:rFonts w:ascii="宋体" w:hAnsi="宋体"/>
          <w:b/>
          <w:color w:val="auto"/>
          <w:sz w:val="24"/>
        </w:rPr>
      </w:pPr>
      <w:r>
        <w:rPr>
          <w:rFonts w:hint="eastAsia" w:ascii="宋体" w:hAnsi="宋体"/>
          <w:b/>
          <w:color w:val="auto"/>
          <w:sz w:val="24"/>
        </w:rPr>
        <w:t>附件6</w:t>
      </w:r>
    </w:p>
    <w:p w14:paraId="4AB74069">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法定代表人（负责人）授权委托书</w:t>
      </w:r>
    </w:p>
    <w:p w14:paraId="1D6944C8">
      <w:pPr>
        <w:adjustRightInd w:val="0"/>
        <w:snapToGrid w:val="0"/>
        <w:spacing w:line="360" w:lineRule="auto"/>
        <w:rPr>
          <w:rFonts w:ascii="宋体" w:hAnsi="宋体"/>
          <w:color w:val="auto"/>
          <w:szCs w:val="21"/>
        </w:rPr>
      </w:pPr>
    </w:p>
    <w:p w14:paraId="3E52BD26">
      <w:pPr>
        <w:spacing w:line="360" w:lineRule="auto"/>
        <w:rPr>
          <w:rFonts w:ascii="宋体" w:hAnsi="宋体"/>
          <w:color w:val="auto"/>
          <w:sz w:val="24"/>
        </w:rPr>
      </w:pPr>
      <w:r>
        <w:rPr>
          <w:rFonts w:hint="eastAsia" w:hAnsi="宋体"/>
          <w:color w:val="auto"/>
          <w:sz w:val="24"/>
        </w:rPr>
        <w:t>（采购人）、（采购代理机构）</w:t>
      </w:r>
      <w:r>
        <w:rPr>
          <w:rFonts w:hint="eastAsia" w:ascii="宋体" w:hAnsi="宋体"/>
          <w:color w:val="auto"/>
          <w:sz w:val="24"/>
        </w:rPr>
        <w:t>：</w:t>
      </w:r>
    </w:p>
    <w:p w14:paraId="488C62D3">
      <w:pPr>
        <w:spacing w:line="360" w:lineRule="auto"/>
        <w:ind w:firstLine="480" w:firstLineChars="200"/>
        <w:rPr>
          <w:rFonts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xml:space="preserve">                     项目</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）竞争性磋商采购活动的委托代理人，全权代表我公司处理在该项目活动中的一切事宜。代理期限从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日止。 </w:t>
      </w:r>
    </w:p>
    <w:p w14:paraId="207D8A08">
      <w:pPr>
        <w:spacing w:line="360" w:lineRule="auto"/>
        <w:rPr>
          <w:rFonts w:ascii="宋体" w:hAnsi="宋体"/>
          <w:color w:val="auto"/>
          <w:sz w:val="24"/>
        </w:rPr>
      </w:pPr>
    </w:p>
    <w:p w14:paraId="249BA7A2">
      <w:pPr>
        <w:spacing w:line="360" w:lineRule="auto"/>
        <w:rPr>
          <w:rFonts w:ascii="宋体" w:hAnsi="宋体"/>
          <w:color w:val="auto"/>
          <w:sz w:val="24"/>
        </w:rPr>
      </w:pPr>
      <w:r>
        <w:rPr>
          <w:rFonts w:hint="eastAsia" w:ascii="宋体" w:hAnsi="宋体"/>
          <w:color w:val="auto"/>
          <w:sz w:val="24"/>
        </w:rPr>
        <w:t>磋商供应商（公章）：</w:t>
      </w:r>
      <w:r>
        <w:rPr>
          <w:rFonts w:hint="eastAsia" w:ascii="宋体" w:hAnsi="宋体"/>
          <w:color w:val="auto"/>
          <w:sz w:val="24"/>
          <w:u w:val="single"/>
        </w:rPr>
        <w:t xml:space="preserve">               </w:t>
      </w:r>
    </w:p>
    <w:p w14:paraId="4F88C229">
      <w:pPr>
        <w:spacing w:line="360" w:lineRule="auto"/>
        <w:rPr>
          <w:rFonts w:ascii="宋体" w:hAnsi="宋体"/>
          <w:color w:val="auto"/>
          <w:sz w:val="24"/>
        </w:rPr>
      </w:pPr>
      <w:r>
        <w:rPr>
          <w:rFonts w:hint="eastAsia" w:ascii="宋体" w:hAnsi="宋体"/>
          <w:color w:val="auto"/>
          <w:sz w:val="24"/>
        </w:rPr>
        <w:t>法定代表人（负责人）（签名）：</w:t>
      </w:r>
      <w:r>
        <w:rPr>
          <w:rFonts w:hint="eastAsia" w:ascii="宋体" w:hAnsi="宋体"/>
          <w:color w:val="auto"/>
          <w:sz w:val="24"/>
          <w:u w:val="single"/>
        </w:rPr>
        <w:t xml:space="preserve">       </w:t>
      </w:r>
    </w:p>
    <w:p w14:paraId="10A6DB1C">
      <w:pPr>
        <w:spacing w:line="360" w:lineRule="auto"/>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B1D1B84">
      <w:pPr>
        <w:spacing w:line="360" w:lineRule="auto"/>
        <w:rPr>
          <w:rFonts w:ascii="宋体" w:hAnsi="宋体"/>
          <w:color w:val="auto"/>
          <w:sz w:val="24"/>
        </w:rPr>
      </w:pPr>
    </w:p>
    <w:p w14:paraId="37DF0238">
      <w:pPr>
        <w:spacing w:line="360" w:lineRule="auto"/>
        <w:rPr>
          <w:rFonts w:ascii="宋体" w:hAnsi="宋体"/>
          <w:color w:val="auto"/>
          <w:sz w:val="24"/>
        </w:rPr>
      </w:pPr>
      <w:r>
        <w:rPr>
          <w:rFonts w:hint="eastAsia" w:ascii="宋体" w:hAnsi="宋体"/>
          <w:color w:val="auto"/>
          <w:sz w:val="24"/>
        </w:rPr>
        <w:t>附：委托代理人工作单位</w:t>
      </w:r>
      <w:r>
        <w:rPr>
          <w:rFonts w:hint="eastAsia" w:ascii="宋体" w:hAnsi="宋体"/>
          <w:color w:val="auto"/>
          <w:sz w:val="24"/>
          <w:u w:val="single"/>
        </w:rPr>
        <w:t xml:space="preserve">               </w:t>
      </w:r>
    </w:p>
    <w:p w14:paraId="112217DD">
      <w:pPr>
        <w:spacing w:line="360" w:lineRule="auto"/>
        <w:ind w:firstLine="480" w:firstLineChars="200"/>
        <w:rPr>
          <w:rFonts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p>
    <w:p w14:paraId="5CD5A6A9">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0D0C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A326B60">
            <w:pPr>
              <w:spacing w:line="360" w:lineRule="auto"/>
              <w:rPr>
                <w:rFonts w:ascii="宋体" w:hAnsi="宋体"/>
                <w:color w:val="auto"/>
                <w:sz w:val="24"/>
              </w:rPr>
            </w:pPr>
            <w:r>
              <w:rPr>
                <w:rFonts w:hint="eastAsia" w:ascii="宋体" w:hAnsi="宋体"/>
                <w:color w:val="auto"/>
                <w:sz w:val="24"/>
              </w:rPr>
              <w:t>粘贴委托代理人的正面及反面身份证复印件</w:t>
            </w:r>
          </w:p>
        </w:tc>
      </w:tr>
    </w:tbl>
    <w:p w14:paraId="259EBEDE">
      <w:pPr>
        <w:autoSpaceDE w:val="0"/>
        <w:autoSpaceDN w:val="0"/>
        <w:spacing w:line="360" w:lineRule="auto"/>
        <w:ind w:left="480" w:hanging="480"/>
        <w:rPr>
          <w:rFonts w:ascii="宋体" w:hAnsi="宋体"/>
          <w:color w:val="auto"/>
          <w:sz w:val="24"/>
        </w:rPr>
      </w:pPr>
    </w:p>
    <w:p w14:paraId="52DFC5EC">
      <w:pPr>
        <w:pStyle w:val="22"/>
        <w:spacing w:line="360" w:lineRule="auto"/>
        <w:rPr>
          <w:rFonts w:hAnsi="宋体"/>
          <w:color w:val="auto"/>
          <w:sz w:val="24"/>
          <w:szCs w:val="24"/>
        </w:rPr>
      </w:pPr>
    </w:p>
    <w:p w14:paraId="0D2615ED">
      <w:pPr>
        <w:pStyle w:val="22"/>
        <w:spacing w:line="360" w:lineRule="auto"/>
        <w:rPr>
          <w:rFonts w:hAnsi="宋体"/>
          <w:color w:val="auto"/>
        </w:rPr>
      </w:pPr>
      <w:r>
        <w:rPr>
          <w:rFonts w:hAnsi="宋体"/>
          <w:color w:val="auto"/>
          <w:sz w:val="24"/>
          <w:szCs w:val="24"/>
        </w:rPr>
        <w:br w:type="page"/>
      </w:r>
    </w:p>
    <w:p w14:paraId="0C38B553">
      <w:pPr>
        <w:spacing w:line="360" w:lineRule="auto"/>
        <w:ind w:left="420" w:hanging="420"/>
        <w:rPr>
          <w:rFonts w:ascii="宋体" w:hAnsi="宋体"/>
          <w:b/>
          <w:color w:val="auto"/>
          <w:sz w:val="24"/>
        </w:rPr>
      </w:pPr>
      <w:r>
        <w:rPr>
          <w:rFonts w:hint="eastAsia" w:ascii="宋体" w:hAnsi="宋体"/>
          <w:b/>
          <w:color w:val="auto"/>
          <w:sz w:val="24"/>
        </w:rPr>
        <w:t>附件7</w:t>
      </w:r>
    </w:p>
    <w:p w14:paraId="24C32A0F">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法定代表人（负责人）身份证明书</w:t>
      </w:r>
    </w:p>
    <w:p w14:paraId="211677C8">
      <w:pPr>
        <w:adjustRightInd w:val="0"/>
        <w:snapToGrid w:val="0"/>
        <w:spacing w:line="360" w:lineRule="auto"/>
        <w:ind w:firstLine="960" w:firstLineChars="400"/>
        <w:rPr>
          <w:rFonts w:ascii="宋体" w:hAnsi="宋体"/>
          <w:color w:val="auto"/>
          <w:sz w:val="24"/>
          <w:u w:val="single"/>
        </w:rPr>
      </w:pPr>
    </w:p>
    <w:p w14:paraId="66F02233">
      <w:pPr>
        <w:adjustRightInd w:val="0"/>
        <w:snapToGrid w:val="0"/>
        <w:spacing w:line="360" w:lineRule="auto"/>
        <w:ind w:firstLine="960" w:firstLineChars="40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 xml:space="preserve"> 在我</w:t>
      </w:r>
      <w:r>
        <w:rPr>
          <w:rFonts w:hint="eastAsia" w:ascii="宋体" w:hAnsi="宋体"/>
          <w:color w:val="auto"/>
          <w:sz w:val="24"/>
          <w:u w:val="single"/>
        </w:rPr>
        <w:t xml:space="preserve">       </w:t>
      </w:r>
      <w:r>
        <w:rPr>
          <w:rFonts w:hint="eastAsia" w:ascii="宋体" w:hAnsi="宋体"/>
          <w:color w:val="auto"/>
          <w:sz w:val="24"/>
        </w:rPr>
        <w:t>任</w:t>
      </w:r>
      <w:r>
        <w:rPr>
          <w:rFonts w:hint="eastAsia" w:ascii="宋体" w:hAnsi="宋体"/>
          <w:color w:val="auto"/>
          <w:sz w:val="24"/>
          <w:u w:val="single"/>
        </w:rPr>
        <w:t xml:space="preserve">          </w:t>
      </w:r>
      <w:r>
        <w:rPr>
          <w:rFonts w:hint="eastAsia" w:ascii="宋体" w:hAnsi="宋体"/>
          <w:color w:val="auto"/>
          <w:sz w:val="24"/>
        </w:rPr>
        <w:t>职务，是我</w:t>
      </w:r>
      <w:r>
        <w:rPr>
          <w:rFonts w:hint="eastAsia" w:ascii="宋体" w:hAnsi="宋体"/>
          <w:color w:val="auto"/>
          <w:sz w:val="24"/>
          <w:u w:val="single"/>
        </w:rPr>
        <w:t xml:space="preserve">                 </w:t>
      </w:r>
      <w:r>
        <w:rPr>
          <w:rFonts w:hint="eastAsia" w:ascii="宋体" w:hAnsi="宋体"/>
          <w:color w:val="auto"/>
          <w:sz w:val="24"/>
        </w:rPr>
        <w:t>的法定代表人（负责人）。</w:t>
      </w:r>
    </w:p>
    <w:p w14:paraId="0B9B5746">
      <w:pPr>
        <w:adjustRightInd w:val="0"/>
        <w:snapToGrid w:val="0"/>
        <w:spacing w:line="360" w:lineRule="auto"/>
        <w:ind w:firstLine="840" w:firstLineChars="350"/>
        <w:rPr>
          <w:rFonts w:ascii="宋体" w:hAnsi="宋体"/>
          <w:color w:val="auto"/>
          <w:sz w:val="24"/>
        </w:rPr>
      </w:pPr>
      <w:r>
        <w:rPr>
          <w:rFonts w:hint="eastAsia" w:ascii="宋体" w:hAnsi="宋体"/>
          <w:color w:val="auto"/>
          <w:sz w:val="24"/>
        </w:rPr>
        <w:t>特此证明。</w:t>
      </w:r>
    </w:p>
    <w:p w14:paraId="5B85A459">
      <w:pPr>
        <w:adjustRightInd w:val="0"/>
        <w:snapToGrid w:val="0"/>
        <w:spacing w:line="360" w:lineRule="auto"/>
        <w:rPr>
          <w:rFonts w:ascii="宋体" w:hAnsi="宋体"/>
          <w:color w:val="auto"/>
          <w:sz w:val="24"/>
        </w:rPr>
      </w:pPr>
    </w:p>
    <w:p w14:paraId="0CCB1046">
      <w:pPr>
        <w:adjustRightInd w:val="0"/>
        <w:snapToGrid w:val="0"/>
        <w:spacing w:line="360" w:lineRule="auto"/>
        <w:rPr>
          <w:rFonts w:ascii="宋体" w:hAnsi="宋体"/>
          <w:color w:val="auto"/>
          <w:sz w:val="24"/>
        </w:rPr>
      </w:pPr>
      <w:r>
        <w:rPr>
          <w:rFonts w:hint="eastAsia" w:ascii="宋体" w:hAnsi="宋体"/>
          <w:color w:val="auto"/>
          <w:sz w:val="24"/>
        </w:rPr>
        <w:t xml:space="preserve">                        </w:t>
      </w:r>
    </w:p>
    <w:p w14:paraId="7A86F55D">
      <w:pPr>
        <w:adjustRightInd w:val="0"/>
        <w:snapToGrid w:val="0"/>
        <w:spacing w:line="360" w:lineRule="auto"/>
        <w:rPr>
          <w:rFonts w:ascii="宋体" w:hAnsi="宋体"/>
          <w:color w:val="auto"/>
          <w:sz w:val="24"/>
        </w:rPr>
      </w:pPr>
    </w:p>
    <w:p w14:paraId="0F53C5E5">
      <w:pPr>
        <w:adjustRightInd w:val="0"/>
        <w:snapToGrid w:val="0"/>
        <w:spacing w:line="360" w:lineRule="auto"/>
        <w:ind w:firstLine="3360" w:firstLineChars="1400"/>
        <w:rPr>
          <w:rFonts w:ascii="宋体" w:hAnsi="宋体"/>
          <w:color w:val="auto"/>
          <w:sz w:val="24"/>
          <w:u w:val="single"/>
        </w:rPr>
      </w:pPr>
      <w:r>
        <w:rPr>
          <w:rFonts w:hint="eastAsia" w:ascii="宋体" w:hAnsi="宋体"/>
          <w:color w:val="auto"/>
          <w:sz w:val="24"/>
        </w:rPr>
        <w:t>单位名称：</w:t>
      </w:r>
      <w:r>
        <w:rPr>
          <w:rFonts w:hint="eastAsia" w:ascii="宋体" w:hAnsi="宋体"/>
          <w:color w:val="auto"/>
          <w:sz w:val="24"/>
          <w:u w:val="single"/>
        </w:rPr>
        <w:t xml:space="preserve">                              </w:t>
      </w:r>
    </w:p>
    <w:p w14:paraId="355C357C">
      <w:pPr>
        <w:adjustRightInd w:val="0"/>
        <w:snapToGrid w:val="0"/>
        <w:spacing w:line="360" w:lineRule="auto"/>
        <w:rPr>
          <w:rFonts w:ascii="宋体" w:hAnsi="宋体"/>
          <w:color w:val="auto"/>
          <w:sz w:val="24"/>
        </w:rPr>
      </w:pPr>
      <w:r>
        <w:rPr>
          <w:rFonts w:hint="eastAsia" w:ascii="宋体" w:hAnsi="宋体"/>
          <w:color w:val="auto"/>
          <w:sz w:val="24"/>
        </w:rPr>
        <w:t xml:space="preserve">                                          （单位公章）</w:t>
      </w:r>
    </w:p>
    <w:p w14:paraId="2F30F3E1">
      <w:pPr>
        <w:adjustRightInd w:val="0"/>
        <w:snapToGrid w:val="0"/>
        <w:spacing w:line="360" w:lineRule="auto"/>
        <w:rPr>
          <w:rFonts w:ascii="宋体" w:hAnsi="宋体"/>
          <w:color w:val="auto"/>
          <w:sz w:val="24"/>
        </w:rPr>
      </w:pPr>
    </w:p>
    <w:p w14:paraId="3A858A27">
      <w:pPr>
        <w:adjustRightInd w:val="0"/>
        <w:snapToGrid w:val="0"/>
        <w:spacing w:line="360" w:lineRule="auto"/>
        <w:rPr>
          <w:rFonts w:ascii="宋体" w:hAnsi="宋体"/>
          <w:color w:val="auto"/>
          <w:sz w:val="24"/>
        </w:rPr>
      </w:pPr>
      <w:r>
        <w:rPr>
          <w:rFonts w:hint="eastAsia" w:ascii="宋体" w:hAnsi="宋体"/>
          <w:color w:val="auto"/>
          <w:sz w:val="24"/>
        </w:rPr>
        <w:t xml:space="preserve">                                         年     月    日</w:t>
      </w:r>
    </w:p>
    <w:p w14:paraId="190C6179">
      <w:pPr>
        <w:adjustRightInd w:val="0"/>
        <w:snapToGrid w:val="0"/>
        <w:spacing w:line="360" w:lineRule="auto"/>
        <w:rPr>
          <w:rFonts w:ascii="宋体" w:hAnsi="宋体"/>
          <w:color w:val="auto"/>
          <w:sz w:val="24"/>
        </w:rPr>
      </w:pPr>
    </w:p>
    <w:p w14:paraId="677CE97B">
      <w:pPr>
        <w:adjustRightInd w:val="0"/>
        <w:snapToGrid w:val="0"/>
        <w:spacing w:line="360" w:lineRule="auto"/>
        <w:ind w:firstLine="360" w:firstLineChars="150"/>
        <w:rPr>
          <w:rFonts w:ascii="宋体" w:hAnsi="宋体"/>
          <w:color w:val="auto"/>
          <w:sz w:val="24"/>
        </w:rPr>
      </w:pPr>
    </w:p>
    <w:p w14:paraId="52E102B1">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住    址：</w:t>
      </w:r>
    </w:p>
    <w:p w14:paraId="1163171A">
      <w:pPr>
        <w:adjustRightInd w:val="0"/>
        <w:snapToGrid w:val="0"/>
        <w:spacing w:line="360" w:lineRule="auto"/>
        <w:ind w:firstLine="360" w:firstLineChars="150"/>
        <w:rPr>
          <w:rFonts w:ascii="宋体" w:hAnsi="宋体"/>
          <w:color w:val="auto"/>
          <w:sz w:val="24"/>
        </w:rPr>
      </w:pPr>
    </w:p>
    <w:p w14:paraId="6F55411B">
      <w:pPr>
        <w:pStyle w:val="22"/>
        <w:adjustRightInd w:val="0"/>
        <w:snapToGrid w:val="0"/>
        <w:spacing w:line="360" w:lineRule="auto"/>
        <w:ind w:firstLine="360" w:firstLineChars="150"/>
        <w:rPr>
          <w:rFonts w:hAnsi="宋体"/>
          <w:color w:val="auto"/>
          <w:sz w:val="24"/>
          <w:szCs w:val="24"/>
        </w:rPr>
      </w:pPr>
      <w:r>
        <w:rPr>
          <w:rFonts w:hint="eastAsia" w:hAnsi="宋体"/>
          <w:color w:val="auto"/>
          <w:sz w:val="24"/>
          <w:szCs w:val="24"/>
        </w:rPr>
        <w:t>联系电话：</w:t>
      </w:r>
    </w:p>
    <w:p w14:paraId="40CF643D">
      <w:pPr>
        <w:pStyle w:val="22"/>
        <w:adjustRightInd w:val="0"/>
        <w:snapToGrid w:val="0"/>
        <w:spacing w:line="360" w:lineRule="auto"/>
        <w:ind w:firstLine="360" w:firstLineChars="150"/>
        <w:rPr>
          <w:rFonts w:hAnsi="宋体"/>
          <w:color w:val="auto"/>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7FC5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4" w:type="dxa"/>
          </w:tcPr>
          <w:p w14:paraId="4D9FD686">
            <w:pPr>
              <w:snapToGrid w:val="0"/>
              <w:spacing w:line="360" w:lineRule="auto"/>
              <w:rPr>
                <w:rFonts w:ascii="宋体" w:hAnsi="宋体"/>
                <w:color w:val="auto"/>
                <w:sz w:val="24"/>
              </w:rPr>
            </w:pPr>
            <w:r>
              <w:rPr>
                <w:rFonts w:hint="eastAsia" w:ascii="宋体" w:hAnsi="宋体"/>
                <w:color w:val="auto"/>
                <w:sz w:val="24"/>
              </w:rPr>
              <w:t>贴附“身份证复印件”（正反两面）</w:t>
            </w:r>
          </w:p>
        </w:tc>
      </w:tr>
      <w:tr w14:paraId="50DA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0D67A818">
            <w:pPr>
              <w:snapToGrid w:val="0"/>
              <w:spacing w:line="360" w:lineRule="auto"/>
              <w:rPr>
                <w:rFonts w:ascii="宋体" w:hAnsi="宋体"/>
                <w:color w:val="auto"/>
                <w:szCs w:val="21"/>
              </w:rPr>
            </w:pPr>
          </w:p>
        </w:tc>
      </w:tr>
    </w:tbl>
    <w:p w14:paraId="00A90C42">
      <w:pPr>
        <w:autoSpaceDE w:val="0"/>
        <w:autoSpaceDN w:val="0"/>
        <w:adjustRightInd w:val="0"/>
        <w:snapToGrid w:val="0"/>
        <w:spacing w:line="360" w:lineRule="auto"/>
        <w:rPr>
          <w:rFonts w:ascii="宋体" w:hAnsi="宋体"/>
          <w:b/>
          <w:color w:val="auto"/>
          <w:sz w:val="24"/>
        </w:rPr>
      </w:pPr>
    </w:p>
    <w:p w14:paraId="10B21BA3">
      <w:pPr>
        <w:autoSpaceDE w:val="0"/>
        <w:autoSpaceDN w:val="0"/>
        <w:adjustRightInd w:val="0"/>
        <w:snapToGrid w:val="0"/>
        <w:spacing w:line="360" w:lineRule="auto"/>
        <w:rPr>
          <w:rFonts w:ascii="宋体" w:hAnsi="宋体"/>
          <w:b/>
          <w:color w:val="auto"/>
          <w:sz w:val="24"/>
        </w:rPr>
      </w:pPr>
    </w:p>
    <w:p w14:paraId="5D1B8232">
      <w:pPr>
        <w:autoSpaceDE w:val="0"/>
        <w:autoSpaceDN w:val="0"/>
        <w:adjustRightInd w:val="0"/>
        <w:snapToGrid w:val="0"/>
        <w:spacing w:line="480" w:lineRule="exact"/>
        <w:rPr>
          <w:rFonts w:ascii="宋体" w:hAnsi="宋体"/>
          <w:b/>
          <w:color w:val="auto"/>
          <w:kern w:val="0"/>
          <w:sz w:val="24"/>
        </w:rPr>
      </w:pPr>
      <w:r>
        <w:rPr>
          <w:rFonts w:hint="eastAsia" w:ascii="宋体" w:hAnsi="宋体"/>
          <w:b/>
          <w:color w:val="auto"/>
          <w:sz w:val="24"/>
        </w:rPr>
        <w:t>附件8</w:t>
      </w:r>
    </w:p>
    <w:p w14:paraId="00048842">
      <w:pPr>
        <w:autoSpaceDE w:val="0"/>
        <w:autoSpaceDN w:val="0"/>
        <w:adjustRightInd w:val="0"/>
        <w:snapToGrid w:val="0"/>
        <w:spacing w:line="480" w:lineRule="exact"/>
        <w:ind w:firstLine="14753" w:firstLineChars="3340"/>
        <w:rPr>
          <w:rFonts w:ascii="宋体" w:hAnsi="宋体"/>
          <w:b/>
          <w:color w:val="auto"/>
          <w:kern w:val="0"/>
          <w:sz w:val="44"/>
          <w:szCs w:val="44"/>
        </w:rPr>
      </w:pPr>
    </w:p>
    <w:p w14:paraId="0206E2ED">
      <w:pPr>
        <w:spacing w:line="480" w:lineRule="exact"/>
        <w:ind w:firstLine="640" w:firstLineChars="200"/>
        <w:jc w:val="center"/>
        <w:rPr>
          <w:rFonts w:ascii="宋体" w:hAnsi="宋体"/>
          <w:color w:val="auto"/>
          <w:kern w:val="0"/>
          <w:sz w:val="32"/>
          <w:szCs w:val="21"/>
        </w:rPr>
      </w:pPr>
      <w:r>
        <w:rPr>
          <w:rFonts w:hint="eastAsia" w:ascii="宋体" w:hAnsi="宋体"/>
          <w:color w:val="auto"/>
          <w:kern w:val="0"/>
          <w:sz w:val="32"/>
          <w:szCs w:val="21"/>
        </w:rPr>
        <w:t>承诺函（格式）</w:t>
      </w:r>
    </w:p>
    <w:p w14:paraId="62781E5A">
      <w:pPr>
        <w:widowControl/>
        <w:spacing w:line="480" w:lineRule="exact"/>
        <w:ind w:firstLine="480" w:firstLineChars="200"/>
        <w:jc w:val="left"/>
        <w:rPr>
          <w:rFonts w:ascii="宋体" w:hAnsi="宋体"/>
          <w:color w:val="auto"/>
          <w:kern w:val="0"/>
          <w:sz w:val="24"/>
        </w:rPr>
      </w:pPr>
    </w:p>
    <w:p w14:paraId="59B70FAE">
      <w:pPr>
        <w:widowControl/>
        <w:spacing w:line="480" w:lineRule="exact"/>
        <w:jc w:val="left"/>
        <w:rPr>
          <w:rFonts w:ascii="宋体" w:hAnsi="宋体"/>
          <w:color w:val="auto"/>
          <w:kern w:val="0"/>
          <w:sz w:val="24"/>
        </w:rPr>
      </w:pPr>
      <w:r>
        <w:rPr>
          <w:rFonts w:hint="eastAsia" w:ascii="宋体" w:hAnsi="宋体"/>
          <w:color w:val="auto"/>
          <w:kern w:val="0"/>
          <w:sz w:val="24"/>
          <w:u w:val="single"/>
        </w:rPr>
        <w:t>（采购人）、（采购代理机构）</w:t>
      </w:r>
      <w:r>
        <w:rPr>
          <w:rFonts w:hint="eastAsia" w:ascii="宋体" w:hAnsi="宋体"/>
          <w:color w:val="auto"/>
          <w:kern w:val="0"/>
          <w:sz w:val="24"/>
        </w:rPr>
        <w:t>：</w:t>
      </w:r>
    </w:p>
    <w:p w14:paraId="74FC1013">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我方作为本次采购项目的磋商供应商，根据磋商文件要求，现郑重承诺如下：</w:t>
      </w:r>
    </w:p>
    <w:p w14:paraId="301E799E">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7F34FE81">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二、参加本次采购活动，不存在与单位负责人为同一人或者存在直接控股、管理关系的其他供应商参与同一合同项下的政府采购活动的行为。</w:t>
      </w:r>
    </w:p>
    <w:p w14:paraId="1BE23E26">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5A557147">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四、参加本次采购活动，不存在和其他供应商在同一合同项下的采购项目中，同时委托同一个自然人、同一家庭的人员、同一单位的人员作为代理人的行为。</w:t>
      </w:r>
    </w:p>
    <w:p w14:paraId="08CC1B86">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五、响应文件中提供的能够给予我方带来优惠、好处的任何材料资料和技术、服务、商务、响应产品等响应承诺情况都是真实的、有效的、合法的。</w:t>
      </w:r>
    </w:p>
    <w:p w14:paraId="70353BD6">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六、参加本次采购活动，我方完全同意磋商文件第二章关于“成交费用”、 “履约保证金”的实质性要求，并承诺严格按照磋商文件要求履行。</w:t>
      </w:r>
    </w:p>
    <w:p w14:paraId="70CDBD12">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B3447C6">
      <w:pPr>
        <w:widowControl/>
        <w:spacing w:line="480" w:lineRule="exact"/>
        <w:ind w:firstLine="480" w:firstLineChars="200"/>
        <w:jc w:val="left"/>
        <w:rPr>
          <w:rFonts w:ascii="宋体" w:hAnsi="宋体"/>
          <w:color w:val="auto"/>
          <w:kern w:val="0"/>
          <w:sz w:val="24"/>
        </w:rPr>
      </w:pPr>
      <w:r>
        <w:rPr>
          <w:rFonts w:hint="eastAsia" w:ascii="宋体" w:hAnsi="宋体"/>
          <w:color w:val="auto"/>
          <w:kern w:val="0"/>
          <w:sz w:val="24"/>
        </w:rPr>
        <w:t>我方对上述承诺的内容事项真实性负责。如经查实上述承诺的内容事项存在虚假，我方愿意接受以提供虚假材料谋取成交追究法律责任。</w:t>
      </w:r>
    </w:p>
    <w:p w14:paraId="1ABF1AE4">
      <w:pPr>
        <w:adjustRightInd w:val="0"/>
        <w:snapToGrid w:val="0"/>
        <w:spacing w:line="480" w:lineRule="exact"/>
        <w:ind w:right="1470" w:rightChars="700"/>
        <w:rPr>
          <w:rFonts w:ascii="宋体" w:hAnsi="宋体"/>
          <w:color w:val="auto"/>
          <w:kern w:val="0"/>
          <w:sz w:val="24"/>
        </w:rPr>
      </w:pPr>
    </w:p>
    <w:p w14:paraId="55B56493">
      <w:pPr>
        <w:adjustRightInd w:val="0"/>
        <w:snapToGrid w:val="0"/>
        <w:spacing w:line="480" w:lineRule="exact"/>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35C09E0C">
      <w:pPr>
        <w:adjustRightInd w:val="0"/>
        <w:snapToGrid w:val="0"/>
        <w:spacing w:line="480" w:lineRule="exact"/>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34CF2630">
      <w:pPr>
        <w:spacing w:line="480" w:lineRule="exact"/>
        <w:ind w:firstLine="960" w:firstLineChars="400"/>
        <w:rPr>
          <w:rFonts w:ascii="宋体" w:hAnsi="宋体"/>
          <w:color w:val="auto"/>
          <w:sz w:val="24"/>
        </w:rPr>
      </w:pPr>
      <w:r>
        <w:rPr>
          <w:rFonts w:hint="eastAsia" w:ascii="宋体" w:hAnsi="宋体"/>
          <w:color w:val="auto"/>
          <w:sz w:val="24"/>
        </w:rPr>
        <w:t>日期：  年   月   日</w:t>
      </w:r>
    </w:p>
    <w:p w14:paraId="3730575D">
      <w:pPr>
        <w:pStyle w:val="88"/>
        <w:spacing w:before="0" w:after="0" w:line="480" w:lineRule="exact"/>
        <w:rPr>
          <w:rFonts w:ascii="宋体" w:hAnsi="宋体" w:eastAsia="宋体"/>
          <w:color w:val="auto"/>
        </w:rPr>
      </w:pPr>
    </w:p>
    <w:p w14:paraId="0ACF416B">
      <w:pPr>
        <w:pStyle w:val="88"/>
        <w:spacing w:before="0" w:after="0" w:line="480" w:lineRule="exact"/>
        <w:rPr>
          <w:rFonts w:ascii="宋体" w:hAnsi="宋体" w:eastAsia="宋体"/>
          <w:color w:val="auto"/>
        </w:rPr>
      </w:pPr>
    </w:p>
    <w:p w14:paraId="26BA6B0C">
      <w:pPr>
        <w:pStyle w:val="88"/>
        <w:spacing w:before="0" w:after="0" w:line="480" w:lineRule="exact"/>
        <w:rPr>
          <w:rFonts w:ascii="宋体" w:hAnsi="宋体" w:eastAsia="宋体"/>
          <w:color w:val="auto"/>
        </w:rPr>
      </w:pPr>
    </w:p>
    <w:p w14:paraId="2DDD588E">
      <w:pPr>
        <w:pStyle w:val="88"/>
        <w:spacing w:before="0" w:after="0" w:line="480" w:lineRule="exact"/>
        <w:rPr>
          <w:rFonts w:ascii="宋体" w:hAnsi="宋体" w:eastAsia="宋体"/>
          <w:color w:val="auto"/>
        </w:rPr>
      </w:pPr>
    </w:p>
    <w:p w14:paraId="2C571AB1">
      <w:pPr>
        <w:pStyle w:val="88"/>
        <w:spacing w:before="0" w:after="0" w:line="360" w:lineRule="auto"/>
        <w:rPr>
          <w:rFonts w:ascii="宋体" w:hAnsi="宋体" w:eastAsia="宋体"/>
          <w:color w:val="auto"/>
        </w:rPr>
      </w:pPr>
    </w:p>
    <w:p w14:paraId="761BF65A">
      <w:pPr>
        <w:pStyle w:val="88"/>
        <w:spacing w:before="0" w:after="0" w:line="360" w:lineRule="auto"/>
        <w:rPr>
          <w:rFonts w:ascii="宋体" w:hAnsi="宋体" w:eastAsia="宋体"/>
          <w:color w:val="auto"/>
        </w:rPr>
      </w:pPr>
    </w:p>
    <w:p w14:paraId="2BDA73A1">
      <w:pPr>
        <w:pStyle w:val="88"/>
        <w:spacing w:before="0" w:after="0" w:line="360" w:lineRule="auto"/>
        <w:rPr>
          <w:rFonts w:ascii="宋体" w:hAnsi="宋体" w:eastAsia="宋体"/>
          <w:color w:val="auto"/>
        </w:rPr>
      </w:pPr>
    </w:p>
    <w:p w14:paraId="6E8A1C2B">
      <w:pPr>
        <w:pStyle w:val="88"/>
        <w:spacing w:before="0" w:after="0" w:line="360" w:lineRule="auto"/>
        <w:rPr>
          <w:rFonts w:ascii="宋体" w:hAnsi="宋体" w:eastAsia="宋体"/>
          <w:color w:val="auto"/>
        </w:rPr>
      </w:pPr>
    </w:p>
    <w:p w14:paraId="39D5A6DB">
      <w:pPr>
        <w:pStyle w:val="88"/>
        <w:spacing w:before="0" w:after="0" w:line="360" w:lineRule="auto"/>
        <w:rPr>
          <w:rFonts w:ascii="宋体" w:hAnsi="宋体" w:eastAsia="宋体"/>
          <w:color w:val="auto"/>
        </w:rPr>
      </w:pPr>
    </w:p>
    <w:p w14:paraId="5EA8733A">
      <w:pPr>
        <w:pStyle w:val="88"/>
        <w:spacing w:before="0" w:after="0" w:line="360" w:lineRule="auto"/>
        <w:rPr>
          <w:rFonts w:ascii="宋体" w:hAnsi="宋体" w:eastAsia="宋体"/>
          <w:color w:val="auto"/>
        </w:rPr>
      </w:pPr>
    </w:p>
    <w:p w14:paraId="7B723E8E">
      <w:pPr>
        <w:pStyle w:val="88"/>
        <w:spacing w:before="0" w:after="0" w:line="360" w:lineRule="auto"/>
        <w:rPr>
          <w:rFonts w:ascii="宋体" w:hAnsi="宋体" w:eastAsia="宋体"/>
          <w:color w:val="auto"/>
        </w:rPr>
      </w:pPr>
    </w:p>
    <w:p w14:paraId="5CC465CA">
      <w:pPr>
        <w:pStyle w:val="88"/>
        <w:spacing w:before="0" w:after="0" w:line="360" w:lineRule="auto"/>
        <w:rPr>
          <w:rFonts w:ascii="宋体" w:hAnsi="宋体" w:eastAsia="宋体"/>
          <w:color w:val="auto"/>
        </w:rPr>
      </w:pPr>
    </w:p>
    <w:p w14:paraId="6F8D7585">
      <w:pPr>
        <w:pStyle w:val="88"/>
        <w:spacing w:before="0" w:after="0" w:line="360" w:lineRule="auto"/>
        <w:rPr>
          <w:rFonts w:ascii="宋体" w:hAnsi="宋体" w:eastAsia="宋体"/>
          <w:color w:val="auto"/>
        </w:rPr>
      </w:pPr>
    </w:p>
    <w:p w14:paraId="2690C34C">
      <w:pPr>
        <w:pStyle w:val="88"/>
        <w:spacing w:before="0" w:after="0" w:line="360" w:lineRule="auto"/>
        <w:rPr>
          <w:rFonts w:ascii="宋体" w:hAnsi="宋体" w:eastAsia="宋体"/>
          <w:color w:val="auto"/>
        </w:rPr>
      </w:pPr>
    </w:p>
    <w:p w14:paraId="7A6BC27F">
      <w:pPr>
        <w:pStyle w:val="88"/>
        <w:spacing w:before="0" w:after="0" w:line="360" w:lineRule="auto"/>
        <w:rPr>
          <w:rFonts w:ascii="宋体" w:hAnsi="宋体" w:eastAsia="宋体"/>
          <w:color w:val="auto"/>
        </w:rPr>
      </w:pPr>
    </w:p>
    <w:p w14:paraId="5EAB4AC1">
      <w:pPr>
        <w:pStyle w:val="88"/>
        <w:spacing w:before="0" w:after="0" w:line="360" w:lineRule="auto"/>
        <w:rPr>
          <w:rFonts w:ascii="宋体" w:hAnsi="宋体" w:eastAsia="宋体"/>
          <w:color w:val="auto"/>
        </w:rPr>
      </w:pPr>
    </w:p>
    <w:p w14:paraId="6E1F08B2">
      <w:pPr>
        <w:pStyle w:val="88"/>
        <w:spacing w:before="0" w:after="0" w:line="360" w:lineRule="auto"/>
        <w:rPr>
          <w:rFonts w:ascii="宋体" w:hAnsi="宋体" w:eastAsia="宋体"/>
          <w:color w:val="auto"/>
        </w:rPr>
      </w:pPr>
    </w:p>
    <w:p w14:paraId="0204470F">
      <w:pPr>
        <w:pStyle w:val="88"/>
        <w:spacing w:before="0" w:after="0" w:line="360" w:lineRule="auto"/>
        <w:rPr>
          <w:rFonts w:ascii="宋体" w:hAnsi="宋体" w:eastAsia="宋体"/>
          <w:color w:val="auto"/>
        </w:rPr>
      </w:pPr>
    </w:p>
    <w:p w14:paraId="42BB4096">
      <w:pPr>
        <w:pStyle w:val="88"/>
        <w:spacing w:before="0" w:after="0" w:line="360" w:lineRule="auto"/>
        <w:rPr>
          <w:rFonts w:ascii="宋体" w:hAnsi="宋体" w:eastAsia="宋体"/>
          <w:color w:val="auto"/>
        </w:rPr>
      </w:pPr>
    </w:p>
    <w:p w14:paraId="59F26311">
      <w:pPr>
        <w:pStyle w:val="88"/>
        <w:spacing w:before="0" w:after="0" w:line="360" w:lineRule="auto"/>
        <w:rPr>
          <w:rFonts w:ascii="宋体" w:hAnsi="宋体" w:eastAsia="宋体"/>
          <w:color w:val="auto"/>
        </w:rPr>
      </w:pPr>
    </w:p>
    <w:p w14:paraId="3D5CAF04">
      <w:pPr>
        <w:pStyle w:val="88"/>
        <w:spacing w:before="0" w:after="0" w:line="360" w:lineRule="auto"/>
        <w:rPr>
          <w:rFonts w:ascii="宋体" w:hAnsi="宋体" w:eastAsia="宋体"/>
          <w:color w:val="auto"/>
        </w:rPr>
      </w:pPr>
    </w:p>
    <w:p w14:paraId="698AD823">
      <w:pPr>
        <w:pStyle w:val="88"/>
        <w:spacing w:before="0" w:after="0" w:line="360" w:lineRule="auto"/>
        <w:rPr>
          <w:rFonts w:ascii="宋体" w:hAnsi="宋体" w:eastAsia="宋体"/>
          <w:color w:val="auto"/>
        </w:rPr>
      </w:pPr>
    </w:p>
    <w:p w14:paraId="04787042">
      <w:pPr>
        <w:pStyle w:val="88"/>
        <w:spacing w:before="0" w:after="0" w:line="360" w:lineRule="auto"/>
        <w:rPr>
          <w:rFonts w:ascii="宋体" w:hAnsi="宋体" w:eastAsia="宋体"/>
          <w:color w:val="auto"/>
        </w:rPr>
      </w:pPr>
    </w:p>
    <w:p w14:paraId="4A621A42">
      <w:pPr>
        <w:pStyle w:val="88"/>
        <w:spacing w:before="0" w:after="0" w:line="360" w:lineRule="auto"/>
        <w:rPr>
          <w:rFonts w:ascii="宋体" w:hAnsi="宋体" w:eastAsia="宋体"/>
          <w:color w:val="auto"/>
        </w:rPr>
      </w:pPr>
    </w:p>
    <w:p w14:paraId="55E0645C">
      <w:pPr>
        <w:pStyle w:val="88"/>
        <w:spacing w:before="0" w:after="0" w:line="360" w:lineRule="auto"/>
        <w:rPr>
          <w:rFonts w:ascii="宋体" w:hAnsi="宋体" w:eastAsia="宋体"/>
          <w:color w:val="auto"/>
        </w:rPr>
      </w:pPr>
    </w:p>
    <w:p w14:paraId="4AB9A9BC">
      <w:pPr>
        <w:pStyle w:val="88"/>
        <w:spacing w:before="0" w:after="0" w:line="360" w:lineRule="auto"/>
        <w:rPr>
          <w:rFonts w:ascii="宋体" w:hAnsi="宋体" w:eastAsia="宋体"/>
          <w:color w:val="auto"/>
        </w:rPr>
      </w:pPr>
    </w:p>
    <w:p w14:paraId="7BF88440">
      <w:pPr>
        <w:spacing w:line="360" w:lineRule="auto"/>
        <w:rPr>
          <w:rFonts w:ascii="宋体" w:hAnsi="宋体"/>
          <w:b/>
          <w:color w:val="auto"/>
          <w:sz w:val="24"/>
        </w:rPr>
      </w:pPr>
      <w:r>
        <w:rPr>
          <w:rFonts w:hint="eastAsia" w:ascii="宋体" w:hAnsi="宋体"/>
          <w:b/>
          <w:color w:val="auto"/>
          <w:sz w:val="24"/>
        </w:rPr>
        <w:t>附件9</w:t>
      </w:r>
    </w:p>
    <w:p w14:paraId="407915A3">
      <w:pPr>
        <w:spacing w:line="360" w:lineRule="auto"/>
        <w:rPr>
          <w:rFonts w:ascii="宋体" w:hAnsi="宋体"/>
          <w:b/>
          <w:color w:val="auto"/>
          <w:sz w:val="24"/>
        </w:rPr>
      </w:pPr>
    </w:p>
    <w:p w14:paraId="6229D039">
      <w:pPr>
        <w:tabs>
          <w:tab w:val="left" w:pos="5387"/>
        </w:tabs>
        <w:spacing w:line="360" w:lineRule="auto"/>
        <w:jc w:val="center"/>
        <w:rPr>
          <w:rFonts w:ascii="宋体" w:hAnsi="宋体" w:cs="宋体"/>
          <w:color w:val="auto"/>
          <w:sz w:val="32"/>
          <w:szCs w:val="32"/>
        </w:rPr>
      </w:pPr>
      <w:r>
        <w:rPr>
          <w:rFonts w:hint="eastAsia" w:ascii="宋体" w:hAnsi="宋体"/>
          <w:b/>
          <w:color w:val="auto"/>
          <w:sz w:val="32"/>
          <w:szCs w:val="32"/>
        </w:rPr>
        <w:t>施工组织设计</w:t>
      </w:r>
    </w:p>
    <w:p w14:paraId="6FD7AEB0">
      <w:pPr>
        <w:spacing w:line="360" w:lineRule="auto"/>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C7B695A">
      <w:pPr>
        <w:spacing w:line="360" w:lineRule="auto"/>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．施工组织设计除采用文字表述外可附下列图表，图表及格式要求附后。</w:t>
      </w:r>
    </w:p>
    <w:p w14:paraId="40C33920">
      <w:pPr>
        <w:spacing w:line="360" w:lineRule="auto"/>
        <w:ind w:firstLine="480" w:firstLineChars="200"/>
        <w:rPr>
          <w:rFonts w:ascii="宋体" w:hAnsi="宋体" w:cs="宋体"/>
          <w:color w:val="auto"/>
          <w:sz w:val="24"/>
        </w:rPr>
      </w:pPr>
      <w:r>
        <w:rPr>
          <w:rFonts w:hint="eastAsia" w:ascii="宋体" w:hAnsi="宋体" w:cs="宋体"/>
          <w:color w:val="auto"/>
          <w:sz w:val="24"/>
        </w:rPr>
        <w:t>附表一</w:t>
      </w:r>
      <w:r>
        <w:rPr>
          <w:rFonts w:ascii="宋体" w:hAnsi="宋体" w:cs="宋体"/>
          <w:color w:val="auto"/>
          <w:sz w:val="24"/>
        </w:rPr>
        <w:t xml:space="preserve">  </w:t>
      </w:r>
      <w:r>
        <w:rPr>
          <w:rFonts w:hint="eastAsia" w:ascii="宋体" w:hAnsi="宋体" w:cs="宋体"/>
          <w:color w:val="auto"/>
          <w:sz w:val="24"/>
        </w:rPr>
        <w:t>拟投入本工程的主要施工设备表</w:t>
      </w:r>
    </w:p>
    <w:p w14:paraId="087F3663">
      <w:pPr>
        <w:spacing w:line="360" w:lineRule="auto"/>
        <w:ind w:firstLine="480" w:firstLineChars="200"/>
        <w:rPr>
          <w:rFonts w:ascii="宋体" w:hAnsi="宋体" w:cs="宋体"/>
          <w:color w:val="auto"/>
          <w:sz w:val="24"/>
        </w:rPr>
      </w:pPr>
      <w:r>
        <w:rPr>
          <w:rFonts w:hint="eastAsia" w:ascii="宋体" w:hAnsi="宋体" w:cs="宋体"/>
          <w:color w:val="auto"/>
          <w:sz w:val="24"/>
        </w:rPr>
        <w:t>附表二</w:t>
      </w:r>
      <w:r>
        <w:rPr>
          <w:rFonts w:ascii="宋体" w:hAnsi="宋体" w:cs="宋体"/>
          <w:color w:val="auto"/>
          <w:sz w:val="24"/>
        </w:rPr>
        <w:t xml:space="preserve">  </w:t>
      </w:r>
      <w:r>
        <w:rPr>
          <w:rFonts w:hint="eastAsia" w:ascii="宋体" w:hAnsi="宋体" w:cs="宋体"/>
          <w:color w:val="auto"/>
          <w:sz w:val="24"/>
        </w:rPr>
        <w:t>拟配备本工程的试验和检测仪器设备表</w:t>
      </w:r>
    </w:p>
    <w:p w14:paraId="40603D85">
      <w:pPr>
        <w:spacing w:line="360" w:lineRule="auto"/>
        <w:ind w:firstLine="480" w:firstLineChars="200"/>
        <w:rPr>
          <w:rFonts w:ascii="宋体" w:hAnsi="宋体" w:cs="宋体"/>
          <w:color w:val="auto"/>
          <w:sz w:val="24"/>
        </w:rPr>
      </w:pPr>
      <w:r>
        <w:rPr>
          <w:rFonts w:hint="eastAsia" w:ascii="宋体" w:hAnsi="宋体" w:cs="宋体"/>
          <w:color w:val="auto"/>
          <w:sz w:val="24"/>
        </w:rPr>
        <w:t>附表三</w:t>
      </w:r>
      <w:r>
        <w:rPr>
          <w:rFonts w:ascii="宋体" w:hAnsi="宋体" w:cs="宋体"/>
          <w:color w:val="auto"/>
          <w:sz w:val="24"/>
        </w:rPr>
        <w:t xml:space="preserve">  </w:t>
      </w:r>
      <w:r>
        <w:rPr>
          <w:rFonts w:hint="eastAsia" w:ascii="宋体" w:hAnsi="宋体" w:cs="宋体"/>
          <w:color w:val="auto"/>
          <w:sz w:val="24"/>
        </w:rPr>
        <w:t>劳动力计划表</w:t>
      </w:r>
    </w:p>
    <w:p w14:paraId="4B372E88">
      <w:pPr>
        <w:spacing w:line="360" w:lineRule="auto"/>
        <w:ind w:firstLine="480" w:firstLineChars="200"/>
        <w:rPr>
          <w:rFonts w:ascii="宋体" w:hAnsi="宋体" w:cs="宋体"/>
          <w:color w:val="auto"/>
          <w:sz w:val="24"/>
        </w:rPr>
      </w:pPr>
      <w:r>
        <w:rPr>
          <w:rFonts w:hint="eastAsia" w:ascii="宋体" w:hAnsi="宋体" w:cs="宋体"/>
          <w:color w:val="auto"/>
          <w:sz w:val="24"/>
        </w:rPr>
        <w:t>附表四</w:t>
      </w:r>
      <w:r>
        <w:rPr>
          <w:rFonts w:ascii="宋体" w:hAnsi="宋体" w:cs="宋体"/>
          <w:color w:val="auto"/>
          <w:sz w:val="24"/>
        </w:rPr>
        <w:t xml:space="preserve">  </w:t>
      </w:r>
      <w:r>
        <w:rPr>
          <w:rFonts w:hint="eastAsia" w:ascii="宋体" w:hAnsi="宋体" w:cs="宋体"/>
          <w:color w:val="auto"/>
          <w:sz w:val="24"/>
        </w:rPr>
        <w:t>计划开、竣工日期和施工进度网络图</w:t>
      </w:r>
    </w:p>
    <w:p w14:paraId="044D6E6A">
      <w:pPr>
        <w:spacing w:line="360" w:lineRule="auto"/>
        <w:ind w:firstLine="480" w:firstLineChars="200"/>
        <w:rPr>
          <w:rFonts w:ascii="宋体" w:hAnsi="宋体" w:cs="宋体"/>
          <w:color w:val="auto"/>
          <w:sz w:val="24"/>
        </w:rPr>
      </w:pPr>
      <w:r>
        <w:rPr>
          <w:rFonts w:hint="eastAsia" w:ascii="宋体" w:hAnsi="宋体" w:cs="宋体"/>
          <w:color w:val="auto"/>
          <w:sz w:val="24"/>
        </w:rPr>
        <w:t>附表五</w:t>
      </w:r>
      <w:r>
        <w:rPr>
          <w:rFonts w:ascii="宋体" w:hAnsi="宋体" w:cs="宋体"/>
          <w:color w:val="auto"/>
          <w:sz w:val="24"/>
        </w:rPr>
        <w:t xml:space="preserve">  </w:t>
      </w:r>
      <w:r>
        <w:rPr>
          <w:rFonts w:hint="eastAsia" w:ascii="宋体" w:hAnsi="宋体" w:cs="宋体"/>
          <w:color w:val="auto"/>
          <w:sz w:val="24"/>
        </w:rPr>
        <w:t>施工总平面图</w:t>
      </w:r>
    </w:p>
    <w:p w14:paraId="3DEF23DA">
      <w:pPr>
        <w:spacing w:line="360" w:lineRule="auto"/>
        <w:ind w:firstLine="480" w:firstLineChars="200"/>
        <w:rPr>
          <w:rFonts w:ascii="宋体" w:hAnsi="宋体" w:cs="宋体"/>
          <w:color w:val="auto"/>
          <w:sz w:val="24"/>
        </w:rPr>
      </w:pPr>
      <w:r>
        <w:rPr>
          <w:rFonts w:hint="eastAsia" w:ascii="宋体" w:hAnsi="宋体" w:cs="宋体"/>
          <w:color w:val="auto"/>
          <w:sz w:val="24"/>
        </w:rPr>
        <w:t>附表六</w:t>
      </w:r>
      <w:r>
        <w:rPr>
          <w:rFonts w:ascii="宋体" w:hAnsi="宋体" w:cs="宋体"/>
          <w:color w:val="auto"/>
          <w:sz w:val="24"/>
        </w:rPr>
        <w:t xml:space="preserve">  </w:t>
      </w:r>
      <w:r>
        <w:rPr>
          <w:rFonts w:hint="eastAsia" w:ascii="宋体" w:hAnsi="宋体" w:cs="宋体"/>
          <w:color w:val="auto"/>
          <w:sz w:val="24"/>
        </w:rPr>
        <w:t>临时用地表</w:t>
      </w:r>
    </w:p>
    <w:p w14:paraId="08EB0A06">
      <w:pPr>
        <w:spacing w:line="360" w:lineRule="auto"/>
        <w:ind w:firstLine="480" w:firstLineChars="200"/>
        <w:rPr>
          <w:rFonts w:ascii="宋体" w:hAnsi="宋体" w:cs="宋体"/>
          <w:color w:val="auto"/>
          <w:sz w:val="24"/>
        </w:rPr>
      </w:pPr>
    </w:p>
    <w:p w14:paraId="545A4C31">
      <w:pPr>
        <w:spacing w:line="360" w:lineRule="auto"/>
        <w:rPr>
          <w:rFonts w:ascii="宋体" w:hAnsi="宋体" w:cs="宋体"/>
          <w:color w:val="auto"/>
          <w:sz w:val="24"/>
        </w:rPr>
      </w:pPr>
      <w:r>
        <w:rPr>
          <w:rFonts w:hint="eastAsia" w:ascii="宋体" w:hAnsi="宋体" w:cs="宋体"/>
          <w:color w:val="auto"/>
          <w:sz w:val="24"/>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4FA6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1356C9F">
            <w:pPr>
              <w:spacing w:line="360" w:lineRule="auto"/>
              <w:jc w:val="center"/>
              <w:rPr>
                <w:rFonts w:ascii="宋体" w:hAnsi="宋体" w:cs="宋体"/>
                <w:color w:val="auto"/>
                <w:sz w:val="24"/>
              </w:rPr>
            </w:pPr>
            <w:r>
              <w:rPr>
                <w:rFonts w:hint="eastAsia" w:ascii="宋体" w:hAnsi="宋体" w:cs="宋体"/>
                <w:color w:val="auto"/>
                <w:sz w:val="24"/>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77FF5148">
            <w:pPr>
              <w:spacing w:line="360" w:lineRule="auto"/>
              <w:jc w:val="center"/>
              <w:rPr>
                <w:rFonts w:ascii="宋体" w:hAnsi="宋体" w:cs="宋体"/>
                <w:color w:val="auto"/>
                <w:sz w:val="24"/>
              </w:rPr>
            </w:pPr>
            <w:r>
              <w:rPr>
                <w:rFonts w:hint="eastAsia" w:ascii="宋体" w:hAnsi="宋体" w:cs="宋体"/>
                <w:color w:val="auto"/>
                <w:sz w:val="24"/>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80B9F68">
            <w:pPr>
              <w:spacing w:line="360" w:lineRule="auto"/>
              <w:jc w:val="center"/>
              <w:rPr>
                <w:rFonts w:ascii="宋体" w:hAnsi="宋体" w:cs="宋体"/>
                <w:color w:val="auto"/>
                <w:sz w:val="24"/>
              </w:rPr>
            </w:pPr>
            <w:r>
              <w:rPr>
                <w:rFonts w:hint="eastAsia" w:ascii="宋体" w:hAnsi="宋体" w:cs="宋体"/>
                <w:color w:val="auto"/>
                <w:sz w:val="24"/>
              </w:rPr>
              <w:t>型号</w:t>
            </w:r>
          </w:p>
          <w:p w14:paraId="5597AA6B">
            <w:pPr>
              <w:spacing w:line="360" w:lineRule="auto"/>
              <w:jc w:val="center"/>
              <w:rPr>
                <w:rFonts w:ascii="宋体" w:hAnsi="宋体" w:cs="宋体"/>
                <w:color w:val="auto"/>
                <w:sz w:val="24"/>
              </w:rPr>
            </w:pPr>
            <w:r>
              <w:rPr>
                <w:rFonts w:hint="eastAsia" w:ascii="宋体" w:hAnsi="宋体" w:cs="宋体"/>
                <w:color w:val="auto"/>
                <w:sz w:val="24"/>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496A6E1">
            <w:pPr>
              <w:spacing w:line="360" w:lineRule="auto"/>
              <w:jc w:val="center"/>
              <w:rPr>
                <w:rFonts w:ascii="宋体" w:hAnsi="宋体" w:cs="宋体"/>
                <w:color w:val="auto"/>
                <w:sz w:val="24"/>
              </w:rPr>
            </w:pPr>
            <w:r>
              <w:rPr>
                <w:rFonts w:hint="eastAsia" w:ascii="宋体" w:hAnsi="宋体" w:cs="宋体"/>
                <w:color w:val="auto"/>
                <w:sz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2EC92BF8">
            <w:pPr>
              <w:spacing w:line="360" w:lineRule="auto"/>
              <w:jc w:val="center"/>
              <w:rPr>
                <w:rFonts w:ascii="宋体" w:hAnsi="宋体" w:cs="宋体"/>
                <w:color w:val="auto"/>
                <w:sz w:val="24"/>
              </w:rPr>
            </w:pPr>
            <w:r>
              <w:rPr>
                <w:rFonts w:hint="eastAsia" w:ascii="宋体" w:hAnsi="宋体" w:cs="宋体"/>
                <w:color w:val="auto"/>
                <w:sz w:val="24"/>
              </w:rPr>
              <w:t>国别</w:t>
            </w:r>
          </w:p>
          <w:p w14:paraId="114DDCAA">
            <w:pPr>
              <w:spacing w:line="360" w:lineRule="auto"/>
              <w:jc w:val="center"/>
              <w:rPr>
                <w:rFonts w:ascii="宋体" w:hAnsi="宋体" w:cs="宋体"/>
                <w:color w:val="auto"/>
                <w:sz w:val="24"/>
              </w:rPr>
            </w:pPr>
            <w:r>
              <w:rPr>
                <w:rFonts w:hint="eastAsia" w:ascii="宋体" w:hAnsi="宋体" w:cs="宋体"/>
                <w:color w:val="auto"/>
                <w:sz w:val="24"/>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FBE8EEB">
            <w:pPr>
              <w:spacing w:line="360" w:lineRule="auto"/>
              <w:jc w:val="center"/>
              <w:rPr>
                <w:rFonts w:ascii="宋体" w:hAnsi="宋体" w:cs="宋体"/>
                <w:color w:val="auto"/>
                <w:sz w:val="24"/>
              </w:rPr>
            </w:pPr>
            <w:r>
              <w:rPr>
                <w:rFonts w:hint="eastAsia" w:ascii="宋体" w:hAnsi="宋体" w:cs="宋体"/>
                <w:color w:val="auto"/>
                <w:sz w:val="24"/>
              </w:rPr>
              <w:t>制造</w:t>
            </w:r>
          </w:p>
          <w:p w14:paraId="31FF3B86">
            <w:pPr>
              <w:spacing w:line="360" w:lineRule="auto"/>
              <w:jc w:val="center"/>
              <w:rPr>
                <w:rFonts w:ascii="宋体" w:hAnsi="宋体" w:cs="宋体"/>
                <w:color w:val="auto"/>
                <w:sz w:val="24"/>
              </w:rPr>
            </w:pPr>
            <w:r>
              <w:rPr>
                <w:rFonts w:hint="eastAsia" w:ascii="宋体" w:hAnsi="宋体" w:cs="宋体"/>
                <w:color w:val="auto"/>
                <w:sz w:val="24"/>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047FDA61">
            <w:pPr>
              <w:spacing w:line="360" w:lineRule="auto"/>
              <w:jc w:val="center"/>
              <w:rPr>
                <w:rFonts w:ascii="宋体" w:hAnsi="宋体" w:cs="宋体"/>
                <w:color w:val="auto"/>
                <w:sz w:val="24"/>
              </w:rPr>
            </w:pPr>
            <w:r>
              <w:rPr>
                <w:rFonts w:hint="eastAsia" w:ascii="宋体" w:hAnsi="宋体" w:cs="宋体"/>
                <w:color w:val="auto"/>
                <w:sz w:val="24"/>
              </w:rPr>
              <w:t>额定功率</w:t>
            </w:r>
          </w:p>
          <w:p w14:paraId="1297B9C7">
            <w:pPr>
              <w:spacing w:line="360" w:lineRule="auto"/>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KW</w:t>
            </w:r>
            <w:r>
              <w:rPr>
                <w:rFonts w:hint="eastAsia" w:ascii="宋体" w:hAnsi="宋体" w:cs="宋体"/>
                <w:color w:val="auto"/>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1739D8DC">
            <w:pPr>
              <w:spacing w:line="360" w:lineRule="auto"/>
              <w:jc w:val="center"/>
              <w:rPr>
                <w:rFonts w:ascii="宋体" w:hAnsi="宋体" w:cs="宋体"/>
                <w:color w:val="auto"/>
                <w:sz w:val="24"/>
              </w:rPr>
            </w:pPr>
            <w:r>
              <w:rPr>
                <w:rFonts w:hint="eastAsia" w:ascii="宋体" w:hAnsi="宋体" w:cs="宋体"/>
                <w:color w:val="auto"/>
                <w:sz w:val="24"/>
              </w:rPr>
              <w:t>生产</w:t>
            </w:r>
          </w:p>
          <w:p w14:paraId="33D1441C">
            <w:pPr>
              <w:spacing w:line="360" w:lineRule="auto"/>
              <w:jc w:val="center"/>
              <w:rPr>
                <w:rFonts w:ascii="宋体" w:hAnsi="宋体" w:cs="宋体"/>
                <w:color w:val="auto"/>
                <w:sz w:val="24"/>
              </w:rPr>
            </w:pPr>
            <w:r>
              <w:rPr>
                <w:rFonts w:hint="eastAsia" w:ascii="宋体" w:hAnsi="宋体" w:cs="宋体"/>
                <w:color w:val="auto"/>
                <w:sz w:val="24"/>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6D6E93A4">
            <w:pPr>
              <w:spacing w:line="360" w:lineRule="auto"/>
              <w:jc w:val="center"/>
              <w:rPr>
                <w:rFonts w:ascii="宋体" w:hAnsi="宋体" w:cs="宋体"/>
                <w:color w:val="auto"/>
                <w:sz w:val="24"/>
              </w:rPr>
            </w:pPr>
            <w:r>
              <w:rPr>
                <w:rFonts w:hint="eastAsia" w:ascii="宋体" w:hAnsi="宋体" w:cs="宋体"/>
                <w:color w:val="auto"/>
                <w:sz w:val="24"/>
              </w:rPr>
              <w:t>用于施</w:t>
            </w:r>
          </w:p>
          <w:p w14:paraId="7E253662">
            <w:pPr>
              <w:spacing w:line="360" w:lineRule="auto"/>
              <w:jc w:val="center"/>
              <w:rPr>
                <w:rFonts w:ascii="宋体" w:hAnsi="宋体" w:cs="宋体"/>
                <w:color w:val="auto"/>
                <w:sz w:val="24"/>
              </w:rPr>
            </w:pPr>
            <w:r>
              <w:rPr>
                <w:rFonts w:hint="eastAsia" w:ascii="宋体" w:hAnsi="宋体" w:cs="宋体"/>
                <w:color w:val="auto"/>
                <w:sz w:val="24"/>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0583DDF0">
            <w:pPr>
              <w:spacing w:line="360" w:lineRule="auto"/>
              <w:jc w:val="center"/>
              <w:rPr>
                <w:rFonts w:ascii="宋体" w:hAnsi="宋体" w:cs="宋体"/>
                <w:color w:val="auto"/>
                <w:sz w:val="24"/>
              </w:rPr>
            </w:pPr>
            <w:r>
              <w:rPr>
                <w:rFonts w:hint="eastAsia" w:ascii="宋体" w:hAnsi="宋体" w:cs="宋体"/>
                <w:color w:val="auto"/>
                <w:sz w:val="24"/>
              </w:rPr>
              <w:t>备注</w:t>
            </w:r>
          </w:p>
        </w:tc>
      </w:tr>
      <w:tr w14:paraId="4CFE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CE34736">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41AE9858">
            <w:pPr>
              <w:spacing w:line="360" w:lineRule="auto"/>
              <w:ind w:firstLine="480" w:firstLineChars="200"/>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3A512885">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33F18DF5">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16901999">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1643C95">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62AA7856">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39D4B26C">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703F0224">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7D3E4DE4">
            <w:pPr>
              <w:spacing w:line="360" w:lineRule="auto"/>
              <w:rPr>
                <w:rFonts w:ascii="宋体" w:hAnsi="宋体" w:cs="宋体"/>
                <w:color w:val="auto"/>
                <w:sz w:val="24"/>
              </w:rPr>
            </w:pPr>
          </w:p>
        </w:tc>
      </w:tr>
      <w:tr w14:paraId="7F1C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F0016C6">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2E637553">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178D45DF">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47A03A93">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4280BD4D">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5E1C03C2">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41EF18D9">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1A7920F4">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53D85B91">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655FE6F9">
            <w:pPr>
              <w:spacing w:line="360" w:lineRule="auto"/>
              <w:rPr>
                <w:rFonts w:ascii="宋体" w:hAnsi="宋体" w:cs="宋体"/>
                <w:color w:val="auto"/>
                <w:sz w:val="24"/>
              </w:rPr>
            </w:pPr>
          </w:p>
        </w:tc>
      </w:tr>
      <w:tr w14:paraId="4E14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63DF4B1">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53794F2F">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6E78432">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7D8FFCBF">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4CF1F713">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39BA3A6">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5403683B">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1A0B46F6">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4D7AF214">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0031A1A1">
            <w:pPr>
              <w:spacing w:line="360" w:lineRule="auto"/>
              <w:rPr>
                <w:rFonts w:ascii="宋体" w:hAnsi="宋体" w:cs="宋体"/>
                <w:color w:val="auto"/>
                <w:sz w:val="24"/>
              </w:rPr>
            </w:pPr>
          </w:p>
        </w:tc>
      </w:tr>
      <w:tr w14:paraId="461D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15571B2E">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2F8FEFAF">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486853A3">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30D6D763">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4ED8D97C">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7DFAB0E2">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6F6A6787">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02C0B54D">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59183E8E">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6AD48A43">
            <w:pPr>
              <w:spacing w:line="360" w:lineRule="auto"/>
              <w:rPr>
                <w:rFonts w:ascii="宋体" w:hAnsi="宋体" w:cs="宋体"/>
                <w:color w:val="auto"/>
                <w:sz w:val="24"/>
              </w:rPr>
            </w:pPr>
          </w:p>
        </w:tc>
      </w:tr>
    </w:tbl>
    <w:p w14:paraId="0ED2B425">
      <w:pPr>
        <w:spacing w:line="360" w:lineRule="auto"/>
        <w:rPr>
          <w:rFonts w:ascii="宋体" w:hAnsi="宋体" w:cs="宋体"/>
          <w:color w:val="auto"/>
          <w:sz w:val="24"/>
        </w:rPr>
      </w:pPr>
    </w:p>
    <w:p w14:paraId="0198C022">
      <w:pPr>
        <w:spacing w:line="360" w:lineRule="auto"/>
        <w:rPr>
          <w:rFonts w:ascii="宋体" w:hAnsi="宋体" w:cs="宋体"/>
          <w:color w:val="auto"/>
          <w:sz w:val="24"/>
        </w:rPr>
      </w:pPr>
      <w:r>
        <w:rPr>
          <w:rFonts w:hint="eastAsia" w:ascii="宋体" w:hAnsi="宋体" w:cs="宋体"/>
          <w:color w:val="auto"/>
          <w:sz w:val="24"/>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651A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4FD7E14">
            <w:pPr>
              <w:spacing w:line="360" w:lineRule="auto"/>
              <w:jc w:val="center"/>
              <w:rPr>
                <w:rFonts w:ascii="宋体" w:hAnsi="宋体" w:cs="宋体"/>
                <w:color w:val="auto"/>
                <w:sz w:val="24"/>
              </w:rPr>
            </w:pPr>
            <w:r>
              <w:rPr>
                <w:rFonts w:hint="eastAsia" w:ascii="宋体" w:hAnsi="宋体" w:cs="宋体"/>
                <w:color w:val="auto"/>
                <w:sz w:val="24"/>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1D769895">
            <w:pPr>
              <w:spacing w:line="360" w:lineRule="auto"/>
              <w:jc w:val="center"/>
              <w:rPr>
                <w:rFonts w:ascii="宋体" w:hAnsi="宋体" w:cs="宋体"/>
                <w:color w:val="auto"/>
                <w:sz w:val="24"/>
              </w:rPr>
            </w:pPr>
            <w:r>
              <w:rPr>
                <w:rFonts w:hint="eastAsia" w:ascii="宋体" w:hAnsi="宋体" w:cs="宋体"/>
                <w:color w:val="auto"/>
                <w:sz w:val="24"/>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7745C006">
            <w:pPr>
              <w:spacing w:line="360" w:lineRule="auto"/>
              <w:jc w:val="center"/>
              <w:rPr>
                <w:rFonts w:ascii="宋体" w:hAnsi="宋体" w:cs="宋体"/>
                <w:color w:val="auto"/>
                <w:sz w:val="24"/>
              </w:rPr>
            </w:pPr>
            <w:r>
              <w:rPr>
                <w:rFonts w:hint="eastAsia" w:ascii="宋体" w:hAnsi="宋体" w:cs="宋体"/>
                <w:color w:val="auto"/>
                <w:sz w:val="24"/>
              </w:rPr>
              <w:t>型号</w:t>
            </w:r>
          </w:p>
          <w:p w14:paraId="06EBDA49">
            <w:pPr>
              <w:spacing w:line="360" w:lineRule="auto"/>
              <w:jc w:val="center"/>
              <w:rPr>
                <w:rFonts w:ascii="宋体" w:hAnsi="宋体" w:cs="宋体"/>
                <w:color w:val="auto"/>
                <w:sz w:val="24"/>
              </w:rPr>
            </w:pPr>
            <w:r>
              <w:rPr>
                <w:rFonts w:hint="eastAsia" w:ascii="宋体" w:hAnsi="宋体" w:cs="宋体"/>
                <w:color w:val="auto"/>
                <w:sz w:val="24"/>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52B995C">
            <w:pPr>
              <w:spacing w:line="360" w:lineRule="auto"/>
              <w:jc w:val="center"/>
              <w:rPr>
                <w:rFonts w:ascii="宋体" w:hAnsi="宋体" w:cs="宋体"/>
                <w:color w:val="auto"/>
                <w:sz w:val="24"/>
              </w:rPr>
            </w:pPr>
            <w:r>
              <w:rPr>
                <w:rFonts w:hint="eastAsia" w:ascii="宋体" w:hAnsi="宋体" w:cs="宋体"/>
                <w:color w:val="auto"/>
                <w:sz w:val="24"/>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452B6BA">
            <w:pPr>
              <w:spacing w:line="360" w:lineRule="auto"/>
              <w:jc w:val="center"/>
              <w:rPr>
                <w:rFonts w:ascii="宋体" w:hAnsi="宋体" w:cs="宋体"/>
                <w:color w:val="auto"/>
                <w:sz w:val="24"/>
              </w:rPr>
            </w:pPr>
            <w:r>
              <w:rPr>
                <w:rFonts w:hint="eastAsia" w:ascii="宋体" w:hAnsi="宋体" w:cs="宋体"/>
                <w:color w:val="auto"/>
                <w:sz w:val="24"/>
              </w:rPr>
              <w:t>国别</w:t>
            </w:r>
          </w:p>
          <w:p w14:paraId="73F0718B">
            <w:pPr>
              <w:spacing w:line="360" w:lineRule="auto"/>
              <w:jc w:val="center"/>
              <w:rPr>
                <w:rFonts w:ascii="宋体" w:hAnsi="宋体" w:cs="宋体"/>
                <w:color w:val="auto"/>
                <w:sz w:val="24"/>
              </w:rPr>
            </w:pPr>
            <w:r>
              <w:rPr>
                <w:rFonts w:hint="eastAsia" w:ascii="宋体" w:hAnsi="宋体" w:cs="宋体"/>
                <w:color w:val="auto"/>
                <w:sz w:val="24"/>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7603AE2C">
            <w:pPr>
              <w:spacing w:line="360" w:lineRule="auto"/>
              <w:jc w:val="center"/>
              <w:rPr>
                <w:rFonts w:ascii="宋体" w:hAnsi="宋体" w:cs="宋体"/>
                <w:color w:val="auto"/>
                <w:sz w:val="24"/>
              </w:rPr>
            </w:pPr>
            <w:r>
              <w:rPr>
                <w:rFonts w:hint="eastAsia" w:ascii="宋体" w:hAnsi="宋体" w:cs="宋体"/>
                <w:color w:val="auto"/>
                <w:sz w:val="24"/>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3FBEFFB9">
            <w:pPr>
              <w:spacing w:line="360" w:lineRule="auto"/>
              <w:jc w:val="center"/>
              <w:rPr>
                <w:rFonts w:ascii="宋体" w:hAnsi="宋体" w:cs="宋体"/>
                <w:color w:val="auto"/>
                <w:sz w:val="24"/>
              </w:rPr>
            </w:pPr>
            <w:r>
              <w:rPr>
                <w:rFonts w:hint="eastAsia" w:ascii="宋体" w:hAnsi="宋体" w:cs="宋体"/>
                <w:color w:val="auto"/>
                <w:sz w:val="24"/>
              </w:rPr>
              <w:t>已使用</w:t>
            </w:r>
          </w:p>
          <w:p w14:paraId="083E7D09">
            <w:pPr>
              <w:spacing w:line="360" w:lineRule="auto"/>
              <w:jc w:val="center"/>
              <w:rPr>
                <w:rFonts w:ascii="宋体" w:hAnsi="宋体" w:cs="宋体"/>
                <w:color w:val="auto"/>
                <w:sz w:val="24"/>
              </w:rPr>
            </w:pPr>
            <w:r>
              <w:rPr>
                <w:rFonts w:hint="eastAsia" w:ascii="宋体" w:hAnsi="宋体" w:cs="宋体"/>
                <w:color w:val="auto"/>
                <w:sz w:val="24"/>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34F41975">
            <w:pPr>
              <w:spacing w:line="360" w:lineRule="auto"/>
              <w:jc w:val="center"/>
              <w:rPr>
                <w:rFonts w:ascii="宋体" w:hAnsi="宋体" w:cs="宋体"/>
                <w:color w:val="auto"/>
                <w:sz w:val="24"/>
              </w:rPr>
            </w:pPr>
            <w:r>
              <w:rPr>
                <w:rFonts w:hint="eastAsia" w:ascii="宋体" w:hAnsi="宋体" w:cs="宋体"/>
                <w:color w:val="auto"/>
                <w:sz w:val="24"/>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7DC762EF">
            <w:pPr>
              <w:spacing w:line="360" w:lineRule="auto"/>
              <w:jc w:val="center"/>
              <w:rPr>
                <w:rFonts w:ascii="宋体" w:hAnsi="宋体" w:cs="宋体"/>
                <w:color w:val="auto"/>
                <w:sz w:val="24"/>
              </w:rPr>
            </w:pPr>
            <w:r>
              <w:rPr>
                <w:rFonts w:hint="eastAsia" w:ascii="宋体" w:hAnsi="宋体" w:cs="宋体"/>
                <w:color w:val="auto"/>
                <w:sz w:val="24"/>
              </w:rPr>
              <w:t>备注</w:t>
            </w:r>
          </w:p>
        </w:tc>
      </w:tr>
      <w:tr w14:paraId="23BE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1B171EC">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4C7118F5">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1E408397">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4F8A7BE4">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6E3CC087">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75AA6905">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9E92EBE">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3BFF1B25">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69280A30">
            <w:pPr>
              <w:spacing w:line="360" w:lineRule="auto"/>
              <w:ind w:firstLine="480" w:firstLineChars="200"/>
              <w:rPr>
                <w:rFonts w:ascii="宋体" w:hAnsi="宋体" w:cs="宋体"/>
                <w:color w:val="auto"/>
                <w:sz w:val="24"/>
              </w:rPr>
            </w:pPr>
          </w:p>
        </w:tc>
      </w:tr>
      <w:tr w14:paraId="552D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3AEAFA4">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3233B7AB">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288085F8">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5258162C">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1EA2CA2F">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043A3D6B">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F84478F">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B60A965">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5EF86479">
            <w:pPr>
              <w:spacing w:line="360" w:lineRule="auto"/>
              <w:ind w:firstLine="480" w:firstLineChars="200"/>
              <w:rPr>
                <w:rFonts w:ascii="宋体" w:hAnsi="宋体" w:cs="宋体"/>
                <w:color w:val="auto"/>
                <w:sz w:val="24"/>
              </w:rPr>
            </w:pPr>
          </w:p>
        </w:tc>
      </w:tr>
      <w:tr w14:paraId="53F8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42B895E">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63654EF9">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1D8115C8">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11DABF6A">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7D74AD50">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5AE3382D">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28842B9">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738F5177">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79DC9113">
            <w:pPr>
              <w:spacing w:line="360" w:lineRule="auto"/>
              <w:ind w:firstLine="480" w:firstLineChars="200"/>
              <w:rPr>
                <w:rFonts w:ascii="宋体" w:hAnsi="宋体" w:cs="宋体"/>
                <w:color w:val="auto"/>
                <w:sz w:val="24"/>
              </w:rPr>
            </w:pPr>
          </w:p>
        </w:tc>
      </w:tr>
      <w:tr w14:paraId="4D46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B70ABE9">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13ABA5C7">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48C94693">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4CDA0B63">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0CFB5D7E">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515022AE">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28B5939">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5355010E">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2336B492">
            <w:pPr>
              <w:spacing w:line="360" w:lineRule="auto"/>
              <w:ind w:firstLine="480" w:firstLineChars="200"/>
              <w:rPr>
                <w:rFonts w:ascii="宋体" w:hAnsi="宋体" w:cs="宋体"/>
                <w:color w:val="auto"/>
                <w:sz w:val="24"/>
              </w:rPr>
            </w:pPr>
          </w:p>
        </w:tc>
      </w:tr>
      <w:tr w14:paraId="717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C5283B4">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168CC138">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6AC5474E">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4BF0E15F">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67744AE0">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4AA79697">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E0A3B68">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1DD7A68F">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7A2803D5">
            <w:pPr>
              <w:spacing w:line="360" w:lineRule="auto"/>
              <w:ind w:firstLine="480" w:firstLineChars="200"/>
              <w:rPr>
                <w:rFonts w:ascii="宋体" w:hAnsi="宋体" w:cs="宋体"/>
                <w:color w:val="auto"/>
                <w:sz w:val="24"/>
              </w:rPr>
            </w:pPr>
          </w:p>
        </w:tc>
      </w:tr>
    </w:tbl>
    <w:p w14:paraId="4FFF4DD8">
      <w:pPr>
        <w:spacing w:line="360" w:lineRule="auto"/>
        <w:rPr>
          <w:rFonts w:ascii="宋体" w:hAnsi="宋体" w:cs="宋体"/>
          <w:color w:val="auto"/>
          <w:sz w:val="24"/>
        </w:rPr>
      </w:pPr>
    </w:p>
    <w:p w14:paraId="038852E2">
      <w:pPr>
        <w:spacing w:line="360" w:lineRule="auto"/>
        <w:rPr>
          <w:rFonts w:ascii="宋体" w:hAnsi="宋体" w:cs="宋体"/>
          <w:color w:val="auto"/>
          <w:sz w:val="24"/>
        </w:rPr>
      </w:pPr>
      <w:r>
        <w:rPr>
          <w:rFonts w:hint="eastAsia" w:ascii="宋体" w:hAnsi="宋体" w:cs="宋体"/>
          <w:color w:val="auto"/>
          <w:sz w:val="24"/>
        </w:rPr>
        <w:t>附表三：劳动力计划表</w:t>
      </w:r>
    </w:p>
    <w:p w14:paraId="0150ADE8">
      <w:pPr>
        <w:spacing w:line="360" w:lineRule="auto"/>
        <w:rPr>
          <w:rFonts w:ascii="宋体" w:hAnsi="宋体" w:cs="宋体"/>
          <w:color w:val="auto"/>
          <w:sz w:val="24"/>
        </w:rPr>
      </w:pPr>
      <w:r>
        <w:rPr>
          <w:rFonts w:hint="eastAsia" w:ascii="宋体" w:hAnsi="宋体" w:cs="宋体"/>
          <w:color w:val="auto"/>
          <w:sz w:val="24"/>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7D8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7EE67B3">
            <w:pPr>
              <w:spacing w:line="360" w:lineRule="auto"/>
              <w:jc w:val="center"/>
              <w:rPr>
                <w:rFonts w:ascii="宋体" w:hAnsi="宋体" w:cs="宋体"/>
                <w:color w:val="auto"/>
                <w:sz w:val="24"/>
              </w:rPr>
            </w:pPr>
            <w:r>
              <w:rPr>
                <w:rFonts w:hint="eastAsia" w:ascii="宋体" w:hAnsi="宋体" w:cs="宋体"/>
                <w:color w:val="auto"/>
                <w:sz w:val="24"/>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3BCB662A">
            <w:pPr>
              <w:spacing w:line="360" w:lineRule="auto"/>
              <w:jc w:val="center"/>
              <w:rPr>
                <w:rFonts w:ascii="宋体" w:hAnsi="宋体" w:cs="宋体"/>
                <w:color w:val="auto"/>
                <w:sz w:val="24"/>
              </w:rPr>
            </w:pPr>
            <w:r>
              <w:rPr>
                <w:rFonts w:hint="eastAsia" w:ascii="宋体" w:hAnsi="宋体" w:cs="宋体"/>
                <w:color w:val="auto"/>
                <w:sz w:val="24"/>
              </w:rPr>
              <w:t>按工程施工阶段投入劳动力情况</w:t>
            </w:r>
          </w:p>
        </w:tc>
      </w:tr>
      <w:tr w14:paraId="6E8F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7E27B84">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187EA7C">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D607240">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2A430AC7">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0550966">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FD2FFE5">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2C21BDC">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6CD5D323">
            <w:pPr>
              <w:spacing w:line="360" w:lineRule="auto"/>
              <w:jc w:val="center"/>
              <w:rPr>
                <w:rFonts w:ascii="宋体" w:hAnsi="宋体" w:cs="宋体"/>
                <w:color w:val="auto"/>
                <w:sz w:val="24"/>
              </w:rPr>
            </w:pPr>
          </w:p>
        </w:tc>
      </w:tr>
      <w:tr w14:paraId="3653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8127C6D">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5F9C8848">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BBCB7CA">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EBCA278">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71B86BF">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D70360D">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EF7024C">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5550FD4">
            <w:pPr>
              <w:spacing w:line="360" w:lineRule="auto"/>
              <w:jc w:val="center"/>
              <w:rPr>
                <w:rFonts w:ascii="宋体" w:hAnsi="宋体" w:cs="宋体"/>
                <w:color w:val="auto"/>
                <w:sz w:val="24"/>
              </w:rPr>
            </w:pPr>
          </w:p>
        </w:tc>
      </w:tr>
      <w:tr w14:paraId="62E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87FCC6C">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76AAE466">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A5F2CBD">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C329B91">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CE6927F">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8A80BDD">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5E3E269">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DE05440">
            <w:pPr>
              <w:spacing w:line="360" w:lineRule="auto"/>
              <w:jc w:val="center"/>
              <w:rPr>
                <w:rFonts w:ascii="宋体" w:hAnsi="宋体" w:cs="宋体"/>
                <w:color w:val="auto"/>
                <w:sz w:val="24"/>
              </w:rPr>
            </w:pPr>
          </w:p>
        </w:tc>
      </w:tr>
      <w:tr w14:paraId="46FF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213E476">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98D0E3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6A549CF1">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93F9365">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6C56FB64">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8B4EEFF">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6A512CF">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397B43E">
            <w:pPr>
              <w:spacing w:line="360" w:lineRule="auto"/>
              <w:jc w:val="center"/>
              <w:rPr>
                <w:rFonts w:ascii="宋体" w:hAnsi="宋体" w:cs="宋体"/>
                <w:color w:val="auto"/>
                <w:sz w:val="24"/>
              </w:rPr>
            </w:pPr>
          </w:p>
        </w:tc>
      </w:tr>
      <w:tr w14:paraId="4AF8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866A736">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85FB2C3">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91EB9F9">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123F3F3">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B292D7E">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24C8F6BC">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ECE0F30">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645A591">
            <w:pPr>
              <w:spacing w:line="360" w:lineRule="auto"/>
              <w:jc w:val="center"/>
              <w:rPr>
                <w:rFonts w:ascii="宋体" w:hAnsi="宋体" w:cs="宋体"/>
                <w:color w:val="auto"/>
                <w:sz w:val="24"/>
              </w:rPr>
            </w:pPr>
          </w:p>
        </w:tc>
      </w:tr>
    </w:tbl>
    <w:p w14:paraId="428E9ED8">
      <w:pPr>
        <w:spacing w:line="360" w:lineRule="auto"/>
        <w:rPr>
          <w:rFonts w:ascii="宋体" w:hAnsi="宋体" w:cs="宋体"/>
          <w:color w:val="auto"/>
          <w:sz w:val="24"/>
        </w:rPr>
      </w:pPr>
    </w:p>
    <w:p w14:paraId="1FEA5420">
      <w:pPr>
        <w:spacing w:line="360" w:lineRule="auto"/>
        <w:rPr>
          <w:rFonts w:ascii="宋体" w:hAnsi="宋体" w:cs="宋体"/>
          <w:color w:val="auto"/>
          <w:sz w:val="24"/>
        </w:rPr>
      </w:pPr>
    </w:p>
    <w:p w14:paraId="13372AC3">
      <w:pPr>
        <w:spacing w:line="360" w:lineRule="auto"/>
        <w:rPr>
          <w:rFonts w:ascii="宋体" w:hAnsi="宋体" w:cs="宋体"/>
          <w:color w:val="auto"/>
          <w:sz w:val="24"/>
        </w:rPr>
      </w:pPr>
      <w:r>
        <w:rPr>
          <w:rFonts w:hint="eastAsia" w:ascii="宋体" w:hAnsi="宋体" w:cs="宋体"/>
          <w:color w:val="auto"/>
          <w:sz w:val="24"/>
        </w:rPr>
        <w:t>附表四：计划开、竣工日期和施工进度计划（网络图或横道图）</w:t>
      </w:r>
    </w:p>
    <w:p w14:paraId="0C64B2BD">
      <w:pPr>
        <w:spacing w:line="360" w:lineRule="auto"/>
        <w:ind w:left="-6" w:firstLine="420"/>
        <w:rPr>
          <w:rFonts w:ascii="宋体" w:hAnsi="宋体" w:cs="宋体"/>
          <w:color w:val="auto"/>
          <w:sz w:val="24"/>
        </w:rPr>
      </w:pPr>
      <w:r>
        <w:rPr>
          <w:rFonts w:ascii="宋体" w:hAnsi="宋体" w:cs="宋体"/>
          <w:color w:val="auto"/>
          <w:sz w:val="24"/>
        </w:rPr>
        <w:t xml:space="preserve">1. </w:t>
      </w:r>
      <w:r>
        <w:rPr>
          <w:rFonts w:hint="eastAsia" w:ascii="宋体" w:hAnsi="宋体" w:cs="宋体"/>
          <w:color w:val="auto"/>
          <w:sz w:val="24"/>
        </w:rPr>
        <w:t>磋商供应商应提交施工进度计划，说明按磋商文件要求的工期进行施工的各个关键日期。成交的磋商供应商还应按合同条件有关条款的要求提交详细的施工进度计划。</w:t>
      </w:r>
    </w:p>
    <w:p w14:paraId="2AC17410">
      <w:pPr>
        <w:spacing w:line="360" w:lineRule="auto"/>
        <w:ind w:left="-6" w:firstLine="420"/>
        <w:rPr>
          <w:rFonts w:ascii="宋体" w:hAnsi="宋体" w:cs="宋体"/>
          <w:color w:val="auto"/>
          <w:sz w:val="24"/>
        </w:rPr>
      </w:pPr>
      <w:r>
        <w:rPr>
          <w:rFonts w:ascii="宋体" w:hAnsi="宋体" w:cs="宋体"/>
          <w:color w:val="auto"/>
          <w:sz w:val="24"/>
        </w:rPr>
        <w:t xml:space="preserve">2. </w:t>
      </w:r>
      <w:r>
        <w:rPr>
          <w:rFonts w:hint="eastAsia" w:ascii="宋体" w:hAnsi="宋体" w:cs="宋体"/>
          <w:color w:val="auto"/>
          <w:sz w:val="24"/>
        </w:rPr>
        <w:t>施工进度计划可采用网络图（或横道图）表示，说明计划开工日期和各分项工程各阶段的完工日期和分包合同签订的日期。</w:t>
      </w:r>
    </w:p>
    <w:p w14:paraId="1E809FFC">
      <w:pPr>
        <w:spacing w:line="360" w:lineRule="auto"/>
        <w:ind w:left="-6" w:firstLine="420"/>
        <w:rPr>
          <w:rFonts w:ascii="宋体" w:hAnsi="宋体" w:cs="宋体"/>
          <w:color w:val="auto"/>
          <w:sz w:val="24"/>
        </w:rPr>
      </w:pPr>
      <w:r>
        <w:rPr>
          <w:rFonts w:ascii="宋体" w:hAnsi="宋体" w:cs="宋体"/>
          <w:color w:val="auto"/>
          <w:sz w:val="24"/>
        </w:rPr>
        <w:t xml:space="preserve">3. </w:t>
      </w:r>
      <w:r>
        <w:rPr>
          <w:rFonts w:hint="eastAsia" w:ascii="宋体" w:hAnsi="宋体" w:cs="宋体"/>
          <w:color w:val="auto"/>
          <w:sz w:val="24"/>
        </w:rPr>
        <w:t>施工进度计划应与施工组织设计相适应。</w:t>
      </w:r>
    </w:p>
    <w:p w14:paraId="109851B0">
      <w:pPr>
        <w:spacing w:line="360" w:lineRule="auto"/>
        <w:rPr>
          <w:rFonts w:ascii="宋体" w:hAnsi="宋体" w:cs="宋体"/>
          <w:color w:val="auto"/>
          <w:sz w:val="24"/>
        </w:rPr>
      </w:pPr>
    </w:p>
    <w:p w14:paraId="2BE253B3">
      <w:pPr>
        <w:spacing w:line="360" w:lineRule="auto"/>
        <w:rPr>
          <w:rFonts w:ascii="宋体" w:hAnsi="宋体" w:cs="宋体"/>
          <w:color w:val="auto"/>
          <w:sz w:val="24"/>
        </w:rPr>
      </w:pPr>
    </w:p>
    <w:p w14:paraId="4FBBACC9">
      <w:pPr>
        <w:spacing w:line="360" w:lineRule="auto"/>
        <w:rPr>
          <w:rFonts w:ascii="宋体" w:hAnsi="宋体" w:cs="宋体"/>
          <w:color w:val="auto"/>
          <w:sz w:val="24"/>
        </w:rPr>
      </w:pPr>
      <w:r>
        <w:rPr>
          <w:rFonts w:hint="eastAsia" w:ascii="宋体" w:hAnsi="宋体" w:cs="宋体"/>
          <w:color w:val="auto"/>
          <w:sz w:val="24"/>
        </w:rPr>
        <w:t>附表五：施工总平面图</w:t>
      </w:r>
    </w:p>
    <w:p w14:paraId="0803ABA8">
      <w:pPr>
        <w:spacing w:line="360" w:lineRule="auto"/>
        <w:ind w:firstLine="480" w:firstLineChars="200"/>
        <w:rPr>
          <w:rFonts w:ascii="宋体" w:hAnsi="宋体" w:cs="宋体"/>
          <w:color w:val="auto"/>
          <w:sz w:val="24"/>
        </w:rPr>
      </w:pPr>
      <w:r>
        <w:rPr>
          <w:rFonts w:hint="eastAsia" w:ascii="宋体" w:hAnsi="宋体" w:cs="宋体"/>
          <w:color w:val="auto"/>
          <w:sz w:val="24"/>
        </w:rPr>
        <w:t>磋商供应商应递交一份施工总平面图，绘出现场临时设施布置图表并附文字说明，说明临时设施、加工车间、现场办公、设备及仓储、供电、供水、卫生、生活、道路、消防等设施的情况和布置。</w:t>
      </w:r>
    </w:p>
    <w:p w14:paraId="05A73562">
      <w:pPr>
        <w:spacing w:line="360" w:lineRule="auto"/>
        <w:rPr>
          <w:rFonts w:ascii="宋体" w:hAnsi="宋体" w:cs="宋体"/>
          <w:color w:val="auto"/>
          <w:sz w:val="24"/>
        </w:rPr>
      </w:pPr>
    </w:p>
    <w:p w14:paraId="69F8440D">
      <w:pPr>
        <w:spacing w:line="360" w:lineRule="auto"/>
        <w:rPr>
          <w:rFonts w:ascii="宋体" w:hAnsi="宋体" w:cs="宋体"/>
          <w:color w:val="auto"/>
          <w:sz w:val="24"/>
        </w:rPr>
      </w:pPr>
    </w:p>
    <w:p w14:paraId="3F7E03A0">
      <w:pPr>
        <w:pStyle w:val="107"/>
        <w:ind w:firstLine="420"/>
        <w:rPr>
          <w:color w:val="auto"/>
        </w:rPr>
      </w:pPr>
    </w:p>
    <w:p w14:paraId="5B4AD47B">
      <w:pPr>
        <w:spacing w:line="360" w:lineRule="auto"/>
        <w:rPr>
          <w:rFonts w:ascii="宋体" w:hAnsi="宋体" w:cs="宋体"/>
          <w:color w:val="auto"/>
          <w:sz w:val="24"/>
        </w:rPr>
      </w:pPr>
      <w:r>
        <w:rPr>
          <w:rFonts w:hint="eastAsia" w:ascii="宋体" w:hAnsi="宋体" w:cs="宋体"/>
          <w:color w:val="auto"/>
          <w:sz w:val="24"/>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3AE4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7CDEFFE7">
            <w:pPr>
              <w:spacing w:line="360" w:lineRule="auto"/>
              <w:jc w:val="center"/>
              <w:rPr>
                <w:rFonts w:ascii="宋体" w:hAnsi="宋体" w:cs="宋体"/>
                <w:color w:val="auto"/>
                <w:sz w:val="24"/>
              </w:rPr>
            </w:pPr>
            <w:r>
              <w:rPr>
                <w:rFonts w:hint="eastAsia" w:ascii="宋体" w:hAnsi="宋体" w:cs="宋体"/>
                <w:color w:val="auto"/>
                <w:sz w:val="24"/>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AEA3A10">
            <w:pPr>
              <w:spacing w:line="360" w:lineRule="auto"/>
              <w:jc w:val="center"/>
              <w:rPr>
                <w:rFonts w:ascii="宋体" w:hAnsi="宋体" w:cs="宋体"/>
                <w:color w:val="auto"/>
                <w:sz w:val="24"/>
              </w:rPr>
            </w:pPr>
            <w:r>
              <w:rPr>
                <w:rFonts w:hint="eastAsia" w:ascii="宋体" w:hAnsi="宋体" w:cs="宋体"/>
                <w:color w:val="auto"/>
                <w:sz w:val="24"/>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27C35DE">
            <w:pPr>
              <w:spacing w:line="360" w:lineRule="auto"/>
              <w:jc w:val="center"/>
              <w:rPr>
                <w:rFonts w:ascii="宋体" w:hAnsi="宋体" w:cs="宋体"/>
                <w:color w:val="auto"/>
                <w:sz w:val="24"/>
              </w:rPr>
            </w:pPr>
            <w:r>
              <w:rPr>
                <w:rFonts w:hint="eastAsia" w:ascii="宋体" w:hAnsi="宋体" w:cs="宋体"/>
                <w:color w:val="auto"/>
                <w:sz w:val="24"/>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2B887A84">
            <w:pPr>
              <w:spacing w:line="360" w:lineRule="auto"/>
              <w:jc w:val="center"/>
              <w:rPr>
                <w:rFonts w:ascii="宋体" w:hAnsi="宋体" w:cs="宋体"/>
                <w:color w:val="auto"/>
                <w:sz w:val="24"/>
              </w:rPr>
            </w:pPr>
            <w:r>
              <w:rPr>
                <w:rFonts w:hint="eastAsia" w:ascii="宋体" w:hAnsi="宋体" w:cs="宋体"/>
                <w:color w:val="auto"/>
                <w:sz w:val="24"/>
              </w:rPr>
              <w:t>需用时间</w:t>
            </w:r>
          </w:p>
        </w:tc>
      </w:tr>
      <w:tr w14:paraId="7101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EF87975">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0AA6F27A">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3F2B488F">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024A2C7C">
            <w:pPr>
              <w:spacing w:line="360" w:lineRule="auto"/>
              <w:rPr>
                <w:rFonts w:ascii="宋体" w:hAnsi="宋体" w:cs="宋体"/>
                <w:color w:val="auto"/>
                <w:sz w:val="24"/>
              </w:rPr>
            </w:pPr>
          </w:p>
        </w:tc>
      </w:tr>
      <w:tr w14:paraId="4476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F9DBEFF">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54F3CD1D">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4D1F6FA4">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772F1EC5">
            <w:pPr>
              <w:spacing w:line="360" w:lineRule="auto"/>
              <w:rPr>
                <w:rFonts w:ascii="宋体" w:hAnsi="宋体" w:cs="宋体"/>
                <w:color w:val="auto"/>
                <w:sz w:val="24"/>
              </w:rPr>
            </w:pPr>
          </w:p>
        </w:tc>
      </w:tr>
      <w:tr w14:paraId="47F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214B521">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216BE1CF">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10EED9EC">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7877B8D6">
            <w:pPr>
              <w:spacing w:line="360" w:lineRule="auto"/>
              <w:rPr>
                <w:rFonts w:ascii="宋体" w:hAnsi="宋体" w:cs="宋体"/>
                <w:color w:val="auto"/>
                <w:sz w:val="24"/>
              </w:rPr>
            </w:pPr>
          </w:p>
        </w:tc>
      </w:tr>
      <w:tr w14:paraId="5CCE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A68CC5E">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795D2106">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38E4E717">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3DBBAC97">
            <w:pPr>
              <w:spacing w:line="360" w:lineRule="auto"/>
              <w:rPr>
                <w:rFonts w:ascii="宋体" w:hAnsi="宋体" w:cs="宋体"/>
                <w:color w:val="auto"/>
                <w:sz w:val="24"/>
              </w:rPr>
            </w:pPr>
          </w:p>
        </w:tc>
      </w:tr>
    </w:tbl>
    <w:p w14:paraId="5F438962">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lang w:eastAsia="en-US"/>
        </w:rPr>
      </w:pPr>
    </w:p>
    <w:p w14:paraId="5C71D082">
      <w:pPr>
        <w:spacing w:line="360" w:lineRule="auto"/>
        <w:rPr>
          <w:rFonts w:ascii="宋体" w:hAnsi="宋体" w:cs="宋体"/>
          <w:color w:val="auto"/>
        </w:rPr>
        <w:sectPr>
          <w:pgSz w:w="11907" w:h="16839"/>
          <w:pgMar w:top="1431" w:right="1272" w:bottom="1364" w:left="1418" w:header="850" w:footer="1204" w:gutter="0"/>
          <w:cols w:space="720" w:num="1"/>
          <w:docGrid w:linePitch="286" w:charSpace="0"/>
        </w:sectPr>
      </w:pPr>
    </w:p>
    <w:p w14:paraId="62ED0BC8">
      <w:pPr>
        <w:spacing w:line="360" w:lineRule="auto"/>
        <w:rPr>
          <w:rFonts w:ascii="宋体" w:hAnsi="宋体" w:cs="宋体"/>
          <w:b/>
          <w:bCs/>
          <w:color w:val="auto"/>
          <w:spacing w:val="9"/>
          <w:position w:val="3"/>
          <w:sz w:val="24"/>
        </w:rPr>
      </w:pPr>
      <w:r>
        <w:rPr>
          <w:rFonts w:hint="eastAsia" w:ascii="宋体" w:hAnsi="宋体" w:cs="宋体"/>
          <w:b/>
          <w:bCs/>
          <w:color w:val="auto"/>
          <w:spacing w:val="9"/>
          <w:position w:val="3"/>
          <w:sz w:val="24"/>
        </w:rPr>
        <w:t>附件10</w:t>
      </w:r>
    </w:p>
    <w:p w14:paraId="769CF8A6">
      <w:pPr>
        <w:spacing w:line="360" w:lineRule="auto"/>
        <w:jc w:val="center"/>
        <w:rPr>
          <w:rFonts w:ascii="宋体" w:hAnsi="宋体" w:cs="宋体"/>
          <w:snapToGrid w:val="0"/>
          <w:color w:val="auto"/>
          <w:kern w:val="0"/>
          <w:szCs w:val="21"/>
        </w:rPr>
      </w:pPr>
      <w:r>
        <w:rPr>
          <w:rFonts w:hint="eastAsia" w:ascii="宋体" w:hAnsi="宋体" w:cs="宋体"/>
          <w:color w:val="auto"/>
          <w:spacing w:val="9"/>
          <w:position w:val="3"/>
          <w:sz w:val="44"/>
          <w:szCs w:val="44"/>
        </w:rPr>
        <w:t>项目管理机构配备情况表及主要人员简历表</w:t>
      </w:r>
    </w:p>
    <w:p w14:paraId="48BEAC96">
      <w:pPr>
        <w:spacing w:line="360" w:lineRule="auto"/>
        <w:ind w:left="2716"/>
        <w:rPr>
          <w:rFonts w:ascii="宋体" w:hAnsi="宋体" w:cs="宋体"/>
          <w:color w:val="auto"/>
          <w:sz w:val="31"/>
          <w:szCs w:val="31"/>
        </w:rPr>
      </w:pPr>
      <w:r>
        <w:rPr>
          <w:rFonts w:hint="eastAsia" w:ascii="宋体" w:hAnsi="宋体" w:cs="宋体"/>
          <w:color w:val="auto"/>
          <w:spacing w:val="8"/>
          <w:sz w:val="31"/>
          <w:szCs w:val="31"/>
        </w:rPr>
        <w:t>（一）项目管理机构配备情况表</w:t>
      </w:r>
    </w:p>
    <w:p w14:paraId="54C7A2FE">
      <w:pPr>
        <w:spacing w:line="360" w:lineRule="auto"/>
        <w:rPr>
          <w:rFonts w:ascii="宋体" w:hAnsi="宋体" w:cs="宋体"/>
          <w:color w:val="auto"/>
        </w:rPr>
      </w:pPr>
      <w:r>
        <w:rPr>
          <w:rFonts w:hint="eastAsia" w:ascii="宋体" w:hAnsi="宋体" w:cs="宋体"/>
          <w:color w:val="auto"/>
          <w:spacing w:val="-25"/>
          <w:sz w:val="24"/>
        </w:rPr>
        <w:t>分标（如有</w:t>
      </w:r>
      <w:r>
        <w:rPr>
          <w:rFonts w:hint="eastAsia" w:ascii="宋体" w:hAnsi="宋体" w:cs="宋体"/>
          <w:color w:val="auto"/>
          <w:spacing w:val="-28"/>
          <w:sz w:val="24"/>
        </w:rPr>
        <w:t>）</w:t>
      </w:r>
      <w:r>
        <w:rPr>
          <w:rFonts w:hint="eastAsia" w:ascii="宋体" w:hAnsi="宋体" w:cs="宋体"/>
          <w:color w:val="auto"/>
          <w:spacing w:val="47"/>
          <w:sz w:val="24"/>
        </w:rPr>
        <w:t xml:space="preserve"> </w:t>
      </w:r>
      <w:r>
        <w:rPr>
          <w:rFonts w:hint="eastAsia" w:ascii="宋体" w:hAnsi="宋体" w:cs="宋体"/>
          <w:color w:val="auto"/>
          <w:spacing w:val="-28"/>
          <w:sz w:val="24"/>
        </w:rPr>
        <w:t>：</w:t>
      </w:r>
      <w:r>
        <w:rPr>
          <w:rFonts w:hint="eastAsia" w:ascii="宋体" w:hAnsi="宋体" w:cs="宋体"/>
          <w:color w:val="auto"/>
          <w:sz w:val="24"/>
          <w:u w:val="single"/>
        </w:rPr>
        <w:t xml:space="preserve">         </w:t>
      </w:r>
    </w:p>
    <w:tbl>
      <w:tblPr>
        <w:tblStyle w:val="37"/>
        <w:tblW w:w="100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461"/>
      </w:tblGrid>
      <w:tr w14:paraId="1A7F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15F9F1B">
            <w:pPr>
              <w:spacing w:line="360" w:lineRule="auto"/>
              <w:rPr>
                <w:rFonts w:ascii="宋体" w:hAnsi="宋体" w:cs="宋体"/>
                <w:color w:val="auto"/>
                <w:sz w:val="24"/>
              </w:rPr>
            </w:pPr>
          </w:p>
          <w:p w14:paraId="46CBB946">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669" w:type="dxa"/>
            <w:vMerge w:val="restart"/>
            <w:tcBorders>
              <w:bottom w:val="nil"/>
            </w:tcBorders>
            <w:shd w:val="clear" w:color="auto" w:fill="auto"/>
            <w:vAlign w:val="center"/>
          </w:tcPr>
          <w:p w14:paraId="4CA3AB3D">
            <w:pPr>
              <w:spacing w:line="360" w:lineRule="auto"/>
              <w:rPr>
                <w:rFonts w:ascii="宋体" w:hAnsi="宋体" w:cs="宋体"/>
                <w:color w:val="auto"/>
                <w:sz w:val="24"/>
              </w:rPr>
            </w:pPr>
          </w:p>
          <w:p w14:paraId="56D99BB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827" w:type="dxa"/>
            <w:vMerge w:val="restart"/>
            <w:tcBorders>
              <w:bottom w:val="nil"/>
            </w:tcBorders>
            <w:shd w:val="clear" w:color="auto" w:fill="auto"/>
            <w:vAlign w:val="center"/>
          </w:tcPr>
          <w:p w14:paraId="50D517B7">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position w:val="7"/>
                <w:sz w:val="24"/>
                <w:lang w:eastAsia="en-US"/>
              </w:rPr>
              <w:t>身份</w:t>
            </w:r>
          </w:p>
          <w:p w14:paraId="11ADD0B0">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815" w:type="dxa"/>
            <w:vMerge w:val="restart"/>
            <w:tcBorders>
              <w:bottom w:val="nil"/>
            </w:tcBorders>
            <w:shd w:val="clear" w:color="auto" w:fill="auto"/>
            <w:vAlign w:val="center"/>
          </w:tcPr>
          <w:p w14:paraId="434B536E">
            <w:pPr>
              <w:spacing w:line="360" w:lineRule="auto"/>
              <w:rPr>
                <w:rFonts w:ascii="宋体" w:hAnsi="宋体" w:cs="宋体"/>
                <w:color w:val="auto"/>
                <w:sz w:val="24"/>
              </w:rPr>
            </w:pPr>
          </w:p>
          <w:p w14:paraId="0E2DF3FB">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4187" w:type="dxa"/>
            <w:gridSpan w:val="4"/>
            <w:shd w:val="clear" w:color="auto" w:fill="auto"/>
            <w:vAlign w:val="center"/>
          </w:tcPr>
          <w:p w14:paraId="1739D7D0">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执业或职业资格</w:t>
            </w:r>
          </w:p>
        </w:tc>
        <w:tc>
          <w:tcPr>
            <w:tcW w:w="2627" w:type="dxa"/>
            <w:gridSpan w:val="2"/>
            <w:shd w:val="clear" w:color="auto" w:fill="auto"/>
            <w:vAlign w:val="center"/>
          </w:tcPr>
          <w:p w14:paraId="217D8622">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rPr>
            </w:pPr>
            <w:r>
              <w:rPr>
                <w:rFonts w:hint="eastAsia" w:ascii="宋体" w:hAnsi="宋体" w:cs="宋体"/>
                <w:snapToGrid w:val="0"/>
                <w:color w:val="auto"/>
                <w:spacing w:val="-9"/>
                <w:kern w:val="0"/>
                <w:sz w:val="24"/>
              </w:rPr>
              <w:t>承担完工、在建工程情况</w:t>
            </w:r>
          </w:p>
        </w:tc>
      </w:tr>
      <w:tr w14:paraId="17A2F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695CD870">
            <w:pPr>
              <w:spacing w:line="360" w:lineRule="auto"/>
              <w:rPr>
                <w:rFonts w:ascii="宋体" w:hAnsi="宋体" w:cs="宋体"/>
                <w:color w:val="auto"/>
                <w:sz w:val="24"/>
              </w:rPr>
            </w:pPr>
          </w:p>
        </w:tc>
        <w:tc>
          <w:tcPr>
            <w:tcW w:w="669" w:type="dxa"/>
            <w:vMerge w:val="continue"/>
            <w:tcBorders>
              <w:top w:val="nil"/>
            </w:tcBorders>
            <w:shd w:val="clear" w:color="auto" w:fill="auto"/>
            <w:vAlign w:val="center"/>
          </w:tcPr>
          <w:p w14:paraId="256420F9">
            <w:pPr>
              <w:spacing w:line="360" w:lineRule="auto"/>
              <w:rPr>
                <w:rFonts w:ascii="宋体" w:hAnsi="宋体" w:cs="宋体"/>
                <w:color w:val="auto"/>
                <w:sz w:val="24"/>
              </w:rPr>
            </w:pPr>
          </w:p>
        </w:tc>
        <w:tc>
          <w:tcPr>
            <w:tcW w:w="827" w:type="dxa"/>
            <w:vMerge w:val="continue"/>
            <w:tcBorders>
              <w:top w:val="nil"/>
            </w:tcBorders>
            <w:shd w:val="clear" w:color="auto" w:fill="auto"/>
            <w:vAlign w:val="center"/>
          </w:tcPr>
          <w:p w14:paraId="5BCA6F42">
            <w:pPr>
              <w:spacing w:line="360" w:lineRule="auto"/>
              <w:rPr>
                <w:rFonts w:ascii="宋体" w:hAnsi="宋体" w:cs="宋体"/>
                <w:color w:val="auto"/>
                <w:sz w:val="24"/>
              </w:rPr>
            </w:pPr>
          </w:p>
        </w:tc>
        <w:tc>
          <w:tcPr>
            <w:tcW w:w="815" w:type="dxa"/>
            <w:vMerge w:val="continue"/>
            <w:tcBorders>
              <w:top w:val="nil"/>
            </w:tcBorders>
            <w:shd w:val="clear" w:color="auto" w:fill="auto"/>
            <w:vAlign w:val="center"/>
          </w:tcPr>
          <w:p w14:paraId="11F33321">
            <w:pPr>
              <w:spacing w:line="360" w:lineRule="auto"/>
              <w:rPr>
                <w:rFonts w:ascii="宋体" w:hAnsi="宋体" w:cs="宋体"/>
                <w:color w:val="auto"/>
                <w:sz w:val="24"/>
              </w:rPr>
            </w:pPr>
          </w:p>
        </w:tc>
        <w:tc>
          <w:tcPr>
            <w:tcW w:w="1147" w:type="dxa"/>
            <w:shd w:val="clear" w:color="auto" w:fill="auto"/>
            <w:vAlign w:val="center"/>
          </w:tcPr>
          <w:p w14:paraId="25BFB3B4">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49" w:type="dxa"/>
            <w:shd w:val="clear" w:color="auto" w:fill="auto"/>
            <w:vAlign w:val="center"/>
          </w:tcPr>
          <w:p w14:paraId="02467C4C">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147" w:type="dxa"/>
            <w:shd w:val="clear" w:color="auto" w:fill="auto"/>
            <w:vAlign w:val="center"/>
          </w:tcPr>
          <w:p w14:paraId="5755C904">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744" w:type="dxa"/>
            <w:shd w:val="clear" w:color="auto" w:fill="auto"/>
            <w:vAlign w:val="center"/>
          </w:tcPr>
          <w:p w14:paraId="01CFAA08">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专业</w:t>
            </w:r>
          </w:p>
        </w:tc>
        <w:tc>
          <w:tcPr>
            <w:tcW w:w="1166" w:type="dxa"/>
            <w:shd w:val="clear" w:color="auto" w:fill="auto"/>
            <w:vAlign w:val="center"/>
          </w:tcPr>
          <w:p w14:paraId="325366A6">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1"/>
                <w:sz w:val="24"/>
                <w:lang w:eastAsia="en-US"/>
              </w:rPr>
              <w:t>完工/在建</w:t>
            </w:r>
          </w:p>
        </w:tc>
        <w:tc>
          <w:tcPr>
            <w:tcW w:w="1461" w:type="dxa"/>
            <w:shd w:val="clear" w:color="auto" w:fill="auto"/>
            <w:vAlign w:val="center"/>
          </w:tcPr>
          <w:p w14:paraId="6425BEB7">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主要项目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3"/>
                <w:kern w:val="0"/>
                <w:sz w:val="24"/>
                <w:lang w:eastAsia="en-US"/>
              </w:rPr>
              <w:t>名称</w:t>
            </w:r>
          </w:p>
        </w:tc>
      </w:tr>
      <w:tr w14:paraId="0119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8E131AE">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7"/>
                <w:sz w:val="24"/>
                <w:lang w:eastAsia="en-US"/>
              </w:rPr>
              <w:t>1.项目</w:t>
            </w:r>
          </w:p>
          <w:p w14:paraId="4EFC33F4">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经理</w:t>
            </w:r>
          </w:p>
        </w:tc>
        <w:tc>
          <w:tcPr>
            <w:tcW w:w="669" w:type="dxa"/>
            <w:shd w:val="clear" w:color="auto" w:fill="auto"/>
            <w:vAlign w:val="center"/>
          </w:tcPr>
          <w:p w14:paraId="7D0DA71C">
            <w:pPr>
              <w:spacing w:line="360" w:lineRule="auto"/>
              <w:rPr>
                <w:rFonts w:ascii="宋体" w:hAnsi="宋体" w:cs="宋体"/>
                <w:color w:val="auto"/>
                <w:sz w:val="24"/>
              </w:rPr>
            </w:pPr>
          </w:p>
        </w:tc>
        <w:tc>
          <w:tcPr>
            <w:tcW w:w="827" w:type="dxa"/>
            <w:shd w:val="clear" w:color="auto" w:fill="auto"/>
            <w:vAlign w:val="center"/>
          </w:tcPr>
          <w:p w14:paraId="2832BDDB">
            <w:pPr>
              <w:spacing w:line="360" w:lineRule="auto"/>
              <w:rPr>
                <w:rFonts w:ascii="宋体" w:hAnsi="宋体" w:cs="宋体"/>
                <w:color w:val="auto"/>
                <w:sz w:val="24"/>
              </w:rPr>
            </w:pPr>
          </w:p>
        </w:tc>
        <w:tc>
          <w:tcPr>
            <w:tcW w:w="815" w:type="dxa"/>
            <w:shd w:val="clear" w:color="auto" w:fill="auto"/>
            <w:vAlign w:val="center"/>
          </w:tcPr>
          <w:p w14:paraId="1CCC1E51">
            <w:pPr>
              <w:spacing w:line="360" w:lineRule="auto"/>
              <w:rPr>
                <w:rFonts w:ascii="宋体" w:hAnsi="宋体" w:cs="宋体"/>
                <w:color w:val="auto"/>
                <w:sz w:val="24"/>
              </w:rPr>
            </w:pPr>
          </w:p>
        </w:tc>
        <w:tc>
          <w:tcPr>
            <w:tcW w:w="1147" w:type="dxa"/>
            <w:shd w:val="clear" w:color="auto" w:fill="auto"/>
            <w:vAlign w:val="center"/>
          </w:tcPr>
          <w:p w14:paraId="4C0CAC99">
            <w:pPr>
              <w:spacing w:line="360" w:lineRule="auto"/>
              <w:rPr>
                <w:rFonts w:ascii="宋体" w:hAnsi="宋体" w:cs="宋体"/>
                <w:color w:val="auto"/>
                <w:sz w:val="24"/>
              </w:rPr>
            </w:pPr>
          </w:p>
        </w:tc>
        <w:tc>
          <w:tcPr>
            <w:tcW w:w="1149" w:type="dxa"/>
            <w:shd w:val="clear" w:color="auto" w:fill="auto"/>
            <w:vAlign w:val="center"/>
          </w:tcPr>
          <w:p w14:paraId="52A98801">
            <w:pPr>
              <w:spacing w:line="360" w:lineRule="auto"/>
              <w:rPr>
                <w:rFonts w:ascii="宋体" w:hAnsi="宋体" w:cs="宋体"/>
                <w:color w:val="auto"/>
                <w:sz w:val="24"/>
              </w:rPr>
            </w:pPr>
          </w:p>
        </w:tc>
        <w:tc>
          <w:tcPr>
            <w:tcW w:w="1147" w:type="dxa"/>
            <w:shd w:val="clear" w:color="auto" w:fill="auto"/>
            <w:vAlign w:val="center"/>
          </w:tcPr>
          <w:p w14:paraId="4F4AA2DC">
            <w:pPr>
              <w:spacing w:line="360" w:lineRule="auto"/>
              <w:rPr>
                <w:rFonts w:ascii="宋体" w:hAnsi="宋体" w:cs="宋体"/>
                <w:color w:val="auto"/>
                <w:sz w:val="24"/>
              </w:rPr>
            </w:pPr>
          </w:p>
        </w:tc>
        <w:tc>
          <w:tcPr>
            <w:tcW w:w="744" w:type="dxa"/>
            <w:shd w:val="clear" w:color="auto" w:fill="auto"/>
            <w:vAlign w:val="center"/>
          </w:tcPr>
          <w:p w14:paraId="58D2ED57">
            <w:pPr>
              <w:spacing w:line="360" w:lineRule="auto"/>
              <w:rPr>
                <w:rFonts w:ascii="宋体" w:hAnsi="宋体" w:cs="宋体"/>
                <w:color w:val="auto"/>
                <w:sz w:val="24"/>
              </w:rPr>
            </w:pPr>
          </w:p>
        </w:tc>
        <w:tc>
          <w:tcPr>
            <w:tcW w:w="1166" w:type="dxa"/>
            <w:shd w:val="clear" w:color="auto" w:fill="auto"/>
            <w:vAlign w:val="center"/>
          </w:tcPr>
          <w:p w14:paraId="33B26125">
            <w:pPr>
              <w:spacing w:line="360" w:lineRule="auto"/>
              <w:rPr>
                <w:rFonts w:ascii="宋体" w:hAnsi="宋体" w:cs="宋体"/>
                <w:color w:val="auto"/>
                <w:sz w:val="24"/>
              </w:rPr>
            </w:pPr>
          </w:p>
        </w:tc>
        <w:tc>
          <w:tcPr>
            <w:tcW w:w="1461" w:type="dxa"/>
            <w:shd w:val="clear" w:color="auto" w:fill="auto"/>
            <w:vAlign w:val="center"/>
          </w:tcPr>
          <w:p w14:paraId="51ED84F4">
            <w:pPr>
              <w:spacing w:line="360" w:lineRule="auto"/>
              <w:rPr>
                <w:rFonts w:ascii="宋体" w:hAnsi="宋体" w:cs="宋体"/>
                <w:color w:val="auto"/>
                <w:sz w:val="24"/>
              </w:rPr>
            </w:pPr>
          </w:p>
        </w:tc>
      </w:tr>
      <w:tr w14:paraId="2735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4CBB15AC">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2.技术</w:t>
            </w:r>
            <w:r>
              <w:rPr>
                <w:rFonts w:hint="eastAsia" w:ascii="宋体" w:hAnsi="宋体" w:cs="宋体"/>
                <w:snapToGrid w:val="0"/>
                <w:color w:val="auto"/>
                <w:spacing w:val="1"/>
                <w:kern w:val="0"/>
                <w:sz w:val="24"/>
              </w:rPr>
              <w:t xml:space="preserve"> </w:t>
            </w:r>
            <w:r>
              <w:rPr>
                <w:rFonts w:hint="eastAsia" w:ascii="宋体" w:hAnsi="宋体" w:cs="宋体"/>
                <w:snapToGrid w:val="0"/>
                <w:color w:val="auto"/>
                <w:spacing w:val="-3"/>
                <w:kern w:val="0"/>
                <w:sz w:val="24"/>
              </w:rPr>
              <w:t>负责人</w:t>
            </w:r>
            <w:r>
              <w:rPr>
                <w:rFonts w:hint="eastAsia" w:ascii="宋体" w:hAnsi="宋体" w:cs="宋体"/>
                <w:snapToGrid w:val="0"/>
                <w:color w:val="auto"/>
                <w:spacing w:val="-16"/>
                <w:kern w:val="0"/>
                <w:sz w:val="24"/>
              </w:rPr>
              <w:t>（项目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669" w:type="dxa"/>
            <w:shd w:val="clear" w:color="auto" w:fill="auto"/>
            <w:vAlign w:val="center"/>
          </w:tcPr>
          <w:p w14:paraId="633F0313">
            <w:pPr>
              <w:spacing w:line="360" w:lineRule="auto"/>
              <w:rPr>
                <w:rFonts w:ascii="宋体" w:hAnsi="宋体" w:cs="宋体"/>
                <w:color w:val="auto"/>
                <w:sz w:val="24"/>
              </w:rPr>
            </w:pPr>
          </w:p>
        </w:tc>
        <w:tc>
          <w:tcPr>
            <w:tcW w:w="827" w:type="dxa"/>
            <w:shd w:val="clear" w:color="auto" w:fill="auto"/>
            <w:vAlign w:val="center"/>
          </w:tcPr>
          <w:p w14:paraId="7E5F12B4">
            <w:pPr>
              <w:spacing w:line="360" w:lineRule="auto"/>
              <w:rPr>
                <w:rFonts w:ascii="宋体" w:hAnsi="宋体" w:cs="宋体"/>
                <w:color w:val="auto"/>
                <w:sz w:val="24"/>
              </w:rPr>
            </w:pPr>
          </w:p>
        </w:tc>
        <w:tc>
          <w:tcPr>
            <w:tcW w:w="815" w:type="dxa"/>
            <w:shd w:val="clear" w:color="auto" w:fill="auto"/>
            <w:vAlign w:val="center"/>
          </w:tcPr>
          <w:p w14:paraId="2CDD4802">
            <w:pPr>
              <w:spacing w:line="360" w:lineRule="auto"/>
              <w:rPr>
                <w:rFonts w:ascii="宋体" w:hAnsi="宋体" w:cs="宋体"/>
                <w:color w:val="auto"/>
                <w:sz w:val="24"/>
              </w:rPr>
            </w:pPr>
          </w:p>
        </w:tc>
        <w:tc>
          <w:tcPr>
            <w:tcW w:w="1147" w:type="dxa"/>
            <w:shd w:val="clear" w:color="auto" w:fill="auto"/>
            <w:vAlign w:val="center"/>
          </w:tcPr>
          <w:p w14:paraId="6963FF47">
            <w:pPr>
              <w:spacing w:line="360" w:lineRule="auto"/>
              <w:rPr>
                <w:rFonts w:ascii="宋体" w:hAnsi="宋体" w:cs="宋体"/>
                <w:color w:val="auto"/>
                <w:sz w:val="24"/>
              </w:rPr>
            </w:pPr>
          </w:p>
        </w:tc>
        <w:tc>
          <w:tcPr>
            <w:tcW w:w="1149" w:type="dxa"/>
            <w:shd w:val="clear" w:color="auto" w:fill="auto"/>
            <w:vAlign w:val="center"/>
          </w:tcPr>
          <w:p w14:paraId="13404DE2">
            <w:pPr>
              <w:spacing w:line="360" w:lineRule="auto"/>
              <w:rPr>
                <w:rFonts w:ascii="宋体" w:hAnsi="宋体" w:cs="宋体"/>
                <w:color w:val="auto"/>
                <w:sz w:val="24"/>
              </w:rPr>
            </w:pPr>
          </w:p>
        </w:tc>
        <w:tc>
          <w:tcPr>
            <w:tcW w:w="1147" w:type="dxa"/>
            <w:shd w:val="clear" w:color="auto" w:fill="auto"/>
            <w:vAlign w:val="center"/>
          </w:tcPr>
          <w:p w14:paraId="2E6C788A">
            <w:pPr>
              <w:spacing w:line="360" w:lineRule="auto"/>
              <w:rPr>
                <w:rFonts w:ascii="宋体" w:hAnsi="宋体" w:cs="宋体"/>
                <w:color w:val="auto"/>
                <w:sz w:val="24"/>
              </w:rPr>
            </w:pPr>
          </w:p>
        </w:tc>
        <w:tc>
          <w:tcPr>
            <w:tcW w:w="744" w:type="dxa"/>
            <w:shd w:val="clear" w:color="auto" w:fill="auto"/>
            <w:vAlign w:val="center"/>
          </w:tcPr>
          <w:p w14:paraId="6BBED96A">
            <w:pPr>
              <w:spacing w:line="360" w:lineRule="auto"/>
              <w:rPr>
                <w:rFonts w:ascii="宋体" w:hAnsi="宋体" w:cs="宋体"/>
                <w:color w:val="auto"/>
                <w:sz w:val="24"/>
              </w:rPr>
            </w:pPr>
          </w:p>
        </w:tc>
        <w:tc>
          <w:tcPr>
            <w:tcW w:w="1166" w:type="dxa"/>
            <w:shd w:val="clear" w:color="auto" w:fill="auto"/>
            <w:vAlign w:val="center"/>
          </w:tcPr>
          <w:p w14:paraId="096B30FD">
            <w:pPr>
              <w:spacing w:line="360" w:lineRule="auto"/>
              <w:rPr>
                <w:rFonts w:ascii="宋体" w:hAnsi="宋体" w:cs="宋体"/>
                <w:color w:val="auto"/>
                <w:sz w:val="24"/>
              </w:rPr>
            </w:pPr>
          </w:p>
        </w:tc>
        <w:tc>
          <w:tcPr>
            <w:tcW w:w="1461" w:type="dxa"/>
            <w:shd w:val="clear" w:color="auto" w:fill="auto"/>
            <w:vAlign w:val="center"/>
          </w:tcPr>
          <w:p w14:paraId="107BE1C9">
            <w:pPr>
              <w:spacing w:line="360" w:lineRule="auto"/>
              <w:rPr>
                <w:rFonts w:ascii="宋体" w:hAnsi="宋体" w:cs="宋体"/>
                <w:color w:val="auto"/>
                <w:sz w:val="24"/>
              </w:rPr>
            </w:pPr>
          </w:p>
        </w:tc>
      </w:tr>
      <w:tr w14:paraId="7603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69CB5B20">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3.</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spacing w:val="-4"/>
                <w:kern w:val="0"/>
                <w:sz w:val="24"/>
                <w:lang w:eastAsia="en-US"/>
              </w:rPr>
              <w:t>施工</w:t>
            </w:r>
            <w:r>
              <w:rPr>
                <w:rFonts w:hint="eastAsia" w:ascii="宋体" w:hAnsi="宋体" w:cs="宋体"/>
                <w:snapToGrid w:val="0"/>
                <w:color w:val="auto"/>
                <w:spacing w:val="1"/>
                <w:kern w:val="0"/>
                <w:sz w:val="24"/>
                <w:lang w:eastAsia="en-US"/>
              </w:rPr>
              <w:t xml:space="preserve"> </w:t>
            </w:r>
            <w:r>
              <w:rPr>
                <w:rFonts w:hint="eastAsia" w:ascii="宋体" w:hAnsi="宋体" w:cs="宋体"/>
                <w:snapToGrid w:val="0"/>
                <w:color w:val="auto"/>
                <w:kern w:val="0"/>
                <w:sz w:val="24"/>
                <w:lang w:eastAsia="en-US"/>
              </w:rPr>
              <w:t>员</w:t>
            </w:r>
          </w:p>
        </w:tc>
        <w:tc>
          <w:tcPr>
            <w:tcW w:w="669" w:type="dxa"/>
            <w:shd w:val="clear" w:color="auto" w:fill="auto"/>
            <w:vAlign w:val="center"/>
          </w:tcPr>
          <w:p w14:paraId="3C06632F">
            <w:pPr>
              <w:spacing w:line="360" w:lineRule="auto"/>
              <w:rPr>
                <w:rFonts w:ascii="宋体" w:hAnsi="宋体" w:cs="宋体"/>
                <w:color w:val="auto"/>
                <w:sz w:val="24"/>
              </w:rPr>
            </w:pPr>
          </w:p>
        </w:tc>
        <w:tc>
          <w:tcPr>
            <w:tcW w:w="827" w:type="dxa"/>
            <w:shd w:val="clear" w:color="auto" w:fill="auto"/>
            <w:vAlign w:val="center"/>
          </w:tcPr>
          <w:p w14:paraId="00577ED2">
            <w:pPr>
              <w:spacing w:line="360" w:lineRule="auto"/>
              <w:rPr>
                <w:rFonts w:ascii="宋体" w:hAnsi="宋体" w:cs="宋体"/>
                <w:color w:val="auto"/>
                <w:sz w:val="24"/>
              </w:rPr>
            </w:pPr>
          </w:p>
        </w:tc>
        <w:tc>
          <w:tcPr>
            <w:tcW w:w="815" w:type="dxa"/>
            <w:shd w:val="clear" w:color="auto" w:fill="auto"/>
            <w:vAlign w:val="center"/>
          </w:tcPr>
          <w:p w14:paraId="2171EBFB">
            <w:pPr>
              <w:spacing w:line="360" w:lineRule="auto"/>
              <w:rPr>
                <w:rFonts w:ascii="宋体" w:hAnsi="宋体" w:cs="宋体"/>
                <w:color w:val="auto"/>
                <w:sz w:val="24"/>
              </w:rPr>
            </w:pPr>
          </w:p>
        </w:tc>
        <w:tc>
          <w:tcPr>
            <w:tcW w:w="1147" w:type="dxa"/>
            <w:shd w:val="clear" w:color="auto" w:fill="auto"/>
            <w:vAlign w:val="center"/>
          </w:tcPr>
          <w:p w14:paraId="602F3398">
            <w:pPr>
              <w:spacing w:line="360" w:lineRule="auto"/>
              <w:rPr>
                <w:rFonts w:ascii="宋体" w:hAnsi="宋体" w:cs="宋体"/>
                <w:color w:val="auto"/>
                <w:sz w:val="24"/>
              </w:rPr>
            </w:pPr>
          </w:p>
        </w:tc>
        <w:tc>
          <w:tcPr>
            <w:tcW w:w="1149" w:type="dxa"/>
            <w:shd w:val="clear" w:color="auto" w:fill="auto"/>
            <w:vAlign w:val="center"/>
          </w:tcPr>
          <w:p w14:paraId="0CBCC4F4">
            <w:pPr>
              <w:spacing w:line="360" w:lineRule="auto"/>
              <w:rPr>
                <w:rFonts w:ascii="宋体" w:hAnsi="宋体" w:cs="宋体"/>
                <w:color w:val="auto"/>
                <w:sz w:val="24"/>
              </w:rPr>
            </w:pPr>
          </w:p>
        </w:tc>
        <w:tc>
          <w:tcPr>
            <w:tcW w:w="1147" w:type="dxa"/>
            <w:shd w:val="clear" w:color="auto" w:fill="auto"/>
            <w:vAlign w:val="center"/>
          </w:tcPr>
          <w:p w14:paraId="65A7293C">
            <w:pPr>
              <w:spacing w:line="360" w:lineRule="auto"/>
              <w:rPr>
                <w:rFonts w:ascii="宋体" w:hAnsi="宋体" w:cs="宋体"/>
                <w:color w:val="auto"/>
                <w:sz w:val="24"/>
              </w:rPr>
            </w:pPr>
          </w:p>
        </w:tc>
        <w:tc>
          <w:tcPr>
            <w:tcW w:w="744" w:type="dxa"/>
            <w:shd w:val="clear" w:color="auto" w:fill="auto"/>
            <w:vAlign w:val="center"/>
          </w:tcPr>
          <w:p w14:paraId="321322DB">
            <w:pPr>
              <w:spacing w:line="360" w:lineRule="auto"/>
              <w:rPr>
                <w:rFonts w:ascii="宋体" w:hAnsi="宋体" w:cs="宋体"/>
                <w:color w:val="auto"/>
                <w:sz w:val="24"/>
              </w:rPr>
            </w:pPr>
          </w:p>
        </w:tc>
        <w:tc>
          <w:tcPr>
            <w:tcW w:w="1166" w:type="dxa"/>
            <w:shd w:val="clear" w:color="auto" w:fill="auto"/>
            <w:vAlign w:val="center"/>
          </w:tcPr>
          <w:p w14:paraId="1D44AE27">
            <w:pPr>
              <w:spacing w:line="360" w:lineRule="auto"/>
              <w:rPr>
                <w:rFonts w:ascii="宋体" w:hAnsi="宋体" w:cs="宋体"/>
                <w:color w:val="auto"/>
                <w:sz w:val="24"/>
              </w:rPr>
            </w:pPr>
          </w:p>
        </w:tc>
        <w:tc>
          <w:tcPr>
            <w:tcW w:w="1461" w:type="dxa"/>
            <w:shd w:val="clear" w:color="auto" w:fill="auto"/>
            <w:vAlign w:val="center"/>
          </w:tcPr>
          <w:p w14:paraId="0D11429F">
            <w:pPr>
              <w:spacing w:line="360" w:lineRule="auto"/>
              <w:rPr>
                <w:rFonts w:ascii="宋体" w:hAnsi="宋体" w:cs="宋体"/>
                <w:color w:val="auto"/>
                <w:sz w:val="24"/>
              </w:rPr>
            </w:pPr>
          </w:p>
        </w:tc>
      </w:tr>
      <w:tr w14:paraId="48FB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95B7FA2">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position w:val="7"/>
                <w:sz w:val="24"/>
                <w:lang w:eastAsia="en-US"/>
              </w:rPr>
              <w:t>4.安全</w:t>
            </w:r>
          </w:p>
          <w:p w14:paraId="584DE7EF">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69BAAB9A">
            <w:pPr>
              <w:spacing w:line="360" w:lineRule="auto"/>
              <w:rPr>
                <w:rFonts w:ascii="宋体" w:hAnsi="宋体" w:cs="宋体"/>
                <w:color w:val="auto"/>
                <w:sz w:val="24"/>
              </w:rPr>
            </w:pPr>
          </w:p>
        </w:tc>
        <w:tc>
          <w:tcPr>
            <w:tcW w:w="827" w:type="dxa"/>
            <w:shd w:val="clear" w:color="auto" w:fill="auto"/>
            <w:vAlign w:val="center"/>
          </w:tcPr>
          <w:p w14:paraId="37622DB1">
            <w:pPr>
              <w:spacing w:line="360" w:lineRule="auto"/>
              <w:rPr>
                <w:rFonts w:ascii="宋体" w:hAnsi="宋体" w:cs="宋体"/>
                <w:color w:val="auto"/>
                <w:sz w:val="24"/>
              </w:rPr>
            </w:pPr>
          </w:p>
        </w:tc>
        <w:tc>
          <w:tcPr>
            <w:tcW w:w="815" w:type="dxa"/>
            <w:shd w:val="clear" w:color="auto" w:fill="auto"/>
            <w:vAlign w:val="center"/>
          </w:tcPr>
          <w:p w14:paraId="2190AE45">
            <w:pPr>
              <w:spacing w:line="360" w:lineRule="auto"/>
              <w:rPr>
                <w:rFonts w:ascii="宋体" w:hAnsi="宋体" w:cs="宋体"/>
                <w:color w:val="auto"/>
                <w:sz w:val="24"/>
              </w:rPr>
            </w:pPr>
          </w:p>
        </w:tc>
        <w:tc>
          <w:tcPr>
            <w:tcW w:w="1147" w:type="dxa"/>
            <w:shd w:val="clear" w:color="auto" w:fill="auto"/>
            <w:vAlign w:val="center"/>
          </w:tcPr>
          <w:p w14:paraId="2F8B1D64">
            <w:pPr>
              <w:spacing w:line="360" w:lineRule="auto"/>
              <w:rPr>
                <w:rFonts w:ascii="宋体" w:hAnsi="宋体" w:cs="宋体"/>
                <w:color w:val="auto"/>
                <w:sz w:val="24"/>
              </w:rPr>
            </w:pPr>
          </w:p>
        </w:tc>
        <w:tc>
          <w:tcPr>
            <w:tcW w:w="1149" w:type="dxa"/>
            <w:shd w:val="clear" w:color="auto" w:fill="auto"/>
            <w:vAlign w:val="center"/>
          </w:tcPr>
          <w:p w14:paraId="0F02ABCB">
            <w:pPr>
              <w:spacing w:line="360" w:lineRule="auto"/>
              <w:rPr>
                <w:rFonts w:ascii="宋体" w:hAnsi="宋体" w:cs="宋体"/>
                <w:color w:val="auto"/>
                <w:sz w:val="24"/>
              </w:rPr>
            </w:pPr>
          </w:p>
        </w:tc>
        <w:tc>
          <w:tcPr>
            <w:tcW w:w="1147" w:type="dxa"/>
            <w:shd w:val="clear" w:color="auto" w:fill="auto"/>
            <w:vAlign w:val="center"/>
          </w:tcPr>
          <w:p w14:paraId="0028F238">
            <w:pPr>
              <w:spacing w:line="360" w:lineRule="auto"/>
              <w:rPr>
                <w:rFonts w:ascii="宋体" w:hAnsi="宋体" w:cs="宋体"/>
                <w:color w:val="auto"/>
                <w:sz w:val="24"/>
              </w:rPr>
            </w:pPr>
          </w:p>
        </w:tc>
        <w:tc>
          <w:tcPr>
            <w:tcW w:w="744" w:type="dxa"/>
            <w:shd w:val="clear" w:color="auto" w:fill="auto"/>
            <w:vAlign w:val="center"/>
          </w:tcPr>
          <w:p w14:paraId="2A4BAF7E">
            <w:pPr>
              <w:spacing w:line="360" w:lineRule="auto"/>
              <w:rPr>
                <w:rFonts w:ascii="宋体" w:hAnsi="宋体" w:cs="宋体"/>
                <w:color w:val="auto"/>
                <w:sz w:val="24"/>
              </w:rPr>
            </w:pPr>
          </w:p>
        </w:tc>
        <w:tc>
          <w:tcPr>
            <w:tcW w:w="1166" w:type="dxa"/>
            <w:shd w:val="clear" w:color="auto" w:fill="auto"/>
            <w:vAlign w:val="center"/>
          </w:tcPr>
          <w:p w14:paraId="6E5AEBB4">
            <w:pPr>
              <w:spacing w:line="360" w:lineRule="auto"/>
              <w:rPr>
                <w:rFonts w:ascii="宋体" w:hAnsi="宋体" w:cs="宋体"/>
                <w:color w:val="auto"/>
                <w:sz w:val="24"/>
              </w:rPr>
            </w:pPr>
          </w:p>
        </w:tc>
        <w:tc>
          <w:tcPr>
            <w:tcW w:w="1461" w:type="dxa"/>
            <w:shd w:val="clear" w:color="auto" w:fill="auto"/>
            <w:vAlign w:val="center"/>
          </w:tcPr>
          <w:p w14:paraId="7CEAF2D3">
            <w:pPr>
              <w:spacing w:line="360" w:lineRule="auto"/>
              <w:rPr>
                <w:rFonts w:ascii="宋体" w:hAnsi="宋体" w:cs="宋体"/>
                <w:color w:val="auto"/>
                <w:sz w:val="24"/>
              </w:rPr>
            </w:pPr>
          </w:p>
        </w:tc>
      </w:tr>
      <w:tr w14:paraId="55E8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9855EF1">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sz w:val="24"/>
                <w:lang w:eastAsia="en-US"/>
              </w:rPr>
              <w:t>5.质量</w:t>
            </w:r>
            <w:r>
              <w:rPr>
                <w:rFonts w:hint="eastAsia" w:ascii="宋体" w:hAnsi="宋体" w:cs="宋体"/>
                <w:snapToGrid w:val="0"/>
                <w:color w:val="auto"/>
                <w:kern w:val="0"/>
                <w:sz w:val="24"/>
                <w:lang w:eastAsia="en-US"/>
              </w:rPr>
              <w:t xml:space="preserve"> 员</w:t>
            </w:r>
          </w:p>
        </w:tc>
        <w:tc>
          <w:tcPr>
            <w:tcW w:w="669" w:type="dxa"/>
            <w:shd w:val="clear" w:color="auto" w:fill="auto"/>
            <w:vAlign w:val="center"/>
          </w:tcPr>
          <w:p w14:paraId="507C364A">
            <w:pPr>
              <w:spacing w:line="360" w:lineRule="auto"/>
              <w:rPr>
                <w:rFonts w:ascii="宋体" w:hAnsi="宋体" w:cs="宋体"/>
                <w:color w:val="auto"/>
                <w:sz w:val="24"/>
              </w:rPr>
            </w:pPr>
          </w:p>
        </w:tc>
        <w:tc>
          <w:tcPr>
            <w:tcW w:w="827" w:type="dxa"/>
            <w:shd w:val="clear" w:color="auto" w:fill="auto"/>
            <w:vAlign w:val="center"/>
          </w:tcPr>
          <w:p w14:paraId="4BC7CD2C">
            <w:pPr>
              <w:spacing w:line="360" w:lineRule="auto"/>
              <w:rPr>
                <w:rFonts w:ascii="宋体" w:hAnsi="宋体" w:cs="宋体"/>
                <w:color w:val="auto"/>
                <w:sz w:val="24"/>
              </w:rPr>
            </w:pPr>
          </w:p>
        </w:tc>
        <w:tc>
          <w:tcPr>
            <w:tcW w:w="815" w:type="dxa"/>
            <w:shd w:val="clear" w:color="auto" w:fill="auto"/>
            <w:vAlign w:val="center"/>
          </w:tcPr>
          <w:p w14:paraId="2BEBE4C0">
            <w:pPr>
              <w:spacing w:line="360" w:lineRule="auto"/>
              <w:rPr>
                <w:rFonts w:ascii="宋体" w:hAnsi="宋体" w:cs="宋体"/>
                <w:color w:val="auto"/>
                <w:sz w:val="24"/>
              </w:rPr>
            </w:pPr>
          </w:p>
        </w:tc>
        <w:tc>
          <w:tcPr>
            <w:tcW w:w="1147" w:type="dxa"/>
            <w:shd w:val="clear" w:color="auto" w:fill="auto"/>
            <w:vAlign w:val="center"/>
          </w:tcPr>
          <w:p w14:paraId="1F04539A">
            <w:pPr>
              <w:spacing w:line="360" w:lineRule="auto"/>
              <w:rPr>
                <w:rFonts w:ascii="宋体" w:hAnsi="宋体" w:cs="宋体"/>
                <w:color w:val="auto"/>
                <w:sz w:val="24"/>
              </w:rPr>
            </w:pPr>
          </w:p>
        </w:tc>
        <w:tc>
          <w:tcPr>
            <w:tcW w:w="1149" w:type="dxa"/>
            <w:shd w:val="clear" w:color="auto" w:fill="auto"/>
            <w:vAlign w:val="center"/>
          </w:tcPr>
          <w:p w14:paraId="0DEEF9CB">
            <w:pPr>
              <w:spacing w:line="360" w:lineRule="auto"/>
              <w:rPr>
                <w:rFonts w:ascii="宋体" w:hAnsi="宋体" w:cs="宋体"/>
                <w:color w:val="auto"/>
                <w:sz w:val="24"/>
              </w:rPr>
            </w:pPr>
          </w:p>
        </w:tc>
        <w:tc>
          <w:tcPr>
            <w:tcW w:w="1147" w:type="dxa"/>
            <w:shd w:val="clear" w:color="auto" w:fill="auto"/>
            <w:vAlign w:val="center"/>
          </w:tcPr>
          <w:p w14:paraId="75E9D743">
            <w:pPr>
              <w:spacing w:line="360" w:lineRule="auto"/>
              <w:rPr>
                <w:rFonts w:ascii="宋体" w:hAnsi="宋体" w:cs="宋体"/>
                <w:color w:val="auto"/>
                <w:sz w:val="24"/>
              </w:rPr>
            </w:pPr>
          </w:p>
        </w:tc>
        <w:tc>
          <w:tcPr>
            <w:tcW w:w="744" w:type="dxa"/>
            <w:shd w:val="clear" w:color="auto" w:fill="auto"/>
            <w:vAlign w:val="center"/>
          </w:tcPr>
          <w:p w14:paraId="157AAD29">
            <w:pPr>
              <w:spacing w:line="360" w:lineRule="auto"/>
              <w:rPr>
                <w:rFonts w:ascii="宋体" w:hAnsi="宋体" w:cs="宋体"/>
                <w:color w:val="auto"/>
                <w:sz w:val="24"/>
              </w:rPr>
            </w:pPr>
          </w:p>
        </w:tc>
        <w:tc>
          <w:tcPr>
            <w:tcW w:w="1166" w:type="dxa"/>
            <w:shd w:val="clear" w:color="auto" w:fill="auto"/>
            <w:vAlign w:val="center"/>
          </w:tcPr>
          <w:p w14:paraId="692A4370">
            <w:pPr>
              <w:spacing w:line="360" w:lineRule="auto"/>
              <w:rPr>
                <w:rFonts w:ascii="宋体" w:hAnsi="宋体" w:cs="宋体"/>
                <w:color w:val="auto"/>
                <w:sz w:val="24"/>
              </w:rPr>
            </w:pPr>
          </w:p>
        </w:tc>
        <w:tc>
          <w:tcPr>
            <w:tcW w:w="1461" w:type="dxa"/>
            <w:shd w:val="clear" w:color="auto" w:fill="auto"/>
            <w:vAlign w:val="center"/>
          </w:tcPr>
          <w:p w14:paraId="277596F5">
            <w:pPr>
              <w:spacing w:line="360" w:lineRule="auto"/>
              <w:rPr>
                <w:rFonts w:ascii="宋体" w:hAnsi="宋体" w:cs="宋体"/>
                <w:color w:val="auto"/>
                <w:sz w:val="24"/>
              </w:rPr>
            </w:pPr>
          </w:p>
        </w:tc>
      </w:tr>
      <w:tr w14:paraId="046E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A785B5F">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7"/>
                <w:sz w:val="24"/>
                <w:lang w:eastAsia="en-US"/>
              </w:rPr>
              <w:t>6.材料</w:t>
            </w:r>
          </w:p>
          <w:p w14:paraId="7F4B4566">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6D115C40">
            <w:pPr>
              <w:spacing w:line="360" w:lineRule="auto"/>
              <w:rPr>
                <w:rFonts w:ascii="宋体" w:hAnsi="宋体" w:cs="宋体"/>
                <w:color w:val="auto"/>
                <w:sz w:val="24"/>
              </w:rPr>
            </w:pPr>
          </w:p>
        </w:tc>
        <w:tc>
          <w:tcPr>
            <w:tcW w:w="827" w:type="dxa"/>
            <w:shd w:val="clear" w:color="auto" w:fill="auto"/>
            <w:vAlign w:val="center"/>
          </w:tcPr>
          <w:p w14:paraId="093A2670">
            <w:pPr>
              <w:spacing w:line="360" w:lineRule="auto"/>
              <w:rPr>
                <w:rFonts w:ascii="宋体" w:hAnsi="宋体" w:cs="宋体"/>
                <w:color w:val="auto"/>
                <w:sz w:val="24"/>
              </w:rPr>
            </w:pPr>
          </w:p>
        </w:tc>
        <w:tc>
          <w:tcPr>
            <w:tcW w:w="815" w:type="dxa"/>
            <w:shd w:val="clear" w:color="auto" w:fill="auto"/>
            <w:vAlign w:val="center"/>
          </w:tcPr>
          <w:p w14:paraId="00894261">
            <w:pPr>
              <w:spacing w:line="360" w:lineRule="auto"/>
              <w:rPr>
                <w:rFonts w:ascii="宋体" w:hAnsi="宋体" w:cs="宋体"/>
                <w:color w:val="auto"/>
                <w:sz w:val="24"/>
              </w:rPr>
            </w:pPr>
          </w:p>
        </w:tc>
        <w:tc>
          <w:tcPr>
            <w:tcW w:w="1147" w:type="dxa"/>
            <w:shd w:val="clear" w:color="auto" w:fill="auto"/>
            <w:vAlign w:val="center"/>
          </w:tcPr>
          <w:p w14:paraId="7718A538">
            <w:pPr>
              <w:spacing w:line="360" w:lineRule="auto"/>
              <w:rPr>
                <w:rFonts w:ascii="宋体" w:hAnsi="宋体" w:cs="宋体"/>
                <w:color w:val="auto"/>
                <w:sz w:val="24"/>
              </w:rPr>
            </w:pPr>
          </w:p>
        </w:tc>
        <w:tc>
          <w:tcPr>
            <w:tcW w:w="1149" w:type="dxa"/>
            <w:shd w:val="clear" w:color="auto" w:fill="auto"/>
            <w:vAlign w:val="center"/>
          </w:tcPr>
          <w:p w14:paraId="39E95071">
            <w:pPr>
              <w:spacing w:line="360" w:lineRule="auto"/>
              <w:rPr>
                <w:rFonts w:ascii="宋体" w:hAnsi="宋体" w:cs="宋体"/>
                <w:color w:val="auto"/>
                <w:sz w:val="24"/>
              </w:rPr>
            </w:pPr>
          </w:p>
        </w:tc>
        <w:tc>
          <w:tcPr>
            <w:tcW w:w="1147" w:type="dxa"/>
            <w:shd w:val="clear" w:color="auto" w:fill="auto"/>
            <w:vAlign w:val="center"/>
          </w:tcPr>
          <w:p w14:paraId="46CF78C7">
            <w:pPr>
              <w:spacing w:line="360" w:lineRule="auto"/>
              <w:rPr>
                <w:rFonts w:ascii="宋体" w:hAnsi="宋体" w:cs="宋体"/>
                <w:color w:val="auto"/>
                <w:sz w:val="24"/>
              </w:rPr>
            </w:pPr>
          </w:p>
        </w:tc>
        <w:tc>
          <w:tcPr>
            <w:tcW w:w="744" w:type="dxa"/>
            <w:shd w:val="clear" w:color="auto" w:fill="auto"/>
            <w:vAlign w:val="center"/>
          </w:tcPr>
          <w:p w14:paraId="53EC15D4">
            <w:pPr>
              <w:spacing w:line="360" w:lineRule="auto"/>
              <w:rPr>
                <w:rFonts w:ascii="宋体" w:hAnsi="宋体" w:cs="宋体"/>
                <w:color w:val="auto"/>
                <w:sz w:val="24"/>
              </w:rPr>
            </w:pPr>
          </w:p>
        </w:tc>
        <w:tc>
          <w:tcPr>
            <w:tcW w:w="1166" w:type="dxa"/>
            <w:shd w:val="clear" w:color="auto" w:fill="auto"/>
            <w:vAlign w:val="center"/>
          </w:tcPr>
          <w:p w14:paraId="4B1A46CC">
            <w:pPr>
              <w:spacing w:line="360" w:lineRule="auto"/>
              <w:rPr>
                <w:rFonts w:ascii="宋体" w:hAnsi="宋体" w:cs="宋体"/>
                <w:color w:val="auto"/>
                <w:sz w:val="24"/>
              </w:rPr>
            </w:pPr>
          </w:p>
        </w:tc>
        <w:tc>
          <w:tcPr>
            <w:tcW w:w="1461" w:type="dxa"/>
            <w:shd w:val="clear" w:color="auto" w:fill="auto"/>
            <w:vAlign w:val="center"/>
          </w:tcPr>
          <w:p w14:paraId="24B37151">
            <w:pPr>
              <w:spacing w:line="360" w:lineRule="auto"/>
              <w:rPr>
                <w:rFonts w:ascii="宋体" w:hAnsi="宋体" w:cs="宋体"/>
                <w:color w:val="auto"/>
                <w:sz w:val="24"/>
              </w:rPr>
            </w:pPr>
          </w:p>
        </w:tc>
      </w:tr>
      <w:tr w14:paraId="5F04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C5DF3A6">
            <w:pPr>
              <w:spacing w:line="360" w:lineRule="auto"/>
              <w:rPr>
                <w:rFonts w:ascii="宋体" w:hAnsi="宋体" w:cs="宋体"/>
                <w:color w:val="auto"/>
                <w:sz w:val="24"/>
              </w:rPr>
            </w:pPr>
          </w:p>
        </w:tc>
        <w:tc>
          <w:tcPr>
            <w:tcW w:w="669" w:type="dxa"/>
            <w:shd w:val="clear" w:color="auto" w:fill="auto"/>
            <w:vAlign w:val="center"/>
          </w:tcPr>
          <w:p w14:paraId="4D8875B8">
            <w:pPr>
              <w:spacing w:line="360" w:lineRule="auto"/>
              <w:rPr>
                <w:rFonts w:ascii="宋体" w:hAnsi="宋体" w:cs="宋体"/>
                <w:color w:val="auto"/>
                <w:sz w:val="24"/>
              </w:rPr>
            </w:pPr>
          </w:p>
        </w:tc>
        <w:tc>
          <w:tcPr>
            <w:tcW w:w="827" w:type="dxa"/>
            <w:shd w:val="clear" w:color="auto" w:fill="auto"/>
            <w:vAlign w:val="center"/>
          </w:tcPr>
          <w:p w14:paraId="0AB93B34">
            <w:pPr>
              <w:spacing w:line="360" w:lineRule="auto"/>
              <w:rPr>
                <w:rFonts w:ascii="宋体" w:hAnsi="宋体" w:cs="宋体"/>
                <w:color w:val="auto"/>
                <w:sz w:val="24"/>
              </w:rPr>
            </w:pPr>
          </w:p>
        </w:tc>
        <w:tc>
          <w:tcPr>
            <w:tcW w:w="815" w:type="dxa"/>
            <w:shd w:val="clear" w:color="auto" w:fill="auto"/>
            <w:vAlign w:val="center"/>
          </w:tcPr>
          <w:p w14:paraId="2348F599">
            <w:pPr>
              <w:spacing w:line="360" w:lineRule="auto"/>
              <w:rPr>
                <w:rFonts w:ascii="宋体" w:hAnsi="宋体" w:cs="宋体"/>
                <w:color w:val="auto"/>
                <w:sz w:val="24"/>
              </w:rPr>
            </w:pPr>
          </w:p>
        </w:tc>
        <w:tc>
          <w:tcPr>
            <w:tcW w:w="1147" w:type="dxa"/>
            <w:shd w:val="clear" w:color="auto" w:fill="auto"/>
            <w:vAlign w:val="center"/>
          </w:tcPr>
          <w:p w14:paraId="5CBF1367">
            <w:pPr>
              <w:spacing w:line="360" w:lineRule="auto"/>
              <w:rPr>
                <w:rFonts w:ascii="宋体" w:hAnsi="宋体" w:cs="宋体"/>
                <w:color w:val="auto"/>
                <w:sz w:val="24"/>
              </w:rPr>
            </w:pPr>
          </w:p>
        </w:tc>
        <w:tc>
          <w:tcPr>
            <w:tcW w:w="1149" w:type="dxa"/>
            <w:shd w:val="clear" w:color="auto" w:fill="auto"/>
            <w:vAlign w:val="center"/>
          </w:tcPr>
          <w:p w14:paraId="0E064820">
            <w:pPr>
              <w:spacing w:line="360" w:lineRule="auto"/>
              <w:rPr>
                <w:rFonts w:ascii="宋体" w:hAnsi="宋体" w:cs="宋体"/>
                <w:color w:val="auto"/>
                <w:sz w:val="24"/>
              </w:rPr>
            </w:pPr>
          </w:p>
        </w:tc>
        <w:tc>
          <w:tcPr>
            <w:tcW w:w="1147" w:type="dxa"/>
            <w:shd w:val="clear" w:color="auto" w:fill="auto"/>
            <w:vAlign w:val="center"/>
          </w:tcPr>
          <w:p w14:paraId="14DCFAA7">
            <w:pPr>
              <w:spacing w:line="360" w:lineRule="auto"/>
              <w:rPr>
                <w:rFonts w:ascii="宋体" w:hAnsi="宋体" w:cs="宋体"/>
                <w:color w:val="auto"/>
                <w:sz w:val="24"/>
              </w:rPr>
            </w:pPr>
          </w:p>
        </w:tc>
        <w:tc>
          <w:tcPr>
            <w:tcW w:w="744" w:type="dxa"/>
            <w:shd w:val="clear" w:color="auto" w:fill="auto"/>
            <w:vAlign w:val="center"/>
          </w:tcPr>
          <w:p w14:paraId="5CCE29F9">
            <w:pPr>
              <w:spacing w:line="360" w:lineRule="auto"/>
              <w:rPr>
                <w:rFonts w:ascii="宋体" w:hAnsi="宋体" w:cs="宋体"/>
                <w:color w:val="auto"/>
                <w:sz w:val="24"/>
              </w:rPr>
            </w:pPr>
          </w:p>
        </w:tc>
        <w:tc>
          <w:tcPr>
            <w:tcW w:w="1166" w:type="dxa"/>
            <w:shd w:val="clear" w:color="auto" w:fill="auto"/>
            <w:vAlign w:val="center"/>
          </w:tcPr>
          <w:p w14:paraId="0D29B5ED">
            <w:pPr>
              <w:spacing w:line="360" w:lineRule="auto"/>
              <w:rPr>
                <w:rFonts w:ascii="宋体" w:hAnsi="宋体" w:cs="宋体"/>
                <w:color w:val="auto"/>
                <w:sz w:val="24"/>
              </w:rPr>
            </w:pPr>
          </w:p>
        </w:tc>
        <w:tc>
          <w:tcPr>
            <w:tcW w:w="1461" w:type="dxa"/>
            <w:shd w:val="clear" w:color="auto" w:fill="auto"/>
            <w:vAlign w:val="center"/>
          </w:tcPr>
          <w:p w14:paraId="34DF5977">
            <w:pPr>
              <w:spacing w:line="360" w:lineRule="auto"/>
              <w:rPr>
                <w:rFonts w:ascii="宋体" w:hAnsi="宋体" w:cs="宋体"/>
                <w:color w:val="auto"/>
                <w:sz w:val="24"/>
              </w:rPr>
            </w:pPr>
          </w:p>
        </w:tc>
      </w:tr>
      <w:tr w14:paraId="78B9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0051" w:type="dxa"/>
            <w:gridSpan w:val="10"/>
            <w:shd w:val="clear" w:color="auto" w:fill="auto"/>
            <w:vAlign w:val="center"/>
          </w:tcPr>
          <w:p w14:paraId="1D77AA6B">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rPr>
            </w:pPr>
            <w:r>
              <w:rPr>
                <w:rFonts w:hint="eastAsia" w:ascii="宋体" w:hAnsi="宋体" w:cs="宋体"/>
                <w:snapToGrid w:val="0"/>
                <w:color w:val="auto"/>
                <w:kern w:val="0"/>
                <w:sz w:val="24"/>
              </w:rPr>
              <w:t>一旦我单位成交，将实行项目经理负责制，我方保证并配备上述项目管</w:t>
            </w:r>
            <w:r>
              <w:rPr>
                <w:rFonts w:hint="eastAsia" w:ascii="宋体" w:hAnsi="宋体" w:cs="宋体"/>
                <w:snapToGrid w:val="0"/>
                <w:color w:val="auto"/>
                <w:spacing w:val="-1"/>
                <w:kern w:val="0"/>
                <w:sz w:val="24"/>
              </w:rPr>
              <w:t>理机构。上述填报内容真实，若不</w:t>
            </w:r>
            <w:r>
              <w:rPr>
                <w:rFonts w:hint="eastAsia" w:ascii="宋体" w:hAnsi="宋体" w:cs="宋体"/>
                <w:snapToGrid w:val="0"/>
                <w:color w:val="auto"/>
                <w:spacing w:val="-3"/>
                <w:kern w:val="0"/>
                <w:sz w:val="24"/>
              </w:rPr>
              <w:t>真实，愿按有关规定接受处理。项目管理班子机构设置、职责分工等情况另附资料说明。</w:t>
            </w:r>
          </w:p>
        </w:tc>
      </w:tr>
    </w:tbl>
    <w:p w14:paraId="774E7A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60BD3D6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3654DB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299CEDB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1.本表所列岗位的所有管理人员的情况均应如实填写。可按以上格式扩展为多页填写。</w:t>
      </w:r>
    </w:p>
    <w:p w14:paraId="23EA71B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2.供应商应当在本表后附所有管理人员的身份证、职称证、执业或职业资格证书的复印件并加盖供应商公章。</w:t>
      </w:r>
    </w:p>
    <w:p w14:paraId="791C350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27F1D6D0">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584A2727">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4E22893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7FD871A0">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132B31F3">
      <w:pPr>
        <w:spacing w:line="360" w:lineRule="auto"/>
        <w:ind w:left="1067"/>
        <w:rPr>
          <w:rFonts w:ascii="宋体" w:hAnsi="宋体" w:cs="宋体"/>
          <w:color w:val="auto"/>
          <w:sz w:val="24"/>
        </w:rPr>
      </w:pPr>
      <w:r>
        <w:rPr>
          <w:rFonts w:hint="eastAsia" w:ascii="宋体" w:hAnsi="宋体" w:cs="宋体"/>
          <w:color w:val="auto"/>
          <w:spacing w:val="3"/>
          <w:sz w:val="24"/>
          <w:u w:val="single"/>
        </w:rPr>
        <w:t xml:space="preserve">           </w:t>
      </w:r>
    </w:p>
    <w:p w14:paraId="1607B7CD">
      <w:pPr>
        <w:spacing w:line="360" w:lineRule="auto"/>
        <w:rPr>
          <w:rFonts w:ascii="宋体" w:hAnsi="宋体"/>
          <w:color w:val="auto"/>
        </w:rPr>
      </w:pPr>
      <w:r>
        <w:rPr>
          <w:rFonts w:hint="eastAsia" w:ascii="宋体" w:hAnsi="宋体"/>
          <w:color w:val="auto"/>
        </w:rPr>
        <w:br w:type="page"/>
      </w:r>
    </w:p>
    <w:p w14:paraId="0AA87A04">
      <w:pPr>
        <w:spacing w:line="360" w:lineRule="auto"/>
        <w:ind w:left="2591"/>
        <w:rPr>
          <w:rFonts w:ascii="宋体" w:hAnsi="宋体" w:cs="宋体"/>
          <w:color w:val="auto"/>
          <w:sz w:val="31"/>
          <w:szCs w:val="31"/>
        </w:rPr>
      </w:pPr>
      <w:r>
        <w:rPr>
          <w:rFonts w:hint="eastAsia" w:ascii="宋体" w:hAnsi="宋体" w:cs="宋体"/>
          <w:color w:val="auto"/>
          <w:spacing w:val="-3"/>
          <w:position w:val="23"/>
          <w:sz w:val="31"/>
          <w:szCs w:val="31"/>
        </w:rPr>
        <w:t>（二） 拟投入的主要人员简历表</w:t>
      </w:r>
    </w:p>
    <w:p w14:paraId="572FE26B">
      <w:pPr>
        <w:spacing w:line="360" w:lineRule="auto"/>
        <w:ind w:left="4027"/>
        <w:rPr>
          <w:rFonts w:ascii="宋体" w:hAnsi="宋体" w:cs="宋体"/>
          <w:color w:val="auto"/>
          <w:sz w:val="31"/>
          <w:szCs w:val="31"/>
        </w:rPr>
      </w:pPr>
      <w:r>
        <w:rPr>
          <w:rFonts w:hint="eastAsia" w:ascii="宋体" w:hAnsi="宋体" w:cs="宋体"/>
          <w:color w:val="auto"/>
          <w:spacing w:val="8"/>
          <w:sz w:val="31"/>
          <w:szCs w:val="31"/>
        </w:rPr>
        <w:t>项目经理简历表</w:t>
      </w:r>
    </w:p>
    <w:p w14:paraId="5D5199A1">
      <w:pPr>
        <w:spacing w:line="360" w:lineRule="auto"/>
        <w:rPr>
          <w:rFonts w:ascii="宋体" w:hAnsi="宋体" w:cs="宋体"/>
          <w:color w:val="auto"/>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66AA1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212" w:type="dxa"/>
            <w:shd w:val="clear" w:color="auto" w:fill="auto"/>
          </w:tcPr>
          <w:p w14:paraId="0B0BAF34">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291" w:type="dxa"/>
            <w:gridSpan w:val="4"/>
            <w:shd w:val="clear" w:color="auto" w:fill="auto"/>
          </w:tcPr>
          <w:p w14:paraId="46EB0EA6">
            <w:pPr>
              <w:spacing w:line="360" w:lineRule="auto"/>
              <w:rPr>
                <w:rFonts w:ascii="宋体" w:hAnsi="宋体" w:cs="宋体"/>
                <w:color w:val="auto"/>
                <w:sz w:val="24"/>
              </w:rPr>
            </w:pPr>
          </w:p>
        </w:tc>
        <w:tc>
          <w:tcPr>
            <w:tcW w:w="1894" w:type="dxa"/>
            <w:gridSpan w:val="3"/>
            <w:shd w:val="clear" w:color="auto" w:fill="auto"/>
          </w:tcPr>
          <w:p w14:paraId="7140592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6DA73693">
            <w:pPr>
              <w:spacing w:line="360" w:lineRule="auto"/>
              <w:rPr>
                <w:rFonts w:ascii="宋体" w:hAnsi="宋体" w:cs="宋体"/>
                <w:color w:val="auto"/>
                <w:sz w:val="24"/>
              </w:rPr>
            </w:pPr>
          </w:p>
        </w:tc>
        <w:tc>
          <w:tcPr>
            <w:tcW w:w="1134" w:type="dxa"/>
            <w:shd w:val="clear" w:color="auto" w:fill="auto"/>
          </w:tcPr>
          <w:p w14:paraId="55F87CC7">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8" w:type="dxa"/>
            <w:gridSpan w:val="3"/>
            <w:shd w:val="clear" w:color="auto" w:fill="auto"/>
          </w:tcPr>
          <w:p w14:paraId="461F3D73">
            <w:pPr>
              <w:spacing w:line="360" w:lineRule="auto"/>
              <w:rPr>
                <w:rFonts w:ascii="宋体" w:hAnsi="宋体" w:cs="宋体"/>
                <w:color w:val="auto"/>
                <w:sz w:val="24"/>
              </w:rPr>
            </w:pPr>
          </w:p>
        </w:tc>
      </w:tr>
      <w:tr w14:paraId="23D2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1212" w:type="dxa"/>
            <w:shd w:val="clear" w:color="auto" w:fill="auto"/>
          </w:tcPr>
          <w:p w14:paraId="6984564E">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291" w:type="dxa"/>
            <w:gridSpan w:val="4"/>
            <w:shd w:val="clear" w:color="auto" w:fill="auto"/>
          </w:tcPr>
          <w:p w14:paraId="104150DE">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项目经理</w:t>
            </w:r>
          </w:p>
        </w:tc>
        <w:tc>
          <w:tcPr>
            <w:tcW w:w="1894" w:type="dxa"/>
            <w:gridSpan w:val="3"/>
            <w:shd w:val="clear" w:color="auto" w:fill="auto"/>
          </w:tcPr>
          <w:p w14:paraId="2426292B">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7009774F">
            <w:pPr>
              <w:spacing w:line="360" w:lineRule="auto"/>
              <w:rPr>
                <w:rFonts w:ascii="宋体" w:hAnsi="宋体" w:cs="宋体"/>
                <w:color w:val="auto"/>
                <w:sz w:val="24"/>
              </w:rPr>
            </w:pPr>
          </w:p>
        </w:tc>
        <w:tc>
          <w:tcPr>
            <w:tcW w:w="1134" w:type="dxa"/>
            <w:shd w:val="clear" w:color="auto" w:fill="auto"/>
          </w:tcPr>
          <w:p w14:paraId="3F1537E4">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8" w:type="dxa"/>
            <w:gridSpan w:val="3"/>
            <w:shd w:val="clear" w:color="auto" w:fill="auto"/>
          </w:tcPr>
          <w:p w14:paraId="394C11D1">
            <w:pPr>
              <w:spacing w:line="360" w:lineRule="auto"/>
              <w:rPr>
                <w:rFonts w:ascii="宋体" w:hAnsi="宋体" w:cs="宋体"/>
                <w:color w:val="auto"/>
                <w:sz w:val="24"/>
              </w:rPr>
            </w:pPr>
          </w:p>
        </w:tc>
      </w:tr>
      <w:tr w14:paraId="5170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1212" w:type="dxa"/>
            <w:shd w:val="clear" w:color="auto" w:fill="auto"/>
          </w:tcPr>
          <w:p w14:paraId="5748648F">
            <w:pPr>
              <w:kinsoku w:val="0"/>
              <w:autoSpaceDE w:val="0"/>
              <w:autoSpaceDN w:val="0"/>
              <w:adjustRightInd w:val="0"/>
              <w:snapToGrid w:val="0"/>
              <w:spacing w:line="360" w:lineRule="auto"/>
              <w:ind w:right="18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291" w:type="dxa"/>
            <w:gridSpan w:val="4"/>
            <w:shd w:val="clear" w:color="auto" w:fill="auto"/>
          </w:tcPr>
          <w:p w14:paraId="6DB64EC5">
            <w:pPr>
              <w:spacing w:line="360" w:lineRule="auto"/>
              <w:rPr>
                <w:rFonts w:ascii="宋体" w:hAnsi="宋体" w:cs="宋体"/>
                <w:color w:val="auto"/>
                <w:sz w:val="24"/>
              </w:rPr>
            </w:pPr>
          </w:p>
        </w:tc>
        <w:tc>
          <w:tcPr>
            <w:tcW w:w="1894" w:type="dxa"/>
            <w:gridSpan w:val="3"/>
            <w:shd w:val="clear" w:color="auto" w:fill="auto"/>
          </w:tcPr>
          <w:p w14:paraId="3E875409">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5330B42A">
            <w:pPr>
              <w:spacing w:line="360" w:lineRule="auto"/>
              <w:rPr>
                <w:rFonts w:ascii="宋体" w:hAnsi="宋体" w:cs="宋体"/>
                <w:color w:val="auto"/>
                <w:sz w:val="24"/>
              </w:rPr>
            </w:pPr>
          </w:p>
        </w:tc>
        <w:tc>
          <w:tcPr>
            <w:tcW w:w="1134" w:type="dxa"/>
            <w:shd w:val="clear" w:color="auto" w:fill="auto"/>
          </w:tcPr>
          <w:p w14:paraId="2C034EB7">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8" w:type="dxa"/>
            <w:gridSpan w:val="3"/>
            <w:shd w:val="clear" w:color="auto" w:fill="auto"/>
          </w:tcPr>
          <w:p w14:paraId="538313D2">
            <w:pPr>
              <w:spacing w:line="360" w:lineRule="auto"/>
              <w:rPr>
                <w:rFonts w:ascii="宋体" w:hAnsi="宋体" w:cs="宋体"/>
                <w:color w:val="auto"/>
                <w:sz w:val="24"/>
              </w:rPr>
            </w:pPr>
          </w:p>
        </w:tc>
      </w:tr>
      <w:tr w14:paraId="2C73A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36F6DEDF">
            <w:pPr>
              <w:kinsoku w:val="0"/>
              <w:autoSpaceDE w:val="0"/>
              <w:autoSpaceDN w:val="0"/>
              <w:adjustRightInd w:val="0"/>
              <w:snapToGrid w:val="0"/>
              <w:spacing w:line="360" w:lineRule="auto"/>
              <w:ind w:right="16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经理年限</w:t>
            </w:r>
          </w:p>
        </w:tc>
        <w:tc>
          <w:tcPr>
            <w:tcW w:w="2291" w:type="dxa"/>
            <w:gridSpan w:val="4"/>
            <w:shd w:val="clear" w:color="auto" w:fill="auto"/>
          </w:tcPr>
          <w:p w14:paraId="0093DE9B">
            <w:pPr>
              <w:spacing w:line="360" w:lineRule="auto"/>
              <w:rPr>
                <w:rFonts w:ascii="宋体" w:hAnsi="宋体" w:cs="宋体"/>
                <w:color w:val="auto"/>
                <w:sz w:val="24"/>
              </w:rPr>
            </w:pPr>
          </w:p>
        </w:tc>
        <w:tc>
          <w:tcPr>
            <w:tcW w:w="1649" w:type="dxa"/>
            <w:gridSpan w:val="2"/>
            <w:shd w:val="clear" w:color="auto" w:fill="auto"/>
          </w:tcPr>
          <w:p w14:paraId="51E4452E">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71" w:type="dxa"/>
            <w:gridSpan w:val="8"/>
            <w:shd w:val="clear" w:color="auto" w:fill="auto"/>
          </w:tcPr>
          <w:p w14:paraId="75ECD60A">
            <w:pPr>
              <w:spacing w:line="360" w:lineRule="auto"/>
              <w:rPr>
                <w:rFonts w:ascii="宋体" w:hAnsi="宋体" w:cs="宋体"/>
                <w:color w:val="auto"/>
                <w:sz w:val="24"/>
              </w:rPr>
            </w:pPr>
          </w:p>
        </w:tc>
      </w:tr>
      <w:tr w14:paraId="6B797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2D40901C">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4" w:type="dxa"/>
            <w:gridSpan w:val="2"/>
            <w:shd w:val="clear" w:color="auto" w:fill="auto"/>
          </w:tcPr>
          <w:p w14:paraId="72562969">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5" w:type="dxa"/>
            <w:gridSpan w:val="3"/>
            <w:shd w:val="clear" w:color="auto" w:fill="auto"/>
          </w:tcPr>
          <w:p w14:paraId="36F40AA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41" w:type="dxa"/>
            <w:shd w:val="clear" w:color="auto" w:fill="auto"/>
          </w:tcPr>
          <w:p w14:paraId="185A1E60">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1E2F526A">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066CFA5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1" w:type="dxa"/>
            <w:gridSpan w:val="2"/>
            <w:shd w:val="clear" w:color="auto" w:fill="auto"/>
          </w:tcPr>
          <w:p w14:paraId="43676640">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7524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7930B260">
            <w:pPr>
              <w:spacing w:line="360" w:lineRule="auto"/>
              <w:rPr>
                <w:rFonts w:ascii="宋体" w:hAnsi="宋体" w:cs="宋体"/>
                <w:color w:val="auto"/>
                <w:sz w:val="24"/>
              </w:rPr>
            </w:pPr>
          </w:p>
        </w:tc>
        <w:tc>
          <w:tcPr>
            <w:tcW w:w="1274" w:type="dxa"/>
            <w:gridSpan w:val="2"/>
            <w:shd w:val="clear" w:color="auto" w:fill="auto"/>
          </w:tcPr>
          <w:p w14:paraId="195931C7">
            <w:pPr>
              <w:spacing w:line="360" w:lineRule="auto"/>
              <w:rPr>
                <w:rFonts w:ascii="宋体" w:hAnsi="宋体" w:cs="宋体"/>
                <w:color w:val="auto"/>
                <w:sz w:val="24"/>
              </w:rPr>
            </w:pPr>
          </w:p>
        </w:tc>
        <w:tc>
          <w:tcPr>
            <w:tcW w:w="1225" w:type="dxa"/>
            <w:gridSpan w:val="3"/>
            <w:shd w:val="clear" w:color="auto" w:fill="auto"/>
          </w:tcPr>
          <w:p w14:paraId="70B8C444">
            <w:pPr>
              <w:spacing w:line="360" w:lineRule="auto"/>
              <w:rPr>
                <w:rFonts w:ascii="宋体" w:hAnsi="宋体" w:cs="宋体"/>
                <w:color w:val="auto"/>
                <w:sz w:val="24"/>
              </w:rPr>
            </w:pPr>
          </w:p>
        </w:tc>
        <w:tc>
          <w:tcPr>
            <w:tcW w:w="1441" w:type="dxa"/>
            <w:shd w:val="clear" w:color="auto" w:fill="auto"/>
          </w:tcPr>
          <w:p w14:paraId="6A63F38F">
            <w:pPr>
              <w:spacing w:line="360" w:lineRule="auto"/>
              <w:rPr>
                <w:rFonts w:ascii="宋体" w:hAnsi="宋体" w:cs="宋体"/>
                <w:color w:val="auto"/>
                <w:sz w:val="24"/>
              </w:rPr>
            </w:pPr>
          </w:p>
        </w:tc>
        <w:tc>
          <w:tcPr>
            <w:tcW w:w="1418" w:type="dxa"/>
            <w:gridSpan w:val="3"/>
            <w:shd w:val="clear" w:color="auto" w:fill="auto"/>
          </w:tcPr>
          <w:p w14:paraId="5889E4B8">
            <w:pPr>
              <w:spacing w:line="360" w:lineRule="auto"/>
              <w:rPr>
                <w:rFonts w:ascii="宋体" w:hAnsi="宋体" w:cs="宋体"/>
                <w:color w:val="auto"/>
                <w:sz w:val="24"/>
              </w:rPr>
            </w:pPr>
          </w:p>
        </w:tc>
        <w:tc>
          <w:tcPr>
            <w:tcW w:w="1632" w:type="dxa"/>
            <w:gridSpan w:val="3"/>
            <w:shd w:val="clear" w:color="auto" w:fill="auto"/>
          </w:tcPr>
          <w:p w14:paraId="43F8998F">
            <w:pPr>
              <w:spacing w:line="360" w:lineRule="auto"/>
              <w:rPr>
                <w:rFonts w:ascii="宋体" w:hAnsi="宋体" w:cs="宋体"/>
                <w:color w:val="auto"/>
                <w:sz w:val="24"/>
              </w:rPr>
            </w:pPr>
          </w:p>
        </w:tc>
        <w:tc>
          <w:tcPr>
            <w:tcW w:w="1421" w:type="dxa"/>
            <w:gridSpan w:val="2"/>
            <w:shd w:val="clear" w:color="auto" w:fill="auto"/>
          </w:tcPr>
          <w:p w14:paraId="6BA824B8">
            <w:pPr>
              <w:spacing w:line="360" w:lineRule="auto"/>
              <w:rPr>
                <w:rFonts w:ascii="宋体" w:hAnsi="宋体" w:cs="宋体"/>
                <w:color w:val="auto"/>
                <w:sz w:val="24"/>
              </w:rPr>
            </w:pPr>
          </w:p>
        </w:tc>
      </w:tr>
      <w:tr w14:paraId="2392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5DA073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r>
              <w:rPr>
                <w:rFonts w:hint="eastAsia" w:ascii="宋体" w:hAnsi="宋体" w:cs="宋体"/>
                <w:snapToGrid w:val="0"/>
                <w:color w:val="auto"/>
                <w:spacing w:val="-2"/>
                <w:kern w:val="0"/>
                <w:sz w:val="24"/>
              </w:rPr>
              <w:t>考核合格证书</w:t>
            </w:r>
          </w:p>
        </w:tc>
        <w:tc>
          <w:tcPr>
            <w:tcW w:w="1274" w:type="dxa"/>
            <w:gridSpan w:val="2"/>
            <w:shd w:val="clear" w:color="auto" w:fill="auto"/>
          </w:tcPr>
          <w:p w14:paraId="5C70840B">
            <w:pPr>
              <w:spacing w:line="360" w:lineRule="auto"/>
              <w:rPr>
                <w:rFonts w:ascii="宋体" w:hAnsi="宋体" w:cs="宋体"/>
                <w:color w:val="auto"/>
                <w:sz w:val="24"/>
              </w:rPr>
            </w:pPr>
          </w:p>
        </w:tc>
        <w:tc>
          <w:tcPr>
            <w:tcW w:w="1225" w:type="dxa"/>
            <w:gridSpan w:val="3"/>
            <w:shd w:val="clear" w:color="auto" w:fill="auto"/>
          </w:tcPr>
          <w:p w14:paraId="6BA2FC4D">
            <w:pPr>
              <w:spacing w:line="360" w:lineRule="auto"/>
              <w:rPr>
                <w:rFonts w:ascii="宋体" w:hAnsi="宋体" w:cs="宋体"/>
                <w:color w:val="auto"/>
                <w:sz w:val="24"/>
              </w:rPr>
            </w:pPr>
          </w:p>
          <w:p w14:paraId="51209116">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B</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2"/>
                <w:kern w:val="0"/>
                <w:sz w:val="24"/>
                <w:lang w:eastAsia="en-US"/>
              </w:rPr>
              <w:t>类</w:t>
            </w:r>
          </w:p>
        </w:tc>
        <w:tc>
          <w:tcPr>
            <w:tcW w:w="1441" w:type="dxa"/>
            <w:shd w:val="clear" w:color="auto" w:fill="auto"/>
          </w:tcPr>
          <w:p w14:paraId="1B91FDC3">
            <w:pPr>
              <w:spacing w:line="360" w:lineRule="auto"/>
              <w:rPr>
                <w:rFonts w:ascii="宋体" w:hAnsi="宋体" w:cs="宋体"/>
                <w:color w:val="auto"/>
                <w:sz w:val="24"/>
              </w:rPr>
            </w:pPr>
          </w:p>
        </w:tc>
        <w:tc>
          <w:tcPr>
            <w:tcW w:w="1418" w:type="dxa"/>
            <w:gridSpan w:val="3"/>
            <w:shd w:val="clear" w:color="auto" w:fill="auto"/>
          </w:tcPr>
          <w:p w14:paraId="317DA64A">
            <w:pPr>
              <w:spacing w:line="360" w:lineRule="auto"/>
              <w:rPr>
                <w:rFonts w:ascii="宋体" w:hAnsi="宋体" w:cs="宋体"/>
                <w:color w:val="auto"/>
                <w:sz w:val="24"/>
              </w:rPr>
            </w:pPr>
          </w:p>
        </w:tc>
        <w:tc>
          <w:tcPr>
            <w:tcW w:w="1632" w:type="dxa"/>
            <w:gridSpan w:val="3"/>
            <w:shd w:val="clear" w:color="auto" w:fill="auto"/>
          </w:tcPr>
          <w:p w14:paraId="5E817E52">
            <w:pPr>
              <w:spacing w:line="360" w:lineRule="auto"/>
              <w:rPr>
                <w:rFonts w:ascii="宋体" w:hAnsi="宋体" w:cs="宋体"/>
                <w:color w:val="auto"/>
                <w:sz w:val="24"/>
              </w:rPr>
            </w:pPr>
          </w:p>
        </w:tc>
        <w:tc>
          <w:tcPr>
            <w:tcW w:w="1421" w:type="dxa"/>
            <w:gridSpan w:val="2"/>
            <w:shd w:val="clear" w:color="auto" w:fill="auto"/>
          </w:tcPr>
          <w:p w14:paraId="7142A0A3">
            <w:pPr>
              <w:spacing w:line="360" w:lineRule="auto"/>
              <w:rPr>
                <w:rFonts w:ascii="宋体" w:hAnsi="宋体" w:cs="宋体"/>
                <w:color w:val="auto"/>
                <w:sz w:val="24"/>
              </w:rPr>
            </w:pPr>
          </w:p>
        </w:tc>
      </w:tr>
      <w:tr w14:paraId="4005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23" w:type="dxa"/>
            <w:gridSpan w:val="15"/>
            <w:shd w:val="clear" w:color="auto" w:fill="auto"/>
          </w:tcPr>
          <w:p w14:paraId="14BE183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5FE6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CECB4B3">
            <w:pPr>
              <w:spacing w:line="360" w:lineRule="auto"/>
              <w:rPr>
                <w:rFonts w:ascii="宋体" w:hAnsi="宋体" w:cs="宋体"/>
                <w:color w:val="auto"/>
                <w:sz w:val="24"/>
              </w:rPr>
            </w:pPr>
          </w:p>
        </w:tc>
        <w:tc>
          <w:tcPr>
            <w:tcW w:w="1548" w:type="dxa"/>
            <w:gridSpan w:val="2"/>
            <w:shd w:val="clear" w:color="auto" w:fill="auto"/>
          </w:tcPr>
          <w:p w14:paraId="38D2407F">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4" w:type="dxa"/>
            <w:gridSpan w:val="3"/>
            <w:shd w:val="clear" w:color="auto" w:fill="auto"/>
          </w:tcPr>
          <w:p w14:paraId="159B4731">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12E4855E">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4" w:type="dxa"/>
            <w:gridSpan w:val="3"/>
            <w:shd w:val="clear" w:color="auto" w:fill="auto"/>
          </w:tcPr>
          <w:p w14:paraId="77CE2E4A">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3" w:type="dxa"/>
            <w:gridSpan w:val="2"/>
            <w:shd w:val="clear" w:color="auto" w:fill="auto"/>
          </w:tcPr>
          <w:p w14:paraId="5D018C72">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6EAC3E71">
            <w:pPr>
              <w:spacing w:line="360" w:lineRule="auto"/>
              <w:rPr>
                <w:rFonts w:ascii="宋体" w:hAnsi="宋体" w:cs="宋体"/>
                <w:color w:val="auto"/>
                <w:sz w:val="24"/>
              </w:rPr>
            </w:pPr>
          </w:p>
        </w:tc>
      </w:tr>
      <w:tr w14:paraId="66AC2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10B7D852">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7AFA62E6">
            <w:pPr>
              <w:spacing w:line="360" w:lineRule="auto"/>
              <w:rPr>
                <w:rFonts w:ascii="宋体" w:hAnsi="宋体" w:cs="宋体"/>
                <w:color w:val="auto"/>
                <w:sz w:val="24"/>
              </w:rPr>
            </w:pPr>
          </w:p>
        </w:tc>
        <w:tc>
          <w:tcPr>
            <w:tcW w:w="1974" w:type="dxa"/>
            <w:gridSpan w:val="3"/>
            <w:shd w:val="clear" w:color="auto" w:fill="auto"/>
          </w:tcPr>
          <w:p w14:paraId="11A622B0">
            <w:pPr>
              <w:spacing w:line="360" w:lineRule="auto"/>
              <w:rPr>
                <w:rFonts w:ascii="宋体" w:hAnsi="宋体" w:cs="宋体"/>
                <w:color w:val="auto"/>
                <w:sz w:val="24"/>
              </w:rPr>
            </w:pPr>
          </w:p>
        </w:tc>
        <w:tc>
          <w:tcPr>
            <w:tcW w:w="1329" w:type="dxa"/>
            <w:gridSpan w:val="2"/>
            <w:shd w:val="clear" w:color="auto" w:fill="auto"/>
          </w:tcPr>
          <w:p w14:paraId="33BFC48E">
            <w:pPr>
              <w:spacing w:line="360" w:lineRule="auto"/>
              <w:rPr>
                <w:rFonts w:ascii="宋体" w:hAnsi="宋体" w:cs="宋体"/>
                <w:color w:val="auto"/>
                <w:sz w:val="24"/>
              </w:rPr>
            </w:pPr>
          </w:p>
        </w:tc>
        <w:tc>
          <w:tcPr>
            <w:tcW w:w="1634" w:type="dxa"/>
            <w:gridSpan w:val="3"/>
            <w:shd w:val="clear" w:color="auto" w:fill="auto"/>
          </w:tcPr>
          <w:p w14:paraId="06EEA4A5">
            <w:pPr>
              <w:spacing w:line="360" w:lineRule="auto"/>
              <w:rPr>
                <w:rFonts w:ascii="宋体" w:hAnsi="宋体" w:cs="宋体"/>
                <w:color w:val="auto"/>
                <w:sz w:val="24"/>
              </w:rPr>
            </w:pPr>
          </w:p>
        </w:tc>
        <w:tc>
          <w:tcPr>
            <w:tcW w:w="1483" w:type="dxa"/>
            <w:gridSpan w:val="2"/>
            <w:shd w:val="clear" w:color="auto" w:fill="auto"/>
          </w:tcPr>
          <w:p w14:paraId="686E77F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D3606CA">
            <w:pPr>
              <w:spacing w:line="360" w:lineRule="auto"/>
              <w:rPr>
                <w:rFonts w:ascii="宋体" w:hAnsi="宋体" w:cs="宋体"/>
                <w:color w:val="auto"/>
                <w:sz w:val="24"/>
              </w:rPr>
            </w:pPr>
          </w:p>
        </w:tc>
      </w:tr>
      <w:tr w14:paraId="3903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0813CC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2B46CE7A">
            <w:pPr>
              <w:spacing w:line="360" w:lineRule="auto"/>
              <w:rPr>
                <w:rFonts w:ascii="宋体" w:hAnsi="宋体" w:cs="宋体"/>
                <w:color w:val="auto"/>
                <w:sz w:val="24"/>
              </w:rPr>
            </w:pPr>
          </w:p>
        </w:tc>
        <w:tc>
          <w:tcPr>
            <w:tcW w:w="1974" w:type="dxa"/>
            <w:gridSpan w:val="3"/>
            <w:shd w:val="clear" w:color="auto" w:fill="auto"/>
          </w:tcPr>
          <w:p w14:paraId="68E39DED">
            <w:pPr>
              <w:spacing w:line="360" w:lineRule="auto"/>
              <w:rPr>
                <w:rFonts w:ascii="宋体" w:hAnsi="宋体" w:cs="宋体"/>
                <w:color w:val="auto"/>
                <w:sz w:val="24"/>
              </w:rPr>
            </w:pPr>
          </w:p>
        </w:tc>
        <w:tc>
          <w:tcPr>
            <w:tcW w:w="1329" w:type="dxa"/>
            <w:gridSpan w:val="2"/>
            <w:shd w:val="clear" w:color="auto" w:fill="auto"/>
          </w:tcPr>
          <w:p w14:paraId="6B890180">
            <w:pPr>
              <w:spacing w:line="360" w:lineRule="auto"/>
              <w:rPr>
                <w:rFonts w:ascii="宋体" w:hAnsi="宋体" w:cs="宋体"/>
                <w:color w:val="auto"/>
                <w:sz w:val="24"/>
              </w:rPr>
            </w:pPr>
          </w:p>
        </w:tc>
        <w:tc>
          <w:tcPr>
            <w:tcW w:w="1634" w:type="dxa"/>
            <w:gridSpan w:val="3"/>
            <w:shd w:val="clear" w:color="auto" w:fill="auto"/>
          </w:tcPr>
          <w:p w14:paraId="44F127C8">
            <w:pPr>
              <w:spacing w:line="360" w:lineRule="auto"/>
              <w:rPr>
                <w:rFonts w:ascii="宋体" w:hAnsi="宋体" w:cs="宋体"/>
                <w:color w:val="auto"/>
                <w:sz w:val="24"/>
              </w:rPr>
            </w:pPr>
          </w:p>
        </w:tc>
        <w:tc>
          <w:tcPr>
            <w:tcW w:w="1483" w:type="dxa"/>
            <w:gridSpan w:val="2"/>
            <w:shd w:val="clear" w:color="auto" w:fill="auto"/>
          </w:tcPr>
          <w:p w14:paraId="5F6FEF0E">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A18181F">
            <w:pPr>
              <w:spacing w:line="360" w:lineRule="auto"/>
              <w:rPr>
                <w:rFonts w:ascii="宋体" w:hAnsi="宋体" w:cs="宋体"/>
                <w:color w:val="auto"/>
                <w:sz w:val="24"/>
              </w:rPr>
            </w:pPr>
          </w:p>
        </w:tc>
      </w:tr>
      <w:tr w14:paraId="4159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690A628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355285CA">
            <w:pPr>
              <w:spacing w:line="360" w:lineRule="auto"/>
              <w:rPr>
                <w:rFonts w:ascii="宋体" w:hAnsi="宋体" w:cs="宋体"/>
                <w:color w:val="auto"/>
                <w:sz w:val="24"/>
              </w:rPr>
            </w:pPr>
          </w:p>
        </w:tc>
        <w:tc>
          <w:tcPr>
            <w:tcW w:w="1974" w:type="dxa"/>
            <w:gridSpan w:val="3"/>
            <w:shd w:val="clear" w:color="auto" w:fill="auto"/>
          </w:tcPr>
          <w:p w14:paraId="5648F1EF">
            <w:pPr>
              <w:spacing w:line="360" w:lineRule="auto"/>
              <w:rPr>
                <w:rFonts w:ascii="宋体" w:hAnsi="宋体" w:cs="宋体"/>
                <w:color w:val="auto"/>
                <w:sz w:val="24"/>
              </w:rPr>
            </w:pPr>
          </w:p>
        </w:tc>
        <w:tc>
          <w:tcPr>
            <w:tcW w:w="1329" w:type="dxa"/>
            <w:gridSpan w:val="2"/>
            <w:shd w:val="clear" w:color="auto" w:fill="auto"/>
          </w:tcPr>
          <w:p w14:paraId="5B09C9C9">
            <w:pPr>
              <w:spacing w:line="360" w:lineRule="auto"/>
              <w:rPr>
                <w:rFonts w:ascii="宋体" w:hAnsi="宋体" w:cs="宋体"/>
                <w:color w:val="auto"/>
                <w:sz w:val="24"/>
              </w:rPr>
            </w:pPr>
          </w:p>
        </w:tc>
        <w:tc>
          <w:tcPr>
            <w:tcW w:w="1634" w:type="dxa"/>
            <w:gridSpan w:val="3"/>
            <w:shd w:val="clear" w:color="auto" w:fill="auto"/>
          </w:tcPr>
          <w:p w14:paraId="239D948E">
            <w:pPr>
              <w:spacing w:line="360" w:lineRule="auto"/>
              <w:rPr>
                <w:rFonts w:ascii="宋体" w:hAnsi="宋体" w:cs="宋体"/>
                <w:color w:val="auto"/>
                <w:sz w:val="24"/>
              </w:rPr>
            </w:pPr>
          </w:p>
        </w:tc>
        <w:tc>
          <w:tcPr>
            <w:tcW w:w="1483" w:type="dxa"/>
            <w:gridSpan w:val="2"/>
            <w:shd w:val="clear" w:color="auto" w:fill="auto"/>
          </w:tcPr>
          <w:p w14:paraId="5D661F48">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6BA9442">
            <w:pPr>
              <w:spacing w:line="360" w:lineRule="auto"/>
              <w:rPr>
                <w:rFonts w:ascii="宋体" w:hAnsi="宋体" w:cs="宋体"/>
                <w:color w:val="auto"/>
                <w:sz w:val="24"/>
              </w:rPr>
            </w:pPr>
          </w:p>
        </w:tc>
      </w:tr>
      <w:tr w14:paraId="4B45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293BEE76">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09E579A7">
            <w:pPr>
              <w:spacing w:line="360" w:lineRule="auto"/>
              <w:rPr>
                <w:rFonts w:ascii="宋体" w:hAnsi="宋体" w:cs="宋体"/>
                <w:color w:val="auto"/>
                <w:sz w:val="24"/>
              </w:rPr>
            </w:pPr>
          </w:p>
        </w:tc>
        <w:tc>
          <w:tcPr>
            <w:tcW w:w="1974" w:type="dxa"/>
            <w:gridSpan w:val="3"/>
            <w:shd w:val="clear" w:color="auto" w:fill="auto"/>
          </w:tcPr>
          <w:p w14:paraId="5A1CCC12">
            <w:pPr>
              <w:spacing w:line="360" w:lineRule="auto"/>
              <w:rPr>
                <w:rFonts w:ascii="宋体" w:hAnsi="宋体" w:cs="宋体"/>
                <w:color w:val="auto"/>
                <w:sz w:val="24"/>
              </w:rPr>
            </w:pPr>
          </w:p>
        </w:tc>
        <w:tc>
          <w:tcPr>
            <w:tcW w:w="1329" w:type="dxa"/>
            <w:gridSpan w:val="2"/>
            <w:shd w:val="clear" w:color="auto" w:fill="auto"/>
          </w:tcPr>
          <w:p w14:paraId="480942DF">
            <w:pPr>
              <w:spacing w:line="360" w:lineRule="auto"/>
              <w:rPr>
                <w:rFonts w:ascii="宋体" w:hAnsi="宋体" w:cs="宋体"/>
                <w:color w:val="auto"/>
                <w:sz w:val="24"/>
              </w:rPr>
            </w:pPr>
          </w:p>
        </w:tc>
        <w:tc>
          <w:tcPr>
            <w:tcW w:w="1634" w:type="dxa"/>
            <w:gridSpan w:val="3"/>
            <w:shd w:val="clear" w:color="auto" w:fill="auto"/>
          </w:tcPr>
          <w:p w14:paraId="4A0D814B">
            <w:pPr>
              <w:spacing w:line="360" w:lineRule="auto"/>
              <w:rPr>
                <w:rFonts w:ascii="宋体" w:hAnsi="宋体" w:cs="宋体"/>
                <w:color w:val="auto"/>
                <w:sz w:val="24"/>
              </w:rPr>
            </w:pPr>
          </w:p>
        </w:tc>
        <w:tc>
          <w:tcPr>
            <w:tcW w:w="1483" w:type="dxa"/>
            <w:gridSpan w:val="2"/>
            <w:shd w:val="clear" w:color="auto" w:fill="auto"/>
          </w:tcPr>
          <w:p w14:paraId="4E40BB6C">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CCC0D1E">
            <w:pPr>
              <w:spacing w:line="360" w:lineRule="auto"/>
              <w:rPr>
                <w:rFonts w:ascii="宋体" w:hAnsi="宋体" w:cs="宋体"/>
                <w:color w:val="auto"/>
                <w:sz w:val="24"/>
              </w:rPr>
            </w:pPr>
          </w:p>
        </w:tc>
      </w:tr>
      <w:tr w14:paraId="4E1E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4F41F8E3">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6B236EB5">
            <w:pPr>
              <w:spacing w:line="360" w:lineRule="auto"/>
              <w:rPr>
                <w:rFonts w:ascii="宋体" w:hAnsi="宋体" w:cs="宋体"/>
                <w:color w:val="auto"/>
                <w:sz w:val="24"/>
              </w:rPr>
            </w:pPr>
          </w:p>
        </w:tc>
        <w:tc>
          <w:tcPr>
            <w:tcW w:w="1974" w:type="dxa"/>
            <w:gridSpan w:val="3"/>
            <w:shd w:val="clear" w:color="auto" w:fill="auto"/>
          </w:tcPr>
          <w:p w14:paraId="214EA30E">
            <w:pPr>
              <w:spacing w:line="360" w:lineRule="auto"/>
              <w:rPr>
                <w:rFonts w:ascii="宋体" w:hAnsi="宋体" w:cs="宋体"/>
                <w:color w:val="auto"/>
                <w:sz w:val="24"/>
              </w:rPr>
            </w:pPr>
          </w:p>
        </w:tc>
        <w:tc>
          <w:tcPr>
            <w:tcW w:w="1329" w:type="dxa"/>
            <w:gridSpan w:val="2"/>
            <w:shd w:val="clear" w:color="auto" w:fill="auto"/>
          </w:tcPr>
          <w:p w14:paraId="34809840">
            <w:pPr>
              <w:spacing w:line="360" w:lineRule="auto"/>
              <w:rPr>
                <w:rFonts w:ascii="宋体" w:hAnsi="宋体" w:cs="宋体"/>
                <w:color w:val="auto"/>
                <w:sz w:val="24"/>
              </w:rPr>
            </w:pPr>
          </w:p>
        </w:tc>
        <w:tc>
          <w:tcPr>
            <w:tcW w:w="1634" w:type="dxa"/>
            <w:gridSpan w:val="3"/>
            <w:shd w:val="clear" w:color="auto" w:fill="auto"/>
          </w:tcPr>
          <w:p w14:paraId="50D84113">
            <w:pPr>
              <w:spacing w:line="360" w:lineRule="auto"/>
              <w:rPr>
                <w:rFonts w:ascii="宋体" w:hAnsi="宋体" w:cs="宋体"/>
                <w:color w:val="auto"/>
                <w:sz w:val="24"/>
              </w:rPr>
            </w:pPr>
          </w:p>
        </w:tc>
        <w:tc>
          <w:tcPr>
            <w:tcW w:w="1483" w:type="dxa"/>
            <w:gridSpan w:val="2"/>
            <w:shd w:val="clear" w:color="auto" w:fill="auto"/>
          </w:tcPr>
          <w:p w14:paraId="17C7BFD3">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D69EEB5">
            <w:pPr>
              <w:spacing w:line="360" w:lineRule="auto"/>
              <w:rPr>
                <w:rFonts w:ascii="宋体" w:hAnsi="宋体" w:cs="宋体"/>
                <w:color w:val="auto"/>
                <w:sz w:val="24"/>
              </w:rPr>
            </w:pPr>
          </w:p>
        </w:tc>
      </w:tr>
      <w:tr w14:paraId="097A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24E3154">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508EEEE8">
            <w:pPr>
              <w:spacing w:line="360" w:lineRule="auto"/>
              <w:rPr>
                <w:rFonts w:ascii="宋体" w:hAnsi="宋体" w:cs="宋体"/>
                <w:color w:val="auto"/>
                <w:sz w:val="24"/>
              </w:rPr>
            </w:pPr>
          </w:p>
        </w:tc>
        <w:tc>
          <w:tcPr>
            <w:tcW w:w="1974" w:type="dxa"/>
            <w:gridSpan w:val="3"/>
            <w:shd w:val="clear" w:color="auto" w:fill="auto"/>
          </w:tcPr>
          <w:p w14:paraId="4B258A55">
            <w:pPr>
              <w:spacing w:line="360" w:lineRule="auto"/>
              <w:rPr>
                <w:rFonts w:ascii="宋体" w:hAnsi="宋体" w:cs="宋体"/>
                <w:color w:val="auto"/>
                <w:sz w:val="24"/>
              </w:rPr>
            </w:pPr>
          </w:p>
        </w:tc>
        <w:tc>
          <w:tcPr>
            <w:tcW w:w="1329" w:type="dxa"/>
            <w:gridSpan w:val="2"/>
            <w:shd w:val="clear" w:color="auto" w:fill="auto"/>
          </w:tcPr>
          <w:p w14:paraId="2E019D5E">
            <w:pPr>
              <w:spacing w:line="360" w:lineRule="auto"/>
              <w:rPr>
                <w:rFonts w:ascii="宋体" w:hAnsi="宋体" w:cs="宋体"/>
                <w:color w:val="auto"/>
                <w:sz w:val="24"/>
              </w:rPr>
            </w:pPr>
          </w:p>
        </w:tc>
        <w:tc>
          <w:tcPr>
            <w:tcW w:w="1634" w:type="dxa"/>
            <w:gridSpan w:val="3"/>
            <w:shd w:val="clear" w:color="auto" w:fill="auto"/>
          </w:tcPr>
          <w:p w14:paraId="153D8E2A">
            <w:pPr>
              <w:spacing w:line="360" w:lineRule="auto"/>
              <w:rPr>
                <w:rFonts w:ascii="宋体" w:hAnsi="宋体" w:cs="宋体"/>
                <w:color w:val="auto"/>
                <w:sz w:val="24"/>
              </w:rPr>
            </w:pPr>
          </w:p>
        </w:tc>
        <w:tc>
          <w:tcPr>
            <w:tcW w:w="1483" w:type="dxa"/>
            <w:gridSpan w:val="2"/>
            <w:shd w:val="clear" w:color="auto" w:fill="auto"/>
          </w:tcPr>
          <w:p w14:paraId="71458C9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D3FCEB3">
            <w:pPr>
              <w:spacing w:line="360" w:lineRule="auto"/>
              <w:rPr>
                <w:rFonts w:ascii="宋体" w:hAnsi="宋体" w:cs="宋体"/>
                <w:color w:val="auto"/>
                <w:sz w:val="24"/>
              </w:rPr>
            </w:pPr>
          </w:p>
        </w:tc>
      </w:tr>
      <w:tr w14:paraId="15A3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41C363C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368002FF">
            <w:pPr>
              <w:spacing w:line="360" w:lineRule="auto"/>
              <w:rPr>
                <w:rFonts w:ascii="宋体" w:hAnsi="宋体" w:cs="宋体"/>
                <w:color w:val="auto"/>
                <w:sz w:val="24"/>
              </w:rPr>
            </w:pPr>
          </w:p>
        </w:tc>
        <w:tc>
          <w:tcPr>
            <w:tcW w:w="1974" w:type="dxa"/>
            <w:gridSpan w:val="3"/>
            <w:shd w:val="clear" w:color="auto" w:fill="auto"/>
          </w:tcPr>
          <w:p w14:paraId="16EA713E">
            <w:pPr>
              <w:spacing w:line="360" w:lineRule="auto"/>
              <w:rPr>
                <w:rFonts w:ascii="宋体" w:hAnsi="宋体" w:cs="宋体"/>
                <w:color w:val="auto"/>
                <w:sz w:val="24"/>
              </w:rPr>
            </w:pPr>
          </w:p>
        </w:tc>
        <w:tc>
          <w:tcPr>
            <w:tcW w:w="1329" w:type="dxa"/>
            <w:gridSpan w:val="2"/>
            <w:shd w:val="clear" w:color="auto" w:fill="auto"/>
          </w:tcPr>
          <w:p w14:paraId="2A7A3522">
            <w:pPr>
              <w:spacing w:line="360" w:lineRule="auto"/>
              <w:rPr>
                <w:rFonts w:ascii="宋体" w:hAnsi="宋体" w:cs="宋体"/>
                <w:color w:val="auto"/>
                <w:sz w:val="24"/>
              </w:rPr>
            </w:pPr>
          </w:p>
        </w:tc>
        <w:tc>
          <w:tcPr>
            <w:tcW w:w="1634" w:type="dxa"/>
            <w:gridSpan w:val="3"/>
            <w:shd w:val="clear" w:color="auto" w:fill="auto"/>
          </w:tcPr>
          <w:p w14:paraId="73E06352">
            <w:pPr>
              <w:spacing w:line="360" w:lineRule="auto"/>
              <w:rPr>
                <w:rFonts w:ascii="宋体" w:hAnsi="宋体" w:cs="宋体"/>
                <w:color w:val="auto"/>
                <w:sz w:val="24"/>
              </w:rPr>
            </w:pPr>
          </w:p>
        </w:tc>
        <w:tc>
          <w:tcPr>
            <w:tcW w:w="1483" w:type="dxa"/>
            <w:gridSpan w:val="2"/>
            <w:shd w:val="clear" w:color="auto" w:fill="auto"/>
          </w:tcPr>
          <w:p w14:paraId="67AB943F">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7E4BDE3">
            <w:pPr>
              <w:spacing w:line="360" w:lineRule="auto"/>
              <w:rPr>
                <w:rFonts w:ascii="宋体" w:hAnsi="宋体" w:cs="宋体"/>
                <w:color w:val="auto"/>
                <w:sz w:val="24"/>
              </w:rPr>
            </w:pPr>
          </w:p>
        </w:tc>
      </w:tr>
      <w:tr w14:paraId="3A51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6B66A7F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45A3C145">
            <w:pPr>
              <w:spacing w:line="360" w:lineRule="auto"/>
              <w:rPr>
                <w:rFonts w:ascii="宋体" w:hAnsi="宋体" w:cs="宋体"/>
                <w:color w:val="auto"/>
                <w:sz w:val="24"/>
              </w:rPr>
            </w:pPr>
          </w:p>
        </w:tc>
        <w:tc>
          <w:tcPr>
            <w:tcW w:w="1974" w:type="dxa"/>
            <w:gridSpan w:val="3"/>
            <w:shd w:val="clear" w:color="auto" w:fill="auto"/>
          </w:tcPr>
          <w:p w14:paraId="35058DE1">
            <w:pPr>
              <w:spacing w:line="360" w:lineRule="auto"/>
              <w:rPr>
                <w:rFonts w:ascii="宋体" w:hAnsi="宋体" w:cs="宋体"/>
                <w:color w:val="auto"/>
                <w:sz w:val="24"/>
              </w:rPr>
            </w:pPr>
          </w:p>
        </w:tc>
        <w:tc>
          <w:tcPr>
            <w:tcW w:w="1329" w:type="dxa"/>
            <w:gridSpan w:val="2"/>
            <w:shd w:val="clear" w:color="auto" w:fill="auto"/>
          </w:tcPr>
          <w:p w14:paraId="48EAB651">
            <w:pPr>
              <w:spacing w:line="360" w:lineRule="auto"/>
              <w:rPr>
                <w:rFonts w:ascii="宋体" w:hAnsi="宋体" w:cs="宋体"/>
                <w:color w:val="auto"/>
                <w:sz w:val="24"/>
              </w:rPr>
            </w:pPr>
          </w:p>
        </w:tc>
        <w:tc>
          <w:tcPr>
            <w:tcW w:w="1634" w:type="dxa"/>
            <w:gridSpan w:val="3"/>
            <w:shd w:val="clear" w:color="auto" w:fill="auto"/>
          </w:tcPr>
          <w:p w14:paraId="4A39828D">
            <w:pPr>
              <w:spacing w:line="360" w:lineRule="auto"/>
              <w:rPr>
                <w:rFonts w:ascii="宋体" w:hAnsi="宋体" w:cs="宋体"/>
                <w:color w:val="auto"/>
                <w:sz w:val="24"/>
              </w:rPr>
            </w:pPr>
          </w:p>
        </w:tc>
        <w:tc>
          <w:tcPr>
            <w:tcW w:w="1483" w:type="dxa"/>
            <w:gridSpan w:val="2"/>
            <w:shd w:val="clear" w:color="auto" w:fill="auto"/>
          </w:tcPr>
          <w:p w14:paraId="10445C98">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0B74990">
            <w:pPr>
              <w:spacing w:line="360" w:lineRule="auto"/>
              <w:rPr>
                <w:rFonts w:ascii="宋体" w:hAnsi="宋体" w:cs="宋体"/>
                <w:color w:val="auto"/>
                <w:sz w:val="24"/>
              </w:rPr>
            </w:pPr>
          </w:p>
        </w:tc>
      </w:tr>
      <w:tr w14:paraId="3538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D18EDD2">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2E7CD65A">
            <w:pPr>
              <w:spacing w:line="360" w:lineRule="auto"/>
              <w:rPr>
                <w:rFonts w:ascii="宋体" w:hAnsi="宋体" w:cs="宋体"/>
                <w:color w:val="auto"/>
                <w:sz w:val="24"/>
              </w:rPr>
            </w:pPr>
          </w:p>
        </w:tc>
        <w:tc>
          <w:tcPr>
            <w:tcW w:w="1974" w:type="dxa"/>
            <w:gridSpan w:val="3"/>
            <w:shd w:val="clear" w:color="auto" w:fill="auto"/>
          </w:tcPr>
          <w:p w14:paraId="7B7A0FA8">
            <w:pPr>
              <w:spacing w:line="360" w:lineRule="auto"/>
              <w:rPr>
                <w:rFonts w:ascii="宋体" w:hAnsi="宋体" w:cs="宋体"/>
                <w:color w:val="auto"/>
                <w:sz w:val="24"/>
              </w:rPr>
            </w:pPr>
          </w:p>
        </w:tc>
        <w:tc>
          <w:tcPr>
            <w:tcW w:w="1329" w:type="dxa"/>
            <w:gridSpan w:val="2"/>
            <w:shd w:val="clear" w:color="auto" w:fill="auto"/>
          </w:tcPr>
          <w:p w14:paraId="317A1875">
            <w:pPr>
              <w:spacing w:line="360" w:lineRule="auto"/>
              <w:rPr>
                <w:rFonts w:ascii="宋体" w:hAnsi="宋体" w:cs="宋体"/>
                <w:color w:val="auto"/>
                <w:sz w:val="24"/>
              </w:rPr>
            </w:pPr>
          </w:p>
        </w:tc>
        <w:tc>
          <w:tcPr>
            <w:tcW w:w="1634" w:type="dxa"/>
            <w:gridSpan w:val="3"/>
            <w:shd w:val="clear" w:color="auto" w:fill="auto"/>
          </w:tcPr>
          <w:p w14:paraId="01AF6CD3">
            <w:pPr>
              <w:spacing w:line="360" w:lineRule="auto"/>
              <w:rPr>
                <w:rFonts w:ascii="宋体" w:hAnsi="宋体" w:cs="宋体"/>
                <w:color w:val="auto"/>
                <w:sz w:val="24"/>
              </w:rPr>
            </w:pPr>
          </w:p>
        </w:tc>
        <w:tc>
          <w:tcPr>
            <w:tcW w:w="1483" w:type="dxa"/>
            <w:gridSpan w:val="2"/>
            <w:shd w:val="clear" w:color="auto" w:fill="auto"/>
          </w:tcPr>
          <w:p w14:paraId="47828959">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EEB5F78">
            <w:pPr>
              <w:spacing w:line="360" w:lineRule="auto"/>
              <w:rPr>
                <w:rFonts w:ascii="宋体" w:hAnsi="宋体" w:cs="宋体"/>
                <w:color w:val="auto"/>
                <w:sz w:val="24"/>
              </w:rPr>
            </w:pPr>
          </w:p>
        </w:tc>
      </w:tr>
    </w:tbl>
    <w:p w14:paraId="795B790C">
      <w:pPr>
        <w:widowControl/>
        <w:kinsoku w:val="0"/>
        <w:autoSpaceDE w:val="0"/>
        <w:autoSpaceDN w:val="0"/>
        <w:adjustRightInd w:val="0"/>
        <w:snapToGrid w:val="0"/>
        <w:spacing w:line="360" w:lineRule="auto"/>
        <w:textAlignment w:val="baseline"/>
        <w:rPr>
          <w:rFonts w:ascii="宋体" w:hAnsi="宋体" w:cs="宋体"/>
          <w:color w:val="auto"/>
          <w:sz w:val="24"/>
        </w:rPr>
      </w:pPr>
      <w:r>
        <w:rPr>
          <w:rFonts w:hint="eastAsia" w:ascii="宋体" w:hAnsi="宋体" w:cs="宋体"/>
          <w:color w:val="auto"/>
          <w:sz w:val="24"/>
        </w:rPr>
        <w:t>备注：1.项目数可以根据需要增加。</w:t>
      </w:r>
    </w:p>
    <w:p w14:paraId="287AECAA">
      <w:pPr>
        <w:widowControl/>
        <w:kinsoku w:val="0"/>
        <w:autoSpaceDE w:val="0"/>
        <w:autoSpaceDN w:val="0"/>
        <w:adjustRightInd w:val="0"/>
        <w:snapToGrid w:val="0"/>
        <w:spacing w:line="360" w:lineRule="auto"/>
        <w:ind w:firstLine="720" w:firstLineChars="300"/>
        <w:textAlignment w:val="baseline"/>
        <w:rPr>
          <w:rFonts w:ascii="宋体" w:hAnsi="宋体" w:cs="宋体"/>
          <w:color w:val="auto"/>
          <w:sz w:val="24"/>
        </w:rPr>
      </w:pPr>
      <w:r>
        <w:rPr>
          <w:rFonts w:hint="eastAsia" w:ascii="宋体" w:hAnsi="宋体" w:cs="宋体"/>
          <w:color w:val="auto"/>
          <w:sz w:val="24"/>
        </w:rPr>
        <w:t>2.本表后附项目经理的学历证、安全生产考核合格证（B 类）、本表所列证书复印件并加盖供应商公章。</w:t>
      </w:r>
    </w:p>
    <w:p w14:paraId="37C681BE">
      <w:pPr>
        <w:spacing w:line="360" w:lineRule="auto"/>
        <w:rPr>
          <w:rFonts w:ascii="宋体" w:hAnsi="宋体"/>
          <w:color w:val="auto"/>
          <w:sz w:val="24"/>
        </w:rPr>
      </w:pPr>
      <w:r>
        <w:rPr>
          <w:rFonts w:hint="eastAsia" w:ascii="宋体" w:hAnsi="宋体"/>
          <w:color w:val="auto"/>
          <w:sz w:val="24"/>
        </w:rPr>
        <w:br w:type="page"/>
      </w:r>
    </w:p>
    <w:p w14:paraId="5E3A7792">
      <w:pPr>
        <w:spacing w:line="360" w:lineRule="auto"/>
        <w:ind w:left="1939"/>
        <w:rPr>
          <w:rFonts w:ascii="宋体" w:hAnsi="宋体" w:cs="宋体"/>
          <w:color w:val="auto"/>
        </w:rPr>
      </w:pPr>
      <w:r>
        <w:rPr>
          <w:rFonts w:hint="eastAsia" w:ascii="宋体" w:hAnsi="宋体" w:cs="宋体"/>
          <w:color w:val="auto"/>
          <w:spacing w:val="3"/>
          <w:sz w:val="31"/>
          <w:szCs w:val="31"/>
        </w:rPr>
        <w:t>项目技术负责人（项目总工）</w:t>
      </w:r>
      <w:r>
        <w:rPr>
          <w:rFonts w:hint="eastAsia" w:ascii="宋体" w:hAnsi="宋体" w:cs="宋体"/>
          <w:color w:val="auto"/>
          <w:spacing w:val="-20"/>
          <w:sz w:val="31"/>
          <w:szCs w:val="31"/>
        </w:rPr>
        <w:t xml:space="preserve"> </w:t>
      </w:r>
      <w:r>
        <w:rPr>
          <w:rFonts w:hint="eastAsia" w:ascii="宋体" w:hAnsi="宋体" w:cs="宋体"/>
          <w:color w:val="auto"/>
          <w:spacing w:val="3"/>
          <w:sz w:val="31"/>
          <w:szCs w:val="31"/>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5769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1DF6395B">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338" w:type="dxa"/>
            <w:gridSpan w:val="5"/>
            <w:shd w:val="clear" w:color="auto" w:fill="auto"/>
          </w:tcPr>
          <w:p w14:paraId="76458458">
            <w:pPr>
              <w:spacing w:line="360" w:lineRule="auto"/>
              <w:rPr>
                <w:rFonts w:ascii="宋体" w:hAnsi="宋体" w:cs="宋体"/>
                <w:color w:val="auto"/>
                <w:sz w:val="24"/>
              </w:rPr>
            </w:pPr>
          </w:p>
        </w:tc>
        <w:tc>
          <w:tcPr>
            <w:tcW w:w="1892" w:type="dxa"/>
            <w:gridSpan w:val="3"/>
            <w:shd w:val="clear" w:color="auto" w:fill="auto"/>
          </w:tcPr>
          <w:p w14:paraId="0DBE1DF5">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27EBA794">
            <w:pPr>
              <w:spacing w:line="360" w:lineRule="auto"/>
              <w:rPr>
                <w:rFonts w:ascii="宋体" w:hAnsi="宋体" w:cs="宋体"/>
                <w:color w:val="auto"/>
                <w:sz w:val="24"/>
              </w:rPr>
            </w:pPr>
          </w:p>
        </w:tc>
        <w:tc>
          <w:tcPr>
            <w:tcW w:w="1136" w:type="dxa"/>
            <w:shd w:val="clear" w:color="auto" w:fill="auto"/>
          </w:tcPr>
          <w:p w14:paraId="402D0D9B">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7" w:type="dxa"/>
            <w:gridSpan w:val="3"/>
            <w:shd w:val="clear" w:color="auto" w:fill="auto"/>
          </w:tcPr>
          <w:p w14:paraId="14E91F92">
            <w:pPr>
              <w:spacing w:line="360" w:lineRule="auto"/>
              <w:rPr>
                <w:rFonts w:ascii="宋体" w:hAnsi="宋体" w:cs="宋体"/>
                <w:color w:val="auto"/>
                <w:sz w:val="24"/>
              </w:rPr>
            </w:pPr>
          </w:p>
        </w:tc>
      </w:tr>
      <w:tr w14:paraId="5C9C2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22B6D878">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338" w:type="dxa"/>
            <w:gridSpan w:val="5"/>
            <w:shd w:val="clear" w:color="auto" w:fill="auto"/>
          </w:tcPr>
          <w:p w14:paraId="1058DB60">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项目技术负责人（项目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1892" w:type="dxa"/>
            <w:gridSpan w:val="3"/>
            <w:shd w:val="clear" w:color="auto" w:fill="auto"/>
          </w:tcPr>
          <w:p w14:paraId="69AC4303">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781F2ACF">
            <w:pPr>
              <w:spacing w:line="360" w:lineRule="auto"/>
              <w:rPr>
                <w:rFonts w:ascii="宋体" w:hAnsi="宋体" w:cs="宋体"/>
                <w:color w:val="auto"/>
                <w:sz w:val="24"/>
              </w:rPr>
            </w:pPr>
          </w:p>
        </w:tc>
        <w:tc>
          <w:tcPr>
            <w:tcW w:w="1136" w:type="dxa"/>
            <w:shd w:val="clear" w:color="auto" w:fill="auto"/>
          </w:tcPr>
          <w:p w14:paraId="0167A3FA">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7" w:type="dxa"/>
            <w:gridSpan w:val="3"/>
            <w:shd w:val="clear" w:color="auto" w:fill="auto"/>
          </w:tcPr>
          <w:p w14:paraId="4F2DD837">
            <w:pPr>
              <w:spacing w:line="360" w:lineRule="auto"/>
              <w:rPr>
                <w:rFonts w:ascii="宋体" w:hAnsi="宋体" w:cs="宋体"/>
                <w:color w:val="auto"/>
                <w:sz w:val="24"/>
              </w:rPr>
            </w:pPr>
          </w:p>
        </w:tc>
      </w:tr>
      <w:tr w14:paraId="6CF0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15613334">
            <w:pPr>
              <w:kinsoku w:val="0"/>
              <w:autoSpaceDE w:val="0"/>
              <w:autoSpaceDN w:val="0"/>
              <w:adjustRightInd w:val="0"/>
              <w:snapToGrid w:val="0"/>
              <w:spacing w:line="360" w:lineRule="auto"/>
              <w:ind w:right="15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338" w:type="dxa"/>
            <w:gridSpan w:val="5"/>
            <w:shd w:val="clear" w:color="auto" w:fill="auto"/>
          </w:tcPr>
          <w:p w14:paraId="7316A8C0">
            <w:pPr>
              <w:spacing w:line="360" w:lineRule="auto"/>
              <w:rPr>
                <w:rFonts w:ascii="宋体" w:hAnsi="宋体" w:cs="宋体"/>
                <w:color w:val="auto"/>
                <w:sz w:val="24"/>
              </w:rPr>
            </w:pPr>
          </w:p>
        </w:tc>
        <w:tc>
          <w:tcPr>
            <w:tcW w:w="1892" w:type="dxa"/>
            <w:gridSpan w:val="3"/>
            <w:shd w:val="clear" w:color="auto" w:fill="auto"/>
          </w:tcPr>
          <w:p w14:paraId="0B781748">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191DAC50">
            <w:pPr>
              <w:spacing w:line="360" w:lineRule="auto"/>
              <w:rPr>
                <w:rFonts w:ascii="宋体" w:hAnsi="宋体" w:cs="宋体"/>
                <w:color w:val="auto"/>
                <w:sz w:val="24"/>
              </w:rPr>
            </w:pPr>
          </w:p>
        </w:tc>
        <w:tc>
          <w:tcPr>
            <w:tcW w:w="1136" w:type="dxa"/>
            <w:shd w:val="clear" w:color="auto" w:fill="auto"/>
          </w:tcPr>
          <w:p w14:paraId="1DBA0B4E">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7" w:type="dxa"/>
            <w:gridSpan w:val="3"/>
            <w:shd w:val="clear" w:color="auto" w:fill="auto"/>
          </w:tcPr>
          <w:p w14:paraId="32F324B2">
            <w:pPr>
              <w:spacing w:line="360" w:lineRule="auto"/>
              <w:rPr>
                <w:rFonts w:ascii="宋体" w:hAnsi="宋体" w:cs="宋体"/>
                <w:color w:val="auto"/>
                <w:sz w:val="24"/>
              </w:rPr>
            </w:pPr>
          </w:p>
        </w:tc>
      </w:tr>
      <w:tr w14:paraId="4732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3BB26E33">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担任……年</w:t>
            </w:r>
            <w:r>
              <w:rPr>
                <w:rFonts w:hint="eastAsia" w:ascii="宋体" w:hAnsi="宋体" w:cs="宋体"/>
                <w:snapToGrid w:val="0"/>
                <w:color w:val="auto"/>
                <w:kern w:val="0"/>
                <w:sz w:val="24"/>
                <w:lang w:eastAsia="en-US"/>
              </w:rPr>
              <w:t>限</w:t>
            </w:r>
          </w:p>
        </w:tc>
        <w:tc>
          <w:tcPr>
            <w:tcW w:w="2175" w:type="dxa"/>
            <w:gridSpan w:val="4"/>
            <w:shd w:val="clear" w:color="auto" w:fill="auto"/>
          </w:tcPr>
          <w:p w14:paraId="612BB879">
            <w:pPr>
              <w:spacing w:line="360" w:lineRule="auto"/>
              <w:rPr>
                <w:rFonts w:ascii="宋体" w:hAnsi="宋体" w:cs="宋体"/>
                <w:color w:val="auto"/>
                <w:sz w:val="24"/>
              </w:rPr>
            </w:pPr>
          </w:p>
        </w:tc>
        <w:tc>
          <w:tcPr>
            <w:tcW w:w="1650" w:type="dxa"/>
            <w:gridSpan w:val="2"/>
            <w:shd w:val="clear" w:color="auto" w:fill="auto"/>
          </w:tcPr>
          <w:p w14:paraId="06E73C6F">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69" w:type="dxa"/>
            <w:gridSpan w:val="8"/>
            <w:shd w:val="clear" w:color="auto" w:fill="auto"/>
          </w:tcPr>
          <w:p w14:paraId="6116DA96">
            <w:pPr>
              <w:spacing w:line="360" w:lineRule="auto"/>
              <w:rPr>
                <w:rFonts w:ascii="宋体" w:hAnsi="宋体" w:cs="宋体"/>
                <w:color w:val="auto"/>
                <w:sz w:val="24"/>
              </w:rPr>
            </w:pPr>
          </w:p>
        </w:tc>
      </w:tr>
      <w:tr w14:paraId="6A4FF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ACF2FC0">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87" w:type="dxa"/>
            <w:gridSpan w:val="2"/>
            <w:shd w:val="clear" w:color="auto" w:fill="auto"/>
          </w:tcPr>
          <w:p w14:paraId="386EE1E9">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3" w:type="dxa"/>
            <w:gridSpan w:val="3"/>
            <w:shd w:val="clear" w:color="auto" w:fill="auto"/>
          </w:tcPr>
          <w:p w14:paraId="3A8FA77F">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5" w:type="dxa"/>
            <w:shd w:val="clear" w:color="auto" w:fill="auto"/>
          </w:tcPr>
          <w:p w14:paraId="763F68D0">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1E20956B">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1" w:type="dxa"/>
            <w:gridSpan w:val="3"/>
            <w:shd w:val="clear" w:color="auto" w:fill="auto"/>
          </w:tcPr>
          <w:p w14:paraId="6066C942">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0" w:type="dxa"/>
            <w:gridSpan w:val="2"/>
            <w:shd w:val="clear" w:color="auto" w:fill="auto"/>
          </w:tcPr>
          <w:p w14:paraId="6755081A">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5E511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45BC5385">
            <w:pPr>
              <w:spacing w:line="360" w:lineRule="auto"/>
              <w:rPr>
                <w:rFonts w:ascii="宋体" w:hAnsi="宋体" w:cs="宋体"/>
                <w:color w:val="auto"/>
                <w:sz w:val="24"/>
              </w:rPr>
            </w:pPr>
          </w:p>
        </w:tc>
        <w:tc>
          <w:tcPr>
            <w:tcW w:w="1187" w:type="dxa"/>
            <w:gridSpan w:val="2"/>
            <w:shd w:val="clear" w:color="auto" w:fill="auto"/>
          </w:tcPr>
          <w:p w14:paraId="373D45BF">
            <w:pPr>
              <w:spacing w:line="360" w:lineRule="auto"/>
              <w:rPr>
                <w:rFonts w:ascii="宋体" w:hAnsi="宋体" w:cs="宋体"/>
                <w:color w:val="auto"/>
                <w:sz w:val="24"/>
              </w:rPr>
            </w:pPr>
          </w:p>
        </w:tc>
        <w:tc>
          <w:tcPr>
            <w:tcW w:w="1223" w:type="dxa"/>
            <w:gridSpan w:val="3"/>
            <w:shd w:val="clear" w:color="auto" w:fill="auto"/>
          </w:tcPr>
          <w:p w14:paraId="68427B91">
            <w:pPr>
              <w:spacing w:line="360" w:lineRule="auto"/>
              <w:rPr>
                <w:rFonts w:ascii="宋体" w:hAnsi="宋体" w:cs="宋体"/>
                <w:color w:val="auto"/>
                <w:sz w:val="24"/>
              </w:rPr>
            </w:pPr>
          </w:p>
        </w:tc>
        <w:tc>
          <w:tcPr>
            <w:tcW w:w="1415" w:type="dxa"/>
            <w:shd w:val="clear" w:color="auto" w:fill="auto"/>
          </w:tcPr>
          <w:p w14:paraId="249441FA">
            <w:pPr>
              <w:spacing w:line="360" w:lineRule="auto"/>
              <w:rPr>
                <w:rFonts w:ascii="宋体" w:hAnsi="宋体" w:cs="宋体"/>
                <w:color w:val="auto"/>
                <w:sz w:val="24"/>
              </w:rPr>
            </w:pPr>
          </w:p>
        </w:tc>
        <w:tc>
          <w:tcPr>
            <w:tcW w:w="1418" w:type="dxa"/>
            <w:gridSpan w:val="3"/>
            <w:shd w:val="clear" w:color="auto" w:fill="auto"/>
          </w:tcPr>
          <w:p w14:paraId="015C6D2A">
            <w:pPr>
              <w:spacing w:line="360" w:lineRule="auto"/>
              <w:rPr>
                <w:rFonts w:ascii="宋体" w:hAnsi="宋体" w:cs="宋体"/>
                <w:color w:val="auto"/>
                <w:sz w:val="24"/>
              </w:rPr>
            </w:pPr>
          </w:p>
        </w:tc>
        <w:tc>
          <w:tcPr>
            <w:tcW w:w="1631" w:type="dxa"/>
            <w:gridSpan w:val="3"/>
            <w:shd w:val="clear" w:color="auto" w:fill="auto"/>
          </w:tcPr>
          <w:p w14:paraId="67A6B771">
            <w:pPr>
              <w:spacing w:line="360" w:lineRule="auto"/>
              <w:rPr>
                <w:rFonts w:ascii="宋体" w:hAnsi="宋体" w:cs="宋体"/>
                <w:color w:val="auto"/>
                <w:sz w:val="24"/>
              </w:rPr>
            </w:pPr>
          </w:p>
        </w:tc>
        <w:tc>
          <w:tcPr>
            <w:tcW w:w="1420" w:type="dxa"/>
            <w:gridSpan w:val="2"/>
            <w:shd w:val="clear" w:color="auto" w:fill="auto"/>
          </w:tcPr>
          <w:p w14:paraId="5BF3C226">
            <w:pPr>
              <w:spacing w:line="360" w:lineRule="auto"/>
              <w:rPr>
                <w:rFonts w:ascii="宋体" w:hAnsi="宋体" w:cs="宋体"/>
                <w:color w:val="auto"/>
                <w:sz w:val="24"/>
              </w:rPr>
            </w:pPr>
          </w:p>
        </w:tc>
      </w:tr>
      <w:tr w14:paraId="516D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C2FDBA8">
            <w:pPr>
              <w:spacing w:line="360" w:lineRule="auto"/>
              <w:rPr>
                <w:rFonts w:ascii="宋体" w:hAnsi="宋体" w:cs="宋体"/>
                <w:color w:val="auto"/>
                <w:sz w:val="24"/>
              </w:rPr>
            </w:pPr>
          </w:p>
        </w:tc>
        <w:tc>
          <w:tcPr>
            <w:tcW w:w="1187" w:type="dxa"/>
            <w:gridSpan w:val="2"/>
            <w:shd w:val="clear" w:color="auto" w:fill="auto"/>
          </w:tcPr>
          <w:p w14:paraId="5BFEE5E6">
            <w:pPr>
              <w:spacing w:line="360" w:lineRule="auto"/>
              <w:rPr>
                <w:rFonts w:ascii="宋体" w:hAnsi="宋体" w:cs="宋体"/>
                <w:color w:val="auto"/>
                <w:sz w:val="24"/>
              </w:rPr>
            </w:pPr>
          </w:p>
        </w:tc>
        <w:tc>
          <w:tcPr>
            <w:tcW w:w="1223" w:type="dxa"/>
            <w:gridSpan w:val="3"/>
            <w:shd w:val="clear" w:color="auto" w:fill="auto"/>
          </w:tcPr>
          <w:p w14:paraId="119E81F9">
            <w:pPr>
              <w:spacing w:line="360" w:lineRule="auto"/>
              <w:rPr>
                <w:rFonts w:ascii="宋体" w:hAnsi="宋体" w:cs="宋体"/>
                <w:color w:val="auto"/>
                <w:sz w:val="24"/>
              </w:rPr>
            </w:pPr>
          </w:p>
        </w:tc>
        <w:tc>
          <w:tcPr>
            <w:tcW w:w="1415" w:type="dxa"/>
            <w:shd w:val="clear" w:color="auto" w:fill="auto"/>
          </w:tcPr>
          <w:p w14:paraId="686032E7">
            <w:pPr>
              <w:spacing w:line="360" w:lineRule="auto"/>
              <w:rPr>
                <w:rFonts w:ascii="宋体" w:hAnsi="宋体" w:cs="宋体"/>
                <w:color w:val="auto"/>
                <w:sz w:val="24"/>
              </w:rPr>
            </w:pPr>
          </w:p>
        </w:tc>
        <w:tc>
          <w:tcPr>
            <w:tcW w:w="1418" w:type="dxa"/>
            <w:gridSpan w:val="3"/>
            <w:shd w:val="clear" w:color="auto" w:fill="auto"/>
          </w:tcPr>
          <w:p w14:paraId="6C721B42">
            <w:pPr>
              <w:spacing w:line="360" w:lineRule="auto"/>
              <w:rPr>
                <w:rFonts w:ascii="宋体" w:hAnsi="宋体" w:cs="宋体"/>
                <w:color w:val="auto"/>
                <w:sz w:val="24"/>
              </w:rPr>
            </w:pPr>
          </w:p>
        </w:tc>
        <w:tc>
          <w:tcPr>
            <w:tcW w:w="1631" w:type="dxa"/>
            <w:gridSpan w:val="3"/>
            <w:shd w:val="clear" w:color="auto" w:fill="auto"/>
          </w:tcPr>
          <w:p w14:paraId="1FDB32CA">
            <w:pPr>
              <w:spacing w:line="360" w:lineRule="auto"/>
              <w:rPr>
                <w:rFonts w:ascii="宋体" w:hAnsi="宋体" w:cs="宋体"/>
                <w:color w:val="auto"/>
                <w:sz w:val="24"/>
              </w:rPr>
            </w:pPr>
          </w:p>
        </w:tc>
        <w:tc>
          <w:tcPr>
            <w:tcW w:w="1420" w:type="dxa"/>
            <w:gridSpan w:val="2"/>
            <w:shd w:val="clear" w:color="auto" w:fill="auto"/>
          </w:tcPr>
          <w:p w14:paraId="22919F1E">
            <w:pPr>
              <w:spacing w:line="360" w:lineRule="auto"/>
              <w:rPr>
                <w:rFonts w:ascii="宋体" w:hAnsi="宋体" w:cs="宋体"/>
                <w:color w:val="auto"/>
                <w:sz w:val="24"/>
              </w:rPr>
            </w:pPr>
          </w:p>
        </w:tc>
      </w:tr>
      <w:tr w14:paraId="6F71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3A38B2B4">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6DE2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93DAE73">
            <w:pPr>
              <w:spacing w:line="360" w:lineRule="auto"/>
              <w:rPr>
                <w:rFonts w:ascii="宋体" w:hAnsi="宋体" w:cs="宋体"/>
                <w:color w:val="auto"/>
                <w:sz w:val="24"/>
              </w:rPr>
            </w:pPr>
          </w:p>
        </w:tc>
        <w:tc>
          <w:tcPr>
            <w:tcW w:w="1547" w:type="dxa"/>
            <w:gridSpan w:val="2"/>
            <w:shd w:val="clear" w:color="auto" w:fill="auto"/>
          </w:tcPr>
          <w:p w14:paraId="349357F0">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8" w:type="dxa"/>
            <w:gridSpan w:val="3"/>
            <w:shd w:val="clear" w:color="auto" w:fill="auto"/>
          </w:tcPr>
          <w:p w14:paraId="623910A5">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5DED7038">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3" w:type="dxa"/>
            <w:gridSpan w:val="3"/>
            <w:shd w:val="clear" w:color="auto" w:fill="auto"/>
          </w:tcPr>
          <w:p w14:paraId="26B54039">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424D64EE">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298DDBDC">
            <w:pPr>
              <w:spacing w:line="360" w:lineRule="auto"/>
              <w:rPr>
                <w:rFonts w:ascii="宋体" w:hAnsi="宋体" w:cs="宋体"/>
                <w:color w:val="auto"/>
                <w:sz w:val="24"/>
              </w:rPr>
            </w:pPr>
          </w:p>
        </w:tc>
      </w:tr>
      <w:tr w14:paraId="7BE7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73F72BD9">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7" w:type="dxa"/>
            <w:gridSpan w:val="2"/>
            <w:shd w:val="clear" w:color="auto" w:fill="auto"/>
          </w:tcPr>
          <w:p w14:paraId="50AE67BF">
            <w:pPr>
              <w:spacing w:line="360" w:lineRule="auto"/>
              <w:rPr>
                <w:rFonts w:ascii="宋体" w:hAnsi="宋体" w:cs="宋体"/>
                <w:color w:val="auto"/>
                <w:sz w:val="24"/>
              </w:rPr>
            </w:pPr>
          </w:p>
        </w:tc>
        <w:tc>
          <w:tcPr>
            <w:tcW w:w="1978" w:type="dxa"/>
            <w:gridSpan w:val="3"/>
            <w:shd w:val="clear" w:color="auto" w:fill="auto"/>
          </w:tcPr>
          <w:p w14:paraId="536EBAC4">
            <w:pPr>
              <w:spacing w:line="360" w:lineRule="auto"/>
              <w:rPr>
                <w:rFonts w:ascii="宋体" w:hAnsi="宋体" w:cs="宋体"/>
                <w:color w:val="auto"/>
                <w:sz w:val="24"/>
              </w:rPr>
            </w:pPr>
          </w:p>
        </w:tc>
        <w:tc>
          <w:tcPr>
            <w:tcW w:w="1329" w:type="dxa"/>
            <w:gridSpan w:val="2"/>
            <w:shd w:val="clear" w:color="auto" w:fill="auto"/>
          </w:tcPr>
          <w:p w14:paraId="6E4BEFB0">
            <w:pPr>
              <w:spacing w:line="360" w:lineRule="auto"/>
              <w:rPr>
                <w:rFonts w:ascii="宋体" w:hAnsi="宋体" w:cs="宋体"/>
                <w:color w:val="auto"/>
                <w:sz w:val="24"/>
              </w:rPr>
            </w:pPr>
          </w:p>
        </w:tc>
        <w:tc>
          <w:tcPr>
            <w:tcW w:w="1633" w:type="dxa"/>
            <w:gridSpan w:val="3"/>
            <w:shd w:val="clear" w:color="auto" w:fill="auto"/>
          </w:tcPr>
          <w:p w14:paraId="56ADA5FB">
            <w:pPr>
              <w:spacing w:line="360" w:lineRule="auto"/>
              <w:rPr>
                <w:rFonts w:ascii="宋体" w:hAnsi="宋体" w:cs="宋体"/>
                <w:color w:val="auto"/>
                <w:sz w:val="24"/>
              </w:rPr>
            </w:pPr>
          </w:p>
        </w:tc>
        <w:tc>
          <w:tcPr>
            <w:tcW w:w="1482" w:type="dxa"/>
            <w:gridSpan w:val="2"/>
            <w:shd w:val="clear" w:color="auto" w:fill="auto"/>
          </w:tcPr>
          <w:p w14:paraId="7ABF059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1641254">
            <w:pPr>
              <w:spacing w:line="360" w:lineRule="auto"/>
              <w:rPr>
                <w:rFonts w:ascii="宋体" w:hAnsi="宋体" w:cs="宋体"/>
                <w:color w:val="auto"/>
                <w:sz w:val="24"/>
              </w:rPr>
            </w:pPr>
          </w:p>
        </w:tc>
      </w:tr>
      <w:tr w14:paraId="5330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033953E4">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7" w:type="dxa"/>
            <w:gridSpan w:val="2"/>
            <w:shd w:val="clear" w:color="auto" w:fill="auto"/>
          </w:tcPr>
          <w:p w14:paraId="11BB99BF">
            <w:pPr>
              <w:spacing w:line="360" w:lineRule="auto"/>
              <w:rPr>
                <w:rFonts w:ascii="宋体" w:hAnsi="宋体" w:cs="宋体"/>
                <w:color w:val="auto"/>
                <w:sz w:val="24"/>
              </w:rPr>
            </w:pPr>
          </w:p>
        </w:tc>
        <w:tc>
          <w:tcPr>
            <w:tcW w:w="1978" w:type="dxa"/>
            <w:gridSpan w:val="3"/>
            <w:shd w:val="clear" w:color="auto" w:fill="auto"/>
          </w:tcPr>
          <w:p w14:paraId="3AFE9BA3">
            <w:pPr>
              <w:spacing w:line="360" w:lineRule="auto"/>
              <w:rPr>
                <w:rFonts w:ascii="宋体" w:hAnsi="宋体" w:cs="宋体"/>
                <w:color w:val="auto"/>
                <w:sz w:val="24"/>
              </w:rPr>
            </w:pPr>
          </w:p>
        </w:tc>
        <w:tc>
          <w:tcPr>
            <w:tcW w:w="1329" w:type="dxa"/>
            <w:gridSpan w:val="2"/>
            <w:shd w:val="clear" w:color="auto" w:fill="auto"/>
          </w:tcPr>
          <w:p w14:paraId="6B30D6C2">
            <w:pPr>
              <w:spacing w:line="360" w:lineRule="auto"/>
              <w:rPr>
                <w:rFonts w:ascii="宋体" w:hAnsi="宋体" w:cs="宋体"/>
                <w:color w:val="auto"/>
                <w:sz w:val="24"/>
              </w:rPr>
            </w:pPr>
          </w:p>
        </w:tc>
        <w:tc>
          <w:tcPr>
            <w:tcW w:w="1633" w:type="dxa"/>
            <w:gridSpan w:val="3"/>
            <w:shd w:val="clear" w:color="auto" w:fill="auto"/>
          </w:tcPr>
          <w:p w14:paraId="55A79000">
            <w:pPr>
              <w:spacing w:line="360" w:lineRule="auto"/>
              <w:rPr>
                <w:rFonts w:ascii="宋体" w:hAnsi="宋体" w:cs="宋体"/>
                <w:color w:val="auto"/>
                <w:sz w:val="24"/>
              </w:rPr>
            </w:pPr>
          </w:p>
        </w:tc>
        <w:tc>
          <w:tcPr>
            <w:tcW w:w="1482" w:type="dxa"/>
            <w:gridSpan w:val="2"/>
            <w:shd w:val="clear" w:color="auto" w:fill="auto"/>
          </w:tcPr>
          <w:p w14:paraId="1B347C45">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E2919E6">
            <w:pPr>
              <w:spacing w:line="360" w:lineRule="auto"/>
              <w:rPr>
                <w:rFonts w:ascii="宋体" w:hAnsi="宋体" w:cs="宋体"/>
                <w:color w:val="auto"/>
                <w:sz w:val="24"/>
              </w:rPr>
            </w:pPr>
          </w:p>
        </w:tc>
      </w:tr>
      <w:tr w14:paraId="2CB3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166A23C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7" w:type="dxa"/>
            <w:gridSpan w:val="2"/>
            <w:shd w:val="clear" w:color="auto" w:fill="auto"/>
          </w:tcPr>
          <w:p w14:paraId="713E8CF1">
            <w:pPr>
              <w:spacing w:line="360" w:lineRule="auto"/>
              <w:rPr>
                <w:rFonts w:ascii="宋体" w:hAnsi="宋体" w:cs="宋体"/>
                <w:color w:val="auto"/>
                <w:sz w:val="24"/>
              </w:rPr>
            </w:pPr>
          </w:p>
        </w:tc>
        <w:tc>
          <w:tcPr>
            <w:tcW w:w="1978" w:type="dxa"/>
            <w:gridSpan w:val="3"/>
            <w:shd w:val="clear" w:color="auto" w:fill="auto"/>
          </w:tcPr>
          <w:p w14:paraId="03B58A3D">
            <w:pPr>
              <w:spacing w:line="360" w:lineRule="auto"/>
              <w:rPr>
                <w:rFonts w:ascii="宋体" w:hAnsi="宋体" w:cs="宋体"/>
                <w:color w:val="auto"/>
                <w:sz w:val="24"/>
              </w:rPr>
            </w:pPr>
          </w:p>
        </w:tc>
        <w:tc>
          <w:tcPr>
            <w:tcW w:w="1329" w:type="dxa"/>
            <w:gridSpan w:val="2"/>
            <w:shd w:val="clear" w:color="auto" w:fill="auto"/>
          </w:tcPr>
          <w:p w14:paraId="7F78B071">
            <w:pPr>
              <w:spacing w:line="360" w:lineRule="auto"/>
              <w:rPr>
                <w:rFonts w:ascii="宋体" w:hAnsi="宋体" w:cs="宋体"/>
                <w:color w:val="auto"/>
                <w:sz w:val="24"/>
              </w:rPr>
            </w:pPr>
          </w:p>
        </w:tc>
        <w:tc>
          <w:tcPr>
            <w:tcW w:w="1633" w:type="dxa"/>
            <w:gridSpan w:val="3"/>
            <w:shd w:val="clear" w:color="auto" w:fill="auto"/>
          </w:tcPr>
          <w:p w14:paraId="3DE68640">
            <w:pPr>
              <w:spacing w:line="360" w:lineRule="auto"/>
              <w:rPr>
                <w:rFonts w:ascii="宋体" w:hAnsi="宋体" w:cs="宋体"/>
                <w:color w:val="auto"/>
                <w:sz w:val="24"/>
              </w:rPr>
            </w:pPr>
          </w:p>
        </w:tc>
        <w:tc>
          <w:tcPr>
            <w:tcW w:w="1482" w:type="dxa"/>
            <w:gridSpan w:val="2"/>
            <w:shd w:val="clear" w:color="auto" w:fill="auto"/>
          </w:tcPr>
          <w:p w14:paraId="3B1F7D3F">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18F6BFC">
            <w:pPr>
              <w:spacing w:line="360" w:lineRule="auto"/>
              <w:rPr>
                <w:rFonts w:ascii="宋体" w:hAnsi="宋体" w:cs="宋体"/>
                <w:color w:val="auto"/>
                <w:sz w:val="24"/>
              </w:rPr>
            </w:pPr>
          </w:p>
        </w:tc>
      </w:tr>
      <w:tr w14:paraId="767F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3AF471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7" w:type="dxa"/>
            <w:gridSpan w:val="2"/>
            <w:shd w:val="clear" w:color="auto" w:fill="auto"/>
          </w:tcPr>
          <w:p w14:paraId="54B50EF1">
            <w:pPr>
              <w:spacing w:line="360" w:lineRule="auto"/>
              <w:rPr>
                <w:rFonts w:ascii="宋体" w:hAnsi="宋体" w:cs="宋体"/>
                <w:color w:val="auto"/>
                <w:sz w:val="24"/>
              </w:rPr>
            </w:pPr>
          </w:p>
        </w:tc>
        <w:tc>
          <w:tcPr>
            <w:tcW w:w="1978" w:type="dxa"/>
            <w:gridSpan w:val="3"/>
            <w:shd w:val="clear" w:color="auto" w:fill="auto"/>
          </w:tcPr>
          <w:p w14:paraId="618CB96F">
            <w:pPr>
              <w:spacing w:line="360" w:lineRule="auto"/>
              <w:rPr>
                <w:rFonts w:ascii="宋体" w:hAnsi="宋体" w:cs="宋体"/>
                <w:color w:val="auto"/>
                <w:sz w:val="24"/>
              </w:rPr>
            </w:pPr>
          </w:p>
        </w:tc>
        <w:tc>
          <w:tcPr>
            <w:tcW w:w="1329" w:type="dxa"/>
            <w:gridSpan w:val="2"/>
            <w:shd w:val="clear" w:color="auto" w:fill="auto"/>
          </w:tcPr>
          <w:p w14:paraId="7EE29AB4">
            <w:pPr>
              <w:spacing w:line="360" w:lineRule="auto"/>
              <w:rPr>
                <w:rFonts w:ascii="宋体" w:hAnsi="宋体" w:cs="宋体"/>
                <w:color w:val="auto"/>
                <w:sz w:val="24"/>
              </w:rPr>
            </w:pPr>
          </w:p>
        </w:tc>
        <w:tc>
          <w:tcPr>
            <w:tcW w:w="1633" w:type="dxa"/>
            <w:gridSpan w:val="3"/>
            <w:shd w:val="clear" w:color="auto" w:fill="auto"/>
          </w:tcPr>
          <w:p w14:paraId="6B2ED70F">
            <w:pPr>
              <w:spacing w:line="360" w:lineRule="auto"/>
              <w:rPr>
                <w:rFonts w:ascii="宋体" w:hAnsi="宋体" w:cs="宋体"/>
                <w:color w:val="auto"/>
                <w:sz w:val="24"/>
              </w:rPr>
            </w:pPr>
          </w:p>
        </w:tc>
        <w:tc>
          <w:tcPr>
            <w:tcW w:w="1482" w:type="dxa"/>
            <w:gridSpan w:val="2"/>
            <w:shd w:val="clear" w:color="auto" w:fill="auto"/>
          </w:tcPr>
          <w:p w14:paraId="6B05EB72">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2DF660B">
            <w:pPr>
              <w:spacing w:line="360" w:lineRule="auto"/>
              <w:rPr>
                <w:rFonts w:ascii="宋体" w:hAnsi="宋体" w:cs="宋体"/>
                <w:color w:val="auto"/>
                <w:sz w:val="24"/>
              </w:rPr>
            </w:pPr>
          </w:p>
        </w:tc>
      </w:tr>
      <w:tr w14:paraId="0441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918C4AE">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7" w:type="dxa"/>
            <w:gridSpan w:val="2"/>
            <w:shd w:val="clear" w:color="auto" w:fill="auto"/>
          </w:tcPr>
          <w:p w14:paraId="5FCA9D15">
            <w:pPr>
              <w:spacing w:line="360" w:lineRule="auto"/>
              <w:rPr>
                <w:rFonts w:ascii="宋体" w:hAnsi="宋体" w:cs="宋体"/>
                <w:color w:val="auto"/>
                <w:sz w:val="24"/>
              </w:rPr>
            </w:pPr>
          </w:p>
        </w:tc>
        <w:tc>
          <w:tcPr>
            <w:tcW w:w="1978" w:type="dxa"/>
            <w:gridSpan w:val="3"/>
            <w:shd w:val="clear" w:color="auto" w:fill="auto"/>
          </w:tcPr>
          <w:p w14:paraId="108D5E06">
            <w:pPr>
              <w:spacing w:line="360" w:lineRule="auto"/>
              <w:rPr>
                <w:rFonts w:ascii="宋体" w:hAnsi="宋体" w:cs="宋体"/>
                <w:color w:val="auto"/>
                <w:sz w:val="24"/>
              </w:rPr>
            </w:pPr>
          </w:p>
        </w:tc>
        <w:tc>
          <w:tcPr>
            <w:tcW w:w="1329" w:type="dxa"/>
            <w:gridSpan w:val="2"/>
            <w:shd w:val="clear" w:color="auto" w:fill="auto"/>
          </w:tcPr>
          <w:p w14:paraId="312285DB">
            <w:pPr>
              <w:spacing w:line="360" w:lineRule="auto"/>
              <w:rPr>
                <w:rFonts w:ascii="宋体" w:hAnsi="宋体" w:cs="宋体"/>
                <w:color w:val="auto"/>
                <w:sz w:val="24"/>
              </w:rPr>
            </w:pPr>
          </w:p>
        </w:tc>
        <w:tc>
          <w:tcPr>
            <w:tcW w:w="1633" w:type="dxa"/>
            <w:gridSpan w:val="3"/>
            <w:shd w:val="clear" w:color="auto" w:fill="auto"/>
          </w:tcPr>
          <w:p w14:paraId="103A8034">
            <w:pPr>
              <w:spacing w:line="360" w:lineRule="auto"/>
              <w:rPr>
                <w:rFonts w:ascii="宋体" w:hAnsi="宋体" w:cs="宋体"/>
                <w:color w:val="auto"/>
                <w:sz w:val="24"/>
              </w:rPr>
            </w:pPr>
          </w:p>
        </w:tc>
        <w:tc>
          <w:tcPr>
            <w:tcW w:w="1482" w:type="dxa"/>
            <w:gridSpan w:val="2"/>
            <w:shd w:val="clear" w:color="auto" w:fill="auto"/>
          </w:tcPr>
          <w:p w14:paraId="2D7E7060">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65FB31D6">
            <w:pPr>
              <w:spacing w:line="360" w:lineRule="auto"/>
              <w:rPr>
                <w:rFonts w:ascii="宋体" w:hAnsi="宋体" w:cs="宋体"/>
                <w:color w:val="auto"/>
                <w:sz w:val="24"/>
              </w:rPr>
            </w:pPr>
          </w:p>
        </w:tc>
      </w:tr>
      <w:tr w14:paraId="4522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0B205E4">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7" w:type="dxa"/>
            <w:gridSpan w:val="2"/>
            <w:shd w:val="clear" w:color="auto" w:fill="auto"/>
          </w:tcPr>
          <w:p w14:paraId="5AC0F4C1">
            <w:pPr>
              <w:spacing w:line="360" w:lineRule="auto"/>
              <w:rPr>
                <w:rFonts w:ascii="宋体" w:hAnsi="宋体" w:cs="宋体"/>
                <w:color w:val="auto"/>
                <w:sz w:val="24"/>
              </w:rPr>
            </w:pPr>
          </w:p>
        </w:tc>
        <w:tc>
          <w:tcPr>
            <w:tcW w:w="1978" w:type="dxa"/>
            <w:gridSpan w:val="3"/>
            <w:shd w:val="clear" w:color="auto" w:fill="auto"/>
          </w:tcPr>
          <w:p w14:paraId="65EF07E4">
            <w:pPr>
              <w:spacing w:line="360" w:lineRule="auto"/>
              <w:rPr>
                <w:rFonts w:ascii="宋体" w:hAnsi="宋体" w:cs="宋体"/>
                <w:color w:val="auto"/>
                <w:sz w:val="24"/>
              </w:rPr>
            </w:pPr>
          </w:p>
        </w:tc>
        <w:tc>
          <w:tcPr>
            <w:tcW w:w="1329" w:type="dxa"/>
            <w:gridSpan w:val="2"/>
            <w:shd w:val="clear" w:color="auto" w:fill="auto"/>
          </w:tcPr>
          <w:p w14:paraId="500AB9AF">
            <w:pPr>
              <w:spacing w:line="360" w:lineRule="auto"/>
              <w:rPr>
                <w:rFonts w:ascii="宋体" w:hAnsi="宋体" w:cs="宋体"/>
                <w:color w:val="auto"/>
                <w:sz w:val="24"/>
              </w:rPr>
            </w:pPr>
          </w:p>
        </w:tc>
        <w:tc>
          <w:tcPr>
            <w:tcW w:w="1633" w:type="dxa"/>
            <w:gridSpan w:val="3"/>
            <w:shd w:val="clear" w:color="auto" w:fill="auto"/>
          </w:tcPr>
          <w:p w14:paraId="5A6C15EE">
            <w:pPr>
              <w:spacing w:line="360" w:lineRule="auto"/>
              <w:rPr>
                <w:rFonts w:ascii="宋体" w:hAnsi="宋体" w:cs="宋体"/>
                <w:color w:val="auto"/>
                <w:sz w:val="24"/>
              </w:rPr>
            </w:pPr>
          </w:p>
        </w:tc>
        <w:tc>
          <w:tcPr>
            <w:tcW w:w="1482" w:type="dxa"/>
            <w:gridSpan w:val="2"/>
            <w:shd w:val="clear" w:color="auto" w:fill="auto"/>
          </w:tcPr>
          <w:p w14:paraId="6A9291F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C9965B3">
            <w:pPr>
              <w:spacing w:line="360" w:lineRule="auto"/>
              <w:rPr>
                <w:rFonts w:ascii="宋体" w:hAnsi="宋体" w:cs="宋体"/>
                <w:color w:val="auto"/>
                <w:sz w:val="24"/>
              </w:rPr>
            </w:pPr>
          </w:p>
        </w:tc>
      </w:tr>
      <w:tr w14:paraId="7461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4E990E0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7" w:type="dxa"/>
            <w:gridSpan w:val="2"/>
            <w:shd w:val="clear" w:color="auto" w:fill="auto"/>
          </w:tcPr>
          <w:p w14:paraId="261DEC2A">
            <w:pPr>
              <w:spacing w:line="360" w:lineRule="auto"/>
              <w:rPr>
                <w:rFonts w:ascii="宋体" w:hAnsi="宋体" w:cs="宋体"/>
                <w:color w:val="auto"/>
                <w:sz w:val="24"/>
              </w:rPr>
            </w:pPr>
          </w:p>
        </w:tc>
        <w:tc>
          <w:tcPr>
            <w:tcW w:w="1978" w:type="dxa"/>
            <w:gridSpan w:val="3"/>
            <w:shd w:val="clear" w:color="auto" w:fill="auto"/>
          </w:tcPr>
          <w:p w14:paraId="3192466A">
            <w:pPr>
              <w:spacing w:line="360" w:lineRule="auto"/>
              <w:rPr>
                <w:rFonts w:ascii="宋体" w:hAnsi="宋体" w:cs="宋体"/>
                <w:color w:val="auto"/>
                <w:sz w:val="24"/>
              </w:rPr>
            </w:pPr>
          </w:p>
        </w:tc>
        <w:tc>
          <w:tcPr>
            <w:tcW w:w="1329" w:type="dxa"/>
            <w:gridSpan w:val="2"/>
            <w:shd w:val="clear" w:color="auto" w:fill="auto"/>
          </w:tcPr>
          <w:p w14:paraId="32000CBD">
            <w:pPr>
              <w:spacing w:line="360" w:lineRule="auto"/>
              <w:rPr>
                <w:rFonts w:ascii="宋体" w:hAnsi="宋体" w:cs="宋体"/>
                <w:color w:val="auto"/>
                <w:sz w:val="24"/>
              </w:rPr>
            </w:pPr>
          </w:p>
        </w:tc>
        <w:tc>
          <w:tcPr>
            <w:tcW w:w="1633" w:type="dxa"/>
            <w:gridSpan w:val="3"/>
            <w:shd w:val="clear" w:color="auto" w:fill="auto"/>
          </w:tcPr>
          <w:p w14:paraId="7F3892D6">
            <w:pPr>
              <w:spacing w:line="360" w:lineRule="auto"/>
              <w:rPr>
                <w:rFonts w:ascii="宋体" w:hAnsi="宋体" w:cs="宋体"/>
                <w:color w:val="auto"/>
                <w:sz w:val="24"/>
              </w:rPr>
            </w:pPr>
          </w:p>
        </w:tc>
        <w:tc>
          <w:tcPr>
            <w:tcW w:w="1482" w:type="dxa"/>
            <w:gridSpan w:val="2"/>
            <w:shd w:val="clear" w:color="auto" w:fill="auto"/>
          </w:tcPr>
          <w:p w14:paraId="087FB46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43BD6EFF">
            <w:pPr>
              <w:spacing w:line="360" w:lineRule="auto"/>
              <w:rPr>
                <w:rFonts w:ascii="宋体" w:hAnsi="宋体" w:cs="宋体"/>
                <w:color w:val="auto"/>
                <w:sz w:val="24"/>
              </w:rPr>
            </w:pPr>
          </w:p>
        </w:tc>
      </w:tr>
      <w:tr w14:paraId="38626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2C8BC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7" w:type="dxa"/>
            <w:gridSpan w:val="2"/>
            <w:shd w:val="clear" w:color="auto" w:fill="auto"/>
          </w:tcPr>
          <w:p w14:paraId="23B7F68C">
            <w:pPr>
              <w:spacing w:line="360" w:lineRule="auto"/>
              <w:rPr>
                <w:rFonts w:ascii="宋体" w:hAnsi="宋体" w:cs="宋体"/>
                <w:color w:val="auto"/>
                <w:sz w:val="24"/>
              </w:rPr>
            </w:pPr>
          </w:p>
        </w:tc>
        <w:tc>
          <w:tcPr>
            <w:tcW w:w="1978" w:type="dxa"/>
            <w:gridSpan w:val="3"/>
            <w:shd w:val="clear" w:color="auto" w:fill="auto"/>
          </w:tcPr>
          <w:p w14:paraId="4259042C">
            <w:pPr>
              <w:spacing w:line="360" w:lineRule="auto"/>
              <w:rPr>
                <w:rFonts w:ascii="宋体" w:hAnsi="宋体" w:cs="宋体"/>
                <w:color w:val="auto"/>
                <w:sz w:val="24"/>
              </w:rPr>
            </w:pPr>
          </w:p>
        </w:tc>
        <w:tc>
          <w:tcPr>
            <w:tcW w:w="1329" w:type="dxa"/>
            <w:gridSpan w:val="2"/>
            <w:shd w:val="clear" w:color="auto" w:fill="auto"/>
          </w:tcPr>
          <w:p w14:paraId="5EAEFE95">
            <w:pPr>
              <w:spacing w:line="360" w:lineRule="auto"/>
              <w:rPr>
                <w:rFonts w:ascii="宋体" w:hAnsi="宋体" w:cs="宋体"/>
                <w:color w:val="auto"/>
                <w:sz w:val="24"/>
              </w:rPr>
            </w:pPr>
          </w:p>
        </w:tc>
        <w:tc>
          <w:tcPr>
            <w:tcW w:w="1633" w:type="dxa"/>
            <w:gridSpan w:val="3"/>
            <w:shd w:val="clear" w:color="auto" w:fill="auto"/>
          </w:tcPr>
          <w:p w14:paraId="6FDABC48">
            <w:pPr>
              <w:spacing w:line="360" w:lineRule="auto"/>
              <w:rPr>
                <w:rFonts w:ascii="宋体" w:hAnsi="宋体" w:cs="宋体"/>
                <w:color w:val="auto"/>
                <w:sz w:val="24"/>
              </w:rPr>
            </w:pPr>
          </w:p>
        </w:tc>
        <w:tc>
          <w:tcPr>
            <w:tcW w:w="1482" w:type="dxa"/>
            <w:gridSpan w:val="2"/>
            <w:shd w:val="clear" w:color="auto" w:fill="auto"/>
          </w:tcPr>
          <w:p w14:paraId="4B76B7EE">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E0A6B8B">
            <w:pPr>
              <w:spacing w:line="360" w:lineRule="auto"/>
              <w:rPr>
                <w:rFonts w:ascii="宋体" w:hAnsi="宋体" w:cs="宋体"/>
                <w:color w:val="auto"/>
                <w:sz w:val="24"/>
              </w:rPr>
            </w:pPr>
          </w:p>
        </w:tc>
      </w:tr>
      <w:tr w14:paraId="7E31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7C36647F">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7" w:type="dxa"/>
            <w:gridSpan w:val="2"/>
            <w:shd w:val="clear" w:color="auto" w:fill="auto"/>
          </w:tcPr>
          <w:p w14:paraId="3BB41E89">
            <w:pPr>
              <w:spacing w:line="360" w:lineRule="auto"/>
              <w:rPr>
                <w:rFonts w:ascii="宋体" w:hAnsi="宋体" w:cs="宋体"/>
                <w:color w:val="auto"/>
                <w:sz w:val="24"/>
              </w:rPr>
            </w:pPr>
          </w:p>
        </w:tc>
        <w:tc>
          <w:tcPr>
            <w:tcW w:w="1978" w:type="dxa"/>
            <w:gridSpan w:val="3"/>
            <w:shd w:val="clear" w:color="auto" w:fill="auto"/>
          </w:tcPr>
          <w:p w14:paraId="1396D7BC">
            <w:pPr>
              <w:spacing w:line="360" w:lineRule="auto"/>
              <w:rPr>
                <w:rFonts w:ascii="宋体" w:hAnsi="宋体" w:cs="宋体"/>
                <w:color w:val="auto"/>
                <w:sz w:val="24"/>
              </w:rPr>
            </w:pPr>
          </w:p>
        </w:tc>
        <w:tc>
          <w:tcPr>
            <w:tcW w:w="1329" w:type="dxa"/>
            <w:gridSpan w:val="2"/>
            <w:shd w:val="clear" w:color="auto" w:fill="auto"/>
          </w:tcPr>
          <w:p w14:paraId="417CA5FF">
            <w:pPr>
              <w:spacing w:line="360" w:lineRule="auto"/>
              <w:rPr>
                <w:rFonts w:ascii="宋体" w:hAnsi="宋体" w:cs="宋体"/>
                <w:color w:val="auto"/>
                <w:sz w:val="24"/>
              </w:rPr>
            </w:pPr>
          </w:p>
        </w:tc>
        <w:tc>
          <w:tcPr>
            <w:tcW w:w="1633" w:type="dxa"/>
            <w:gridSpan w:val="3"/>
            <w:shd w:val="clear" w:color="auto" w:fill="auto"/>
          </w:tcPr>
          <w:p w14:paraId="06E9643C">
            <w:pPr>
              <w:spacing w:line="360" w:lineRule="auto"/>
              <w:rPr>
                <w:rFonts w:ascii="宋体" w:hAnsi="宋体" w:cs="宋体"/>
                <w:color w:val="auto"/>
                <w:sz w:val="24"/>
              </w:rPr>
            </w:pPr>
          </w:p>
        </w:tc>
        <w:tc>
          <w:tcPr>
            <w:tcW w:w="1482" w:type="dxa"/>
            <w:gridSpan w:val="2"/>
            <w:shd w:val="clear" w:color="auto" w:fill="auto"/>
          </w:tcPr>
          <w:p w14:paraId="3081225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35209A6">
            <w:pPr>
              <w:spacing w:line="360" w:lineRule="auto"/>
              <w:rPr>
                <w:rFonts w:ascii="宋体" w:hAnsi="宋体" w:cs="宋体"/>
                <w:color w:val="auto"/>
                <w:sz w:val="24"/>
              </w:rPr>
            </w:pPr>
          </w:p>
        </w:tc>
      </w:tr>
    </w:tbl>
    <w:p w14:paraId="2642E6A9">
      <w:pPr>
        <w:spacing w:line="360" w:lineRule="auto"/>
        <w:ind w:left="385"/>
        <w:rPr>
          <w:rFonts w:ascii="宋体" w:hAnsi="宋体" w:cs="宋体"/>
          <w:color w:val="auto"/>
          <w:spacing w:val="-13"/>
          <w:sz w:val="24"/>
        </w:rPr>
      </w:pPr>
    </w:p>
    <w:p w14:paraId="01A4E4DA">
      <w:pPr>
        <w:spacing w:line="360" w:lineRule="auto"/>
        <w:ind w:left="385"/>
        <w:rPr>
          <w:rFonts w:ascii="宋体" w:hAnsi="宋体" w:cs="宋体"/>
          <w:color w:val="auto"/>
          <w:sz w:val="24"/>
        </w:rPr>
      </w:pPr>
      <w:r>
        <w:rPr>
          <w:rFonts w:hint="eastAsia" w:ascii="宋体" w:hAnsi="宋体" w:cs="宋体"/>
          <w:color w:val="auto"/>
          <w:spacing w:val="-13"/>
          <w:sz w:val="24"/>
        </w:rPr>
        <w:t>备注：</w:t>
      </w:r>
      <w:r>
        <w:rPr>
          <w:rFonts w:hint="eastAsia" w:ascii="宋体" w:hAnsi="宋体" w:cs="宋体"/>
          <w:color w:val="auto"/>
          <w:spacing w:val="-3"/>
          <w:sz w:val="24"/>
        </w:rPr>
        <w:t>1.项目数可以根据需要增加。</w:t>
      </w:r>
    </w:p>
    <w:p w14:paraId="2AA3FE89">
      <w:pPr>
        <w:spacing w:line="360" w:lineRule="auto"/>
        <w:ind w:left="805" w:firstLine="234" w:firstLineChars="100"/>
        <w:rPr>
          <w:rFonts w:ascii="宋体" w:hAnsi="宋体" w:cs="宋体"/>
          <w:color w:val="auto"/>
          <w:sz w:val="24"/>
        </w:rPr>
      </w:pPr>
      <w:r>
        <w:rPr>
          <w:rFonts w:hint="eastAsia" w:ascii="宋体" w:hAnsi="宋体" w:cs="宋体"/>
          <w:color w:val="auto"/>
          <w:spacing w:val="-3"/>
          <w:sz w:val="24"/>
        </w:rPr>
        <w:t>2.本表后附项目技术负责人（项目总工）</w:t>
      </w:r>
      <w:r>
        <w:rPr>
          <w:rFonts w:hint="eastAsia" w:ascii="宋体" w:hAnsi="宋体" w:cs="宋体"/>
          <w:color w:val="auto"/>
          <w:spacing w:val="-36"/>
          <w:sz w:val="24"/>
        </w:rPr>
        <w:t xml:space="preserve"> </w:t>
      </w:r>
      <w:r>
        <w:rPr>
          <w:rFonts w:hint="eastAsia" w:ascii="宋体" w:hAnsi="宋体" w:cs="宋体"/>
          <w:color w:val="auto"/>
          <w:spacing w:val="-3"/>
          <w:sz w:val="24"/>
        </w:rPr>
        <w:t>的学历证、本表所列证书复</w:t>
      </w:r>
      <w:r>
        <w:rPr>
          <w:rFonts w:hint="eastAsia" w:ascii="宋体" w:hAnsi="宋体" w:cs="宋体"/>
          <w:color w:val="auto"/>
          <w:spacing w:val="-4"/>
          <w:sz w:val="24"/>
        </w:rPr>
        <w:t>印件并加盖供应商公章。</w:t>
      </w:r>
    </w:p>
    <w:p w14:paraId="039595E5">
      <w:pPr>
        <w:spacing w:line="360" w:lineRule="auto"/>
        <w:rPr>
          <w:rFonts w:ascii="宋体" w:hAnsi="宋体"/>
          <w:color w:val="auto"/>
        </w:rPr>
      </w:pPr>
      <w:r>
        <w:rPr>
          <w:rFonts w:hint="eastAsia" w:ascii="宋体" w:hAnsi="宋体"/>
          <w:color w:val="auto"/>
          <w:sz w:val="24"/>
        </w:rPr>
        <w:br w:type="page"/>
      </w:r>
    </w:p>
    <w:p w14:paraId="53815E02">
      <w:pPr>
        <w:spacing w:line="360" w:lineRule="auto"/>
        <w:ind w:left="2739"/>
        <w:rPr>
          <w:rFonts w:ascii="宋体" w:hAnsi="宋体" w:cs="宋体"/>
          <w:color w:val="auto"/>
        </w:rPr>
      </w:pPr>
      <w:bookmarkStart w:id="34" w:name="_Toc4741"/>
      <w:bookmarkStart w:id="35" w:name="_Toc28941"/>
      <w:r>
        <w:rPr>
          <w:rFonts w:hint="eastAsia" w:ascii="宋体" w:hAnsi="宋体" w:cs="宋体"/>
          <w:color w:val="auto"/>
          <w:spacing w:val="10"/>
          <w:sz w:val="31"/>
          <w:szCs w:val="31"/>
        </w:rPr>
        <w:t>专职安全生产管理人员简历表</w:t>
      </w:r>
      <w:bookmarkEnd w:id="34"/>
      <w:bookmarkEnd w:id="35"/>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28"/>
        <w:gridCol w:w="1359"/>
        <w:gridCol w:w="49"/>
        <w:gridCol w:w="459"/>
        <w:gridCol w:w="1128"/>
        <w:gridCol w:w="45"/>
        <w:gridCol w:w="1437"/>
        <w:gridCol w:w="23"/>
      </w:tblGrid>
      <w:tr w14:paraId="669D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99" w:type="dxa"/>
            <w:shd w:val="clear" w:color="auto" w:fill="auto"/>
          </w:tcPr>
          <w:p w14:paraId="00A1995F">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496" w:type="dxa"/>
            <w:gridSpan w:val="4"/>
            <w:shd w:val="clear" w:color="auto" w:fill="auto"/>
          </w:tcPr>
          <w:p w14:paraId="2ACF0AF7">
            <w:pPr>
              <w:spacing w:line="360" w:lineRule="auto"/>
              <w:rPr>
                <w:rFonts w:ascii="宋体" w:hAnsi="宋体" w:cs="宋体"/>
                <w:color w:val="auto"/>
                <w:sz w:val="24"/>
              </w:rPr>
            </w:pPr>
          </w:p>
        </w:tc>
        <w:tc>
          <w:tcPr>
            <w:tcW w:w="1428" w:type="dxa"/>
            <w:shd w:val="clear" w:color="auto" w:fill="auto"/>
          </w:tcPr>
          <w:p w14:paraId="7C10655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867" w:type="dxa"/>
            <w:gridSpan w:val="3"/>
            <w:shd w:val="clear" w:color="auto" w:fill="auto"/>
          </w:tcPr>
          <w:p w14:paraId="000B2C13">
            <w:pPr>
              <w:spacing w:line="360" w:lineRule="auto"/>
              <w:rPr>
                <w:rFonts w:ascii="宋体" w:hAnsi="宋体" w:cs="宋体"/>
                <w:color w:val="auto"/>
                <w:sz w:val="24"/>
              </w:rPr>
            </w:pPr>
          </w:p>
        </w:tc>
        <w:tc>
          <w:tcPr>
            <w:tcW w:w="1128" w:type="dxa"/>
            <w:shd w:val="clear" w:color="auto" w:fill="auto"/>
          </w:tcPr>
          <w:p w14:paraId="4E21D1A5">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5" w:type="dxa"/>
            <w:gridSpan w:val="3"/>
            <w:shd w:val="clear" w:color="auto" w:fill="auto"/>
          </w:tcPr>
          <w:p w14:paraId="41CE7587">
            <w:pPr>
              <w:spacing w:line="360" w:lineRule="auto"/>
              <w:rPr>
                <w:rFonts w:ascii="宋体" w:hAnsi="宋体" w:cs="宋体"/>
                <w:color w:val="auto"/>
                <w:sz w:val="24"/>
              </w:rPr>
            </w:pPr>
          </w:p>
        </w:tc>
      </w:tr>
      <w:tr w14:paraId="0C9F8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199" w:type="dxa"/>
            <w:shd w:val="clear" w:color="auto" w:fill="auto"/>
          </w:tcPr>
          <w:p w14:paraId="3D289AD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496" w:type="dxa"/>
            <w:gridSpan w:val="4"/>
            <w:shd w:val="clear" w:color="auto" w:fill="auto"/>
          </w:tcPr>
          <w:p w14:paraId="5DC73FB7">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专职安全生产管理人员</w:t>
            </w:r>
          </w:p>
        </w:tc>
        <w:tc>
          <w:tcPr>
            <w:tcW w:w="1428" w:type="dxa"/>
            <w:shd w:val="clear" w:color="auto" w:fill="auto"/>
          </w:tcPr>
          <w:p w14:paraId="22ADBA6C">
            <w:pPr>
              <w:kinsoku w:val="0"/>
              <w:autoSpaceDE w:val="0"/>
              <w:autoSpaceDN w:val="0"/>
              <w:adjustRightInd w:val="0"/>
              <w:snapToGrid w:val="0"/>
              <w:spacing w:line="360" w:lineRule="auto"/>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867" w:type="dxa"/>
            <w:gridSpan w:val="3"/>
            <w:shd w:val="clear" w:color="auto" w:fill="auto"/>
          </w:tcPr>
          <w:p w14:paraId="483FA6B4">
            <w:pPr>
              <w:spacing w:line="360" w:lineRule="auto"/>
              <w:rPr>
                <w:rFonts w:ascii="宋体" w:hAnsi="宋体" w:cs="宋体"/>
                <w:color w:val="auto"/>
                <w:sz w:val="24"/>
              </w:rPr>
            </w:pPr>
          </w:p>
        </w:tc>
        <w:tc>
          <w:tcPr>
            <w:tcW w:w="1128" w:type="dxa"/>
            <w:shd w:val="clear" w:color="auto" w:fill="auto"/>
          </w:tcPr>
          <w:p w14:paraId="506A4B90">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5" w:type="dxa"/>
            <w:gridSpan w:val="3"/>
            <w:shd w:val="clear" w:color="auto" w:fill="auto"/>
          </w:tcPr>
          <w:p w14:paraId="64E3D189">
            <w:pPr>
              <w:spacing w:line="360" w:lineRule="auto"/>
              <w:rPr>
                <w:rFonts w:ascii="宋体" w:hAnsi="宋体" w:cs="宋体"/>
                <w:color w:val="auto"/>
                <w:sz w:val="24"/>
              </w:rPr>
            </w:pPr>
          </w:p>
        </w:tc>
      </w:tr>
      <w:tr w14:paraId="4D93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jc w:val="center"/>
        </w:trPr>
        <w:tc>
          <w:tcPr>
            <w:tcW w:w="1199" w:type="dxa"/>
            <w:shd w:val="clear" w:color="auto" w:fill="auto"/>
          </w:tcPr>
          <w:p w14:paraId="29242E6F">
            <w:pPr>
              <w:kinsoku w:val="0"/>
              <w:autoSpaceDE w:val="0"/>
              <w:autoSpaceDN w:val="0"/>
              <w:adjustRightInd w:val="0"/>
              <w:snapToGrid w:val="0"/>
              <w:spacing w:line="360" w:lineRule="auto"/>
              <w:ind w:right="18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496" w:type="dxa"/>
            <w:gridSpan w:val="4"/>
            <w:shd w:val="clear" w:color="auto" w:fill="auto"/>
          </w:tcPr>
          <w:p w14:paraId="2DFB1A1B">
            <w:pPr>
              <w:spacing w:line="360" w:lineRule="auto"/>
              <w:rPr>
                <w:rFonts w:ascii="宋体" w:hAnsi="宋体" w:cs="宋体"/>
                <w:color w:val="auto"/>
                <w:sz w:val="24"/>
              </w:rPr>
            </w:pPr>
          </w:p>
        </w:tc>
        <w:tc>
          <w:tcPr>
            <w:tcW w:w="1428" w:type="dxa"/>
            <w:shd w:val="clear" w:color="auto" w:fill="auto"/>
          </w:tcPr>
          <w:p w14:paraId="4E70AA3A">
            <w:pPr>
              <w:kinsoku w:val="0"/>
              <w:autoSpaceDE w:val="0"/>
              <w:autoSpaceDN w:val="0"/>
              <w:adjustRightInd w:val="0"/>
              <w:snapToGrid w:val="0"/>
              <w:spacing w:line="360" w:lineRule="auto"/>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867" w:type="dxa"/>
            <w:gridSpan w:val="3"/>
            <w:shd w:val="clear" w:color="auto" w:fill="auto"/>
          </w:tcPr>
          <w:p w14:paraId="4C28EB8D">
            <w:pPr>
              <w:spacing w:line="360" w:lineRule="auto"/>
              <w:rPr>
                <w:rFonts w:ascii="宋体" w:hAnsi="宋体" w:cs="宋体"/>
                <w:color w:val="auto"/>
                <w:sz w:val="24"/>
              </w:rPr>
            </w:pPr>
          </w:p>
        </w:tc>
        <w:tc>
          <w:tcPr>
            <w:tcW w:w="1128" w:type="dxa"/>
            <w:shd w:val="clear" w:color="auto" w:fill="auto"/>
          </w:tcPr>
          <w:p w14:paraId="5196FE7D">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5" w:type="dxa"/>
            <w:gridSpan w:val="3"/>
            <w:shd w:val="clear" w:color="auto" w:fill="auto"/>
          </w:tcPr>
          <w:p w14:paraId="69FE466C">
            <w:pPr>
              <w:spacing w:line="360" w:lineRule="auto"/>
              <w:rPr>
                <w:rFonts w:ascii="宋体" w:hAnsi="宋体" w:cs="宋体"/>
                <w:color w:val="auto"/>
                <w:sz w:val="24"/>
              </w:rPr>
            </w:pPr>
          </w:p>
        </w:tc>
      </w:tr>
      <w:tr w14:paraId="59C7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199" w:type="dxa"/>
            <w:shd w:val="clear" w:color="auto" w:fill="auto"/>
          </w:tcPr>
          <w:p w14:paraId="63F4BC2A">
            <w:pPr>
              <w:kinsoku w:val="0"/>
              <w:autoSpaceDE w:val="0"/>
              <w:autoSpaceDN w:val="0"/>
              <w:adjustRightInd w:val="0"/>
              <w:snapToGrid w:val="0"/>
              <w:spacing w:line="360" w:lineRule="auto"/>
              <w:ind w:right="15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年限</w:t>
            </w:r>
          </w:p>
        </w:tc>
        <w:tc>
          <w:tcPr>
            <w:tcW w:w="2496" w:type="dxa"/>
            <w:gridSpan w:val="4"/>
            <w:shd w:val="clear" w:color="auto" w:fill="auto"/>
          </w:tcPr>
          <w:p w14:paraId="2A238A45">
            <w:pPr>
              <w:spacing w:line="360" w:lineRule="auto"/>
              <w:rPr>
                <w:rFonts w:ascii="宋体" w:hAnsi="宋体" w:cs="宋体"/>
                <w:color w:val="auto"/>
                <w:sz w:val="24"/>
              </w:rPr>
            </w:pPr>
          </w:p>
        </w:tc>
        <w:tc>
          <w:tcPr>
            <w:tcW w:w="1428" w:type="dxa"/>
            <w:shd w:val="clear" w:color="auto" w:fill="auto"/>
          </w:tcPr>
          <w:p w14:paraId="082C5210">
            <w:pPr>
              <w:kinsoku w:val="0"/>
              <w:autoSpaceDE w:val="0"/>
              <w:autoSpaceDN w:val="0"/>
              <w:adjustRightInd w:val="0"/>
              <w:snapToGrid w:val="0"/>
              <w:spacing w:line="360" w:lineRule="auto"/>
              <w:ind w:right="17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w:t>
            </w:r>
            <w:r>
              <w:rPr>
                <w:rFonts w:hint="eastAsia" w:ascii="宋体" w:hAnsi="宋体" w:cs="宋体"/>
                <w:snapToGrid w:val="0"/>
                <w:color w:val="auto"/>
                <w:kern w:val="0"/>
                <w:sz w:val="24"/>
                <w:lang w:eastAsia="en-US"/>
              </w:rPr>
              <w:t>码</w:t>
            </w:r>
          </w:p>
        </w:tc>
        <w:tc>
          <w:tcPr>
            <w:tcW w:w="4500" w:type="dxa"/>
            <w:gridSpan w:val="7"/>
            <w:shd w:val="clear" w:color="auto" w:fill="auto"/>
          </w:tcPr>
          <w:p w14:paraId="55B65A10">
            <w:pPr>
              <w:spacing w:line="360" w:lineRule="auto"/>
              <w:rPr>
                <w:rFonts w:ascii="宋体" w:hAnsi="宋体" w:cs="宋体"/>
                <w:color w:val="auto"/>
                <w:sz w:val="24"/>
              </w:rPr>
            </w:pPr>
          </w:p>
        </w:tc>
      </w:tr>
      <w:tr w14:paraId="1696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199" w:type="dxa"/>
            <w:shd w:val="clear" w:color="auto" w:fill="auto"/>
          </w:tcPr>
          <w:p w14:paraId="57F9942F">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2" w:type="dxa"/>
            <w:gridSpan w:val="2"/>
            <w:shd w:val="clear" w:color="auto" w:fill="auto"/>
          </w:tcPr>
          <w:p w14:paraId="17DBF6D6">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4" w:type="dxa"/>
            <w:gridSpan w:val="2"/>
            <w:shd w:val="clear" w:color="auto" w:fill="auto"/>
          </w:tcPr>
          <w:p w14:paraId="2F48C74C">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28" w:type="dxa"/>
            <w:shd w:val="clear" w:color="auto" w:fill="auto"/>
          </w:tcPr>
          <w:p w14:paraId="4029101C">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08" w:type="dxa"/>
            <w:gridSpan w:val="2"/>
            <w:shd w:val="clear" w:color="auto" w:fill="auto"/>
          </w:tcPr>
          <w:p w14:paraId="0167D15F">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2ACB2C89">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60" w:type="dxa"/>
            <w:gridSpan w:val="2"/>
            <w:shd w:val="clear" w:color="auto" w:fill="auto"/>
          </w:tcPr>
          <w:p w14:paraId="5A642BEB">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0FE9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99" w:type="dxa"/>
            <w:shd w:val="clear" w:color="auto" w:fill="auto"/>
          </w:tcPr>
          <w:p w14:paraId="78816707">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r>
              <w:rPr>
                <w:rFonts w:hint="eastAsia" w:ascii="宋体" w:hAnsi="宋体" w:cs="宋体"/>
                <w:snapToGrid w:val="0"/>
                <w:color w:val="auto"/>
                <w:spacing w:val="-2"/>
                <w:kern w:val="0"/>
                <w:sz w:val="24"/>
              </w:rPr>
              <w:t>考核合格证书</w:t>
            </w:r>
          </w:p>
        </w:tc>
        <w:tc>
          <w:tcPr>
            <w:tcW w:w="1272" w:type="dxa"/>
            <w:gridSpan w:val="2"/>
            <w:shd w:val="clear" w:color="auto" w:fill="auto"/>
          </w:tcPr>
          <w:p w14:paraId="3A0A0981">
            <w:pPr>
              <w:spacing w:line="360" w:lineRule="auto"/>
              <w:rPr>
                <w:rFonts w:ascii="宋体" w:hAnsi="宋体" w:cs="宋体"/>
                <w:color w:val="auto"/>
                <w:sz w:val="24"/>
              </w:rPr>
            </w:pPr>
          </w:p>
        </w:tc>
        <w:tc>
          <w:tcPr>
            <w:tcW w:w="1224" w:type="dxa"/>
            <w:gridSpan w:val="2"/>
            <w:shd w:val="clear" w:color="auto" w:fill="auto"/>
          </w:tcPr>
          <w:p w14:paraId="5EFEED18">
            <w:pPr>
              <w:spacing w:line="360" w:lineRule="auto"/>
              <w:rPr>
                <w:rFonts w:ascii="宋体" w:hAnsi="宋体" w:cs="宋体"/>
                <w:color w:val="auto"/>
                <w:sz w:val="24"/>
              </w:rPr>
            </w:pPr>
          </w:p>
          <w:p w14:paraId="41E327C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C</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4"/>
                <w:kern w:val="0"/>
                <w:sz w:val="24"/>
                <w:lang w:eastAsia="en-US"/>
              </w:rPr>
              <w:t>类</w:t>
            </w:r>
          </w:p>
        </w:tc>
        <w:tc>
          <w:tcPr>
            <w:tcW w:w="1428" w:type="dxa"/>
            <w:shd w:val="clear" w:color="auto" w:fill="auto"/>
          </w:tcPr>
          <w:p w14:paraId="23916526">
            <w:pPr>
              <w:spacing w:line="360" w:lineRule="auto"/>
              <w:rPr>
                <w:rFonts w:ascii="宋体" w:hAnsi="宋体" w:cs="宋体"/>
                <w:color w:val="auto"/>
                <w:sz w:val="24"/>
              </w:rPr>
            </w:pPr>
          </w:p>
        </w:tc>
        <w:tc>
          <w:tcPr>
            <w:tcW w:w="1408" w:type="dxa"/>
            <w:gridSpan w:val="2"/>
            <w:shd w:val="clear" w:color="auto" w:fill="auto"/>
          </w:tcPr>
          <w:p w14:paraId="4F75E2A2">
            <w:pPr>
              <w:spacing w:line="360" w:lineRule="auto"/>
              <w:rPr>
                <w:rFonts w:ascii="宋体" w:hAnsi="宋体" w:cs="宋体"/>
                <w:color w:val="auto"/>
                <w:sz w:val="24"/>
              </w:rPr>
            </w:pPr>
          </w:p>
        </w:tc>
        <w:tc>
          <w:tcPr>
            <w:tcW w:w="1632" w:type="dxa"/>
            <w:gridSpan w:val="3"/>
            <w:shd w:val="clear" w:color="auto" w:fill="auto"/>
          </w:tcPr>
          <w:p w14:paraId="4AD6E35C">
            <w:pPr>
              <w:spacing w:line="360" w:lineRule="auto"/>
              <w:rPr>
                <w:rFonts w:ascii="宋体" w:hAnsi="宋体" w:cs="宋体"/>
                <w:color w:val="auto"/>
                <w:sz w:val="24"/>
              </w:rPr>
            </w:pPr>
          </w:p>
        </w:tc>
        <w:tc>
          <w:tcPr>
            <w:tcW w:w="1460" w:type="dxa"/>
            <w:gridSpan w:val="2"/>
            <w:shd w:val="clear" w:color="auto" w:fill="auto"/>
          </w:tcPr>
          <w:p w14:paraId="7FC7B8BE">
            <w:pPr>
              <w:spacing w:line="360" w:lineRule="auto"/>
              <w:rPr>
                <w:rFonts w:ascii="宋体" w:hAnsi="宋体" w:cs="宋体"/>
                <w:color w:val="auto"/>
                <w:sz w:val="24"/>
              </w:rPr>
            </w:pPr>
          </w:p>
        </w:tc>
      </w:tr>
      <w:tr w14:paraId="27D9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99" w:type="dxa"/>
            <w:shd w:val="clear" w:color="auto" w:fill="auto"/>
          </w:tcPr>
          <w:p w14:paraId="5C15F02A">
            <w:pPr>
              <w:spacing w:line="360" w:lineRule="auto"/>
              <w:rPr>
                <w:rFonts w:ascii="宋体" w:hAnsi="宋体" w:cs="宋体"/>
                <w:color w:val="auto"/>
                <w:sz w:val="24"/>
              </w:rPr>
            </w:pPr>
          </w:p>
        </w:tc>
        <w:tc>
          <w:tcPr>
            <w:tcW w:w="1272" w:type="dxa"/>
            <w:gridSpan w:val="2"/>
            <w:shd w:val="clear" w:color="auto" w:fill="auto"/>
          </w:tcPr>
          <w:p w14:paraId="66383B74">
            <w:pPr>
              <w:spacing w:line="360" w:lineRule="auto"/>
              <w:rPr>
                <w:rFonts w:ascii="宋体" w:hAnsi="宋体" w:cs="宋体"/>
                <w:color w:val="auto"/>
                <w:sz w:val="24"/>
              </w:rPr>
            </w:pPr>
          </w:p>
        </w:tc>
        <w:tc>
          <w:tcPr>
            <w:tcW w:w="1224" w:type="dxa"/>
            <w:gridSpan w:val="2"/>
            <w:shd w:val="clear" w:color="auto" w:fill="auto"/>
          </w:tcPr>
          <w:p w14:paraId="044B0C46">
            <w:pPr>
              <w:spacing w:line="360" w:lineRule="auto"/>
              <w:rPr>
                <w:rFonts w:ascii="宋体" w:hAnsi="宋体" w:cs="宋体"/>
                <w:color w:val="auto"/>
                <w:sz w:val="24"/>
              </w:rPr>
            </w:pPr>
          </w:p>
        </w:tc>
        <w:tc>
          <w:tcPr>
            <w:tcW w:w="1428" w:type="dxa"/>
            <w:shd w:val="clear" w:color="auto" w:fill="auto"/>
          </w:tcPr>
          <w:p w14:paraId="0A762CD7">
            <w:pPr>
              <w:spacing w:line="360" w:lineRule="auto"/>
              <w:rPr>
                <w:rFonts w:ascii="宋体" w:hAnsi="宋体" w:cs="宋体"/>
                <w:color w:val="auto"/>
                <w:sz w:val="24"/>
              </w:rPr>
            </w:pPr>
          </w:p>
        </w:tc>
        <w:tc>
          <w:tcPr>
            <w:tcW w:w="1408" w:type="dxa"/>
            <w:gridSpan w:val="2"/>
            <w:shd w:val="clear" w:color="auto" w:fill="auto"/>
          </w:tcPr>
          <w:p w14:paraId="25B01669">
            <w:pPr>
              <w:spacing w:line="360" w:lineRule="auto"/>
              <w:rPr>
                <w:rFonts w:ascii="宋体" w:hAnsi="宋体" w:cs="宋体"/>
                <w:color w:val="auto"/>
                <w:sz w:val="24"/>
              </w:rPr>
            </w:pPr>
          </w:p>
        </w:tc>
        <w:tc>
          <w:tcPr>
            <w:tcW w:w="1632" w:type="dxa"/>
            <w:gridSpan w:val="3"/>
            <w:shd w:val="clear" w:color="auto" w:fill="auto"/>
          </w:tcPr>
          <w:p w14:paraId="6F336003">
            <w:pPr>
              <w:spacing w:line="360" w:lineRule="auto"/>
              <w:rPr>
                <w:rFonts w:ascii="宋体" w:hAnsi="宋体" w:cs="宋体"/>
                <w:color w:val="auto"/>
                <w:sz w:val="24"/>
              </w:rPr>
            </w:pPr>
          </w:p>
        </w:tc>
        <w:tc>
          <w:tcPr>
            <w:tcW w:w="1460" w:type="dxa"/>
            <w:gridSpan w:val="2"/>
            <w:shd w:val="clear" w:color="auto" w:fill="auto"/>
          </w:tcPr>
          <w:p w14:paraId="48E9B9FE">
            <w:pPr>
              <w:spacing w:line="360" w:lineRule="auto"/>
              <w:rPr>
                <w:rFonts w:ascii="宋体" w:hAnsi="宋体" w:cs="宋体"/>
                <w:color w:val="auto"/>
                <w:sz w:val="24"/>
              </w:rPr>
            </w:pPr>
          </w:p>
        </w:tc>
      </w:tr>
      <w:tr w14:paraId="6861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9623" w:type="dxa"/>
            <w:gridSpan w:val="13"/>
            <w:shd w:val="clear" w:color="auto" w:fill="auto"/>
          </w:tcPr>
          <w:p w14:paraId="22852C88">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7CD1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628" w:type="dxa"/>
            <w:gridSpan w:val="2"/>
            <w:shd w:val="clear" w:color="auto" w:fill="auto"/>
          </w:tcPr>
          <w:p w14:paraId="41B2DEC9">
            <w:pPr>
              <w:spacing w:line="360" w:lineRule="auto"/>
              <w:rPr>
                <w:rFonts w:ascii="宋体" w:hAnsi="宋体" w:cs="宋体"/>
                <w:color w:val="auto"/>
                <w:sz w:val="24"/>
              </w:rPr>
            </w:pPr>
          </w:p>
        </w:tc>
        <w:tc>
          <w:tcPr>
            <w:tcW w:w="1547" w:type="dxa"/>
            <w:gridSpan w:val="2"/>
            <w:shd w:val="clear" w:color="auto" w:fill="auto"/>
          </w:tcPr>
          <w:p w14:paraId="2F3CE91C">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48" w:type="dxa"/>
            <w:gridSpan w:val="2"/>
            <w:shd w:val="clear" w:color="auto" w:fill="auto"/>
          </w:tcPr>
          <w:p w14:paraId="660A0144">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59" w:type="dxa"/>
            <w:shd w:val="clear" w:color="auto" w:fill="auto"/>
          </w:tcPr>
          <w:p w14:paraId="4935DC83">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6" w:type="dxa"/>
            <w:gridSpan w:val="3"/>
            <w:shd w:val="clear" w:color="auto" w:fill="auto"/>
          </w:tcPr>
          <w:p w14:paraId="46881933">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307FFC0A">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3" w:type="dxa"/>
            <w:tcBorders>
              <w:top w:val="single" w:color="FFFFFF" w:sz="2" w:space="0"/>
              <w:bottom w:val="nil"/>
              <w:right w:val="nil"/>
            </w:tcBorders>
            <w:shd w:val="clear" w:color="auto" w:fill="auto"/>
          </w:tcPr>
          <w:p w14:paraId="1AA41BF6">
            <w:pPr>
              <w:spacing w:line="360" w:lineRule="auto"/>
              <w:rPr>
                <w:rFonts w:ascii="宋体" w:hAnsi="宋体" w:cs="宋体"/>
                <w:color w:val="auto"/>
                <w:sz w:val="24"/>
              </w:rPr>
            </w:pPr>
          </w:p>
        </w:tc>
      </w:tr>
      <w:tr w14:paraId="3128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28" w:type="dxa"/>
            <w:gridSpan w:val="2"/>
            <w:shd w:val="clear" w:color="auto" w:fill="auto"/>
          </w:tcPr>
          <w:p w14:paraId="27E08C1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7" w:type="dxa"/>
            <w:gridSpan w:val="2"/>
            <w:shd w:val="clear" w:color="auto" w:fill="auto"/>
          </w:tcPr>
          <w:p w14:paraId="75936C4F">
            <w:pPr>
              <w:spacing w:line="360" w:lineRule="auto"/>
              <w:rPr>
                <w:rFonts w:ascii="宋体" w:hAnsi="宋体" w:cs="宋体"/>
                <w:color w:val="auto"/>
                <w:sz w:val="24"/>
              </w:rPr>
            </w:pPr>
          </w:p>
        </w:tc>
        <w:tc>
          <w:tcPr>
            <w:tcW w:w="1948" w:type="dxa"/>
            <w:gridSpan w:val="2"/>
            <w:shd w:val="clear" w:color="auto" w:fill="auto"/>
          </w:tcPr>
          <w:p w14:paraId="7B23C77E">
            <w:pPr>
              <w:spacing w:line="360" w:lineRule="auto"/>
              <w:rPr>
                <w:rFonts w:ascii="宋体" w:hAnsi="宋体" w:cs="宋体"/>
                <w:color w:val="auto"/>
                <w:sz w:val="24"/>
              </w:rPr>
            </w:pPr>
          </w:p>
        </w:tc>
        <w:tc>
          <w:tcPr>
            <w:tcW w:w="1359" w:type="dxa"/>
            <w:shd w:val="clear" w:color="auto" w:fill="auto"/>
          </w:tcPr>
          <w:p w14:paraId="00A49398">
            <w:pPr>
              <w:spacing w:line="360" w:lineRule="auto"/>
              <w:rPr>
                <w:rFonts w:ascii="宋体" w:hAnsi="宋体" w:cs="宋体"/>
                <w:color w:val="auto"/>
                <w:sz w:val="24"/>
              </w:rPr>
            </w:pPr>
          </w:p>
        </w:tc>
        <w:tc>
          <w:tcPr>
            <w:tcW w:w="1636" w:type="dxa"/>
            <w:gridSpan w:val="3"/>
            <w:shd w:val="clear" w:color="auto" w:fill="auto"/>
          </w:tcPr>
          <w:p w14:paraId="1D9B86AB">
            <w:pPr>
              <w:spacing w:line="360" w:lineRule="auto"/>
              <w:rPr>
                <w:rFonts w:ascii="宋体" w:hAnsi="宋体" w:cs="宋体"/>
                <w:color w:val="auto"/>
                <w:sz w:val="24"/>
              </w:rPr>
            </w:pPr>
          </w:p>
        </w:tc>
        <w:tc>
          <w:tcPr>
            <w:tcW w:w="1482" w:type="dxa"/>
            <w:gridSpan w:val="2"/>
            <w:shd w:val="clear" w:color="auto" w:fill="auto"/>
          </w:tcPr>
          <w:p w14:paraId="1F23E821">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13ED8877">
            <w:pPr>
              <w:spacing w:line="360" w:lineRule="auto"/>
              <w:rPr>
                <w:rFonts w:ascii="宋体" w:hAnsi="宋体" w:cs="宋体"/>
                <w:color w:val="auto"/>
                <w:sz w:val="24"/>
              </w:rPr>
            </w:pPr>
          </w:p>
        </w:tc>
      </w:tr>
      <w:tr w14:paraId="763B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8" w:type="dxa"/>
            <w:gridSpan w:val="2"/>
            <w:shd w:val="clear" w:color="auto" w:fill="auto"/>
          </w:tcPr>
          <w:p w14:paraId="7757FC8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7" w:type="dxa"/>
            <w:gridSpan w:val="2"/>
            <w:shd w:val="clear" w:color="auto" w:fill="auto"/>
          </w:tcPr>
          <w:p w14:paraId="30DDD581">
            <w:pPr>
              <w:spacing w:line="360" w:lineRule="auto"/>
              <w:rPr>
                <w:rFonts w:ascii="宋体" w:hAnsi="宋体" w:cs="宋体"/>
                <w:color w:val="auto"/>
                <w:sz w:val="24"/>
              </w:rPr>
            </w:pPr>
          </w:p>
        </w:tc>
        <w:tc>
          <w:tcPr>
            <w:tcW w:w="1948" w:type="dxa"/>
            <w:gridSpan w:val="2"/>
            <w:shd w:val="clear" w:color="auto" w:fill="auto"/>
          </w:tcPr>
          <w:p w14:paraId="5276F493">
            <w:pPr>
              <w:spacing w:line="360" w:lineRule="auto"/>
              <w:rPr>
                <w:rFonts w:ascii="宋体" w:hAnsi="宋体" w:cs="宋体"/>
                <w:color w:val="auto"/>
                <w:sz w:val="24"/>
              </w:rPr>
            </w:pPr>
          </w:p>
        </w:tc>
        <w:tc>
          <w:tcPr>
            <w:tcW w:w="1359" w:type="dxa"/>
            <w:shd w:val="clear" w:color="auto" w:fill="auto"/>
          </w:tcPr>
          <w:p w14:paraId="3036750E">
            <w:pPr>
              <w:spacing w:line="360" w:lineRule="auto"/>
              <w:rPr>
                <w:rFonts w:ascii="宋体" w:hAnsi="宋体" w:cs="宋体"/>
                <w:color w:val="auto"/>
                <w:sz w:val="24"/>
              </w:rPr>
            </w:pPr>
          </w:p>
        </w:tc>
        <w:tc>
          <w:tcPr>
            <w:tcW w:w="1636" w:type="dxa"/>
            <w:gridSpan w:val="3"/>
            <w:shd w:val="clear" w:color="auto" w:fill="auto"/>
          </w:tcPr>
          <w:p w14:paraId="73A9D960">
            <w:pPr>
              <w:spacing w:line="360" w:lineRule="auto"/>
              <w:rPr>
                <w:rFonts w:ascii="宋体" w:hAnsi="宋体" w:cs="宋体"/>
                <w:color w:val="auto"/>
                <w:sz w:val="24"/>
              </w:rPr>
            </w:pPr>
          </w:p>
        </w:tc>
        <w:tc>
          <w:tcPr>
            <w:tcW w:w="1482" w:type="dxa"/>
            <w:gridSpan w:val="2"/>
            <w:shd w:val="clear" w:color="auto" w:fill="auto"/>
          </w:tcPr>
          <w:p w14:paraId="69C69218">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5E96F6B7">
            <w:pPr>
              <w:spacing w:line="360" w:lineRule="auto"/>
              <w:rPr>
                <w:rFonts w:ascii="宋体" w:hAnsi="宋体" w:cs="宋体"/>
                <w:color w:val="auto"/>
                <w:sz w:val="24"/>
              </w:rPr>
            </w:pPr>
          </w:p>
        </w:tc>
      </w:tr>
      <w:tr w14:paraId="5D569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8" w:type="dxa"/>
            <w:gridSpan w:val="2"/>
            <w:shd w:val="clear" w:color="auto" w:fill="auto"/>
          </w:tcPr>
          <w:p w14:paraId="05CBB7A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7" w:type="dxa"/>
            <w:gridSpan w:val="2"/>
            <w:shd w:val="clear" w:color="auto" w:fill="auto"/>
          </w:tcPr>
          <w:p w14:paraId="6948F749">
            <w:pPr>
              <w:spacing w:line="360" w:lineRule="auto"/>
              <w:rPr>
                <w:rFonts w:ascii="宋体" w:hAnsi="宋体" w:cs="宋体"/>
                <w:color w:val="auto"/>
                <w:sz w:val="24"/>
              </w:rPr>
            </w:pPr>
          </w:p>
        </w:tc>
        <w:tc>
          <w:tcPr>
            <w:tcW w:w="1948" w:type="dxa"/>
            <w:gridSpan w:val="2"/>
            <w:shd w:val="clear" w:color="auto" w:fill="auto"/>
          </w:tcPr>
          <w:p w14:paraId="79B33161">
            <w:pPr>
              <w:spacing w:line="360" w:lineRule="auto"/>
              <w:rPr>
                <w:rFonts w:ascii="宋体" w:hAnsi="宋体" w:cs="宋体"/>
                <w:color w:val="auto"/>
                <w:sz w:val="24"/>
              </w:rPr>
            </w:pPr>
          </w:p>
        </w:tc>
        <w:tc>
          <w:tcPr>
            <w:tcW w:w="1359" w:type="dxa"/>
            <w:shd w:val="clear" w:color="auto" w:fill="auto"/>
          </w:tcPr>
          <w:p w14:paraId="13092E07">
            <w:pPr>
              <w:spacing w:line="360" w:lineRule="auto"/>
              <w:rPr>
                <w:rFonts w:ascii="宋体" w:hAnsi="宋体" w:cs="宋体"/>
                <w:color w:val="auto"/>
                <w:sz w:val="24"/>
              </w:rPr>
            </w:pPr>
          </w:p>
        </w:tc>
        <w:tc>
          <w:tcPr>
            <w:tcW w:w="1636" w:type="dxa"/>
            <w:gridSpan w:val="3"/>
            <w:shd w:val="clear" w:color="auto" w:fill="auto"/>
          </w:tcPr>
          <w:p w14:paraId="37359994">
            <w:pPr>
              <w:spacing w:line="360" w:lineRule="auto"/>
              <w:rPr>
                <w:rFonts w:ascii="宋体" w:hAnsi="宋体" w:cs="宋体"/>
                <w:color w:val="auto"/>
                <w:sz w:val="24"/>
              </w:rPr>
            </w:pPr>
          </w:p>
        </w:tc>
        <w:tc>
          <w:tcPr>
            <w:tcW w:w="1482" w:type="dxa"/>
            <w:gridSpan w:val="2"/>
            <w:shd w:val="clear" w:color="auto" w:fill="auto"/>
          </w:tcPr>
          <w:p w14:paraId="5911A72E">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7CAF13E7">
            <w:pPr>
              <w:spacing w:line="360" w:lineRule="auto"/>
              <w:rPr>
                <w:rFonts w:ascii="宋体" w:hAnsi="宋体" w:cs="宋体"/>
                <w:color w:val="auto"/>
                <w:sz w:val="24"/>
              </w:rPr>
            </w:pPr>
          </w:p>
        </w:tc>
      </w:tr>
      <w:tr w14:paraId="7464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8" w:type="dxa"/>
            <w:gridSpan w:val="2"/>
            <w:shd w:val="clear" w:color="auto" w:fill="auto"/>
          </w:tcPr>
          <w:p w14:paraId="7820D07D">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7" w:type="dxa"/>
            <w:gridSpan w:val="2"/>
            <w:shd w:val="clear" w:color="auto" w:fill="auto"/>
          </w:tcPr>
          <w:p w14:paraId="212A29FA">
            <w:pPr>
              <w:spacing w:line="360" w:lineRule="auto"/>
              <w:rPr>
                <w:rFonts w:ascii="宋体" w:hAnsi="宋体" w:cs="宋体"/>
                <w:color w:val="auto"/>
                <w:sz w:val="24"/>
              </w:rPr>
            </w:pPr>
          </w:p>
        </w:tc>
        <w:tc>
          <w:tcPr>
            <w:tcW w:w="1948" w:type="dxa"/>
            <w:gridSpan w:val="2"/>
            <w:shd w:val="clear" w:color="auto" w:fill="auto"/>
          </w:tcPr>
          <w:p w14:paraId="3EB01EF5">
            <w:pPr>
              <w:spacing w:line="360" w:lineRule="auto"/>
              <w:rPr>
                <w:rFonts w:ascii="宋体" w:hAnsi="宋体" w:cs="宋体"/>
                <w:color w:val="auto"/>
                <w:sz w:val="24"/>
              </w:rPr>
            </w:pPr>
          </w:p>
        </w:tc>
        <w:tc>
          <w:tcPr>
            <w:tcW w:w="1359" w:type="dxa"/>
            <w:shd w:val="clear" w:color="auto" w:fill="auto"/>
          </w:tcPr>
          <w:p w14:paraId="19DCDEF1">
            <w:pPr>
              <w:spacing w:line="360" w:lineRule="auto"/>
              <w:rPr>
                <w:rFonts w:ascii="宋体" w:hAnsi="宋体" w:cs="宋体"/>
                <w:color w:val="auto"/>
                <w:sz w:val="24"/>
              </w:rPr>
            </w:pPr>
          </w:p>
        </w:tc>
        <w:tc>
          <w:tcPr>
            <w:tcW w:w="1636" w:type="dxa"/>
            <w:gridSpan w:val="3"/>
            <w:shd w:val="clear" w:color="auto" w:fill="auto"/>
          </w:tcPr>
          <w:p w14:paraId="6F793AE5">
            <w:pPr>
              <w:spacing w:line="360" w:lineRule="auto"/>
              <w:rPr>
                <w:rFonts w:ascii="宋体" w:hAnsi="宋体" w:cs="宋体"/>
                <w:color w:val="auto"/>
                <w:sz w:val="24"/>
              </w:rPr>
            </w:pPr>
          </w:p>
        </w:tc>
        <w:tc>
          <w:tcPr>
            <w:tcW w:w="1482" w:type="dxa"/>
            <w:gridSpan w:val="2"/>
            <w:shd w:val="clear" w:color="auto" w:fill="auto"/>
          </w:tcPr>
          <w:p w14:paraId="18A7DA4F">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6709A467">
            <w:pPr>
              <w:spacing w:line="360" w:lineRule="auto"/>
              <w:rPr>
                <w:rFonts w:ascii="宋体" w:hAnsi="宋体" w:cs="宋体"/>
                <w:color w:val="auto"/>
                <w:sz w:val="24"/>
              </w:rPr>
            </w:pPr>
          </w:p>
        </w:tc>
      </w:tr>
      <w:tr w14:paraId="173F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8" w:type="dxa"/>
            <w:gridSpan w:val="2"/>
            <w:shd w:val="clear" w:color="auto" w:fill="auto"/>
          </w:tcPr>
          <w:p w14:paraId="0F929241">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7" w:type="dxa"/>
            <w:gridSpan w:val="2"/>
            <w:shd w:val="clear" w:color="auto" w:fill="auto"/>
          </w:tcPr>
          <w:p w14:paraId="7A7578F0">
            <w:pPr>
              <w:spacing w:line="360" w:lineRule="auto"/>
              <w:rPr>
                <w:rFonts w:ascii="宋体" w:hAnsi="宋体" w:cs="宋体"/>
                <w:color w:val="auto"/>
                <w:sz w:val="24"/>
              </w:rPr>
            </w:pPr>
          </w:p>
        </w:tc>
        <w:tc>
          <w:tcPr>
            <w:tcW w:w="1948" w:type="dxa"/>
            <w:gridSpan w:val="2"/>
            <w:shd w:val="clear" w:color="auto" w:fill="auto"/>
          </w:tcPr>
          <w:p w14:paraId="7099C4E2">
            <w:pPr>
              <w:spacing w:line="360" w:lineRule="auto"/>
              <w:rPr>
                <w:rFonts w:ascii="宋体" w:hAnsi="宋体" w:cs="宋体"/>
                <w:color w:val="auto"/>
                <w:sz w:val="24"/>
              </w:rPr>
            </w:pPr>
          </w:p>
        </w:tc>
        <w:tc>
          <w:tcPr>
            <w:tcW w:w="1359" w:type="dxa"/>
            <w:shd w:val="clear" w:color="auto" w:fill="auto"/>
          </w:tcPr>
          <w:p w14:paraId="2BCF1687">
            <w:pPr>
              <w:spacing w:line="360" w:lineRule="auto"/>
              <w:rPr>
                <w:rFonts w:ascii="宋体" w:hAnsi="宋体" w:cs="宋体"/>
                <w:color w:val="auto"/>
                <w:sz w:val="24"/>
              </w:rPr>
            </w:pPr>
          </w:p>
        </w:tc>
        <w:tc>
          <w:tcPr>
            <w:tcW w:w="1636" w:type="dxa"/>
            <w:gridSpan w:val="3"/>
            <w:shd w:val="clear" w:color="auto" w:fill="auto"/>
          </w:tcPr>
          <w:p w14:paraId="402E36A6">
            <w:pPr>
              <w:spacing w:line="360" w:lineRule="auto"/>
              <w:rPr>
                <w:rFonts w:ascii="宋体" w:hAnsi="宋体" w:cs="宋体"/>
                <w:color w:val="auto"/>
                <w:sz w:val="24"/>
              </w:rPr>
            </w:pPr>
          </w:p>
        </w:tc>
        <w:tc>
          <w:tcPr>
            <w:tcW w:w="1482" w:type="dxa"/>
            <w:gridSpan w:val="2"/>
            <w:shd w:val="clear" w:color="auto" w:fill="auto"/>
          </w:tcPr>
          <w:p w14:paraId="193704E0">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73D33CF7">
            <w:pPr>
              <w:spacing w:line="360" w:lineRule="auto"/>
              <w:rPr>
                <w:rFonts w:ascii="宋体" w:hAnsi="宋体" w:cs="宋体"/>
                <w:color w:val="auto"/>
                <w:sz w:val="24"/>
              </w:rPr>
            </w:pPr>
          </w:p>
        </w:tc>
      </w:tr>
      <w:tr w14:paraId="782E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8" w:type="dxa"/>
            <w:gridSpan w:val="2"/>
            <w:shd w:val="clear" w:color="auto" w:fill="auto"/>
          </w:tcPr>
          <w:p w14:paraId="401C8E0B">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7" w:type="dxa"/>
            <w:gridSpan w:val="2"/>
            <w:shd w:val="clear" w:color="auto" w:fill="auto"/>
          </w:tcPr>
          <w:p w14:paraId="5D6F0427">
            <w:pPr>
              <w:spacing w:line="360" w:lineRule="auto"/>
              <w:rPr>
                <w:rFonts w:ascii="宋体" w:hAnsi="宋体" w:cs="宋体"/>
                <w:color w:val="auto"/>
                <w:sz w:val="24"/>
              </w:rPr>
            </w:pPr>
          </w:p>
        </w:tc>
        <w:tc>
          <w:tcPr>
            <w:tcW w:w="1948" w:type="dxa"/>
            <w:gridSpan w:val="2"/>
            <w:shd w:val="clear" w:color="auto" w:fill="auto"/>
          </w:tcPr>
          <w:p w14:paraId="440A0AC5">
            <w:pPr>
              <w:spacing w:line="360" w:lineRule="auto"/>
              <w:rPr>
                <w:rFonts w:ascii="宋体" w:hAnsi="宋体" w:cs="宋体"/>
                <w:color w:val="auto"/>
                <w:sz w:val="24"/>
              </w:rPr>
            </w:pPr>
          </w:p>
        </w:tc>
        <w:tc>
          <w:tcPr>
            <w:tcW w:w="1359" w:type="dxa"/>
            <w:shd w:val="clear" w:color="auto" w:fill="auto"/>
          </w:tcPr>
          <w:p w14:paraId="14E5239E">
            <w:pPr>
              <w:spacing w:line="360" w:lineRule="auto"/>
              <w:rPr>
                <w:rFonts w:ascii="宋体" w:hAnsi="宋体" w:cs="宋体"/>
                <w:color w:val="auto"/>
                <w:sz w:val="24"/>
              </w:rPr>
            </w:pPr>
          </w:p>
        </w:tc>
        <w:tc>
          <w:tcPr>
            <w:tcW w:w="1636" w:type="dxa"/>
            <w:gridSpan w:val="3"/>
            <w:shd w:val="clear" w:color="auto" w:fill="auto"/>
          </w:tcPr>
          <w:p w14:paraId="011C8281">
            <w:pPr>
              <w:spacing w:line="360" w:lineRule="auto"/>
              <w:rPr>
                <w:rFonts w:ascii="宋体" w:hAnsi="宋体" w:cs="宋体"/>
                <w:color w:val="auto"/>
                <w:sz w:val="24"/>
              </w:rPr>
            </w:pPr>
          </w:p>
        </w:tc>
        <w:tc>
          <w:tcPr>
            <w:tcW w:w="1482" w:type="dxa"/>
            <w:gridSpan w:val="2"/>
            <w:shd w:val="clear" w:color="auto" w:fill="auto"/>
          </w:tcPr>
          <w:p w14:paraId="26ACB15C">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0198D9DC">
            <w:pPr>
              <w:spacing w:line="360" w:lineRule="auto"/>
              <w:rPr>
                <w:rFonts w:ascii="宋体" w:hAnsi="宋体" w:cs="宋体"/>
                <w:color w:val="auto"/>
                <w:sz w:val="24"/>
              </w:rPr>
            </w:pPr>
          </w:p>
        </w:tc>
      </w:tr>
      <w:tr w14:paraId="206D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8" w:type="dxa"/>
            <w:gridSpan w:val="2"/>
            <w:shd w:val="clear" w:color="auto" w:fill="auto"/>
          </w:tcPr>
          <w:p w14:paraId="01DB486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7" w:type="dxa"/>
            <w:gridSpan w:val="2"/>
            <w:shd w:val="clear" w:color="auto" w:fill="auto"/>
          </w:tcPr>
          <w:p w14:paraId="7C458A1F">
            <w:pPr>
              <w:spacing w:line="360" w:lineRule="auto"/>
              <w:rPr>
                <w:rFonts w:ascii="宋体" w:hAnsi="宋体" w:cs="宋体"/>
                <w:color w:val="auto"/>
                <w:sz w:val="24"/>
              </w:rPr>
            </w:pPr>
          </w:p>
        </w:tc>
        <w:tc>
          <w:tcPr>
            <w:tcW w:w="1948" w:type="dxa"/>
            <w:gridSpan w:val="2"/>
            <w:shd w:val="clear" w:color="auto" w:fill="auto"/>
          </w:tcPr>
          <w:p w14:paraId="7389FEE7">
            <w:pPr>
              <w:spacing w:line="360" w:lineRule="auto"/>
              <w:rPr>
                <w:rFonts w:ascii="宋体" w:hAnsi="宋体" w:cs="宋体"/>
                <w:color w:val="auto"/>
                <w:sz w:val="24"/>
              </w:rPr>
            </w:pPr>
          </w:p>
        </w:tc>
        <w:tc>
          <w:tcPr>
            <w:tcW w:w="1359" w:type="dxa"/>
            <w:shd w:val="clear" w:color="auto" w:fill="auto"/>
          </w:tcPr>
          <w:p w14:paraId="45F49686">
            <w:pPr>
              <w:spacing w:line="360" w:lineRule="auto"/>
              <w:rPr>
                <w:rFonts w:ascii="宋体" w:hAnsi="宋体" w:cs="宋体"/>
                <w:color w:val="auto"/>
                <w:sz w:val="24"/>
              </w:rPr>
            </w:pPr>
          </w:p>
        </w:tc>
        <w:tc>
          <w:tcPr>
            <w:tcW w:w="1636" w:type="dxa"/>
            <w:gridSpan w:val="3"/>
            <w:shd w:val="clear" w:color="auto" w:fill="auto"/>
          </w:tcPr>
          <w:p w14:paraId="542CEAE9">
            <w:pPr>
              <w:spacing w:line="360" w:lineRule="auto"/>
              <w:rPr>
                <w:rFonts w:ascii="宋体" w:hAnsi="宋体" w:cs="宋体"/>
                <w:color w:val="auto"/>
                <w:sz w:val="24"/>
              </w:rPr>
            </w:pPr>
          </w:p>
        </w:tc>
        <w:tc>
          <w:tcPr>
            <w:tcW w:w="1482" w:type="dxa"/>
            <w:gridSpan w:val="2"/>
            <w:shd w:val="clear" w:color="auto" w:fill="auto"/>
          </w:tcPr>
          <w:p w14:paraId="2F56B22E">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3C4CB0C0">
            <w:pPr>
              <w:spacing w:line="360" w:lineRule="auto"/>
              <w:rPr>
                <w:rFonts w:ascii="宋体" w:hAnsi="宋体" w:cs="宋体"/>
                <w:color w:val="auto"/>
                <w:sz w:val="24"/>
              </w:rPr>
            </w:pPr>
          </w:p>
        </w:tc>
      </w:tr>
      <w:tr w14:paraId="22AF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8" w:type="dxa"/>
            <w:gridSpan w:val="2"/>
            <w:shd w:val="clear" w:color="auto" w:fill="auto"/>
          </w:tcPr>
          <w:p w14:paraId="27CF8953">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7" w:type="dxa"/>
            <w:gridSpan w:val="2"/>
            <w:shd w:val="clear" w:color="auto" w:fill="auto"/>
          </w:tcPr>
          <w:p w14:paraId="7531D326">
            <w:pPr>
              <w:spacing w:line="360" w:lineRule="auto"/>
              <w:rPr>
                <w:rFonts w:ascii="宋体" w:hAnsi="宋体" w:cs="宋体"/>
                <w:color w:val="auto"/>
                <w:sz w:val="24"/>
              </w:rPr>
            </w:pPr>
          </w:p>
        </w:tc>
        <w:tc>
          <w:tcPr>
            <w:tcW w:w="1948" w:type="dxa"/>
            <w:gridSpan w:val="2"/>
            <w:shd w:val="clear" w:color="auto" w:fill="auto"/>
          </w:tcPr>
          <w:p w14:paraId="71237131">
            <w:pPr>
              <w:spacing w:line="360" w:lineRule="auto"/>
              <w:rPr>
                <w:rFonts w:ascii="宋体" w:hAnsi="宋体" w:cs="宋体"/>
                <w:color w:val="auto"/>
                <w:sz w:val="24"/>
              </w:rPr>
            </w:pPr>
          </w:p>
        </w:tc>
        <w:tc>
          <w:tcPr>
            <w:tcW w:w="1359" w:type="dxa"/>
            <w:shd w:val="clear" w:color="auto" w:fill="auto"/>
          </w:tcPr>
          <w:p w14:paraId="505663C6">
            <w:pPr>
              <w:spacing w:line="360" w:lineRule="auto"/>
              <w:rPr>
                <w:rFonts w:ascii="宋体" w:hAnsi="宋体" w:cs="宋体"/>
                <w:color w:val="auto"/>
                <w:sz w:val="24"/>
              </w:rPr>
            </w:pPr>
          </w:p>
        </w:tc>
        <w:tc>
          <w:tcPr>
            <w:tcW w:w="1636" w:type="dxa"/>
            <w:gridSpan w:val="3"/>
            <w:shd w:val="clear" w:color="auto" w:fill="auto"/>
          </w:tcPr>
          <w:p w14:paraId="43EA1B9B">
            <w:pPr>
              <w:spacing w:line="360" w:lineRule="auto"/>
              <w:rPr>
                <w:rFonts w:ascii="宋体" w:hAnsi="宋体" w:cs="宋体"/>
                <w:color w:val="auto"/>
                <w:sz w:val="24"/>
              </w:rPr>
            </w:pPr>
          </w:p>
        </w:tc>
        <w:tc>
          <w:tcPr>
            <w:tcW w:w="1482" w:type="dxa"/>
            <w:gridSpan w:val="2"/>
            <w:shd w:val="clear" w:color="auto" w:fill="auto"/>
          </w:tcPr>
          <w:p w14:paraId="1ABEC1CD">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28A3A15B">
            <w:pPr>
              <w:spacing w:line="360" w:lineRule="auto"/>
              <w:rPr>
                <w:rFonts w:ascii="宋体" w:hAnsi="宋体" w:cs="宋体"/>
                <w:color w:val="auto"/>
                <w:sz w:val="24"/>
              </w:rPr>
            </w:pPr>
          </w:p>
        </w:tc>
      </w:tr>
      <w:tr w14:paraId="5350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8" w:type="dxa"/>
            <w:gridSpan w:val="2"/>
            <w:shd w:val="clear" w:color="auto" w:fill="auto"/>
          </w:tcPr>
          <w:p w14:paraId="08518A3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7" w:type="dxa"/>
            <w:gridSpan w:val="2"/>
            <w:shd w:val="clear" w:color="auto" w:fill="auto"/>
          </w:tcPr>
          <w:p w14:paraId="0BB8EB18">
            <w:pPr>
              <w:spacing w:line="360" w:lineRule="auto"/>
              <w:rPr>
                <w:rFonts w:ascii="宋体" w:hAnsi="宋体" w:cs="宋体"/>
                <w:color w:val="auto"/>
                <w:sz w:val="24"/>
              </w:rPr>
            </w:pPr>
          </w:p>
        </w:tc>
        <w:tc>
          <w:tcPr>
            <w:tcW w:w="1948" w:type="dxa"/>
            <w:gridSpan w:val="2"/>
            <w:shd w:val="clear" w:color="auto" w:fill="auto"/>
          </w:tcPr>
          <w:p w14:paraId="53A4C8E3">
            <w:pPr>
              <w:spacing w:line="360" w:lineRule="auto"/>
              <w:rPr>
                <w:rFonts w:ascii="宋体" w:hAnsi="宋体" w:cs="宋体"/>
                <w:color w:val="auto"/>
                <w:sz w:val="24"/>
              </w:rPr>
            </w:pPr>
          </w:p>
        </w:tc>
        <w:tc>
          <w:tcPr>
            <w:tcW w:w="1359" w:type="dxa"/>
            <w:shd w:val="clear" w:color="auto" w:fill="auto"/>
          </w:tcPr>
          <w:p w14:paraId="3647ED5E">
            <w:pPr>
              <w:spacing w:line="360" w:lineRule="auto"/>
              <w:rPr>
                <w:rFonts w:ascii="宋体" w:hAnsi="宋体" w:cs="宋体"/>
                <w:color w:val="auto"/>
                <w:sz w:val="24"/>
              </w:rPr>
            </w:pPr>
          </w:p>
        </w:tc>
        <w:tc>
          <w:tcPr>
            <w:tcW w:w="1636" w:type="dxa"/>
            <w:gridSpan w:val="3"/>
            <w:shd w:val="clear" w:color="auto" w:fill="auto"/>
          </w:tcPr>
          <w:p w14:paraId="493F175B">
            <w:pPr>
              <w:spacing w:line="360" w:lineRule="auto"/>
              <w:rPr>
                <w:rFonts w:ascii="宋体" w:hAnsi="宋体" w:cs="宋体"/>
                <w:color w:val="auto"/>
                <w:sz w:val="24"/>
              </w:rPr>
            </w:pPr>
          </w:p>
        </w:tc>
        <w:tc>
          <w:tcPr>
            <w:tcW w:w="1482" w:type="dxa"/>
            <w:gridSpan w:val="2"/>
            <w:shd w:val="clear" w:color="auto" w:fill="auto"/>
          </w:tcPr>
          <w:p w14:paraId="3FF20EA2">
            <w:pPr>
              <w:spacing w:line="360" w:lineRule="auto"/>
              <w:rPr>
                <w:rFonts w:ascii="宋体" w:hAnsi="宋体" w:cs="宋体"/>
                <w:color w:val="auto"/>
                <w:sz w:val="24"/>
              </w:rPr>
            </w:pPr>
          </w:p>
        </w:tc>
        <w:tc>
          <w:tcPr>
            <w:tcW w:w="23" w:type="dxa"/>
            <w:tcBorders>
              <w:top w:val="nil"/>
              <w:bottom w:val="nil"/>
              <w:right w:val="nil"/>
            </w:tcBorders>
            <w:shd w:val="clear" w:color="auto" w:fill="auto"/>
          </w:tcPr>
          <w:p w14:paraId="158167AF">
            <w:pPr>
              <w:spacing w:line="360" w:lineRule="auto"/>
              <w:rPr>
                <w:rFonts w:ascii="宋体" w:hAnsi="宋体" w:cs="宋体"/>
                <w:color w:val="auto"/>
                <w:sz w:val="24"/>
              </w:rPr>
            </w:pPr>
          </w:p>
        </w:tc>
      </w:tr>
    </w:tbl>
    <w:p w14:paraId="1426FCAC">
      <w:pPr>
        <w:spacing w:line="480" w:lineRule="atLeast"/>
        <w:ind w:left="385"/>
        <w:rPr>
          <w:rFonts w:ascii="宋体" w:hAnsi="宋体" w:cs="宋体"/>
          <w:color w:val="auto"/>
          <w:spacing w:val="-13"/>
          <w:sz w:val="24"/>
        </w:rPr>
      </w:pPr>
    </w:p>
    <w:p w14:paraId="2396E27F">
      <w:pPr>
        <w:spacing w:line="580" w:lineRule="exact"/>
        <w:ind w:firstLine="214" w:firstLineChars="100"/>
        <w:rPr>
          <w:rFonts w:ascii="宋体" w:hAnsi="宋体" w:cs="宋体"/>
          <w:color w:val="auto"/>
          <w:sz w:val="24"/>
        </w:rPr>
      </w:pPr>
      <w:r>
        <w:rPr>
          <w:rFonts w:hint="eastAsia" w:ascii="宋体" w:hAnsi="宋体" w:cs="宋体"/>
          <w:color w:val="auto"/>
          <w:spacing w:val="-13"/>
          <w:sz w:val="24"/>
        </w:rPr>
        <w:t>备注：</w:t>
      </w:r>
      <w:r>
        <w:rPr>
          <w:rFonts w:hint="eastAsia" w:ascii="宋体" w:hAnsi="宋体" w:cs="宋体"/>
          <w:color w:val="auto"/>
          <w:spacing w:val="-1"/>
          <w:sz w:val="24"/>
        </w:rPr>
        <w:t>1.供应商可以根据项目情况增减表格内容，项目数可以根据需要</w:t>
      </w:r>
      <w:r>
        <w:rPr>
          <w:rFonts w:hint="eastAsia" w:ascii="宋体" w:hAnsi="宋体" w:cs="宋体"/>
          <w:color w:val="auto"/>
          <w:spacing w:val="-2"/>
          <w:sz w:val="24"/>
        </w:rPr>
        <w:t>增加。</w:t>
      </w:r>
    </w:p>
    <w:p w14:paraId="5BF2251E">
      <w:pPr>
        <w:adjustRightInd w:val="0"/>
        <w:snapToGrid w:val="0"/>
        <w:spacing w:line="580" w:lineRule="exact"/>
        <w:ind w:firstLine="936" w:firstLineChars="400"/>
        <w:rPr>
          <w:rFonts w:ascii="宋体" w:hAnsi="宋体" w:cs="宋体"/>
          <w:color w:val="auto"/>
          <w:spacing w:val="-4"/>
          <w:sz w:val="24"/>
        </w:rPr>
      </w:pPr>
      <w:r>
        <w:rPr>
          <w:rFonts w:hint="eastAsia" w:ascii="宋体" w:hAnsi="宋体" w:cs="宋体"/>
          <w:color w:val="auto"/>
          <w:spacing w:val="-3"/>
          <w:position w:val="19"/>
          <w:sz w:val="24"/>
        </w:rPr>
        <w:t>2.本表后附专职安全生产管理人员的学历证、安全生产考核合格证（C</w:t>
      </w:r>
      <w:r>
        <w:rPr>
          <w:rFonts w:hint="eastAsia" w:ascii="宋体" w:hAnsi="宋体" w:cs="宋体"/>
          <w:color w:val="auto"/>
          <w:spacing w:val="-34"/>
          <w:position w:val="19"/>
          <w:sz w:val="24"/>
        </w:rPr>
        <w:t xml:space="preserve"> </w:t>
      </w:r>
      <w:r>
        <w:rPr>
          <w:rFonts w:hint="eastAsia" w:ascii="宋体" w:hAnsi="宋体" w:cs="宋体"/>
          <w:color w:val="auto"/>
          <w:spacing w:val="-3"/>
          <w:position w:val="19"/>
          <w:sz w:val="24"/>
        </w:rPr>
        <w:t>类）、本表所列证书复印件。</w:t>
      </w:r>
    </w:p>
    <w:p w14:paraId="103B6B83">
      <w:pPr>
        <w:spacing w:line="360" w:lineRule="auto"/>
        <w:rPr>
          <w:rFonts w:ascii="宋体" w:hAnsi="宋体"/>
          <w:color w:val="auto"/>
          <w:sz w:val="24"/>
        </w:rPr>
      </w:pPr>
    </w:p>
    <w:p w14:paraId="49166891">
      <w:pPr>
        <w:pStyle w:val="22"/>
        <w:spacing w:line="360" w:lineRule="auto"/>
        <w:rPr>
          <w:rFonts w:hAnsi="宋体"/>
          <w:color w:val="auto"/>
          <w:sz w:val="24"/>
          <w:szCs w:val="24"/>
        </w:rPr>
      </w:pPr>
    </w:p>
    <w:p w14:paraId="00E5C4C0">
      <w:pPr>
        <w:pStyle w:val="22"/>
        <w:spacing w:line="360" w:lineRule="auto"/>
        <w:rPr>
          <w:rFonts w:hAnsi="宋体"/>
          <w:color w:val="auto"/>
          <w:sz w:val="24"/>
          <w:szCs w:val="24"/>
        </w:rPr>
      </w:pPr>
    </w:p>
    <w:p w14:paraId="6F86A0A1">
      <w:pPr>
        <w:pStyle w:val="22"/>
        <w:spacing w:line="360" w:lineRule="auto"/>
        <w:rPr>
          <w:rFonts w:hAnsi="宋体"/>
          <w:color w:val="auto"/>
          <w:sz w:val="24"/>
          <w:szCs w:val="24"/>
        </w:rPr>
      </w:pPr>
      <w:r>
        <w:rPr>
          <w:rFonts w:hint="eastAsia" w:hAnsi="宋体"/>
          <w:color w:val="auto"/>
          <w:sz w:val="24"/>
          <w:szCs w:val="24"/>
        </w:rPr>
        <w:t xml:space="preserve">                        </w:t>
      </w:r>
    </w:p>
    <w:p w14:paraId="6B02F111">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4A253161">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04889787">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6C4E7255">
      <w:pPr>
        <w:pStyle w:val="22"/>
        <w:spacing w:line="360" w:lineRule="auto"/>
        <w:rPr>
          <w:rFonts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 xml:space="preserve">   </w:t>
      </w:r>
    </w:p>
    <w:p w14:paraId="4B5446DE">
      <w:pPr>
        <w:adjustRightInd w:val="0"/>
        <w:snapToGrid w:val="0"/>
        <w:spacing w:line="360" w:lineRule="auto"/>
        <w:ind w:right="1470" w:rightChars="700"/>
        <w:rPr>
          <w:rFonts w:ascii="宋体" w:hAnsi="宋体" w:cs="宋体"/>
          <w:b/>
          <w:bCs/>
          <w:color w:val="auto"/>
          <w:spacing w:val="9"/>
          <w:sz w:val="24"/>
        </w:rPr>
      </w:pPr>
      <w:r>
        <w:rPr>
          <w:rFonts w:ascii="宋体" w:hAnsi="宋体"/>
          <w:color w:val="auto"/>
          <w:sz w:val="24"/>
        </w:rPr>
        <w:br w:type="page"/>
      </w:r>
      <w:r>
        <w:rPr>
          <w:rFonts w:hint="eastAsia" w:ascii="宋体" w:hAnsi="宋体" w:cs="宋体"/>
          <w:b/>
          <w:bCs/>
          <w:color w:val="auto"/>
          <w:spacing w:val="9"/>
          <w:sz w:val="24"/>
        </w:rPr>
        <w:t>附件11</w:t>
      </w:r>
    </w:p>
    <w:p w14:paraId="0A3D18D1">
      <w:pPr>
        <w:spacing w:line="360" w:lineRule="auto"/>
        <w:ind w:left="2904"/>
        <w:rPr>
          <w:rFonts w:ascii="宋体" w:hAnsi="宋体" w:cs="宋体"/>
          <w:snapToGrid w:val="0"/>
          <w:color w:val="auto"/>
          <w:kern w:val="0"/>
          <w:sz w:val="24"/>
        </w:rPr>
      </w:pPr>
      <w:r>
        <w:rPr>
          <w:rFonts w:hint="eastAsia" w:ascii="宋体" w:hAnsi="宋体" w:cs="宋体"/>
          <w:b/>
          <w:bCs/>
          <w:color w:val="auto"/>
          <w:spacing w:val="9"/>
          <w:sz w:val="43"/>
          <w:szCs w:val="43"/>
        </w:rPr>
        <w:t>拟分包项目情况表</w:t>
      </w:r>
    </w:p>
    <w:p w14:paraId="64C1C703">
      <w:pPr>
        <w:spacing w:line="360" w:lineRule="auto"/>
        <w:ind w:left="233"/>
        <w:rPr>
          <w:rFonts w:ascii="宋体" w:hAnsi="宋体" w:cs="宋体"/>
          <w:color w:val="auto"/>
          <w:sz w:val="24"/>
        </w:rPr>
      </w:pPr>
      <w:r>
        <w:rPr>
          <w:rFonts w:hint="eastAsia" w:ascii="宋体" w:hAnsi="宋体" w:cs="宋体"/>
          <w:color w:val="auto"/>
          <w:spacing w:val="-27"/>
          <w:sz w:val="24"/>
        </w:rPr>
        <w:t>分标（如有）：</w:t>
      </w:r>
      <w:r>
        <w:rPr>
          <w:rFonts w:hint="eastAsia" w:ascii="宋体" w:hAnsi="宋体" w:cs="宋体"/>
          <w:color w:val="auto"/>
          <w:spacing w:val="55"/>
          <w:sz w:val="24"/>
        </w:rPr>
        <w:t xml:space="preserve"> </w:t>
      </w:r>
      <w:r>
        <w:rPr>
          <w:rFonts w:hint="eastAsia" w:ascii="宋体" w:hAnsi="宋体" w:cs="宋体"/>
          <w:color w:val="auto"/>
          <w:sz w:val="24"/>
          <w:u w:val="single"/>
        </w:rPr>
        <w:t xml:space="preserve">                 </w:t>
      </w: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1BD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D733B4C">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序</w:t>
            </w:r>
            <w:r>
              <w:rPr>
                <w:rFonts w:hint="eastAsia" w:ascii="宋体" w:hAnsi="宋体" w:cs="宋体"/>
                <w:snapToGrid w:val="0"/>
                <w:color w:val="auto"/>
                <w:spacing w:val="-6"/>
                <w:kern w:val="0"/>
                <w:sz w:val="24"/>
                <w:lang w:eastAsia="en-US"/>
              </w:rPr>
              <w:t xml:space="preserve"> </w:t>
            </w:r>
            <w:r>
              <w:rPr>
                <w:rFonts w:hint="eastAsia" w:ascii="宋体" w:hAnsi="宋体" w:cs="宋体"/>
                <w:snapToGrid w:val="0"/>
                <w:color w:val="auto"/>
                <w:spacing w:val="2"/>
                <w:kern w:val="0"/>
                <w:sz w:val="24"/>
                <w:lang w:eastAsia="en-US"/>
              </w:rPr>
              <w:t>号</w:t>
            </w:r>
          </w:p>
        </w:tc>
        <w:tc>
          <w:tcPr>
            <w:tcW w:w="1693" w:type="dxa"/>
            <w:vMerge w:val="restart"/>
            <w:tcBorders>
              <w:bottom w:val="nil"/>
            </w:tcBorders>
            <w:shd w:val="clear" w:color="auto" w:fill="auto"/>
          </w:tcPr>
          <w:p w14:paraId="4BF2E15D">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拟分包项目名</w:t>
            </w:r>
            <w:r>
              <w:rPr>
                <w:rFonts w:hint="eastAsia" w:ascii="宋体" w:hAnsi="宋体" w:cs="宋体"/>
                <w:snapToGrid w:val="0"/>
                <w:color w:val="auto"/>
                <w:kern w:val="0"/>
                <w:sz w:val="24"/>
              </w:rPr>
              <w:t xml:space="preserve">  </w:t>
            </w:r>
            <w:r>
              <w:rPr>
                <w:rFonts w:hint="eastAsia" w:ascii="宋体" w:hAnsi="宋体" w:cs="宋体"/>
                <w:snapToGrid w:val="0"/>
                <w:color w:val="auto"/>
                <w:spacing w:val="-1"/>
                <w:kern w:val="0"/>
                <w:sz w:val="24"/>
              </w:rPr>
              <w:t>称、范围及理由</w:t>
            </w:r>
          </w:p>
        </w:tc>
        <w:tc>
          <w:tcPr>
            <w:tcW w:w="6376" w:type="dxa"/>
            <w:gridSpan w:val="6"/>
            <w:shd w:val="clear" w:color="auto" w:fill="auto"/>
          </w:tcPr>
          <w:p w14:paraId="3205FF1A">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w:t>
            </w:r>
          </w:p>
        </w:tc>
        <w:tc>
          <w:tcPr>
            <w:tcW w:w="676" w:type="dxa"/>
            <w:vMerge w:val="restart"/>
            <w:tcBorders>
              <w:bottom w:val="nil"/>
            </w:tcBorders>
            <w:shd w:val="clear" w:color="auto" w:fill="auto"/>
          </w:tcPr>
          <w:p w14:paraId="3A1CBE8E">
            <w:pPr>
              <w:spacing w:line="360" w:lineRule="auto"/>
              <w:rPr>
                <w:rFonts w:ascii="宋体" w:hAnsi="宋体" w:cs="宋体"/>
                <w:color w:val="auto"/>
                <w:sz w:val="24"/>
              </w:rPr>
            </w:pPr>
          </w:p>
          <w:p w14:paraId="6A8080B1">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备注</w:t>
            </w:r>
          </w:p>
        </w:tc>
      </w:tr>
      <w:tr w14:paraId="45DE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4B3A8AB9">
            <w:pPr>
              <w:spacing w:line="360" w:lineRule="auto"/>
              <w:rPr>
                <w:rFonts w:ascii="宋体" w:hAnsi="宋体" w:cs="宋体"/>
                <w:color w:val="auto"/>
                <w:sz w:val="24"/>
              </w:rPr>
            </w:pPr>
          </w:p>
        </w:tc>
        <w:tc>
          <w:tcPr>
            <w:tcW w:w="1693" w:type="dxa"/>
            <w:vMerge w:val="continue"/>
            <w:tcBorders>
              <w:top w:val="nil"/>
            </w:tcBorders>
            <w:shd w:val="clear" w:color="auto" w:fill="auto"/>
          </w:tcPr>
          <w:p w14:paraId="4A0204F4">
            <w:pPr>
              <w:spacing w:line="360" w:lineRule="auto"/>
              <w:rPr>
                <w:rFonts w:ascii="宋体" w:hAnsi="宋体" w:cs="宋体"/>
                <w:color w:val="auto"/>
                <w:sz w:val="24"/>
              </w:rPr>
            </w:pPr>
          </w:p>
        </w:tc>
        <w:tc>
          <w:tcPr>
            <w:tcW w:w="1698" w:type="dxa"/>
            <w:gridSpan w:val="2"/>
            <w:shd w:val="clear" w:color="auto" w:fill="auto"/>
          </w:tcPr>
          <w:p w14:paraId="02163D03">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拟选分包人名称</w:t>
            </w:r>
          </w:p>
        </w:tc>
        <w:tc>
          <w:tcPr>
            <w:tcW w:w="1123" w:type="dxa"/>
            <w:shd w:val="clear" w:color="auto" w:fill="auto"/>
          </w:tcPr>
          <w:p w14:paraId="68FC3032">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注册地点</w:t>
            </w:r>
          </w:p>
        </w:tc>
        <w:tc>
          <w:tcPr>
            <w:tcW w:w="1091" w:type="dxa"/>
            <w:shd w:val="clear" w:color="auto" w:fill="auto"/>
          </w:tcPr>
          <w:p w14:paraId="6E7FC846">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企业资质</w:t>
            </w:r>
          </w:p>
        </w:tc>
        <w:tc>
          <w:tcPr>
            <w:tcW w:w="1195" w:type="dxa"/>
            <w:shd w:val="clear" w:color="auto" w:fill="auto"/>
          </w:tcPr>
          <w:p w14:paraId="3E960E78">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有关业绩</w:t>
            </w:r>
          </w:p>
        </w:tc>
        <w:tc>
          <w:tcPr>
            <w:tcW w:w="1269" w:type="dxa"/>
            <w:shd w:val="clear" w:color="auto" w:fill="auto"/>
          </w:tcPr>
          <w:p w14:paraId="40A67AD7">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拟分包金额</w:t>
            </w:r>
          </w:p>
        </w:tc>
        <w:tc>
          <w:tcPr>
            <w:tcW w:w="676" w:type="dxa"/>
            <w:vMerge w:val="continue"/>
            <w:tcBorders>
              <w:top w:val="nil"/>
            </w:tcBorders>
            <w:shd w:val="clear" w:color="auto" w:fill="auto"/>
          </w:tcPr>
          <w:p w14:paraId="13AE118E">
            <w:pPr>
              <w:spacing w:line="360" w:lineRule="auto"/>
              <w:rPr>
                <w:rFonts w:ascii="宋体" w:hAnsi="宋体" w:cs="宋体"/>
                <w:color w:val="auto"/>
                <w:sz w:val="24"/>
              </w:rPr>
            </w:pPr>
          </w:p>
        </w:tc>
      </w:tr>
      <w:tr w14:paraId="7E420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3D4F51E">
            <w:pPr>
              <w:spacing w:line="360" w:lineRule="auto"/>
              <w:rPr>
                <w:rFonts w:ascii="宋体" w:hAnsi="宋体" w:cs="宋体"/>
                <w:color w:val="auto"/>
                <w:sz w:val="24"/>
              </w:rPr>
            </w:pPr>
          </w:p>
        </w:tc>
        <w:tc>
          <w:tcPr>
            <w:tcW w:w="1693" w:type="dxa"/>
            <w:vMerge w:val="restart"/>
            <w:tcBorders>
              <w:bottom w:val="nil"/>
            </w:tcBorders>
            <w:shd w:val="clear" w:color="auto" w:fill="auto"/>
          </w:tcPr>
          <w:p w14:paraId="69C28F1E">
            <w:pPr>
              <w:spacing w:line="360" w:lineRule="auto"/>
              <w:rPr>
                <w:rFonts w:ascii="宋体" w:hAnsi="宋体" w:cs="宋体"/>
                <w:color w:val="auto"/>
                <w:sz w:val="24"/>
              </w:rPr>
            </w:pPr>
          </w:p>
        </w:tc>
        <w:tc>
          <w:tcPr>
            <w:tcW w:w="751" w:type="dxa"/>
            <w:shd w:val="clear" w:color="auto" w:fill="auto"/>
          </w:tcPr>
          <w:p w14:paraId="2942BE44">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06EB4282">
            <w:pPr>
              <w:spacing w:line="360" w:lineRule="auto"/>
              <w:rPr>
                <w:rFonts w:ascii="宋体" w:hAnsi="宋体" w:cs="宋体"/>
                <w:color w:val="auto"/>
                <w:sz w:val="24"/>
              </w:rPr>
            </w:pPr>
          </w:p>
        </w:tc>
        <w:tc>
          <w:tcPr>
            <w:tcW w:w="1123" w:type="dxa"/>
            <w:shd w:val="clear" w:color="auto" w:fill="auto"/>
          </w:tcPr>
          <w:p w14:paraId="7BF03D17">
            <w:pPr>
              <w:spacing w:line="360" w:lineRule="auto"/>
              <w:rPr>
                <w:rFonts w:ascii="宋体" w:hAnsi="宋体" w:cs="宋体"/>
                <w:color w:val="auto"/>
                <w:sz w:val="24"/>
              </w:rPr>
            </w:pPr>
          </w:p>
        </w:tc>
        <w:tc>
          <w:tcPr>
            <w:tcW w:w="1091" w:type="dxa"/>
            <w:shd w:val="clear" w:color="auto" w:fill="auto"/>
          </w:tcPr>
          <w:p w14:paraId="2DE77654">
            <w:pPr>
              <w:spacing w:line="360" w:lineRule="auto"/>
              <w:rPr>
                <w:rFonts w:ascii="宋体" w:hAnsi="宋体" w:cs="宋体"/>
                <w:color w:val="auto"/>
                <w:sz w:val="24"/>
              </w:rPr>
            </w:pPr>
          </w:p>
        </w:tc>
        <w:tc>
          <w:tcPr>
            <w:tcW w:w="1195" w:type="dxa"/>
            <w:shd w:val="clear" w:color="auto" w:fill="auto"/>
          </w:tcPr>
          <w:p w14:paraId="20CE2113">
            <w:pPr>
              <w:spacing w:line="360" w:lineRule="auto"/>
              <w:rPr>
                <w:rFonts w:ascii="宋体" w:hAnsi="宋体" w:cs="宋体"/>
                <w:color w:val="auto"/>
                <w:sz w:val="24"/>
              </w:rPr>
            </w:pPr>
          </w:p>
        </w:tc>
        <w:tc>
          <w:tcPr>
            <w:tcW w:w="1269" w:type="dxa"/>
            <w:shd w:val="clear" w:color="auto" w:fill="auto"/>
          </w:tcPr>
          <w:p w14:paraId="02986012">
            <w:pPr>
              <w:spacing w:line="360" w:lineRule="auto"/>
              <w:rPr>
                <w:rFonts w:ascii="宋体" w:hAnsi="宋体" w:cs="宋体"/>
                <w:color w:val="auto"/>
                <w:sz w:val="24"/>
              </w:rPr>
            </w:pPr>
          </w:p>
        </w:tc>
        <w:tc>
          <w:tcPr>
            <w:tcW w:w="676" w:type="dxa"/>
            <w:shd w:val="clear" w:color="auto" w:fill="auto"/>
          </w:tcPr>
          <w:p w14:paraId="10BEBAEA">
            <w:pPr>
              <w:spacing w:line="360" w:lineRule="auto"/>
              <w:rPr>
                <w:rFonts w:ascii="宋体" w:hAnsi="宋体" w:cs="宋体"/>
                <w:color w:val="auto"/>
                <w:sz w:val="24"/>
              </w:rPr>
            </w:pPr>
          </w:p>
        </w:tc>
      </w:tr>
      <w:tr w14:paraId="3C9D6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5A566F93">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02B30CB5">
            <w:pPr>
              <w:spacing w:line="360" w:lineRule="auto"/>
              <w:rPr>
                <w:rFonts w:ascii="宋体" w:hAnsi="宋体" w:cs="宋体"/>
                <w:color w:val="auto"/>
                <w:sz w:val="24"/>
              </w:rPr>
            </w:pPr>
          </w:p>
        </w:tc>
        <w:tc>
          <w:tcPr>
            <w:tcW w:w="751" w:type="dxa"/>
            <w:shd w:val="clear" w:color="auto" w:fill="auto"/>
          </w:tcPr>
          <w:p w14:paraId="40007988">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74D8C84C">
            <w:pPr>
              <w:spacing w:line="360" w:lineRule="auto"/>
              <w:rPr>
                <w:rFonts w:ascii="宋体" w:hAnsi="宋体" w:cs="宋体"/>
                <w:color w:val="auto"/>
                <w:sz w:val="24"/>
              </w:rPr>
            </w:pPr>
          </w:p>
        </w:tc>
        <w:tc>
          <w:tcPr>
            <w:tcW w:w="1123" w:type="dxa"/>
            <w:shd w:val="clear" w:color="auto" w:fill="auto"/>
          </w:tcPr>
          <w:p w14:paraId="654172A4">
            <w:pPr>
              <w:spacing w:line="360" w:lineRule="auto"/>
              <w:rPr>
                <w:rFonts w:ascii="宋体" w:hAnsi="宋体" w:cs="宋体"/>
                <w:color w:val="auto"/>
                <w:sz w:val="24"/>
              </w:rPr>
            </w:pPr>
          </w:p>
        </w:tc>
        <w:tc>
          <w:tcPr>
            <w:tcW w:w="1091" w:type="dxa"/>
            <w:shd w:val="clear" w:color="auto" w:fill="auto"/>
          </w:tcPr>
          <w:p w14:paraId="562D41AB">
            <w:pPr>
              <w:spacing w:line="360" w:lineRule="auto"/>
              <w:rPr>
                <w:rFonts w:ascii="宋体" w:hAnsi="宋体" w:cs="宋体"/>
                <w:color w:val="auto"/>
                <w:sz w:val="24"/>
              </w:rPr>
            </w:pPr>
          </w:p>
        </w:tc>
        <w:tc>
          <w:tcPr>
            <w:tcW w:w="1195" w:type="dxa"/>
            <w:shd w:val="clear" w:color="auto" w:fill="auto"/>
          </w:tcPr>
          <w:p w14:paraId="78C0D63D">
            <w:pPr>
              <w:spacing w:line="360" w:lineRule="auto"/>
              <w:rPr>
                <w:rFonts w:ascii="宋体" w:hAnsi="宋体" w:cs="宋体"/>
                <w:color w:val="auto"/>
                <w:sz w:val="24"/>
              </w:rPr>
            </w:pPr>
          </w:p>
        </w:tc>
        <w:tc>
          <w:tcPr>
            <w:tcW w:w="1269" w:type="dxa"/>
            <w:shd w:val="clear" w:color="auto" w:fill="auto"/>
          </w:tcPr>
          <w:p w14:paraId="7CBD60EB">
            <w:pPr>
              <w:spacing w:line="360" w:lineRule="auto"/>
              <w:rPr>
                <w:rFonts w:ascii="宋体" w:hAnsi="宋体" w:cs="宋体"/>
                <w:color w:val="auto"/>
                <w:sz w:val="24"/>
              </w:rPr>
            </w:pPr>
          </w:p>
        </w:tc>
        <w:tc>
          <w:tcPr>
            <w:tcW w:w="676" w:type="dxa"/>
            <w:shd w:val="clear" w:color="auto" w:fill="auto"/>
          </w:tcPr>
          <w:p w14:paraId="7128D9D3">
            <w:pPr>
              <w:spacing w:line="360" w:lineRule="auto"/>
              <w:rPr>
                <w:rFonts w:ascii="宋体" w:hAnsi="宋体" w:cs="宋体"/>
                <w:color w:val="auto"/>
                <w:sz w:val="24"/>
              </w:rPr>
            </w:pPr>
          </w:p>
        </w:tc>
      </w:tr>
      <w:tr w14:paraId="7763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79FC7B89">
            <w:pPr>
              <w:spacing w:line="360" w:lineRule="auto"/>
              <w:rPr>
                <w:rFonts w:ascii="宋体" w:hAnsi="宋体" w:cs="宋体"/>
                <w:color w:val="auto"/>
                <w:sz w:val="24"/>
              </w:rPr>
            </w:pPr>
          </w:p>
        </w:tc>
        <w:tc>
          <w:tcPr>
            <w:tcW w:w="1693" w:type="dxa"/>
            <w:vMerge w:val="continue"/>
            <w:tcBorders>
              <w:top w:val="nil"/>
            </w:tcBorders>
            <w:shd w:val="clear" w:color="auto" w:fill="auto"/>
          </w:tcPr>
          <w:p w14:paraId="118811B7">
            <w:pPr>
              <w:spacing w:line="360" w:lineRule="auto"/>
              <w:rPr>
                <w:rFonts w:ascii="宋体" w:hAnsi="宋体" w:cs="宋体"/>
                <w:color w:val="auto"/>
                <w:sz w:val="24"/>
              </w:rPr>
            </w:pPr>
          </w:p>
        </w:tc>
        <w:tc>
          <w:tcPr>
            <w:tcW w:w="751" w:type="dxa"/>
            <w:shd w:val="clear" w:color="auto" w:fill="auto"/>
          </w:tcPr>
          <w:p w14:paraId="1009BA45">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4D598F2F">
            <w:pPr>
              <w:spacing w:line="360" w:lineRule="auto"/>
              <w:rPr>
                <w:rFonts w:ascii="宋体" w:hAnsi="宋体" w:cs="宋体"/>
                <w:color w:val="auto"/>
                <w:sz w:val="24"/>
              </w:rPr>
            </w:pPr>
          </w:p>
        </w:tc>
        <w:tc>
          <w:tcPr>
            <w:tcW w:w="1123" w:type="dxa"/>
            <w:shd w:val="clear" w:color="auto" w:fill="auto"/>
          </w:tcPr>
          <w:p w14:paraId="7DB57234">
            <w:pPr>
              <w:spacing w:line="360" w:lineRule="auto"/>
              <w:rPr>
                <w:rFonts w:ascii="宋体" w:hAnsi="宋体" w:cs="宋体"/>
                <w:color w:val="auto"/>
                <w:sz w:val="24"/>
              </w:rPr>
            </w:pPr>
          </w:p>
        </w:tc>
        <w:tc>
          <w:tcPr>
            <w:tcW w:w="1091" w:type="dxa"/>
            <w:shd w:val="clear" w:color="auto" w:fill="auto"/>
          </w:tcPr>
          <w:p w14:paraId="7AC0AD24">
            <w:pPr>
              <w:spacing w:line="360" w:lineRule="auto"/>
              <w:rPr>
                <w:rFonts w:ascii="宋体" w:hAnsi="宋体" w:cs="宋体"/>
                <w:color w:val="auto"/>
                <w:sz w:val="24"/>
              </w:rPr>
            </w:pPr>
          </w:p>
        </w:tc>
        <w:tc>
          <w:tcPr>
            <w:tcW w:w="1195" w:type="dxa"/>
            <w:shd w:val="clear" w:color="auto" w:fill="auto"/>
          </w:tcPr>
          <w:p w14:paraId="3B00DFEA">
            <w:pPr>
              <w:spacing w:line="360" w:lineRule="auto"/>
              <w:rPr>
                <w:rFonts w:ascii="宋体" w:hAnsi="宋体" w:cs="宋体"/>
                <w:color w:val="auto"/>
                <w:sz w:val="24"/>
              </w:rPr>
            </w:pPr>
          </w:p>
        </w:tc>
        <w:tc>
          <w:tcPr>
            <w:tcW w:w="1269" w:type="dxa"/>
            <w:shd w:val="clear" w:color="auto" w:fill="auto"/>
          </w:tcPr>
          <w:p w14:paraId="36BD835A">
            <w:pPr>
              <w:spacing w:line="360" w:lineRule="auto"/>
              <w:rPr>
                <w:rFonts w:ascii="宋体" w:hAnsi="宋体" w:cs="宋体"/>
                <w:color w:val="auto"/>
                <w:sz w:val="24"/>
              </w:rPr>
            </w:pPr>
          </w:p>
        </w:tc>
        <w:tc>
          <w:tcPr>
            <w:tcW w:w="676" w:type="dxa"/>
            <w:shd w:val="clear" w:color="auto" w:fill="auto"/>
          </w:tcPr>
          <w:p w14:paraId="49DA9250">
            <w:pPr>
              <w:spacing w:line="360" w:lineRule="auto"/>
              <w:rPr>
                <w:rFonts w:ascii="宋体" w:hAnsi="宋体" w:cs="宋体"/>
                <w:color w:val="auto"/>
                <w:sz w:val="24"/>
              </w:rPr>
            </w:pPr>
          </w:p>
        </w:tc>
      </w:tr>
      <w:tr w14:paraId="0031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4E24BCE">
            <w:pPr>
              <w:spacing w:line="360" w:lineRule="auto"/>
              <w:rPr>
                <w:rFonts w:ascii="宋体" w:hAnsi="宋体" w:cs="宋体"/>
                <w:color w:val="auto"/>
                <w:sz w:val="24"/>
              </w:rPr>
            </w:pPr>
          </w:p>
        </w:tc>
        <w:tc>
          <w:tcPr>
            <w:tcW w:w="1693" w:type="dxa"/>
            <w:vMerge w:val="restart"/>
            <w:tcBorders>
              <w:bottom w:val="nil"/>
            </w:tcBorders>
            <w:shd w:val="clear" w:color="auto" w:fill="auto"/>
          </w:tcPr>
          <w:p w14:paraId="77B7D59A">
            <w:pPr>
              <w:spacing w:line="360" w:lineRule="auto"/>
              <w:rPr>
                <w:rFonts w:ascii="宋体" w:hAnsi="宋体" w:cs="宋体"/>
                <w:color w:val="auto"/>
                <w:sz w:val="24"/>
              </w:rPr>
            </w:pPr>
          </w:p>
        </w:tc>
        <w:tc>
          <w:tcPr>
            <w:tcW w:w="751" w:type="dxa"/>
            <w:shd w:val="clear" w:color="auto" w:fill="auto"/>
          </w:tcPr>
          <w:p w14:paraId="015AD177">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5EEE2FAD">
            <w:pPr>
              <w:spacing w:line="360" w:lineRule="auto"/>
              <w:rPr>
                <w:rFonts w:ascii="宋体" w:hAnsi="宋体" w:cs="宋体"/>
                <w:color w:val="auto"/>
                <w:sz w:val="24"/>
              </w:rPr>
            </w:pPr>
          </w:p>
        </w:tc>
        <w:tc>
          <w:tcPr>
            <w:tcW w:w="1123" w:type="dxa"/>
            <w:shd w:val="clear" w:color="auto" w:fill="auto"/>
          </w:tcPr>
          <w:p w14:paraId="6B13303E">
            <w:pPr>
              <w:spacing w:line="360" w:lineRule="auto"/>
              <w:rPr>
                <w:rFonts w:ascii="宋体" w:hAnsi="宋体" w:cs="宋体"/>
                <w:color w:val="auto"/>
                <w:sz w:val="24"/>
              </w:rPr>
            </w:pPr>
          </w:p>
        </w:tc>
        <w:tc>
          <w:tcPr>
            <w:tcW w:w="1091" w:type="dxa"/>
            <w:shd w:val="clear" w:color="auto" w:fill="auto"/>
          </w:tcPr>
          <w:p w14:paraId="3EF44ED5">
            <w:pPr>
              <w:spacing w:line="360" w:lineRule="auto"/>
              <w:rPr>
                <w:rFonts w:ascii="宋体" w:hAnsi="宋体" w:cs="宋体"/>
                <w:color w:val="auto"/>
                <w:sz w:val="24"/>
              </w:rPr>
            </w:pPr>
          </w:p>
        </w:tc>
        <w:tc>
          <w:tcPr>
            <w:tcW w:w="1195" w:type="dxa"/>
            <w:shd w:val="clear" w:color="auto" w:fill="auto"/>
          </w:tcPr>
          <w:p w14:paraId="0CEF74D9">
            <w:pPr>
              <w:spacing w:line="360" w:lineRule="auto"/>
              <w:rPr>
                <w:rFonts w:ascii="宋体" w:hAnsi="宋体" w:cs="宋体"/>
                <w:color w:val="auto"/>
                <w:sz w:val="24"/>
              </w:rPr>
            </w:pPr>
          </w:p>
        </w:tc>
        <w:tc>
          <w:tcPr>
            <w:tcW w:w="1269" w:type="dxa"/>
            <w:shd w:val="clear" w:color="auto" w:fill="auto"/>
          </w:tcPr>
          <w:p w14:paraId="00ACF496">
            <w:pPr>
              <w:spacing w:line="360" w:lineRule="auto"/>
              <w:rPr>
                <w:rFonts w:ascii="宋体" w:hAnsi="宋体" w:cs="宋体"/>
                <w:color w:val="auto"/>
                <w:sz w:val="24"/>
              </w:rPr>
            </w:pPr>
          </w:p>
        </w:tc>
        <w:tc>
          <w:tcPr>
            <w:tcW w:w="676" w:type="dxa"/>
            <w:shd w:val="clear" w:color="auto" w:fill="auto"/>
          </w:tcPr>
          <w:p w14:paraId="4F30CE16">
            <w:pPr>
              <w:spacing w:line="360" w:lineRule="auto"/>
              <w:rPr>
                <w:rFonts w:ascii="宋体" w:hAnsi="宋体" w:cs="宋体"/>
                <w:color w:val="auto"/>
                <w:sz w:val="24"/>
              </w:rPr>
            </w:pPr>
          </w:p>
        </w:tc>
      </w:tr>
      <w:tr w14:paraId="630C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27B2B9BB">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6592624B">
            <w:pPr>
              <w:spacing w:line="360" w:lineRule="auto"/>
              <w:rPr>
                <w:rFonts w:ascii="宋体" w:hAnsi="宋体" w:cs="宋体"/>
                <w:color w:val="auto"/>
                <w:sz w:val="24"/>
              </w:rPr>
            </w:pPr>
          </w:p>
        </w:tc>
        <w:tc>
          <w:tcPr>
            <w:tcW w:w="751" w:type="dxa"/>
            <w:shd w:val="clear" w:color="auto" w:fill="auto"/>
          </w:tcPr>
          <w:p w14:paraId="78C3BC70">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3688C345">
            <w:pPr>
              <w:spacing w:line="360" w:lineRule="auto"/>
              <w:rPr>
                <w:rFonts w:ascii="宋体" w:hAnsi="宋体" w:cs="宋体"/>
                <w:color w:val="auto"/>
                <w:sz w:val="24"/>
              </w:rPr>
            </w:pPr>
          </w:p>
        </w:tc>
        <w:tc>
          <w:tcPr>
            <w:tcW w:w="1123" w:type="dxa"/>
            <w:shd w:val="clear" w:color="auto" w:fill="auto"/>
          </w:tcPr>
          <w:p w14:paraId="49A84E05">
            <w:pPr>
              <w:spacing w:line="360" w:lineRule="auto"/>
              <w:rPr>
                <w:rFonts w:ascii="宋体" w:hAnsi="宋体" w:cs="宋体"/>
                <w:color w:val="auto"/>
                <w:sz w:val="24"/>
              </w:rPr>
            </w:pPr>
          </w:p>
        </w:tc>
        <w:tc>
          <w:tcPr>
            <w:tcW w:w="1091" w:type="dxa"/>
            <w:shd w:val="clear" w:color="auto" w:fill="auto"/>
          </w:tcPr>
          <w:p w14:paraId="3991020F">
            <w:pPr>
              <w:spacing w:line="360" w:lineRule="auto"/>
              <w:rPr>
                <w:rFonts w:ascii="宋体" w:hAnsi="宋体" w:cs="宋体"/>
                <w:color w:val="auto"/>
                <w:sz w:val="24"/>
              </w:rPr>
            </w:pPr>
          </w:p>
        </w:tc>
        <w:tc>
          <w:tcPr>
            <w:tcW w:w="1195" w:type="dxa"/>
            <w:shd w:val="clear" w:color="auto" w:fill="auto"/>
          </w:tcPr>
          <w:p w14:paraId="36750CBC">
            <w:pPr>
              <w:spacing w:line="360" w:lineRule="auto"/>
              <w:rPr>
                <w:rFonts w:ascii="宋体" w:hAnsi="宋体" w:cs="宋体"/>
                <w:color w:val="auto"/>
                <w:sz w:val="24"/>
              </w:rPr>
            </w:pPr>
          </w:p>
        </w:tc>
        <w:tc>
          <w:tcPr>
            <w:tcW w:w="1269" w:type="dxa"/>
            <w:shd w:val="clear" w:color="auto" w:fill="auto"/>
          </w:tcPr>
          <w:p w14:paraId="004232E2">
            <w:pPr>
              <w:spacing w:line="360" w:lineRule="auto"/>
              <w:rPr>
                <w:rFonts w:ascii="宋体" w:hAnsi="宋体" w:cs="宋体"/>
                <w:color w:val="auto"/>
                <w:sz w:val="24"/>
              </w:rPr>
            </w:pPr>
          </w:p>
        </w:tc>
        <w:tc>
          <w:tcPr>
            <w:tcW w:w="676" w:type="dxa"/>
            <w:shd w:val="clear" w:color="auto" w:fill="auto"/>
          </w:tcPr>
          <w:p w14:paraId="52A064BF">
            <w:pPr>
              <w:spacing w:line="360" w:lineRule="auto"/>
              <w:rPr>
                <w:rFonts w:ascii="宋体" w:hAnsi="宋体" w:cs="宋体"/>
                <w:color w:val="auto"/>
                <w:sz w:val="24"/>
              </w:rPr>
            </w:pPr>
          </w:p>
        </w:tc>
      </w:tr>
      <w:tr w14:paraId="27017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54FAE126">
            <w:pPr>
              <w:spacing w:line="360" w:lineRule="auto"/>
              <w:rPr>
                <w:rFonts w:ascii="宋体" w:hAnsi="宋体" w:cs="宋体"/>
                <w:color w:val="auto"/>
                <w:sz w:val="24"/>
              </w:rPr>
            </w:pPr>
          </w:p>
        </w:tc>
        <w:tc>
          <w:tcPr>
            <w:tcW w:w="1693" w:type="dxa"/>
            <w:vMerge w:val="continue"/>
            <w:tcBorders>
              <w:top w:val="nil"/>
            </w:tcBorders>
            <w:shd w:val="clear" w:color="auto" w:fill="auto"/>
          </w:tcPr>
          <w:p w14:paraId="34799D91">
            <w:pPr>
              <w:spacing w:line="360" w:lineRule="auto"/>
              <w:rPr>
                <w:rFonts w:ascii="宋体" w:hAnsi="宋体" w:cs="宋体"/>
                <w:color w:val="auto"/>
                <w:sz w:val="24"/>
              </w:rPr>
            </w:pPr>
          </w:p>
        </w:tc>
        <w:tc>
          <w:tcPr>
            <w:tcW w:w="751" w:type="dxa"/>
            <w:shd w:val="clear" w:color="auto" w:fill="auto"/>
          </w:tcPr>
          <w:p w14:paraId="4BBBF99C">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13F1B259">
            <w:pPr>
              <w:spacing w:line="360" w:lineRule="auto"/>
              <w:rPr>
                <w:rFonts w:ascii="宋体" w:hAnsi="宋体" w:cs="宋体"/>
                <w:color w:val="auto"/>
                <w:sz w:val="24"/>
              </w:rPr>
            </w:pPr>
          </w:p>
        </w:tc>
        <w:tc>
          <w:tcPr>
            <w:tcW w:w="1123" w:type="dxa"/>
            <w:shd w:val="clear" w:color="auto" w:fill="auto"/>
          </w:tcPr>
          <w:p w14:paraId="23019CC7">
            <w:pPr>
              <w:spacing w:line="360" w:lineRule="auto"/>
              <w:rPr>
                <w:rFonts w:ascii="宋体" w:hAnsi="宋体" w:cs="宋体"/>
                <w:color w:val="auto"/>
                <w:sz w:val="24"/>
              </w:rPr>
            </w:pPr>
          </w:p>
        </w:tc>
        <w:tc>
          <w:tcPr>
            <w:tcW w:w="1091" w:type="dxa"/>
            <w:shd w:val="clear" w:color="auto" w:fill="auto"/>
          </w:tcPr>
          <w:p w14:paraId="6A3F6351">
            <w:pPr>
              <w:spacing w:line="360" w:lineRule="auto"/>
              <w:rPr>
                <w:rFonts w:ascii="宋体" w:hAnsi="宋体" w:cs="宋体"/>
                <w:color w:val="auto"/>
                <w:sz w:val="24"/>
              </w:rPr>
            </w:pPr>
          </w:p>
        </w:tc>
        <w:tc>
          <w:tcPr>
            <w:tcW w:w="1195" w:type="dxa"/>
            <w:shd w:val="clear" w:color="auto" w:fill="auto"/>
          </w:tcPr>
          <w:p w14:paraId="3C05369B">
            <w:pPr>
              <w:spacing w:line="360" w:lineRule="auto"/>
              <w:rPr>
                <w:rFonts w:ascii="宋体" w:hAnsi="宋体" w:cs="宋体"/>
                <w:color w:val="auto"/>
                <w:sz w:val="24"/>
              </w:rPr>
            </w:pPr>
          </w:p>
        </w:tc>
        <w:tc>
          <w:tcPr>
            <w:tcW w:w="1269" w:type="dxa"/>
            <w:shd w:val="clear" w:color="auto" w:fill="auto"/>
          </w:tcPr>
          <w:p w14:paraId="147EB4B9">
            <w:pPr>
              <w:spacing w:line="360" w:lineRule="auto"/>
              <w:rPr>
                <w:rFonts w:ascii="宋体" w:hAnsi="宋体" w:cs="宋体"/>
                <w:color w:val="auto"/>
                <w:sz w:val="24"/>
              </w:rPr>
            </w:pPr>
          </w:p>
        </w:tc>
        <w:tc>
          <w:tcPr>
            <w:tcW w:w="676" w:type="dxa"/>
            <w:shd w:val="clear" w:color="auto" w:fill="auto"/>
          </w:tcPr>
          <w:p w14:paraId="75CB7FF5">
            <w:pPr>
              <w:spacing w:line="360" w:lineRule="auto"/>
              <w:rPr>
                <w:rFonts w:ascii="宋体" w:hAnsi="宋体" w:cs="宋体"/>
                <w:color w:val="auto"/>
                <w:sz w:val="24"/>
              </w:rPr>
            </w:pPr>
          </w:p>
        </w:tc>
      </w:tr>
    </w:tbl>
    <w:p w14:paraId="1A7925BF">
      <w:pPr>
        <w:spacing w:line="360" w:lineRule="auto"/>
        <w:ind w:left="713"/>
        <w:rPr>
          <w:rFonts w:ascii="宋体" w:hAnsi="宋体" w:cs="宋体"/>
          <w:color w:val="auto"/>
          <w:spacing w:val="-6"/>
          <w:sz w:val="24"/>
        </w:rPr>
      </w:pPr>
    </w:p>
    <w:p w14:paraId="785349FE">
      <w:pPr>
        <w:spacing w:line="360" w:lineRule="auto"/>
        <w:ind w:left="713"/>
        <w:rPr>
          <w:rFonts w:ascii="宋体" w:hAnsi="宋体" w:cs="宋体"/>
          <w:color w:val="auto"/>
          <w:sz w:val="24"/>
        </w:rPr>
      </w:pPr>
      <w:r>
        <w:rPr>
          <w:rFonts w:hint="eastAsia" w:ascii="宋体" w:hAnsi="宋体" w:cs="宋体"/>
          <w:color w:val="auto"/>
          <w:spacing w:val="-6"/>
          <w:sz w:val="24"/>
        </w:rPr>
        <w:t>备注： 1.若无分包计划，则供应商应在本表填写</w:t>
      </w:r>
      <w:r>
        <w:rPr>
          <w:rFonts w:hint="eastAsia" w:ascii="宋体" w:hAnsi="宋体" w:cs="宋体"/>
          <w:color w:val="auto"/>
          <w:spacing w:val="-7"/>
          <w:sz w:val="24"/>
        </w:rPr>
        <w:t>“无”。</w:t>
      </w:r>
    </w:p>
    <w:p w14:paraId="04DBD8CA">
      <w:pPr>
        <w:spacing w:line="360" w:lineRule="auto"/>
        <w:ind w:firstLine="1428" w:firstLineChars="600"/>
        <w:rPr>
          <w:rFonts w:ascii="宋体" w:hAnsi="宋体" w:cs="宋体"/>
          <w:color w:val="auto"/>
          <w:spacing w:val="-2"/>
          <w:sz w:val="24"/>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rPr>
        <w:t>2.本表所列分包仅限于承包人自行施工范围内的非主体</w:t>
      </w:r>
      <w:r>
        <w:rPr>
          <w:rFonts w:hint="eastAsia" w:ascii="宋体" w:hAnsi="宋体" w:cs="宋体"/>
          <w:color w:val="auto"/>
          <w:spacing w:val="-2"/>
          <w:sz w:val="24"/>
        </w:rPr>
        <w:t>、非关键工程。</w:t>
      </w:r>
    </w:p>
    <w:p w14:paraId="3A36E8FB">
      <w:pPr>
        <w:tabs>
          <w:tab w:val="left" w:pos="5387"/>
        </w:tabs>
        <w:spacing w:line="360" w:lineRule="auto"/>
        <w:jc w:val="left"/>
        <w:rPr>
          <w:rFonts w:ascii="宋体" w:hAnsi="宋体"/>
          <w:b/>
          <w:color w:val="auto"/>
          <w:sz w:val="24"/>
        </w:rPr>
      </w:pPr>
      <w:r>
        <w:rPr>
          <w:rFonts w:hint="eastAsia" w:ascii="宋体" w:hAnsi="宋体"/>
          <w:b/>
          <w:color w:val="auto"/>
          <w:sz w:val="24"/>
        </w:rPr>
        <w:t>附件12</w:t>
      </w:r>
    </w:p>
    <w:p w14:paraId="5F0EB8DA">
      <w:pPr>
        <w:tabs>
          <w:tab w:val="left" w:pos="5387"/>
        </w:tabs>
        <w:spacing w:line="360" w:lineRule="auto"/>
        <w:jc w:val="center"/>
        <w:rPr>
          <w:rFonts w:ascii="宋体" w:hAnsi="宋体"/>
          <w:b/>
          <w:color w:val="auto"/>
          <w:sz w:val="28"/>
          <w:szCs w:val="28"/>
        </w:rPr>
      </w:pPr>
      <w:r>
        <w:rPr>
          <w:rFonts w:hint="eastAsia" w:ascii="宋体" w:hAnsi="宋体"/>
          <w:b/>
          <w:color w:val="auto"/>
          <w:sz w:val="28"/>
          <w:szCs w:val="28"/>
        </w:rPr>
        <w:t>建设工程项目管理承诺书</w:t>
      </w:r>
    </w:p>
    <w:p w14:paraId="2B7DDF0A">
      <w:pPr>
        <w:spacing w:line="360"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（采购人名称）：</w:t>
      </w:r>
    </w:p>
    <w:p w14:paraId="2B6203A2">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作为参与</w:t>
      </w:r>
      <w:r>
        <w:rPr>
          <w:rFonts w:hint="eastAsia" w:ascii="宋体" w:hAnsi="宋体" w:cs="宋体"/>
          <w:color w:val="auto"/>
          <w:sz w:val="24"/>
          <w:u w:val="single"/>
        </w:rPr>
        <w:t xml:space="preserve">                     </w:t>
      </w:r>
      <w:r>
        <w:rPr>
          <w:rFonts w:hint="eastAsia" w:ascii="宋体" w:hAnsi="宋体" w:cs="宋体"/>
          <w:color w:val="auto"/>
          <w:sz w:val="24"/>
        </w:rPr>
        <w:t>（工程名称）项目的磋商供应商，根据国家、自治区相关文件规定，我方在此向采购人承诺：</w:t>
      </w:r>
    </w:p>
    <w:p w14:paraId="4ECC83C8">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449670D3">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089794C">
      <w:pPr>
        <w:spacing w:line="360" w:lineRule="auto"/>
        <w:ind w:left="-2" w:leftChars="-1" w:firstLine="513" w:firstLineChars="214"/>
        <w:jc w:val="left"/>
        <w:rPr>
          <w:rFonts w:ascii="宋体" w:hAnsi="宋体" w:cs="宋体"/>
          <w:color w:val="auto"/>
          <w:sz w:val="24"/>
        </w:rPr>
      </w:pPr>
      <w:r>
        <w:rPr>
          <w:rFonts w:hint="eastAsia" w:ascii="宋体" w:hAnsi="宋体" w:cs="宋体"/>
          <w:color w:val="auto"/>
          <w:sz w:val="24"/>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FB201B8">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8045BEA">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7C7C95D">
      <w:pPr>
        <w:pStyle w:val="7"/>
        <w:overflowPunct w:val="0"/>
        <w:spacing w:line="360" w:lineRule="auto"/>
        <w:ind w:firstLine="0"/>
        <w:contextualSpacing/>
        <w:jc w:val="left"/>
        <w:rPr>
          <w:rFonts w:ascii="宋体" w:hAnsi="宋体" w:cs="方正小标宋简体"/>
          <w:color w:val="auto"/>
          <w:sz w:val="24"/>
          <w:szCs w:val="24"/>
        </w:rPr>
      </w:pPr>
    </w:p>
    <w:p w14:paraId="624E3E74">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磋商供应商名称(公章)： </w:t>
      </w:r>
    </w:p>
    <w:p w14:paraId="570D8BAB">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683E8CBA">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1978B928">
      <w:pPr>
        <w:spacing w:line="360" w:lineRule="auto"/>
        <w:jc w:val="center"/>
        <w:rPr>
          <w:rFonts w:ascii="宋体" w:hAnsi="宋体"/>
          <w:b/>
          <w:color w:val="auto"/>
          <w:sz w:val="28"/>
          <w:szCs w:val="28"/>
        </w:rPr>
      </w:pPr>
    </w:p>
    <w:p w14:paraId="1E056295">
      <w:pPr>
        <w:spacing w:line="360" w:lineRule="auto"/>
        <w:jc w:val="center"/>
        <w:rPr>
          <w:rFonts w:ascii="宋体" w:hAnsi="宋体"/>
          <w:b/>
          <w:color w:val="auto"/>
          <w:sz w:val="28"/>
          <w:szCs w:val="28"/>
        </w:rPr>
      </w:pPr>
    </w:p>
    <w:p w14:paraId="6436A803">
      <w:pPr>
        <w:spacing w:line="360" w:lineRule="auto"/>
        <w:jc w:val="center"/>
        <w:rPr>
          <w:rFonts w:ascii="宋体" w:hAnsi="宋体"/>
          <w:b/>
          <w:color w:val="auto"/>
          <w:sz w:val="28"/>
          <w:szCs w:val="28"/>
        </w:rPr>
      </w:pPr>
      <w:r>
        <w:rPr>
          <w:rFonts w:hint="eastAsia" w:ascii="宋体" w:hAnsi="宋体"/>
          <w:b/>
          <w:color w:val="auto"/>
          <w:sz w:val="28"/>
          <w:szCs w:val="28"/>
        </w:rPr>
        <w:t>广西壮族自治区建筑工程安全文明施工措施项目清单内容</w:t>
      </w:r>
    </w:p>
    <w:p w14:paraId="491C70AE">
      <w:pPr>
        <w:spacing w:line="360" w:lineRule="auto"/>
        <w:jc w:val="center"/>
        <w:rPr>
          <w:rFonts w:ascii="宋体" w:hAnsi="宋体"/>
          <w:bCs/>
          <w:color w:val="auto"/>
          <w:sz w:val="24"/>
        </w:rPr>
      </w:pPr>
      <w:r>
        <w:rPr>
          <w:rFonts w:hint="eastAsia" w:ascii="宋体" w:hAnsi="宋体"/>
          <w:bCs/>
          <w:color w:val="auto"/>
          <w:sz w:val="24"/>
        </w:rPr>
        <w:t>（桂建质〔2015〕16号文附件一）</w:t>
      </w:r>
    </w:p>
    <w:p w14:paraId="3502B0D0">
      <w:pPr>
        <w:spacing w:line="360" w:lineRule="auto"/>
        <w:jc w:val="center"/>
        <w:rPr>
          <w:rFonts w:ascii="宋体" w:hAnsi="宋体"/>
          <w:b/>
          <w:color w:val="auto"/>
          <w:sz w:val="24"/>
        </w:rPr>
      </w:pPr>
      <w:r>
        <w:rPr>
          <w:rFonts w:hint="eastAsia" w:ascii="宋体" w:hAnsi="宋体"/>
          <w:b/>
          <w:color w:val="auto"/>
          <w:sz w:val="24"/>
        </w:rPr>
        <w:t>广西壮族自治区</w:t>
      </w:r>
    </w:p>
    <w:p w14:paraId="1C9BB7FC">
      <w:pPr>
        <w:spacing w:line="360" w:lineRule="auto"/>
        <w:jc w:val="center"/>
        <w:rPr>
          <w:rFonts w:ascii="宋体" w:hAnsi="宋体"/>
          <w:b/>
          <w:color w:val="auto"/>
          <w:sz w:val="24"/>
        </w:rPr>
      </w:pPr>
      <w:r>
        <w:rPr>
          <w:rFonts w:hint="eastAsia" w:ascii="宋体" w:hAnsi="宋体"/>
          <w:b/>
          <w:color w:val="auto"/>
          <w:sz w:val="24"/>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389D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A46F85C">
            <w:pPr>
              <w:spacing w:line="360" w:lineRule="auto"/>
              <w:jc w:val="center"/>
              <w:rPr>
                <w:rFonts w:ascii="宋体" w:hAnsi="宋体" w:cs="宋体"/>
                <w:b/>
                <w:color w:val="auto"/>
                <w:sz w:val="24"/>
              </w:rPr>
            </w:pPr>
            <w:r>
              <w:rPr>
                <w:rFonts w:hint="eastAsia" w:ascii="宋体" w:hAnsi="宋体" w:cs="宋体"/>
                <w:b/>
                <w:color w:val="auto"/>
                <w:sz w:val="24"/>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7DCA3">
            <w:pPr>
              <w:spacing w:line="360" w:lineRule="auto"/>
              <w:jc w:val="center"/>
              <w:rPr>
                <w:rFonts w:ascii="宋体" w:hAnsi="宋体" w:cs="宋体"/>
                <w:b/>
                <w:color w:val="auto"/>
                <w:sz w:val="24"/>
              </w:rPr>
            </w:pPr>
            <w:r>
              <w:rPr>
                <w:rFonts w:hint="eastAsia" w:ascii="宋体" w:hAnsi="宋体" w:cs="宋体"/>
                <w:b/>
                <w:color w:val="auto"/>
                <w:sz w:val="24"/>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6AB4A67D">
            <w:pPr>
              <w:spacing w:line="360" w:lineRule="auto"/>
              <w:jc w:val="center"/>
              <w:rPr>
                <w:rFonts w:ascii="宋体" w:hAnsi="宋体" w:cs="宋体"/>
                <w:b/>
                <w:color w:val="auto"/>
                <w:sz w:val="24"/>
              </w:rPr>
            </w:pPr>
            <w:r>
              <w:rPr>
                <w:rFonts w:hint="eastAsia" w:ascii="宋体" w:hAnsi="宋体" w:cs="宋体"/>
                <w:b/>
                <w:color w:val="auto"/>
                <w:sz w:val="24"/>
              </w:rPr>
              <w:t>主要内容和要求</w:t>
            </w:r>
          </w:p>
        </w:tc>
      </w:tr>
      <w:tr w14:paraId="29BB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C3FC4D6">
            <w:pPr>
              <w:spacing w:line="360" w:lineRule="auto"/>
              <w:jc w:val="center"/>
              <w:rPr>
                <w:rFonts w:ascii="宋体" w:hAnsi="宋体" w:cs="宋体"/>
                <w:bCs/>
                <w:color w:val="auto"/>
                <w:sz w:val="24"/>
              </w:rPr>
            </w:pPr>
            <w:r>
              <w:rPr>
                <w:rFonts w:hint="eastAsia" w:ascii="宋体" w:hAnsi="宋体" w:cs="宋体"/>
                <w:bCs/>
                <w:color w:val="auto"/>
                <w:sz w:val="24"/>
              </w:rPr>
              <w:t>文明</w:t>
            </w:r>
          </w:p>
          <w:p w14:paraId="5A16B58A">
            <w:pPr>
              <w:spacing w:line="360" w:lineRule="auto"/>
              <w:jc w:val="center"/>
              <w:rPr>
                <w:rFonts w:ascii="宋体" w:hAnsi="宋体" w:cs="宋体"/>
                <w:bCs/>
                <w:color w:val="auto"/>
                <w:sz w:val="24"/>
              </w:rPr>
            </w:pPr>
            <w:r>
              <w:rPr>
                <w:rFonts w:hint="eastAsia" w:ascii="宋体" w:hAnsi="宋体" w:cs="宋体"/>
                <w:bCs/>
                <w:color w:val="auto"/>
                <w:sz w:val="24"/>
              </w:rPr>
              <w:t>施工</w:t>
            </w:r>
          </w:p>
          <w:p w14:paraId="6A37C0B9">
            <w:pPr>
              <w:spacing w:line="360" w:lineRule="auto"/>
              <w:jc w:val="center"/>
              <w:rPr>
                <w:rFonts w:ascii="宋体" w:hAnsi="宋体" w:cs="宋体"/>
                <w:bCs/>
                <w:color w:val="auto"/>
                <w:sz w:val="24"/>
              </w:rPr>
            </w:pPr>
            <w:r>
              <w:rPr>
                <w:rFonts w:hint="eastAsia" w:ascii="宋体" w:hAnsi="宋体" w:cs="宋体"/>
                <w:bCs/>
                <w:color w:val="auto"/>
                <w:sz w:val="24"/>
              </w:rPr>
              <w:t>与</w:t>
            </w:r>
          </w:p>
          <w:p w14:paraId="08F42FEC">
            <w:pPr>
              <w:spacing w:line="360" w:lineRule="auto"/>
              <w:jc w:val="center"/>
              <w:rPr>
                <w:rFonts w:ascii="宋体" w:hAnsi="宋体" w:cs="宋体"/>
                <w:bCs/>
                <w:color w:val="auto"/>
                <w:sz w:val="24"/>
              </w:rPr>
            </w:pPr>
            <w:r>
              <w:rPr>
                <w:rFonts w:hint="eastAsia" w:ascii="宋体" w:hAnsi="宋体" w:cs="宋体"/>
                <w:bCs/>
                <w:color w:val="auto"/>
                <w:sz w:val="24"/>
              </w:rPr>
              <w:t>环境</w:t>
            </w:r>
          </w:p>
          <w:p w14:paraId="1B4A164F">
            <w:pPr>
              <w:spacing w:line="360" w:lineRule="auto"/>
              <w:jc w:val="center"/>
              <w:rPr>
                <w:rFonts w:ascii="宋体" w:hAnsi="宋体" w:cs="宋体"/>
                <w:bCs/>
                <w:color w:val="auto"/>
                <w:sz w:val="24"/>
              </w:rPr>
            </w:pPr>
            <w:r>
              <w:rPr>
                <w:rFonts w:hint="eastAsia" w:ascii="宋体" w:hAnsi="宋体" w:cs="宋体"/>
                <w:bCs/>
                <w:color w:val="auto"/>
                <w:sz w:val="24"/>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308CC42">
            <w:pPr>
              <w:spacing w:line="360" w:lineRule="auto"/>
              <w:jc w:val="center"/>
              <w:rPr>
                <w:rFonts w:ascii="宋体" w:hAnsi="宋体" w:cs="宋体"/>
                <w:bCs/>
                <w:color w:val="auto"/>
                <w:sz w:val="24"/>
              </w:rPr>
            </w:pPr>
            <w:r>
              <w:rPr>
                <w:rFonts w:hint="eastAsia" w:ascii="宋体" w:hAnsi="宋体" w:cs="宋体"/>
                <w:bCs/>
                <w:color w:val="auto"/>
                <w:sz w:val="24"/>
              </w:rPr>
              <w:t>安全警示</w:t>
            </w:r>
          </w:p>
          <w:p w14:paraId="395F4E63">
            <w:pPr>
              <w:spacing w:line="360" w:lineRule="auto"/>
              <w:jc w:val="center"/>
              <w:rPr>
                <w:rFonts w:ascii="宋体" w:hAnsi="宋体" w:cs="宋体"/>
                <w:bCs/>
                <w:color w:val="auto"/>
                <w:sz w:val="24"/>
              </w:rPr>
            </w:pPr>
            <w:r>
              <w:rPr>
                <w:rFonts w:hint="eastAsia" w:ascii="宋体" w:hAnsi="宋体" w:cs="宋体"/>
                <w:bCs/>
                <w:color w:val="auto"/>
                <w:sz w:val="24"/>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A2FA187">
            <w:pPr>
              <w:spacing w:line="360" w:lineRule="auto"/>
              <w:jc w:val="left"/>
              <w:rPr>
                <w:rFonts w:ascii="宋体" w:hAnsi="宋体" w:cs="宋体"/>
                <w:bCs/>
                <w:color w:val="auto"/>
                <w:sz w:val="24"/>
              </w:rPr>
            </w:pPr>
            <w:r>
              <w:rPr>
                <w:rFonts w:hint="eastAsia" w:ascii="宋体" w:hAnsi="宋体" w:cs="宋体"/>
                <w:bCs/>
                <w:color w:val="auto"/>
                <w:sz w:val="24"/>
              </w:rPr>
              <w:t>在易发伤亡事故（或危险）处设置明显的、符合国家标准要求的安全警示标志牌。</w:t>
            </w:r>
          </w:p>
        </w:tc>
      </w:tr>
      <w:tr w14:paraId="3E25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4F1302">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FC662">
            <w:pPr>
              <w:spacing w:line="360" w:lineRule="auto"/>
              <w:jc w:val="center"/>
              <w:rPr>
                <w:rFonts w:ascii="宋体" w:hAnsi="宋体" w:cs="宋体"/>
                <w:bCs/>
                <w:color w:val="auto"/>
                <w:sz w:val="24"/>
              </w:rPr>
            </w:pPr>
            <w:r>
              <w:rPr>
                <w:rFonts w:hint="eastAsia" w:ascii="宋体" w:hAnsi="宋体" w:cs="宋体"/>
                <w:bCs/>
                <w:color w:val="auto"/>
                <w:sz w:val="24"/>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496FE22">
            <w:pPr>
              <w:spacing w:line="360" w:lineRule="auto"/>
              <w:jc w:val="left"/>
              <w:rPr>
                <w:rFonts w:ascii="宋体" w:hAnsi="宋体" w:cs="宋体"/>
                <w:bCs/>
                <w:color w:val="auto"/>
                <w:sz w:val="24"/>
              </w:rPr>
            </w:pPr>
            <w:r>
              <w:rPr>
                <w:rFonts w:hint="eastAsia" w:ascii="宋体" w:hAnsi="宋体" w:cs="宋体"/>
                <w:bCs/>
                <w:color w:val="auto"/>
                <w:sz w:val="24"/>
              </w:rPr>
              <w:t>1.现场采用封闭围挡，高度不小于1.8m。</w:t>
            </w:r>
          </w:p>
          <w:p w14:paraId="4A93E200">
            <w:pPr>
              <w:spacing w:line="360" w:lineRule="auto"/>
              <w:jc w:val="left"/>
              <w:rPr>
                <w:rFonts w:ascii="宋体" w:hAnsi="宋体" w:cs="宋体"/>
                <w:bCs/>
                <w:color w:val="auto"/>
                <w:sz w:val="24"/>
              </w:rPr>
            </w:pPr>
            <w:r>
              <w:rPr>
                <w:rFonts w:hint="eastAsia" w:ascii="宋体" w:hAnsi="宋体" w:cs="宋体"/>
                <w:bCs/>
                <w:color w:val="auto"/>
                <w:sz w:val="24"/>
              </w:rPr>
              <w:t>2.围挡材料可用彩色、定型钢板，砖、砼砌块等墙体。</w:t>
            </w:r>
          </w:p>
        </w:tc>
      </w:tr>
      <w:tr w14:paraId="4941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246220">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84B685">
            <w:pPr>
              <w:spacing w:line="360" w:lineRule="auto"/>
              <w:jc w:val="center"/>
              <w:rPr>
                <w:rFonts w:ascii="宋体" w:hAnsi="宋体" w:cs="宋体"/>
                <w:bCs/>
                <w:color w:val="auto"/>
                <w:sz w:val="24"/>
              </w:rPr>
            </w:pPr>
            <w:r>
              <w:rPr>
                <w:rFonts w:hint="eastAsia" w:ascii="宋体" w:hAnsi="宋体" w:cs="宋体"/>
                <w:bCs/>
                <w:color w:val="auto"/>
                <w:sz w:val="24"/>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E3991CB">
            <w:pPr>
              <w:spacing w:line="360" w:lineRule="auto"/>
              <w:jc w:val="left"/>
              <w:rPr>
                <w:rFonts w:ascii="宋体" w:hAnsi="宋体" w:cs="宋体"/>
                <w:bCs/>
                <w:color w:val="auto"/>
                <w:sz w:val="24"/>
              </w:rPr>
            </w:pPr>
            <w:r>
              <w:rPr>
                <w:rFonts w:hint="eastAsia" w:ascii="宋体" w:hAnsi="宋体" w:cs="宋体"/>
                <w:bCs/>
                <w:color w:val="auto"/>
                <w:sz w:val="24"/>
              </w:rPr>
              <w:t>在进门处悬挂工程概况、现场出入制度、管理人员名单及监督电话、安全生产规定、文明施工、消防保卫、节能公示等七牌以及；施工现场总平面图、工程效果图。</w:t>
            </w:r>
          </w:p>
        </w:tc>
      </w:tr>
      <w:tr w14:paraId="6749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E9516B">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F3BF515">
            <w:pPr>
              <w:spacing w:line="360" w:lineRule="auto"/>
              <w:jc w:val="center"/>
              <w:rPr>
                <w:rFonts w:ascii="宋体" w:hAnsi="宋体" w:cs="宋体"/>
                <w:bCs/>
                <w:color w:val="auto"/>
                <w:sz w:val="24"/>
              </w:rPr>
            </w:pPr>
            <w:r>
              <w:rPr>
                <w:rFonts w:hint="eastAsia" w:ascii="宋体" w:hAnsi="宋体" w:cs="宋体"/>
                <w:bCs/>
                <w:color w:val="auto"/>
                <w:sz w:val="24"/>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3D81465B">
            <w:pPr>
              <w:spacing w:line="360" w:lineRule="auto"/>
              <w:jc w:val="left"/>
              <w:rPr>
                <w:rFonts w:ascii="宋体" w:hAnsi="宋体" w:cs="宋体"/>
                <w:bCs/>
                <w:color w:val="auto"/>
                <w:sz w:val="24"/>
              </w:rPr>
            </w:pPr>
            <w:r>
              <w:rPr>
                <w:rFonts w:hint="eastAsia" w:ascii="宋体" w:hAnsi="宋体" w:cs="宋体"/>
                <w:bCs/>
                <w:color w:val="auto"/>
                <w:sz w:val="24"/>
              </w:rPr>
              <w:t>现场出入的大门应设有本企业标志或企业标识。</w:t>
            </w:r>
          </w:p>
        </w:tc>
      </w:tr>
      <w:tr w14:paraId="6093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353FC57">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3969C3E">
            <w:pPr>
              <w:spacing w:line="360" w:lineRule="auto"/>
              <w:jc w:val="center"/>
              <w:rPr>
                <w:rFonts w:ascii="宋体" w:hAnsi="宋体" w:cs="宋体"/>
                <w:bCs/>
                <w:color w:val="auto"/>
                <w:sz w:val="24"/>
              </w:rPr>
            </w:pPr>
            <w:r>
              <w:rPr>
                <w:rFonts w:hint="eastAsia" w:ascii="宋体" w:hAnsi="宋体" w:cs="宋体"/>
                <w:bCs/>
                <w:color w:val="auto"/>
                <w:sz w:val="24"/>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0EECF35D">
            <w:pPr>
              <w:spacing w:line="360" w:lineRule="auto"/>
              <w:jc w:val="left"/>
              <w:rPr>
                <w:rFonts w:ascii="宋体" w:hAnsi="宋体" w:cs="宋体"/>
                <w:bCs/>
                <w:color w:val="auto"/>
                <w:sz w:val="24"/>
              </w:rPr>
            </w:pPr>
            <w:r>
              <w:rPr>
                <w:rFonts w:hint="eastAsia" w:ascii="宋体" w:hAnsi="宋体" w:cs="宋体"/>
                <w:bCs/>
                <w:color w:val="auto"/>
                <w:sz w:val="24"/>
              </w:rPr>
              <w:t>1.道路畅通；</w:t>
            </w:r>
          </w:p>
          <w:p w14:paraId="0876B55B">
            <w:pPr>
              <w:spacing w:line="360" w:lineRule="auto"/>
              <w:jc w:val="left"/>
              <w:rPr>
                <w:rFonts w:ascii="宋体" w:hAnsi="宋体" w:cs="宋体"/>
                <w:bCs/>
                <w:color w:val="auto"/>
                <w:sz w:val="24"/>
              </w:rPr>
            </w:pPr>
            <w:r>
              <w:rPr>
                <w:rFonts w:hint="eastAsia" w:ascii="宋体" w:hAnsi="宋体" w:cs="宋体"/>
                <w:bCs/>
                <w:color w:val="auto"/>
                <w:sz w:val="24"/>
              </w:rPr>
              <w:t>2.排水沟、排水设施畅通；</w:t>
            </w:r>
          </w:p>
          <w:p w14:paraId="7E79AF0F">
            <w:pPr>
              <w:spacing w:line="360" w:lineRule="auto"/>
              <w:jc w:val="left"/>
              <w:rPr>
                <w:rFonts w:ascii="宋体" w:hAnsi="宋体" w:cs="宋体"/>
                <w:bCs/>
                <w:color w:val="auto"/>
                <w:sz w:val="24"/>
              </w:rPr>
            </w:pPr>
            <w:r>
              <w:rPr>
                <w:rFonts w:hint="eastAsia" w:ascii="宋体" w:hAnsi="宋体" w:cs="宋体"/>
                <w:bCs/>
                <w:color w:val="auto"/>
                <w:sz w:val="24"/>
              </w:rPr>
              <w:t>3.工地地面硬化处理（办公区，生活区，现场道路，材料堆放、混凝土搅拌、砂浆搅拌、钢筋加工等场地，外脚手架基础等）。</w:t>
            </w:r>
          </w:p>
        </w:tc>
      </w:tr>
      <w:tr w14:paraId="264D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F096E6B">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B51FF51">
            <w:pPr>
              <w:spacing w:line="360" w:lineRule="auto"/>
              <w:jc w:val="center"/>
              <w:rPr>
                <w:rFonts w:ascii="宋体" w:hAnsi="宋体" w:cs="宋体"/>
                <w:bCs/>
                <w:color w:val="auto"/>
                <w:sz w:val="24"/>
              </w:rPr>
            </w:pPr>
            <w:r>
              <w:rPr>
                <w:rFonts w:hint="eastAsia" w:ascii="宋体" w:hAnsi="宋体" w:cs="宋体"/>
                <w:bCs/>
                <w:color w:val="auto"/>
                <w:sz w:val="24"/>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6D60A1CC">
            <w:pPr>
              <w:spacing w:line="360" w:lineRule="auto"/>
              <w:jc w:val="left"/>
              <w:rPr>
                <w:rFonts w:ascii="宋体" w:hAnsi="宋体" w:cs="宋体"/>
                <w:bCs/>
                <w:color w:val="auto"/>
                <w:sz w:val="24"/>
              </w:rPr>
            </w:pPr>
            <w:r>
              <w:rPr>
                <w:rFonts w:hint="eastAsia" w:ascii="宋体" w:hAnsi="宋体" w:cs="宋体"/>
                <w:bCs/>
                <w:color w:val="auto"/>
                <w:sz w:val="24"/>
              </w:rPr>
              <w:t>（1）材料、构件、料具等堆放时，悬挂有名称、品种、规格等标牌；</w:t>
            </w:r>
          </w:p>
          <w:p w14:paraId="29C46E01">
            <w:pPr>
              <w:spacing w:line="360" w:lineRule="auto"/>
              <w:jc w:val="left"/>
              <w:rPr>
                <w:rFonts w:ascii="宋体" w:hAnsi="宋体" w:cs="宋体"/>
                <w:bCs/>
                <w:color w:val="auto"/>
                <w:sz w:val="24"/>
              </w:rPr>
            </w:pPr>
            <w:r>
              <w:rPr>
                <w:rFonts w:hint="eastAsia" w:ascii="宋体" w:hAnsi="宋体" w:cs="宋体"/>
                <w:bCs/>
                <w:color w:val="auto"/>
                <w:sz w:val="24"/>
              </w:rPr>
              <w:t>（2）水泥和其他易飞扬细颗粒建筑材料应封闭存放或采取覆盖等措施；</w:t>
            </w:r>
          </w:p>
          <w:p w14:paraId="4637F0E1">
            <w:pPr>
              <w:spacing w:line="360" w:lineRule="auto"/>
              <w:jc w:val="left"/>
              <w:rPr>
                <w:rFonts w:ascii="宋体" w:hAnsi="宋体" w:cs="宋体"/>
                <w:bCs/>
                <w:color w:val="auto"/>
                <w:sz w:val="24"/>
              </w:rPr>
            </w:pPr>
            <w:r>
              <w:rPr>
                <w:rFonts w:hint="eastAsia" w:ascii="宋体" w:hAnsi="宋体" w:cs="宋体"/>
                <w:bCs/>
                <w:color w:val="auto"/>
                <w:sz w:val="24"/>
              </w:rPr>
              <w:t>（3）易燃、易爆和有毒有害物品分类存放。</w:t>
            </w:r>
          </w:p>
        </w:tc>
      </w:tr>
      <w:tr w14:paraId="3FDE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5FE8F45">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00F1B88">
            <w:pPr>
              <w:spacing w:line="360" w:lineRule="auto"/>
              <w:jc w:val="center"/>
              <w:rPr>
                <w:rFonts w:ascii="宋体" w:hAnsi="宋体" w:cs="宋体"/>
                <w:bCs/>
                <w:color w:val="auto"/>
                <w:sz w:val="24"/>
              </w:rPr>
            </w:pPr>
            <w:r>
              <w:rPr>
                <w:rFonts w:hint="eastAsia" w:ascii="宋体" w:hAnsi="宋体" w:cs="宋体"/>
                <w:bCs/>
                <w:color w:val="auto"/>
                <w:sz w:val="24"/>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0772EAB1">
            <w:pPr>
              <w:spacing w:line="360" w:lineRule="auto"/>
              <w:jc w:val="left"/>
              <w:rPr>
                <w:rFonts w:ascii="宋体" w:hAnsi="宋体" w:cs="宋体"/>
                <w:bCs/>
                <w:color w:val="auto"/>
                <w:sz w:val="24"/>
              </w:rPr>
            </w:pPr>
            <w:r>
              <w:rPr>
                <w:rFonts w:hint="eastAsia" w:ascii="宋体" w:hAnsi="宋体" w:cs="宋体"/>
                <w:bCs/>
                <w:color w:val="auto"/>
                <w:sz w:val="24"/>
              </w:rPr>
              <w:t>消防器材配置合理，符合消防要求。</w:t>
            </w:r>
          </w:p>
        </w:tc>
      </w:tr>
      <w:tr w14:paraId="2F8A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8491E4C">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D8818A6">
            <w:pPr>
              <w:spacing w:line="360" w:lineRule="auto"/>
              <w:jc w:val="center"/>
              <w:rPr>
                <w:rFonts w:ascii="宋体" w:hAnsi="宋体" w:cs="宋体"/>
                <w:bCs/>
                <w:color w:val="auto"/>
                <w:sz w:val="24"/>
              </w:rPr>
            </w:pPr>
            <w:r>
              <w:rPr>
                <w:rFonts w:hint="eastAsia" w:ascii="宋体" w:hAnsi="宋体" w:cs="宋体"/>
                <w:bCs/>
                <w:color w:val="auto"/>
                <w:sz w:val="24"/>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DD16B14">
            <w:pPr>
              <w:spacing w:line="360" w:lineRule="auto"/>
              <w:jc w:val="left"/>
              <w:rPr>
                <w:rFonts w:ascii="宋体" w:hAnsi="宋体" w:cs="宋体"/>
                <w:bCs/>
                <w:color w:val="auto"/>
                <w:sz w:val="24"/>
              </w:rPr>
            </w:pPr>
            <w:r>
              <w:rPr>
                <w:rFonts w:hint="eastAsia" w:ascii="宋体" w:hAnsi="宋体" w:cs="宋体"/>
                <w:bCs/>
                <w:color w:val="auto"/>
                <w:sz w:val="24"/>
              </w:rPr>
              <w:t>1.施工现场应设置密闭式垃圾站，施工垃圾、生活垃圾应分类存放。</w:t>
            </w:r>
          </w:p>
          <w:p w14:paraId="1AB26FF4">
            <w:pPr>
              <w:spacing w:line="360" w:lineRule="auto"/>
              <w:jc w:val="left"/>
              <w:rPr>
                <w:rFonts w:ascii="宋体" w:hAnsi="宋体" w:cs="宋体"/>
                <w:bCs/>
                <w:color w:val="auto"/>
                <w:sz w:val="24"/>
              </w:rPr>
            </w:pPr>
            <w:r>
              <w:rPr>
                <w:rFonts w:hint="eastAsia" w:ascii="宋体" w:hAnsi="宋体" w:cs="宋体"/>
                <w:bCs/>
                <w:color w:val="auto"/>
                <w:sz w:val="24"/>
              </w:rPr>
              <w:t>2.施工垃圾必须采用相应容器或管道运输。</w:t>
            </w:r>
          </w:p>
        </w:tc>
      </w:tr>
      <w:tr w14:paraId="47CB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BA33894">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21BB72">
            <w:pPr>
              <w:spacing w:line="360" w:lineRule="auto"/>
              <w:jc w:val="center"/>
              <w:rPr>
                <w:rFonts w:ascii="宋体" w:hAnsi="宋体" w:cs="宋体"/>
                <w:bCs/>
                <w:color w:val="auto"/>
                <w:sz w:val="24"/>
              </w:rPr>
            </w:pPr>
            <w:r>
              <w:rPr>
                <w:rFonts w:hint="eastAsia" w:ascii="宋体" w:hAnsi="宋体" w:cs="宋体"/>
                <w:bCs/>
                <w:color w:val="auto"/>
                <w:sz w:val="24"/>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483E38B2">
            <w:pPr>
              <w:spacing w:line="360" w:lineRule="auto"/>
              <w:jc w:val="left"/>
              <w:rPr>
                <w:rFonts w:ascii="宋体" w:hAnsi="宋体" w:cs="宋体"/>
                <w:bCs/>
                <w:color w:val="auto"/>
                <w:sz w:val="24"/>
              </w:rPr>
            </w:pPr>
            <w:r>
              <w:rPr>
                <w:rFonts w:hint="eastAsia" w:ascii="宋体" w:hAnsi="宋体" w:cs="宋体"/>
                <w:bCs/>
                <w:color w:val="auto"/>
                <w:sz w:val="24"/>
              </w:rPr>
              <w:t>宣传栏、安全宣传标语等，洗车（防止污染市区道路）、粉尘、噪声控制，排污（污水、废气）措施等。</w:t>
            </w:r>
          </w:p>
        </w:tc>
      </w:tr>
      <w:tr w14:paraId="312D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7FAB62A">
            <w:pPr>
              <w:spacing w:line="360" w:lineRule="auto"/>
              <w:jc w:val="center"/>
              <w:rPr>
                <w:rFonts w:ascii="宋体" w:hAnsi="宋体" w:cs="宋体"/>
                <w:bCs/>
                <w:color w:val="auto"/>
                <w:sz w:val="24"/>
              </w:rPr>
            </w:pPr>
            <w:r>
              <w:rPr>
                <w:rFonts w:hint="eastAsia" w:ascii="宋体" w:hAnsi="宋体" w:cs="宋体"/>
                <w:bCs/>
                <w:color w:val="auto"/>
                <w:sz w:val="24"/>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6B8A81">
            <w:pPr>
              <w:spacing w:line="360" w:lineRule="auto"/>
              <w:jc w:val="center"/>
              <w:rPr>
                <w:rFonts w:ascii="宋体" w:hAnsi="宋体" w:cs="宋体"/>
                <w:bCs/>
                <w:color w:val="auto"/>
                <w:sz w:val="24"/>
              </w:rPr>
            </w:pPr>
            <w:r>
              <w:rPr>
                <w:rFonts w:hint="eastAsia" w:ascii="宋体" w:hAnsi="宋体" w:cs="宋体"/>
                <w:bCs/>
                <w:color w:val="auto"/>
                <w:sz w:val="24"/>
              </w:rPr>
              <w:t>现场办公</w:t>
            </w:r>
          </w:p>
          <w:p w14:paraId="322E01DA">
            <w:pPr>
              <w:spacing w:line="360" w:lineRule="auto"/>
              <w:jc w:val="center"/>
              <w:rPr>
                <w:rFonts w:ascii="宋体" w:hAnsi="宋体" w:cs="宋体"/>
                <w:bCs/>
                <w:color w:val="auto"/>
                <w:sz w:val="24"/>
              </w:rPr>
            </w:pPr>
            <w:r>
              <w:rPr>
                <w:rFonts w:hint="eastAsia" w:ascii="宋体" w:hAnsi="宋体" w:cs="宋体"/>
                <w:bCs/>
                <w:color w:val="auto"/>
                <w:sz w:val="24"/>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080B116F">
            <w:pPr>
              <w:spacing w:line="360" w:lineRule="auto"/>
              <w:jc w:val="left"/>
              <w:rPr>
                <w:rFonts w:ascii="宋体" w:hAnsi="宋体" w:cs="宋体"/>
                <w:bCs/>
                <w:color w:val="auto"/>
                <w:sz w:val="24"/>
              </w:rPr>
            </w:pPr>
            <w:r>
              <w:rPr>
                <w:rFonts w:hint="eastAsia" w:ascii="宋体" w:hAnsi="宋体" w:cs="宋体"/>
                <w:bCs/>
                <w:color w:val="auto"/>
                <w:sz w:val="24"/>
              </w:rPr>
              <w:t>1.施工现场办公、生活区与作业区分开设置，保持安全距离。</w:t>
            </w:r>
          </w:p>
          <w:p w14:paraId="5ED73420">
            <w:pPr>
              <w:spacing w:line="360" w:lineRule="auto"/>
              <w:jc w:val="left"/>
              <w:rPr>
                <w:rFonts w:ascii="宋体" w:hAnsi="宋体" w:cs="宋体"/>
                <w:bCs/>
                <w:color w:val="auto"/>
                <w:sz w:val="24"/>
              </w:rPr>
            </w:pPr>
            <w:r>
              <w:rPr>
                <w:rFonts w:hint="eastAsia" w:ascii="宋体" w:hAnsi="宋体" w:cs="宋体"/>
                <w:bCs/>
                <w:color w:val="auto"/>
                <w:sz w:val="24"/>
              </w:rPr>
              <w:t>2.工地办公室、现场宿舍、食堂、厕所、饮水、沐浴、休息场所等符合卫生、消防安全要求；</w:t>
            </w:r>
          </w:p>
        </w:tc>
      </w:tr>
      <w:tr w14:paraId="0116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A67C36">
            <w:pPr>
              <w:spacing w:line="360" w:lineRule="auto"/>
              <w:jc w:val="center"/>
              <w:rPr>
                <w:rFonts w:ascii="宋体" w:hAnsi="宋体" w:cs="宋体"/>
                <w:bCs/>
                <w:color w:val="auto"/>
                <w:sz w:val="24"/>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A123201">
            <w:pPr>
              <w:spacing w:line="360" w:lineRule="auto"/>
              <w:jc w:val="center"/>
              <w:rPr>
                <w:rFonts w:ascii="宋体" w:hAnsi="宋体" w:cs="宋体"/>
                <w:bCs/>
                <w:color w:val="auto"/>
                <w:sz w:val="24"/>
              </w:rPr>
            </w:pPr>
            <w:r>
              <w:rPr>
                <w:rFonts w:hint="eastAsia" w:ascii="宋体" w:hAnsi="宋体" w:cs="宋体"/>
                <w:bCs/>
                <w:color w:val="auto"/>
                <w:sz w:val="24"/>
              </w:rPr>
              <w:t>施工现场</w:t>
            </w:r>
          </w:p>
          <w:p w14:paraId="1A301D5F">
            <w:pPr>
              <w:spacing w:line="360" w:lineRule="auto"/>
              <w:jc w:val="center"/>
              <w:rPr>
                <w:rFonts w:ascii="宋体" w:hAnsi="宋体" w:cs="宋体"/>
                <w:bCs/>
                <w:color w:val="auto"/>
                <w:sz w:val="24"/>
              </w:rPr>
            </w:pPr>
            <w:r>
              <w:rPr>
                <w:rFonts w:hint="eastAsia" w:ascii="宋体" w:hAnsi="宋体" w:cs="宋体"/>
                <w:bCs/>
                <w:color w:val="auto"/>
                <w:sz w:val="24"/>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01F80BBC">
            <w:pPr>
              <w:spacing w:line="360" w:lineRule="auto"/>
              <w:jc w:val="center"/>
              <w:rPr>
                <w:rFonts w:ascii="宋体" w:hAnsi="宋体" w:cs="宋体"/>
                <w:bCs/>
                <w:color w:val="auto"/>
                <w:sz w:val="24"/>
              </w:rPr>
            </w:pPr>
            <w:r>
              <w:rPr>
                <w:rFonts w:hint="eastAsia" w:ascii="宋体" w:hAnsi="宋体" w:cs="宋体"/>
                <w:bCs/>
                <w:color w:val="auto"/>
                <w:sz w:val="24"/>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2FFD47E">
            <w:pPr>
              <w:spacing w:line="360" w:lineRule="auto"/>
              <w:jc w:val="left"/>
              <w:rPr>
                <w:rFonts w:ascii="宋体" w:hAnsi="宋体" w:cs="宋体"/>
                <w:bCs/>
                <w:color w:val="auto"/>
                <w:sz w:val="24"/>
              </w:rPr>
            </w:pPr>
            <w:r>
              <w:rPr>
                <w:rFonts w:hint="eastAsia" w:ascii="宋体" w:hAnsi="宋体" w:cs="宋体"/>
                <w:bCs/>
                <w:color w:val="auto"/>
                <w:sz w:val="24"/>
              </w:rPr>
              <w:t>1.按照TN-S系统要求配备五芯电缆、四芯电缆和三芯电缆。</w:t>
            </w:r>
          </w:p>
          <w:p w14:paraId="76B31636">
            <w:pPr>
              <w:spacing w:line="360" w:lineRule="auto"/>
              <w:jc w:val="left"/>
              <w:rPr>
                <w:rFonts w:ascii="宋体" w:hAnsi="宋体" w:cs="宋体"/>
                <w:bCs/>
                <w:color w:val="auto"/>
                <w:sz w:val="24"/>
              </w:rPr>
            </w:pPr>
            <w:r>
              <w:rPr>
                <w:rFonts w:hint="eastAsia" w:ascii="宋体" w:hAnsi="宋体" w:cs="宋体"/>
                <w:bCs/>
                <w:color w:val="auto"/>
                <w:sz w:val="24"/>
              </w:rPr>
              <w:t>2.按要求架设临时用电线路的电杆、横担、瓷夹、瓷瓶等，或电缆埋地的地沟。</w:t>
            </w:r>
          </w:p>
          <w:p w14:paraId="694D3C49">
            <w:pPr>
              <w:spacing w:line="360" w:lineRule="auto"/>
              <w:jc w:val="left"/>
              <w:rPr>
                <w:rFonts w:ascii="宋体" w:hAnsi="宋体" w:cs="宋体"/>
                <w:bCs/>
                <w:color w:val="auto"/>
                <w:sz w:val="24"/>
              </w:rPr>
            </w:pPr>
            <w:r>
              <w:rPr>
                <w:rFonts w:hint="eastAsia" w:ascii="宋体" w:hAnsi="宋体" w:cs="宋体"/>
                <w:bCs/>
                <w:color w:val="auto"/>
                <w:sz w:val="24"/>
              </w:rPr>
              <w:t>3.对靠近施工现场的外电线路，设置木质、塑料等绝缘体的防护设施。</w:t>
            </w:r>
          </w:p>
        </w:tc>
      </w:tr>
      <w:tr w14:paraId="7AEF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E8FBA7">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21C7D50">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8FDF090">
            <w:pPr>
              <w:spacing w:line="360" w:lineRule="auto"/>
              <w:jc w:val="center"/>
              <w:rPr>
                <w:rFonts w:ascii="宋体" w:hAnsi="宋体" w:cs="宋体"/>
                <w:bCs/>
                <w:color w:val="auto"/>
                <w:sz w:val="24"/>
              </w:rPr>
            </w:pPr>
            <w:r>
              <w:rPr>
                <w:rFonts w:hint="eastAsia" w:ascii="宋体" w:hAnsi="宋体" w:cs="宋体"/>
                <w:bCs/>
                <w:color w:val="auto"/>
                <w:sz w:val="24"/>
              </w:rPr>
              <w:t>配电箱</w:t>
            </w:r>
          </w:p>
          <w:p w14:paraId="1A1B34EA">
            <w:pPr>
              <w:spacing w:line="360" w:lineRule="auto"/>
              <w:jc w:val="center"/>
              <w:rPr>
                <w:rFonts w:ascii="宋体" w:hAnsi="宋体" w:cs="宋体"/>
                <w:bCs/>
                <w:color w:val="auto"/>
                <w:sz w:val="24"/>
              </w:rPr>
            </w:pPr>
            <w:r>
              <w:rPr>
                <w:rFonts w:hint="eastAsia" w:ascii="宋体" w:hAnsi="宋体" w:cs="宋体"/>
                <w:bCs/>
                <w:color w:val="auto"/>
                <w:sz w:val="24"/>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23BEBE44">
            <w:pPr>
              <w:spacing w:line="360" w:lineRule="auto"/>
              <w:jc w:val="left"/>
              <w:rPr>
                <w:rFonts w:ascii="宋体" w:hAnsi="宋体" w:cs="宋体"/>
                <w:bCs/>
                <w:color w:val="auto"/>
                <w:sz w:val="24"/>
              </w:rPr>
            </w:pPr>
            <w:r>
              <w:rPr>
                <w:rFonts w:hint="eastAsia" w:ascii="宋体" w:hAnsi="宋体" w:cs="宋体"/>
                <w:bCs/>
                <w:color w:val="auto"/>
                <w:sz w:val="24"/>
              </w:rPr>
              <w:t>1.按三级配电要求，配备总配电箱、分配电箱、开关箱三类（铁质）标准电箱。开关箱应符合一机、一箱、一闸、一漏。三类电箱中的各类电器应是合格品。</w:t>
            </w:r>
          </w:p>
          <w:p w14:paraId="662804DE">
            <w:pPr>
              <w:spacing w:line="360" w:lineRule="auto"/>
              <w:jc w:val="left"/>
              <w:rPr>
                <w:rFonts w:ascii="宋体" w:hAnsi="宋体" w:cs="宋体"/>
                <w:bCs/>
                <w:color w:val="auto"/>
                <w:sz w:val="24"/>
              </w:rPr>
            </w:pPr>
            <w:r>
              <w:rPr>
                <w:rFonts w:hint="eastAsia" w:ascii="宋体" w:hAnsi="宋体" w:cs="宋体"/>
                <w:bCs/>
                <w:color w:val="auto"/>
                <w:sz w:val="24"/>
              </w:rPr>
              <w:t>2.按两级保护的要求，选取符合容量要求和质量合格的总配电箱和开关箱中的漏电保护器。</w:t>
            </w:r>
          </w:p>
          <w:p w14:paraId="0AC5216A">
            <w:pPr>
              <w:spacing w:line="360" w:lineRule="auto"/>
              <w:jc w:val="left"/>
              <w:rPr>
                <w:rFonts w:ascii="宋体" w:hAnsi="宋体" w:cs="宋体"/>
                <w:bCs/>
                <w:color w:val="auto"/>
                <w:sz w:val="24"/>
              </w:rPr>
            </w:pPr>
            <w:r>
              <w:rPr>
                <w:rFonts w:hint="eastAsia" w:ascii="宋体" w:hAnsi="宋体" w:cs="宋体"/>
                <w:bCs/>
                <w:color w:val="auto"/>
                <w:sz w:val="24"/>
              </w:rPr>
              <w:t>3.对大型、落地式分配电箱、开关箱设置防护棚和通透式围挡。</w:t>
            </w:r>
          </w:p>
        </w:tc>
      </w:tr>
      <w:tr w14:paraId="70A2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683A4C">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F1484FC">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523598F">
            <w:pPr>
              <w:spacing w:line="360" w:lineRule="auto"/>
              <w:jc w:val="center"/>
              <w:rPr>
                <w:rFonts w:ascii="宋体" w:hAnsi="宋体" w:cs="宋体"/>
                <w:bCs/>
                <w:color w:val="auto"/>
                <w:sz w:val="24"/>
              </w:rPr>
            </w:pPr>
            <w:r>
              <w:rPr>
                <w:rFonts w:hint="eastAsia" w:ascii="宋体" w:hAnsi="宋体" w:cs="宋体"/>
                <w:bCs/>
                <w:color w:val="auto"/>
                <w:sz w:val="24"/>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6A5F7D4C">
            <w:pPr>
              <w:spacing w:line="360" w:lineRule="auto"/>
              <w:jc w:val="left"/>
              <w:rPr>
                <w:rFonts w:ascii="宋体" w:hAnsi="宋体" w:cs="宋体"/>
                <w:bCs/>
                <w:color w:val="auto"/>
                <w:sz w:val="24"/>
              </w:rPr>
            </w:pPr>
            <w:r>
              <w:rPr>
                <w:rFonts w:hint="eastAsia" w:ascii="宋体" w:hAnsi="宋体" w:cs="宋体"/>
                <w:bCs/>
                <w:color w:val="auto"/>
                <w:sz w:val="24"/>
              </w:rPr>
              <w:t>施工现场应设置不少于三处的接地保护装置。</w:t>
            </w:r>
          </w:p>
        </w:tc>
      </w:tr>
      <w:tr w14:paraId="3CAA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2E26CC3">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B75016">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BDC4AC1">
            <w:pPr>
              <w:spacing w:line="360" w:lineRule="auto"/>
              <w:jc w:val="center"/>
              <w:rPr>
                <w:rFonts w:ascii="宋体" w:hAnsi="宋体" w:cs="宋体"/>
                <w:bCs/>
                <w:color w:val="auto"/>
                <w:sz w:val="24"/>
              </w:rPr>
            </w:pPr>
            <w:r>
              <w:rPr>
                <w:rFonts w:hint="eastAsia" w:ascii="宋体" w:hAnsi="宋体" w:cs="宋体"/>
                <w:bCs/>
                <w:color w:val="auto"/>
                <w:sz w:val="24"/>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5DEF113">
            <w:pPr>
              <w:spacing w:line="360" w:lineRule="auto"/>
              <w:jc w:val="left"/>
              <w:rPr>
                <w:rFonts w:ascii="宋体" w:hAnsi="宋体" w:cs="宋体"/>
                <w:bCs/>
                <w:color w:val="auto"/>
                <w:sz w:val="24"/>
              </w:rPr>
            </w:pPr>
            <w:r>
              <w:rPr>
                <w:rFonts w:hint="eastAsia" w:ascii="宋体" w:hAnsi="宋体" w:cs="宋体"/>
                <w:bCs/>
                <w:color w:val="auto"/>
                <w:sz w:val="24"/>
              </w:rPr>
              <w:t>总配电室建筑材料必须达到三级防火要求，室内做硬地坪、电缆沟、吊顶。</w:t>
            </w:r>
          </w:p>
        </w:tc>
      </w:tr>
      <w:tr w14:paraId="7461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6D17571">
            <w:pPr>
              <w:spacing w:line="360" w:lineRule="auto"/>
              <w:jc w:val="center"/>
              <w:rPr>
                <w:rFonts w:ascii="宋体" w:hAnsi="宋体" w:cs="宋体"/>
                <w:bCs/>
                <w:color w:val="auto"/>
                <w:sz w:val="24"/>
              </w:rPr>
            </w:pPr>
            <w:r>
              <w:rPr>
                <w:rFonts w:hint="eastAsia" w:ascii="宋体" w:hAnsi="宋体" w:cs="宋体"/>
                <w:bCs/>
                <w:color w:val="auto"/>
                <w:sz w:val="24"/>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CEA405E">
            <w:pPr>
              <w:spacing w:line="360" w:lineRule="auto"/>
              <w:jc w:val="center"/>
              <w:rPr>
                <w:rFonts w:ascii="宋体" w:hAnsi="宋体" w:cs="宋体"/>
                <w:bCs/>
                <w:color w:val="auto"/>
                <w:sz w:val="24"/>
              </w:rPr>
            </w:pPr>
            <w:r>
              <w:rPr>
                <w:rFonts w:hint="eastAsia" w:ascii="宋体" w:hAnsi="宋体" w:cs="宋体"/>
                <w:bCs/>
                <w:color w:val="auto"/>
                <w:sz w:val="24"/>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40F4B5AC">
            <w:pPr>
              <w:spacing w:line="360" w:lineRule="auto"/>
              <w:jc w:val="center"/>
              <w:rPr>
                <w:rFonts w:ascii="宋体" w:hAnsi="宋体" w:cs="宋体"/>
                <w:bCs/>
                <w:color w:val="auto"/>
                <w:sz w:val="24"/>
              </w:rPr>
            </w:pPr>
            <w:r>
              <w:rPr>
                <w:rFonts w:hint="eastAsia" w:ascii="宋体" w:hAnsi="宋体" w:cs="宋体"/>
                <w:bCs/>
                <w:color w:val="auto"/>
                <w:sz w:val="24"/>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33525093">
            <w:pPr>
              <w:spacing w:line="360" w:lineRule="auto"/>
              <w:jc w:val="left"/>
              <w:rPr>
                <w:rFonts w:ascii="宋体" w:hAnsi="宋体" w:cs="宋体"/>
                <w:bCs/>
                <w:color w:val="auto"/>
                <w:sz w:val="24"/>
              </w:rPr>
            </w:pPr>
            <w:r>
              <w:rPr>
                <w:rFonts w:hint="eastAsia" w:ascii="宋体" w:hAnsi="宋体" w:cs="宋体"/>
                <w:bCs/>
                <w:color w:val="auto"/>
                <w:sz w:val="24"/>
              </w:rPr>
              <w:t xml:space="preserve">设两道防护栏杆和18cm高的踢脚板，用密目式安全立网全封闭。 </w:t>
            </w:r>
          </w:p>
        </w:tc>
      </w:tr>
      <w:tr w14:paraId="6978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79854">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BCA49C">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16759C5">
            <w:pPr>
              <w:spacing w:line="360" w:lineRule="auto"/>
              <w:jc w:val="center"/>
              <w:rPr>
                <w:rFonts w:ascii="宋体" w:hAnsi="宋体" w:cs="宋体"/>
                <w:bCs/>
                <w:color w:val="auto"/>
                <w:sz w:val="24"/>
              </w:rPr>
            </w:pPr>
            <w:r>
              <w:rPr>
                <w:rFonts w:hint="eastAsia" w:ascii="宋体" w:hAnsi="宋体" w:cs="宋体"/>
                <w:bCs/>
                <w:color w:val="auto"/>
                <w:sz w:val="24"/>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653EF79">
            <w:pPr>
              <w:spacing w:line="360" w:lineRule="auto"/>
              <w:jc w:val="left"/>
              <w:rPr>
                <w:rFonts w:ascii="宋体" w:hAnsi="宋体" w:cs="宋体"/>
                <w:bCs/>
                <w:color w:val="auto"/>
                <w:sz w:val="24"/>
              </w:rPr>
            </w:pPr>
            <w:r>
              <w:rPr>
                <w:rFonts w:hint="eastAsia" w:ascii="宋体" w:hAnsi="宋体" w:cs="宋体"/>
                <w:bCs/>
                <w:color w:val="auto"/>
                <w:sz w:val="24"/>
              </w:rPr>
              <w:t>设防护棚，防护棚应为不小于5cm厚的木板或两道相距50cm的竹笆。两侧应沿栏杆架用密目式安全网封闭。</w:t>
            </w:r>
          </w:p>
        </w:tc>
      </w:tr>
      <w:tr w14:paraId="6763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E4C21D4">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786A68F">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F2EACB3">
            <w:pPr>
              <w:spacing w:line="360" w:lineRule="auto"/>
              <w:jc w:val="center"/>
              <w:rPr>
                <w:rFonts w:ascii="宋体" w:hAnsi="宋体" w:cs="宋体"/>
                <w:bCs/>
                <w:color w:val="auto"/>
                <w:sz w:val="24"/>
              </w:rPr>
            </w:pPr>
            <w:r>
              <w:rPr>
                <w:rFonts w:hint="eastAsia" w:ascii="宋体" w:hAnsi="宋体" w:cs="宋体"/>
                <w:bCs/>
                <w:color w:val="auto"/>
                <w:sz w:val="24"/>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9B16BB3">
            <w:pPr>
              <w:spacing w:line="360" w:lineRule="auto"/>
              <w:jc w:val="left"/>
              <w:rPr>
                <w:rFonts w:ascii="宋体" w:hAnsi="宋体" w:cs="宋体"/>
                <w:bCs/>
                <w:color w:val="auto"/>
                <w:sz w:val="24"/>
              </w:rPr>
            </w:pPr>
            <w:r>
              <w:rPr>
                <w:rFonts w:hint="eastAsia" w:ascii="宋体" w:hAnsi="宋体" w:cs="宋体"/>
                <w:bCs/>
                <w:color w:val="auto"/>
                <w:sz w:val="24"/>
              </w:rPr>
              <w:t>用硬质材料全封闭；短边超过1.5m长的洞口，除封闭外四周还应设有防护栏杆。</w:t>
            </w:r>
          </w:p>
        </w:tc>
      </w:tr>
      <w:tr w14:paraId="68D9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889FFAE">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1BD0B20">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EF7FFAB">
            <w:pPr>
              <w:spacing w:line="360" w:lineRule="auto"/>
              <w:jc w:val="center"/>
              <w:rPr>
                <w:rFonts w:ascii="宋体" w:hAnsi="宋体" w:cs="宋体"/>
                <w:bCs/>
                <w:color w:val="auto"/>
                <w:sz w:val="24"/>
              </w:rPr>
            </w:pPr>
            <w:r>
              <w:rPr>
                <w:rFonts w:hint="eastAsia" w:ascii="宋体" w:hAnsi="宋体" w:cs="宋体"/>
                <w:bCs/>
                <w:color w:val="auto"/>
                <w:sz w:val="24"/>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CA07393">
            <w:pPr>
              <w:spacing w:line="360" w:lineRule="auto"/>
              <w:jc w:val="left"/>
              <w:rPr>
                <w:rFonts w:ascii="宋体" w:hAnsi="宋体" w:cs="宋体"/>
                <w:bCs/>
                <w:color w:val="auto"/>
                <w:sz w:val="24"/>
              </w:rPr>
            </w:pPr>
            <w:r>
              <w:rPr>
                <w:rFonts w:hint="eastAsia" w:ascii="宋体" w:hAnsi="宋体" w:cs="宋体"/>
                <w:bCs/>
                <w:color w:val="auto"/>
                <w:sz w:val="24"/>
              </w:rPr>
              <w:t>设置定型化、工具化的防护门。在电梯井内每隔2层（不大于10m）设置一道水平防护。</w:t>
            </w:r>
          </w:p>
        </w:tc>
      </w:tr>
      <w:tr w14:paraId="3D4F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3FAA7C">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F3E3689">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8960E6D">
            <w:pPr>
              <w:spacing w:line="360" w:lineRule="auto"/>
              <w:jc w:val="center"/>
              <w:rPr>
                <w:rFonts w:ascii="宋体" w:hAnsi="宋体" w:cs="宋体"/>
                <w:bCs/>
                <w:color w:val="auto"/>
                <w:sz w:val="24"/>
              </w:rPr>
            </w:pPr>
            <w:r>
              <w:rPr>
                <w:rFonts w:hint="eastAsia" w:ascii="宋体" w:hAnsi="宋体" w:cs="宋体"/>
                <w:bCs/>
                <w:color w:val="auto"/>
                <w:sz w:val="24"/>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205B0139">
            <w:pPr>
              <w:spacing w:line="360" w:lineRule="auto"/>
              <w:jc w:val="left"/>
              <w:rPr>
                <w:rFonts w:ascii="宋体" w:hAnsi="宋体" w:cs="宋体"/>
                <w:bCs/>
                <w:color w:val="auto"/>
                <w:sz w:val="24"/>
              </w:rPr>
            </w:pPr>
            <w:r>
              <w:rPr>
                <w:rFonts w:hint="eastAsia" w:ascii="宋体" w:hAnsi="宋体" w:cs="宋体"/>
                <w:bCs/>
                <w:color w:val="auto"/>
                <w:sz w:val="24"/>
              </w:rPr>
              <w:t>设1.2m高的定型化、工具化、标准化的防护栏，18cm高的踢脚板。</w:t>
            </w:r>
          </w:p>
        </w:tc>
      </w:tr>
      <w:tr w14:paraId="586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30B1C20">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2CC267">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3D52CD6">
            <w:pPr>
              <w:spacing w:line="360" w:lineRule="auto"/>
              <w:jc w:val="center"/>
              <w:rPr>
                <w:rFonts w:ascii="宋体" w:hAnsi="宋体" w:cs="宋体"/>
                <w:bCs/>
                <w:color w:val="auto"/>
                <w:sz w:val="24"/>
              </w:rPr>
            </w:pPr>
            <w:r>
              <w:rPr>
                <w:rFonts w:hint="eastAsia" w:ascii="宋体" w:hAnsi="宋体" w:cs="宋体"/>
                <w:bCs/>
                <w:color w:val="auto"/>
                <w:sz w:val="24"/>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D16A259">
            <w:pPr>
              <w:spacing w:line="360" w:lineRule="auto"/>
              <w:jc w:val="left"/>
              <w:rPr>
                <w:rFonts w:ascii="宋体" w:hAnsi="宋体" w:cs="宋体"/>
                <w:bCs/>
                <w:color w:val="auto"/>
                <w:sz w:val="24"/>
              </w:rPr>
            </w:pPr>
            <w:r>
              <w:rPr>
                <w:rFonts w:hint="eastAsia" w:ascii="宋体" w:hAnsi="宋体" w:cs="宋体"/>
                <w:bCs/>
                <w:color w:val="auto"/>
                <w:sz w:val="24"/>
              </w:rPr>
              <w:t>设置防护隔离棚或其他设施。</w:t>
            </w:r>
          </w:p>
        </w:tc>
      </w:tr>
      <w:tr w14:paraId="5CC2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2AC5C4E">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1D6C3">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D36891">
            <w:pPr>
              <w:spacing w:line="360" w:lineRule="auto"/>
              <w:jc w:val="center"/>
              <w:rPr>
                <w:rFonts w:ascii="宋体" w:hAnsi="宋体" w:cs="宋体"/>
                <w:bCs/>
                <w:color w:val="auto"/>
                <w:sz w:val="24"/>
              </w:rPr>
            </w:pPr>
            <w:r>
              <w:rPr>
                <w:rFonts w:hint="eastAsia" w:ascii="宋体" w:hAnsi="宋体" w:cs="宋体"/>
                <w:bCs/>
                <w:color w:val="auto"/>
                <w:sz w:val="24"/>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024B330F">
            <w:pPr>
              <w:spacing w:line="360" w:lineRule="auto"/>
              <w:jc w:val="left"/>
              <w:rPr>
                <w:rFonts w:ascii="宋体" w:hAnsi="宋体" w:cs="宋体"/>
                <w:bCs/>
                <w:color w:val="auto"/>
                <w:sz w:val="24"/>
              </w:rPr>
            </w:pPr>
            <w:r>
              <w:rPr>
                <w:rFonts w:hint="eastAsia" w:ascii="宋体" w:hAnsi="宋体" w:cs="宋体"/>
                <w:bCs/>
                <w:color w:val="auto"/>
                <w:sz w:val="24"/>
              </w:rPr>
              <w:t>有悬挂安全带的悬索或其他设施；有操作平台；有上下的梯子或其他形式的通道。</w:t>
            </w:r>
          </w:p>
        </w:tc>
      </w:tr>
      <w:tr w14:paraId="168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82F0760">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CD9CB1">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765E3B">
            <w:pPr>
              <w:spacing w:line="360" w:lineRule="auto"/>
              <w:jc w:val="center"/>
              <w:rPr>
                <w:rFonts w:ascii="宋体" w:hAnsi="宋体" w:cs="宋体"/>
                <w:bCs/>
                <w:color w:val="auto"/>
                <w:sz w:val="24"/>
              </w:rPr>
            </w:pPr>
            <w:r>
              <w:rPr>
                <w:rFonts w:hint="eastAsia" w:ascii="宋体" w:hAnsi="宋体" w:cs="宋体"/>
                <w:bCs/>
                <w:color w:val="auto"/>
                <w:sz w:val="24"/>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15EDD111">
            <w:pPr>
              <w:spacing w:line="360" w:lineRule="auto"/>
              <w:jc w:val="left"/>
              <w:rPr>
                <w:rFonts w:ascii="宋体" w:hAnsi="宋体" w:cs="宋体"/>
                <w:bCs/>
                <w:color w:val="auto"/>
                <w:sz w:val="24"/>
              </w:rPr>
            </w:pPr>
            <w:r>
              <w:rPr>
                <w:rFonts w:hint="eastAsia" w:ascii="宋体" w:hAnsi="宋体" w:cs="宋体"/>
                <w:bCs/>
                <w:color w:val="auto"/>
                <w:sz w:val="24"/>
              </w:rPr>
              <w:t>设1.2m高标准化的防护栏，用密目式安全立网封闭，悬挂标识。</w:t>
            </w:r>
          </w:p>
        </w:tc>
      </w:tr>
      <w:tr w14:paraId="256F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CDB3302">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3149820">
            <w:pPr>
              <w:spacing w:line="360" w:lineRule="auto"/>
              <w:jc w:val="center"/>
              <w:rPr>
                <w:rFonts w:ascii="宋体" w:hAnsi="宋体" w:cs="宋体"/>
                <w:bCs/>
                <w:color w:val="auto"/>
                <w:sz w:val="24"/>
              </w:rPr>
            </w:pPr>
            <w:r>
              <w:rPr>
                <w:rFonts w:hint="eastAsia" w:ascii="宋体" w:hAnsi="宋体" w:cs="宋体"/>
                <w:bCs/>
                <w:color w:val="auto"/>
                <w:sz w:val="24"/>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33EDCD8E">
            <w:pPr>
              <w:spacing w:line="360" w:lineRule="auto"/>
              <w:jc w:val="left"/>
              <w:rPr>
                <w:rFonts w:ascii="宋体" w:hAnsi="宋体" w:cs="宋体"/>
                <w:bCs/>
                <w:color w:val="auto"/>
                <w:sz w:val="24"/>
              </w:rPr>
            </w:pPr>
            <w:r>
              <w:rPr>
                <w:rFonts w:hint="eastAsia" w:ascii="宋体" w:hAnsi="宋体" w:cs="宋体"/>
                <w:bCs/>
                <w:color w:val="auto"/>
                <w:sz w:val="24"/>
              </w:rPr>
              <w:t>安全帽、安全带、特种作业人员（电工、焊工、架子工等）防护服装、用品等。</w:t>
            </w:r>
          </w:p>
        </w:tc>
      </w:tr>
      <w:tr w14:paraId="34A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A607699">
            <w:pPr>
              <w:spacing w:line="360" w:lineRule="auto"/>
              <w:jc w:val="center"/>
              <w:rPr>
                <w:rFonts w:ascii="宋体" w:hAnsi="宋体" w:cs="宋体"/>
                <w:bCs/>
                <w:color w:val="auto"/>
                <w:sz w:val="24"/>
              </w:rPr>
            </w:pPr>
            <w:r>
              <w:rPr>
                <w:rFonts w:hint="eastAsia" w:ascii="宋体" w:hAnsi="宋体" w:cs="宋体"/>
                <w:bCs/>
                <w:color w:val="auto"/>
                <w:sz w:val="24"/>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A12721D">
            <w:pPr>
              <w:spacing w:line="360" w:lineRule="auto"/>
              <w:jc w:val="center"/>
              <w:rPr>
                <w:rFonts w:ascii="宋体" w:hAnsi="宋体" w:cs="宋体"/>
                <w:bCs/>
                <w:color w:val="auto"/>
                <w:sz w:val="24"/>
              </w:rPr>
            </w:pPr>
            <w:r>
              <w:rPr>
                <w:rFonts w:hint="eastAsia" w:ascii="宋体" w:hAnsi="宋体" w:cs="宋体"/>
                <w:bCs/>
                <w:color w:val="auto"/>
                <w:sz w:val="24"/>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7E89AF08">
            <w:pPr>
              <w:spacing w:line="360" w:lineRule="auto"/>
              <w:jc w:val="center"/>
              <w:rPr>
                <w:rFonts w:ascii="宋体" w:hAnsi="宋体" w:cs="宋体"/>
                <w:bCs/>
                <w:color w:val="auto"/>
                <w:sz w:val="24"/>
              </w:rPr>
            </w:pPr>
            <w:r>
              <w:rPr>
                <w:rFonts w:hint="eastAsia" w:ascii="宋体" w:hAnsi="宋体" w:cs="宋体"/>
                <w:bCs/>
                <w:color w:val="auto"/>
                <w:sz w:val="24"/>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01209E80">
            <w:pPr>
              <w:spacing w:line="360" w:lineRule="auto"/>
              <w:jc w:val="left"/>
              <w:rPr>
                <w:rFonts w:ascii="宋体" w:hAnsi="宋体" w:cs="宋体"/>
                <w:bCs/>
                <w:color w:val="auto"/>
                <w:sz w:val="24"/>
              </w:rPr>
            </w:pPr>
            <w:r>
              <w:rPr>
                <w:rFonts w:hint="eastAsia" w:ascii="宋体" w:hAnsi="宋体" w:cs="宋体"/>
                <w:bCs/>
                <w:color w:val="auto"/>
                <w:sz w:val="24"/>
              </w:rPr>
              <w:t>设防护棚（同通道口防护并有防雨措施）。</w:t>
            </w:r>
          </w:p>
        </w:tc>
      </w:tr>
      <w:tr w14:paraId="511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63C03E0">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52765E9">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C61554B">
            <w:pPr>
              <w:spacing w:line="360" w:lineRule="auto"/>
              <w:jc w:val="center"/>
              <w:rPr>
                <w:rFonts w:ascii="宋体" w:hAnsi="宋体" w:cs="宋体"/>
                <w:bCs/>
                <w:color w:val="auto"/>
                <w:sz w:val="24"/>
              </w:rPr>
            </w:pPr>
            <w:r>
              <w:rPr>
                <w:rFonts w:hint="eastAsia" w:ascii="宋体" w:hAnsi="宋体" w:cs="宋体"/>
                <w:bCs/>
                <w:color w:val="auto"/>
                <w:sz w:val="24"/>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9429044">
            <w:pPr>
              <w:spacing w:line="360" w:lineRule="auto"/>
              <w:jc w:val="left"/>
              <w:rPr>
                <w:rFonts w:ascii="宋体" w:hAnsi="宋体" w:cs="宋体"/>
                <w:bCs/>
                <w:color w:val="auto"/>
                <w:sz w:val="24"/>
              </w:rPr>
            </w:pPr>
            <w:r>
              <w:rPr>
                <w:rFonts w:hint="eastAsia" w:ascii="宋体" w:hAnsi="宋体" w:cs="宋体"/>
                <w:bCs/>
                <w:color w:val="auto"/>
                <w:sz w:val="24"/>
              </w:rPr>
              <w:t>（1）垂直运输设备检测、检验。</w:t>
            </w:r>
          </w:p>
          <w:p w14:paraId="175EE33C">
            <w:pPr>
              <w:spacing w:line="360" w:lineRule="auto"/>
              <w:jc w:val="left"/>
              <w:rPr>
                <w:rFonts w:ascii="宋体" w:hAnsi="宋体" w:cs="宋体"/>
                <w:bCs/>
                <w:color w:val="auto"/>
                <w:sz w:val="24"/>
              </w:rPr>
            </w:pPr>
            <w:r>
              <w:rPr>
                <w:rFonts w:hint="eastAsia" w:ascii="宋体" w:hAnsi="宋体" w:cs="宋体"/>
                <w:bCs/>
                <w:color w:val="auto"/>
                <w:sz w:val="24"/>
              </w:rPr>
              <w:t>（2）物料提升机、施工电梯等物料平台搭设、外侧用密目式安全立网全封闭，安全防护门、防护棚等。</w:t>
            </w:r>
          </w:p>
        </w:tc>
      </w:tr>
      <w:tr w14:paraId="4766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7CB29C">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8B0643">
            <w:pPr>
              <w:spacing w:line="360" w:lineRule="auto"/>
              <w:jc w:val="center"/>
              <w:rPr>
                <w:rFonts w:ascii="宋体" w:hAnsi="宋体" w:cs="宋体"/>
                <w:bCs/>
                <w:color w:val="auto"/>
                <w:sz w:val="24"/>
              </w:rPr>
            </w:pPr>
            <w:r>
              <w:rPr>
                <w:rFonts w:hint="eastAsia" w:ascii="宋体" w:hAnsi="宋体" w:cs="宋体"/>
                <w:bCs/>
                <w:color w:val="auto"/>
                <w:sz w:val="24"/>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3A4651A4">
            <w:pPr>
              <w:spacing w:line="360" w:lineRule="auto"/>
              <w:jc w:val="left"/>
              <w:rPr>
                <w:rFonts w:ascii="宋体" w:hAnsi="宋体" w:cs="宋体"/>
                <w:bCs/>
                <w:color w:val="auto"/>
                <w:sz w:val="24"/>
              </w:rPr>
            </w:pPr>
            <w:r>
              <w:rPr>
                <w:rFonts w:hint="eastAsia" w:ascii="宋体" w:hAnsi="宋体" w:cs="宋体"/>
                <w:bCs/>
                <w:color w:val="auto"/>
                <w:sz w:val="24"/>
              </w:rPr>
              <w:t>超过一定规模的危险性较大分部分项工程专家论证审查。</w:t>
            </w:r>
          </w:p>
        </w:tc>
      </w:tr>
      <w:tr w14:paraId="6FC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BD70C2B">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EBB2ADF">
            <w:pPr>
              <w:spacing w:line="360" w:lineRule="auto"/>
              <w:jc w:val="center"/>
              <w:rPr>
                <w:rFonts w:ascii="宋体" w:hAnsi="宋体" w:cs="宋体"/>
                <w:bCs/>
                <w:color w:val="auto"/>
                <w:sz w:val="24"/>
              </w:rPr>
            </w:pPr>
            <w:r>
              <w:rPr>
                <w:rFonts w:hint="eastAsia" w:ascii="宋体" w:hAnsi="宋体" w:cs="宋体"/>
                <w:bCs/>
                <w:color w:val="auto"/>
                <w:sz w:val="24"/>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4B7535E2">
            <w:pPr>
              <w:spacing w:line="360" w:lineRule="auto"/>
              <w:jc w:val="left"/>
              <w:rPr>
                <w:rFonts w:ascii="宋体" w:hAnsi="宋体" w:cs="宋体"/>
                <w:bCs/>
                <w:color w:val="auto"/>
                <w:sz w:val="24"/>
              </w:rPr>
            </w:pPr>
            <w:r>
              <w:rPr>
                <w:rFonts w:hint="eastAsia" w:ascii="宋体" w:hAnsi="宋体" w:cs="宋体"/>
                <w:bCs/>
                <w:color w:val="auto"/>
                <w:sz w:val="24"/>
              </w:rPr>
              <w:t>救援器材准备及演练等。</w:t>
            </w:r>
          </w:p>
        </w:tc>
      </w:tr>
      <w:tr w14:paraId="3DA3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8007ECE">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BBCA83B">
            <w:pPr>
              <w:spacing w:line="360" w:lineRule="auto"/>
              <w:jc w:val="center"/>
              <w:rPr>
                <w:rFonts w:ascii="宋体" w:hAnsi="宋体" w:cs="宋体"/>
                <w:bCs/>
                <w:color w:val="auto"/>
                <w:sz w:val="24"/>
              </w:rPr>
            </w:pPr>
            <w:r>
              <w:rPr>
                <w:rFonts w:hint="eastAsia" w:ascii="宋体" w:hAnsi="宋体" w:cs="宋体"/>
                <w:bCs/>
                <w:color w:val="auto"/>
                <w:sz w:val="24"/>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7FF0FB2B">
            <w:pPr>
              <w:spacing w:line="360" w:lineRule="auto"/>
              <w:jc w:val="left"/>
              <w:rPr>
                <w:rFonts w:ascii="宋体" w:hAnsi="宋体" w:cs="宋体"/>
                <w:bCs/>
                <w:color w:val="auto"/>
                <w:sz w:val="24"/>
              </w:rPr>
            </w:pPr>
            <w:r>
              <w:rPr>
                <w:rFonts w:hint="eastAsia" w:ascii="宋体" w:hAnsi="宋体" w:cs="宋体"/>
                <w:bCs/>
                <w:color w:val="auto"/>
                <w:sz w:val="24"/>
              </w:rPr>
              <w:t>其它特殊情况下的防护费用，如：城市主干道、人流密集、河边等处施工及文物、古建筑、古树保护等。</w:t>
            </w:r>
          </w:p>
        </w:tc>
      </w:tr>
    </w:tbl>
    <w:p w14:paraId="61153DA2">
      <w:pPr>
        <w:spacing w:line="360" w:lineRule="auto"/>
        <w:ind w:firstLine="480" w:firstLineChars="200"/>
        <w:rPr>
          <w:rFonts w:ascii="宋体" w:hAnsi="宋体" w:cs="宋体"/>
          <w:color w:val="auto"/>
          <w:sz w:val="24"/>
        </w:rPr>
      </w:pPr>
    </w:p>
    <w:p w14:paraId="20D72183">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注：本表所列建筑工程安全、文明施工，是依据现行法律法规及标准规范确定的。如法律法规和标准规范修订，本表所列项目应按照修订后的法律法规和标准规范进行调整。</w:t>
      </w:r>
    </w:p>
    <w:p w14:paraId="7FCD02DE">
      <w:pPr>
        <w:pStyle w:val="18"/>
        <w:spacing w:line="360" w:lineRule="auto"/>
        <w:rPr>
          <w:rFonts w:ascii="宋体" w:hAnsi="宋体"/>
          <w:color w:val="auto"/>
        </w:rPr>
      </w:pPr>
    </w:p>
    <w:p w14:paraId="27386BAA">
      <w:pPr>
        <w:pStyle w:val="26"/>
        <w:spacing w:line="360" w:lineRule="auto"/>
        <w:rPr>
          <w:rFonts w:ascii="宋体" w:hAnsi="宋体"/>
          <w:color w:val="auto"/>
        </w:rPr>
      </w:pPr>
    </w:p>
    <w:p w14:paraId="6632FA08">
      <w:pPr>
        <w:pStyle w:val="22"/>
        <w:spacing w:line="360" w:lineRule="auto"/>
        <w:rPr>
          <w:rFonts w:hAnsi="宋体"/>
          <w:color w:val="auto"/>
        </w:rPr>
        <w:sectPr>
          <w:pgSz w:w="11906" w:h="16838"/>
          <w:pgMar w:top="1247" w:right="1247" w:bottom="1247" w:left="1247" w:header="851" w:footer="992" w:gutter="0"/>
          <w:cols w:space="720" w:num="1"/>
          <w:titlePg/>
          <w:docGrid w:linePitch="312" w:charSpace="0"/>
        </w:sectPr>
      </w:pPr>
    </w:p>
    <w:p w14:paraId="62902473">
      <w:pPr>
        <w:adjustRightInd w:val="0"/>
        <w:snapToGrid w:val="0"/>
        <w:spacing w:line="360" w:lineRule="auto"/>
        <w:rPr>
          <w:rFonts w:ascii="宋体" w:hAnsi="宋体"/>
          <w:b/>
          <w:color w:val="auto"/>
          <w:sz w:val="24"/>
        </w:rPr>
      </w:pPr>
      <w:r>
        <w:rPr>
          <w:rFonts w:hint="eastAsia" w:ascii="宋体" w:hAnsi="宋体"/>
          <w:b/>
          <w:color w:val="auto"/>
          <w:sz w:val="24"/>
        </w:rPr>
        <w:t>附件13</w:t>
      </w:r>
    </w:p>
    <w:p w14:paraId="375B5486">
      <w:pPr>
        <w:spacing w:line="360" w:lineRule="auto"/>
        <w:jc w:val="center"/>
        <w:rPr>
          <w:rFonts w:ascii="宋体" w:hAnsi="宋体"/>
          <w:b/>
          <w:bCs/>
          <w:color w:val="auto"/>
          <w:sz w:val="32"/>
          <w:szCs w:val="32"/>
        </w:rPr>
      </w:pPr>
      <w:r>
        <w:rPr>
          <w:rFonts w:hint="eastAsia" w:ascii="宋体" w:hAnsi="宋体"/>
          <w:b/>
          <w:bCs/>
          <w:color w:val="auto"/>
          <w:sz w:val="32"/>
          <w:szCs w:val="32"/>
        </w:rPr>
        <w:t>中小企业声明函（工程）</w:t>
      </w:r>
    </w:p>
    <w:p w14:paraId="01CCD535">
      <w:pPr>
        <w:spacing w:line="360" w:lineRule="auto"/>
        <w:ind w:firstLine="708" w:firstLineChars="294"/>
        <w:rPr>
          <w:rFonts w:ascii="宋体" w:hAnsi="宋体" w:cs="宋体"/>
          <w:b/>
          <w:bCs/>
          <w:color w:val="auto"/>
          <w:sz w:val="24"/>
        </w:rPr>
      </w:pPr>
    </w:p>
    <w:p w14:paraId="312359D7">
      <w:pPr>
        <w:spacing w:line="360" w:lineRule="auto"/>
        <w:ind w:firstLine="420"/>
        <w:rPr>
          <w:rFonts w:ascii="宋体" w:hAnsi="宋体"/>
          <w:bCs/>
          <w:color w:val="auto"/>
          <w:sz w:val="24"/>
        </w:rPr>
      </w:pPr>
      <w:r>
        <w:rPr>
          <w:rFonts w:ascii="宋体" w:hAnsi="宋体"/>
          <w:bCs/>
          <w:color w:val="auto"/>
          <w:sz w:val="24"/>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08627F19">
      <w:pPr>
        <w:spacing w:line="360" w:lineRule="auto"/>
        <w:ind w:firstLine="420"/>
        <w:rPr>
          <w:rFonts w:ascii="宋体" w:hAnsi="宋体"/>
          <w:bCs/>
          <w:color w:val="auto"/>
          <w:sz w:val="24"/>
        </w:rPr>
      </w:pPr>
      <w:r>
        <w:rPr>
          <w:rFonts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00CF6489">
      <w:pPr>
        <w:spacing w:line="360" w:lineRule="auto"/>
        <w:ind w:firstLine="420"/>
        <w:rPr>
          <w:rFonts w:ascii="宋体" w:hAnsi="宋体"/>
          <w:bCs/>
          <w:color w:val="auto"/>
          <w:sz w:val="24"/>
        </w:rPr>
      </w:pPr>
      <w:r>
        <w:rPr>
          <w:rFonts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5DA5EEE8">
      <w:pPr>
        <w:spacing w:line="360" w:lineRule="auto"/>
        <w:ind w:firstLine="420"/>
        <w:rPr>
          <w:rFonts w:ascii="宋体" w:hAnsi="宋体"/>
          <w:bCs/>
          <w:color w:val="auto"/>
          <w:sz w:val="24"/>
        </w:rPr>
      </w:pPr>
      <w:r>
        <w:rPr>
          <w:rFonts w:hint="eastAsia" w:ascii="宋体" w:hAnsi="宋体"/>
          <w:bCs/>
          <w:color w:val="auto"/>
          <w:sz w:val="24"/>
        </w:rPr>
        <w:t>……</w:t>
      </w:r>
    </w:p>
    <w:p w14:paraId="067F0EEA">
      <w:pPr>
        <w:spacing w:line="360" w:lineRule="auto"/>
        <w:ind w:firstLine="420"/>
        <w:rPr>
          <w:rFonts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14:paraId="697729EF">
      <w:pPr>
        <w:spacing w:line="360" w:lineRule="auto"/>
        <w:ind w:firstLine="420"/>
        <w:rPr>
          <w:rFonts w:ascii="宋体" w:hAnsi="宋体"/>
          <w:bCs/>
          <w:color w:val="auto"/>
          <w:sz w:val="24"/>
        </w:rPr>
      </w:pPr>
      <w:r>
        <w:rPr>
          <w:rFonts w:hint="eastAsia" w:ascii="宋体" w:hAnsi="宋体"/>
          <w:bCs/>
          <w:color w:val="auto"/>
          <w:sz w:val="24"/>
        </w:rPr>
        <w:t>本企业对上述声明内容的真实性负责。如有虚假，将依法承担相应责任。</w:t>
      </w:r>
    </w:p>
    <w:p w14:paraId="5451E1FD">
      <w:pPr>
        <w:adjustRightInd w:val="0"/>
        <w:snapToGrid w:val="0"/>
        <w:spacing w:line="360" w:lineRule="auto"/>
        <w:ind w:firstLine="4200" w:firstLineChars="1750"/>
        <w:jc w:val="left"/>
        <w:rPr>
          <w:rFonts w:ascii="宋体" w:hAnsi="宋体"/>
          <w:color w:val="auto"/>
          <w:sz w:val="24"/>
        </w:rPr>
      </w:pPr>
    </w:p>
    <w:p w14:paraId="39EB1E5C">
      <w:pPr>
        <w:adjustRightInd w:val="0"/>
        <w:snapToGrid w:val="0"/>
        <w:spacing w:line="360" w:lineRule="auto"/>
        <w:ind w:firstLine="4200" w:firstLineChars="1750"/>
        <w:jc w:val="left"/>
        <w:rPr>
          <w:rFonts w:ascii="宋体" w:hAnsi="宋体"/>
          <w:color w:val="auto"/>
          <w:sz w:val="24"/>
        </w:rPr>
      </w:pPr>
      <w:r>
        <w:rPr>
          <w:rFonts w:hint="eastAsia" w:ascii="宋体" w:hAnsi="宋体"/>
          <w:color w:val="auto"/>
          <w:sz w:val="24"/>
        </w:rPr>
        <w:t xml:space="preserve">供应商名称（公章）：                          </w:t>
      </w:r>
    </w:p>
    <w:p w14:paraId="1F745457">
      <w:pPr>
        <w:spacing w:line="360" w:lineRule="auto"/>
        <w:ind w:firstLine="3600" w:firstLineChars="1500"/>
        <w:rPr>
          <w:rFonts w:ascii="宋体" w:hAnsi="宋体"/>
          <w:bCs/>
          <w:color w:val="auto"/>
          <w:sz w:val="24"/>
        </w:rPr>
      </w:pPr>
      <w:r>
        <w:rPr>
          <w:rFonts w:hint="eastAsia" w:ascii="宋体" w:hAnsi="宋体"/>
          <w:color w:val="auto"/>
          <w:sz w:val="24"/>
        </w:rPr>
        <w:t xml:space="preserve">     日期：  年   月   日</w:t>
      </w:r>
    </w:p>
    <w:p w14:paraId="6B7CFA3F">
      <w:pPr>
        <w:spacing w:line="360" w:lineRule="auto"/>
        <w:jc w:val="left"/>
        <w:rPr>
          <w:rFonts w:ascii="宋体" w:hAnsi="宋体"/>
          <w:bCs/>
          <w:color w:val="auto"/>
          <w:sz w:val="24"/>
        </w:rPr>
      </w:pPr>
    </w:p>
    <w:p w14:paraId="4ABA2447">
      <w:pPr>
        <w:spacing w:line="360" w:lineRule="auto"/>
        <w:jc w:val="left"/>
        <w:rPr>
          <w:rFonts w:ascii="宋体" w:hAnsi="宋体"/>
          <w:bCs/>
          <w:color w:val="auto"/>
          <w:sz w:val="24"/>
        </w:rPr>
      </w:pPr>
      <w:r>
        <w:rPr>
          <w:rFonts w:hint="eastAsia" w:ascii="宋体" w:hAnsi="宋体"/>
          <w:bCs/>
          <w:color w:val="auto"/>
          <w:sz w:val="24"/>
        </w:rPr>
        <w:t>注：（</w:t>
      </w:r>
      <w:r>
        <w:rPr>
          <w:rFonts w:ascii="宋体" w:hAnsi="宋体"/>
          <w:bCs/>
          <w:color w:val="auto"/>
          <w:sz w:val="24"/>
        </w:rPr>
        <w:t>1</w:t>
      </w:r>
      <w:r>
        <w:rPr>
          <w:rFonts w:hint="eastAsia" w:ascii="宋体" w:hAnsi="宋体"/>
          <w:bCs/>
          <w:color w:val="auto"/>
          <w:sz w:val="24"/>
        </w:rPr>
        <w:t>）如磋商供应商为联合体或分包的，声明函中“项目名称”应填写联合体中中小企业承担的具体内容或者中小企业具体分包内容。</w:t>
      </w:r>
    </w:p>
    <w:p w14:paraId="16C2887A">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）请根据真实情况出具《中小企业声明函》。</w:t>
      </w:r>
      <w:r>
        <w:rPr>
          <w:rFonts w:hint="eastAsia" w:ascii="宋体" w:hAnsi="宋体"/>
          <w:color w:val="auto"/>
          <w:sz w:val="24"/>
        </w:rPr>
        <w:t>成交候选人享受《政府采购促进中小企业发展管理办法》（财库〔2020〕46号）</w:t>
      </w:r>
      <w:r>
        <w:rPr>
          <w:rFonts w:hint="eastAsia" w:ascii="宋体" w:hAnsi="宋体" w:cs="宋体"/>
          <w:color w:val="auto"/>
          <w:sz w:val="24"/>
        </w:rPr>
        <w:t>、</w:t>
      </w:r>
      <w:r>
        <w:rPr>
          <w:rFonts w:hint="eastAsia" w:ascii="宋体" w:hAnsi="宋体" w:cs="宋体"/>
          <w:color w:val="auto"/>
          <w:sz w:val="24"/>
          <w:lang w:bidi="ar"/>
        </w:rPr>
        <w:t>财政部《关于进一步加大政府采购支持中小企业力度的通知》（财库〔2022〕19号）</w:t>
      </w:r>
      <w:r>
        <w:rPr>
          <w:rFonts w:hint="eastAsia" w:ascii="宋体" w:hAnsi="宋体"/>
          <w:color w:val="auto"/>
          <w:sz w:val="24"/>
        </w:rPr>
        <w:t>规定的中小企业扶持政策的，采购人、采购代理机构应当随成交结果公开成交供应商的《中小企业声明函》</w:t>
      </w:r>
      <w:r>
        <w:rPr>
          <w:rFonts w:hint="eastAsia" w:ascii="宋体" w:hAnsi="宋体"/>
          <w:bCs/>
          <w:color w:val="auto"/>
          <w:sz w:val="24"/>
        </w:rPr>
        <w:t>，接受社会监督。</w:t>
      </w:r>
    </w:p>
    <w:p w14:paraId="0E079E59">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）从业人员、营业收入、资产总额填报上一年度数据，无上一年度数据的新成立企业可不填报。</w:t>
      </w:r>
    </w:p>
    <w:p w14:paraId="4CC3D0DD">
      <w:pPr>
        <w:spacing w:line="360" w:lineRule="auto"/>
        <w:ind w:firstLine="6720" w:firstLineChars="3200"/>
        <w:rPr>
          <w:rFonts w:ascii="宋体" w:hAnsi="宋体" w:cs="Courier New"/>
          <w:color w:val="auto"/>
          <w:szCs w:val="21"/>
        </w:rPr>
      </w:pPr>
    </w:p>
    <w:p w14:paraId="5F4DDF1B">
      <w:pPr>
        <w:spacing w:line="360" w:lineRule="auto"/>
        <w:ind w:left="420" w:hanging="420"/>
        <w:rPr>
          <w:rFonts w:ascii="宋体" w:hAnsi="宋体"/>
          <w:b/>
          <w:color w:val="auto"/>
          <w:sz w:val="24"/>
        </w:rPr>
      </w:pPr>
      <w:r>
        <w:rPr>
          <w:rFonts w:hint="eastAsia" w:ascii="宋体" w:hAnsi="宋体"/>
          <w:b/>
          <w:color w:val="auto"/>
          <w:sz w:val="24"/>
        </w:rPr>
        <w:t>附件14</w:t>
      </w:r>
    </w:p>
    <w:p w14:paraId="52E54303">
      <w:pPr>
        <w:spacing w:line="360" w:lineRule="auto"/>
        <w:ind w:left="420" w:hanging="420"/>
        <w:rPr>
          <w:rFonts w:ascii="宋体" w:hAnsi="宋体"/>
          <w:b/>
          <w:color w:val="auto"/>
          <w:sz w:val="24"/>
        </w:rPr>
      </w:pPr>
    </w:p>
    <w:p w14:paraId="40ED7103">
      <w:pPr>
        <w:pStyle w:val="33"/>
        <w:widowControl w:val="0"/>
        <w:adjustRightInd w:val="0"/>
        <w:snapToGrid w:val="0"/>
        <w:spacing w:before="0" w:beforeAutospacing="0" w:after="0" w:afterAutospacing="0" w:line="360" w:lineRule="auto"/>
        <w:jc w:val="center"/>
        <w:rPr>
          <w:b/>
          <w:color w:val="auto"/>
          <w:kern w:val="2"/>
          <w:sz w:val="36"/>
          <w:szCs w:val="36"/>
        </w:rPr>
      </w:pPr>
      <w:r>
        <w:rPr>
          <w:rFonts w:hint="eastAsia"/>
          <w:b/>
          <w:color w:val="auto"/>
          <w:kern w:val="2"/>
          <w:sz w:val="36"/>
          <w:szCs w:val="36"/>
        </w:rPr>
        <w:t>残疾人福利性单位声明函</w:t>
      </w:r>
    </w:p>
    <w:p w14:paraId="1D8A7C71">
      <w:pPr>
        <w:spacing w:line="360" w:lineRule="auto"/>
        <w:rPr>
          <w:rFonts w:ascii="宋体" w:hAnsi="宋体"/>
          <w:bCs/>
          <w:color w:val="auto"/>
          <w:spacing w:val="6"/>
          <w:sz w:val="24"/>
        </w:rPr>
      </w:pPr>
    </w:p>
    <w:p w14:paraId="3099C52D">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w:t>
      </w:r>
      <w:r>
        <w:rPr>
          <w:rFonts w:hint="eastAsia" w:ascii="宋体" w:hAnsi="宋体"/>
          <w:color w:val="auto"/>
          <w:spacing w:val="6"/>
          <w:sz w:val="24"/>
          <w:u w:val="single"/>
        </w:rPr>
        <w:t>______</w:t>
      </w:r>
      <w:r>
        <w:rPr>
          <w:rFonts w:hint="eastAsia" w:ascii="宋体" w:hAnsi="宋体"/>
          <w:color w:val="auto"/>
          <w:spacing w:val="6"/>
          <w:sz w:val="24"/>
        </w:rPr>
        <w:t>单位的</w:t>
      </w:r>
      <w:r>
        <w:rPr>
          <w:rFonts w:hint="eastAsia" w:ascii="宋体" w:hAnsi="宋体"/>
          <w:color w:val="auto"/>
          <w:spacing w:val="6"/>
          <w:sz w:val="24"/>
          <w:u w:val="single"/>
        </w:rPr>
        <w:t>______</w:t>
      </w:r>
      <w:r>
        <w:rPr>
          <w:rFonts w:hint="eastAsia" w:ascii="宋体" w:hAnsi="宋体"/>
          <w:color w:val="auto"/>
          <w:spacing w:val="6"/>
          <w:sz w:val="24"/>
        </w:rPr>
        <w:t>项目采购活动由本单位承担工程</w:t>
      </w:r>
      <w:r>
        <w:rPr>
          <w:rFonts w:hint="eastAsia" w:ascii="宋体" w:hAnsi="宋体"/>
          <w:color w:val="auto"/>
          <w:spacing w:val="-6"/>
          <w:sz w:val="24"/>
        </w:rPr>
        <w:t>。</w:t>
      </w:r>
    </w:p>
    <w:p w14:paraId="2F8D6036">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3D65ADC1">
      <w:pPr>
        <w:spacing w:line="360" w:lineRule="auto"/>
        <w:ind w:firstLine="480" w:firstLineChars="200"/>
        <w:rPr>
          <w:rFonts w:ascii="宋体" w:hAnsi="宋体"/>
          <w:color w:val="auto"/>
          <w:sz w:val="24"/>
        </w:rPr>
      </w:pPr>
    </w:p>
    <w:p w14:paraId="311E8EFB">
      <w:pPr>
        <w:spacing w:line="360" w:lineRule="auto"/>
        <w:ind w:firstLine="480" w:firstLineChars="200"/>
        <w:rPr>
          <w:rFonts w:ascii="宋体" w:hAnsi="宋体"/>
          <w:color w:val="auto"/>
          <w:sz w:val="24"/>
        </w:rPr>
      </w:pPr>
    </w:p>
    <w:p w14:paraId="425C7912">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                   供应商名称（公章）：                          </w:t>
      </w:r>
    </w:p>
    <w:p w14:paraId="2CE4ACAA">
      <w:pPr>
        <w:tabs>
          <w:tab w:val="left" w:pos="4860"/>
        </w:tabs>
        <w:spacing w:line="360" w:lineRule="auto"/>
        <w:ind w:right="1560" w:firstLine="480" w:firstLineChars="200"/>
        <w:jc w:val="center"/>
        <w:rPr>
          <w:rFonts w:ascii="宋体" w:hAnsi="宋体"/>
          <w:color w:val="auto"/>
          <w:sz w:val="24"/>
        </w:rPr>
      </w:pPr>
      <w:r>
        <w:rPr>
          <w:rFonts w:hint="eastAsia" w:ascii="宋体" w:hAnsi="宋体"/>
          <w:color w:val="auto"/>
          <w:sz w:val="24"/>
        </w:rPr>
        <w:t xml:space="preserve">     日期：  年   月   日</w:t>
      </w:r>
    </w:p>
    <w:p w14:paraId="6CDEFEA8">
      <w:pPr>
        <w:tabs>
          <w:tab w:val="left" w:pos="4860"/>
        </w:tabs>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说明：符合条件的残疾人福利性单位在参加政府采购活动时，应当提供本通知规定的《残疾人福利性单位声明函》，并对声明的真实性负责。</w:t>
      </w:r>
    </w:p>
    <w:p w14:paraId="6C682B1C">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成交供应商为残疾人福利性单位的，采购人或者其委托的采购代理机构应当随成交结果同时公告其《残疾人福利性单位声明函》，接受社会监督。</w:t>
      </w:r>
    </w:p>
    <w:p w14:paraId="77A9DD16">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供应商提供的《残疾人福利性单位声明函》与事实不符的，依照《政府采购法》第七十七条第一款的规定追究法律责任。</w:t>
      </w:r>
    </w:p>
    <w:p w14:paraId="5D300D5B">
      <w:pPr>
        <w:spacing w:line="360" w:lineRule="auto"/>
        <w:ind w:firstLine="7680" w:firstLineChars="3200"/>
        <w:rPr>
          <w:rFonts w:ascii="宋体" w:hAnsi="宋体" w:cs="Courier New"/>
          <w:color w:val="auto"/>
          <w:sz w:val="24"/>
        </w:rPr>
      </w:pPr>
    </w:p>
    <w:p w14:paraId="5A2F73FD">
      <w:pPr>
        <w:spacing w:line="360" w:lineRule="auto"/>
        <w:ind w:firstLine="7680" w:firstLineChars="3200"/>
        <w:rPr>
          <w:rFonts w:ascii="宋体" w:hAnsi="宋体" w:cs="Courier New"/>
          <w:color w:val="auto"/>
          <w:sz w:val="24"/>
        </w:rPr>
      </w:pPr>
    </w:p>
    <w:p w14:paraId="2AC96B09">
      <w:pPr>
        <w:spacing w:line="360" w:lineRule="auto"/>
        <w:ind w:firstLine="6720" w:firstLineChars="3200"/>
        <w:rPr>
          <w:rFonts w:ascii="宋体" w:hAnsi="宋体" w:cs="Courier New"/>
          <w:color w:val="auto"/>
          <w:szCs w:val="21"/>
        </w:rPr>
      </w:pPr>
    </w:p>
    <w:p w14:paraId="26DFEEF3">
      <w:pPr>
        <w:spacing w:line="360" w:lineRule="auto"/>
        <w:ind w:firstLine="6720" w:firstLineChars="3200"/>
        <w:rPr>
          <w:rFonts w:ascii="宋体" w:hAnsi="宋体" w:cs="Courier New"/>
          <w:color w:val="auto"/>
          <w:szCs w:val="21"/>
        </w:rPr>
      </w:pPr>
    </w:p>
    <w:p w14:paraId="326569AB">
      <w:pPr>
        <w:spacing w:line="360" w:lineRule="auto"/>
        <w:rPr>
          <w:rFonts w:ascii="宋体" w:hAnsi="宋体" w:cs="宋体"/>
          <w:b/>
          <w:color w:val="auto"/>
          <w:spacing w:val="6"/>
          <w:sz w:val="28"/>
          <w:szCs w:val="28"/>
        </w:rPr>
      </w:pPr>
    </w:p>
    <w:p w14:paraId="0F9520F9">
      <w:pPr>
        <w:spacing w:line="360" w:lineRule="auto"/>
        <w:rPr>
          <w:rFonts w:ascii="宋体" w:hAnsi="宋体" w:cs="宋体"/>
          <w:b/>
          <w:color w:val="auto"/>
          <w:spacing w:val="6"/>
          <w:sz w:val="28"/>
          <w:szCs w:val="28"/>
        </w:rPr>
      </w:pPr>
      <w:r>
        <w:rPr>
          <w:rFonts w:hint="eastAsia" w:ascii="宋体" w:hAnsi="宋体" w:cs="宋体"/>
          <w:b/>
          <w:color w:val="auto"/>
          <w:spacing w:val="6"/>
          <w:sz w:val="28"/>
          <w:szCs w:val="28"/>
        </w:rPr>
        <w:br w:type="page"/>
      </w:r>
    </w:p>
    <w:p w14:paraId="796CAB24">
      <w:pPr>
        <w:spacing w:line="360" w:lineRule="auto"/>
        <w:rPr>
          <w:rFonts w:ascii="宋体" w:hAnsi="宋体" w:cs="宋体"/>
          <w:b/>
          <w:color w:val="auto"/>
          <w:spacing w:val="6"/>
          <w:sz w:val="24"/>
        </w:rPr>
      </w:pPr>
      <w:r>
        <w:rPr>
          <w:rFonts w:hint="eastAsia" w:ascii="宋体" w:hAnsi="宋体" w:cs="宋体"/>
          <w:b/>
          <w:color w:val="auto"/>
          <w:spacing w:val="6"/>
          <w:sz w:val="24"/>
        </w:rPr>
        <w:t>附件15</w:t>
      </w:r>
    </w:p>
    <w:p w14:paraId="4E4A113B">
      <w:pPr>
        <w:spacing w:line="360" w:lineRule="auto"/>
        <w:rPr>
          <w:rFonts w:ascii="宋体" w:hAnsi="宋体" w:cs="宋体"/>
          <w:b/>
          <w:color w:val="auto"/>
          <w:spacing w:val="6"/>
          <w:sz w:val="24"/>
        </w:rPr>
      </w:pPr>
      <w:r>
        <w:rPr>
          <w:rFonts w:hint="eastAsia" w:ascii="宋体" w:hAnsi="宋体" w:cs="宋体"/>
          <w:b/>
          <w:color w:val="auto"/>
          <w:spacing w:val="6"/>
          <w:sz w:val="24"/>
        </w:rPr>
        <w:t>质疑函范本格式：</w:t>
      </w:r>
    </w:p>
    <w:p w14:paraId="373E6154">
      <w:pPr>
        <w:spacing w:line="360" w:lineRule="auto"/>
        <w:jc w:val="center"/>
        <w:rPr>
          <w:rFonts w:ascii="宋体" w:hAnsi="宋体" w:cs="宋体"/>
          <w:b/>
          <w:color w:val="auto"/>
          <w:spacing w:val="6"/>
          <w:sz w:val="24"/>
        </w:rPr>
      </w:pPr>
      <w:r>
        <w:rPr>
          <w:rFonts w:hint="eastAsia" w:ascii="宋体" w:hAnsi="宋体" w:cs="宋体"/>
          <w:b/>
          <w:color w:val="auto"/>
          <w:spacing w:val="6"/>
          <w:sz w:val="24"/>
        </w:rPr>
        <w:t>质疑函范本</w:t>
      </w:r>
    </w:p>
    <w:p w14:paraId="74AECF74">
      <w:pPr>
        <w:snapToGrid w:val="0"/>
        <w:spacing w:line="360" w:lineRule="auto"/>
        <w:rPr>
          <w:rFonts w:ascii="宋体" w:hAnsi="宋体" w:cs="宋体"/>
          <w:bCs/>
          <w:color w:val="auto"/>
          <w:sz w:val="24"/>
        </w:rPr>
      </w:pPr>
      <w:r>
        <w:rPr>
          <w:rFonts w:hint="eastAsia" w:ascii="宋体" w:hAnsi="宋体" w:cs="宋体"/>
          <w:bCs/>
          <w:color w:val="auto"/>
          <w:sz w:val="24"/>
        </w:rPr>
        <w:t>一、质疑供应商基本信息</w:t>
      </w:r>
    </w:p>
    <w:p w14:paraId="50468F13">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15019D77">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1A0B404">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79D236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57F8B46E">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FAD43FC">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464ADF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14677EBE">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47186511">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14BE48A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3A81485">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1F1FEF53">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4EEE4FA">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A627E5C">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3DD4E03">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FACAC0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098A905C">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1AED58D8">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6B03C80C">
      <w:pPr>
        <w:snapToGrid w:val="0"/>
        <w:spacing w:line="360" w:lineRule="auto"/>
        <w:rPr>
          <w:rFonts w:ascii="宋体" w:hAnsi="宋体" w:cs="宋体"/>
          <w:color w:val="auto"/>
          <w:sz w:val="24"/>
        </w:rPr>
      </w:pPr>
      <w:r>
        <w:rPr>
          <w:rFonts w:hint="eastAsia" w:ascii="宋体" w:hAnsi="宋体" w:cs="宋体"/>
          <w:color w:val="auto"/>
          <w:sz w:val="24"/>
        </w:rPr>
        <w:t>……</w:t>
      </w:r>
    </w:p>
    <w:p w14:paraId="0954A3DC">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19C9BB1">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C0B874A">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4D968D5">
      <w:pPr>
        <w:spacing w:line="360" w:lineRule="auto"/>
        <w:rPr>
          <w:rFonts w:ascii="宋体" w:hAnsi="宋体" w:cs="宋体"/>
          <w:color w:val="auto"/>
          <w:sz w:val="24"/>
        </w:rPr>
      </w:pPr>
      <w:r>
        <w:rPr>
          <w:rFonts w:hint="eastAsia" w:ascii="宋体" w:hAnsi="宋体" w:cs="宋体"/>
          <w:color w:val="auto"/>
          <w:sz w:val="24"/>
        </w:rPr>
        <w:t xml:space="preserve">日期：    </w:t>
      </w:r>
    </w:p>
    <w:p w14:paraId="3F78D61C">
      <w:pPr>
        <w:spacing w:line="360" w:lineRule="auto"/>
        <w:jc w:val="center"/>
        <w:rPr>
          <w:rFonts w:ascii="宋体" w:hAnsi="宋体" w:cs="宋体"/>
          <w:b/>
          <w:bCs/>
          <w:color w:val="auto"/>
          <w:sz w:val="24"/>
        </w:rPr>
      </w:pPr>
    </w:p>
    <w:p w14:paraId="2DD70CFC">
      <w:pPr>
        <w:spacing w:line="360" w:lineRule="auto"/>
        <w:rPr>
          <w:rFonts w:ascii="宋体" w:hAnsi="宋体" w:cs="宋体"/>
          <w:b/>
          <w:color w:val="auto"/>
          <w:sz w:val="24"/>
        </w:rPr>
      </w:pPr>
    </w:p>
    <w:p w14:paraId="7E4D8689">
      <w:pPr>
        <w:spacing w:line="360" w:lineRule="auto"/>
        <w:rPr>
          <w:rFonts w:ascii="宋体" w:hAnsi="宋体" w:cs="宋体"/>
          <w:b/>
          <w:color w:val="auto"/>
          <w:sz w:val="24"/>
        </w:rPr>
      </w:pPr>
    </w:p>
    <w:p w14:paraId="2AD723F8">
      <w:pPr>
        <w:spacing w:line="360" w:lineRule="auto"/>
        <w:rPr>
          <w:rFonts w:ascii="宋体" w:hAnsi="宋体" w:cs="宋体"/>
          <w:b/>
          <w:color w:val="auto"/>
          <w:sz w:val="24"/>
        </w:rPr>
      </w:pPr>
    </w:p>
    <w:p w14:paraId="0B09A714">
      <w:pPr>
        <w:spacing w:line="360" w:lineRule="auto"/>
        <w:rPr>
          <w:rFonts w:ascii="宋体" w:hAnsi="宋体" w:cs="宋体"/>
          <w:b/>
          <w:color w:val="auto"/>
          <w:sz w:val="24"/>
        </w:rPr>
      </w:pPr>
      <w:r>
        <w:rPr>
          <w:rFonts w:hint="eastAsia" w:ascii="宋体" w:hAnsi="宋体" w:cs="宋体"/>
          <w:b/>
          <w:color w:val="auto"/>
          <w:sz w:val="24"/>
        </w:rPr>
        <w:t>质疑函制作说明：</w:t>
      </w:r>
    </w:p>
    <w:p w14:paraId="55A345E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6D4CC40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66A17F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107DB93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3D2AE2D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1FF6053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43F74FC9">
      <w:pPr>
        <w:widowControl/>
        <w:spacing w:line="360" w:lineRule="auto"/>
        <w:ind w:firstLine="480" w:firstLineChars="200"/>
        <w:jc w:val="left"/>
        <w:rPr>
          <w:rFonts w:ascii="宋体" w:hAnsi="宋体" w:cs="宋体"/>
          <w:color w:val="auto"/>
          <w:sz w:val="24"/>
        </w:rPr>
      </w:pPr>
    </w:p>
    <w:p w14:paraId="2D9BF047">
      <w:pPr>
        <w:spacing w:line="360" w:lineRule="auto"/>
        <w:rPr>
          <w:rFonts w:ascii="宋体" w:hAnsi="宋体" w:cs="宋体"/>
          <w:b/>
          <w:color w:val="auto"/>
          <w:spacing w:val="6"/>
          <w:szCs w:val="21"/>
        </w:rPr>
        <w:sectPr>
          <w:pgSz w:w="11906" w:h="16838"/>
          <w:pgMar w:top="1247" w:right="1247" w:bottom="1247" w:left="1247" w:header="851" w:footer="992" w:gutter="0"/>
          <w:cols w:space="720" w:num="1"/>
          <w:titlePg/>
          <w:docGrid w:linePitch="312" w:charSpace="0"/>
        </w:sectPr>
      </w:pPr>
    </w:p>
    <w:p w14:paraId="20CF2F14">
      <w:pPr>
        <w:spacing w:line="360" w:lineRule="auto"/>
        <w:rPr>
          <w:rFonts w:ascii="宋体" w:hAnsi="宋体" w:cs="宋体"/>
          <w:b/>
          <w:color w:val="auto"/>
          <w:spacing w:val="6"/>
          <w:sz w:val="24"/>
        </w:rPr>
      </w:pPr>
      <w:r>
        <w:rPr>
          <w:rFonts w:hint="eastAsia" w:ascii="宋体" w:hAnsi="宋体" w:cs="宋体"/>
          <w:b/>
          <w:color w:val="auto"/>
          <w:spacing w:val="6"/>
          <w:sz w:val="24"/>
        </w:rPr>
        <w:t>附件16</w:t>
      </w:r>
    </w:p>
    <w:p w14:paraId="0B4EFFDB">
      <w:pPr>
        <w:spacing w:line="360" w:lineRule="auto"/>
        <w:rPr>
          <w:rFonts w:ascii="宋体" w:hAnsi="宋体" w:cs="宋体"/>
          <w:b/>
          <w:color w:val="auto"/>
          <w:spacing w:val="6"/>
          <w:sz w:val="24"/>
        </w:rPr>
      </w:pPr>
      <w:r>
        <w:rPr>
          <w:rFonts w:hint="eastAsia" w:ascii="宋体" w:hAnsi="宋体" w:cs="宋体"/>
          <w:b/>
          <w:color w:val="auto"/>
          <w:spacing w:val="6"/>
          <w:sz w:val="24"/>
        </w:rPr>
        <w:t>投诉书范本格式：</w:t>
      </w:r>
    </w:p>
    <w:p w14:paraId="36FA32C8">
      <w:pPr>
        <w:snapToGrid w:val="0"/>
        <w:spacing w:line="360" w:lineRule="auto"/>
        <w:jc w:val="center"/>
        <w:rPr>
          <w:rFonts w:ascii="宋体" w:hAnsi="宋体" w:cs="宋体"/>
          <w:b/>
          <w:bCs/>
          <w:color w:val="auto"/>
          <w:kern w:val="0"/>
          <w:sz w:val="24"/>
        </w:rPr>
      </w:pPr>
      <w:r>
        <w:rPr>
          <w:rFonts w:ascii="宋体" w:hAnsi="宋体" w:cs="宋体"/>
          <w:b/>
          <w:bCs/>
          <w:color w:val="auto"/>
          <w:kern w:val="0"/>
          <w:sz w:val="24"/>
        </w:rPr>
        <w:t>政府采购供应商投诉书范本</w:t>
      </w:r>
    </w:p>
    <w:p w14:paraId="0463749B">
      <w:pPr>
        <w:snapToGrid w:val="0"/>
        <w:spacing w:line="360" w:lineRule="auto"/>
        <w:jc w:val="center"/>
        <w:rPr>
          <w:rFonts w:ascii="宋体" w:hAnsi="宋体" w:cs="宋体"/>
          <w:b/>
          <w:bCs/>
          <w:color w:val="auto"/>
          <w:kern w:val="0"/>
          <w:sz w:val="24"/>
        </w:rPr>
      </w:pPr>
    </w:p>
    <w:p w14:paraId="77E5FECF">
      <w:pPr>
        <w:snapToGrid w:val="0"/>
        <w:spacing w:line="360" w:lineRule="auto"/>
        <w:rPr>
          <w:rFonts w:ascii="宋体" w:hAnsi="宋体" w:cs="宋体"/>
          <w:color w:val="auto"/>
          <w:kern w:val="0"/>
          <w:sz w:val="24"/>
        </w:rPr>
      </w:pPr>
      <w:r>
        <w:rPr>
          <w:rFonts w:hint="eastAsia" w:ascii="宋体" w:hAnsi="宋体" w:cs="宋体"/>
          <w:color w:val="auto"/>
          <w:kern w:val="0"/>
          <w:sz w:val="24"/>
        </w:rPr>
        <w:t>一、投诉相关主体基本情况</w:t>
      </w:r>
    </w:p>
    <w:p w14:paraId="0F4799DC">
      <w:pPr>
        <w:snapToGrid w:val="0"/>
        <w:spacing w:line="360" w:lineRule="auto"/>
        <w:rPr>
          <w:rFonts w:ascii="宋体" w:hAnsi="宋体" w:cs="宋体"/>
          <w:color w:val="auto"/>
          <w:kern w:val="0"/>
          <w:sz w:val="24"/>
        </w:rPr>
      </w:pPr>
      <w:r>
        <w:rPr>
          <w:rFonts w:hint="eastAsia" w:ascii="宋体" w:hAnsi="宋体" w:cs="宋体"/>
          <w:color w:val="auto"/>
          <w:kern w:val="0"/>
          <w:sz w:val="24"/>
        </w:rPr>
        <w:t>投诉人：</w:t>
      </w:r>
    </w:p>
    <w:p w14:paraId="00D77B85">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33594700">
      <w:pPr>
        <w:snapToGrid w:val="0"/>
        <w:spacing w:line="360" w:lineRule="auto"/>
        <w:rPr>
          <w:rFonts w:ascii="宋体" w:hAnsi="宋体" w:cs="宋体"/>
          <w:color w:val="auto"/>
          <w:kern w:val="0"/>
          <w:sz w:val="24"/>
        </w:rPr>
      </w:pPr>
      <w:r>
        <w:rPr>
          <w:rFonts w:hint="eastAsia" w:ascii="宋体" w:hAnsi="宋体" w:cs="宋体"/>
          <w:color w:val="auto"/>
          <w:kern w:val="0"/>
          <w:sz w:val="24"/>
        </w:rPr>
        <w:t>法定代表人/主要负责人：</w:t>
      </w:r>
    </w:p>
    <w:p w14:paraId="0E793B50">
      <w:pPr>
        <w:snapToGrid w:val="0"/>
        <w:spacing w:line="360" w:lineRule="auto"/>
        <w:rPr>
          <w:rFonts w:ascii="宋体" w:hAnsi="宋体" w:cs="宋体"/>
          <w:color w:val="auto"/>
          <w:kern w:val="0"/>
          <w:sz w:val="24"/>
        </w:rPr>
      </w:pPr>
      <w:r>
        <w:rPr>
          <w:rFonts w:hint="eastAsia" w:ascii="宋体" w:hAnsi="宋体" w:cs="宋体"/>
          <w:color w:val="auto"/>
          <w:kern w:val="0"/>
          <w:sz w:val="24"/>
        </w:rPr>
        <w:t>联系电话：</w:t>
      </w:r>
    </w:p>
    <w:p w14:paraId="1E28D659">
      <w:pPr>
        <w:snapToGrid w:val="0"/>
        <w:spacing w:line="360" w:lineRule="auto"/>
        <w:rPr>
          <w:rFonts w:ascii="宋体" w:hAnsi="宋体" w:cs="宋体"/>
          <w:color w:val="auto"/>
          <w:kern w:val="0"/>
          <w:sz w:val="24"/>
        </w:rPr>
      </w:pPr>
      <w:r>
        <w:rPr>
          <w:rFonts w:hint="eastAsia" w:ascii="宋体" w:hAnsi="宋体" w:cs="宋体"/>
          <w:color w:val="auto"/>
          <w:kern w:val="0"/>
          <w:sz w:val="24"/>
        </w:rPr>
        <w:t>授权代表：联系电话：</w:t>
      </w:r>
    </w:p>
    <w:p w14:paraId="11E66F7A">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66411187">
      <w:pPr>
        <w:snapToGrid w:val="0"/>
        <w:spacing w:line="360" w:lineRule="auto"/>
        <w:rPr>
          <w:rFonts w:ascii="宋体" w:hAnsi="宋体" w:cs="宋体"/>
          <w:color w:val="auto"/>
          <w:kern w:val="0"/>
          <w:sz w:val="24"/>
        </w:rPr>
      </w:pPr>
      <w:r>
        <w:rPr>
          <w:rFonts w:hint="eastAsia" w:ascii="宋体" w:hAnsi="宋体" w:cs="宋体"/>
          <w:color w:val="auto"/>
          <w:kern w:val="0"/>
          <w:sz w:val="24"/>
        </w:rPr>
        <w:t>被投诉人1：</w:t>
      </w:r>
    </w:p>
    <w:p w14:paraId="076C70C7">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54A38537">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5624FA08">
      <w:pPr>
        <w:snapToGrid w:val="0"/>
        <w:spacing w:line="360" w:lineRule="auto"/>
        <w:rPr>
          <w:rFonts w:ascii="宋体" w:hAnsi="宋体" w:cs="宋体"/>
          <w:color w:val="auto"/>
          <w:kern w:val="0"/>
          <w:sz w:val="24"/>
        </w:rPr>
      </w:pPr>
      <w:r>
        <w:rPr>
          <w:rFonts w:hint="eastAsia" w:ascii="宋体" w:hAnsi="宋体" w:cs="宋体"/>
          <w:color w:val="auto"/>
          <w:kern w:val="0"/>
          <w:sz w:val="24"/>
        </w:rPr>
        <w:t>被投诉人2</w:t>
      </w:r>
    </w:p>
    <w:p w14:paraId="24A8C94E">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514673CF">
      <w:pPr>
        <w:snapToGrid w:val="0"/>
        <w:spacing w:line="360" w:lineRule="auto"/>
        <w:rPr>
          <w:rFonts w:ascii="宋体" w:hAnsi="宋体" w:cs="宋体"/>
          <w:color w:val="auto"/>
          <w:kern w:val="0"/>
          <w:sz w:val="24"/>
        </w:rPr>
      </w:pPr>
      <w:r>
        <w:rPr>
          <w:rFonts w:hint="eastAsia" w:ascii="宋体" w:hAnsi="宋体" w:cs="宋体"/>
          <w:color w:val="auto"/>
          <w:kern w:val="0"/>
          <w:sz w:val="24"/>
        </w:rPr>
        <w:t>相关供应商：</w:t>
      </w:r>
    </w:p>
    <w:p w14:paraId="3058E52F">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1B992117">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127F0BEE">
      <w:pPr>
        <w:snapToGrid w:val="0"/>
        <w:spacing w:line="360" w:lineRule="auto"/>
        <w:rPr>
          <w:rFonts w:ascii="宋体" w:hAnsi="宋体" w:cs="宋体"/>
          <w:color w:val="auto"/>
          <w:kern w:val="0"/>
          <w:sz w:val="24"/>
        </w:rPr>
      </w:pPr>
      <w:r>
        <w:rPr>
          <w:rFonts w:hint="eastAsia" w:ascii="宋体" w:hAnsi="宋体" w:cs="宋体"/>
          <w:color w:val="auto"/>
          <w:kern w:val="0"/>
          <w:sz w:val="24"/>
        </w:rPr>
        <w:t>二、投诉项目基本情况</w:t>
      </w:r>
    </w:p>
    <w:p w14:paraId="07F0218B">
      <w:pPr>
        <w:snapToGrid w:val="0"/>
        <w:spacing w:line="360" w:lineRule="auto"/>
        <w:rPr>
          <w:rFonts w:ascii="宋体" w:hAnsi="宋体" w:cs="宋体"/>
          <w:color w:val="auto"/>
          <w:kern w:val="0"/>
          <w:sz w:val="24"/>
        </w:rPr>
      </w:pPr>
      <w:r>
        <w:rPr>
          <w:rFonts w:hint="eastAsia" w:ascii="宋体" w:hAnsi="宋体" w:cs="宋体"/>
          <w:color w:val="auto"/>
          <w:kern w:val="0"/>
          <w:sz w:val="24"/>
        </w:rPr>
        <w:t>采购项目名称：</w:t>
      </w:r>
    </w:p>
    <w:p w14:paraId="5B441C21">
      <w:pPr>
        <w:snapToGrid w:val="0"/>
        <w:spacing w:line="360" w:lineRule="auto"/>
        <w:rPr>
          <w:rFonts w:ascii="宋体" w:hAnsi="宋体" w:cs="宋体"/>
          <w:color w:val="auto"/>
          <w:kern w:val="0"/>
          <w:sz w:val="24"/>
        </w:rPr>
      </w:pPr>
      <w:r>
        <w:rPr>
          <w:rFonts w:hint="eastAsia" w:ascii="宋体" w:hAnsi="宋体" w:cs="宋体"/>
          <w:color w:val="auto"/>
          <w:kern w:val="0"/>
          <w:sz w:val="24"/>
        </w:rPr>
        <w:t>采购项目编号：包号：</w:t>
      </w:r>
    </w:p>
    <w:p w14:paraId="0046BC9D">
      <w:pPr>
        <w:snapToGrid w:val="0"/>
        <w:spacing w:line="360" w:lineRule="auto"/>
        <w:rPr>
          <w:rFonts w:ascii="宋体" w:hAnsi="宋体" w:cs="宋体"/>
          <w:color w:val="auto"/>
          <w:kern w:val="0"/>
          <w:sz w:val="24"/>
        </w:rPr>
      </w:pPr>
      <w:r>
        <w:rPr>
          <w:rFonts w:hint="eastAsia" w:ascii="宋体" w:hAnsi="宋体" w:cs="宋体"/>
          <w:color w:val="auto"/>
          <w:kern w:val="0"/>
          <w:sz w:val="24"/>
        </w:rPr>
        <w:t>采购人名称：</w:t>
      </w:r>
    </w:p>
    <w:p w14:paraId="2A291B0C">
      <w:pPr>
        <w:snapToGrid w:val="0"/>
        <w:spacing w:line="360" w:lineRule="auto"/>
        <w:rPr>
          <w:rFonts w:ascii="宋体" w:hAnsi="宋体" w:cs="宋体"/>
          <w:color w:val="auto"/>
          <w:kern w:val="0"/>
          <w:sz w:val="24"/>
        </w:rPr>
      </w:pPr>
      <w:r>
        <w:rPr>
          <w:rFonts w:hint="eastAsia" w:ascii="宋体" w:hAnsi="宋体" w:cs="宋体"/>
          <w:color w:val="auto"/>
          <w:kern w:val="0"/>
          <w:sz w:val="24"/>
        </w:rPr>
        <w:t>代理机构名称：</w:t>
      </w:r>
    </w:p>
    <w:p w14:paraId="0F56770D">
      <w:pPr>
        <w:snapToGrid w:val="0"/>
        <w:spacing w:line="360" w:lineRule="auto"/>
        <w:rPr>
          <w:rFonts w:ascii="宋体" w:hAnsi="宋体" w:cs="宋体"/>
          <w:color w:val="auto"/>
          <w:kern w:val="0"/>
          <w:sz w:val="24"/>
        </w:rPr>
      </w:pPr>
      <w:r>
        <w:rPr>
          <w:rFonts w:hint="eastAsia" w:ascii="宋体" w:hAnsi="宋体" w:cs="宋体"/>
          <w:color w:val="auto"/>
          <w:kern w:val="0"/>
          <w:sz w:val="24"/>
        </w:rPr>
        <w:t>采购文件公告:是/否 公告期限：</w:t>
      </w:r>
    </w:p>
    <w:p w14:paraId="444E5738">
      <w:pPr>
        <w:snapToGrid w:val="0"/>
        <w:spacing w:line="360" w:lineRule="auto"/>
        <w:rPr>
          <w:rFonts w:ascii="宋体" w:hAnsi="宋体" w:cs="宋体"/>
          <w:color w:val="auto"/>
          <w:kern w:val="0"/>
          <w:sz w:val="24"/>
        </w:rPr>
      </w:pPr>
      <w:r>
        <w:rPr>
          <w:rFonts w:hint="eastAsia" w:ascii="宋体" w:hAnsi="宋体" w:cs="宋体"/>
          <w:color w:val="auto"/>
          <w:kern w:val="0"/>
          <w:sz w:val="24"/>
        </w:rPr>
        <w:t>采购结果公告:是/否 公告期限：</w:t>
      </w:r>
    </w:p>
    <w:p w14:paraId="43F39B73">
      <w:pPr>
        <w:snapToGrid w:val="0"/>
        <w:spacing w:line="360" w:lineRule="auto"/>
        <w:rPr>
          <w:rFonts w:ascii="宋体" w:hAnsi="宋体" w:cs="宋体"/>
          <w:color w:val="auto"/>
          <w:kern w:val="0"/>
          <w:sz w:val="24"/>
        </w:rPr>
      </w:pPr>
      <w:r>
        <w:rPr>
          <w:rFonts w:hint="eastAsia" w:ascii="宋体" w:hAnsi="宋体" w:cs="宋体"/>
          <w:color w:val="auto"/>
          <w:kern w:val="0"/>
          <w:sz w:val="24"/>
        </w:rPr>
        <w:t>三、质疑基本情况</w:t>
      </w:r>
    </w:p>
    <w:p w14:paraId="4DB8F735">
      <w:pPr>
        <w:snapToGrid w:val="0"/>
        <w:spacing w:line="360" w:lineRule="auto"/>
        <w:rPr>
          <w:rFonts w:ascii="宋体" w:hAnsi="宋体" w:cs="宋体"/>
          <w:color w:val="auto"/>
          <w:kern w:val="0"/>
          <w:sz w:val="24"/>
        </w:rPr>
      </w:pPr>
      <w:r>
        <w:rPr>
          <w:rFonts w:hint="eastAsia" w:ascii="宋体" w:hAnsi="宋体" w:cs="宋体"/>
          <w:color w:val="auto"/>
          <w:kern w:val="0"/>
          <w:sz w:val="24"/>
        </w:rPr>
        <w:t>投诉人于年月 日,向提出质疑，质疑事项为：</w:t>
      </w:r>
    </w:p>
    <w:p w14:paraId="7D4D5146">
      <w:pPr>
        <w:snapToGrid w:val="0"/>
        <w:spacing w:line="360" w:lineRule="auto"/>
        <w:rPr>
          <w:rFonts w:ascii="宋体" w:hAnsi="宋体" w:cs="宋体"/>
          <w:color w:val="auto"/>
          <w:kern w:val="0"/>
          <w:sz w:val="24"/>
        </w:rPr>
      </w:pPr>
      <w:r>
        <w:rPr>
          <w:rFonts w:hint="eastAsia" w:ascii="宋体" w:hAnsi="宋体" w:cs="宋体"/>
          <w:color w:val="auto"/>
          <w:kern w:val="0"/>
          <w:sz w:val="24"/>
        </w:rPr>
        <w:t>采购人/代理机构于年月日,就质疑事项作出了答复/没有在法定期限内作出答复。</w:t>
      </w:r>
    </w:p>
    <w:p w14:paraId="535EF3C5">
      <w:pPr>
        <w:snapToGrid w:val="0"/>
        <w:spacing w:line="360" w:lineRule="auto"/>
        <w:rPr>
          <w:rFonts w:ascii="宋体" w:hAnsi="宋体" w:cs="宋体"/>
          <w:color w:val="auto"/>
          <w:kern w:val="0"/>
          <w:sz w:val="24"/>
        </w:rPr>
      </w:pPr>
      <w:r>
        <w:rPr>
          <w:rFonts w:hint="eastAsia" w:ascii="宋体" w:hAnsi="宋体" w:cs="宋体"/>
          <w:color w:val="auto"/>
          <w:kern w:val="0"/>
          <w:sz w:val="24"/>
        </w:rPr>
        <w:t>四、投诉事项具体内容</w:t>
      </w:r>
    </w:p>
    <w:p w14:paraId="1A393027">
      <w:pPr>
        <w:snapToGrid w:val="0"/>
        <w:spacing w:line="360" w:lineRule="auto"/>
        <w:rPr>
          <w:rFonts w:ascii="宋体" w:hAnsi="宋体" w:cs="宋体"/>
          <w:color w:val="auto"/>
          <w:kern w:val="0"/>
          <w:sz w:val="24"/>
        </w:rPr>
        <w:sectPr>
          <w:footerReference r:id="rId8" w:type="default"/>
          <w:pgSz w:w="11911" w:h="16838"/>
          <w:pgMar w:top="1417" w:right="1417" w:bottom="1417" w:left="1417" w:header="720" w:footer="720" w:gutter="0"/>
          <w:cols w:space="720" w:num="1"/>
          <w:docGrid w:linePitch="1" w:charSpace="0"/>
        </w:sectPr>
      </w:pPr>
    </w:p>
    <w:p w14:paraId="3AE968A6">
      <w:pPr>
        <w:snapToGrid w:val="0"/>
        <w:spacing w:line="360" w:lineRule="auto"/>
        <w:rPr>
          <w:rFonts w:ascii="宋体" w:hAnsi="宋体" w:cs="宋体"/>
          <w:color w:val="auto"/>
          <w:kern w:val="0"/>
          <w:sz w:val="24"/>
        </w:rPr>
      </w:pPr>
      <w:r>
        <w:rPr>
          <w:rFonts w:hint="eastAsia" w:ascii="宋体" w:hAnsi="宋体" w:cs="宋体"/>
          <w:color w:val="auto"/>
          <w:kern w:val="0"/>
          <w:sz w:val="24"/>
        </w:rPr>
        <w:t>投诉事项1：</w:t>
      </w:r>
    </w:p>
    <w:p w14:paraId="67053EAD">
      <w:pPr>
        <w:snapToGrid w:val="0"/>
        <w:spacing w:line="360" w:lineRule="auto"/>
        <w:rPr>
          <w:rFonts w:ascii="宋体" w:hAnsi="宋体" w:cs="宋体"/>
          <w:color w:val="auto"/>
          <w:kern w:val="0"/>
          <w:sz w:val="24"/>
        </w:rPr>
      </w:pPr>
      <w:r>
        <w:rPr>
          <w:rFonts w:hint="eastAsia" w:ascii="宋体" w:hAnsi="宋体" w:cs="宋体"/>
          <w:color w:val="auto"/>
          <w:kern w:val="0"/>
          <w:sz w:val="24"/>
        </w:rPr>
        <w:t>事实依据：</w:t>
      </w:r>
    </w:p>
    <w:p w14:paraId="662DBE5D">
      <w:pPr>
        <w:snapToGrid w:val="0"/>
        <w:spacing w:line="360" w:lineRule="auto"/>
        <w:rPr>
          <w:rFonts w:ascii="宋体" w:hAnsi="宋体" w:cs="宋体"/>
          <w:color w:val="auto"/>
          <w:kern w:val="0"/>
          <w:sz w:val="24"/>
        </w:rPr>
      </w:pPr>
      <w:r>
        <w:rPr>
          <w:rFonts w:hint="eastAsia" w:ascii="宋体" w:hAnsi="宋体" w:cs="宋体"/>
          <w:color w:val="auto"/>
          <w:kern w:val="0"/>
          <w:sz w:val="24"/>
        </w:rPr>
        <w:t>法律依据：</w:t>
      </w:r>
    </w:p>
    <w:p w14:paraId="40B3DCAB">
      <w:pPr>
        <w:snapToGrid w:val="0"/>
        <w:spacing w:line="360" w:lineRule="auto"/>
        <w:rPr>
          <w:rFonts w:ascii="宋体" w:hAnsi="宋体" w:cs="宋体"/>
          <w:color w:val="auto"/>
          <w:kern w:val="0"/>
          <w:sz w:val="24"/>
        </w:rPr>
      </w:pPr>
      <w:r>
        <w:rPr>
          <w:rFonts w:hint="eastAsia" w:ascii="宋体" w:hAnsi="宋体" w:cs="宋体"/>
          <w:color w:val="auto"/>
          <w:kern w:val="0"/>
          <w:sz w:val="24"/>
        </w:rPr>
        <w:t>投诉事项2</w:t>
      </w:r>
    </w:p>
    <w:p w14:paraId="2B0D57AE">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11C731B5">
      <w:pPr>
        <w:snapToGrid w:val="0"/>
        <w:spacing w:line="360" w:lineRule="auto"/>
        <w:rPr>
          <w:rFonts w:ascii="宋体" w:hAnsi="宋体" w:cs="宋体"/>
          <w:color w:val="auto"/>
          <w:kern w:val="0"/>
          <w:sz w:val="24"/>
        </w:rPr>
      </w:pPr>
      <w:r>
        <w:rPr>
          <w:rFonts w:hint="eastAsia" w:ascii="宋体" w:hAnsi="宋体" w:cs="宋体"/>
          <w:color w:val="auto"/>
          <w:kern w:val="0"/>
          <w:sz w:val="24"/>
        </w:rPr>
        <w:t>五、与投诉事项相关的投诉请求</w:t>
      </w:r>
    </w:p>
    <w:p w14:paraId="05D34339">
      <w:pPr>
        <w:snapToGrid w:val="0"/>
        <w:spacing w:line="360" w:lineRule="auto"/>
        <w:rPr>
          <w:rFonts w:ascii="宋体" w:hAnsi="宋体" w:cs="宋体"/>
          <w:color w:val="auto"/>
          <w:kern w:val="0"/>
          <w:sz w:val="24"/>
        </w:rPr>
      </w:pPr>
      <w:r>
        <w:rPr>
          <w:rFonts w:hint="eastAsia" w:ascii="宋体" w:hAnsi="宋体" w:cs="宋体"/>
          <w:color w:val="auto"/>
          <w:kern w:val="0"/>
          <w:sz w:val="24"/>
        </w:rPr>
        <w:t>请求：</w:t>
      </w:r>
    </w:p>
    <w:p w14:paraId="027257C9">
      <w:pPr>
        <w:snapToGrid w:val="0"/>
        <w:spacing w:line="360" w:lineRule="auto"/>
        <w:rPr>
          <w:rFonts w:ascii="宋体" w:hAnsi="宋体" w:cs="宋体"/>
          <w:color w:val="auto"/>
          <w:kern w:val="0"/>
          <w:sz w:val="24"/>
        </w:rPr>
      </w:pPr>
      <w:r>
        <w:rPr>
          <w:rFonts w:hint="eastAsia" w:ascii="宋体" w:hAnsi="宋体" w:cs="宋体"/>
          <w:color w:val="auto"/>
          <w:kern w:val="0"/>
          <w:sz w:val="24"/>
        </w:rPr>
        <w:t>签字(签章)：公章：</w:t>
      </w:r>
    </w:p>
    <w:p w14:paraId="477C0DD1">
      <w:pPr>
        <w:snapToGrid w:val="0"/>
        <w:spacing w:line="360" w:lineRule="auto"/>
        <w:rPr>
          <w:rFonts w:ascii="宋体" w:hAnsi="宋体" w:cs="宋体"/>
          <w:color w:val="auto"/>
          <w:kern w:val="0"/>
          <w:sz w:val="24"/>
        </w:rPr>
      </w:pPr>
      <w:r>
        <w:rPr>
          <w:rFonts w:hint="eastAsia" w:ascii="宋体" w:hAnsi="宋体" w:cs="宋体"/>
          <w:color w:val="auto"/>
          <w:kern w:val="0"/>
          <w:sz w:val="24"/>
        </w:rPr>
        <w:t>日期：</w:t>
      </w:r>
    </w:p>
    <w:p w14:paraId="475F2187">
      <w:pPr>
        <w:snapToGrid w:val="0"/>
        <w:spacing w:line="360" w:lineRule="auto"/>
        <w:rPr>
          <w:rFonts w:ascii="宋体" w:hAnsi="宋体" w:cs="宋体"/>
          <w:color w:val="auto"/>
          <w:kern w:val="0"/>
          <w:sz w:val="24"/>
        </w:rPr>
      </w:pPr>
      <w:r>
        <w:rPr>
          <w:rFonts w:hint="eastAsia" w:ascii="宋体" w:hAnsi="宋体" w:cs="宋体"/>
          <w:b/>
          <w:bCs/>
          <w:color w:val="auto"/>
          <w:kern w:val="0"/>
          <w:sz w:val="24"/>
        </w:rPr>
        <w:t>投诉书制作说明：</w:t>
      </w:r>
    </w:p>
    <w:p w14:paraId="301F54A2">
      <w:pPr>
        <w:snapToGrid w:val="0"/>
        <w:spacing w:line="360" w:lineRule="auto"/>
        <w:rPr>
          <w:rFonts w:ascii="宋体" w:hAnsi="宋体" w:cs="宋体"/>
          <w:color w:val="auto"/>
          <w:kern w:val="0"/>
          <w:sz w:val="24"/>
        </w:rPr>
      </w:pPr>
      <w:r>
        <w:rPr>
          <w:rFonts w:hint="eastAsia" w:ascii="宋体" w:hAnsi="宋体" w:cs="宋体"/>
          <w:color w:val="auto"/>
          <w:kern w:val="0"/>
          <w:sz w:val="24"/>
        </w:rPr>
        <w:t>1.投诉人提起投诉时，应当提交投诉书和必要的证明材料，并按照被投诉人和与投诉事项有关的供应商数量提供投诉书副本。</w:t>
      </w:r>
    </w:p>
    <w:p w14:paraId="4C0F3650">
      <w:pPr>
        <w:snapToGrid w:val="0"/>
        <w:spacing w:line="360" w:lineRule="auto"/>
        <w:rPr>
          <w:rFonts w:ascii="宋体" w:hAnsi="宋体" w:cs="宋体"/>
          <w:color w:val="auto"/>
          <w:kern w:val="0"/>
          <w:sz w:val="24"/>
        </w:rPr>
      </w:pPr>
      <w:r>
        <w:rPr>
          <w:rFonts w:hint="eastAsia" w:ascii="宋体" w:hAnsi="宋体" w:cs="宋体"/>
          <w:color w:val="auto"/>
          <w:kern w:val="0"/>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08059C2">
      <w:pPr>
        <w:snapToGrid w:val="0"/>
        <w:spacing w:line="360" w:lineRule="auto"/>
        <w:rPr>
          <w:rFonts w:ascii="宋体" w:hAnsi="宋体" w:cs="宋体"/>
          <w:color w:val="auto"/>
          <w:kern w:val="0"/>
          <w:sz w:val="24"/>
        </w:rPr>
      </w:pPr>
      <w:r>
        <w:rPr>
          <w:rFonts w:hint="eastAsia" w:ascii="宋体" w:hAnsi="宋体" w:cs="宋体"/>
          <w:color w:val="auto"/>
          <w:kern w:val="0"/>
          <w:sz w:val="24"/>
        </w:rPr>
        <w:t>3.投诉人若对项目的某一分包进行投诉，投诉书应列明具体分包号。</w:t>
      </w:r>
    </w:p>
    <w:p w14:paraId="735EF0E6">
      <w:pPr>
        <w:snapToGrid w:val="0"/>
        <w:spacing w:line="360" w:lineRule="auto"/>
        <w:rPr>
          <w:rFonts w:ascii="宋体" w:hAnsi="宋体" w:cs="宋体"/>
          <w:color w:val="auto"/>
          <w:kern w:val="0"/>
          <w:sz w:val="24"/>
        </w:rPr>
      </w:pPr>
      <w:r>
        <w:rPr>
          <w:rFonts w:hint="eastAsia" w:ascii="宋体" w:hAnsi="宋体" w:cs="宋体"/>
          <w:color w:val="auto"/>
          <w:kern w:val="0"/>
          <w:sz w:val="24"/>
        </w:rPr>
        <w:t>4.投诉书应简要列明质疑事项，质疑函、质疑答复等作为附件材料提供。</w:t>
      </w:r>
    </w:p>
    <w:p w14:paraId="646A01F2">
      <w:pPr>
        <w:snapToGrid w:val="0"/>
        <w:spacing w:line="360" w:lineRule="auto"/>
        <w:rPr>
          <w:rFonts w:ascii="宋体" w:hAnsi="宋体" w:cs="宋体"/>
          <w:color w:val="auto"/>
          <w:kern w:val="0"/>
          <w:sz w:val="24"/>
        </w:rPr>
      </w:pPr>
      <w:r>
        <w:rPr>
          <w:rFonts w:hint="eastAsia" w:ascii="宋体" w:hAnsi="宋体" w:cs="宋体"/>
          <w:color w:val="auto"/>
          <w:kern w:val="0"/>
          <w:sz w:val="24"/>
        </w:rPr>
        <w:t>5.投诉书的投诉事项应具体、明确，并有必要的事实依据和法律依据。</w:t>
      </w:r>
    </w:p>
    <w:p w14:paraId="4EB43F10">
      <w:pPr>
        <w:snapToGrid w:val="0"/>
        <w:spacing w:line="360" w:lineRule="auto"/>
        <w:rPr>
          <w:rFonts w:ascii="宋体" w:hAnsi="宋体" w:cs="宋体"/>
          <w:color w:val="auto"/>
          <w:kern w:val="0"/>
          <w:sz w:val="24"/>
        </w:rPr>
      </w:pPr>
      <w:r>
        <w:rPr>
          <w:rFonts w:hint="eastAsia" w:ascii="宋体" w:hAnsi="宋体" w:cs="宋体"/>
          <w:color w:val="auto"/>
          <w:kern w:val="0"/>
          <w:sz w:val="24"/>
        </w:rPr>
        <w:t>6.投诉书的投诉请求应与投诉事项相关。</w:t>
      </w:r>
    </w:p>
    <w:p w14:paraId="172158AF">
      <w:pPr>
        <w:snapToGrid w:val="0"/>
        <w:spacing w:line="360" w:lineRule="auto"/>
        <w:rPr>
          <w:rFonts w:ascii="宋体" w:hAnsi="宋体"/>
          <w:color w:val="auto"/>
          <w:sz w:val="24"/>
        </w:rPr>
      </w:pPr>
      <w:r>
        <w:rPr>
          <w:rFonts w:hint="eastAsia" w:ascii="宋体" w:hAnsi="宋体" w:cs="宋体"/>
          <w:color w:val="auto"/>
          <w:kern w:val="0"/>
          <w:sz w:val="24"/>
        </w:rPr>
        <w:t>7.投诉人为自然人的，投诉书应当由本人签字；投诉人为法人或者其他组织的，投诉书应当由法定代表人、主要负责人，或者其授权代表签字或者盖章，并加盖公章。</w:t>
      </w:r>
    </w:p>
    <w:p w14:paraId="01AFA3B3">
      <w:pPr>
        <w:pStyle w:val="22"/>
        <w:rPr>
          <w:color w:val="auto"/>
          <w:sz w:val="24"/>
          <w:szCs w:val="24"/>
        </w:rPr>
      </w:pPr>
    </w:p>
    <w:p w14:paraId="6EAF5253">
      <w:pPr>
        <w:pStyle w:val="22"/>
        <w:rPr>
          <w:color w:val="auto"/>
        </w:rPr>
      </w:pPr>
    </w:p>
    <w:p w14:paraId="1231FE88">
      <w:pPr>
        <w:pStyle w:val="22"/>
        <w:rPr>
          <w:color w:val="auto"/>
        </w:rPr>
      </w:pPr>
    </w:p>
    <w:p w14:paraId="68E91973">
      <w:pPr>
        <w:pStyle w:val="22"/>
        <w:rPr>
          <w:color w:val="auto"/>
        </w:rPr>
      </w:pPr>
    </w:p>
    <w:p w14:paraId="3C710A9F">
      <w:pPr>
        <w:pStyle w:val="94"/>
        <w:rPr>
          <w:color w:val="auto"/>
        </w:rPr>
      </w:pPr>
      <w:r>
        <w:rPr>
          <w:color w:val="auto"/>
        </w:rPr>
        <w:br w:type="page"/>
      </w:r>
    </w:p>
    <w:p w14:paraId="0359DA49">
      <w:pPr>
        <w:pStyle w:val="94"/>
        <w:rPr>
          <w:color w:val="auto"/>
        </w:rPr>
      </w:pPr>
    </w:p>
    <w:p w14:paraId="68EFC21D">
      <w:pPr>
        <w:pStyle w:val="94"/>
        <w:rPr>
          <w:color w:val="auto"/>
        </w:rPr>
      </w:pPr>
    </w:p>
    <w:p w14:paraId="0852C665">
      <w:pPr>
        <w:pStyle w:val="94"/>
        <w:rPr>
          <w:color w:val="auto"/>
        </w:rPr>
      </w:pPr>
    </w:p>
    <w:p w14:paraId="0606B9D4">
      <w:pPr>
        <w:pStyle w:val="94"/>
        <w:rPr>
          <w:color w:val="auto"/>
        </w:rPr>
      </w:pPr>
    </w:p>
    <w:p w14:paraId="519C04A7">
      <w:pPr>
        <w:pStyle w:val="94"/>
        <w:rPr>
          <w:color w:val="auto"/>
        </w:rPr>
      </w:pPr>
    </w:p>
    <w:p w14:paraId="33EAC01D">
      <w:pPr>
        <w:pStyle w:val="94"/>
        <w:rPr>
          <w:color w:val="auto"/>
        </w:rPr>
      </w:pPr>
    </w:p>
    <w:p w14:paraId="0F1A4575">
      <w:pPr>
        <w:pStyle w:val="94"/>
        <w:rPr>
          <w:color w:val="auto"/>
        </w:rPr>
      </w:pPr>
    </w:p>
    <w:p w14:paraId="05E5252D">
      <w:pPr>
        <w:pStyle w:val="94"/>
        <w:rPr>
          <w:color w:val="auto"/>
        </w:rPr>
      </w:pPr>
    </w:p>
    <w:p w14:paraId="2467A4A1">
      <w:pPr>
        <w:pStyle w:val="94"/>
        <w:rPr>
          <w:color w:val="auto"/>
        </w:rPr>
      </w:pPr>
    </w:p>
    <w:p w14:paraId="04F2E512">
      <w:pPr>
        <w:pStyle w:val="94"/>
        <w:rPr>
          <w:color w:val="auto"/>
        </w:rPr>
      </w:pPr>
    </w:p>
    <w:p w14:paraId="4249FA45">
      <w:pPr>
        <w:pStyle w:val="94"/>
        <w:rPr>
          <w:color w:val="auto"/>
        </w:rPr>
      </w:pPr>
    </w:p>
    <w:p w14:paraId="40935B2E">
      <w:pPr>
        <w:pStyle w:val="2"/>
        <w:spacing w:before="0" w:after="0" w:line="240" w:lineRule="auto"/>
        <w:jc w:val="center"/>
        <w:rPr>
          <w:rFonts w:ascii="宋体" w:hAnsi="宋体"/>
          <w:color w:val="auto"/>
        </w:rPr>
      </w:pPr>
      <w:bookmarkStart w:id="36" w:name="_Toc176861409"/>
      <w:r>
        <w:rPr>
          <w:rFonts w:hint="eastAsia" w:ascii="宋体" w:hAnsi="宋体"/>
          <w:color w:val="auto"/>
        </w:rPr>
        <w:t>第四章  采购项目需求</w:t>
      </w:r>
      <w:bookmarkEnd w:id="36"/>
    </w:p>
    <w:p w14:paraId="434C6DC3">
      <w:pPr>
        <w:rPr>
          <w:color w:val="auto"/>
        </w:rPr>
      </w:pPr>
    </w:p>
    <w:p w14:paraId="179209A0">
      <w:pPr>
        <w:rPr>
          <w:color w:val="auto"/>
        </w:rPr>
      </w:pPr>
    </w:p>
    <w:p w14:paraId="2227E4CB">
      <w:pPr>
        <w:spacing w:line="440" w:lineRule="exact"/>
        <w:jc w:val="center"/>
        <w:rPr>
          <w:color w:val="auto"/>
          <w:sz w:val="36"/>
          <w:szCs w:val="36"/>
        </w:rPr>
      </w:pPr>
    </w:p>
    <w:p w14:paraId="08FFC711">
      <w:pPr>
        <w:pStyle w:val="22"/>
        <w:rPr>
          <w:color w:val="auto"/>
        </w:rPr>
      </w:pPr>
    </w:p>
    <w:p w14:paraId="1C065384">
      <w:pPr>
        <w:pStyle w:val="22"/>
        <w:rPr>
          <w:color w:val="auto"/>
        </w:rPr>
      </w:pPr>
    </w:p>
    <w:p w14:paraId="5079135E">
      <w:pPr>
        <w:pStyle w:val="22"/>
        <w:rPr>
          <w:color w:val="auto"/>
        </w:rPr>
      </w:pPr>
    </w:p>
    <w:p w14:paraId="2211B25C">
      <w:pPr>
        <w:pStyle w:val="22"/>
        <w:rPr>
          <w:color w:val="auto"/>
        </w:rPr>
      </w:pPr>
    </w:p>
    <w:p w14:paraId="18B83FED">
      <w:pPr>
        <w:pStyle w:val="22"/>
        <w:rPr>
          <w:color w:val="auto"/>
        </w:rPr>
      </w:pPr>
    </w:p>
    <w:p w14:paraId="288610C1">
      <w:pPr>
        <w:pStyle w:val="22"/>
        <w:rPr>
          <w:color w:val="auto"/>
        </w:rPr>
      </w:pPr>
    </w:p>
    <w:p w14:paraId="1B30C9CE">
      <w:pPr>
        <w:pStyle w:val="22"/>
        <w:rPr>
          <w:color w:val="auto"/>
        </w:rPr>
      </w:pPr>
    </w:p>
    <w:p w14:paraId="27156E20">
      <w:pPr>
        <w:pStyle w:val="22"/>
        <w:rPr>
          <w:color w:val="auto"/>
        </w:rPr>
      </w:pPr>
    </w:p>
    <w:p w14:paraId="12078874">
      <w:pPr>
        <w:pStyle w:val="22"/>
        <w:rPr>
          <w:color w:val="auto"/>
        </w:rPr>
      </w:pPr>
    </w:p>
    <w:p w14:paraId="435B8418">
      <w:pPr>
        <w:pStyle w:val="22"/>
        <w:rPr>
          <w:color w:val="auto"/>
        </w:rPr>
      </w:pPr>
    </w:p>
    <w:p w14:paraId="05D693CA">
      <w:pPr>
        <w:pStyle w:val="22"/>
        <w:rPr>
          <w:color w:val="auto"/>
        </w:rPr>
      </w:pPr>
    </w:p>
    <w:p w14:paraId="16B1AB95">
      <w:pPr>
        <w:pStyle w:val="22"/>
        <w:rPr>
          <w:color w:val="auto"/>
        </w:rPr>
      </w:pPr>
    </w:p>
    <w:p w14:paraId="3AC692F2">
      <w:pPr>
        <w:pStyle w:val="22"/>
        <w:rPr>
          <w:color w:val="auto"/>
        </w:rPr>
      </w:pPr>
    </w:p>
    <w:p w14:paraId="28C337A8">
      <w:pPr>
        <w:pStyle w:val="22"/>
        <w:rPr>
          <w:color w:val="auto"/>
        </w:rPr>
      </w:pPr>
    </w:p>
    <w:p w14:paraId="2A89003A">
      <w:pPr>
        <w:pStyle w:val="22"/>
        <w:rPr>
          <w:color w:val="auto"/>
        </w:rPr>
      </w:pPr>
    </w:p>
    <w:p w14:paraId="046EC8D6">
      <w:pPr>
        <w:pStyle w:val="22"/>
        <w:rPr>
          <w:color w:val="auto"/>
        </w:rPr>
      </w:pPr>
    </w:p>
    <w:p w14:paraId="18534285">
      <w:pPr>
        <w:pStyle w:val="22"/>
        <w:rPr>
          <w:color w:val="auto"/>
        </w:rPr>
      </w:pPr>
    </w:p>
    <w:p w14:paraId="08089C8B">
      <w:pPr>
        <w:pStyle w:val="22"/>
        <w:rPr>
          <w:color w:val="auto"/>
        </w:rPr>
      </w:pPr>
    </w:p>
    <w:p w14:paraId="32A7A0E9">
      <w:pPr>
        <w:pStyle w:val="22"/>
        <w:rPr>
          <w:color w:val="auto"/>
        </w:rPr>
      </w:pPr>
    </w:p>
    <w:p w14:paraId="0B404DBE">
      <w:pPr>
        <w:pStyle w:val="22"/>
        <w:rPr>
          <w:color w:val="auto"/>
        </w:rPr>
      </w:pPr>
    </w:p>
    <w:p w14:paraId="029589A0">
      <w:pPr>
        <w:pStyle w:val="5"/>
        <w:rPr>
          <w:color w:val="auto"/>
        </w:rPr>
      </w:pPr>
    </w:p>
    <w:p w14:paraId="74B83471">
      <w:pPr>
        <w:rPr>
          <w:color w:val="auto"/>
        </w:rPr>
      </w:pPr>
    </w:p>
    <w:p w14:paraId="29C7B2DE">
      <w:pPr>
        <w:rPr>
          <w:color w:val="auto"/>
        </w:rPr>
      </w:pPr>
    </w:p>
    <w:p w14:paraId="0DBC4980">
      <w:pPr>
        <w:pStyle w:val="22"/>
        <w:rPr>
          <w:color w:val="auto"/>
        </w:rPr>
      </w:pPr>
    </w:p>
    <w:p w14:paraId="1A2254B7">
      <w:pPr>
        <w:pStyle w:val="22"/>
        <w:rPr>
          <w:color w:val="auto"/>
        </w:rPr>
      </w:pPr>
    </w:p>
    <w:p w14:paraId="5B16E213">
      <w:pPr>
        <w:autoSpaceDE w:val="0"/>
        <w:autoSpaceDN w:val="0"/>
        <w:adjustRightInd w:val="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项目采购需求</w:t>
      </w:r>
    </w:p>
    <w:p w14:paraId="11054CAE">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1.本项目的政府采购预算控制价为人民币</w:t>
      </w:r>
      <w:r>
        <w:rPr>
          <w:rFonts w:hint="eastAsia" w:ascii="宋体" w:hAnsi="宋体" w:cs="宋体"/>
          <w:b/>
          <w:bCs/>
          <w:color w:val="auto"/>
          <w:sz w:val="24"/>
          <w:u w:val="single"/>
        </w:rPr>
        <w:t xml:space="preserve"> 745171.86 </w:t>
      </w:r>
      <w:r>
        <w:rPr>
          <w:rFonts w:hint="eastAsia" w:ascii="宋体" w:hAnsi="宋体" w:cs="宋体"/>
          <w:b/>
          <w:bCs/>
          <w:color w:val="auto"/>
          <w:sz w:val="24"/>
        </w:rPr>
        <w:t>元，超过上述预算价的报价将视为无效报价。</w:t>
      </w:r>
    </w:p>
    <w:p w14:paraId="154F0662">
      <w:pPr>
        <w:spacing w:line="480" w:lineRule="exact"/>
        <w:ind w:firstLine="482" w:firstLineChars="200"/>
        <w:rPr>
          <w:rFonts w:ascii="宋体" w:hAnsi="宋体" w:cs="宋体"/>
          <w:b/>
          <w:bCs/>
          <w:color w:val="auto"/>
          <w:sz w:val="24"/>
        </w:rPr>
      </w:pPr>
      <w:r>
        <w:rPr>
          <w:rFonts w:hint="eastAsia" w:ascii="宋体" w:hAnsi="宋体" w:cs="宋体"/>
          <w:b/>
          <w:bCs/>
          <w:color w:val="auto"/>
          <w:sz w:val="24"/>
        </w:rPr>
        <w:t xml:space="preserve">2.根据《关于印发中小企业划型标准规定的通知》（工信部联企业〔2011〕300号）规定的划分标准，本项目采购所有标的对应的中小企业划分标准所属行业为：建筑业。 </w:t>
      </w:r>
    </w:p>
    <w:tbl>
      <w:tblPr>
        <w:tblStyle w:val="37"/>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7059"/>
      </w:tblGrid>
      <w:tr w14:paraId="690A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2420D587">
            <w:pPr>
              <w:widowControl/>
              <w:spacing w:line="348" w:lineRule="auto"/>
              <w:jc w:val="center"/>
              <w:rPr>
                <w:rFonts w:ascii="宋体" w:cs="宋体"/>
                <w:color w:val="auto"/>
                <w:kern w:val="0"/>
                <w:sz w:val="24"/>
                <w:szCs w:val="21"/>
              </w:rPr>
            </w:pPr>
            <w:r>
              <w:rPr>
                <w:rFonts w:hint="eastAsia" w:ascii="宋体" w:hAnsi="宋体" w:cs="宋体"/>
                <w:color w:val="auto"/>
                <w:kern w:val="0"/>
                <w:sz w:val="24"/>
                <w:szCs w:val="21"/>
              </w:rPr>
              <w:t>工程名称</w:t>
            </w:r>
          </w:p>
        </w:tc>
        <w:tc>
          <w:tcPr>
            <w:tcW w:w="7059" w:type="dxa"/>
            <w:vAlign w:val="center"/>
          </w:tcPr>
          <w:p w14:paraId="163D738A">
            <w:pPr>
              <w:widowControl/>
              <w:spacing w:line="348" w:lineRule="auto"/>
              <w:jc w:val="center"/>
              <w:rPr>
                <w:rFonts w:hint="eastAsia" w:ascii="宋体" w:hAnsi="宋体" w:eastAsia="宋体" w:cs="宋体"/>
                <w:color w:val="auto"/>
                <w:kern w:val="0"/>
                <w:sz w:val="24"/>
                <w:szCs w:val="21"/>
                <w:lang w:eastAsia="zh-CN"/>
              </w:rPr>
            </w:pPr>
            <w:r>
              <w:rPr>
                <w:rFonts w:hint="eastAsia" w:ascii="宋体" w:hAnsi="宋体" w:cs="宋体"/>
                <w:color w:val="auto"/>
                <w:kern w:val="0"/>
                <w:sz w:val="24"/>
                <w:szCs w:val="21"/>
                <w:lang w:eastAsia="zh-CN"/>
              </w:rPr>
              <w:t>旺盛江水库第三溢洪道行洪区水毁修复工程（第三次）</w:t>
            </w:r>
          </w:p>
        </w:tc>
      </w:tr>
      <w:tr w14:paraId="4392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647C41AA">
            <w:pPr>
              <w:widowControl/>
              <w:spacing w:line="348" w:lineRule="auto"/>
              <w:jc w:val="center"/>
              <w:rPr>
                <w:rFonts w:ascii="宋体" w:cs="宋体"/>
                <w:color w:val="auto"/>
                <w:kern w:val="0"/>
                <w:sz w:val="24"/>
                <w:szCs w:val="21"/>
              </w:rPr>
            </w:pPr>
            <w:r>
              <w:rPr>
                <w:rFonts w:hint="eastAsia" w:ascii="宋体" w:hAnsi="宋体" w:cs="宋体"/>
                <w:color w:val="auto"/>
                <w:kern w:val="0"/>
                <w:sz w:val="24"/>
                <w:szCs w:val="21"/>
              </w:rPr>
              <w:t>建设地点</w:t>
            </w:r>
          </w:p>
        </w:tc>
        <w:tc>
          <w:tcPr>
            <w:tcW w:w="7059" w:type="dxa"/>
            <w:vAlign w:val="center"/>
          </w:tcPr>
          <w:p w14:paraId="55344C67">
            <w:pPr>
              <w:widowControl/>
              <w:spacing w:line="348" w:lineRule="auto"/>
              <w:jc w:val="left"/>
              <w:rPr>
                <w:rFonts w:ascii="宋体" w:hAnsi="宋体" w:cs="宋体"/>
                <w:color w:val="auto"/>
                <w:kern w:val="0"/>
                <w:sz w:val="24"/>
                <w:szCs w:val="21"/>
              </w:rPr>
            </w:pPr>
            <w:r>
              <w:rPr>
                <w:rFonts w:hint="eastAsia" w:ascii="宋体" w:hAnsi="宋体" w:cs="宋体"/>
                <w:color w:val="auto"/>
                <w:sz w:val="24"/>
              </w:rPr>
              <w:t>位于旺盛江水库第三溢洪道消力池下游海漫段左岸挡墙处及下游尾水渠右岸</w:t>
            </w:r>
          </w:p>
        </w:tc>
      </w:tr>
      <w:tr w14:paraId="730E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43" w:type="dxa"/>
            <w:vAlign w:val="center"/>
          </w:tcPr>
          <w:p w14:paraId="15FD7086">
            <w:pPr>
              <w:widowControl/>
              <w:spacing w:line="348" w:lineRule="auto"/>
              <w:jc w:val="center"/>
              <w:rPr>
                <w:rFonts w:ascii="宋体" w:cs="宋体"/>
                <w:color w:val="auto"/>
                <w:kern w:val="0"/>
                <w:sz w:val="24"/>
                <w:szCs w:val="21"/>
              </w:rPr>
            </w:pPr>
            <w:r>
              <w:rPr>
                <w:rFonts w:hint="eastAsia" w:ascii="宋体" w:hAnsi="宋体" w:cs="宋体"/>
                <w:color w:val="auto"/>
                <w:kern w:val="0"/>
                <w:sz w:val="24"/>
                <w:szCs w:val="21"/>
              </w:rPr>
              <w:t>设计单位</w:t>
            </w:r>
          </w:p>
        </w:tc>
        <w:tc>
          <w:tcPr>
            <w:tcW w:w="7059" w:type="dxa"/>
            <w:vAlign w:val="center"/>
          </w:tcPr>
          <w:p w14:paraId="0F0B40FC">
            <w:pPr>
              <w:widowControl/>
              <w:spacing w:line="348" w:lineRule="auto"/>
              <w:jc w:val="center"/>
              <w:rPr>
                <w:rFonts w:ascii="宋体" w:hAnsi="宋体" w:cs="宋体"/>
                <w:color w:val="auto"/>
                <w:kern w:val="0"/>
                <w:sz w:val="24"/>
                <w:szCs w:val="21"/>
              </w:rPr>
            </w:pPr>
            <w:r>
              <w:rPr>
                <w:rFonts w:hint="eastAsia" w:ascii="宋体" w:hAnsi="宋体" w:cs="宋体"/>
                <w:color w:val="auto"/>
                <w:kern w:val="0"/>
                <w:sz w:val="24"/>
                <w:szCs w:val="21"/>
              </w:rPr>
              <w:t>北海河海水利水电设计院有限责任公司</w:t>
            </w:r>
          </w:p>
        </w:tc>
      </w:tr>
      <w:tr w14:paraId="111B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443" w:type="dxa"/>
            <w:vAlign w:val="center"/>
          </w:tcPr>
          <w:p w14:paraId="3731E08C">
            <w:pPr>
              <w:widowControl/>
              <w:spacing w:line="348" w:lineRule="auto"/>
              <w:jc w:val="center"/>
              <w:rPr>
                <w:rFonts w:ascii="宋体" w:cs="宋体"/>
                <w:color w:val="auto"/>
                <w:kern w:val="0"/>
                <w:sz w:val="24"/>
                <w:szCs w:val="21"/>
              </w:rPr>
            </w:pPr>
            <w:r>
              <w:rPr>
                <w:rFonts w:hint="eastAsia" w:ascii="宋体" w:hAnsi="宋体" w:cs="宋体"/>
                <w:color w:val="auto"/>
                <w:kern w:val="0"/>
                <w:sz w:val="24"/>
                <w:szCs w:val="21"/>
              </w:rPr>
              <w:t>建设规模及内容</w:t>
            </w:r>
          </w:p>
        </w:tc>
        <w:tc>
          <w:tcPr>
            <w:tcW w:w="7059" w:type="dxa"/>
            <w:vAlign w:val="center"/>
          </w:tcPr>
          <w:p w14:paraId="1C524FD9">
            <w:pPr>
              <w:spacing w:line="440" w:lineRule="exact"/>
              <w:ind w:firstLine="480" w:firstLineChars="200"/>
              <w:rPr>
                <w:rFonts w:ascii="宋体" w:hAnsi="宋体" w:cs="宋体"/>
                <w:color w:val="auto"/>
                <w:sz w:val="24"/>
              </w:rPr>
            </w:pPr>
            <w:r>
              <w:rPr>
                <w:rFonts w:hint="eastAsia" w:ascii="宋体" w:hAnsi="宋体" w:cs="宋体"/>
                <w:color w:val="auto"/>
                <w:sz w:val="24"/>
              </w:rPr>
              <w:t>旺盛江水库是一座以灌溉为主，结合防洪、发电、供水等综合利用的大（2）型水利工程。水库控制集雨面积133平方公里，总库容1.3396亿立方米。旺盛江水库工程等别为Ⅱ等，大坝、溢洪道、放水进水口、渠首等主要建筑物为2级建筑物。本次水毁修复工程位于第三溢洪道消力池下游海漫段左岸挡墙处及下游尾水渠右岸，主要建设内容包括：溢洪道桩号0+130处挡墙缺口采用C25（砼）挡墙进行修复，并对背墙深坑进行填埋处理。对溢洪道桩号0+210～0+250处岸坡新建C25（砼）挡墙护脚，C25（砼）护坡进行处理，新建挡墙护坡长46m。</w:t>
            </w:r>
          </w:p>
          <w:p w14:paraId="67672921">
            <w:pPr>
              <w:spacing w:line="440" w:lineRule="exact"/>
              <w:ind w:firstLine="480" w:firstLineChars="200"/>
              <w:rPr>
                <w:rFonts w:ascii="宋体" w:hAnsi="宋体" w:cs="宋体"/>
                <w:color w:val="auto"/>
                <w:sz w:val="24"/>
              </w:rPr>
            </w:pPr>
            <w:r>
              <w:rPr>
                <w:rFonts w:hint="eastAsia" w:ascii="宋体" w:hAnsi="宋体" w:cs="宋体"/>
                <w:color w:val="auto"/>
                <w:sz w:val="24"/>
              </w:rPr>
              <w:t>(一)溢洪道尾水渠挡墙修复</w:t>
            </w:r>
          </w:p>
          <w:p w14:paraId="480BFF56">
            <w:pPr>
              <w:spacing w:line="440" w:lineRule="exact"/>
              <w:ind w:firstLine="480" w:firstLineChars="200"/>
              <w:rPr>
                <w:rFonts w:ascii="宋体" w:hAnsi="宋体" w:cs="宋体"/>
                <w:color w:val="auto"/>
                <w:sz w:val="24"/>
              </w:rPr>
            </w:pPr>
            <w:r>
              <w:rPr>
                <w:rFonts w:hint="eastAsia" w:ascii="宋体" w:hAnsi="宋体" w:cs="宋体"/>
                <w:color w:val="auto"/>
                <w:sz w:val="24"/>
              </w:rPr>
              <w:t>对溢洪道桩号0+130处挡墙缺口采用C25(砼)挡墙修复，挡墙墙高5.1m、长8.5m、埋深1.2m、顶宽0.7m,挡墙背坡坡比1:0.4.背墙设置两道排水，墙顶部设置一根直径400mm的PVC排水管，挡墙底部设置6根直径200mm间距1.5m的PVC排水管。</w:t>
            </w:r>
          </w:p>
          <w:p w14:paraId="3AB64A56">
            <w:pPr>
              <w:spacing w:line="440" w:lineRule="exact"/>
              <w:ind w:firstLine="480" w:firstLineChars="200"/>
              <w:rPr>
                <w:rFonts w:ascii="宋体" w:hAnsi="宋体" w:cs="宋体"/>
                <w:color w:val="auto"/>
                <w:sz w:val="24"/>
              </w:rPr>
            </w:pPr>
            <w:r>
              <w:rPr>
                <w:rFonts w:hint="eastAsia" w:ascii="宋体" w:hAnsi="宋体" w:cs="宋体"/>
                <w:color w:val="auto"/>
                <w:sz w:val="24"/>
              </w:rPr>
              <w:t>(二)溢洪道尾水渠新建挡墙护岸</w:t>
            </w:r>
          </w:p>
          <w:p w14:paraId="6DF41766">
            <w:pPr>
              <w:spacing w:line="440" w:lineRule="exact"/>
              <w:ind w:firstLine="480" w:firstLineChars="200"/>
              <w:rPr>
                <w:rFonts w:ascii="宋体" w:hAnsi="宋体" w:cs="宋体"/>
                <w:color w:val="auto"/>
                <w:sz w:val="24"/>
              </w:rPr>
            </w:pPr>
            <w:r>
              <w:rPr>
                <w:rFonts w:hint="eastAsia" w:ascii="宋体" w:hAnsi="宋体" w:cs="宋体"/>
                <w:color w:val="auto"/>
                <w:sz w:val="24"/>
              </w:rPr>
              <w:t>对溢洪道桩号0+210~0+250岸坡新建C25(砼)挡墙护脚，C25(砼)护坡(300mm厚)进行处理，新建挡墙护坡坡度1:1.5，长度46m，护岸轴线桩号Y0+000~Y0+046。挡墙底部设置直径150mm间距1.5m的PVC排水管。</w:t>
            </w:r>
          </w:p>
          <w:p w14:paraId="20B6E1AE">
            <w:pPr>
              <w:widowControl/>
              <w:spacing w:line="440" w:lineRule="exact"/>
              <w:ind w:firstLine="484" w:firstLineChars="202"/>
              <w:rPr>
                <w:rFonts w:ascii="宋体" w:cs="宋体"/>
                <w:color w:val="auto"/>
                <w:kern w:val="0"/>
                <w:sz w:val="24"/>
                <w:szCs w:val="21"/>
              </w:rPr>
            </w:pPr>
            <w:r>
              <w:rPr>
                <w:rFonts w:hint="eastAsia" w:ascii="宋体" w:hAnsi="宋体" w:cs="宋体"/>
                <w:color w:val="auto"/>
                <w:sz w:val="24"/>
              </w:rPr>
              <w:t>本次修复工程永久性水工建筑物为挡墙，主要建筑物级别为3级，参照旺盛江水库消能工程标准，采用10年一遇泄洪标准。</w:t>
            </w:r>
          </w:p>
        </w:tc>
      </w:tr>
      <w:tr w14:paraId="59FC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277AAE22">
            <w:pPr>
              <w:widowControl/>
              <w:spacing w:line="348" w:lineRule="auto"/>
              <w:jc w:val="center"/>
              <w:rPr>
                <w:rFonts w:ascii="宋体" w:cs="宋体"/>
                <w:color w:val="auto"/>
                <w:kern w:val="0"/>
                <w:sz w:val="24"/>
              </w:rPr>
            </w:pPr>
            <w:r>
              <w:rPr>
                <w:rFonts w:hint="eastAsia" w:ascii="宋体" w:hAnsi="宋体" w:cs="宋体"/>
                <w:color w:val="auto"/>
                <w:kern w:val="0"/>
                <w:sz w:val="24"/>
              </w:rPr>
              <w:t>工程预算（元）</w:t>
            </w:r>
          </w:p>
        </w:tc>
        <w:tc>
          <w:tcPr>
            <w:tcW w:w="7059" w:type="dxa"/>
            <w:vAlign w:val="center"/>
          </w:tcPr>
          <w:p w14:paraId="6373037F">
            <w:pPr>
              <w:widowControl/>
              <w:spacing w:line="348" w:lineRule="auto"/>
              <w:jc w:val="center"/>
              <w:rPr>
                <w:rFonts w:ascii="宋体" w:hAnsi="宋体" w:cs="宋体"/>
                <w:color w:val="auto"/>
                <w:kern w:val="0"/>
                <w:sz w:val="24"/>
              </w:rPr>
            </w:pPr>
            <w:r>
              <w:rPr>
                <w:rFonts w:hint="eastAsia" w:ascii="宋体" w:hAnsi="宋体" w:cs="宋体"/>
                <w:bCs/>
                <w:color w:val="auto"/>
                <w:sz w:val="24"/>
              </w:rPr>
              <w:t>745171.86</w:t>
            </w:r>
          </w:p>
        </w:tc>
      </w:tr>
      <w:tr w14:paraId="59BB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2C59FDF8">
            <w:pPr>
              <w:widowControl/>
              <w:spacing w:line="348" w:lineRule="auto"/>
              <w:jc w:val="center"/>
              <w:rPr>
                <w:rFonts w:ascii="宋体" w:hAnsi="宋体" w:cs="宋体"/>
                <w:color w:val="auto"/>
                <w:kern w:val="0"/>
                <w:sz w:val="24"/>
              </w:rPr>
            </w:pPr>
            <w:r>
              <w:rPr>
                <w:rFonts w:hint="eastAsia" w:ascii="宋体" w:hAnsi="宋体" w:cs="宋体"/>
                <w:color w:val="auto"/>
                <w:sz w:val="24"/>
              </w:rPr>
              <w:t>技术标准和要求</w:t>
            </w:r>
          </w:p>
        </w:tc>
        <w:tc>
          <w:tcPr>
            <w:tcW w:w="7059" w:type="dxa"/>
            <w:vAlign w:val="center"/>
          </w:tcPr>
          <w:p w14:paraId="092E3CBF">
            <w:pPr>
              <w:widowControl/>
              <w:spacing w:line="348" w:lineRule="auto"/>
              <w:jc w:val="center"/>
              <w:rPr>
                <w:rFonts w:ascii="宋体" w:hAnsi="宋体" w:cs="宋体"/>
                <w:bCs/>
                <w:color w:val="auto"/>
                <w:sz w:val="24"/>
              </w:rPr>
            </w:pPr>
            <w:r>
              <w:rPr>
                <w:rFonts w:hint="eastAsia" w:ascii="宋体" w:hAnsi="宋体" w:cs="宋体"/>
                <w:color w:val="auto"/>
                <w:sz w:val="24"/>
              </w:rPr>
              <w:t>本工程施工按照国家施工规范标准。</w:t>
            </w:r>
          </w:p>
        </w:tc>
      </w:tr>
      <w:tr w14:paraId="1FC4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6426F805">
            <w:pPr>
              <w:widowControl/>
              <w:spacing w:line="348" w:lineRule="auto"/>
              <w:jc w:val="center"/>
              <w:rPr>
                <w:rFonts w:ascii="宋体" w:cs="宋体"/>
                <w:color w:val="auto"/>
                <w:kern w:val="0"/>
                <w:sz w:val="24"/>
              </w:rPr>
            </w:pPr>
            <w:r>
              <w:rPr>
                <w:rFonts w:hint="eastAsia" w:ascii="宋体" w:hAnsi="宋体" w:cs="宋体"/>
                <w:color w:val="auto"/>
                <w:kern w:val="0"/>
                <w:sz w:val="24"/>
              </w:rPr>
              <w:t>质量标准</w:t>
            </w:r>
          </w:p>
        </w:tc>
        <w:tc>
          <w:tcPr>
            <w:tcW w:w="7059" w:type="dxa"/>
            <w:vAlign w:val="center"/>
          </w:tcPr>
          <w:p w14:paraId="70BF4BBB">
            <w:pPr>
              <w:widowControl/>
              <w:spacing w:line="348" w:lineRule="auto"/>
              <w:jc w:val="center"/>
              <w:rPr>
                <w:rFonts w:ascii="宋体" w:hAnsi="宋体" w:cs="宋体"/>
                <w:color w:val="auto"/>
                <w:kern w:val="0"/>
                <w:sz w:val="24"/>
              </w:rPr>
            </w:pPr>
            <w:r>
              <w:rPr>
                <w:rFonts w:hint="eastAsia" w:ascii="宋体" w:hAnsi="宋体" w:cs="宋体"/>
                <w:color w:val="auto"/>
                <w:sz w:val="24"/>
              </w:rPr>
              <w:t>合格</w:t>
            </w:r>
          </w:p>
        </w:tc>
      </w:tr>
      <w:tr w14:paraId="603B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443" w:type="dxa"/>
            <w:vAlign w:val="center"/>
          </w:tcPr>
          <w:p w14:paraId="6291AAAA">
            <w:pPr>
              <w:widowControl/>
              <w:spacing w:line="348" w:lineRule="auto"/>
              <w:jc w:val="center"/>
              <w:rPr>
                <w:rFonts w:ascii="宋体" w:cs="宋体"/>
                <w:color w:val="auto"/>
                <w:kern w:val="0"/>
                <w:sz w:val="24"/>
              </w:rPr>
            </w:pPr>
            <w:r>
              <w:rPr>
                <w:rFonts w:hint="eastAsia" w:ascii="宋体" w:hAnsi="宋体" w:cs="宋体"/>
                <w:color w:val="auto"/>
                <w:kern w:val="0"/>
                <w:sz w:val="24"/>
              </w:rPr>
              <w:t>采购范围</w:t>
            </w:r>
          </w:p>
        </w:tc>
        <w:tc>
          <w:tcPr>
            <w:tcW w:w="7059" w:type="dxa"/>
            <w:vAlign w:val="center"/>
          </w:tcPr>
          <w:p w14:paraId="7F5D26C1">
            <w:pPr>
              <w:widowControl/>
              <w:spacing w:line="348" w:lineRule="auto"/>
              <w:jc w:val="center"/>
              <w:rPr>
                <w:rFonts w:ascii="宋体" w:hAnsi="宋体" w:cs="宋体"/>
                <w:color w:val="auto"/>
                <w:kern w:val="0"/>
                <w:sz w:val="24"/>
              </w:rPr>
            </w:pPr>
            <w:r>
              <w:rPr>
                <w:rFonts w:hint="eastAsia" w:ascii="宋体" w:hAnsi="宋体" w:cs="宋体"/>
                <w:color w:val="auto"/>
                <w:kern w:val="0"/>
                <w:sz w:val="24"/>
              </w:rPr>
              <w:t>详见工程量清单及图纸。</w:t>
            </w:r>
          </w:p>
        </w:tc>
      </w:tr>
      <w:tr w14:paraId="5582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5A1AB7A0">
            <w:pPr>
              <w:widowControl/>
              <w:spacing w:line="348" w:lineRule="auto"/>
              <w:jc w:val="center"/>
              <w:rPr>
                <w:rFonts w:ascii="宋体" w:cs="宋体"/>
                <w:color w:val="auto"/>
                <w:kern w:val="0"/>
                <w:sz w:val="24"/>
              </w:rPr>
            </w:pPr>
            <w:r>
              <w:rPr>
                <w:rFonts w:hint="eastAsia" w:ascii="宋体" w:hAnsi="宋体" w:cs="宋体"/>
                <w:color w:val="auto"/>
                <w:kern w:val="0"/>
                <w:sz w:val="24"/>
              </w:rPr>
              <w:t>工期要求</w:t>
            </w:r>
          </w:p>
        </w:tc>
        <w:tc>
          <w:tcPr>
            <w:tcW w:w="7059" w:type="dxa"/>
            <w:vAlign w:val="center"/>
          </w:tcPr>
          <w:p w14:paraId="348877B3">
            <w:pPr>
              <w:widowControl/>
              <w:spacing w:line="348" w:lineRule="auto"/>
              <w:jc w:val="center"/>
              <w:rPr>
                <w:rFonts w:ascii="宋体" w:hAnsi="宋体" w:cs="宋体"/>
                <w:color w:val="auto"/>
                <w:kern w:val="0"/>
                <w:sz w:val="24"/>
              </w:rPr>
            </w:pPr>
            <w:r>
              <w:rPr>
                <w:rFonts w:hint="eastAsia" w:ascii="宋体" w:hAnsi="宋体" w:cs="宋体"/>
                <w:color w:val="auto"/>
                <w:kern w:val="0"/>
                <w:sz w:val="24"/>
              </w:rPr>
              <w:t xml:space="preserve">  90日历天。</w:t>
            </w:r>
          </w:p>
        </w:tc>
      </w:tr>
      <w:tr w14:paraId="76BC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6D4E7F57">
            <w:pPr>
              <w:widowControl/>
              <w:spacing w:line="348" w:lineRule="auto"/>
              <w:jc w:val="center"/>
              <w:rPr>
                <w:rFonts w:ascii="宋体" w:cs="宋体"/>
                <w:color w:val="auto"/>
                <w:kern w:val="0"/>
                <w:sz w:val="24"/>
              </w:rPr>
            </w:pPr>
            <w:r>
              <w:rPr>
                <w:rFonts w:hint="eastAsia" w:ascii="宋体" w:hAnsi="宋体" w:cs="宋体"/>
                <w:color w:val="auto"/>
                <w:kern w:val="0"/>
                <w:sz w:val="24"/>
              </w:rPr>
              <w:t>供应商资格要求（注：</w:t>
            </w:r>
            <w:r>
              <w:rPr>
                <w:rFonts w:hint="eastAsia" w:ascii="Calibri" w:hAnsi="Calibri" w:cs="宋体"/>
                <w:color w:val="auto"/>
                <w:kern w:val="0"/>
                <w:sz w:val="24"/>
              </w:rPr>
              <w:t>属定点工程施工项目的，采购人填报拟邀请人的中标名单</w:t>
            </w:r>
            <w:r>
              <w:rPr>
                <w:rFonts w:hint="eastAsia" w:ascii="宋体" w:hAnsi="宋体" w:cs="宋体"/>
                <w:color w:val="auto"/>
                <w:kern w:val="0"/>
                <w:sz w:val="24"/>
              </w:rPr>
              <w:t>）</w:t>
            </w:r>
          </w:p>
        </w:tc>
        <w:tc>
          <w:tcPr>
            <w:tcW w:w="7059" w:type="dxa"/>
            <w:vAlign w:val="center"/>
          </w:tcPr>
          <w:p w14:paraId="673A06E4">
            <w:pPr>
              <w:numPr>
                <w:ilvl w:val="0"/>
                <w:numId w:val="4"/>
              </w:numPr>
              <w:adjustRightInd w:val="0"/>
              <w:spacing w:line="480" w:lineRule="exact"/>
              <w:rPr>
                <w:rFonts w:hint="eastAsia" w:ascii="宋体" w:hAnsi="宋体" w:cs="宋体"/>
                <w:snapToGrid w:val="0"/>
                <w:color w:val="auto"/>
                <w:kern w:val="28"/>
                <w:sz w:val="24"/>
              </w:rPr>
            </w:pPr>
            <w:r>
              <w:rPr>
                <w:rFonts w:hint="eastAsia" w:ascii="宋体" w:hAnsi="宋体" w:cs="宋体"/>
                <w:snapToGrid w:val="0"/>
                <w:color w:val="auto"/>
                <w:kern w:val="28"/>
                <w:sz w:val="24"/>
              </w:rPr>
              <w:t>满足《中华人民共和国政府采购法》第二十二条规定；未被“信用中国”（www.creditchina.gov.cn)、中国政府采购网（www.ccgp.gov.cn）列入失信被执行人、重大税收违法案件当事人名单、政府采购严重违法失信行为记录名单；</w:t>
            </w:r>
          </w:p>
          <w:p w14:paraId="58DCC574">
            <w:pPr>
              <w:numPr>
                <w:ilvl w:val="0"/>
                <w:numId w:val="4"/>
              </w:numPr>
              <w:adjustRightInd w:val="0"/>
              <w:spacing w:line="480" w:lineRule="exact"/>
              <w:ind w:left="0" w:leftChars="0" w:firstLine="0" w:firstLineChars="0"/>
              <w:rPr>
                <w:rFonts w:hint="eastAsia" w:ascii="宋体" w:hAnsi="宋体" w:cs="宋体"/>
                <w:color w:val="auto"/>
                <w:sz w:val="24"/>
              </w:rPr>
            </w:pPr>
            <w:r>
              <w:rPr>
                <w:rFonts w:hint="eastAsia" w:ascii="宋体" w:hAnsi="宋体" w:cs="宋体"/>
                <w:snapToGrid w:val="0"/>
                <w:color w:val="auto"/>
                <w:kern w:val="28"/>
                <w:sz w:val="24"/>
              </w:rPr>
              <w:t>落实政府采购政策需满足的资格要求：</w:t>
            </w:r>
            <w:r>
              <w:rPr>
                <w:rFonts w:hint="eastAsia" w:ascii="宋体" w:hAnsi="宋体" w:cs="宋体"/>
                <w:color w:val="auto"/>
                <w:kern w:val="0"/>
                <w:sz w:val="24"/>
              </w:rPr>
              <w:t>专</w:t>
            </w:r>
            <w:r>
              <w:rPr>
                <w:rFonts w:hint="eastAsia" w:ascii="宋体" w:hAnsi="宋体" w:cs="宋体"/>
                <w:color w:val="auto"/>
                <w:sz w:val="24"/>
              </w:rPr>
              <w:t>门面向中小企业，</w:t>
            </w:r>
            <w:r>
              <w:rPr>
                <w:rFonts w:hint="eastAsia" w:ascii="宋体" w:hAnsi="宋体" w:cs="宋体"/>
                <w:color w:val="auto"/>
                <w:sz w:val="24"/>
                <w:lang w:eastAsia="zh-CN"/>
              </w:rPr>
              <w:t>工程全部由符合政策要求的中小企业承建</w:t>
            </w:r>
            <w:r>
              <w:rPr>
                <w:rFonts w:hint="eastAsia" w:ascii="宋体" w:hAnsi="宋体" w:cs="宋体"/>
                <w:color w:val="auto"/>
                <w:sz w:val="24"/>
              </w:rPr>
              <w:t>，提供中小企业声明函；</w:t>
            </w:r>
          </w:p>
          <w:p w14:paraId="550E8281">
            <w:pPr>
              <w:numPr>
                <w:ilvl w:val="0"/>
                <w:numId w:val="4"/>
              </w:numPr>
              <w:adjustRightInd w:val="0"/>
              <w:spacing w:line="480" w:lineRule="exact"/>
              <w:ind w:left="0" w:leftChars="0" w:firstLine="0" w:firstLineChars="0"/>
              <w:rPr>
                <w:rFonts w:hint="eastAsia" w:ascii="宋体" w:hAnsi="宋体" w:cs="宋体"/>
                <w:color w:val="auto"/>
                <w:kern w:val="0"/>
                <w:sz w:val="24"/>
              </w:rPr>
            </w:pPr>
            <w:r>
              <w:rPr>
                <w:rFonts w:hint="eastAsia" w:ascii="宋体" w:hAnsi="宋体" w:cs="宋体"/>
                <w:color w:val="auto"/>
                <w:sz w:val="24"/>
              </w:rPr>
              <w:t>特定资格要求：</w:t>
            </w:r>
            <w:r>
              <w:rPr>
                <w:rFonts w:hint="eastAsia" w:ascii="宋体" w:hAnsi="宋体" w:cs="宋体"/>
                <w:color w:val="auto"/>
                <w:kern w:val="0"/>
                <w:sz w:val="24"/>
              </w:rPr>
              <w:t>供应商须</w:t>
            </w:r>
            <w:r>
              <w:rPr>
                <w:rFonts w:hint="eastAsia" w:ascii="宋体" w:hAnsi="宋体" w:cs="宋体"/>
                <w:color w:val="auto"/>
                <w:sz w:val="24"/>
              </w:rPr>
              <w:t>具备水利水电工程施工二级（含）以上资质</w:t>
            </w:r>
            <w:r>
              <w:rPr>
                <w:rFonts w:hint="eastAsia" w:hAnsi="宋体" w:cs="宋体"/>
                <w:color w:val="auto"/>
                <w:sz w:val="24"/>
              </w:rPr>
              <w:t>，具备有效的安全生产许可证, 并在人员、设备、资金等方面具备相应的施工能力</w:t>
            </w:r>
            <w:r>
              <w:rPr>
                <w:rFonts w:hint="eastAsia" w:ascii="宋体" w:hAnsi="宋体" w:cs="宋体"/>
                <w:color w:val="auto"/>
                <w:kern w:val="0"/>
                <w:sz w:val="24"/>
              </w:rPr>
              <w:t>。</w:t>
            </w:r>
          </w:p>
          <w:p w14:paraId="31F6A0D0">
            <w:pPr>
              <w:numPr>
                <w:ilvl w:val="0"/>
                <w:numId w:val="4"/>
              </w:numPr>
              <w:adjustRightInd w:val="0"/>
              <w:spacing w:line="480" w:lineRule="exact"/>
              <w:ind w:left="0" w:leftChars="0" w:firstLine="0" w:firstLineChars="0"/>
              <w:rPr>
                <w:rFonts w:hint="eastAsia" w:hAnsi="宋体" w:cs="宋体"/>
                <w:color w:val="auto"/>
                <w:sz w:val="24"/>
              </w:rPr>
            </w:pPr>
            <w:r>
              <w:rPr>
                <w:rFonts w:hint="eastAsia" w:ascii="宋体" w:hAnsi="宋体" w:cs="宋体"/>
                <w:color w:val="auto"/>
                <w:kern w:val="0"/>
                <w:sz w:val="24"/>
              </w:rPr>
              <w:t>项目经理及管理人员的资格要求：</w:t>
            </w:r>
            <w:r>
              <w:rPr>
                <w:rFonts w:hint="eastAsia" w:hAnsi="宋体" w:cs="宋体"/>
                <w:color w:val="auto"/>
                <w:sz w:val="24"/>
              </w:rPr>
              <w:t>拟派驻项目经理须具备水利水电工程类专业二级（含）以上注册建造师执业资格，并获得省级或省级以上水行政主管部门或其授权部门（机构）颁发的安全生产考核合格证书（B类），同时提供项目经理无在建、已中标（成交）未开工或已列为其他项目中标（成交）候选人第一名的情况的承诺函；专职安全员须持有效的安全生产考核合格证书（C类）；项目管理机构人员配置最低要求：项目经理1人、技术负责人1人、施工员1人、安全员1人、质量员1人、材料员1人。拟投入人员需为本单位在职员工，需提供项目管理机构所有人员身份证、有效资格证、近三个月（</w:t>
            </w:r>
            <w:r>
              <w:rPr>
                <w:rFonts w:hint="eastAsia" w:hAnsi="宋体" w:cs="宋体"/>
                <w:color w:val="auto"/>
                <w:sz w:val="24"/>
                <w:lang w:eastAsia="zh-CN"/>
              </w:rPr>
              <w:t>2026年02月至2026年04月</w:t>
            </w:r>
            <w:r>
              <w:rPr>
                <w:rFonts w:hint="eastAsia" w:hAnsi="宋体" w:cs="宋体"/>
                <w:color w:val="auto"/>
                <w:sz w:val="24"/>
              </w:rPr>
              <w:t>）其中任何一个月在现任职单位依法缴纳社会保险证明材料（注：入职或转注本单位不足三个月的须提供最近一个月的参保缴费凭证）。</w:t>
            </w:r>
          </w:p>
          <w:p w14:paraId="75BAE55E">
            <w:pPr>
              <w:numPr>
                <w:ilvl w:val="0"/>
                <w:numId w:val="0"/>
              </w:numPr>
              <w:adjustRightInd w:val="0"/>
              <w:spacing w:line="480" w:lineRule="exact"/>
              <w:ind w:leftChars="0"/>
              <w:rPr>
                <w:rFonts w:ascii="宋体" w:hAnsi="宋体" w:cs="宋体"/>
                <w:color w:val="auto"/>
                <w:kern w:val="0"/>
                <w:sz w:val="24"/>
              </w:rPr>
            </w:pPr>
            <w:r>
              <w:rPr>
                <w:rFonts w:hint="eastAsia" w:ascii="宋体" w:hAnsi="宋体" w:cs="宋体"/>
                <w:color w:val="auto"/>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090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43" w:type="dxa"/>
            <w:vAlign w:val="center"/>
          </w:tcPr>
          <w:p w14:paraId="7102B80F">
            <w:pPr>
              <w:widowControl/>
              <w:spacing w:line="348" w:lineRule="auto"/>
              <w:jc w:val="center"/>
              <w:rPr>
                <w:rFonts w:ascii="宋体" w:cs="宋体"/>
                <w:color w:val="auto"/>
                <w:kern w:val="0"/>
                <w:sz w:val="24"/>
                <w:szCs w:val="21"/>
              </w:rPr>
            </w:pPr>
            <w:r>
              <w:rPr>
                <w:rFonts w:hint="eastAsia" w:ascii="宋体" w:hAnsi="宋体" w:cs="宋体"/>
                <w:color w:val="auto"/>
                <w:kern w:val="0"/>
                <w:sz w:val="24"/>
                <w:szCs w:val="21"/>
              </w:rPr>
              <w:t>付款方式及其他要求</w:t>
            </w:r>
          </w:p>
        </w:tc>
        <w:tc>
          <w:tcPr>
            <w:tcW w:w="7059" w:type="dxa"/>
            <w:vAlign w:val="center"/>
          </w:tcPr>
          <w:p w14:paraId="617C6787">
            <w:pPr>
              <w:spacing w:line="480" w:lineRule="exact"/>
              <w:rPr>
                <w:rFonts w:ascii="宋体" w:hAnsi="宋体" w:cs="宋体"/>
                <w:color w:val="auto"/>
                <w:sz w:val="24"/>
              </w:rPr>
            </w:pPr>
            <w:r>
              <w:rPr>
                <w:rFonts w:hint="eastAsia" w:ascii="宋体" w:hAnsi="宋体" w:cs="宋体"/>
                <w:color w:val="auto"/>
                <w:sz w:val="24"/>
              </w:rPr>
              <w:t>1.计价方式/结算方式：固定综合单价。</w:t>
            </w:r>
          </w:p>
          <w:p w14:paraId="6394F344">
            <w:pPr>
              <w:spacing w:line="480" w:lineRule="exact"/>
              <w:rPr>
                <w:rFonts w:ascii="宋体" w:hAnsi="宋体" w:cs="宋体"/>
                <w:color w:val="auto"/>
                <w:sz w:val="24"/>
              </w:rPr>
            </w:pPr>
            <w:r>
              <w:rPr>
                <w:rFonts w:hint="eastAsia" w:ascii="宋体" w:hAnsi="宋体" w:cs="宋体"/>
                <w:color w:val="auto"/>
                <w:sz w:val="24"/>
              </w:rPr>
              <w:t>2.预付款支付比例或金额：本项目无预付款。</w:t>
            </w:r>
          </w:p>
          <w:p w14:paraId="6D5B4425">
            <w:pPr>
              <w:pStyle w:val="95"/>
              <w:spacing w:line="480" w:lineRule="exact"/>
              <w:ind w:firstLine="0"/>
              <w:rPr>
                <w:color w:val="auto"/>
                <w:sz w:val="24"/>
                <w:szCs w:val="24"/>
              </w:rPr>
            </w:pPr>
            <w:r>
              <w:rPr>
                <w:rFonts w:hint="eastAsia"/>
                <w:color w:val="auto"/>
                <w:sz w:val="24"/>
                <w:szCs w:val="24"/>
                <w:lang w:val="en-US"/>
              </w:rPr>
              <w:t>3</w:t>
            </w:r>
            <w:r>
              <w:rPr>
                <w:rFonts w:hint="eastAsia"/>
                <w:color w:val="auto"/>
                <w:sz w:val="24"/>
                <w:szCs w:val="24"/>
              </w:rPr>
              <w:t>.</w:t>
            </w:r>
            <w:r>
              <w:rPr>
                <w:rFonts w:hint="eastAsia"/>
                <w:color w:val="auto"/>
                <w:kern w:val="2"/>
                <w:sz w:val="24"/>
                <w:szCs w:val="24"/>
                <w:lang w:val="en-US" w:bidi="ar-SA"/>
              </w:rPr>
              <w:t>进度付款证书和支付时间：</w:t>
            </w:r>
            <w:r>
              <w:rPr>
                <w:rFonts w:hint="eastAsia"/>
                <w:color w:val="auto"/>
                <w:sz w:val="24"/>
                <w:szCs w:val="24"/>
              </w:rPr>
              <w:t>本项目进度款按月计量。</w:t>
            </w:r>
            <w:r>
              <w:rPr>
                <w:rFonts w:hint="eastAsia"/>
                <w:color w:val="auto"/>
                <w:sz w:val="24"/>
                <w:szCs w:val="24"/>
                <w:lang w:val="en-US"/>
              </w:rPr>
              <w:t>每期进度款经监理人核实后出具付款证书报送发包人，在财政资金拔付到位后由发包人于20日内支付。</w:t>
            </w:r>
          </w:p>
        </w:tc>
      </w:tr>
      <w:tr w14:paraId="4167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43" w:type="dxa"/>
            <w:vAlign w:val="center"/>
          </w:tcPr>
          <w:p w14:paraId="7A42D4D5">
            <w:pPr>
              <w:widowControl/>
              <w:spacing w:line="348" w:lineRule="auto"/>
              <w:jc w:val="center"/>
              <w:rPr>
                <w:rFonts w:ascii="宋体" w:hAnsi="宋体" w:cs="宋体"/>
                <w:color w:val="auto"/>
                <w:kern w:val="0"/>
                <w:sz w:val="24"/>
                <w:szCs w:val="21"/>
              </w:rPr>
            </w:pPr>
            <w:r>
              <w:rPr>
                <w:rFonts w:hint="eastAsia" w:ascii="宋体" w:hAnsi="宋体" w:cs="宋体"/>
                <w:color w:val="auto"/>
                <w:kern w:val="0"/>
                <w:sz w:val="24"/>
                <w:szCs w:val="21"/>
              </w:rPr>
              <w:t>履约保证金</w:t>
            </w:r>
          </w:p>
        </w:tc>
        <w:tc>
          <w:tcPr>
            <w:tcW w:w="7059" w:type="dxa"/>
            <w:vAlign w:val="center"/>
          </w:tcPr>
          <w:p w14:paraId="6A34BA0F">
            <w:pPr>
              <w:widowControl/>
              <w:spacing w:line="348" w:lineRule="auto"/>
              <w:jc w:val="center"/>
              <w:rPr>
                <w:rFonts w:ascii="宋体" w:hAnsi="宋体" w:cs="宋体"/>
                <w:color w:val="auto"/>
                <w:kern w:val="0"/>
                <w:sz w:val="24"/>
              </w:rPr>
            </w:pPr>
            <w:r>
              <w:rPr>
                <w:rFonts w:hint="eastAsia" w:ascii="宋体" w:hAnsi="宋体" w:cs="宋体"/>
                <w:color w:val="auto"/>
                <w:kern w:val="0"/>
                <w:sz w:val="24"/>
              </w:rPr>
              <w:t>不需要收取履约保证金。</w:t>
            </w:r>
          </w:p>
        </w:tc>
      </w:tr>
    </w:tbl>
    <w:p w14:paraId="7068F899">
      <w:pPr>
        <w:spacing w:line="480" w:lineRule="exact"/>
        <w:ind w:firstLine="422" w:firstLineChars="200"/>
        <w:rPr>
          <w:rFonts w:ascii="宋体" w:hAnsi="宋体" w:cs="宋体"/>
          <w:b/>
          <w:bCs/>
          <w:color w:val="auto"/>
          <w:szCs w:val="21"/>
        </w:rPr>
      </w:pPr>
    </w:p>
    <w:p w14:paraId="3ADB5ED7">
      <w:pPr>
        <w:spacing w:line="480" w:lineRule="exact"/>
        <w:ind w:firstLine="422" w:firstLineChars="200"/>
        <w:rPr>
          <w:rFonts w:ascii="宋体" w:hAnsi="宋体" w:cs="宋体"/>
          <w:b/>
          <w:bCs/>
          <w:color w:val="auto"/>
          <w:szCs w:val="21"/>
        </w:rPr>
      </w:pPr>
    </w:p>
    <w:p w14:paraId="145DA7C8">
      <w:pPr>
        <w:pStyle w:val="22"/>
        <w:spacing w:line="480" w:lineRule="exact"/>
        <w:rPr>
          <w:color w:val="auto"/>
        </w:rPr>
      </w:pPr>
    </w:p>
    <w:p w14:paraId="2EF9C277">
      <w:pPr>
        <w:pStyle w:val="22"/>
        <w:spacing w:line="480" w:lineRule="exact"/>
        <w:rPr>
          <w:color w:val="auto"/>
        </w:rPr>
      </w:pPr>
    </w:p>
    <w:p w14:paraId="1CFE9E1D">
      <w:pPr>
        <w:pStyle w:val="22"/>
        <w:spacing w:line="480" w:lineRule="exact"/>
        <w:rPr>
          <w:color w:val="auto"/>
        </w:rPr>
      </w:pPr>
    </w:p>
    <w:p w14:paraId="63DEB79D">
      <w:pPr>
        <w:pStyle w:val="22"/>
        <w:spacing w:line="480" w:lineRule="exact"/>
        <w:rPr>
          <w:color w:val="auto"/>
        </w:rPr>
      </w:pPr>
    </w:p>
    <w:p w14:paraId="788E8FD4">
      <w:pPr>
        <w:pStyle w:val="22"/>
        <w:spacing w:line="480" w:lineRule="exact"/>
        <w:rPr>
          <w:color w:val="auto"/>
        </w:rPr>
      </w:pPr>
    </w:p>
    <w:p w14:paraId="428B6727">
      <w:pPr>
        <w:pStyle w:val="22"/>
        <w:spacing w:line="480" w:lineRule="exact"/>
        <w:rPr>
          <w:color w:val="auto"/>
        </w:rPr>
      </w:pPr>
    </w:p>
    <w:p w14:paraId="70A02CB7">
      <w:pPr>
        <w:pStyle w:val="22"/>
        <w:spacing w:line="480" w:lineRule="exact"/>
        <w:rPr>
          <w:color w:val="auto"/>
        </w:rPr>
      </w:pPr>
    </w:p>
    <w:p w14:paraId="4DDFA861">
      <w:pPr>
        <w:pStyle w:val="22"/>
        <w:rPr>
          <w:color w:val="auto"/>
        </w:rPr>
      </w:pPr>
    </w:p>
    <w:p w14:paraId="416590D4">
      <w:pPr>
        <w:pStyle w:val="5"/>
        <w:rPr>
          <w:color w:val="auto"/>
        </w:rPr>
      </w:pPr>
    </w:p>
    <w:p w14:paraId="5B4A95E8">
      <w:pPr>
        <w:rPr>
          <w:color w:val="auto"/>
        </w:rPr>
      </w:pPr>
    </w:p>
    <w:p w14:paraId="200E9A52">
      <w:pPr>
        <w:rPr>
          <w:color w:val="auto"/>
        </w:rPr>
      </w:pPr>
    </w:p>
    <w:p w14:paraId="3673EE3E">
      <w:pPr>
        <w:rPr>
          <w:color w:val="auto"/>
        </w:rPr>
      </w:pPr>
    </w:p>
    <w:p w14:paraId="70CA658A">
      <w:pPr>
        <w:rPr>
          <w:color w:val="auto"/>
        </w:rPr>
      </w:pPr>
    </w:p>
    <w:p w14:paraId="2DB4D27B">
      <w:pPr>
        <w:rPr>
          <w:color w:val="auto"/>
        </w:rPr>
      </w:pPr>
    </w:p>
    <w:p w14:paraId="1CC12492">
      <w:pPr>
        <w:rPr>
          <w:color w:val="auto"/>
        </w:rPr>
      </w:pPr>
    </w:p>
    <w:p w14:paraId="7B8A5262">
      <w:pPr>
        <w:rPr>
          <w:color w:val="auto"/>
        </w:rPr>
      </w:pPr>
    </w:p>
    <w:p w14:paraId="4E5262B0">
      <w:pPr>
        <w:rPr>
          <w:color w:val="auto"/>
        </w:rPr>
      </w:pPr>
    </w:p>
    <w:p w14:paraId="24DCB261">
      <w:pPr>
        <w:rPr>
          <w:color w:val="auto"/>
        </w:rPr>
      </w:pPr>
    </w:p>
    <w:p w14:paraId="70764DC5">
      <w:pPr>
        <w:rPr>
          <w:color w:val="auto"/>
        </w:rPr>
      </w:pPr>
    </w:p>
    <w:p w14:paraId="25F1D627">
      <w:pPr>
        <w:rPr>
          <w:color w:val="auto"/>
        </w:rPr>
      </w:pPr>
    </w:p>
    <w:p w14:paraId="6F62C21C">
      <w:pPr>
        <w:rPr>
          <w:color w:val="auto"/>
        </w:rPr>
      </w:pPr>
    </w:p>
    <w:p w14:paraId="4CEDE5BB">
      <w:pPr>
        <w:rPr>
          <w:color w:val="auto"/>
        </w:rPr>
      </w:pPr>
    </w:p>
    <w:p w14:paraId="484D428F">
      <w:pPr>
        <w:rPr>
          <w:color w:val="auto"/>
        </w:rPr>
      </w:pPr>
    </w:p>
    <w:p w14:paraId="733D6C80">
      <w:pPr>
        <w:rPr>
          <w:color w:val="auto"/>
        </w:rPr>
      </w:pPr>
    </w:p>
    <w:p w14:paraId="7FE1CD9F">
      <w:pPr>
        <w:rPr>
          <w:color w:val="auto"/>
        </w:rPr>
      </w:pPr>
    </w:p>
    <w:p w14:paraId="0E96535E">
      <w:pPr>
        <w:rPr>
          <w:color w:val="auto"/>
        </w:rPr>
      </w:pPr>
    </w:p>
    <w:p w14:paraId="3D4414EF">
      <w:pPr>
        <w:rPr>
          <w:color w:val="auto"/>
        </w:rPr>
      </w:pPr>
    </w:p>
    <w:p w14:paraId="44890404">
      <w:pPr>
        <w:rPr>
          <w:color w:val="auto"/>
        </w:rPr>
      </w:pPr>
    </w:p>
    <w:p w14:paraId="48D87793">
      <w:pPr>
        <w:rPr>
          <w:color w:val="auto"/>
        </w:rPr>
      </w:pPr>
    </w:p>
    <w:p w14:paraId="18F83D74">
      <w:pPr>
        <w:rPr>
          <w:color w:val="auto"/>
        </w:rPr>
      </w:pPr>
    </w:p>
    <w:p w14:paraId="27ADE0C4">
      <w:pPr>
        <w:rPr>
          <w:color w:val="auto"/>
        </w:rPr>
      </w:pPr>
    </w:p>
    <w:p w14:paraId="6E2AD8C0">
      <w:pPr>
        <w:rPr>
          <w:color w:val="auto"/>
        </w:rPr>
      </w:pPr>
    </w:p>
    <w:p w14:paraId="7E79CFD4">
      <w:pPr>
        <w:rPr>
          <w:color w:val="auto"/>
        </w:rPr>
      </w:pPr>
    </w:p>
    <w:p w14:paraId="015F64E3">
      <w:pPr>
        <w:rPr>
          <w:color w:val="auto"/>
        </w:rPr>
      </w:pPr>
    </w:p>
    <w:p w14:paraId="0E19646B">
      <w:pPr>
        <w:rPr>
          <w:color w:val="auto"/>
        </w:rPr>
      </w:pPr>
    </w:p>
    <w:p w14:paraId="19AECF73">
      <w:pPr>
        <w:rPr>
          <w:color w:val="auto"/>
        </w:rPr>
      </w:pPr>
    </w:p>
    <w:p w14:paraId="2DA5F322">
      <w:pPr>
        <w:rPr>
          <w:color w:val="auto"/>
        </w:rPr>
      </w:pPr>
    </w:p>
    <w:p w14:paraId="0AC87B33">
      <w:pPr>
        <w:rPr>
          <w:color w:val="auto"/>
        </w:rPr>
      </w:pPr>
    </w:p>
    <w:p w14:paraId="5E24690B">
      <w:pPr>
        <w:rPr>
          <w:color w:val="auto"/>
        </w:rPr>
      </w:pPr>
    </w:p>
    <w:p w14:paraId="681D9DE7">
      <w:pPr>
        <w:rPr>
          <w:color w:val="auto"/>
        </w:rPr>
      </w:pPr>
    </w:p>
    <w:p w14:paraId="430DB00F">
      <w:pPr>
        <w:rPr>
          <w:color w:val="auto"/>
        </w:rPr>
      </w:pPr>
    </w:p>
    <w:p w14:paraId="44FCAC7E">
      <w:pPr>
        <w:rPr>
          <w:color w:val="auto"/>
        </w:rPr>
      </w:pPr>
    </w:p>
    <w:p w14:paraId="5404B2AA">
      <w:pPr>
        <w:pStyle w:val="22"/>
        <w:rPr>
          <w:color w:val="auto"/>
        </w:rPr>
      </w:pPr>
    </w:p>
    <w:p w14:paraId="739CB9F6">
      <w:pPr>
        <w:pStyle w:val="22"/>
        <w:rPr>
          <w:color w:val="auto"/>
        </w:rPr>
      </w:pPr>
    </w:p>
    <w:p w14:paraId="5FF77F9B">
      <w:pPr>
        <w:pStyle w:val="22"/>
        <w:rPr>
          <w:color w:val="auto"/>
        </w:rPr>
      </w:pPr>
    </w:p>
    <w:p w14:paraId="0EF98811">
      <w:pPr>
        <w:pStyle w:val="22"/>
        <w:rPr>
          <w:color w:val="auto"/>
        </w:rPr>
      </w:pPr>
    </w:p>
    <w:p w14:paraId="54470501">
      <w:pPr>
        <w:pStyle w:val="22"/>
        <w:rPr>
          <w:color w:val="auto"/>
        </w:rPr>
      </w:pPr>
    </w:p>
    <w:p w14:paraId="208BD4E3">
      <w:pPr>
        <w:pStyle w:val="22"/>
        <w:rPr>
          <w:color w:val="auto"/>
        </w:rPr>
      </w:pPr>
    </w:p>
    <w:p w14:paraId="302BFAF0">
      <w:pPr>
        <w:pStyle w:val="22"/>
        <w:rPr>
          <w:color w:val="auto"/>
        </w:rPr>
      </w:pPr>
    </w:p>
    <w:p w14:paraId="16AE6DA9">
      <w:pPr>
        <w:pStyle w:val="22"/>
        <w:rPr>
          <w:color w:val="auto"/>
        </w:rPr>
      </w:pPr>
    </w:p>
    <w:p w14:paraId="5A05A80D">
      <w:pPr>
        <w:pStyle w:val="2"/>
        <w:spacing w:before="0" w:after="0" w:line="240" w:lineRule="auto"/>
        <w:jc w:val="center"/>
        <w:rPr>
          <w:rFonts w:ascii="宋体" w:hAnsi="宋体"/>
          <w:color w:val="auto"/>
        </w:rPr>
      </w:pPr>
      <w:bookmarkStart w:id="37" w:name="_Toc176861410"/>
      <w:r>
        <w:rPr>
          <w:rFonts w:hint="eastAsia" w:ascii="宋体" w:hAnsi="宋体"/>
          <w:color w:val="auto"/>
        </w:rPr>
        <w:t>第五章  工程量清单及图纸</w:t>
      </w:r>
      <w:bookmarkEnd w:id="37"/>
    </w:p>
    <w:p w14:paraId="6B026CB1">
      <w:pPr>
        <w:rPr>
          <w:color w:val="auto"/>
        </w:rPr>
      </w:pPr>
    </w:p>
    <w:p w14:paraId="48BF2E95">
      <w:pPr>
        <w:rPr>
          <w:color w:val="auto"/>
        </w:rPr>
      </w:pPr>
    </w:p>
    <w:p w14:paraId="60F5B236">
      <w:pPr>
        <w:spacing w:line="440" w:lineRule="exact"/>
        <w:jc w:val="center"/>
        <w:rPr>
          <w:color w:val="auto"/>
          <w:sz w:val="36"/>
          <w:szCs w:val="36"/>
        </w:rPr>
      </w:pPr>
      <w:r>
        <w:rPr>
          <w:rFonts w:hint="eastAsia"/>
          <w:color w:val="auto"/>
          <w:sz w:val="36"/>
          <w:szCs w:val="36"/>
        </w:rPr>
        <w:t>工程量清单及图纸（另册）</w:t>
      </w:r>
    </w:p>
    <w:p w14:paraId="1D8DD4B9">
      <w:pPr>
        <w:spacing w:line="440" w:lineRule="exact"/>
        <w:jc w:val="center"/>
        <w:rPr>
          <w:rFonts w:eastAsia="仿宋_GB2312"/>
          <w:color w:val="auto"/>
          <w:sz w:val="36"/>
          <w:szCs w:val="36"/>
        </w:rPr>
      </w:pPr>
    </w:p>
    <w:p w14:paraId="6DA8A7F3">
      <w:pPr>
        <w:pStyle w:val="3"/>
        <w:spacing w:before="0" w:after="0" w:line="360" w:lineRule="auto"/>
        <w:rPr>
          <w:color w:val="auto"/>
        </w:rPr>
      </w:pPr>
      <w:r>
        <w:rPr>
          <w:color w:val="auto"/>
        </w:rPr>
        <w:br w:type="page"/>
      </w:r>
    </w:p>
    <w:p w14:paraId="7173A005">
      <w:pPr>
        <w:rPr>
          <w:color w:val="auto"/>
        </w:rPr>
      </w:pPr>
    </w:p>
    <w:p w14:paraId="5D5EFCBA">
      <w:pPr>
        <w:pStyle w:val="18"/>
        <w:rPr>
          <w:color w:val="auto"/>
        </w:rPr>
      </w:pPr>
    </w:p>
    <w:p w14:paraId="55654CAF">
      <w:pPr>
        <w:rPr>
          <w:color w:val="auto"/>
        </w:rPr>
      </w:pPr>
    </w:p>
    <w:p w14:paraId="3BA9614C">
      <w:pPr>
        <w:spacing w:line="600" w:lineRule="exact"/>
        <w:rPr>
          <w:color w:val="auto"/>
          <w:szCs w:val="21"/>
        </w:rPr>
      </w:pPr>
    </w:p>
    <w:p w14:paraId="498FB2A1">
      <w:pPr>
        <w:spacing w:line="300" w:lineRule="auto"/>
        <w:rPr>
          <w:rFonts w:ascii="方正宋黑简体" w:hAnsi="宋体" w:eastAsia="方正宋黑简体"/>
          <w:b/>
          <w:color w:val="auto"/>
          <w:szCs w:val="21"/>
        </w:rPr>
      </w:pPr>
    </w:p>
    <w:p w14:paraId="69CB3E43">
      <w:pPr>
        <w:spacing w:line="300" w:lineRule="auto"/>
        <w:ind w:left="420" w:hanging="420"/>
        <w:jc w:val="center"/>
        <w:rPr>
          <w:rFonts w:ascii="黑体" w:hAnsi="宋体" w:eastAsia="黑体"/>
          <w:b/>
          <w:color w:val="auto"/>
          <w:kern w:val="0"/>
          <w:sz w:val="32"/>
          <w:szCs w:val="32"/>
        </w:rPr>
      </w:pPr>
    </w:p>
    <w:p w14:paraId="646480E4">
      <w:pPr>
        <w:spacing w:line="300" w:lineRule="auto"/>
        <w:ind w:left="420" w:hanging="420"/>
        <w:jc w:val="center"/>
        <w:rPr>
          <w:rFonts w:ascii="黑体" w:hAnsi="宋体" w:eastAsia="黑体"/>
          <w:b/>
          <w:color w:val="auto"/>
          <w:kern w:val="0"/>
          <w:sz w:val="32"/>
          <w:szCs w:val="32"/>
        </w:rPr>
      </w:pPr>
    </w:p>
    <w:p w14:paraId="19F4AAD5">
      <w:pPr>
        <w:spacing w:line="300" w:lineRule="auto"/>
        <w:ind w:left="420" w:hanging="420"/>
        <w:jc w:val="center"/>
        <w:rPr>
          <w:rFonts w:ascii="黑体" w:hAnsi="宋体" w:eastAsia="黑体"/>
          <w:b/>
          <w:color w:val="auto"/>
          <w:kern w:val="0"/>
          <w:sz w:val="32"/>
          <w:szCs w:val="32"/>
        </w:rPr>
      </w:pPr>
    </w:p>
    <w:p w14:paraId="41ADECE5">
      <w:pPr>
        <w:pStyle w:val="18"/>
        <w:rPr>
          <w:color w:val="auto"/>
        </w:rPr>
      </w:pPr>
    </w:p>
    <w:p w14:paraId="07CD08B6">
      <w:pPr>
        <w:rPr>
          <w:color w:val="auto"/>
        </w:rPr>
      </w:pPr>
    </w:p>
    <w:p w14:paraId="47C77637">
      <w:pPr>
        <w:autoSpaceDE w:val="0"/>
        <w:autoSpaceDN w:val="0"/>
        <w:adjustRightInd w:val="0"/>
        <w:snapToGrid w:val="0"/>
        <w:spacing w:line="300" w:lineRule="auto"/>
        <w:ind w:firstLine="3282" w:firstLineChars="743"/>
        <w:outlineLvl w:val="0"/>
        <w:rPr>
          <w:rFonts w:ascii="宋体" w:hAnsi="宋体"/>
          <w:b/>
          <w:color w:val="auto"/>
          <w:kern w:val="0"/>
          <w:sz w:val="44"/>
          <w:szCs w:val="44"/>
        </w:rPr>
      </w:pPr>
      <w:bookmarkStart w:id="38" w:name="_Toc3994507"/>
      <w:bookmarkStart w:id="39" w:name="_Toc31815"/>
      <w:bookmarkStart w:id="40" w:name="_Toc176861411"/>
      <w:r>
        <w:rPr>
          <w:rFonts w:hint="eastAsia" w:ascii="宋体" w:hAnsi="宋体"/>
          <w:b/>
          <w:color w:val="auto"/>
          <w:kern w:val="0"/>
          <w:sz w:val="44"/>
          <w:szCs w:val="44"/>
        </w:rPr>
        <w:t>第六章  合同格式</w:t>
      </w:r>
      <w:bookmarkEnd w:id="38"/>
      <w:bookmarkEnd w:id="39"/>
      <w:bookmarkEnd w:id="40"/>
    </w:p>
    <w:p w14:paraId="2E6CF6CB">
      <w:pPr>
        <w:spacing w:line="300" w:lineRule="auto"/>
        <w:ind w:left="420" w:hanging="420"/>
        <w:jc w:val="center"/>
        <w:rPr>
          <w:rFonts w:ascii="黑体" w:hAnsi="宋体" w:eastAsia="黑体"/>
          <w:b/>
          <w:color w:val="auto"/>
          <w:kern w:val="0"/>
          <w:sz w:val="32"/>
          <w:szCs w:val="32"/>
        </w:rPr>
      </w:pPr>
    </w:p>
    <w:p w14:paraId="79D7AD3A">
      <w:pPr>
        <w:spacing w:line="300" w:lineRule="auto"/>
        <w:ind w:left="420" w:hanging="420"/>
        <w:jc w:val="center"/>
        <w:rPr>
          <w:rFonts w:ascii="黑体" w:hAnsi="宋体" w:eastAsia="黑体"/>
          <w:b/>
          <w:color w:val="auto"/>
          <w:kern w:val="0"/>
          <w:sz w:val="32"/>
          <w:szCs w:val="32"/>
        </w:rPr>
      </w:pPr>
    </w:p>
    <w:p w14:paraId="48244653">
      <w:pPr>
        <w:spacing w:line="300" w:lineRule="auto"/>
        <w:ind w:left="420" w:hanging="420"/>
        <w:jc w:val="center"/>
        <w:rPr>
          <w:rFonts w:ascii="黑体" w:hAnsi="宋体" w:eastAsia="黑体"/>
          <w:b/>
          <w:color w:val="auto"/>
          <w:kern w:val="0"/>
          <w:sz w:val="32"/>
          <w:szCs w:val="32"/>
        </w:rPr>
      </w:pPr>
    </w:p>
    <w:p w14:paraId="0BB72DD2">
      <w:pPr>
        <w:spacing w:line="300" w:lineRule="auto"/>
        <w:ind w:left="420" w:hanging="420"/>
        <w:jc w:val="center"/>
        <w:rPr>
          <w:rFonts w:ascii="黑体" w:hAnsi="宋体" w:eastAsia="黑体"/>
          <w:b/>
          <w:color w:val="auto"/>
          <w:kern w:val="0"/>
          <w:sz w:val="32"/>
          <w:szCs w:val="32"/>
        </w:rPr>
      </w:pPr>
    </w:p>
    <w:p w14:paraId="794EB7A4">
      <w:pPr>
        <w:spacing w:line="300" w:lineRule="auto"/>
        <w:ind w:left="420" w:hanging="420"/>
        <w:jc w:val="center"/>
        <w:rPr>
          <w:rFonts w:ascii="黑体" w:hAnsi="宋体" w:eastAsia="黑体"/>
          <w:b/>
          <w:color w:val="auto"/>
          <w:kern w:val="0"/>
          <w:sz w:val="32"/>
          <w:szCs w:val="32"/>
        </w:rPr>
      </w:pPr>
    </w:p>
    <w:p w14:paraId="45C8B938">
      <w:pPr>
        <w:spacing w:line="300" w:lineRule="auto"/>
        <w:ind w:left="420" w:hanging="420"/>
        <w:jc w:val="center"/>
        <w:rPr>
          <w:rFonts w:ascii="黑体" w:hAnsi="宋体" w:eastAsia="黑体"/>
          <w:b/>
          <w:color w:val="auto"/>
          <w:kern w:val="0"/>
          <w:sz w:val="32"/>
          <w:szCs w:val="32"/>
        </w:rPr>
      </w:pPr>
    </w:p>
    <w:p w14:paraId="0215E410">
      <w:pPr>
        <w:spacing w:line="300" w:lineRule="auto"/>
        <w:ind w:left="420" w:hanging="420"/>
        <w:jc w:val="center"/>
        <w:rPr>
          <w:rFonts w:ascii="黑体" w:hAnsi="宋体" w:eastAsia="黑体"/>
          <w:b/>
          <w:color w:val="auto"/>
          <w:kern w:val="0"/>
          <w:sz w:val="32"/>
          <w:szCs w:val="32"/>
        </w:rPr>
      </w:pPr>
    </w:p>
    <w:p w14:paraId="2395203E">
      <w:pPr>
        <w:spacing w:line="300" w:lineRule="auto"/>
        <w:ind w:left="420" w:hanging="420"/>
        <w:jc w:val="center"/>
        <w:rPr>
          <w:rFonts w:ascii="黑体" w:hAnsi="宋体" w:eastAsia="黑体"/>
          <w:b/>
          <w:color w:val="auto"/>
          <w:kern w:val="0"/>
          <w:sz w:val="32"/>
          <w:szCs w:val="32"/>
        </w:rPr>
      </w:pPr>
    </w:p>
    <w:p w14:paraId="0E07FFE4">
      <w:pPr>
        <w:spacing w:line="300" w:lineRule="auto"/>
        <w:ind w:left="420" w:hanging="420"/>
        <w:jc w:val="center"/>
        <w:rPr>
          <w:rFonts w:ascii="黑体" w:hAnsi="宋体" w:eastAsia="黑体"/>
          <w:b/>
          <w:color w:val="auto"/>
          <w:kern w:val="0"/>
          <w:sz w:val="32"/>
          <w:szCs w:val="32"/>
        </w:rPr>
      </w:pPr>
    </w:p>
    <w:p w14:paraId="5CE4EB7A">
      <w:pPr>
        <w:pStyle w:val="18"/>
        <w:rPr>
          <w:color w:val="auto"/>
        </w:rPr>
      </w:pPr>
    </w:p>
    <w:p w14:paraId="58F2445E">
      <w:pPr>
        <w:rPr>
          <w:color w:val="auto"/>
        </w:rPr>
      </w:pPr>
    </w:p>
    <w:p w14:paraId="45367058">
      <w:pPr>
        <w:spacing w:line="300" w:lineRule="auto"/>
        <w:rPr>
          <w:rFonts w:ascii="黑体" w:hAnsi="宋体" w:eastAsia="黑体"/>
          <w:b/>
          <w:color w:val="auto"/>
          <w:kern w:val="0"/>
          <w:sz w:val="32"/>
          <w:szCs w:val="32"/>
        </w:rPr>
      </w:pPr>
      <w:r>
        <w:rPr>
          <w:rFonts w:ascii="黑体" w:hAnsi="宋体" w:eastAsia="黑体"/>
          <w:b/>
          <w:color w:val="auto"/>
          <w:kern w:val="0"/>
          <w:sz w:val="32"/>
          <w:szCs w:val="32"/>
        </w:rPr>
        <w:br w:type="page"/>
      </w:r>
    </w:p>
    <w:p w14:paraId="7EF8B001">
      <w:pPr>
        <w:pStyle w:val="22"/>
        <w:jc w:val="center"/>
        <w:rPr>
          <w:rStyle w:val="43"/>
          <w:bCs w:val="0"/>
          <w:color w:val="auto"/>
          <w:sz w:val="32"/>
          <w:szCs w:val="32"/>
        </w:rPr>
      </w:pPr>
      <w:r>
        <w:rPr>
          <w:rStyle w:val="43"/>
          <w:rFonts w:hint="eastAsia"/>
          <w:bCs w:val="0"/>
          <w:color w:val="auto"/>
          <w:sz w:val="32"/>
          <w:szCs w:val="32"/>
        </w:rPr>
        <w:t>采购合同文本</w:t>
      </w:r>
    </w:p>
    <w:p w14:paraId="1CFD73AC">
      <w:pPr>
        <w:pStyle w:val="22"/>
        <w:jc w:val="center"/>
        <w:rPr>
          <w:rFonts w:hAnsi="宋体" w:cs="宋体"/>
          <w:b/>
          <w:color w:val="auto"/>
          <w:sz w:val="52"/>
          <w:szCs w:val="52"/>
        </w:rPr>
      </w:pPr>
      <w:r>
        <w:rPr>
          <w:rFonts w:hint="eastAsia" w:hAnsi="宋体" w:cs="宋体"/>
          <w:b/>
          <w:color w:val="auto"/>
          <w:sz w:val="52"/>
          <w:szCs w:val="52"/>
        </w:rPr>
        <w:t>北海市政府采购合同</w:t>
      </w:r>
    </w:p>
    <w:p w14:paraId="6CC78166">
      <w:pPr>
        <w:pStyle w:val="22"/>
        <w:rPr>
          <w:rFonts w:hAnsi="宋体" w:cs="宋体"/>
          <w:color w:val="auto"/>
        </w:rPr>
      </w:pPr>
    </w:p>
    <w:p w14:paraId="36923E5F">
      <w:pPr>
        <w:pStyle w:val="22"/>
        <w:rPr>
          <w:rFonts w:hAnsi="宋体" w:cs="宋体"/>
          <w:color w:val="auto"/>
        </w:rPr>
      </w:pPr>
    </w:p>
    <w:p w14:paraId="30E65324">
      <w:pPr>
        <w:pStyle w:val="22"/>
        <w:rPr>
          <w:rFonts w:hAnsi="宋体" w:cs="宋体"/>
          <w:color w:val="auto"/>
        </w:rPr>
      </w:pPr>
    </w:p>
    <w:p w14:paraId="1817AEA1">
      <w:pPr>
        <w:pStyle w:val="22"/>
        <w:rPr>
          <w:rFonts w:hAnsi="宋体" w:cs="宋体"/>
          <w:color w:val="auto"/>
        </w:rPr>
      </w:pPr>
    </w:p>
    <w:p w14:paraId="7260896B">
      <w:pPr>
        <w:pStyle w:val="22"/>
        <w:ind w:firstLine="1590" w:firstLineChars="495"/>
        <w:rPr>
          <w:rFonts w:hAnsi="宋体" w:cs="宋体"/>
          <w:b/>
          <w:color w:val="auto"/>
          <w:sz w:val="32"/>
          <w:szCs w:val="32"/>
          <w:u w:val="single"/>
        </w:rPr>
      </w:pPr>
      <w:r>
        <w:rPr>
          <w:rFonts w:hint="eastAsia" w:hAnsi="宋体" w:cs="宋体"/>
          <w:b/>
          <w:color w:val="auto"/>
          <w:sz w:val="32"/>
          <w:szCs w:val="32"/>
        </w:rPr>
        <w:t>合同名称：</w:t>
      </w:r>
    </w:p>
    <w:p w14:paraId="0E633544">
      <w:pPr>
        <w:pStyle w:val="22"/>
        <w:ind w:firstLine="1590" w:firstLineChars="495"/>
        <w:rPr>
          <w:rFonts w:hAnsi="宋体" w:cs="宋体"/>
          <w:b/>
          <w:color w:val="auto"/>
          <w:sz w:val="32"/>
          <w:szCs w:val="32"/>
          <w:u w:val="single"/>
        </w:rPr>
      </w:pPr>
      <w:r>
        <w:rPr>
          <w:rFonts w:hint="eastAsia" w:hAnsi="宋体" w:cs="宋体"/>
          <w:b/>
          <w:color w:val="auto"/>
          <w:sz w:val="32"/>
          <w:szCs w:val="32"/>
        </w:rPr>
        <w:t>合同编号：</w:t>
      </w:r>
    </w:p>
    <w:p w14:paraId="4E10A097">
      <w:pPr>
        <w:pStyle w:val="22"/>
        <w:jc w:val="center"/>
        <w:rPr>
          <w:rFonts w:hAnsi="宋体" w:cs="宋体"/>
          <w:color w:val="auto"/>
        </w:rPr>
      </w:pPr>
    </w:p>
    <w:p w14:paraId="69E3CC33">
      <w:pPr>
        <w:pStyle w:val="22"/>
        <w:jc w:val="center"/>
        <w:rPr>
          <w:rFonts w:hAnsi="宋体" w:cs="宋体"/>
          <w:color w:val="auto"/>
        </w:rPr>
      </w:pPr>
    </w:p>
    <w:p w14:paraId="62FCAD37">
      <w:pPr>
        <w:pStyle w:val="22"/>
        <w:jc w:val="center"/>
        <w:rPr>
          <w:rFonts w:hAnsi="宋体" w:cs="宋体"/>
          <w:color w:val="auto"/>
        </w:rPr>
      </w:pPr>
    </w:p>
    <w:p w14:paraId="3727B057">
      <w:pPr>
        <w:pStyle w:val="22"/>
        <w:spacing w:line="340" w:lineRule="exact"/>
        <w:ind w:firstLine="1590" w:firstLineChars="495"/>
        <w:rPr>
          <w:rFonts w:hAnsi="宋体" w:cs="宋体"/>
          <w:b/>
          <w:color w:val="auto"/>
          <w:sz w:val="32"/>
          <w:szCs w:val="32"/>
        </w:rPr>
      </w:pPr>
    </w:p>
    <w:p w14:paraId="63818CB0">
      <w:pPr>
        <w:pStyle w:val="22"/>
        <w:spacing w:line="340" w:lineRule="exact"/>
        <w:ind w:firstLine="1590" w:firstLineChars="495"/>
        <w:rPr>
          <w:rFonts w:hAnsi="宋体" w:cs="宋体"/>
          <w:b/>
          <w:color w:val="auto"/>
          <w:sz w:val="32"/>
          <w:szCs w:val="32"/>
        </w:rPr>
      </w:pPr>
    </w:p>
    <w:p w14:paraId="03AE7659">
      <w:pPr>
        <w:pStyle w:val="22"/>
        <w:spacing w:line="340" w:lineRule="exact"/>
        <w:ind w:firstLine="1590" w:firstLineChars="495"/>
        <w:rPr>
          <w:rFonts w:hAnsi="宋体" w:cs="宋体"/>
          <w:b/>
          <w:color w:val="auto"/>
          <w:sz w:val="32"/>
          <w:szCs w:val="32"/>
        </w:rPr>
      </w:pPr>
    </w:p>
    <w:p w14:paraId="5C11E12A">
      <w:pPr>
        <w:pStyle w:val="22"/>
        <w:spacing w:line="340" w:lineRule="exact"/>
        <w:ind w:firstLine="1590" w:firstLineChars="495"/>
        <w:rPr>
          <w:rFonts w:hAnsi="宋体" w:cs="宋体"/>
          <w:b/>
          <w:color w:val="auto"/>
          <w:sz w:val="32"/>
          <w:szCs w:val="32"/>
        </w:rPr>
      </w:pPr>
    </w:p>
    <w:p w14:paraId="662E95DC">
      <w:pPr>
        <w:pStyle w:val="22"/>
        <w:spacing w:line="340" w:lineRule="exact"/>
        <w:ind w:firstLine="1590" w:firstLineChars="495"/>
        <w:rPr>
          <w:rFonts w:hAnsi="宋体" w:cs="宋体"/>
          <w:b/>
          <w:color w:val="auto"/>
          <w:sz w:val="32"/>
          <w:szCs w:val="32"/>
        </w:rPr>
      </w:pPr>
      <w:r>
        <w:rPr>
          <w:rFonts w:hint="eastAsia" w:hAnsi="宋体" w:cs="宋体"/>
          <w:b/>
          <w:color w:val="auto"/>
          <w:sz w:val="32"/>
          <w:szCs w:val="32"/>
        </w:rPr>
        <w:t>采购人（甲方）</w:t>
      </w:r>
    </w:p>
    <w:p w14:paraId="7ACEA6C7">
      <w:pPr>
        <w:pStyle w:val="22"/>
        <w:spacing w:line="340" w:lineRule="exact"/>
        <w:ind w:firstLine="1590" w:firstLineChars="495"/>
        <w:rPr>
          <w:rFonts w:hAnsi="宋体" w:cs="宋体"/>
          <w:b/>
          <w:color w:val="auto"/>
          <w:sz w:val="32"/>
          <w:szCs w:val="32"/>
        </w:rPr>
      </w:pPr>
    </w:p>
    <w:p w14:paraId="58250CBF">
      <w:pPr>
        <w:pStyle w:val="22"/>
        <w:spacing w:line="340" w:lineRule="exact"/>
        <w:ind w:firstLine="1590" w:firstLineChars="495"/>
        <w:rPr>
          <w:rFonts w:hAnsi="宋体" w:cs="宋体"/>
          <w:b/>
          <w:color w:val="auto"/>
          <w:sz w:val="32"/>
          <w:szCs w:val="32"/>
        </w:rPr>
      </w:pPr>
      <w:r>
        <w:rPr>
          <w:rFonts w:hint="eastAsia" w:hAnsi="宋体" w:cs="宋体"/>
          <w:b/>
          <w:color w:val="auto"/>
          <w:sz w:val="32"/>
          <w:szCs w:val="32"/>
        </w:rPr>
        <w:t>供应商（乙方）</w:t>
      </w:r>
    </w:p>
    <w:p w14:paraId="3F51EDF7">
      <w:pPr>
        <w:pStyle w:val="22"/>
        <w:jc w:val="center"/>
        <w:rPr>
          <w:rFonts w:hAnsi="宋体" w:cs="宋体"/>
          <w:color w:val="auto"/>
        </w:rPr>
      </w:pPr>
    </w:p>
    <w:p w14:paraId="6F4DFAFC">
      <w:pPr>
        <w:pStyle w:val="22"/>
        <w:jc w:val="center"/>
        <w:rPr>
          <w:rFonts w:hAnsi="宋体" w:cs="宋体"/>
          <w:color w:val="auto"/>
        </w:rPr>
      </w:pPr>
    </w:p>
    <w:p w14:paraId="550A5CB4">
      <w:pPr>
        <w:pStyle w:val="22"/>
        <w:jc w:val="center"/>
        <w:rPr>
          <w:rFonts w:hAnsi="宋体" w:cs="宋体"/>
          <w:color w:val="auto"/>
        </w:rPr>
      </w:pPr>
    </w:p>
    <w:p w14:paraId="0C378528">
      <w:pPr>
        <w:pStyle w:val="22"/>
        <w:jc w:val="center"/>
        <w:rPr>
          <w:rFonts w:hAnsi="宋体" w:cs="宋体"/>
          <w:color w:val="auto"/>
        </w:rPr>
      </w:pPr>
    </w:p>
    <w:p w14:paraId="37639EAB">
      <w:pPr>
        <w:pStyle w:val="22"/>
        <w:ind w:firstLine="1590" w:firstLineChars="495"/>
        <w:rPr>
          <w:rFonts w:hAnsi="宋体" w:cs="宋体"/>
          <w:b/>
          <w:color w:val="auto"/>
          <w:sz w:val="32"/>
          <w:szCs w:val="32"/>
          <w:u w:val="single"/>
        </w:rPr>
      </w:pPr>
      <w:r>
        <w:rPr>
          <w:rFonts w:hint="eastAsia" w:hAnsi="宋体" w:cs="宋体"/>
          <w:b/>
          <w:color w:val="auto"/>
          <w:sz w:val="32"/>
          <w:szCs w:val="32"/>
        </w:rPr>
        <w:t>签订合同地点：</w:t>
      </w:r>
    </w:p>
    <w:p w14:paraId="35B6E11B">
      <w:pPr>
        <w:pStyle w:val="22"/>
        <w:ind w:firstLine="1590" w:firstLineChars="495"/>
        <w:rPr>
          <w:rFonts w:hAnsi="宋体" w:cs="宋体"/>
          <w:b/>
          <w:color w:val="auto"/>
          <w:sz w:val="32"/>
          <w:szCs w:val="32"/>
        </w:rPr>
      </w:pPr>
      <w:r>
        <w:rPr>
          <w:rFonts w:hint="eastAsia" w:hAnsi="宋体" w:cs="宋体"/>
          <w:b/>
          <w:color w:val="auto"/>
          <w:sz w:val="32"/>
          <w:szCs w:val="32"/>
        </w:rPr>
        <w:t>签订合同时间：</w:t>
      </w:r>
    </w:p>
    <w:p w14:paraId="454837B1">
      <w:pPr>
        <w:pStyle w:val="22"/>
        <w:jc w:val="center"/>
        <w:rPr>
          <w:rFonts w:hAnsi="宋体" w:cs="宋体"/>
          <w:color w:val="auto"/>
        </w:rPr>
      </w:pPr>
    </w:p>
    <w:p w14:paraId="7DE7DAAE">
      <w:pPr>
        <w:pStyle w:val="22"/>
        <w:jc w:val="center"/>
        <w:rPr>
          <w:rFonts w:hAnsi="宋体" w:cs="宋体"/>
          <w:color w:val="auto"/>
        </w:rPr>
      </w:pPr>
    </w:p>
    <w:p w14:paraId="221DCA59">
      <w:pPr>
        <w:pStyle w:val="22"/>
        <w:jc w:val="center"/>
        <w:rPr>
          <w:rFonts w:hAnsi="宋体" w:cs="宋体"/>
          <w:color w:val="auto"/>
        </w:rPr>
      </w:pPr>
    </w:p>
    <w:p w14:paraId="12190BDF">
      <w:pPr>
        <w:pStyle w:val="22"/>
        <w:jc w:val="center"/>
        <w:rPr>
          <w:rFonts w:hAnsi="宋体" w:cs="宋体"/>
          <w:color w:val="auto"/>
        </w:rPr>
      </w:pPr>
    </w:p>
    <w:p w14:paraId="6213CA59">
      <w:pPr>
        <w:pStyle w:val="22"/>
        <w:jc w:val="center"/>
        <w:rPr>
          <w:rFonts w:hAnsi="宋体" w:cs="宋体"/>
          <w:color w:val="auto"/>
        </w:rPr>
      </w:pPr>
    </w:p>
    <w:p w14:paraId="11679381">
      <w:pPr>
        <w:pStyle w:val="22"/>
        <w:jc w:val="center"/>
        <w:rPr>
          <w:rFonts w:hAnsi="宋体" w:cs="宋体"/>
          <w:color w:val="auto"/>
        </w:rPr>
      </w:pPr>
    </w:p>
    <w:p w14:paraId="7CA99329">
      <w:pPr>
        <w:spacing w:line="300" w:lineRule="auto"/>
        <w:rPr>
          <w:rFonts w:ascii="宋体" w:hAnsi="宋体" w:cs="宋体"/>
          <w:b/>
          <w:color w:val="auto"/>
          <w:kern w:val="0"/>
          <w:sz w:val="32"/>
          <w:szCs w:val="32"/>
        </w:rPr>
      </w:pPr>
    </w:p>
    <w:p w14:paraId="34A87FEC">
      <w:pPr>
        <w:spacing w:line="300" w:lineRule="auto"/>
        <w:ind w:left="420" w:hanging="420"/>
        <w:jc w:val="center"/>
        <w:rPr>
          <w:rFonts w:ascii="宋体" w:hAnsi="宋体" w:cs="宋体"/>
          <w:b/>
          <w:color w:val="auto"/>
          <w:kern w:val="0"/>
          <w:sz w:val="32"/>
          <w:szCs w:val="32"/>
        </w:rPr>
      </w:pPr>
    </w:p>
    <w:p w14:paraId="5C5A1970">
      <w:pPr>
        <w:pStyle w:val="71"/>
        <w:rPr>
          <w:rFonts w:hAnsi="宋体"/>
          <w:b/>
          <w:color w:val="auto"/>
          <w:sz w:val="32"/>
          <w:szCs w:val="32"/>
        </w:rPr>
      </w:pPr>
    </w:p>
    <w:p w14:paraId="2617F738">
      <w:pPr>
        <w:snapToGrid w:val="0"/>
        <w:spacing w:line="360" w:lineRule="exact"/>
        <w:jc w:val="center"/>
        <w:rPr>
          <w:rFonts w:ascii="宋体" w:hAnsi="宋体" w:cs="宋体"/>
          <w:b/>
          <w:bCs/>
          <w:color w:val="auto"/>
          <w:sz w:val="36"/>
          <w:szCs w:val="36"/>
        </w:rPr>
      </w:pPr>
    </w:p>
    <w:p w14:paraId="46221CA5">
      <w:pPr>
        <w:rPr>
          <w:color w:val="auto"/>
          <w:sz w:val="32"/>
          <w:szCs w:val="32"/>
        </w:rPr>
      </w:pPr>
      <w:bookmarkStart w:id="41" w:name="bookmark878"/>
      <w:bookmarkStart w:id="42" w:name="bookmark880"/>
      <w:bookmarkStart w:id="43" w:name="bookmark879"/>
      <w:bookmarkStart w:id="44" w:name="_Toc30441"/>
      <w:bookmarkStart w:id="45" w:name="_Toc23604"/>
      <w:bookmarkStart w:id="46" w:name="_Toc3936"/>
      <w:bookmarkStart w:id="47" w:name="_Toc5515"/>
      <w:bookmarkStart w:id="48" w:name="_Toc16333"/>
      <w:bookmarkStart w:id="49" w:name="_Toc13447"/>
      <w:r>
        <w:rPr>
          <w:rFonts w:hint="eastAsia"/>
          <w:color w:val="auto"/>
          <w:sz w:val="32"/>
          <w:szCs w:val="32"/>
        </w:rPr>
        <w:br w:type="page"/>
      </w:r>
    </w:p>
    <w:p w14:paraId="7A0EEDAE">
      <w:pPr>
        <w:pStyle w:val="100"/>
        <w:spacing w:before="0" w:after="0"/>
        <w:rPr>
          <w:rFonts w:eastAsia="宋体"/>
          <w:color w:val="auto"/>
          <w:sz w:val="32"/>
          <w:szCs w:val="32"/>
          <w:lang w:eastAsia="zh-CN"/>
        </w:rPr>
      </w:pPr>
      <w:bookmarkStart w:id="50" w:name="_Toc6760"/>
      <w:r>
        <w:rPr>
          <w:rFonts w:hint="eastAsia" w:eastAsia="宋体"/>
          <w:color w:val="auto"/>
          <w:sz w:val="32"/>
          <w:szCs w:val="32"/>
          <w:lang w:eastAsia="zh-CN"/>
        </w:rPr>
        <w:t>第一节 通用合同条款</w:t>
      </w:r>
      <w:bookmarkEnd w:id="41"/>
      <w:bookmarkEnd w:id="42"/>
      <w:bookmarkEnd w:id="43"/>
      <w:bookmarkEnd w:id="44"/>
      <w:bookmarkEnd w:id="45"/>
      <w:bookmarkEnd w:id="46"/>
      <w:bookmarkEnd w:id="47"/>
      <w:bookmarkEnd w:id="48"/>
      <w:bookmarkEnd w:id="49"/>
      <w:bookmarkEnd w:id="50"/>
    </w:p>
    <w:p w14:paraId="7B3560FE">
      <w:pPr>
        <w:pStyle w:val="101"/>
        <w:spacing w:before="0" w:after="0" w:line="360" w:lineRule="exact"/>
        <w:rPr>
          <w:rFonts w:ascii="宋体" w:hAnsi="宋体" w:cs="宋体"/>
          <w:color w:val="auto"/>
          <w:lang w:eastAsia="zh-CN"/>
        </w:rPr>
      </w:pPr>
      <w:bookmarkStart w:id="51" w:name="bookmark883"/>
      <w:bookmarkStart w:id="52" w:name="_Toc23189"/>
      <w:bookmarkStart w:id="53" w:name="_Toc19504"/>
      <w:bookmarkStart w:id="54" w:name="_Toc22152"/>
      <w:bookmarkStart w:id="55" w:name="_Toc20808"/>
      <w:bookmarkStart w:id="56" w:name="_Toc8348"/>
      <w:bookmarkStart w:id="57" w:name="_Toc23273"/>
      <w:bookmarkStart w:id="58" w:name="bookmark881"/>
      <w:bookmarkStart w:id="59" w:name="bookmark882"/>
      <w:bookmarkStart w:id="60" w:name="_Toc1751"/>
      <w:r>
        <w:rPr>
          <w:rFonts w:hint="eastAsia" w:ascii="宋体" w:hAnsi="宋体" w:cs="宋体"/>
          <w:color w:val="auto"/>
          <w:lang w:eastAsia="zh-CN"/>
        </w:rPr>
        <w:t>1. 一般约定</w:t>
      </w:r>
      <w:bookmarkEnd w:id="51"/>
      <w:bookmarkEnd w:id="52"/>
      <w:bookmarkEnd w:id="53"/>
      <w:bookmarkEnd w:id="54"/>
      <w:bookmarkEnd w:id="55"/>
      <w:bookmarkEnd w:id="56"/>
      <w:bookmarkEnd w:id="57"/>
      <w:bookmarkEnd w:id="58"/>
      <w:bookmarkEnd w:id="59"/>
      <w:bookmarkEnd w:id="60"/>
    </w:p>
    <w:p w14:paraId="3F63AAD0">
      <w:pPr>
        <w:pStyle w:val="101"/>
        <w:spacing w:before="0" w:after="0"/>
        <w:rPr>
          <w:rFonts w:ascii="宋体" w:hAnsi="宋体" w:cs="宋体"/>
          <w:color w:val="auto"/>
          <w:sz w:val="24"/>
          <w:szCs w:val="24"/>
          <w:lang w:eastAsia="zh-CN"/>
        </w:rPr>
      </w:pPr>
      <w:bookmarkStart w:id="61" w:name="_Toc29687"/>
      <w:bookmarkStart w:id="62" w:name="_Toc8676"/>
      <w:bookmarkStart w:id="63" w:name="_Toc13265"/>
      <w:bookmarkStart w:id="64" w:name="_Toc19365"/>
      <w:bookmarkStart w:id="65" w:name="_Toc5974"/>
      <w:bookmarkStart w:id="66" w:name="bookmark885"/>
      <w:bookmarkStart w:id="67" w:name="_Toc25759"/>
      <w:bookmarkStart w:id="68" w:name="bookmark886"/>
      <w:bookmarkStart w:id="69" w:name="_Toc30871"/>
      <w:bookmarkStart w:id="70" w:name="bookmark884"/>
      <w:r>
        <w:rPr>
          <w:rFonts w:hint="eastAsia" w:ascii="宋体" w:hAnsi="宋体" w:cs="宋体"/>
          <w:color w:val="auto"/>
          <w:sz w:val="24"/>
          <w:szCs w:val="24"/>
          <w:lang w:eastAsia="zh-CN"/>
        </w:rPr>
        <w:t>1.1词语定义</w:t>
      </w:r>
      <w:bookmarkEnd w:id="61"/>
      <w:bookmarkEnd w:id="62"/>
      <w:bookmarkEnd w:id="63"/>
      <w:bookmarkEnd w:id="64"/>
      <w:bookmarkEnd w:id="65"/>
      <w:bookmarkEnd w:id="66"/>
      <w:bookmarkEnd w:id="67"/>
      <w:bookmarkEnd w:id="68"/>
      <w:bookmarkEnd w:id="69"/>
      <w:bookmarkEnd w:id="70"/>
    </w:p>
    <w:p w14:paraId="7A1D6366">
      <w:pPr>
        <w:pStyle w:val="95"/>
        <w:spacing w:line="350" w:lineRule="exact"/>
        <w:ind w:firstLine="420"/>
        <w:rPr>
          <w:color w:val="auto"/>
        </w:rPr>
      </w:pPr>
      <w:r>
        <w:rPr>
          <w:rFonts w:hint="eastAsia"/>
          <w:color w:val="auto"/>
        </w:rPr>
        <w:t>通用合同条款、专用合同条款中的下列词语应具有本款所赋予的含义。</w:t>
      </w:r>
    </w:p>
    <w:p w14:paraId="6DFCD270">
      <w:pPr>
        <w:pStyle w:val="102"/>
        <w:spacing w:after="0" w:line="360" w:lineRule="auto"/>
        <w:jc w:val="both"/>
        <w:rPr>
          <w:rFonts w:ascii="宋体" w:hAnsi="宋体" w:cs="宋体"/>
          <w:color w:val="auto"/>
          <w:lang w:eastAsia="zh-CN"/>
        </w:rPr>
      </w:pPr>
      <w:r>
        <w:rPr>
          <w:rFonts w:hint="eastAsia" w:ascii="宋体" w:hAnsi="宋体" w:cs="宋体"/>
          <w:color w:val="auto"/>
          <w:lang w:eastAsia="zh-CN"/>
        </w:rPr>
        <w:t>1.1.</w:t>
      </w:r>
      <w:r>
        <w:rPr>
          <w:rFonts w:hint="eastAsia" w:ascii="宋体" w:hAnsi="宋体" w:cs="宋体"/>
          <w:color w:val="auto"/>
          <w:lang w:val="zh-CN" w:eastAsia="zh-CN" w:bidi="zh-CN"/>
        </w:rPr>
        <w:t>1合同</w:t>
      </w:r>
    </w:p>
    <w:p w14:paraId="1D24630B">
      <w:pPr>
        <w:pStyle w:val="95"/>
        <w:spacing w:line="350" w:lineRule="exact"/>
        <w:ind w:firstLine="420"/>
        <w:jc w:val="both"/>
        <w:rPr>
          <w:color w:val="auto"/>
        </w:rPr>
      </w:pPr>
      <w:r>
        <w:rPr>
          <w:rFonts w:hint="eastAsia"/>
          <w:color w:val="auto"/>
          <w:lang w:val="en-US" w:bidi="en-US"/>
        </w:rPr>
        <w:t>1.1.1.1</w:t>
      </w:r>
      <w:r>
        <w:rPr>
          <w:rFonts w:hint="eastAsia"/>
          <w:color w:val="auto"/>
        </w:rPr>
        <w:t>合同文件（或称合同）：指合同协议书、中标通知书、投标函及投标函附录、专用合同条款、通用合同条款、技术标准和要求、图纸、已标价工程量清单，以及其他合同文件。</w:t>
      </w:r>
    </w:p>
    <w:p w14:paraId="2D40384F">
      <w:pPr>
        <w:pStyle w:val="95"/>
        <w:tabs>
          <w:tab w:val="left" w:pos="944"/>
        </w:tabs>
        <w:spacing w:line="362" w:lineRule="exact"/>
        <w:ind w:left="420" w:firstLine="0"/>
        <w:rPr>
          <w:color w:val="auto"/>
        </w:rPr>
      </w:pPr>
      <w:bookmarkStart w:id="71" w:name="bookmark887"/>
      <w:bookmarkEnd w:id="71"/>
      <w:r>
        <w:rPr>
          <w:rFonts w:hint="eastAsia"/>
          <w:color w:val="auto"/>
          <w:lang w:val="en-US" w:bidi="en-US"/>
        </w:rPr>
        <w:t>1.1.1.</w:t>
      </w:r>
      <w:r>
        <w:rPr>
          <w:rFonts w:hint="eastAsia"/>
          <w:color w:val="auto"/>
        </w:rPr>
        <w:t>2合同协议书：指第</w:t>
      </w:r>
      <w:r>
        <w:rPr>
          <w:rFonts w:hint="eastAsia"/>
          <w:color w:val="auto"/>
          <w:lang w:val="en-US" w:bidi="en-US"/>
        </w:rPr>
        <w:t>1.5</w:t>
      </w:r>
      <w:r>
        <w:rPr>
          <w:rFonts w:hint="eastAsia"/>
          <w:color w:val="auto"/>
        </w:rPr>
        <w:t>款所指的合同协议书。</w:t>
      </w:r>
    </w:p>
    <w:p w14:paraId="3F8D50FF">
      <w:pPr>
        <w:pStyle w:val="95"/>
        <w:spacing w:line="362" w:lineRule="exact"/>
        <w:ind w:firstLine="420"/>
        <w:rPr>
          <w:color w:val="auto"/>
        </w:rPr>
      </w:pPr>
      <w:r>
        <w:rPr>
          <w:rFonts w:hint="eastAsia"/>
          <w:color w:val="auto"/>
          <w:lang w:val="en-US" w:bidi="en-US"/>
        </w:rPr>
        <w:t>1.1.1.</w:t>
      </w:r>
      <w:r>
        <w:rPr>
          <w:rFonts w:hint="eastAsia"/>
          <w:color w:val="auto"/>
        </w:rPr>
        <w:t>3中标通知书：指发包人通知承包人中标的函件。</w:t>
      </w:r>
    </w:p>
    <w:p w14:paraId="08789B59">
      <w:pPr>
        <w:pStyle w:val="95"/>
        <w:tabs>
          <w:tab w:val="left" w:pos="944"/>
        </w:tabs>
        <w:spacing w:line="362" w:lineRule="exact"/>
        <w:ind w:left="420" w:firstLine="0"/>
        <w:rPr>
          <w:color w:val="auto"/>
        </w:rPr>
      </w:pPr>
      <w:bookmarkStart w:id="72" w:name="bookmark888"/>
      <w:bookmarkEnd w:id="72"/>
      <w:r>
        <w:rPr>
          <w:rFonts w:hint="eastAsia"/>
          <w:color w:val="auto"/>
          <w:lang w:val="en-US" w:bidi="en-US"/>
        </w:rPr>
        <w:t>1.1.1.</w:t>
      </w:r>
      <w:r>
        <w:rPr>
          <w:rFonts w:hint="eastAsia"/>
          <w:color w:val="auto"/>
        </w:rPr>
        <w:t>4投标函：指构成合同文件组成部分的由承包人填写并签署的投标函。</w:t>
      </w:r>
    </w:p>
    <w:p w14:paraId="67B9919C">
      <w:pPr>
        <w:pStyle w:val="95"/>
        <w:spacing w:line="362" w:lineRule="exact"/>
        <w:ind w:firstLine="420"/>
        <w:rPr>
          <w:color w:val="auto"/>
        </w:rPr>
      </w:pPr>
      <w:r>
        <w:rPr>
          <w:rFonts w:hint="eastAsia"/>
          <w:color w:val="auto"/>
          <w:lang w:val="en-US" w:bidi="en-US"/>
        </w:rPr>
        <w:t>1.1.1.</w:t>
      </w:r>
      <w:r>
        <w:rPr>
          <w:rFonts w:hint="eastAsia"/>
          <w:color w:val="auto"/>
        </w:rPr>
        <w:t>5投标函附录：指附在投标函后构成合同文件的投标函附录。</w:t>
      </w:r>
    </w:p>
    <w:p w14:paraId="54A17DDA">
      <w:pPr>
        <w:pStyle w:val="95"/>
        <w:spacing w:line="350" w:lineRule="exact"/>
        <w:ind w:firstLine="420"/>
        <w:jc w:val="both"/>
        <w:rPr>
          <w:color w:val="auto"/>
          <w:lang w:val="en-US" w:bidi="en-US"/>
        </w:rPr>
      </w:pPr>
      <w:bookmarkStart w:id="73" w:name="bookmark889"/>
      <w:bookmarkEnd w:id="73"/>
      <w:r>
        <w:rPr>
          <w:rFonts w:hint="eastAsia"/>
          <w:color w:val="auto"/>
          <w:lang w:val="en-US" w:bidi="en-US"/>
        </w:rPr>
        <w:t>1.1.1.6技术标准和要求：指构成合同文件组成部分的名为技术标准和要求（合同技术条款）的文件，包括合同双方当事人约定对其所做的修改或补充。</w:t>
      </w:r>
    </w:p>
    <w:p w14:paraId="689134BF">
      <w:pPr>
        <w:pStyle w:val="95"/>
        <w:spacing w:line="350" w:lineRule="exact"/>
        <w:ind w:firstLine="420"/>
        <w:jc w:val="both"/>
        <w:rPr>
          <w:color w:val="auto"/>
          <w:lang w:val="en-US" w:bidi="en-US"/>
        </w:rPr>
      </w:pPr>
      <w:bookmarkStart w:id="74" w:name="bookmark890"/>
      <w:bookmarkEnd w:id="74"/>
      <w:r>
        <w:rPr>
          <w:rFonts w:hint="eastAsia"/>
          <w:color w:val="auto"/>
          <w:lang w:val="en-US" w:bidi="en-US"/>
        </w:rPr>
        <w:t>1.1.1.7图纸：指列入合同的招标图纸、投标图纸和发包人按合同约定向承包人提供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60BE97B9">
      <w:pPr>
        <w:pStyle w:val="95"/>
        <w:spacing w:line="319" w:lineRule="exact"/>
        <w:ind w:firstLine="420"/>
        <w:jc w:val="both"/>
        <w:rPr>
          <w:color w:val="auto"/>
        </w:rPr>
      </w:pPr>
      <w:r>
        <w:rPr>
          <w:rFonts w:hint="eastAsia"/>
          <w:color w:val="auto"/>
          <w:lang w:val="en-US" w:bidi="en-US"/>
        </w:rPr>
        <w:t>1.1.1.</w:t>
      </w:r>
      <w:r>
        <w:rPr>
          <w:rFonts w:hint="eastAsia"/>
          <w:color w:val="auto"/>
        </w:rPr>
        <w:t>8已标价工程量清单：指构成合同文件组成部分的由承包人按照规定的格式和要求填写并标明价格的工程量清单。</w:t>
      </w:r>
    </w:p>
    <w:p w14:paraId="4F8140AC">
      <w:pPr>
        <w:pStyle w:val="95"/>
        <w:spacing w:line="352" w:lineRule="exact"/>
        <w:ind w:firstLine="420"/>
        <w:jc w:val="both"/>
        <w:rPr>
          <w:color w:val="auto"/>
        </w:rPr>
      </w:pPr>
      <w:r>
        <w:rPr>
          <w:rFonts w:hint="eastAsia"/>
          <w:color w:val="auto"/>
          <w:lang w:val="en-US" w:bidi="en-US"/>
        </w:rPr>
        <w:t>1.1.1.</w:t>
      </w:r>
      <w:r>
        <w:rPr>
          <w:rFonts w:hint="eastAsia"/>
          <w:color w:val="auto"/>
        </w:rPr>
        <w:t>9其他合同文件：指经合同双方当事人确认构成合同文件的其他文件。</w:t>
      </w:r>
    </w:p>
    <w:p w14:paraId="22168020">
      <w:pPr>
        <w:pStyle w:val="95"/>
        <w:spacing w:line="352" w:lineRule="exact"/>
        <w:ind w:firstLine="420"/>
        <w:jc w:val="both"/>
        <w:rPr>
          <w:color w:val="auto"/>
        </w:rPr>
      </w:pPr>
      <w:r>
        <w:rPr>
          <w:rFonts w:hint="eastAsia"/>
          <w:color w:val="auto"/>
          <w:lang w:val="en-US" w:bidi="en-US"/>
        </w:rPr>
        <w:t>1.1.2</w:t>
      </w:r>
      <w:r>
        <w:rPr>
          <w:rFonts w:hint="eastAsia"/>
          <w:color w:val="auto"/>
        </w:rPr>
        <w:t>合同当事人和人员。</w:t>
      </w:r>
    </w:p>
    <w:p w14:paraId="450682DA">
      <w:pPr>
        <w:pStyle w:val="95"/>
        <w:spacing w:line="352" w:lineRule="exact"/>
        <w:ind w:firstLine="420"/>
        <w:rPr>
          <w:color w:val="auto"/>
        </w:rPr>
      </w:pPr>
      <w:r>
        <w:rPr>
          <w:rFonts w:hint="eastAsia"/>
          <w:color w:val="auto"/>
          <w:lang w:val="en-US" w:bidi="en-US"/>
        </w:rPr>
        <w:t>1.1.2.1</w:t>
      </w:r>
      <w:r>
        <w:rPr>
          <w:rFonts w:hint="eastAsia"/>
          <w:color w:val="auto"/>
        </w:rPr>
        <w:t>合同当事人：指发包人和（或）承包人。</w:t>
      </w:r>
    </w:p>
    <w:p w14:paraId="5F29E899">
      <w:pPr>
        <w:pStyle w:val="95"/>
        <w:tabs>
          <w:tab w:val="left" w:pos="944"/>
        </w:tabs>
        <w:spacing w:line="352" w:lineRule="exact"/>
        <w:ind w:left="420" w:firstLine="0"/>
        <w:rPr>
          <w:color w:val="auto"/>
        </w:rPr>
      </w:pPr>
      <w:bookmarkStart w:id="75" w:name="bookmark891"/>
      <w:bookmarkEnd w:id="75"/>
      <w:r>
        <w:rPr>
          <w:rFonts w:hint="eastAsia"/>
          <w:color w:val="auto"/>
          <w:lang w:val="en-US" w:bidi="en-US"/>
        </w:rPr>
        <w:t>1.1.2.2</w:t>
      </w:r>
      <w:r>
        <w:rPr>
          <w:rFonts w:hint="eastAsia"/>
          <w:color w:val="auto"/>
        </w:rPr>
        <w:t>发包人：指专用合同条款中指明并与承包人在合同协议书中签字的当事人。</w:t>
      </w:r>
    </w:p>
    <w:p w14:paraId="7B6E79CC">
      <w:pPr>
        <w:pStyle w:val="95"/>
        <w:tabs>
          <w:tab w:val="left" w:pos="944"/>
        </w:tabs>
        <w:spacing w:line="352" w:lineRule="exact"/>
        <w:ind w:left="420" w:firstLine="0"/>
        <w:rPr>
          <w:color w:val="auto"/>
        </w:rPr>
      </w:pPr>
      <w:bookmarkStart w:id="76" w:name="bookmark892"/>
      <w:bookmarkEnd w:id="76"/>
      <w:r>
        <w:rPr>
          <w:rFonts w:hint="eastAsia"/>
          <w:color w:val="auto"/>
          <w:lang w:val="en-US" w:bidi="en-US"/>
        </w:rPr>
        <w:t>1.1.2.3</w:t>
      </w:r>
      <w:r>
        <w:rPr>
          <w:rFonts w:hint="eastAsia"/>
          <w:color w:val="auto"/>
        </w:rPr>
        <w:t>承包人：指专用合同条款中指明并与发包人在合同协议书中签字的当事人。</w:t>
      </w:r>
    </w:p>
    <w:p w14:paraId="796FA123">
      <w:pPr>
        <w:pStyle w:val="95"/>
        <w:spacing w:line="352" w:lineRule="exact"/>
        <w:ind w:firstLine="420"/>
        <w:rPr>
          <w:color w:val="auto"/>
        </w:rPr>
      </w:pPr>
      <w:r>
        <w:rPr>
          <w:rFonts w:hint="eastAsia"/>
          <w:color w:val="auto"/>
          <w:lang w:val="en-US" w:bidi="en-US"/>
        </w:rPr>
        <w:t>1.1.2.4</w:t>
      </w:r>
      <w:r>
        <w:rPr>
          <w:rFonts w:hint="eastAsia"/>
          <w:color w:val="auto"/>
        </w:rPr>
        <w:t>承包人项目经理：指承包人派驻施工场地的全权负责人。</w:t>
      </w:r>
    </w:p>
    <w:p w14:paraId="7DAF0024">
      <w:pPr>
        <w:pStyle w:val="95"/>
        <w:spacing w:line="319" w:lineRule="exact"/>
        <w:ind w:firstLine="420"/>
        <w:jc w:val="both"/>
        <w:rPr>
          <w:color w:val="auto"/>
        </w:rPr>
      </w:pPr>
      <w:r>
        <w:rPr>
          <w:rFonts w:hint="eastAsia"/>
          <w:color w:val="auto"/>
          <w:lang w:val="en-US" w:bidi="en-US"/>
        </w:rPr>
        <w:t>1.1.2.5</w:t>
      </w:r>
      <w:r>
        <w:rPr>
          <w:rFonts w:hint="eastAsia"/>
          <w:color w:val="auto"/>
        </w:rPr>
        <w:t>分包人：指专用合同条款中指明的，从承包人处分包合同中某一部分工程, 并与其签订分包合同的分包人。</w:t>
      </w:r>
    </w:p>
    <w:p w14:paraId="7E565FD1">
      <w:pPr>
        <w:pStyle w:val="95"/>
        <w:tabs>
          <w:tab w:val="left" w:pos="951"/>
        </w:tabs>
        <w:spacing w:line="374" w:lineRule="exact"/>
        <w:ind w:left="420" w:firstLine="0"/>
        <w:jc w:val="both"/>
        <w:rPr>
          <w:color w:val="auto"/>
        </w:rPr>
      </w:pPr>
      <w:bookmarkStart w:id="77" w:name="bookmark893"/>
      <w:bookmarkEnd w:id="77"/>
      <w:r>
        <w:rPr>
          <w:rFonts w:hint="eastAsia"/>
          <w:color w:val="auto"/>
          <w:lang w:val="en-US" w:bidi="en-US"/>
        </w:rPr>
        <w:t xml:space="preserve">1.1.2.6  </w:t>
      </w:r>
      <w:r>
        <w:rPr>
          <w:rFonts w:hint="eastAsia"/>
          <w:color w:val="auto"/>
        </w:rPr>
        <w:t>监理人：指在专用合同条款中指明的，受发包人委托对合同履行实施管理的 法人或其他组织。</w:t>
      </w:r>
    </w:p>
    <w:p w14:paraId="45FA52AF">
      <w:pPr>
        <w:pStyle w:val="95"/>
        <w:spacing w:line="362" w:lineRule="exact"/>
        <w:ind w:firstLine="420"/>
        <w:jc w:val="both"/>
        <w:rPr>
          <w:color w:val="auto"/>
        </w:rPr>
      </w:pPr>
      <w:r>
        <w:rPr>
          <w:rFonts w:hint="eastAsia"/>
          <w:color w:val="auto"/>
          <w:lang w:val="en-US" w:bidi="en-US"/>
        </w:rPr>
        <w:t>1.1.2.</w:t>
      </w:r>
      <w:r>
        <w:rPr>
          <w:rFonts w:hint="eastAsia"/>
          <w:color w:val="auto"/>
        </w:rPr>
        <w:t>7总监理工程师（总监）:指由监理人委派常驻施工场地对合同履行实施管理的全权负责人。</w:t>
      </w:r>
    </w:p>
    <w:p w14:paraId="762FAEB9">
      <w:pPr>
        <w:pStyle w:val="102"/>
        <w:spacing w:after="0" w:line="362" w:lineRule="exact"/>
        <w:jc w:val="both"/>
        <w:rPr>
          <w:rFonts w:ascii="宋体" w:hAnsi="宋体" w:cs="宋体"/>
          <w:color w:val="auto"/>
          <w:lang w:eastAsia="zh-CN"/>
        </w:rPr>
      </w:pPr>
      <w:r>
        <w:rPr>
          <w:rFonts w:hint="eastAsia" w:ascii="宋体" w:hAnsi="宋体" w:cs="宋体"/>
          <w:color w:val="auto"/>
          <w:lang w:eastAsia="zh-CN"/>
        </w:rPr>
        <w:t>1.1.</w:t>
      </w:r>
      <w:r>
        <w:rPr>
          <w:rFonts w:hint="eastAsia" w:ascii="宋体" w:hAnsi="宋体" w:cs="宋体"/>
          <w:color w:val="auto"/>
          <w:lang w:val="zh-CN" w:eastAsia="zh-CN" w:bidi="zh-CN"/>
        </w:rPr>
        <w:t>3工程和设备</w:t>
      </w:r>
    </w:p>
    <w:p w14:paraId="72D4AD44">
      <w:pPr>
        <w:pStyle w:val="95"/>
        <w:spacing w:line="362" w:lineRule="exact"/>
        <w:ind w:firstLine="420"/>
        <w:jc w:val="both"/>
        <w:rPr>
          <w:color w:val="auto"/>
        </w:rPr>
      </w:pPr>
      <w:r>
        <w:rPr>
          <w:rFonts w:hint="eastAsia"/>
          <w:color w:val="auto"/>
          <w:lang w:val="en-US" w:bidi="en-US"/>
        </w:rPr>
        <w:t>1.1.3.</w:t>
      </w:r>
      <w:r>
        <w:rPr>
          <w:rFonts w:hint="eastAsia"/>
          <w:color w:val="auto"/>
        </w:rPr>
        <w:t>1工程：指永久工程和（或）临时工程。</w:t>
      </w:r>
    </w:p>
    <w:p w14:paraId="68EC9250">
      <w:pPr>
        <w:pStyle w:val="95"/>
        <w:tabs>
          <w:tab w:val="left" w:pos="944"/>
        </w:tabs>
        <w:spacing w:line="362" w:lineRule="exact"/>
        <w:ind w:left="420" w:firstLine="0"/>
        <w:jc w:val="both"/>
        <w:rPr>
          <w:color w:val="auto"/>
        </w:rPr>
      </w:pPr>
      <w:bookmarkStart w:id="78" w:name="bookmark894"/>
      <w:bookmarkEnd w:id="78"/>
      <w:r>
        <w:rPr>
          <w:rFonts w:hint="eastAsia"/>
          <w:color w:val="auto"/>
          <w:lang w:val="en-US" w:bidi="en-US"/>
        </w:rPr>
        <w:t>1.1.3.</w:t>
      </w:r>
      <w:r>
        <w:rPr>
          <w:rFonts w:hint="eastAsia"/>
          <w:color w:val="auto"/>
        </w:rPr>
        <w:t>2永久工程：指按合同约定建造并移交给发包人的工程，包括工程设备。</w:t>
      </w:r>
    </w:p>
    <w:p w14:paraId="63CF2BCE">
      <w:pPr>
        <w:pStyle w:val="95"/>
        <w:tabs>
          <w:tab w:val="left" w:pos="954"/>
        </w:tabs>
        <w:spacing w:line="372" w:lineRule="exact"/>
        <w:ind w:firstLine="426" w:firstLineChars="213"/>
        <w:jc w:val="both"/>
        <w:rPr>
          <w:color w:val="auto"/>
        </w:rPr>
      </w:pPr>
      <w:bookmarkStart w:id="79" w:name="bookmark895"/>
      <w:bookmarkEnd w:id="79"/>
      <w:r>
        <w:rPr>
          <w:rFonts w:hint="eastAsia"/>
          <w:color w:val="auto"/>
          <w:lang w:val="en-US" w:bidi="en-US"/>
        </w:rPr>
        <w:t>1.1.3.</w:t>
      </w:r>
      <w:r>
        <w:rPr>
          <w:rFonts w:hint="eastAsia"/>
          <w:color w:val="auto"/>
        </w:rPr>
        <w:t>3临时工程：指为完成合同约定的永久工程所修建的各类临时性工程，不包括施工设备。</w:t>
      </w:r>
    </w:p>
    <w:p w14:paraId="0332ACF7">
      <w:pPr>
        <w:pStyle w:val="95"/>
        <w:spacing w:line="367" w:lineRule="exact"/>
        <w:ind w:firstLine="420"/>
        <w:jc w:val="both"/>
        <w:rPr>
          <w:color w:val="auto"/>
        </w:rPr>
      </w:pPr>
      <w:r>
        <w:rPr>
          <w:rFonts w:hint="eastAsia"/>
          <w:color w:val="auto"/>
          <w:lang w:val="en-US" w:bidi="en-US"/>
        </w:rPr>
        <w:t>1.1.3.</w:t>
      </w:r>
      <w:r>
        <w:rPr>
          <w:rFonts w:hint="eastAsia"/>
          <w:color w:val="auto"/>
        </w:rPr>
        <w:t>4单位工程：指专用合同条款中指明特定范围的永久工程。</w:t>
      </w:r>
    </w:p>
    <w:p w14:paraId="034F8D9F">
      <w:pPr>
        <w:pStyle w:val="95"/>
        <w:tabs>
          <w:tab w:val="left" w:pos="951"/>
        </w:tabs>
        <w:spacing w:line="367" w:lineRule="exact"/>
        <w:ind w:firstLine="426" w:firstLineChars="213"/>
        <w:jc w:val="both"/>
        <w:rPr>
          <w:color w:val="auto"/>
        </w:rPr>
      </w:pPr>
      <w:bookmarkStart w:id="80" w:name="bookmark896"/>
      <w:bookmarkEnd w:id="80"/>
      <w:r>
        <w:rPr>
          <w:rFonts w:hint="eastAsia"/>
          <w:color w:val="auto"/>
          <w:lang w:val="en-US" w:bidi="en-US"/>
        </w:rPr>
        <w:t>1.1.3.</w:t>
      </w:r>
      <w:r>
        <w:rPr>
          <w:rFonts w:hint="eastAsia"/>
          <w:color w:val="auto"/>
        </w:rPr>
        <w:t>5工程设备：指构成或计划构成永久工程一部分的机电设备、金属结构设备、仪器装置及其他类似的设备和装置。</w:t>
      </w:r>
    </w:p>
    <w:p w14:paraId="031AD7F9">
      <w:pPr>
        <w:pStyle w:val="95"/>
        <w:tabs>
          <w:tab w:val="left" w:pos="954"/>
        </w:tabs>
        <w:spacing w:line="361" w:lineRule="exact"/>
        <w:ind w:firstLine="426" w:firstLineChars="213"/>
        <w:jc w:val="both"/>
        <w:rPr>
          <w:color w:val="auto"/>
        </w:rPr>
      </w:pPr>
      <w:bookmarkStart w:id="81" w:name="bookmark897"/>
      <w:bookmarkEnd w:id="81"/>
      <w:r>
        <w:rPr>
          <w:rFonts w:hint="eastAsia"/>
          <w:color w:val="auto"/>
          <w:lang w:val="en-US" w:bidi="en-US"/>
        </w:rPr>
        <w:t>1.1.3.</w:t>
      </w:r>
      <w:r>
        <w:rPr>
          <w:rFonts w:hint="eastAsia"/>
          <w:color w:val="auto"/>
        </w:rPr>
        <w:t>6施工设备：指为完成合同约定的各项工作所需的设备、器具和其他物品，不包括临时工程和材料。</w:t>
      </w:r>
    </w:p>
    <w:p w14:paraId="34384C16">
      <w:pPr>
        <w:pStyle w:val="95"/>
        <w:tabs>
          <w:tab w:val="left" w:pos="944"/>
        </w:tabs>
        <w:spacing w:line="361" w:lineRule="exact"/>
        <w:ind w:left="420" w:firstLine="0"/>
        <w:jc w:val="both"/>
        <w:rPr>
          <w:color w:val="auto"/>
        </w:rPr>
      </w:pPr>
      <w:bookmarkStart w:id="82" w:name="bookmark898"/>
      <w:bookmarkEnd w:id="82"/>
      <w:r>
        <w:rPr>
          <w:rFonts w:hint="eastAsia"/>
          <w:color w:val="auto"/>
          <w:lang w:val="en-US" w:bidi="en-US"/>
        </w:rPr>
        <w:t>1.1.3.7</w:t>
      </w:r>
      <w:r>
        <w:rPr>
          <w:rFonts w:hint="eastAsia"/>
          <w:color w:val="auto"/>
        </w:rPr>
        <w:t>临时设施：指为完成合同约定的各项工作所服务的临时性生产和生活设施。</w:t>
      </w:r>
    </w:p>
    <w:p w14:paraId="30C91028">
      <w:pPr>
        <w:pStyle w:val="95"/>
        <w:tabs>
          <w:tab w:val="left" w:pos="954"/>
        </w:tabs>
        <w:spacing w:line="361" w:lineRule="exact"/>
        <w:ind w:left="420" w:firstLine="0"/>
        <w:jc w:val="both"/>
        <w:rPr>
          <w:color w:val="auto"/>
        </w:rPr>
      </w:pPr>
      <w:r>
        <w:rPr>
          <w:rFonts w:hint="eastAsia"/>
          <w:color w:val="auto"/>
          <w:lang w:val="en-US" w:bidi="en-US"/>
        </w:rPr>
        <w:t>1.1.3.8</w:t>
      </w:r>
      <w:r>
        <w:rPr>
          <w:rFonts w:hint="eastAsia"/>
          <w:color w:val="auto"/>
        </w:rPr>
        <w:t>承包人设备：指承包人自带的施工设备。</w:t>
      </w:r>
    </w:p>
    <w:p w14:paraId="0B0ABD72">
      <w:pPr>
        <w:pStyle w:val="95"/>
        <w:tabs>
          <w:tab w:val="left" w:pos="954"/>
        </w:tabs>
        <w:spacing w:line="361" w:lineRule="exact"/>
        <w:ind w:firstLine="426" w:firstLineChars="213"/>
        <w:jc w:val="both"/>
        <w:rPr>
          <w:color w:val="auto"/>
        </w:rPr>
      </w:pPr>
      <w:r>
        <w:rPr>
          <w:rFonts w:hint="eastAsia"/>
          <w:color w:val="auto"/>
          <w:lang w:val="en-US" w:bidi="en-US"/>
        </w:rPr>
        <w:t>1.1.3.9</w:t>
      </w:r>
      <w:r>
        <w:rPr>
          <w:rFonts w:hint="eastAsia"/>
          <w:color w:val="auto"/>
        </w:rPr>
        <w:t>施工场地（或称工地、现场）：指用于合同工程施工的场所，以及在合同中指定作为施工场地组成部分的其他场所，包括永久占地和临时占地。</w:t>
      </w:r>
    </w:p>
    <w:p w14:paraId="5866F81D">
      <w:pPr>
        <w:pStyle w:val="95"/>
        <w:tabs>
          <w:tab w:val="left" w:pos="951"/>
        </w:tabs>
        <w:spacing w:line="361" w:lineRule="exact"/>
        <w:ind w:left="420" w:firstLine="0"/>
        <w:jc w:val="both"/>
        <w:rPr>
          <w:color w:val="auto"/>
        </w:rPr>
      </w:pPr>
      <w:r>
        <w:rPr>
          <w:rFonts w:hint="eastAsia"/>
          <w:color w:val="auto"/>
          <w:lang w:val="en-US" w:bidi="en-US"/>
        </w:rPr>
        <w:t>1.1.3.10</w:t>
      </w:r>
      <w:r>
        <w:rPr>
          <w:rFonts w:hint="eastAsia"/>
          <w:color w:val="auto"/>
        </w:rPr>
        <w:t>永久占地：指发包人为建设本合同工程永久征用的场地。</w:t>
      </w:r>
    </w:p>
    <w:p w14:paraId="75F57C75">
      <w:pPr>
        <w:pStyle w:val="95"/>
        <w:tabs>
          <w:tab w:val="left" w:pos="951"/>
        </w:tabs>
        <w:spacing w:line="367" w:lineRule="exact"/>
        <w:ind w:firstLine="426" w:firstLineChars="213"/>
        <w:jc w:val="both"/>
        <w:rPr>
          <w:color w:val="auto"/>
        </w:rPr>
      </w:pPr>
      <w:r>
        <w:rPr>
          <w:rFonts w:hint="eastAsia"/>
          <w:color w:val="auto"/>
          <w:lang w:val="en-US" w:bidi="en-US"/>
        </w:rPr>
        <w:t>1.1.3.11</w:t>
      </w:r>
      <w:r>
        <w:rPr>
          <w:rFonts w:hint="eastAsia"/>
          <w:color w:val="auto"/>
        </w:rPr>
        <w:t>临时占地：指发包人为建设本合同工程临时征用，并应在完工后须按合同 要求退还的场地。</w:t>
      </w:r>
    </w:p>
    <w:p w14:paraId="1D6D228E">
      <w:pPr>
        <w:pStyle w:val="102"/>
        <w:spacing w:after="0"/>
        <w:jc w:val="both"/>
        <w:rPr>
          <w:rFonts w:ascii="宋体" w:hAnsi="宋体" w:cs="宋体"/>
          <w:color w:val="auto"/>
          <w:lang w:eastAsia="zh-CN"/>
        </w:rPr>
      </w:pPr>
      <w:r>
        <w:rPr>
          <w:rFonts w:hint="eastAsia" w:ascii="宋体" w:hAnsi="宋体" w:cs="宋体"/>
          <w:color w:val="auto"/>
          <w:lang w:eastAsia="zh-CN"/>
        </w:rPr>
        <w:t>1.1.4</w:t>
      </w:r>
      <w:r>
        <w:rPr>
          <w:rFonts w:hint="eastAsia" w:ascii="宋体" w:hAnsi="宋体" w:cs="宋体"/>
          <w:color w:val="auto"/>
          <w:lang w:val="zh-CN" w:eastAsia="zh-CN" w:bidi="zh-CN"/>
        </w:rPr>
        <w:t>日期</w:t>
      </w:r>
    </w:p>
    <w:p w14:paraId="4E356E21">
      <w:pPr>
        <w:pStyle w:val="95"/>
        <w:spacing w:line="348" w:lineRule="exact"/>
        <w:ind w:firstLine="420"/>
        <w:jc w:val="both"/>
        <w:rPr>
          <w:color w:val="auto"/>
        </w:rPr>
      </w:pPr>
      <w:r>
        <w:rPr>
          <w:rFonts w:hint="eastAsia"/>
          <w:color w:val="auto"/>
          <w:lang w:val="en-US" w:bidi="en-US"/>
        </w:rPr>
        <w:t>1.1.4.</w:t>
      </w:r>
      <w:r>
        <w:rPr>
          <w:rFonts w:hint="eastAsia"/>
          <w:color w:val="auto"/>
        </w:rPr>
        <w:t>1开工通知：指监理人按第</w:t>
      </w:r>
      <w:r>
        <w:rPr>
          <w:rFonts w:hint="eastAsia"/>
          <w:color w:val="auto"/>
          <w:lang w:val="en-US" w:bidi="en-US"/>
        </w:rPr>
        <w:t xml:space="preserve">11. </w:t>
      </w:r>
      <w:r>
        <w:rPr>
          <w:rFonts w:hint="eastAsia"/>
          <w:color w:val="auto"/>
        </w:rPr>
        <w:t>1款通知承包人开工的函件。</w:t>
      </w:r>
    </w:p>
    <w:p w14:paraId="6C8AF3C5">
      <w:pPr>
        <w:pStyle w:val="95"/>
        <w:spacing w:line="348" w:lineRule="exact"/>
        <w:ind w:firstLine="420"/>
        <w:jc w:val="both"/>
        <w:rPr>
          <w:color w:val="auto"/>
        </w:rPr>
      </w:pPr>
      <w:r>
        <w:rPr>
          <w:rFonts w:hint="eastAsia"/>
          <w:color w:val="auto"/>
          <w:lang w:val="en-US" w:bidi="en-US"/>
        </w:rPr>
        <w:t>1.1.4.2</w:t>
      </w:r>
      <w:r>
        <w:rPr>
          <w:rFonts w:hint="eastAsia"/>
          <w:color w:val="auto"/>
        </w:rPr>
        <w:t>开工日期：指监理人按第</w:t>
      </w:r>
      <w:r>
        <w:rPr>
          <w:rFonts w:hint="eastAsia"/>
          <w:color w:val="auto"/>
          <w:lang w:val="en-US" w:bidi="en-US"/>
        </w:rPr>
        <w:t xml:space="preserve">11. </w:t>
      </w:r>
      <w:r>
        <w:rPr>
          <w:rFonts w:hint="eastAsia"/>
          <w:color w:val="auto"/>
        </w:rPr>
        <w:t>1款发出的开工通知中写明的开工日期。</w:t>
      </w:r>
    </w:p>
    <w:p w14:paraId="47E152E9">
      <w:pPr>
        <w:pStyle w:val="95"/>
        <w:spacing w:line="348" w:lineRule="exact"/>
        <w:ind w:firstLine="420"/>
        <w:jc w:val="both"/>
        <w:rPr>
          <w:color w:val="auto"/>
        </w:rPr>
      </w:pPr>
      <w:r>
        <w:rPr>
          <w:rFonts w:hint="eastAsia"/>
          <w:color w:val="auto"/>
          <w:lang w:val="en-US" w:bidi="en-US"/>
        </w:rPr>
        <w:t>1.1.4.3</w:t>
      </w:r>
      <w:r>
        <w:rPr>
          <w:rFonts w:hint="eastAsia"/>
          <w:color w:val="auto"/>
        </w:rPr>
        <w:t>工期：指承包人在投标函中承诺的完成合同工程所需的期限，包括按第</w:t>
      </w:r>
      <w:r>
        <w:rPr>
          <w:rFonts w:hint="eastAsia"/>
          <w:color w:val="auto"/>
          <w:lang w:val="en-US" w:bidi="en-US"/>
        </w:rPr>
        <w:t xml:space="preserve">11.3 </w:t>
      </w:r>
      <w:r>
        <w:rPr>
          <w:rFonts w:hint="eastAsia"/>
          <w:color w:val="auto"/>
        </w:rPr>
        <w:t>款、第</w:t>
      </w:r>
      <w:r>
        <w:rPr>
          <w:rFonts w:hint="eastAsia"/>
          <w:color w:val="auto"/>
          <w:lang w:val="en-US" w:bidi="en-US"/>
        </w:rPr>
        <w:t xml:space="preserve">11. </w:t>
      </w:r>
      <w:r>
        <w:rPr>
          <w:rFonts w:hint="eastAsia"/>
          <w:color w:val="auto"/>
        </w:rPr>
        <w:t>4款和第</w:t>
      </w:r>
      <w:r>
        <w:rPr>
          <w:rFonts w:hint="eastAsia"/>
          <w:color w:val="auto"/>
          <w:lang w:val="en-US" w:bidi="en-US"/>
        </w:rPr>
        <w:t>11.</w:t>
      </w:r>
      <w:r>
        <w:rPr>
          <w:rFonts w:hint="eastAsia"/>
          <w:color w:val="auto"/>
        </w:rPr>
        <w:t>6款约定所作的变更。</w:t>
      </w:r>
    </w:p>
    <w:p w14:paraId="1F1B8361">
      <w:pPr>
        <w:pStyle w:val="95"/>
        <w:tabs>
          <w:tab w:val="left" w:pos="949"/>
        </w:tabs>
        <w:spacing w:line="374" w:lineRule="exact"/>
        <w:ind w:firstLine="426" w:firstLineChars="213"/>
        <w:jc w:val="both"/>
        <w:rPr>
          <w:color w:val="auto"/>
        </w:rPr>
      </w:pPr>
      <w:bookmarkStart w:id="83" w:name="bookmark899"/>
      <w:bookmarkEnd w:id="83"/>
      <w:r>
        <w:rPr>
          <w:rFonts w:hint="eastAsia"/>
          <w:color w:val="auto"/>
          <w:lang w:val="en-US" w:bidi="en-US"/>
        </w:rPr>
        <w:t xml:space="preserve">1.1.4.4  </w:t>
      </w:r>
      <w:r>
        <w:rPr>
          <w:rFonts w:hint="eastAsia"/>
          <w:color w:val="auto"/>
        </w:rPr>
        <w:t>竣工日期：即合同工程完工日期，指第</w:t>
      </w:r>
      <w:r>
        <w:rPr>
          <w:rFonts w:hint="eastAsia"/>
          <w:color w:val="auto"/>
          <w:lang w:val="en-US" w:bidi="en-US"/>
        </w:rPr>
        <w:t xml:space="preserve">1.1. 4. </w:t>
      </w:r>
      <w:r>
        <w:rPr>
          <w:rFonts w:hint="eastAsia"/>
          <w:color w:val="auto"/>
        </w:rPr>
        <w:t>3目约定工期届满时的日期。 实际完工时间以合同工程完工证书中写明的日期为准。</w:t>
      </w:r>
    </w:p>
    <w:p w14:paraId="6CBCE191">
      <w:pPr>
        <w:pStyle w:val="95"/>
        <w:tabs>
          <w:tab w:val="left" w:pos="954"/>
        </w:tabs>
        <w:spacing w:line="370" w:lineRule="exact"/>
        <w:ind w:firstLine="426" w:firstLineChars="213"/>
        <w:jc w:val="both"/>
        <w:rPr>
          <w:color w:val="auto"/>
        </w:rPr>
      </w:pPr>
      <w:bookmarkStart w:id="84" w:name="bookmark900"/>
      <w:bookmarkEnd w:id="84"/>
      <w:r>
        <w:rPr>
          <w:rFonts w:hint="eastAsia"/>
          <w:color w:val="auto"/>
          <w:lang w:val="en-US" w:bidi="en-US"/>
        </w:rPr>
        <w:t xml:space="preserve">1.1.4.5  </w:t>
      </w:r>
      <w:r>
        <w:rPr>
          <w:rFonts w:hint="eastAsia"/>
          <w:color w:val="auto"/>
        </w:rPr>
        <w:t>缺陷责任期：即工程质量保修期，指履行第</w:t>
      </w:r>
      <w:r>
        <w:rPr>
          <w:rFonts w:hint="eastAsia"/>
          <w:color w:val="auto"/>
          <w:lang w:val="en-US" w:bidi="en-US"/>
        </w:rPr>
        <w:t xml:space="preserve">19. </w:t>
      </w:r>
      <w:r>
        <w:rPr>
          <w:rFonts w:hint="eastAsia"/>
          <w:color w:val="auto"/>
        </w:rPr>
        <w:t>2款约定的缺陷责任的期限, 包括根据第</w:t>
      </w:r>
      <w:r>
        <w:rPr>
          <w:rFonts w:hint="eastAsia"/>
          <w:color w:val="auto"/>
          <w:lang w:val="en-US" w:bidi="en-US"/>
        </w:rPr>
        <w:t xml:space="preserve">19. </w:t>
      </w:r>
      <w:r>
        <w:rPr>
          <w:rFonts w:hint="eastAsia"/>
          <w:color w:val="auto"/>
        </w:rPr>
        <w:t>3款约定所作的延长，具体期限由专用合同条款约定。</w:t>
      </w:r>
    </w:p>
    <w:p w14:paraId="5B4CE541">
      <w:pPr>
        <w:pStyle w:val="95"/>
        <w:spacing w:line="360" w:lineRule="exact"/>
        <w:ind w:firstLine="420"/>
        <w:jc w:val="both"/>
        <w:rPr>
          <w:color w:val="auto"/>
        </w:rPr>
      </w:pPr>
      <w:r>
        <w:rPr>
          <w:rFonts w:hint="eastAsia"/>
          <w:color w:val="auto"/>
          <w:lang w:val="en-US" w:bidi="en-US"/>
        </w:rPr>
        <w:t>1.1.4.6</w:t>
      </w:r>
      <w:r>
        <w:rPr>
          <w:rFonts w:hint="eastAsia"/>
          <w:color w:val="auto"/>
        </w:rPr>
        <w:t>基准日期：指投标截止时间前28天的日期。</w:t>
      </w:r>
    </w:p>
    <w:p w14:paraId="5A0CBB28">
      <w:pPr>
        <w:pStyle w:val="95"/>
        <w:spacing w:line="360" w:lineRule="exact"/>
        <w:ind w:firstLine="420"/>
        <w:jc w:val="both"/>
        <w:rPr>
          <w:color w:val="auto"/>
        </w:rPr>
      </w:pPr>
      <w:r>
        <w:rPr>
          <w:rFonts w:hint="eastAsia"/>
          <w:color w:val="auto"/>
          <w:lang w:val="en-US" w:bidi="en-US"/>
        </w:rPr>
        <w:t>1.1.4.7</w:t>
      </w:r>
      <w:r>
        <w:rPr>
          <w:rFonts w:hint="eastAsia"/>
          <w:color w:val="auto"/>
        </w:rPr>
        <w:t>天：除特别指明外，指日历天。合同中按天计算时间的，开始当天不计入, 从次日开始计算。期限最后一天的截止时间为当天24：</w:t>
      </w:r>
      <w:r>
        <w:rPr>
          <w:rFonts w:hint="eastAsia"/>
          <w:color w:val="auto"/>
          <w:lang w:val="en-US" w:bidi="en-US"/>
        </w:rPr>
        <w:t>00</w:t>
      </w:r>
      <w:r>
        <w:rPr>
          <w:rFonts w:hint="eastAsia"/>
          <w:color w:val="auto"/>
          <w:vertAlign w:val="subscript"/>
          <w:lang w:val="en-US" w:bidi="en-US"/>
        </w:rPr>
        <w:t>o</w:t>
      </w:r>
    </w:p>
    <w:p w14:paraId="5749F9F2">
      <w:pPr>
        <w:pStyle w:val="95"/>
        <w:spacing w:line="360" w:lineRule="exact"/>
        <w:ind w:firstLine="420"/>
        <w:jc w:val="both"/>
        <w:rPr>
          <w:color w:val="auto"/>
        </w:rPr>
      </w:pPr>
      <w:r>
        <w:rPr>
          <w:rFonts w:hint="eastAsia"/>
          <w:color w:val="auto"/>
          <w:lang w:val="en-US" w:bidi="en-US"/>
        </w:rPr>
        <w:t>1.1.5</w:t>
      </w:r>
      <w:r>
        <w:rPr>
          <w:rFonts w:hint="eastAsia"/>
          <w:color w:val="auto"/>
        </w:rPr>
        <w:t>合同价格和费用</w:t>
      </w:r>
    </w:p>
    <w:p w14:paraId="41768AA9">
      <w:pPr>
        <w:pStyle w:val="95"/>
        <w:tabs>
          <w:tab w:val="left" w:pos="934"/>
        </w:tabs>
        <w:spacing w:line="360" w:lineRule="exact"/>
        <w:ind w:firstLine="426" w:firstLineChars="213"/>
        <w:jc w:val="both"/>
        <w:rPr>
          <w:color w:val="auto"/>
        </w:rPr>
      </w:pPr>
      <w:bookmarkStart w:id="85" w:name="bookmark901"/>
      <w:bookmarkEnd w:id="85"/>
      <w:r>
        <w:rPr>
          <w:rFonts w:hint="eastAsia"/>
          <w:color w:val="auto"/>
          <w:lang w:val="en-US" w:bidi="en-US"/>
        </w:rPr>
        <w:t>1.1.5.1</w:t>
      </w:r>
      <w:r>
        <w:rPr>
          <w:rFonts w:hint="eastAsia"/>
          <w:color w:val="auto"/>
        </w:rPr>
        <w:t>签约合同价：指签定合同时合同协议书中写明的，包括了暂列金额、暂估价的合同总金额。</w:t>
      </w:r>
    </w:p>
    <w:p w14:paraId="3DED3EE0">
      <w:pPr>
        <w:pStyle w:val="95"/>
        <w:tabs>
          <w:tab w:val="left" w:pos="954"/>
        </w:tabs>
        <w:spacing w:line="360" w:lineRule="exact"/>
        <w:ind w:firstLine="426" w:firstLineChars="213"/>
        <w:jc w:val="both"/>
        <w:rPr>
          <w:color w:val="auto"/>
        </w:rPr>
      </w:pPr>
      <w:bookmarkStart w:id="86" w:name="bookmark902"/>
      <w:bookmarkEnd w:id="86"/>
      <w:r>
        <w:rPr>
          <w:rFonts w:hint="eastAsia"/>
          <w:color w:val="auto"/>
        </w:rPr>
        <w:t>1.1.5.2合同价格：指承包人按合同约定完成了包括缺陷责任期内的全部承包工作后，发包人应付给承包人的金额，包括在履行合同过程中按合同约定进行的变更和调整。</w:t>
      </w:r>
    </w:p>
    <w:p w14:paraId="7FAC753C">
      <w:pPr>
        <w:pStyle w:val="95"/>
        <w:tabs>
          <w:tab w:val="left" w:pos="954"/>
        </w:tabs>
        <w:spacing w:line="360" w:lineRule="exact"/>
        <w:ind w:firstLine="426" w:firstLineChars="213"/>
        <w:jc w:val="both"/>
        <w:rPr>
          <w:color w:val="auto"/>
        </w:rPr>
      </w:pPr>
      <w:bookmarkStart w:id="87" w:name="bookmark903"/>
      <w:bookmarkEnd w:id="87"/>
      <w:r>
        <w:rPr>
          <w:rFonts w:hint="eastAsia"/>
          <w:color w:val="auto"/>
        </w:rPr>
        <w:t>1.1.5.3费用：指为履行合同所发生的或将要发生的所有合理开支，包括管理费和应分摊的其他费用，但不包括利润。</w:t>
      </w:r>
    </w:p>
    <w:p w14:paraId="238498B1">
      <w:pPr>
        <w:pStyle w:val="95"/>
        <w:spacing w:line="366" w:lineRule="exact"/>
        <w:ind w:firstLine="440"/>
        <w:jc w:val="both"/>
        <w:rPr>
          <w:color w:val="auto"/>
        </w:rPr>
      </w:pPr>
      <w:r>
        <w:rPr>
          <w:rFonts w:hint="eastAsia"/>
          <w:color w:val="auto"/>
          <w:lang w:val="en-US" w:bidi="en-US"/>
        </w:rPr>
        <w:t>1.1.5.4</w:t>
      </w:r>
      <w:r>
        <w:rPr>
          <w:rFonts w:hint="eastAsia"/>
          <w:color w:val="auto"/>
        </w:rPr>
        <w:t>暂列金额：指已标价工程量清单中所列的暂列金额，用于在签订协议书时尚 未确定或不可预见变更的施工及其所需材料、工程设备、服务等的金额，包括以计日工方式支付的金额。</w:t>
      </w:r>
    </w:p>
    <w:p w14:paraId="2B8F78B7">
      <w:pPr>
        <w:pStyle w:val="95"/>
        <w:spacing w:line="374" w:lineRule="exact"/>
        <w:ind w:firstLine="440"/>
        <w:jc w:val="both"/>
        <w:rPr>
          <w:color w:val="auto"/>
        </w:rPr>
      </w:pPr>
      <w:r>
        <w:rPr>
          <w:rFonts w:hint="eastAsia"/>
          <w:color w:val="auto"/>
          <w:lang w:val="en-US" w:bidi="en-US"/>
        </w:rPr>
        <w:t>1. 1.5.5</w:t>
      </w:r>
      <w:r>
        <w:rPr>
          <w:rFonts w:hint="eastAsia"/>
          <w:color w:val="auto"/>
        </w:rPr>
        <w:t>暂估价：指发包人在工程量清单中给定的用于支付必然发生但暂时不能确定价格的材料、设备以及专业工程的金额。</w:t>
      </w:r>
    </w:p>
    <w:p w14:paraId="28E42A94">
      <w:pPr>
        <w:pStyle w:val="95"/>
        <w:spacing w:line="374" w:lineRule="exact"/>
        <w:ind w:firstLine="440"/>
        <w:jc w:val="both"/>
        <w:rPr>
          <w:color w:val="auto"/>
        </w:rPr>
      </w:pPr>
      <w:bookmarkStart w:id="88" w:name="bookmark904"/>
      <w:bookmarkEnd w:id="88"/>
      <w:r>
        <w:rPr>
          <w:rFonts w:hint="eastAsia"/>
          <w:color w:val="auto"/>
          <w:lang w:val="en-US" w:bidi="en-US"/>
        </w:rPr>
        <w:t>1.1.5. 6</w:t>
      </w:r>
      <w:r>
        <w:rPr>
          <w:rFonts w:hint="eastAsia"/>
          <w:color w:val="auto"/>
        </w:rPr>
        <w:t>计日工：指对零星工作采取的一种计价方式，按合同中的计日工子目及其单 价计价付款。</w:t>
      </w:r>
    </w:p>
    <w:p w14:paraId="0573CB36">
      <w:pPr>
        <w:pStyle w:val="95"/>
        <w:spacing w:line="379" w:lineRule="exact"/>
        <w:ind w:firstLine="440"/>
        <w:jc w:val="both"/>
        <w:rPr>
          <w:color w:val="auto"/>
        </w:rPr>
      </w:pPr>
      <w:r>
        <w:rPr>
          <w:rFonts w:hint="eastAsia"/>
          <w:color w:val="auto"/>
          <w:lang w:val="en-US" w:bidi="en-US"/>
        </w:rPr>
        <w:t>1.1.5.7</w:t>
      </w:r>
      <w:r>
        <w:rPr>
          <w:rFonts w:hint="eastAsia"/>
          <w:color w:val="auto"/>
        </w:rPr>
        <w:t>质量保证金(或称保留金)：指按第</w:t>
      </w:r>
      <w:r>
        <w:rPr>
          <w:rFonts w:hint="eastAsia"/>
          <w:color w:val="auto"/>
          <w:lang w:val="en-US" w:bidi="en-US"/>
        </w:rPr>
        <w:t>17.4.1</w:t>
      </w:r>
      <w:r>
        <w:rPr>
          <w:rFonts w:hint="eastAsia"/>
          <w:color w:val="auto"/>
        </w:rPr>
        <w:t>项约定用于保证在缺陷责任期内履行缺陷修复义务的金额。</w:t>
      </w:r>
    </w:p>
    <w:p w14:paraId="4D73AEE0">
      <w:pPr>
        <w:pStyle w:val="102"/>
        <w:spacing w:after="0" w:line="384" w:lineRule="auto"/>
        <w:ind w:firstLine="440"/>
        <w:jc w:val="both"/>
        <w:rPr>
          <w:rFonts w:ascii="宋体" w:hAnsi="宋体" w:cs="宋体"/>
          <w:color w:val="auto"/>
          <w:lang w:eastAsia="zh-CN"/>
        </w:rPr>
      </w:pPr>
      <w:r>
        <w:rPr>
          <w:rFonts w:hint="eastAsia" w:ascii="宋体" w:hAnsi="宋体" w:cs="宋体"/>
          <w:color w:val="auto"/>
          <w:lang w:eastAsia="zh-CN"/>
        </w:rPr>
        <w:t>1.1.6</w:t>
      </w:r>
      <w:r>
        <w:rPr>
          <w:rFonts w:hint="eastAsia" w:ascii="宋体" w:hAnsi="宋体" w:cs="宋体"/>
          <w:color w:val="auto"/>
          <w:lang w:val="zh-CN" w:eastAsia="zh-CN" w:bidi="zh-CN"/>
        </w:rPr>
        <w:t>其他</w:t>
      </w:r>
    </w:p>
    <w:p w14:paraId="1C6CECF8">
      <w:pPr>
        <w:pStyle w:val="95"/>
        <w:tabs>
          <w:tab w:val="left" w:pos="954"/>
        </w:tabs>
        <w:spacing w:line="367" w:lineRule="exact"/>
        <w:ind w:left="440" w:firstLine="0"/>
        <w:jc w:val="both"/>
        <w:rPr>
          <w:color w:val="auto"/>
        </w:rPr>
      </w:pPr>
      <w:bookmarkStart w:id="89" w:name="bookmark905"/>
      <w:bookmarkEnd w:id="89"/>
      <w:r>
        <w:rPr>
          <w:rFonts w:hint="eastAsia"/>
          <w:color w:val="auto"/>
          <w:lang w:val="en-US" w:bidi="en-US"/>
        </w:rPr>
        <w:t>1.1.6.1</w:t>
      </w:r>
      <w:r>
        <w:rPr>
          <w:rFonts w:hint="eastAsia"/>
          <w:color w:val="auto"/>
        </w:rPr>
        <w:t>书面形式：指合同文件、信函、电报、传真等可以有形地表现所载内容的形式。</w:t>
      </w:r>
    </w:p>
    <w:p w14:paraId="05771357">
      <w:pPr>
        <w:pStyle w:val="101"/>
        <w:spacing w:before="0" w:after="0"/>
        <w:rPr>
          <w:rFonts w:ascii="宋体" w:hAnsi="宋体" w:cs="宋体"/>
          <w:color w:val="auto"/>
          <w:sz w:val="28"/>
          <w:szCs w:val="28"/>
          <w:lang w:eastAsia="zh-CN"/>
        </w:rPr>
      </w:pPr>
      <w:bookmarkStart w:id="90" w:name="_Toc4240"/>
      <w:bookmarkStart w:id="91" w:name="_Toc5185"/>
      <w:bookmarkStart w:id="92" w:name="bookmark906"/>
      <w:bookmarkStart w:id="93" w:name="bookmark908"/>
      <w:bookmarkStart w:id="94" w:name="_Toc6434"/>
      <w:bookmarkStart w:id="95" w:name="_Toc30128"/>
      <w:bookmarkStart w:id="96" w:name="bookmark907"/>
      <w:bookmarkStart w:id="97" w:name="_Toc6385"/>
      <w:bookmarkStart w:id="98" w:name="_Toc26052"/>
      <w:bookmarkStart w:id="99" w:name="_Toc16626"/>
      <w:r>
        <w:rPr>
          <w:rFonts w:hint="eastAsia" w:ascii="宋体" w:hAnsi="宋体" w:cs="宋体"/>
          <w:color w:val="auto"/>
          <w:sz w:val="24"/>
          <w:szCs w:val="24"/>
          <w:lang w:eastAsia="zh-CN"/>
        </w:rPr>
        <w:t>1.2语言文字</w:t>
      </w:r>
      <w:bookmarkEnd w:id="90"/>
      <w:bookmarkEnd w:id="91"/>
      <w:bookmarkEnd w:id="92"/>
      <w:bookmarkEnd w:id="93"/>
      <w:bookmarkEnd w:id="94"/>
      <w:bookmarkEnd w:id="95"/>
      <w:bookmarkEnd w:id="96"/>
      <w:bookmarkEnd w:id="97"/>
      <w:bookmarkEnd w:id="98"/>
      <w:bookmarkEnd w:id="99"/>
    </w:p>
    <w:p w14:paraId="4B069FD1">
      <w:pPr>
        <w:pStyle w:val="95"/>
        <w:spacing w:line="366" w:lineRule="exact"/>
        <w:ind w:firstLine="420"/>
        <w:rPr>
          <w:color w:val="auto"/>
        </w:rPr>
      </w:pPr>
      <w:r>
        <w:rPr>
          <w:rFonts w:hint="eastAsia"/>
          <w:color w:val="auto"/>
        </w:rPr>
        <w:t>除专用术语外，合同使用的语言文字为中文。必要时专用术语应附有中文注释。</w:t>
      </w:r>
    </w:p>
    <w:p w14:paraId="77B018A0">
      <w:pPr>
        <w:pStyle w:val="101"/>
        <w:spacing w:before="0" w:after="0"/>
        <w:rPr>
          <w:rFonts w:ascii="宋体" w:hAnsi="宋体" w:cs="宋体"/>
          <w:color w:val="auto"/>
          <w:sz w:val="24"/>
          <w:szCs w:val="24"/>
          <w:lang w:eastAsia="zh-CN"/>
        </w:rPr>
      </w:pPr>
      <w:bookmarkStart w:id="100" w:name="_Toc23178"/>
      <w:bookmarkStart w:id="101" w:name="bookmark909"/>
      <w:bookmarkStart w:id="102" w:name="_Toc5439"/>
      <w:bookmarkStart w:id="103" w:name="_Toc2483"/>
      <w:bookmarkStart w:id="104" w:name="_Toc25038"/>
      <w:bookmarkStart w:id="105" w:name="_Toc7852"/>
      <w:bookmarkStart w:id="106" w:name="_Toc21128"/>
      <w:bookmarkStart w:id="107" w:name="_Toc24132"/>
      <w:bookmarkStart w:id="108" w:name="bookmark911"/>
      <w:bookmarkStart w:id="109" w:name="bookmark910"/>
      <w:r>
        <w:rPr>
          <w:rFonts w:hint="eastAsia" w:ascii="宋体" w:hAnsi="宋体" w:cs="宋体"/>
          <w:color w:val="auto"/>
          <w:sz w:val="24"/>
          <w:szCs w:val="24"/>
          <w:lang w:eastAsia="zh-CN"/>
        </w:rPr>
        <w:t>1.3法律</w:t>
      </w:r>
      <w:bookmarkEnd w:id="100"/>
      <w:bookmarkEnd w:id="101"/>
      <w:bookmarkEnd w:id="102"/>
      <w:bookmarkEnd w:id="103"/>
      <w:bookmarkEnd w:id="104"/>
      <w:bookmarkEnd w:id="105"/>
      <w:bookmarkEnd w:id="106"/>
      <w:bookmarkEnd w:id="107"/>
      <w:bookmarkEnd w:id="108"/>
      <w:bookmarkEnd w:id="109"/>
    </w:p>
    <w:p w14:paraId="4630DD1B">
      <w:pPr>
        <w:pStyle w:val="95"/>
        <w:spacing w:line="360" w:lineRule="exact"/>
        <w:ind w:firstLine="440"/>
        <w:jc w:val="both"/>
        <w:rPr>
          <w:color w:val="auto"/>
        </w:rPr>
      </w:pPr>
      <w:r>
        <w:rPr>
          <w:rFonts w:hint="eastAsia"/>
          <w:color w:val="auto"/>
        </w:rPr>
        <w:t>适用于合同的法律包括中华人民共和国法律、行政法规、部门规章，以及工程所在地的地方法规、自治条例、单行条例和地方政府规章。</w:t>
      </w:r>
    </w:p>
    <w:p w14:paraId="7A14A670">
      <w:pPr>
        <w:pStyle w:val="101"/>
        <w:spacing w:before="0" w:after="0"/>
        <w:rPr>
          <w:rFonts w:ascii="宋体" w:hAnsi="宋体" w:cs="宋体"/>
          <w:color w:val="auto"/>
          <w:sz w:val="24"/>
          <w:szCs w:val="24"/>
          <w:lang w:eastAsia="zh-CN"/>
        </w:rPr>
      </w:pPr>
      <w:bookmarkStart w:id="110" w:name="_Toc22610"/>
      <w:bookmarkStart w:id="111" w:name="_Toc15834"/>
      <w:bookmarkStart w:id="112" w:name="bookmark912"/>
      <w:bookmarkStart w:id="113" w:name="bookmark913"/>
      <w:bookmarkStart w:id="114" w:name="_Toc17089"/>
      <w:bookmarkStart w:id="115" w:name="_Toc32102"/>
      <w:bookmarkStart w:id="116" w:name="bookmark914"/>
      <w:bookmarkStart w:id="117" w:name="_Toc18881"/>
      <w:bookmarkStart w:id="118" w:name="_Toc7682"/>
      <w:bookmarkStart w:id="119" w:name="_Toc6674"/>
      <w:r>
        <w:rPr>
          <w:rFonts w:hint="eastAsia" w:ascii="宋体" w:hAnsi="宋体" w:cs="宋体"/>
          <w:color w:val="auto"/>
          <w:sz w:val="24"/>
          <w:szCs w:val="24"/>
          <w:lang w:eastAsia="zh-CN"/>
        </w:rPr>
        <w:t>1.4合同文件的优先顺序</w:t>
      </w:r>
      <w:bookmarkEnd w:id="110"/>
      <w:bookmarkEnd w:id="111"/>
      <w:bookmarkEnd w:id="112"/>
      <w:bookmarkEnd w:id="113"/>
      <w:bookmarkEnd w:id="114"/>
      <w:bookmarkEnd w:id="115"/>
      <w:bookmarkEnd w:id="116"/>
      <w:bookmarkEnd w:id="117"/>
      <w:bookmarkEnd w:id="118"/>
      <w:bookmarkEnd w:id="119"/>
    </w:p>
    <w:p w14:paraId="1E19DE79">
      <w:pPr>
        <w:pStyle w:val="95"/>
        <w:spacing w:line="360" w:lineRule="exact"/>
        <w:ind w:firstLine="440"/>
        <w:jc w:val="both"/>
        <w:rPr>
          <w:color w:val="auto"/>
        </w:rPr>
      </w:pPr>
      <w:r>
        <w:rPr>
          <w:rFonts w:hint="eastAsia"/>
          <w:color w:val="auto"/>
        </w:rPr>
        <w:t>组成合同的各项文件应互相解释，互为说明。除专用合同条款另有约定外，解释合同文件的优先顺序如下：</w:t>
      </w:r>
    </w:p>
    <w:p w14:paraId="683F9884">
      <w:pPr>
        <w:pStyle w:val="95"/>
        <w:numPr>
          <w:ilvl w:val="0"/>
          <w:numId w:val="5"/>
        </w:numPr>
        <w:tabs>
          <w:tab w:val="left" w:pos="923"/>
        </w:tabs>
        <w:spacing w:line="360" w:lineRule="exact"/>
        <w:ind w:firstLine="440"/>
        <w:jc w:val="both"/>
        <w:rPr>
          <w:color w:val="auto"/>
        </w:rPr>
      </w:pPr>
      <w:bookmarkStart w:id="120" w:name="bookmark915"/>
      <w:bookmarkEnd w:id="120"/>
      <w:r>
        <w:rPr>
          <w:rFonts w:hint="eastAsia"/>
          <w:color w:val="auto"/>
        </w:rPr>
        <w:t>合同协议书；</w:t>
      </w:r>
    </w:p>
    <w:p w14:paraId="4960B0C8">
      <w:pPr>
        <w:pStyle w:val="95"/>
        <w:numPr>
          <w:ilvl w:val="0"/>
          <w:numId w:val="5"/>
        </w:numPr>
        <w:tabs>
          <w:tab w:val="left" w:pos="923"/>
        </w:tabs>
        <w:spacing w:line="360" w:lineRule="exact"/>
        <w:ind w:firstLine="440"/>
        <w:jc w:val="both"/>
        <w:rPr>
          <w:color w:val="auto"/>
        </w:rPr>
      </w:pPr>
      <w:bookmarkStart w:id="121" w:name="bookmark916"/>
      <w:bookmarkEnd w:id="121"/>
      <w:r>
        <w:rPr>
          <w:rFonts w:hint="eastAsia"/>
          <w:color w:val="auto"/>
          <w:lang w:val="en-US"/>
        </w:rPr>
        <w:t>成交</w:t>
      </w:r>
      <w:r>
        <w:rPr>
          <w:rFonts w:hint="eastAsia"/>
          <w:color w:val="auto"/>
        </w:rPr>
        <w:t>通知书；</w:t>
      </w:r>
    </w:p>
    <w:p w14:paraId="1BAD8B77">
      <w:pPr>
        <w:pStyle w:val="95"/>
        <w:numPr>
          <w:ilvl w:val="0"/>
          <w:numId w:val="5"/>
        </w:numPr>
        <w:tabs>
          <w:tab w:val="left" w:pos="903"/>
        </w:tabs>
        <w:spacing w:line="360" w:lineRule="exact"/>
        <w:ind w:firstLine="420"/>
        <w:rPr>
          <w:color w:val="auto"/>
        </w:rPr>
      </w:pPr>
      <w:bookmarkStart w:id="122" w:name="bookmark917"/>
      <w:bookmarkEnd w:id="122"/>
      <w:r>
        <w:rPr>
          <w:rFonts w:hint="eastAsia"/>
          <w:color w:val="auto"/>
        </w:rPr>
        <w:t>投标函及投标函附录；</w:t>
      </w:r>
    </w:p>
    <w:p w14:paraId="19447907">
      <w:pPr>
        <w:pStyle w:val="95"/>
        <w:numPr>
          <w:ilvl w:val="0"/>
          <w:numId w:val="5"/>
        </w:numPr>
        <w:tabs>
          <w:tab w:val="left" w:pos="903"/>
        </w:tabs>
        <w:spacing w:line="360" w:lineRule="exact"/>
        <w:ind w:firstLine="420"/>
        <w:rPr>
          <w:color w:val="auto"/>
        </w:rPr>
      </w:pPr>
      <w:bookmarkStart w:id="123" w:name="bookmark918"/>
      <w:bookmarkEnd w:id="123"/>
      <w:r>
        <w:rPr>
          <w:rFonts w:hint="eastAsia"/>
          <w:color w:val="auto"/>
        </w:rPr>
        <w:t>专用合同条款；</w:t>
      </w:r>
    </w:p>
    <w:p w14:paraId="535E3985">
      <w:pPr>
        <w:pStyle w:val="95"/>
        <w:numPr>
          <w:ilvl w:val="0"/>
          <w:numId w:val="5"/>
        </w:numPr>
        <w:tabs>
          <w:tab w:val="left" w:pos="903"/>
        </w:tabs>
        <w:spacing w:line="360" w:lineRule="exact"/>
        <w:ind w:firstLine="420"/>
        <w:rPr>
          <w:color w:val="auto"/>
        </w:rPr>
      </w:pPr>
      <w:bookmarkStart w:id="124" w:name="bookmark919"/>
      <w:bookmarkEnd w:id="124"/>
      <w:r>
        <w:rPr>
          <w:rFonts w:hint="eastAsia"/>
          <w:color w:val="auto"/>
        </w:rPr>
        <w:t>通用合同条款；</w:t>
      </w:r>
    </w:p>
    <w:p w14:paraId="5ECEA876">
      <w:pPr>
        <w:pStyle w:val="95"/>
        <w:numPr>
          <w:ilvl w:val="0"/>
          <w:numId w:val="5"/>
        </w:numPr>
        <w:tabs>
          <w:tab w:val="left" w:pos="903"/>
        </w:tabs>
        <w:spacing w:line="360" w:lineRule="exact"/>
        <w:ind w:firstLine="420"/>
        <w:rPr>
          <w:color w:val="auto"/>
        </w:rPr>
      </w:pPr>
      <w:bookmarkStart w:id="125" w:name="bookmark920"/>
      <w:bookmarkEnd w:id="125"/>
      <w:r>
        <w:rPr>
          <w:rFonts w:hint="eastAsia"/>
          <w:color w:val="auto"/>
        </w:rPr>
        <w:t>技术标准和要求；</w:t>
      </w:r>
    </w:p>
    <w:p w14:paraId="7938DDAA">
      <w:pPr>
        <w:pStyle w:val="95"/>
        <w:numPr>
          <w:ilvl w:val="0"/>
          <w:numId w:val="5"/>
        </w:numPr>
        <w:tabs>
          <w:tab w:val="left" w:pos="903"/>
        </w:tabs>
        <w:spacing w:line="360" w:lineRule="exact"/>
        <w:ind w:firstLine="420"/>
        <w:jc w:val="both"/>
        <w:rPr>
          <w:color w:val="auto"/>
        </w:rPr>
      </w:pPr>
      <w:bookmarkStart w:id="126" w:name="bookmark921"/>
      <w:bookmarkEnd w:id="126"/>
      <w:r>
        <w:rPr>
          <w:rFonts w:hint="eastAsia"/>
          <w:color w:val="auto"/>
        </w:rPr>
        <w:t>图纸；</w:t>
      </w:r>
    </w:p>
    <w:p w14:paraId="27D4D820">
      <w:pPr>
        <w:pStyle w:val="95"/>
        <w:numPr>
          <w:ilvl w:val="0"/>
          <w:numId w:val="5"/>
        </w:numPr>
        <w:tabs>
          <w:tab w:val="left" w:pos="903"/>
        </w:tabs>
        <w:spacing w:line="360" w:lineRule="exact"/>
        <w:ind w:firstLine="420"/>
        <w:jc w:val="both"/>
        <w:rPr>
          <w:color w:val="auto"/>
        </w:rPr>
      </w:pPr>
      <w:bookmarkStart w:id="127" w:name="bookmark922"/>
      <w:bookmarkEnd w:id="127"/>
      <w:r>
        <w:rPr>
          <w:rFonts w:hint="eastAsia"/>
          <w:color w:val="auto"/>
        </w:rPr>
        <w:t>已标价工程量清单；</w:t>
      </w:r>
    </w:p>
    <w:p w14:paraId="4BEC8E11">
      <w:pPr>
        <w:pStyle w:val="95"/>
        <w:numPr>
          <w:ilvl w:val="0"/>
          <w:numId w:val="5"/>
        </w:numPr>
        <w:tabs>
          <w:tab w:val="left" w:pos="903"/>
        </w:tabs>
        <w:spacing w:line="360" w:lineRule="exact"/>
        <w:ind w:firstLine="420"/>
        <w:jc w:val="both"/>
        <w:rPr>
          <w:color w:val="auto"/>
        </w:rPr>
      </w:pPr>
      <w:bookmarkStart w:id="128" w:name="bookmark923"/>
      <w:bookmarkEnd w:id="128"/>
      <w:r>
        <w:rPr>
          <w:rFonts w:hint="eastAsia"/>
          <w:color w:val="auto"/>
        </w:rPr>
        <w:t>其他合同文件。</w:t>
      </w:r>
    </w:p>
    <w:p w14:paraId="2F11F2ED">
      <w:pPr>
        <w:pStyle w:val="101"/>
        <w:spacing w:before="0" w:after="0" w:line="360" w:lineRule="exact"/>
        <w:rPr>
          <w:rFonts w:ascii="宋体" w:hAnsi="宋体" w:cs="宋体"/>
          <w:color w:val="auto"/>
          <w:sz w:val="24"/>
          <w:szCs w:val="24"/>
          <w:lang w:eastAsia="zh-CN"/>
        </w:rPr>
      </w:pPr>
      <w:bookmarkStart w:id="129" w:name="_Toc2531"/>
      <w:bookmarkStart w:id="130" w:name="_Toc22840"/>
      <w:bookmarkStart w:id="131" w:name="_Toc14912"/>
      <w:bookmarkStart w:id="132" w:name="_Toc28151"/>
      <w:bookmarkStart w:id="133" w:name="bookmark924"/>
      <w:bookmarkStart w:id="134" w:name="_Toc11037"/>
      <w:bookmarkStart w:id="135" w:name="bookmark926"/>
      <w:bookmarkStart w:id="136" w:name="bookmark925"/>
      <w:bookmarkStart w:id="137" w:name="_Toc11200"/>
      <w:bookmarkStart w:id="138" w:name="_Toc30693"/>
      <w:r>
        <w:rPr>
          <w:rFonts w:hint="eastAsia" w:ascii="宋体" w:hAnsi="宋体" w:cs="宋体"/>
          <w:color w:val="auto"/>
          <w:sz w:val="24"/>
          <w:szCs w:val="24"/>
          <w:lang w:eastAsia="zh-CN"/>
        </w:rPr>
        <w:t>1.5合同协议书</w:t>
      </w:r>
      <w:bookmarkEnd w:id="129"/>
      <w:bookmarkEnd w:id="130"/>
      <w:bookmarkEnd w:id="131"/>
      <w:bookmarkEnd w:id="132"/>
      <w:bookmarkEnd w:id="133"/>
      <w:bookmarkEnd w:id="134"/>
      <w:bookmarkEnd w:id="135"/>
      <w:bookmarkEnd w:id="136"/>
      <w:bookmarkEnd w:id="137"/>
      <w:bookmarkEnd w:id="138"/>
    </w:p>
    <w:p w14:paraId="6B801D21">
      <w:pPr>
        <w:pStyle w:val="95"/>
        <w:spacing w:line="355" w:lineRule="exact"/>
        <w:ind w:firstLine="440"/>
        <w:jc w:val="both"/>
        <w:rPr>
          <w:color w:val="auto"/>
        </w:rPr>
      </w:pPr>
      <w:r>
        <w:rPr>
          <w:rFonts w:hint="eastAsia"/>
          <w:color w:val="auto"/>
        </w:rPr>
        <w:t>承包人按中标通知书规定的时间与发包人签订合同协议书。除法律另有规定或合同另有约定外，发包人和承包人的法定代表人或其委托代理人在合同协议书上签字并盖单位电子公章后，合同生效。</w:t>
      </w:r>
    </w:p>
    <w:p w14:paraId="055589B9">
      <w:pPr>
        <w:pStyle w:val="101"/>
        <w:spacing w:before="0" w:after="0" w:line="360" w:lineRule="exact"/>
        <w:rPr>
          <w:rFonts w:ascii="宋体" w:hAnsi="宋体" w:cs="宋体"/>
          <w:color w:val="auto"/>
          <w:sz w:val="24"/>
          <w:szCs w:val="24"/>
          <w:lang w:eastAsia="zh-CN"/>
        </w:rPr>
      </w:pPr>
      <w:bookmarkStart w:id="139" w:name="_Toc17299"/>
      <w:bookmarkStart w:id="140" w:name="_Toc10434"/>
      <w:bookmarkStart w:id="141" w:name="_Toc30421"/>
      <w:bookmarkStart w:id="142" w:name="bookmark928"/>
      <w:bookmarkStart w:id="143" w:name="_Toc19448"/>
      <w:bookmarkStart w:id="144" w:name="_Toc3518"/>
      <w:bookmarkStart w:id="145" w:name="_Toc15219"/>
      <w:bookmarkStart w:id="146" w:name="bookmark929"/>
      <w:bookmarkStart w:id="147" w:name="bookmark927"/>
      <w:bookmarkStart w:id="148" w:name="_Toc14160"/>
      <w:r>
        <w:rPr>
          <w:rFonts w:hint="eastAsia" w:ascii="宋体" w:hAnsi="宋体" w:cs="宋体"/>
          <w:color w:val="auto"/>
          <w:sz w:val="24"/>
          <w:szCs w:val="24"/>
          <w:lang w:eastAsia="zh-CN"/>
        </w:rPr>
        <w:t>1.6图纸和承包人文件</w:t>
      </w:r>
      <w:bookmarkEnd w:id="139"/>
      <w:bookmarkEnd w:id="140"/>
      <w:bookmarkEnd w:id="141"/>
      <w:bookmarkEnd w:id="142"/>
      <w:bookmarkEnd w:id="143"/>
      <w:bookmarkEnd w:id="144"/>
      <w:bookmarkEnd w:id="145"/>
      <w:bookmarkEnd w:id="146"/>
      <w:bookmarkEnd w:id="147"/>
      <w:bookmarkEnd w:id="148"/>
    </w:p>
    <w:p w14:paraId="7D54920F">
      <w:pPr>
        <w:pStyle w:val="95"/>
        <w:spacing w:line="360" w:lineRule="exact"/>
        <w:ind w:firstLine="420"/>
        <w:rPr>
          <w:color w:val="auto"/>
        </w:rPr>
      </w:pPr>
      <w:r>
        <w:rPr>
          <w:rFonts w:hint="eastAsia"/>
          <w:color w:val="auto"/>
          <w:lang w:val="en-US" w:bidi="en-US"/>
        </w:rPr>
        <w:t>1.6.1</w:t>
      </w:r>
      <w:r>
        <w:rPr>
          <w:rFonts w:hint="eastAsia"/>
          <w:color w:val="auto"/>
        </w:rPr>
        <w:t>图纸的提供</w:t>
      </w:r>
    </w:p>
    <w:p w14:paraId="7EB50BFE">
      <w:pPr>
        <w:pStyle w:val="95"/>
        <w:spacing w:line="360" w:lineRule="exact"/>
        <w:ind w:firstLine="420"/>
        <w:jc w:val="both"/>
        <w:rPr>
          <w:color w:val="auto"/>
        </w:rPr>
      </w:pPr>
      <w:r>
        <w:rPr>
          <w:rFonts w:hint="eastAsia"/>
          <w:color w:val="auto"/>
        </w:rPr>
        <w:t>发包人应按技术标准和要求(合同技术条款)约定的期限和数量将施工图纸以及其它图纸（包括配套说明和有关资料）提供给承包人。由于发包人未按时提供图纸造成工期延误的，按第</w:t>
      </w:r>
      <w:r>
        <w:rPr>
          <w:rFonts w:hint="eastAsia"/>
          <w:color w:val="auto"/>
          <w:lang w:val="en-US" w:bidi="en-US"/>
        </w:rPr>
        <w:t xml:space="preserve">11. </w:t>
      </w:r>
      <w:r>
        <w:rPr>
          <w:rFonts w:hint="eastAsia"/>
          <w:color w:val="auto"/>
        </w:rPr>
        <w:t>3款的约定办理。</w:t>
      </w:r>
    </w:p>
    <w:p w14:paraId="39030848">
      <w:pPr>
        <w:pStyle w:val="95"/>
        <w:spacing w:line="360" w:lineRule="exact"/>
        <w:ind w:firstLine="420"/>
        <w:rPr>
          <w:color w:val="auto"/>
        </w:rPr>
      </w:pPr>
      <w:r>
        <w:rPr>
          <w:rFonts w:hint="eastAsia"/>
          <w:color w:val="auto"/>
          <w:lang w:val="en-US"/>
        </w:rPr>
        <w:t>1.6.</w:t>
      </w:r>
      <w:r>
        <w:rPr>
          <w:rFonts w:hint="eastAsia"/>
          <w:color w:val="auto"/>
        </w:rPr>
        <w:t>2承包人提供的文件</w:t>
      </w:r>
    </w:p>
    <w:p w14:paraId="53292FF8">
      <w:pPr>
        <w:pStyle w:val="95"/>
        <w:spacing w:line="360" w:lineRule="exact"/>
        <w:ind w:firstLine="440"/>
        <w:jc w:val="both"/>
        <w:rPr>
          <w:color w:val="auto"/>
        </w:rPr>
      </w:pPr>
      <w:r>
        <w:rPr>
          <w:rFonts w:hint="eastAsia"/>
          <w:color w:val="auto"/>
        </w:rPr>
        <w:t>承包人提供的文件应按技术标准和要求（合同技术条款）约定的期限和数量提供给监理人。监理人应按技术标准和要求（合同技术条款）约定的期限批复承包人。</w:t>
      </w:r>
    </w:p>
    <w:p w14:paraId="73708B22">
      <w:pPr>
        <w:pStyle w:val="95"/>
        <w:spacing w:line="360" w:lineRule="exact"/>
        <w:ind w:firstLine="420"/>
        <w:rPr>
          <w:color w:val="auto"/>
        </w:rPr>
      </w:pPr>
      <w:r>
        <w:rPr>
          <w:rFonts w:hint="eastAsia"/>
          <w:color w:val="auto"/>
          <w:lang w:val="en-US"/>
        </w:rPr>
        <w:t>1.6.3</w:t>
      </w:r>
      <w:r>
        <w:rPr>
          <w:rFonts w:hint="eastAsia"/>
          <w:color w:val="auto"/>
        </w:rPr>
        <w:t>图纸的修改</w:t>
      </w:r>
    </w:p>
    <w:p w14:paraId="7659EEA5">
      <w:pPr>
        <w:pStyle w:val="95"/>
        <w:spacing w:line="360" w:lineRule="exact"/>
        <w:ind w:firstLine="440"/>
        <w:jc w:val="both"/>
        <w:rPr>
          <w:color w:val="auto"/>
        </w:rPr>
      </w:pPr>
      <w:r>
        <w:rPr>
          <w:rFonts w:hint="eastAsia"/>
          <w:color w:va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4B88EA98">
      <w:pPr>
        <w:pStyle w:val="95"/>
        <w:spacing w:line="360" w:lineRule="exact"/>
        <w:ind w:firstLine="420"/>
        <w:rPr>
          <w:color w:val="auto"/>
        </w:rPr>
      </w:pPr>
      <w:r>
        <w:rPr>
          <w:rFonts w:hint="eastAsia"/>
          <w:color w:val="auto"/>
          <w:lang w:val="en-US"/>
        </w:rPr>
        <w:t>1.6.4</w:t>
      </w:r>
      <w:r>
        <w:rPr>
          <w:rFonts w:hint="eastAsia"/>
          <w:color w:val="auto"/>
        </w:rPr>
        <w:t>图纸的错误</w:t>
      </w:r>
    </w:p>
    <w:p w14:paraId="39456795">
      <w:pPr>
        <w:pStyle w:val="95"/>
        <w:spacing w:line="360" w:lineRule="exact"/>
        <w:ind w:firstLine="440"/>
        <w:jc w:val="both"/>
        <w:rPr>
          <w:color w:val="auto"/>
        </w:rPr>
      </w:pPr>
      <w:r>
        <w:rPr>
          <w:rFonts w:hint="eastAsia"/>
          <w:color w:val="auto"/>
        </w:rPr>
        <w:t>承包人发现发包人提供的图纸存在明显错误或疏忽，应及时通知监理人。</w:t>
      </w:r>
    </w:p>
    <w:p w14:paraId="15F67DF8">
      <w:pPr>
        <w:pStyle w:val="95"/>
        <w:spacing w:line="360" w:lineRule="exact"/>
        <w:ind w:firstLine="420"/>
        <w:rPr>
          <w:color w:val="auto"/>
        </w:rPr>
      </w:pPr>
      <w:r>
        <w:rPr>
          <w:rFonts w:hint="eastAsia"/>
          <w:color w:val="auto"/>
          <w:lang w:val="en-US"/>
        </w:rPr>
        <w:t>1.6.5</w:t>
      </w:r>
      <w:r>
        <w:rPr>
          <w:rFonts w:hint="eastAsia"/>
          <w:color w:val="auto"/>
        </w:rPr>
        <w:t>图纸和承包人文件的保管</w:t>
      </w:r>
    </w:p>
    <w:p w14:paraId="72837E07">
      <w:pPr>
        <w:pStyle w:val="95"/>
        <w:spacing w:line="360" w:lineRule="exact"/>
        <w:ind w:firstLine="440"/>
        <w:jc w:val="both"/>
        <w:rPr>
          <w:color w:val="auto"/>
        </w:rPr>
      </w:pPr>
      <w:r>
        <w:rPr>
          <w:rFonts w:hint="eastAsia"/>
          <w:color w:val="auto"/>
        </w:rPr>
        <w:t>监理人和承包人均应在施工场地各保存一套完整的包含第</w:t>
      </w:r>
      <w:r>
        <w:rPr>
          <w:rFonts w:hint="eastAsia"/>
          <w:color w:val="auto"/>
          <w:lang w:val="en-US" w:bidi="en-US"/>
        </w:rPr>
        <w:t xml:space="preserve">1. 6. </w:t>
      </w:r>
      <w:r>
        <w:rPr>
          <w:rFonts w:hint="eastAsia"/>
          <w:color w:val="auto"/>
        </w:rPr>
        <w:t>1项、第</w:t>
      </w:r>
      <w:r>
        <w:rPr>
          <w:rFonts w:hint="eastAsia"/>
          <w:color w:val="auto"/>
          <w:lang w:val="en-US" w:bidi="en-US"/>
        </w:rPr>
        <w:t>1.6.2</w:t>
      </w:r>
      <w:r>
        <w:rPr>
          <w:rFonts w:hint="eastAsia"/>
          <w:color w:val="auto"/>
        </w:rPr>
        <w:t xml:space="preserve">项、第 </w:t>
      </w:r>
      <w:r>
        <w:rPr>
          <w:rFonts w:hint="eastAsia"/>
          <w:color w:val="auto"/>
          <w:lang w:val="en-US" w:bidi="en-US"/>
        </w:rPr>
        <w:t xml:space="preserve">1.6. </w:t>
      </w:r>
      <w:r>
        <w:rPr>
          <w:rFonts w:hint="eastAsia"/>
          <w:color w:val="auto"/>
        </w:rPr>
        <w:t>3项约定内容的图纸和承包人文件。</w:t>
      </w:r>
    </w:p>
    <w:p w14:paraId="399D47BE">
      <w:pPr>
        <w:pStyle w:val="101"/>
        <w:spacing w:before="0" w:after="0" w:line="360" w:lineRule="exact"/>
        <w:rPr>
          <w:rFonts w:ascii="宋体" w:hAnsi="宋体" w:cs="宋体"/>
          <w:color w:val="auto"/>
          <w:sz w:val="24"/>
          <w:szCs w:val="24"/>
          <w:lang w:eastAsia="zh-CN"/>
        </w:rPr>
      </w:pPr>
      <w:bookmarkStart w:id="149" w:name="bookmark930"/>
      <w:bookmarkStart w:id="150" w:name="_Toc18431"/>
      <w:bookmarkStart w:id="151" w:name="bookmark932"/>
      <w:bookmarkStart w:id="152" w:name="bookmark931"/>
      <w:bookmarkStart w:id="153" w:name="_Toc4639"/>
      <w:bookmarkStart w:id="154" w:name="_Toc9652"/>
      <w:bookmarkStart w:id="155" w:name="_Toc7541"/>
      <w:bookmarkStart w:id="156" w:name="_Toc23868"/>
      <w:bookmarkStart w:id="157" w:name="_Toc69"/>
      <w:bookmarkStart w:id="158" w:name="_Toc28325"/>
      <w:r>
        <w:rPr>
          <w:rFonts w:hint="eastAsia" w:ascii="宋体" w:hAnsi="宋体" w:cs="宋体"/>
          <w:color w:val="auto"/>
          <w:sz w:val="24"/>
          <w:szCs w:val="24"/>
          <w:lang w:eastAsia="zh-CN"/>
        </w:rPr>
        <w:t>1.7联络</w:t>
      </w:r>
      <w:bookmarkEnd w:id="149"/>
      <w:bookmarkEnd w:id="150"/>
      <w:bookmarkEnd w:id="151"/>
      <w:bookmarkEnd w:id="152"/>
      <w:bookmarkEnd w:id="153"/>
      <w:bookmarkEnd w:id="154"/>
      <w:bookmarkEnd w:id="155"/>
      <w:bookmarkEnd w:id="156"/>
      <w:bookmarkEnd w:id="157"/>
      <w:bookmarkEnd w:id="158"/>
    </w:p>
    <w:p w14:paraId="1BEF1577">
      <w:pPr>
        <w:pStyle w:val="95"/>
        <w:spacing w:line="386" w:lineRule="exact"/>
        <w:ind w:firstLine="440"/>
        <w:jc w:val="both"/>
        <w:rPr>
          <w:color w:val="auto"/>
        </w:rPr>
      </w:pPr>
      <w:r>
        <w:rPr>
          <w:rFonts w:hint="eastAsia"/>
          <w:color w:val="auto"/>
          <w:lang w:val="en-US" w:bidi="en-US"/>
        </w:rPr>
        <w:t>1.7.1</w:t>
      </w:r>
      <w:r>
        <w:rPr>
          <w:rFonts w:hint="eastAsia"/>
          <w:color w:val="auto"/>
        </w:rPr>
        <w:t>与合同有关的通知、批准、证明、证书、指示、要求、请求、同意、意见、确 定和决定等，均应采用书面形式。</w:t>
      </w:r>
    </w:p>
    <w:p w14:paraId="322C2310">
      <w:pPr>
        <w:pStyle w:val="95"/>
        <w:spacing w:line="370" w:lineRule="exact"/>
        <w:ind w:firstLine="440"/>
        <w:jc w:val="both"/>
        <w:rPr>
          <w:color w:val="auto"/>
        </w:rPr>
      </w:pPr>
      <w:r>
        <w:rPr>
          <w:rFonts w:hint="eastAsia"/>
          <w:color w:val="auto"/>
          <w:lang w:val="en-US" w:bidi="en-US"/>
        </w:rPr>
        <w:t>1.7.2</w:t>
      </w:r>
      <w:r>
        <w:rPr>
          <w:rFonts w:hint="eastAsia"/>
          <w:color w:val="auto"/>
        </w:rPr>
        <w:t>第</w:t>
      </w:r>
      <w:r>
        <w:rPr>
          <w:rFonts w:hint="eastAsia"/>
          <w:color w:val="auto"/>
          <w:lang w:val="en-US" w:bidi="en-US"/>
        </w:rPr>
        <w:t>1.7.1</w:t>
      </w:r>
      <w:r>
        <w:rPr>
          <w:rFonts w:hint="eastAsia"/>
          <w:color w:val="auto"/>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10BB681">
      <w:pPr>
        <w:pStyle w:val="95"/>
        <w:spacing w:line="367" w:lineRule="exact"/>
        <w:ind w:firstLine="440"/>
        <w:jc w:val="both"/>
        <w:rPr>
          <w:color w:val="auto"/>
        </w:rPr>
      </w:pPr>
      <w:r>
        <w:rPr>
          <w:rFonts w:hint="eastAsia"/>
          <w:color w:val="auto"/>
          <w:lang w:val="en-US" w:bidi="en-US"/>
        </w:rPr>
        <w:t>1.7.3</w:t>
      </w:r>
      <w:r>
        <w:rPr>
          <w:rFonts w:hint="eastAsia"/>
          <w:color w:val="auto"/>
        </w:rPr>
        <w:t>来往函件均应按合同约定的期限及时发出和答复，不得无故扣压和拖延，亦不得拒收。否则，由此造成的后果由责任方负责。</w:t>
      </w:r>
    </w:p>
    <w:p w14:paraId="1B3D0503">
      <w:pPr>
        <w:pStyle w:val="101"/>
        <w:spacing w:before="0" w:after="0" w:line="360" w:lineRule="exact"/>
        <w:rPr>
          <w:rFonts w:ascii="宋体" w:hAnsi="宋体" w:cs="宋体"/>
          <w:color w:val="auto"/>
          <w:sz w:val="24"/>
          <w:szCs w:val="24"/>
          <w:lang w:eastAsia="zh-CN"/>
        </w:rPr>
      </w:pPr>
      <w:bookmarkStart w:id="159" w:name="_Toc15551"/>
      <w:bookmarkStart w:id="160" w:name="_Toc6502"/>
      <w:bookmarkStart w:id="161" w:name="bookmark935"/>
      <w:bookmarkStart w:id="162" w:name="_Toc31757"/>
      <w:bookmarkStart w:id="163" w:name="_Toc14849"/>
      <w:bookmarkStart w:id="164" w:name="bookmark934"/>
      <w:bookmarkStart w:id="165" w:name="_Toc26447"/>
      <w:bookmarkStart w:id="166" w:name="bookmark933"/>
      <w:bookmarkStart w:id="167" w:name="_Toc11450"/>
      <w:bookmarkStart w:id="168" w:name="_Toc19396"/>
      <w:r>
        <w:rPr>
          <w:rFonts w:hint="eastAsia" w:ascii="宋体" w:hAnsi="宋体" w:cs="宋体"/>
          <w:color w:val="auto"/>
          <w:sz w:val="24"/>
          <w:szCs w:val="24"/>
          <w:lang w:eastAsia="zh-CN"/>
        </w:rPr>
        <w:t>1.8转让</w:t>
      </w:r>
      <w:bookmarkEnd w:id="159"/>
      <w:bookmarkEnd w:id="160"/>
      <w:bookmarkEnd w:id="161"/>
      <w:bookmarkEnd w:id="162"/>
      <w:bookmarkEnd w:id="163"/>
      <w:bookmarkEnd w:id="164"/>
      <w:bookmarkEnd w:id="165"/>
      <w:bookmarkEnd w:id="166"/>
      <w:bookmarkEnd w:id="167"/>
      <w:bookmarkEnd w:id="168"/>
    </w:p>
    <w:p w14:paraId="5479E07C">
      <w:pPr>
        <w:pStyle w:val="95"/>
        <w:spacing w:line="358" w:lineRule="exact"/>
        <w:ind w:firstLine="440"/>
        <w:jc w:val="both"/>
        <w:rPr>
          <w:color w:val="auto"/>
        </w:rPr>
      </w:pPr>
      <w:r>
        <w:rPr>
          <w:rFonts w:hint="eastAsia"/>
          <w:color w:val="auto"/>
        </w:rPr>
        <w:t>除合同另有约定外，未经对方当事人同意，一方当事人不得将合同权利全部或部分转让给第三人，也不得全部或部分转移合同义务。</w:t>
      </w:r>
    </w:p>
    <w:p w14:paraId="43FEFF25">
      <w:pPr>
        <w:pStyle w:val="101"/>
        <w:spacing w:before="0" w:after="0" w:line="360" w:lineRule="exact"/>
        <w:rPr>
          <w:rFonts w:ascii="宋体" w:hAnsi="宋体" w:cs="宋体"/>
          <w:color w:val="auto"/>
          <w:sz w:val="24"/>
          <w:szCs w:val="24"/>
          <w:lang w:eastAsia="zh-CN"/>
        </w:rPr>
      </w:pPr>
      <w:bookmarkStart w:id="169" w:name="bookmark938"/>
      <w:bookmarkStart w:id="170" w:name="_Toc10293"/>
      <w:bookmarkStart w:id="171" w:name="_Toc25870"/>
      <w:bookmarkStart w:id="172" w:name="bookmark937"/>
      <w:bookmarkStart w:id="173" w:name="bookmark936"/>
      <w:bookmarkStart w:id="174" w:name="_Toc4066"/>
      <w:bookmarkStart w:id="175" w:name="_Toc26434"/>
      <w:bookmarkStart w:id="176" w:name="_Toc25110"/>
      <w:bookmarkStart w:id="177" w:name="_Toc28520"/>
      <w:bookmarkStart w:id="178" w:name="_Toc24229"/>
      <w:r>
        <w:rPr>
          <w:rFonts w:hint="eastAsia" w:ascii="宋体" w:hAnsi="宋体" w:cs="宋体"/>
          <w:color w:val="auto"/>
          <w:sz w:val="24"/>
          <w:szCs w:val="24"/>
          <w:lang w:eastAsia="zh-CN"/>
        </w:rPr>
        <w:t>1.9严禁贿赂</w:t>
      </w:r>
      <w:bookmarkEnd w:id="169"/>
      <w:bookmarkEnd w:id="170"/>
      <w:bookmarkEnd w:id="171"/>
      <w:bookmarkEnd w:id="172"/>
      <w:bookmarkEnd w:id="173"/>
      <w:bookmarkEnd w:id="174"/>
      <w:bookmarkEnd w:id="175"/>
      <w:bookmarkEnd w:id="176"/>
      <w:bookmarkEnd w:id="177"/>
      <w:bookmarkEnd w:id="178"/>
    </w:p>
    <w:p w14:paraId="7E39B386">
      <w:pPr>
        <w:pStyle w:val="95"/>
        <w:spacing w:line="367" w:lineRule="exact"/>
        <w:ind w:firstLine="440"/>
        <w:jc w:val="both"/>
        <w:rPr>
          <w:color w:val="auto"/>
        </w:rPr>
      </w:pPr>
      <w:r>
        <w:rPr>
          <w:rFonts w:hint="eastAsia"/>
          <w:color w:val="auto"/>
        </w:rPr>
        <w:t>合同双方当事人不得以贿赂或变相贿赂的方式，谋取不当利益或损害对方权益。因贿赂造成对方损失的，行为人应赔偿损失，并承担相应的法律责任。</w:t>
      </w:r>
    </w:p>
    <w:p w14:paraId="00473132">
      <w:pPr>
        <w:pStyle w:val="101"/>
        <w:spacing w:before="0" w:after="0" w:line="360" w:lineRule="exact"/>
        <w:rPr>
          <w:rFonts w:ascii="宋体" w:hAnsi="宋体" w:cs="宋体"/>
          <w:color w:val="auto"/>
          <w:sz w:val="24"/>
          <w:szCs w:val="24"/>
          <w:lang w:eastAsia="zh-CN"/>
        </w:rPr>
      </w:pPr>
      <w:bookmarkStart w:id="179" w:name="bookmark941"/>
      <w:bookmarkStart w:id="180" w:name="_Toc27697"/>
      <w:bookmarkStart w:id="181" w:name="_Toc23874"/>
      <w:bookmarkStart w:id="182" w:name="_Toc26377"/>
      <w:bookmarkStart w:id="183" w:name="_Toc29164"/>
      <w:bookmarkStart w:id="184" w:name="_Toc21839"/>
      <w:bookmarkStart w:id="185" w:name="_Toc32649"/>
      <w:bookmarkStart w:id="186" w:name="bookmark939"/>
      <w:bookmarkStart w:id="187" w:name="bookmark940"/>
      <w:bookmarkStart w:id="188" w:name="_Toc18518"/>
      <w:r>
        <w:rPr>
          <w:rFonts w:hint="eastAsia" w:ascii="宋体" w:hAnsi="宋体" w:cs="宋体"/>
          <w:color w:val="auto"/>
          <w:sz w:val="24"/>
          <w:szCs w:val="24"/>
          <w:lang w:eastAsia="zh-CN"/>
        </w:rPr>
        <w:t>1.10化石、文物</w:t>
      </w:r>
      <w:bookmarkEnd w:id="179"/>
      <w:bookmarkEnd w:id="180"/>
      <w:bookmarkEnd w:id="181"/>
      <w:bookmarkEnd w:id="182"/>
      <w:bookmarkEnd w:id="183"/>
      <w:bookmarkEnd w:id="184"/>
      <w:bookmarkEnd w:id="185"/>
      <w:bookmarkEnd w:id="186"/>
      <w:bookmarkEnd w:id="187"/>
      <w:bookmarkEnd w:id="188"/>
    </w:p>
    <w:p w14:paraId="626FFFE5">
      <w:pPr>
        <w:pStyle w:val="95"/>
        <w:spacing w:line="362" w:lineRule="exact"/>
        <w:ind w:firstLine="440"/>
        <w:jc w:val="both"/>
        <w:rPr>
          <w:color w:val="auto"/>
        </w:rPr>
      </w:pPr>
      <w:r>
        <w:rPr>
          <w:rFonts w:hint="eastAsia"/>
          <w:color w:val="auto"/>
          <w:lang w:val="en-US" w:bidi="en-US"/>
        </w:rPr>
        <w:t>1.10.</w:t>
      </w:r>
      <w:r>
        <w:rPr>
          <w:rFonts w:hint="eastAsia"/>
          <w:color w:val="auto"/>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059692CF">
      <w:pPr>
        <w:pStyle w:val="95"/>
        <w:spacing w:line="362" w:lineRule="exact"/>
        <w:ind w:firstLine="440"/>
        <w:jc w:val="both"/>
        <w:rPr>
          <w:color w:val="auto"/>
        </w:rPr>
      </w:pPr>
      <w:r>
        <w:rPr>
          <w:rFonts w:hint="eastAsia"/>
          <w:color w:val="auto"/>
          <w:lang w:val="en-US" w:bidi="en-US"/>
        </w:rPr>
        <w:t>1.10.</w:t>
      </w:r>
      <w:r>
        <w:rPr>
          <w:rFonts w:hint="eastAsia"/>
          <w:color w:val="auto"/>
        </w:rPr>
        <w:t>2承包人发现文物后不及时报告或隐瞒不报，致使文物丢失或损坏的，应赔偿损失，并承担相应的法律责任。</w:t>
      </w:r>
    </w:p>
    <w:p w14:paraId="0D218AF5">
      <w:pPr>
        <w:pStyle w:val="101"/>
        <w:spacing w:before="0" w:after="0" w:line="360" w:lineRule="exact"/>
        <w:rPr>
          <w:rFonts w:ascii="宋体" w:hAnsi="宋体" w:cs="宋体"/>
          <w:color w:val="auto"/>
          <w:sz w:val="24"/>
          <w:szCs w:val="24"/>
          <w:lang w:eastAsia="zh-CN"/>
        </w:rPr>
      </w:pPr>
      <w:bookmarkStart w:id="189" w:name="_Toc29048"/>
      <w:bookmarkStart w:id="190" w:name="_Toc3381"/>
      <w:bookmarkStart w:id="191" w:name="_Toc6650"/>
      <w:bookmarkStart w:id="192" w:name="_Toc5616"/>
      <w:bookmarkStart w:id="193" w:name="bookmark944"/>
      <w:bookmarkStart w:id="194" w:name="_Toc8461"/>
      <w:bookmarkStart w:id="195" w:name="bookmark943"/>
      <w:bookmarkStart w:id="196" w:name="bookmark942"/>
      <w:bookmarkStart w:id="197" w:name="_Toc12830"/>
      <w:bookmarkStart w:id="198" w:name="_Toc13421"/>
      <w:r>
        <w:rPr>
          <w:rFonts w:hint="eastAsia" w:ascii="宋体" w:hAnsi="宋体" w:cs="宋体"/>
          <w:color w:val="auto"/>
          <w:sz w:val="24"/>
          <w:szCs w:val="24"/>
          <w:lang w:eastAsia="zh-CN"/>
        </w:rPr>
        <w:t>1.11专利技术</w:t>
      </w:r>
      <w:bookmarkEnd w:id="189"/>
      <w:bookmarkEnd w:id="190"/>
      <w:bookmarkEnd w:id="191"/>
      <w:bookmarkEnd w:id="192"/>
      <w:bookmarkEnd w:id="193"/>
      <w:bookmarkEnd w:id="194"/>
      <w:bookmarkEnd w:id="195"/>
      <w:bookmarkEnd w:id="196"/>
      <w:bookmarkEnd w:id="197"/>
      <w:bookmarkEnd w:id="198"/>
    </w:p>
    <w:p w14:paraId="59C95AF8">
      <w:pPr>
        <w:pStyle w:val="95"/>
        <w:spacing w:line="360" w:lineRule="exact"/>
        <w:ind w:firstLine="440"/>
        <w:jc w:val="both"/>
        <w:rPr>
          <w:color w:val="auto"/>
        </w:rPr>
      </w:pPr>
      <w:r>
        <w:rPr>
          <w:rFonts w:hint="eastAsia"/>
          <w:color w:val="auto"/>
          <w:lang w:val="en-US" w:bidi="en-US"/>
        </w:rPr>
        <w:t>1.11.1</w:t>
      </w:r>
      <w:r>
        <w:rPr>
          <w:rFonts w:hint="eastAsia"/>
          <w:color w:val="auto"/>
        </w:rPr>
        <w:t>承包人在使用任何材料、承包人设备、工程设备或采用施工工艺时，因侵犯专利权或其他知识产权所引起的责任，由承包人承担，但由于遵照发包人提供的设计或技术标准和要求引起的除外。</w:t>
      </w:r>
    </w:p>
    <w:p w14:paraId="60C5824D">
      <w:pPr>
        <w:pStyle w:val="95"/>
        <w:spacing w:line="360" w:lineRule="exact"/>
        <w:ind w:firstLine="420"/>
        <w:rPr>
          <w:color w:val="auto"/>
        </w:rPr>
      </w:pPr>
      <w:r>
        <w:rPr>
          <w:rFonts w:hint="eastAsia"/>
          <w:color w:val="auto"/>
          <w:lang w:val="en-US" w:bidi="en-US"/>
        </w:rPr>
        <w:t>1.11.2</w:t>
      </w:r>
      <w:r>
        <w:rPr>
          <w:rFonts w:hint="eastAsia"/>
          <w:color w:val="auto"/>
        </w:rPr>
        <w:t>承包人在投标文件中采用专利技术的，专利技术的使用费包含在投标报价内。</w:t>
      </w:r>
    </w:p>
    <w:p w14:paraId="176C914F">
      <w:pPr>
        <w:pStyle w:val="95"/>
        <w:spacing w:line="360" w:lineRule="exact"/>
        <w:ind w:firstLine="440"/>
        <w:jc w:val="both"/>
        <w:rPr>
          <w:color w:val="auto"/>
        </w:rPr>
      </w:pPr>
      <w:r>
        <w:rPr>
          <w:rFonts w:hint="eastAsia"/>
          <w:color w:val="auto"/>
          <w:lang w:val="en-US" w:bidi="en-US"/>
        </w:rPr>
        <w:t>1.11.3</w:t>
      </w:r>
      <w:r>
        <w:rPr>
          <w:rFonts w:hint="eastAsia"/>
          <w:color w:val="auto"/>
        </w:rPr>
        <w:t>承包人的技术秘密和声明需要保密的资料和信息，发包人和监理人不得为合同以外的目的泄露给他人。</w:t>
      </w:r>
    </w:p>
    <w:p w14:paraId="31994E5A">
      <w:pPr>
        <w:pStyle w:val="95"/>
        <w:spacing w:line="360" w:lineRule="exact"/>
        <w:ind w:firstLine="440"/>
        <w:jc w:val="both"/>
        <w:rPr>
          <w:color w:val="auto"/>
        </w:rPr>
      </w:pPr>
      <w:r>
        <w:rPr>
          <w:rFonts w:hint="eastAsia"/>
          <w:color w:val="auto"/>
          <w:lang w:val="en-US" w:bidi="en-US"/>
        </w:rPr>
        <w:t>1.11.4</w:t>
      </w:r>
      <w:r>
        <w:rPr>
          <w:rFonts w:hint="eastAsia"/>
          <w:color w:val="auto"/>
        </w:rPr>
        <w:t>合同实施过程中，发包人要求承包人采用专利技术的，发包人应办理相应的使用手续，承包人应按发包人约定的条件使用，并承担使用专利技术的相关试验工作。所需的费用由发包人承担。</w:t>
      </w:r>
    </w:p>
    <w:p w14:paraId="10661CDF">
      <w:pPr>
        <w:pStyle w:val="101"/>
        <w:spacing w:before="0" w:after="0" w:line="360" w:lineRule="exact"/>
        <w:rPr>
          <w:rFonts w:ascii="宋体" w:hAnsi="宋体" w:cs="宋体"/>
          <w:color w:val="auto"/>
          <w:sz w:val="24"/>
          <w:szCs w:val="24"/>
          <w:lang w:eastAsia="zh-CN"/>
        </w:rPr>
      </w:pPr>
      <w:bookmarkStart w:id="199" w:name="_Toc30069"/>
      <w:bookmarkStart w:id="200" w:name="bookmark946"/>
      <w:bookmarkStart w:id="201" w:name="bookmark945"/>
      <w:bookmarkStart w:id="202" w:name="bookmark947"/>
      <w:bookmarkStart w:id="203" w:name="_Toc29021"/>
      <w:bookmarkStart w:id="204" w:name="_Toc30991"/>
      <w:bookmarkStart w:id="205" w:name="_Toc3009"/>
      <w:bookmarkStart w:id="206" w:name="_Toc7052"/>
      <w:bookmarkStart w:id="207" w:name="_Toc14918"/>
      <w:bookmarkStart w:id="208" w:name="_Toc21439"/>
      <w:r>
        <w:rPr>
          <w:rFonts w:hint="eastAsia" w:ascii="宋体" w:hAnsi="宋体" w:cs="宋体"/>
          <w:color w:val="auto"/>
          <w:sz w:val="24"/>
          <w:szCs w:val="24"/>
          <w:lang w:eastAsia="zh-CN"/>
        </w:rPr>
        <w:t>1.12图纸和文件的保密</w:t>
      </w:r>
      <w:bookmarkEnd w:id="199"/>
      <w:bookmarkEnd w:id="200"/>
      <w:bookmarkEnd w:id="201"/>
      <w:bookmarkEnd w:id="202"/>
      <w:bookmarkEnd w:id="203"/>
      <w:bookmarkEnd w:id="204"/>
      <w:bookmarkEnd w:id="205"/>
      <w:bookmarkEnd w:id="206"/>
      <w:bookmarkEnd w:id="207"/>
      <w:bookmarkEnd w:id="208"/>
    </w:p>
    <w:p w14:paraId="3106FBDB">
      <w:pPr>
        <w:pStyle w:val="95"/>
        <w:spacing w:line="372" w:lineRule="exact"/>
        <w:ind w:firstLine="440"/>
        <w:jc w:val="both"/>
        <w:rPr>
          <w:color w:val="auto"/>
        </w:rPr>
      </w:pPr>
      <w:r>
        <w:rPr>
          <w:rFonts w:hint="eastAsia"/>
          <w:color w:val="auto"/>
          <w:lang w:val="en-US" w:bidi="en-US"/>
        </w:rPr>
        <w:t>1.12.1</w:t>
      </w:r>
      <w:r>
        <w:rPr>
          <w:rFonts w:hint="eastAsia"/>
          <w:color w:val="auto"/>
        </w:rPr>
        <w:t>发包人提供的图纸和文件，未经发包人同意，承包人不得为合同以外的目的泄露给他人或公开发表与引用。</w:t>
      </w:r>
    </w:p>
    <w:p w14:paraId="40A04253">
      <w:pPr>
        <w:pStyle w:val="95"/>
        <w:spacing w:line="367" w:lineRule="exact"/>
        <w:ind w:firstLine="440"/>
        <w:jc w:val="both"/>
        <w:rPr>
          <w:color w:val="auto"/>
        </w:rPr>
      </w:pPr>
      <w:r>
        <w:rPr>
          <w:rFonts w:hint="eastAsia"/>
          <w:color w:val="auto"/>
          <w:lang w:val="en-US" w:bidi="en-US"/>
        </w:rPr>
        <w:t>1.12.2</w:t>
      </w:r>
      <w:r>
        <w:rPr>
          <w:rFonts w:hint="eastAsia"/>
          <w:color w:val="auto"/>
        </w:rPr>
        <w:t>承包人提供的文件，未经承包人同意，发包人和监理人不得为合同以外的目的泄露给他人或公开发表与引用。</w:t>
      </w:r>
    </w:p>
    <w:p w14:paraId="7D340242">
      <w:pPr>
        <w:pStyle w:val="101"/>
        <w:spacing w:before="0" w:after="0" w:line="360" w:lineRule="exact"/>
        <w:rPr>
          <w:rFonts w:ascii="宋体" w:hAnsi="宋体" w:cs="宋体"/>
          <w:color w:val="auto"/>
          <w:lang w:eastAsia="zh-CN"/>
        </w:rPr>
      </w:pPr>
      <w:bookmarkStart w:id="209" w:name="bookmark950"/>
      <w:bookmarkEnd w:id="209"/>
      <w:bookmarkStart w:id="210" w:name="_Toc3842"/>
      <w:bookmarkStart w:id="211" w:name="_Toc2299"/>
      <w:bookmarkStart w:id="212" w:name="_Toc28349"/>
      <w:bookmarkStart w:id="213" w:name="bookmark949"/>
      <w:bookmarkStart w:id="214" w:name="_Toc5404"/>
      <w:bookmarkStart w:id="215" w:name="_Toc15178"/>
      <w:bookmarkStart w:id="216" w:name="bookmark948"/>
      <w:bookmarkStart w:id="217" w:name="_Toc16330"/>
      <w:bookmarkStart w:id="218" w:name="_Toc2718"/>
      <w:bookmarkStart w:id="219" w:name="bookmark951"/>
      <w:r>
        <w:rPr>
          <w:rFonts w:hint="eastAsia" w:ascii="宋体" w:hAnsi="宋体" w:cs="宋体"/>
          <w:color w:val="auto"/>
          <w:lang w:eastAsia="zh-CN"/>
        </w:rPr>
        <w:t>2.发包人义务</w:t>
      </w:r>
      <w:bookmarkEnd w:id="210"/>
      <w:bookmarkEnd w:id="211"/>
      <w:bookmarkEnd w:id="212"/>
      <w:bookmarkEnd w:id="213"/>
      <w:bookmarkEnd w:id="214"/>
      <w:bookmarkEnd w:id="215"/>
      <w:bookmarkEnd w:id="216"/>
      <w:bookmarkEnd w:id="217"/>
      <w:bookmarkEnd w:id="218"/>
      <w:bookmarkEnd w:id="219"/>
    </w:p>
    <w:p w14:paraId="5BBBA25F">
      <w:pPr>
        <w:pStyle w:val="101"/>
        <w:spacing w:before="0" w:after="0" w:line="360" w:lineRule="exact"/>
        <w:rPr>
          <w:rFonts w:ascii="宋体" w:hAnsi="宋体" w:cs="宋体"/>
          <w:color w:val="auto"/>
          <w:sz w:val="24"/>
          <w:szCs w:val="24"/>
          <w:lang w:eastAsia="zh-CN"/>
        </w:rPr>
      </w:pPr>
      <w:bookmarkStart w:id="220" w:name="_Toc32472"/>
      <w:bookmarkStart w:id="221" w:name="_Toc26172"/>
      <w:bookmarkStart w:id="222" w:name="_Toc19875"/>
      <w:bookmarkStart w:id="223" w:name="_Toc27192"/>
      <w:bookmarkStart w:id="224" w:name="bookmark953"/>
      <w:bookmarkStart w:id="225" w:name="_Toc4970"/>
      <w:bookmarkStart w:id="226" w:name="bookmark954"/>
      <w:bookmarkStart w:id="227" w:name="bookmark952"/>
      <w:bookmarkStart w:id="228" w:name="_Toc5639"/>
      <w:bookmarkStart w:id="229" w:name="_Toc9385"/>
      <w:r>
        <w:rPr>
          <w:rFonts w:hint="eastAsia" w:ascii="宋体" w:hAnsi="宋体" w:cs="宋体"/>
          <w:color w:val="auto"/>
          <w:sz w:val="24"/>
          <w:szCs w:val="24"/>
          <w:lang w:eastAsia="zh-CN"/>
        </w:rPr>
        <w:t>2.1遵守法律</w:t>
      </w:r>
      <w:bookmarkEnd w:id="220"/>
      <w:bookmarkEnd w:id="221"/>
      <w:bookmarkEnd w:id="222"/>
      <w:bookmarkEnd w:id="223"/>
      <w:bookmarkEnd w:id="224"/>
      <w:bookmarkEnd w:id="225"/>
      <w:bookmarkEnd w:id="226"/>
      <w:bookmarkEnd w:id="227"/>
      <w:bookmarkEnd w:id="228"/>
      <w:bookmarkEnd w:id="229"/>
    </w:p>
    <w:p w14:paraId="5950673C">
      <w:pPr>
        <w:pStyle w:val="95"/>
        <w:spacing w:line="355" w:lineRule="exact"/>
        <w:ind w:firstLine="440"/>
        <w:jc w:val="both"/>
        <w:rPr>
          <w:color w:val="auto"/>
        </w:rPr>
      </w:pPr>
      <w:r>
        <w:rPr>
          <w:rFonts w:hint="eastAsia"/>
          <w:color w:val="auto"/>
        </w:rPr>
        <w:t>发包人在履行合同过程中应遵守法律，并保证承包人免于承担因发包人违反法律而引 起的任何责任。</w:t>
      </w:r>
    </w:p>
    <w:p w14:paraId="10DE12F7">
      <w:pPr>
        <w:pStyle w:val="101"/>
        <w:spacing w:before="0" w:after="0" w:line="360" w:lineRule="exact"/>
        <w:rPr>
          <w:rFonts w:ascii="宋体" w:hAnsi="宋体" w:cs="宋体"/>
          <w:color w:val="auto"/>
          <w:sz w:val="24"/>
          <w:szCs w:val="24"/>
          <w:lang w:eastAsia="zh-CN"/>
        </w:rPr>
      </w:pPr>
      <w:bookmarkStart w:id="230" w:name="_Toc18717"/>
      <w:bookmarkStart w:id="231" w:name="_Toc15166"/>
      <w:bookmarkStart w:id="232" w:name="bookmark957"/>
      <w:bookmarkStart w:id="233" w:name="_Toc8694"/>
      <w:bookmarkStart w:id="234" w:name="_Toc28343"/>
      <w:bookmarkStart w:id="235" w:name="_Toc29690"/>
      <w:bookmarkStart w:id="236" w:name="_Toc16693"/>
      <w:bookmarkStart w:id="237" w:name="bookmark956"/>
      <w:bookmarkStart w:id="238" w:name="bookmark955"/>
      <w:bookmarkStart w:id="239" w:name="_Toc30994"/>
      <w:r>
        <w:rPr>
          <w:rFonts w:hint="eastAsia" w:ascii="宋体" w:hAnsi="宋体" w:cs="宋体"/>
          <w:color w:val="auto"/>
          <w:sz w:val="24"/>
          <w:szCs w:val="24"/>
          <w:lang w:eastAsia="zh-CN"/>
        </w:rPr>
        <w:t>2.2发出开工通知</w:t>
      </w:r>
      <w:bookmarkEnd w:id="230"/>
      <w:bookmarkEnd w:id="231"/>
      <w:bookmarkEnd w:id="232"/>
      <w:bookmarkEnd w:id="233"/>
      <w:bookmarkEnd w:id="234"/>
      <w:bookmarkEnd w:id="235"/>
      <w:bookmarkEnd w:id="236"/>
      <w:bookmarkEnd w:id="237"/>
      <w:bookmarkEnd w:id="238"/>
      <w:bookmarkEnd w:id="239"/>
    </w:p>
    <w:p w14:paraId="2E39C913">
      <w:pPr>
        <w:pStyle w:val="95"/>
        <w:spacing w:line="363" w:lineRule="exact"/>
        <w:ind w:firstLine="420"/>
        <w:rPr>
          <w:color w:val="auto"/>
        </w:rPr>
      </w:pPr>
      <w:r>
        <w:rPr>
          <w:rFonts w:hint="eastAsia"/>
          <w:color w:val="auto"/>
        </w:rPr>
        <w:t>发包人应委托监理人按第</w:t>
      </w:r>
      <w:r>
        <w:rPr>
          <w:rFonts w:hint="eastAsia"/>
          <w:color w:val="auto"/>
          <w:lang w:val="en-US" w:bidi="en-US"/>
        </w:rPr>
        <w:t>H.</w:t>
      </w:r>
      <w:r>
        <w:rPr>
          <w:rFonts w:hint="eastAsia"/>
          <w:color w:val="auto"/>
        </w:rPr>
        <w:t>1款的约定向承包人发出开工通知。</w:t>
      </w:r>
    </w:p>
    <w:p w14:paraId="7746E502">
      <w:pPr>
        <w:pStyle w:val="101"/>
        <w:spacing w:before="0" w:after="0" w:line="360" w:lineRule="exact"/>
        <w:rPr>
          <w:rFonts w:ascii="宋体" w:hAnsi="宋体" w:cs="宋体"/>
          <w:color w:val="auto"/>
          <w:sz w:val="24"/>
          <w:szCs w:val="24"/>
          <w:lang w:eastAsia="zh-CN"/>
        </w:rPr>
      </w:pPr>
      <w:bookmarkStart w:id="240" w:name="bookmark958"/>
      <w:bookmarkStart w:id="241" w:name="_Toc24867"/>
      <w:bookmarkStart w:id="242" w:name="bookmark960"/>
      <w:bookmarkStart w:id="243" w:name="_Toc2184"/>
      <w:bookmarkStart w:id="244" w:name="bookmark959"/>
      <w:bookmarkStart w:id="245" w:name="_Toc25325"/>
      <w:bookmarkStart w:id="246" w:name="_Toc16996"/>
      <w:bookmarkStart w:id="247" w:name="_Toc5643"/>
      <w:bookmarkStart w:id="248" w:name="_Toc22446"/>
      <w:bookmarkStart w:id="249" w:name="_Toc24217"/>
      <w:r>
        <w:rPr>
          <w:rFonts w:hint="eastAsia" w:ascii="宋体" w:hAnsi="宋体" w:cs="宋体"/>
          <w:color w:val="auto"/>
          <w:sz w:val="24"/>
          <w:szCs w:val="24"/>
          <w:lang w:eastAsia="zh-CN"/>
        </w:rPr>
        <w:t>2.3提供施工场地</w:t>
      </w:r>
      <w:bookmarkEnd w:id="240"/>
      <w:bookmarkEnd w:id="241"/>
      <w:bookmarkEnd w:id="242"/>
      <w:bookmarkEnd w:id="243"/>
      <w:bookmarkEnd w:id="244"/>
      <w:bookmarkEnd w:id="245"/>
      <w:bookmarkEnd w:id="246"/>
      <w:bookmarkEnd w:id="247"/>
      <w:bookmarkEnd w:id="248"/>
      <w:bookmarkEnd w:id="249"/>
    </w:p>
    <w:p w14:paraId="70328DAC">
      <w:pPr>
        <w:pStyle w:val="95"/>
        <w:spacing w:line="373" w:lineRule="exact"/>
        <w:ind w:firstLine="440"/>
        <w:jc w:val="both"/>
        <w:rPr>
          <w:color w:val="auto"/>
        </w:rPr>
      </w:pPr>
      <w:r>
        <w:rPr>
          <w:rFonts w:hint="eastAsia"/>
          <w:color w:val="auto"/>
          <w:lang w:val="en-US" w:bidi="en-US"/>
        </w:rPr>
        <w:t>2.3.1</w:t>
      </w:r>
      <w:r>
        <w:rPr>
          <w:rFonts w:hint="eastAsia"/>
          <w:color w:val="auto"/>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7EF7D9F1">
      <w:pPr>
        <w:pStyle w:val="95"/>
        <w:spacing w:line="366" w:lineRule="exact"/>
        <w:ind w:firstLine="440"/>
        <w:jc w:val="both"/>
        <w:rPr>
          <w:color w:val="auto"/>
        </w:rPr>
      </w:pPr>
      <w:r>
        <w:rPr>
          <w:rFonts w:hint="eastAsia"/>
          <w:color w:val="auto"/>
          <w:lang w:val="en-US" w:bidi="en-US"/>
        </w:rPr>
        <w:t>2.3.2</w:t>
      </w:r>
      <w:r>
        <w:rPr>
          <w:rFonts w:hint="eastAsia"/>
          <w:color w:val="auto"/>
        </w:rPr>
        <w:t>发包人提供的施工用地范围在专用合同条款中约定。</w:t>
      </w:r>
    </w:p>
    <w:p w14:paraId="011EFE58">
      <w:pPr>
        <w:pStyle w:val="95"/>
        <w:spacing w:line="366" w:lineRule="exact"/>
        <w:ind w:firstLine="440"/>
        <w:jc w:val="both"/>
        <w:rPr>
          <w:color w:val="auto"/>
        </w:rPr>
      </w:pPr>
      <w:r>
        <w:rPr>
          <w:rFonts w:hint="eastAsia"/>
          <w:color w:val="auto"/>
          <w:lang w:val="en-US" w:bidi="en-US"/>
        </w:rPr>
        <w:t>2.3.3</w:t>
      </w:r>
      <w:r>
        <w:rPr>
          <w:rFonts w:hint="eastAsia"/>
          <w:color w:val="auto"/>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DCE4E4E">
      <w:pPr>
        <w:pStyle w:val="101"/>
        <w:spacing w:before="0" w:after="0" w:line="360" w:lineRule="exact"/>
        <w:rPr>
          <w:rFonts w:ascii="宋体" w:hAnsi="宋体" w:cs="宋体"/>
          <w:color w:val="auto"/>
          <w:sz w:val="24"/>
          <w:szCs w:val="24"/>
          <w:lang w:eastAsia="zh-CN"/>
        </w:rPr>
      </w:pPr>
      <w:bookmarkStart w:id="250" w:name="_Toc7008"/>
      <w:bookmarkStart w:id="251" w:name="_Toc3862"/>
      <w:bookmarkStart w:id="252" w:name="_Toc1448"/>
      <w:bookmarkStart w:id="253" w:name="bookmark961"/>
      <w:bookmarkStart w:id="254" w:name="_Toc694"/>
      <w:bookmarkStart w:id="255" w:name="bookmark962"/>
      <w:bookmarkStart w:id="256" w:name="_Toc19832"/>
      <w:bookmarkStart w:id="257" w:name="bookmark963"/>
      <w:bookmarkStart w:id="258" w:name="_Toc14473"/>
      <w:bookmarkStart w:id="259" w:name="_Toc502"/>
      <w:r>
        <w:rPr>
          <w:rFonts w:hint="eastAsia" w:ascii="宋体" w:hAnsi="宋体" w:cs="宋体"/>
          <w:color w:val="auto"/>
          <w:sz w:val="24"/>
          <w:szCs w:val="24"/>
          <w:lang w:eastAsia="zh-CN"/>
        </w:rPr>
        <w:t>2.4协助承包人办理证件和批件</w:t>
      </w:r>
      <w:bookmarkEnd w:id="250"/>
      <w:bookmarkEnd w:id="251"/>
      <w:bookmarkEnd w:id="252"/>
      <w:bookmarkEnd w:id="253"/>
      <w:bookmarkEnd w:id="254"/>
      <w:bookmarkEnd w:id="255"/>
      <w:bookmarkEnd w:id="256"/>
      <w:bookmarkEnd w:id="257"/>
      <w:bookmarkEnd w:id="258"/>
      <w:bookmarkEnd w:id="259"/>
    </w:p>
    <w:p w14:paraId="2B9387B1">
      <w:pPr>
        <w:pStyle w:val="95"/>
        <w:spacing w:line="363" w:lineRule="exact"/>
        <w:ind w:firstLine="420"/>
        <w:rPr>
          <w:color w:val="auto"/>
        </w:rPr>
      </w:pPr>
      <w:r>
        <w:rPr>
          <w:rFonts w:hint="eastAsia"/>
          <w:color w:val="auto"/>
        </w:rPr>
        <w:t>发包人应协助承包人办理法律规定的有关施工证件和批件。</w:t>
      </w:r>
    </w:p>
    <w:p w14:paraId="3D939F61">
      <w:pPr>
        <w:pStyle w:val="101"/>
        <w:spacing w:before="0" w:after="0" w:line="360" w:lineRule="exact"/>
        <w:rPr>
          <w:rFonts w:ascii="宋体" w:hAnsi="宋体" w:cs="宋体"/>
          <w:color w:val="auto"/>
          <w:sz w:val="24"/>
          <w:szCs w:val="24"/>
          <w:lang w:eastAsia="zh-CN"/>
        </w:rPr>
      </w:pPr>
      <w:bookmarkStart w:id="260" w:name="bookmark964"/>
      <w:bookmarkStart w:id="261" w:name="_Toc5558"/>
      <w:bookmarkStart w:id="262" w:name="bookmark965"/>
      <w:bookmarkStart w:id="263" w:name="_Toc27327"/>
      <w:bookmarkStart w:id="264" w:name="bookmark966"/>
      <w:bookmarkStart w:id="265" w:name="_Toc24610"/>
      <w:bookmarkStart w:id="266" w:name="_Toc2933"/>
      <w:bookmarkStart w:id="267" w:name="_Toc29272"/>
      <w:bookmarkStart w:id="268" w:name="_Toc15085"/>
      <w:bookmarkStart w:id="269" w:name="_Toc22288"/>
      <w:r>
        <w:rPr>
          <w:rFonts w:hint="eastAsia" w:ascii="宋体" w:hAnsi="宋体" w:cs="宋体"/>
          <w:color w:val="auto"/>
          <w:sz w:val="24"/>
          <w:szCs w:val="24"/>
          <w:lang w:eastAsia="zh-CN"/>
        </w:rPr>
        <w:t>2.5组织设计交底</w:t>
      </w:r>
      <w:bookmarkEnd w:id="260"/>
      <w:bookmarkEnd w:id="261"/>
      <w:bookmarkEnd w:id="262"/>
      <w:bookmarkEnd w:id="263"/>
      <w:bookmarkEnd w:id="264"/>
      <w:bookmarkEnd w:id="265"/>
      <w:bookmarkEnd w:id="266"/>
      <w:bookmarkEnd w:id="267"/>
      <w:bookmarkEnd w:id="268"/>
      <w:bookmarkEnd w:id="269"/>
    </w:p>
    <w:p w14:paraId="4A9B011C">
      <w:pPr>
        <w:pStyle w:val="95"/>
        <w:spacing w:line="363" w:lineRule="exact"/>
        <w:ind w:firstLine="420"/>
        <w:rPr>
          <w:color w:val="auto"/>
        </w:rPr>
      </w:pPr>
      <w:r>
        <w:rPr>
          <w:rFonts w:hint="eastAsia"/>
          <w:color w:val="auto"/>
        </w:rPr>
        <w:t>发包人应根据合同进度计划，组织设计单位向承包人进行设计交底。</w:t>
      </w:r>
    </w:p>
    <w:p w14:paraId="2DC65E1C">
      <w:pPr>
        <w:pStyle w:val="101"/>
        <w:spacing w:before="0" w:after="0" w:line="360" w:lineRule="exact"/>
        <w:rPr>
          <w:rFonts w:ascii="宋体" w:hAnsi="宋体" w:cs="宋体"/>
          <w:color w:val="auto"/>
          <w:sz w:val="24"/>
          <w:szCs w:val="24"/>
          <w:lang w:eastAsia="zh-CN"/>
        </w:rPr>
      </w:pPr>
      <w:bookmarkStart w:id="270" w:name="_Toc13277"/>
      <w:bookmarkStart w:id="271" w:name="_Toc22442"/>
      <w:bookmarkStart w:id="272" w:name="_Toc15202"/>
      <w:bookmarkStart w:id="273" w:name="bookmark967"/>
      <w:bookmarkStart w:id="274" w:name="_Toc15125"/>
      <w:bookmarkStart w:id="275" w:name="_Toc30250"/>
      <w:bookmarkStart w:id="276" w:name="_Toc11916"/>
      <w:bookmarkStart w:id="277" w:name="bookmark969"/>
      <w:bookmarkStart w:id="278" w:name="bookmark968"/>
      <w:bookmarkStart w:id="279" w:name="_Toc13895"/>
      <w:r>
        <w:rPr>
          <w:rFonts w:hint="eastAsia" w:ascii="宋体" w:hAnsi="宋体" w:cs="宋体"/>
          <w:color w:val="auto"/>
          <w:sz w:val="24"/>
          <w:szCs w:val="24"/>
          <w:lang w:eastAsia="zh-CN"/>
        </w:rPr>
        <w:t>2.6支付合同价款</w:t>
      </w:r>
      <w:bookmarkEnd w:id="270"/>
      <w:bookmarkEnd w:id="271"/>
      <w:bookmarkEnd w:id="272"/>
      <w:bookmarkEnd w:id="273"/>
      <w:bookmarkEnd w:id="274"/>
      <w:bookmarkEnd w:id="275"/>
      <w:bookmarkEnd w:id="276"/>
      <w:bookmarkEnd w:id="277"/>
      <w:bookmarkEnd w:id="278"/>
      <w:bookmarkEnd w:id="279"/>
    </w:p>
    <w:p w14:paraId="124494B6">
      <w:pPr>
        <w:pStyle w:val="95"/>
        <w:spacing w:line="363" w:lineRule="exact"/>
        <w:ind w:firstLine="420"/>
        <w:rPr>
          <w:color w:val="auto"/>
        </w:rPr>
      </w:pPr>
      <w:r>
        <w:rPr>
          <w:rFonts w:hint="eastAsia"/>
          <w:color w:val="auto"/>
        </w:rPr>
        <w:t>发包人应按合同约定向承包人及时支付合同价款。</w:t>
      </w:r>
    </w:p>
    <w:p w14:paraId="456EA45F">
      <w:pPr>
        <w:pStyle w:val="101"/>
        <w:spacing w:before="0" w:after="0" w:line="360" w:lineRule="exact"/>
        <w:rPr>
          <w:rFonts w:ascii="宋体" w:hAnsi="宋体" w:cs="宋体"/>
          <w:color w:val="auto"/>
          <w:sz w:val="24"/>
          <w:szCs w:val="24"/>
          <w:lang w:eastAsia="zh-CN"/>
        </w:rPr>
      </w:pPr>
      <w:bookmarkStart w:id="280" w:name="_Toc8967"/>
      <w:bookmarkStart w:id="281" w:name="bookmark972"/>
      <w:bookmarkStart w:id="282" w:name="_Toc17360"/>
      <w:bookmarkStart w:id="283" w:name="bookmark970"/>
      <w:bookmarkStart w:id="284" w:name="_Toc14608"/>
      <w:bookmarkStart w:id="285" w:name="bookmark971"/>
      <w:bookmarkStart w:id="286" w:name="_Toc25936"/>
      <w:bookmarkStart w:id="287" w:name="_Toc5215"/>
      <w:bookmarkStart w:id="288" w:name="_Toc18903"/>
      <w:bookmarkStart w:id="289" w:name="_Toc5624"/>
      <w:r>
        <w:rPr>
          <w:rFonts w:hint="eastAsia" w:ascii="宋体" w:hAnsi="宋体" w:cs="宋体"/>
          <w:color w:val="auto"/>
          <w:sz w:val="24"/>
          <w:szCs w:val="24"/>
          <w:lang w:eastAsia="zh-CN"/>
        </w:rPr>
        <w:t>2.7组织竣工验收（组织法人验收）</w:t>
      </w:r>
      <w:bookmarkEnd w:id="280"/>
      <w:bookmarkEnd w:id="281"/>
      <w:bookmarkEnd w:id="282"/>
      <w:bookmarkEnd w:id="283"/>
      <w:bookmarkEnd w:id="284"/>
      <w:bookmarkEnd w:id="285"/>
      <w:bookmarkEnd w:id="286"/>
      <w:bookmarkEnd w:id="287"/>
      <w:bookmarkEnd w:id="288"/>
      <w:bookmarkEnd w:id="289"/>
    </w:p>
    <w:p w14:paraId="7E44E81C">
      <w:pPr>
        <w:pStyle w:val="95"/>
        <w:spacing w:line="360" w:lineRule="exact"/>
        <w:ind w:firstLine="420"/>
        <w:rPr>
          <w:color w:val="auto"/>
        </w:rPr>
      </w:pPr>
      <w:r>
        <w:rPr>
          <w:rFonts w:hint="eastAsia"/>
          <w:color w:val="auto"/>
        </w:rPr>
        <w:t>发包人应按合同约定及时组织法人验收。</w:t>
      </w:r>
    </w:p>
    <w:p w14:paraId="75F2DC55">
      <w:pPr>
        <w:pStyle w:val="101"/>
        <w:spacing w:before="0" w:after="0" w:line="360" w:lineRule="exact"/>
        <w:rPr>
          <w:rFonts w:ascii="宋体" w:hAnsi="宋体" w:cs="宋体"/>
          <w:color w:val="auto"/>
          <w:sz w:val="24"/>
          <w:szCs w:val="24"/>
          <w:lang w:eastAsia="zh-CN"/>
        </w:rPr>
      </w:pPr>
      <w:bookmarkStart w:id="290" w:name="bookmark973"/>
      <w:bookmarkStart w:id="291" w:name="_Toc11362"/>
      <w:bookmarkStart w:id="292" w:name="bookmark974"/>
      <w:bookmarkStart w:id="293" w:name="_Toc17439"/>
      <w:bookmarkStart w:id="294" w:name="bookmark975"/>
      <w:bookmarkStart w:id="295" w:name="_Toc24594"/>
      <w:bookmarkStart w:id="296" w:name="_Toc10153"/>
      <w:bookmarkStart w:id="297" w:name="_Toc32314"/>
      <w:bookmarkStart w:id="298" w:name="_Toc16585"/>
      <w:bookmarkStart w:id="299" w:name="_Toc26461"/>
      <w:r>
        <w:rPr>
          <w:rFonts w:hint="eastAsia" w:ascii="宋体" w:hAnsi="宋体" w:cs="宋体"/>
          <w:color w:val="auto"/>
          <w:sz w:val="24"/>
          <w:szCs w:val="24"/>
          <w:lang w:eastAsia="zh-CN"/>
        </w:rPr>
        <w:t>2.8其它义务</w:t>
      </w:r>
      <w:bookmarkEnd w:id="290"/>
      <w:bookmarkEnd w:id="291"/>
      <w:bookmarkEnd w:id="292"/>
      <w:bookmarkEnd w:id="293"/>
      <w:bookmarkEnd w:id="294"/>
      <w:bookmarkEnd w:id="295"/>
      <w:bookmarkEnd w:id="296"/>
      <w:bookmarkEnd w:id="297"/>
      <w:bookmarkEnd w:id="298"/>
      <w:bookmarkEnd w:id="299"/>
    </w:p>
    <w:p w14:paraId="5C67BB4B">
      <w:pPr>
        <w:pStyle w:val="95"/>
        <w:spacing w:line="360" w:lineRule="exact"/>
        <w:ind w:firstLine="420"/>
        <w:rPr>
          <w:color w:val="auto"/>
        </w:rPr>
      </w:pPr>
      <w:r>
        <w:rPr>
          <w:rFonts w:hint="eastAsia"/>
          <w:color w:val="auto"/>
        </w:rPr>
        <w:t>其它义务在专用合同条款中补充约定。</w:t>
      </w:r>
    </w:p>
    <w:p w14:paraId="277C6BF5">
      <w:pPr>
        <w:pStyle w:val="101"/>
        <w:spacing w:before="0" w:after="0" w:line="360" w:lineRule="exact"/>
        <w:rPr>
          <w:rFonts w:ascii="宋体" w:hAnsi="宋体" w:cs="宋体"/>
          <w:color w:val="auto"/>
          <w:lang w:eastAsia="zh-CN"/>
        </w:rPr>
      </w:pPr>
      <w:bookmarkStart w:id="300" w:name="bookmark976"/>
      <w:bookmarkStart w:id="301" w:name="_Toc25929"/>
      <w:bookmarkStart w:id="302" w:name="bookmark978"/>
      <w:bookmarkStart w:id="303" w:name="_Toc6361"/>
      <w:bookmarkStart w:id="304" w:name="_Toc19508"/>
      <w:bookmarkStart w:id="305" w:name="_Toc6258"/>
      <w:bookmarkStart w:id="306" w:name="_Toc15629"/>
      <w:bookmarkStart w:id="307" w:name="_Toc14450"/>
      <w:bookmarkStart w:id="308" w:name="_Toc17454"/>
      <w:bookmarkStart w:id="309" w:name="bookmark977"/>
      <w:r>
        <w:rPr>
          <w:rFonts w:hint="eastAsia" w:ascii="宋体" w:hAnsi="宋体" w:cs="宋体"/>
          <w:color w:val="auto"/>
          <w:lang w:eastAsia="zh-CN"/>
        </w:rPr>
        <w:t>3.监理人</w:t>
      </w:r>
      <w:bookmarkEnd w:id="300"/>
      <w:bookmarkEnd w:id="301"/>
      <w:bookmarkEnd w:id="302"/>
      <w:bookmarkEnd w:id="303"/>
      <w:bookmarkEnd w:id="304"/>
      <w:bookmarkEnd w:id="305"/>
      <w:bookmarkEnd w:id="306"/>
      <w:bookmarkEnd w:id="307"/>
      <w:bookmarkEnd w:id="308"/>
      <w:bookmarkEnd w:id="309"/>
    </w:p>
    <w:p w14:paraId="37E18467">
      <w:pPr>
        <w:pStyle w:val="101"/>
        <w:spacing w:before="0" w:after="0" w:line="360" w:lineRule="exact"/>
        <w:rPr>
          <w:rFonts w:ascii="宋体" w:hAnsi="宋体" w:cs="宋体"/>
          <w:color w:val="auto"/>
          <w:sz w:val="24"/>
          <w:szCs w:val="24"/>
          <w:lang w:eastAsia="zh-CN"/>
        </w:rPr>
      </w:pPr>
      <w:bookmarkStart w:id="310" w:name="_Toc5442"/>
      <w:bookmarkStart w:id="311" w:name="_Toc21998"/>
      <w:bookmarkStart w:id="312" w:name="_Toc22410"/>
      <w:bookmarkStart w:id="313" w:name="bookmark981"/>
      <w:bookmarkStart w:id="314" w:name="_Toc28768"/>
      <w:bookmarkStart w:id="315" w:name="bookmark980"/>
      <w:bookmarkStart w:id="316" w:name="_Toc3993"/>
      <w:bookmarkStart w:id="317" w:name="_Toc27658"/>
      <w:bookmarkStart w:id="318" w:name="_Toc21827"/>
      <w:bookmarkStart w:id="319" w:name="bookmark979"/>
      <w:r>
        <w:rPr>
          <w:rFonts w:hint="eastAsia" w:ascii="宋体" w:hAnsi="宋体" w:cs="宋体"/>
          <w:color w:val="auto"/>
          <w:sz w:val="24"/>
          <w:szCs w:val="24"/>
          <w:lang w:eastAsia="zh-CN"/>
        </w:rPr>
        <w:t>3.1监理人的职责和权利</w:t>
      </w:r>
      <w:bookmarkEnd w:id="310"/>
      <w:bookmarkEnd w:id="311"/>
      <w:bookmarkEnd w:id="312"/>
      <w:bookmarkEnd w:id="313"/>
      <w:bookmarkEnd w:id="314"/>
      <w:bookmarkEnd w:id="315"/>
      <w:bookmarkEnd w:id="316"/>
      <w:bookmarkEnd w:id="317"/>
      <w:bookmarkEnd w:id="318"/>
      <w:bookmarkEnd w:id="319"/>
    </w:p>
    <w:p w14:paraId="32BC4F10">
      <w:pPr>
        <w:pStyle w:val="95"/>
        <w:spacing w:line="356" w:lineRule="exact"/>
        <w:ind w:firstLine="420"/>
        <w:jc w:val="both"/>
        <w:rPr>
          <w:color w:val="auto"/>
        </w:rPr>
      </w:pPr>
      <w:r>
        <w:rPr>
          <w:rFonts w:hint="eastAsia"/>
          <w:color w:val="auto"/>
          <w:lang w:val="en-US" w:bidi="en-US"/>
        </w:rPr>
        <w:t>3.1.1</w:t>
      </w:r>
      <w:r>
        <w:rPr>
          <w:rFonts w:hint="eastAsia"/>
          <w:color w:val="auto"/>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2ECD6E0C">
      <w:pPr>
        <w:pStyle w:val="95"/>
        <w:spacing w:line="356" w:lineRule="exact"/>
        <w:ind w:firstLine="420"/>
        <w:jc w:val="both"/>
        <w:rPr>
          <w:color w:val="auto"/>
        </w:rPr>
      </w:pPr>
      <w:r>
        <w:rPr>
          <w:rFonts w:hint="eastAsia"/>
          <w:color w:val="auto"/>
          <w:lang w:val="en-US" w:bidi="en-US"/>
        </w:rPr>
        <w:t>3.1.2</w:t>
      </w:r>
      <w:r>
        <w:rPr>
          <w:rFonts w:hint="eastAsia"/>
          <w:color w:val="auto"/>
        </w:rPr>
        <w:t>监理人发出的任何指示应视为已得到发包人的批准，但监理人无权免除或变更合同约定的发包人和承包人的权利、义务和责任。</w:t>
      </w:r>
    </w:p>
    <w:p w14:paraId="6B3AFD89">
      <w:pPr>
        <w:pStyle w:val="95"/>
        <w:spacing w:line="356" w:lineRule="exact"/>
        <w:ind w:firstLine="420"/>
        <w:jc w:val="both"/>
        <w:rPr>
          <w:color w:val="auto"/>
        </w:rPr>
      </w:pPr>
      <w:r>
        <w:rPr>
          <w:rFonts w:hint="eastAsia"/>
          <w:color w:val="auto"/>
          <w:lang w:val="en-US" w:bidi="en-US"/>
        </w:rPr>
        <w:t>3.1.3</w:t>
      </w:r>
      <w:r>
        <w:rPr>
          <w:rFonts w:hint="eastAsia"/>
          <w:color w:val="auto"/>
        </w:rPr>
        <w:t>合同约定应由承包人承担的义务和责任，不因监理人对承包人提交文件的审查或批准，对工程、材料和设备的检查和检验，以及为实施监理作出的指示等职务行为而减轻或解除。</w:t>
      </w:r>
    </w:p>
    <w:p w14:paraId="636E658F">
      <w:pPr>
        <w:pStyle w:val="101"/>
        <w:spacing w:before="0" w:after="0" w:line="360" w:lineRule="exact"/>
        <w:rPr>
          <w:rFonts w:ascii="宋体" w:hAnsi="宋体" w:cs="宋体"/>
          <w:color w:val="auto"/>
          <w:sz w:val="24"/>
          <w:szCs w:val="24"/>
          <w:lang w:eastAsia="zh-CN"/>
        </w:rPr>
      </w:pPr>
      <w:bookmarkStart w:id="320" w:name="bookmark984"/>
      <w:bookmarkStart w:id="321" w:name="bookmark982"/>
      <w:bookmarkStart w:id="322" w:name="_Toc5278"/>
      <w:bookmarkStart w:id="323" w:name="_Toc16039"/>
      <w:bookmarkStart w:id="324" w:name="_Toc10991"/>
      <w:bookmarkStart w:id="325" w:name="_Toc20317"/>
      <w:bookmarkStart w:id="326" w:name="_Toc28424"/>
      <w:bookmarkStart w:id="327" w:name="_Toc22963"/>
      <w:bookmarkStart w:id="328" w:name="_Toc22299"/>
      <w:bookmarkStart w:id="329" w:name="bookmark983"/>
      <w:r>
        <w:rPr>
          <w:rFonts w:hint="eastAsia" w:ascii="宋体" w:hAnsi="宋体" w:cs="宋体"/>
          <w:color w:val="auto"/>
          <w:sz w:val="24"/>
          <w:szCs w:val="24"/>
          <w:lang w:eastAsia="zh-CN"/>
        </w:rPr>
        <w:t>3.2总监理工程师</w:t>
      </w:r>
      <w:bookmarkEnd w:id="320"/>
      <w:bookmarkEnd w:id="321"/>
      <w:bookmarkEnd w:id="322"/>
      <w:bookmarkEnd w:id="323"/>
      <w:bookmarkEnd w:id="324"/>
      <w:bookmarkEnd w:id="325"/>
      <w:bookmarkEnd w:id="326"/>
      <w:bookmarkEnd w:id="327"/>
      <w:bookmarkEnd w:id="328"/>
      <w:bookmarkEnd w:id="329"/>
    </w:p>
    <w:p w14:paraId="61AD1136">
      <w:pPr>
        <w:pStyle w:val="95"/>
        <w:spacing w:line="354" w:lineRule="exact"/>
        <w:ind w:firstLine="420"/>
        <w:jc w:val="both"/>
        <w:rPr>
          <w:color w:val="auto"/>
        </w:rPr>
      </w:pPr>
      <w:r>
        <w:rPr>
          <w:rFonts w:hint="eastAsia"/>
          <w:color w:val="auto"/>
        </w:rPr>
        <w:t>发包人应在发出开工通知前将总监理工程师的任命通知承包人。总监理工程师更换时, 应在调离14天前通知承包人。总监理工程师短期离开施工场地的，应委派代表代行其职 责，并通知承包人。</w:t>
      </w:r>
    </w:p>
    <w:p w14:paraId="35DED12E">
      <w:pPr>
        <w:pStyle w:val="101"/>
        <w:spacing w:before="0" w:after="0" w:line="360" w:lineRule="exact"/>
        <w:rPr>
          <w:rFonts w:ascii="宋体" w:hAnsi="宋体" w:cs="宋体"/>
          <w:color w:val="auto"/>
          <w:sz w:val="24"/>
          <w:szCs w:val="24"/>
          <w:lang w:eastAsia="zh-CN"/>
        </w:rPr>
      </w:pPr>
      <w:bookmarkStart w:id="330" w:name="_Toc13884"/>
      <w:bookmarkStart w:id="331" w:name="_Toc15944"/>
      <w:bookmarkStart w:id="332" w:name="bookmark985"/>
      <w:bookmarkStart w:id="333" w:name="_Toc31208"/>
      <w:bookmarkStart w:id="334" w:name="_Toc8155"/>
      <w:bookmarkStart w:id="335" w:name="bookmark987"/>
      <w:bookmarkStart w:id="336" w:name="bookmark986"/>
      <w:bookmarkStart w:id="337" w:name="_Toc11573"/>
      <w:bookmarkStart w:id="338" w:name="_Toc28261"/>
      <w:bookmarkStart w:id="339" w:name="_Toc7501"/>
      <w:r>
        <w:rPr>
          <w:rFonts w:hint="eastAsia" w:ascii="宋体" w:hAnsi="宋体" w:cs="宋体"/>
          <w:color w:val="auto"/>
          <w:sz w:val="24"/>
          <w:szCs w:val="24"/>
          <w:lang w:eastAsia="zh-CN"/>
        </w:rPr>
        <w:t>3.3监理人员</w:t>
      </w:r>
      <w:bookmarkEnd w:id="330"/>
      <w:bookmarkEnd w:id="331"/>
      <w:bookmarkEnd w:id="332"/>
      <w:bookmarkEnd w:id="333"/>
      <w:bookmarkEnd w:id="334"/>
      <w:bookmarkEnd w:id="335"/>
      <w:bookmarkEnd w:id="336"/>
      <w:bookmarkEnd w:id="337"/>
      <w:bookmarkEnd w:id="338"/>
      <w:bookmarkEnd w:id="339"/>
    </w:p>
    <w:p w14:paraId="1C50B562">
      <w:pPr>
        <w:pStyle w:val="95"/>
        <w:spacing w:line="361" w:lineRule="exact"/>
        <w:ind w:firstLine="420"/>
        <w:jc w:val="both"/>
        <w:rPr>
          <w:color w:val="auto"/>
        </w:rPr>
      </w:pPr>
      <w:bookmarkStart w:id="340" w:name="bookmark988"/>
      <w:bookmarkEnd w:id="340"/>
      <w:r>
        <w:rPr>
          <w:rFonts w:hint="eastAsia"/>
          <w:color w:val="auto"/>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FB00AB4">
      <w:pPr>
        <w:pStyle w:val="95"/>
        <w:spacing w:line="361" w:lineRule="exact"/>
        <w:ind w:firstLine="420"/>
        <w:jc w:val="both"/>
        <w:rPr>
          <w:color w:val="auto"/>
        </w:rPr>
      </w:pPr>
      <w:r>
        <w:rPr>
          <w:rFonts w:hint="eastAsia"/>
          <w:color w:val="auto"/>
          <w:lang w:val="en-US" w:bidi="en-US"/>
        </w:rPr>
        <w:t>3.3.2</w:t>
      </w:r>
      <w:r>
        <w:rPr>
          <w:rFonts w:hint="eastAsia"/>
          <w:color w:val="auto"/>
        </w:rPr>
        <w:t>监理人员对承包人的任何工作、工程或其采用的材料和工程设备未在约定的或合理的期限内提出否定意见的，视为已获批准，但不影响监理人在以后拒绝该项工作、工程、材料或工程设备的权利。</w:t>
      </w:r>
    </w:p>
    <w:p w14:paraId="209ACD39">
      <w:pPr>
        <w:pStyle w:val="95"/>
        <w:spacing w:line="361" w:lineRule="exact"/>
        <w:ind w:firstLine="420"/>
        <w:jc w:val="both"/>
        <w:rPr>
          <w:color w:val="auto"/>
        </w:rPr>
      </w:pPr>
      <w:r>
        <w:rPr>
          <w:rFonts w:hint="eastAsia"/>
          <w:color w:val="auto"/>
          <w:lang w:val="en-US" w:bidi="en-US"/>
        </w:rPr>
        <w:t>3.3.3</w:t>
      </w:r>
      <w:r>
        <w:rPr>
          <w:rFonts w:hint="eastAsia"/>
          <w:color w:val="auto"/>
        </w:rPr>
        <w:t>承包人对总监理工程师授权的监理人员发出的指示有疑问的，可向总监理工程师提出书面异议，总监理工程师应在48小时内对该指示予以确认、更改或撤销。</w:t>
      </w:r>
    </w:p>
    <w:p w14:paraId="5315A3CA">
      <w:pPr>
        <w:pStyle w:val="95"/>
        <w:spacing w:line="361" w:lineRule="exact"/>
        <w:ind w:firstLine="420"/>
        <w:jc w:val="both"/>
        <w:rPr>
          <w:color w:val="auto"/>
        </w:rPr>
      </w:pPr>
      <w:bookmarkStart w:id="341" w:name="bookmark989"/>
      <w:bookmarkEnd w:id="341"/>
      <w:r>
        <w:rPr>
          <w:rFonts w:hint="eastAsia"/>
          <w:color w:val="auto"/>
        </w:rPr>
        <w:t>3.3.4除专用合同条款另有约定外，总监理工程师不应将第3.5款约定应由总监理工程师作出确定的权力授权或委托给其他监理人员。</w:t>
      </w:r>
    </w:p>
    <w:p w14:paraId="164FFD72">
      <w:pPr>
        <w:pStyle w:val="101"/>
        <w:spacing w:before="0" w:after="0" w:line="360" w:lineRule="exact"/>
        <w:rPr>
          <w:rFonts w:ascii="宋体" w:hAnsi="宋体" w:cs="宋体"/>
          <w:color w:val="auto"/>
          <w:sz w:val="24"/>
          <w:szCs w:val="24"/>
          <w:lang w:eastAsia="zh-CN"/>
        </w:rPr>
      </w:pPr>
      <w:bookmarkStart w:id="342" w:name="_Toc19209"/>
      <w:bookmarkStart w:id="343" w:name="bookmark992"/>
      <w:bookmarkStart w:id="344" w:name="_Toc23356"/>
      <w:bookmarkStart w:id="345" w:name="_Toc11181"/>
      <w:bookmarkStart w:id="346" w:name="_Toc22811"/>
      <w:bookmarkStart w:id="347" w:name="_Toc18876"/>
      <w:bookmarkStart w:id="348" w:name="bookmark991"/>
      <w:bookmarkStart w:id="349" w:name="_Toc29343"/>
      <w:bookmarkStart w:id="350" w:name="_Toc28235"/>
      <w:bookmarkStart w:id="351" w:name="bookmark990"/>
      <w:r>
        <w:rPr>
          <w:rFonts w:hint="eastAsia" w:ascii="宋体" w:hAnsi="宋体" w:cs="宋体"/>
          <w:color w:val="auto"/>
          <w:sz w:val="24"/>
          <w:szCs w:val="24"/>
          <w:lang w:eastAsia="zh-CN"/>
        </w:rPr>
        <w:t>3.4监理人的指示</w:t>
      </w:r>
      <w:bookmarkEnd w:id="342"/>
      <w:bookmarkEnd w:id="343"/>
      <w:bookmarkEnd w:id="344"/>
      <w:bookmarkEnd w:id="345"/>
      <w:bookmarkEnd w:id="346"/>
      <w:bookmarkEnd w:id="347"/>
      <w:bookmarkEnd w:id="348"/>
      <w:bookmarkEnd w:id="349"/>
      <w:bookmarkEnd w:id="350"/>
      <w:bookmarkEnd w:id="351"/>
    </w:p>
    <w:p w14:paraId="533AD42B">
      <w:pPr>
        <w:pStyle w:val="95"/>
        <w:spacing w:line="362" w:lineRule="exact"/>
        <w:ind w:firstLine="420"/>
        <w:jc w:val="both"/>
        <w:rPr>
          <w:color w:val="auto"/>
        </w:rPr>
      </w:pPr>
      <w:r>
        <w:rPr>
          <w:rFonts w:hint="eastAsia"/>
          <w:color w:val="auto"/>
          <w:lang w:val="en-US" w:bidi="en-US"/>
        </w:rPr>
        <w:t>3.4.</w:t>
      </w:r>
      <w:r>
        <w:rPr>
          <w:rFonts w:hint="eastAsia"/>
          <w:color w:val="auto"/>
        </w:rPr>
        <w:t>1监理人应按第</w:t>
      </w:r>
      <w:r>
        <w:rPr>
          <w:rFonts w:hint="eastAsia"/>
          <w:color w:val="auto"/>
          <w:lang w:val="en-US" w:bidi="en-US"/>
        </w:rPr>
        <w:t>3.</w:t>
      </w:r>
      <w:r>
        <w:rPr>
          <w:rFonts w:hint="eastAsia"/>
          <w:color w:val="auto"/>
        </w:rPr>
        <w:t>1款的约定向承包人发出指示，监理人的指示应盖有监理人授权的施工场地机构章，并由总监理工程师或总监理工程师按第</w:t>
      </w:r>
      <w:r>
        <w:rPr>
          <w:rFonts w:hint="eastAsia"/>
          <w:color w:val="auto"/>
          <w:lang w:val="en-US" w:bidi="en-US"/>
        </w:rPr>
        <w:t>3.3.</w:t>
      </w:r>
      <w:r>
        <w:rPr>
          <w:rFonts w:hint="eastAsia"/>
          <w:color w:val="auto"/>
        </w:rPr>
        <w:t>1项约定授权的监理人员签字</w:t>
      </w:r>
      <w:r>
        <w:rPr>
          <w:rFonts w:hint="eastAsia"/>
          <w:color w:val="auto"/>
          <w:lang w:val="en-US" w:bidi="en-US"/>
        </w:rPr>
        <w:t>。</w:t>
      </w:r>
    </w:p>
    <w:p w14:paraId="38D21648">
      <w:pPr>
        <w:pStyle w:val="95"/>
        <w:spacing w:line="363" w:lineRule="exact"/>
        <w:ind w:firstLine="420"/>
        <w:jc w:val="both"/>
        <w:rPr>
          <w:color w:val="auto"/>
        </w:rPr>
      </w:pPr>
      <w:r>
        <w:rPr>
          <w:rFonts w:hint="eastAsia"/>
          <w:color w:val="auto"/>
          <w:lang w:val="en-US" w:bidi="en-US"/>
        </w:rPr>
        <w:t>3.4.2</w:t>
      </w:r>
      <w:r>
        <w:rPr>
          <w:rFonts w:hint="eastAsia"/>
          <w:color w:val="auto"/>
        </w:rPr>
        <w:t>承包人收到监理人按第</w:t>
      </w:r>
      <w:r>
        <w:rPr>
          <w:rFonts w:hint="eastAsia"/>
          <w:color w:val="auto"/>
          <w:lang w:val="en-US" w:bidi="en-US"/>
        </w:rPr>
        <w:t>3. 4.1</w:t>
      </w:r>
      <w:r>
        <w:rPr>
          <w:rFonts w:hint="eastAsia"/>
          <w:color w:val="auto"/>
        </w:rPr>
        <w:t>项作出的指示后应遵照执行。指示构成变更的，应按第15条处理。</w:t>
      </w:r>
    </w:p>
    <w:p w14:paraId="6044924B">
      <w:pPr>
        <w:pStyle w:val="95"/>
        <w:spacing w:line="363" w:lineRule="exact"/>
        <w:ind w:firstLine="420"/>
        <w:jc w:val="both"/>
        <w:rPr>
          <w:color w:val="auto"/>
        </w:rPr>
      </w:pPr>
      <w:r>
        <w:rPr>
          <w:rFonts w:hint="eastAsia"/>
          <w:color w:val="auto"/>
          <w:lang w:val="en-US" w:bidi="en-US"/>
        </w:rPr>
        <w:t>3.4.3</w:t>
      </w:r>
      <w:r>
        <w:rPr>
          <w:rFonts w:hint="eastAsia"/>
          <w:color w:val="auto"/>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27463FB0">
      <w:pPr>
        <w:pStyle w:val="95"/>
        <w:spacing w:line="363" w:lineRule="exact"/>
        <w:ind w:firstLine="420"/>
        <w:jc w:val="both"/>
        <w:rPr>
          <w:color w:val="auto"/>
        </w:rPr>
      </w:pPr>
      <w:r>
        <w:rPr>
          <w:rFonts w:hint="eastAsia"/>
          <w:color w:val="auto"/>
          <w:lang w:val="en-US" w:bidi="en-US"/>
        </w:rPr>
        <w:t>3.4.4</w:t>
      </w:r>
      <w:r>
        <w:rPr>
          <w:rFonts w:hint="eastAsia"/>
          <w:color w:val="auto"/>
        </w:rPr>
        <w:t>除合同另有约定外，承包人只从总监理工程师或按第</w:t>
      </w:r>
      <w:r>
        <w:rPr>
          <w:rFonts w:hint="eastAsia"/>
          <w:color w:val="auto"/>
          <w:lang w:val="en-US" w:bidi="en-US"/>
        </w:rPr>
        <w:t xml:space="preserve">3. 3. </w:t>
      </w:r>
      <w:r>
        <w:rPr>
          <w:rFonts w:hint="eastAsia"/>
          <w:color w:val="auto"/>
        </w:rPr>
        <w:t>1项被授权的监理人员处取得指示。</w:t>
      </w:r>
    </w:p>
    <w:p w14:paraId="354885F3">
      <w:pPr>
        <w:pStyle w:val="95"/>
        <w:spacing w:line="363" w:lineRule="exact"/>
        <w:ind w:firstLine="420"/>
        <w:jc w:val="both"/>
        <w:rPr>
          <w:color w:val="auto"/>
        </w:rPr>
      </w:pPr>
      <w:r>
        <w:rPr>
          <w:rFonts w:hint="eastAsia"/>
          <w:color w:val="auto"/>
          <w:lang w:val="en-US" w:bidi="en-US"/>
        </w:rPr>
        <w:t>3.4.5</w:t>
      </w:r>
      <w:r>
        <w:rPr>
          <w:rFonts w:hint="eastAsia"/>
          <w:color w:val="auto"/>
        </w:rPr>
        <w:t>由于监理人未能按合同约定发出指示、指示延误或指示错误而导致承包人费用增加和（或）工期延误的，由发包人承担赔偿责任。</w:t>
      </w:r>
    </w:p>
    <w:p w14:paraId="28C26C68">
      <w:pPr>
        <w:pStyle w:val="101"/>
        <w:spacing w:before="0" w:after="0" w:line="360" w:lineRule="exact"/>
        <w:rPr>
          <w:rFonts w:ascii="宋体" w:hAnsi="宋体" w:cs="宋体"/>
          <w:color w:val="auto"/>
          <w:sz w:val="24"/>
          <w:szCs w:val="24"/>
          <w:lang w:eastAsia="zh-CN"/>
        </w:rPr>
      </w:pPr>
      <w:bookmarkStart w:id="352" w:name="_Toc3042"/>
      <w:bookmarkStart w:id="353" w:name="_Toc17429"/>
      <w:bookmarkStart w:id="354" w:name="bookmark993"/>
      <w:bookmarkStart w:id="355" w:name="bookmark995"/>
      <w:bookmarkStart w:id="356" w:name="_Toc1212"/>
      <w:bookmarkStart w:id="357" w:name="_Toc19935"/>
      <w:bookmarkStart w:id="358" w:name="_Toc18381"/>
      <w:bookmarkStart w:id="359" w:name="bookmark994"/>
      <w:bookmarkStart w:id="360" w:name="_Toc22411"/>
      <w:bookmarkStart w:id="361" w:name="_Toc15164"/>
      <w:r>
        <w:rPr>
          <w:rFonts w:hint="eastAsia" w:ascii="宋体" w:hAnsi="宋体" w:cs="宋体"/>
          <w:color w:val="auto"/>
          <w:sz w:val="24"/>
          <w:szCs w:val="24"/>
          <w:lang w:eastAsia="zh-CN"/>
        </w:rPr>
        <w:t>3.5商定或确定</w:t>
      </w:r>
      <w:bookmarkEnd w:id="352"/>
      <w:bookmarkEnd w:id="353"/>
      <w:bookmarkEnd w:id="354"/>
      <w:bookmarkEnd w:id="355"/>
      <w:bookmarkEnd w:id="356"/>
      <w:bookmarkEnd w:id="357"/>
      <w:bookmarkEnd w:id="358"/>
      <w:bookmarkEnd w:id="359"/>
      <w:bookmarkEnd w:id="360"/>
      <w:bookmarkEnd w:id="361"/>
    </w:p>
    <w:p w14:paraId="09B97E78">
      <w:pPr>
        <w:pStyle w:val="95"/>
        <w:spacing w:line="368" w:lineRule="exact"/>
        <w:ind w:firstLine="420"/>
        <w:jc w:val="both"/>
        <w:rPr>
          <w:color w:val="auto"/>
        </w:rPr>
      </w:pPr>
      <w:r>
        <w:rPr>
          <w:rFonts w:hint="eastAsia"/>
          <w:color w:val="auto"/>
          <w:lang w:val="en-US" w:bidi="en-US"/>
        </w:rPr>
        <w:t>3.5.1</w:t>
      </w:r>
      <w:r>
        <w:rPr>
          <w:rFonts w:hint="eastAsia"/>
          <w:color w:val="auto"/>
        </w:rPr>
        <w:t>合同约定总监理工程师应按照本款对任何事项进行商定或确定时，总监理工程师应与合同当事人协商，尽量达成一致。不能达成一致的，总监理工程师应认真研究后审慎确定。</w:t>
      </w:r>
    </w:p>
    <w:p w14:paraId="57F25E48">
      <w:pPr>
        <w:pStyle w:val="95"/>
        <w:spacing w:line="356" w:lineRule="exact"/>
        <w:ind w:firstLine="420"/>
        <w:jc w:val="both"/>
        <w:rPr>
          <w:color w:val="auto"/>
        </w:rPr>
      </w:pPr>
      <w:r>
        <w:rPr>
          <w:rFonts w:hint="eastAsia"/>
          <w:color w:val="auto"/>
          <w:lang w:val="en-US" w:bidi="en-US"/>
        </w:rPr>
        <w:t>3.5.2</w:t>
      </w:r>
      <w:r>
        <w:rPr>
          <w:rFonts w:hint="eastAsia"/>
          <w:color w:val="auto"/>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color w:val="auto"/>
          <w:lang w:val="en-US" w:bidi="en-US"/>
        </w:rPr>
        <w:t>。</w:t>
      </w:r>
    </w:p>
    <w:p w14:paraId="7BD381D0">
      <w:pPr>
        <w:pStyle w:val="101"/>
        <w:spacing w:before="0" w:after="0" w:line="360" w:lineRule="exact"/>
        <w:rPr>
          <w:rFonts w:ascii="宋体" w:hAnsi="宋体" w:cs="宋体"/>
          <w:color w:val="auto"/>
          <w:lang w:eastAsia="zh-CN"/>
        </w:rPr>
      </w:pPr>
      <w:bookmarkStart w:id="362" w:name="_Toc30773"/>
      <w:bookmarkStart w:id="363" w:name="bookmark998"/>
      <w:bookmarkStart w:id="364" w:name="_Toc17572"/>
      <w:bookmarkStart w:id="365" w:name="bookmark996"/>
      <w:bookmarkStart w:id="366" w:name="_Toc45"/>
      <w:bookmarkStart w:id="367" w:name="_Toc554"/>
      <w:bookmarkStart w:id="368" w:name="_Toc30470"/>
      <w:bookmarkStart w:id="369" w:name="_Toc13765"/>
      <w:bookmarkStart w:id="370" w:name="_Toc28178"/>
      <w:bookmarkStart w:id="371" w:name="bookmark997"/>
      <w:r>
        <w:rPr>
          <w:rFonts w:hint="eastAsia" w:ascii="宋体" w:hAnsi="宋体" w:cs="宋体"/>
          <w:color w:val="auto"/>
          <w:lang w:eastAsia="zh-CN"/>
        </w:rPr>
        <w:t>4.承包人</w:t>
      </w:r>
      <w:bookmarkEnd w:id="362"/>
      <w:bookmarkEnd w:id="363"/>
      <w:bookmarkEnd w:id="364"/>
      <w:bookmarkEnd w:id="365"/>
      <w:bookmarkEnd w:id="366"/>
      <w:bookmarkEnd w:id="367"/>
      <w:bookmarkEnd w:id="368"/>
      <w:bookmarkEnd w:id="369"/>
      <w:bookmarkEnd w:id="370"/>
      <w:bookmarkEnd w:id="371"/>
    </w:p>
    <w:p w14:paraId="168A003B">
      <w:pPr>
        <w:pStyle w:val="101"/>
        <w:spacing w:before="0" w:after="0" w:line="360" w:lineRule="exact"/>
        <w:rPr>
          <w:rFonts w:ascii="宋体" w:hAnsi="宋体" w:cs="宋体"/>
          <w:color w:val="auto"/>
          <w:sz w:val="24"/>
          <w:szCs w:val="24"/>
          <w:lang w:eastAsia="zh-CN"/>
        </w:rPr>
      </w:pPr>
      <w:bookmarkStart w:id="372" w:name="_Toc14674"/>
      <w:bookmarkStart w:id="373" w:name="_Toc11324"/>
      <w:bookmarkStart w:id="374" w:name="_Toc25353"/>
      <w:bookmarkStart w:id="375" w:name="bookmark999"/>
      <w:bookmarkStart w:id="376" w:name="_Toc31468"/>
      <w:bookmarkStart w:id="377" w:name="_Toc3815"/>
      <w:bookmarkStart w:id="378" w:name="bookmark1000"/>
      <w:bookmarkStart w:id="379" w:name="bookmark1001"/>
      <w:bookmarkStart w:id="380" w:name="_Toc8306"/>
      <w:bookmarkStart w:id="381" w:name="_Toc12757"/>
      <w:r>
        <w:rPr>
          <w:rFonts w:hint="eastAsia" w:ascii="宋体" w:hAnsi="宋体" w:cs="宋体"/>
          <w:color w:val="auto"/>
          <w:sz w:val="24"/>
          <w:szCs w:val="24"/>
          <w:lang w:eastAsia="zh-CN"/>
        </w:rPr>
        <w:t>4.1承包人的一般义务</w:t>
      </w:r>
      <w:bookmarkEnd w:id="372"/>
      <w:bookmarkEnd w:id="373"/>
      <w:bookmarkEnd w:id="374"/>
      <w:bookmarkEnd w:id="375"/>
      <w:bookmarkEnd w:id="376"/>
      <w:bookmarkEnd w:id="377"/>
      <w:bookmarkEnd w:id="378"/>
      <w:bookmarkEnd w:id="379"/>
      <w:bookmarkEnd w:id="380"/>
      <w:bookmarkEnd w:id="381"/>
    </w:p>
    <w:p w14:paraId="7BAE05AA">
      <w:pPr>
        <w:pStyle w:val="95"/>
        <w:spacing w:line="363" w:lineRule="exact"/>
        <w:ind w:firstLine="420"/>
        <w:jc w:val="both"/>
        <w:rPr>
          <w:color w:val="auto"/>
        </w:rPr>
      </w:pPr>
      <w:r>
        <w:rPr>
          <w:rFonts w:hint="eastAsia"/>
          <w:color w:val="auto"/>
          <w:lang w:val="en-US" w:bidi="en-US"/>
        </w:rPr>
        <w:t>4.1.1</w:t>
      </w:r>
      <w:r>
        <w:rPr>
          <w:rFonts w:hint="eastAsia"/>
          <w:color w:val="auto"/>
        </w:rPr>
        <w:t>遵守法律</w:t>
      </w:r>
    </w:p>
    <w:p w14:paraId="059A2008">
      <w:pPr>
        <w:pStyle w:val="95"/>
        <w:spacing w:line="350" w:lineRule="exact"/>
        <w:ind w:firstLine="420"/>
        <w:jc w:val="both"/>
        <w:rPr>
          <w:color w:val="auto"/>
        </w:rPr>
      </w:pPr>
      <w:r>
        <w:rPr>
          <w:rFonts w:hint="eastAsia"/>
          <w:color w:val="auto"/>
        </w:rPr>
        <w:t>承包人在履行合同过程中应遵守法律，并保证发包人免于承担因承包人违反法律而引起的任何责任。</w:t>
      </w:r>
    </w:p>
    <w:p w14:paraId="5E6FC7A9">
      <w:pPr>
        <w:pStyle w:val="95"/>
        <w:spacing w:line="363" w:lineRule="exact"/>
        <w:ind w:firstLine="420"/>
        <w:jc w:val="both"/>
        <w:rPr>
          <w:color w:val="auto"/>
        </w:rPr>
      </w:pPr>
      <w:bookmarkStart w:id="382" w:name="bookmark1002"/>
      <w:bookmarkEnd w:id="382"/>
      <w:r>
        <w:rPr>
          <w:rFonts w:hint="eastAsia"/>
          <w:color w:val="auto"/>
          <w:lang w:val="en-US"/>
        </w:rPr>
        <w:t>4.1.2</w:t>
      </w:r>
      <w:r>
        <w:rPr>
          <w:rFonts w:hint="eastAsia"/>
          <w:color w:val="auto"/>
        </w:rPr>
        <w:t>依法纳税</w:t>
      </w:r>
    </w:p>
    <w:p w14:paraId="5AE3E22C">
      <w:pPr>
        <w:pStyle w:val="95"/>
        <w:spacing w:line="363" w:lineRule="exact"/>
        <w:ind w:firstLine="420"/>
        <w:jc w:val="both"/>
        <w:rPr>
          <w:color w:val="auto"/>
        </w:rPr>
      </w:pPr>
      <w:r>
        <w:rPr>
          <w:rFonts w:hint="eastAsia"/>
          <w:color w:val="auto"/>
        </w:rPr>
        <w:t>承包人应按有关法律规定纳税，应缴纳的税金包括在合同价格内。</w:t>
      </w:r>
    </w:p>
    <w:p w14:paraId="6305D6C1">
      <w:pPr>
        <w:pStyle w:val="95"/>
        <w:spacing w:line="363" w:lineRule="exact"/>
        <w:ind w:firstLine="420"/>
        <w:jc w:val="both"/>
        <w:rPr>
          <w:color w:val="auto"/>
        </w:rPr>
      </w:pPr>
      <w:r>
        <w:rPr>
          <w:rFonts w:hint="eastAsia"/>
          <w:color w:val="auto"/>
          <w:lang w:val="en-US"/>
        </w:rPr>
        <w:t>4.1.3</w:t>
      </w:r>
      <w:r>
        <w:rPr>
          <w:rFonts w:hint="eastAsia"/>
          <w:color w:val="auto"/>
        </w:rPr>
        <w:t>完成各项承包工作</w:t>
      </w:r>
    </w:p>
    <w:p w14:paraId="72545DC6">
      <w:pPr>
        <w:pStyle w:val="95"/>
        <w:spacing w:line="366" w:lineRule="exact"/>
        <w:ind w:firstLine="420"/>
        <w:jc w:val="both"/>
        <w:rPr>
          <w:color w:val="auto"/>
        </w:rPr>
      </w:pPr>
      <w:r>
        <w:rPr>
          <w:rFonts w:hint="eastAsia"/>
          <w:color w:val="auto"/>
        </w:rPr>
        <w:t>承包人应按合同约定以及监理人根据第</w:t>
      </w:r>
      <w:r>
        <w:rPr>
          <w:rFonts w:hint="eastAsia"/>
          <w:color w:val="auto"/>
          <w:lang w:val="en-US" w:bidi="en-US"/>
        </w:rPr>
        <w:t>3.4</w:t>
      </w:r>
      <w:r>
        <w:rPr>
          <w:rFonts w:hint="eastAsia"/>
          <w:color w:val="auto"/>
        </w:rPr>
        <w:t>款作出的指示，实施、完成全部工程，并修补工程中的任何缺陷。除第</w:t>
      </w:r>
      <w:r>
        <w:rPr>
          <w:rFonts w:hint="eastAsia"/>
          <w:color w:val="auto"/>
          <w:lang w:val="en-US" w:bidi="en-US"/>
        </w:rPr>
        <w:t>5.</w:t>
      </w:r>
      <w:r>
        <w:rPr>
          <w:rFonts w:hint="eastAsia"/>
          <w:color w:val="auto"/>
        </w:rPr>
        <w:t>2款、第</w:t>
      </w:r>
      <w:r>
        <w:rPr>
          <w:rFonts w:hint="eastAsia"/>
          <w:color w:val="auto"/>
          <w:lang w:val="en-US" w:bidi="en-US"/>
        </w:rPr>
        <w:t>6.</w:t>
      </w:r>
      <w:r>
        <w:rPr>
          <w:rFonts w:hint="eastAsia"/>
          <w:color w:val="auto"/>
        </w:rPr>
        <w:t>2款另有约定外，承包人应提供为完成合同工作所需的劳务、材料、施工设备、工程设备和其它物品，并按合同约定负责临时设施的设计、建造、运行、维护、管理和拆除。</w:t>
      </w:r>
    </w:p>
    <w:p w14:paraId="57B12065">
      <w:pPr>
        <w:pStyle w:val="95"/>
        <w:spacing w:line="363" w:lineRule="exact"/>
        <w:ind w:firstLine="420"/>
        <w:jc w:val="both"/>
        <w:rPr>
          <w:color w:val="auto"/>
        </w:rPr>
      </w:pPr>
      <w:r>
        <w:rPr>
          <w:rFonts w:hint="eastAsia"/>
          <w:color w:val="auto"/>
          <w:lang w:val="en-US"/>
        </w:rPr>
        <w:t>4.1.4</w:t>
      </w:r>
      <w:r>
        <w:rPr>
          <w:rFonts w:hint="eastAsia"/>
          <w:color w:val="auto"/>
        </w:rPr>
        <w:t>对施工作业和施工方法的完备性负责</w:t>
      </w:r>
    </w:p>
    <w:p w14:paraId="66DD4FBF">
      <w:pPr>
        <w:pStyle w:val="95"/>
        <w:spacing w:line="360" w:lineRule="exact"/>
        <w:ind w:firstLine="420"/>
        <w:jc w:val="both"/>
        <w:rPr>
          <w:color w:val="auto"/>
        </w:rPr>
      </w:pPr>
      <w:r>
        <w:rPr>
          <w:rFonts w:hint="eastAsia"/>
          <w:color w:val="auto"/>
        </w:rPr>
        <w:t>承包人应按合同约定的工作内容和施工进度要求，编制施工组织设计和施工措施计划，并对所有施工作业和施工方法的完备性和安全可靠性负责。</w:t>
      </w:r>
    </w:p>
    <w:p w14:paraId="7B08C1DF">
      <w:pPr>
        <w:pStyle w:val="95"/>
        <w:spacing w:line="363" w:lineRule="exact"/>
        <w:ind w:firstLine="420"/>
        <w:jc w:val="both"/>
        <w:rPr>
          <w:color w:val="auto"/>
        </w:rPr>
      </w:pPr>
      <w:r>
        <w:rPr>
          <w:rFonts w:hint="eastAsia"/>
          <w:color w:val="auto"/>
          <w:lang w:val="en-US"/>
        </w:rPr>
        <w:t>4.1.5</w:t>
      </w:r>
      <w:r>
        <w:rPr>
          <w:rFonts w:hint="eastAsia"/>
          <w:color w:val="auto"/>
        </w:rPr>
        <w:t>保证工程施工和人员的安全</w:t>
      </w:r>
    </w:p>
    <w:p w14:paraId="601F97AA">
      <w:pPr>
        <w:pStyle w:val="95"/>
        <w:spacing w:line="382" w:lineRule="exact"/>
        <w:ind w:firstLine="420"/>
        <w:jc w:val="both"/>
        <w:rPr>
          <w:color w:val="auto"/>
        </w:rPr>
      </w:pPr>
      <w:r>
        <w:rPr>
          <w:rFonts w:hint="eastAsia"/>
          <w:color w:val="auto"/>
        </w:rPr>
        <w:t>承包人应按第</w:t>
      </w:r>
      <w:r>
        <w:rPr>
          <w:rFonts w:hint="eastAsia"/>
          <w:color w:val="auto"/>
          <w:lang w:val="en-US" w:bidi="en-US"/>
        </w:rPr>
        <w:t xml:space="preserve">9. </w:t>
      </w:r>
      <w:r>
        <w:rPr>
          <w:rFonts w:hint="eastAsia"/>
          <w:color w:val="auto"/>
        </w:rPr>
        <w:t>2款约定采取施工安全措施，确保工程及其人员、材料、设备和设施的安全，防止因工程施工造成的人身伤害和财产损失。</w:t>
      </w:r>
    </w:p>
    <w:p w14:paraId="239F1389">
      <w:pPr>
        <w:pStyle w:val="95"/>
        <w:spacing w:line="363" w:lineRule="exact"/>
        <w:ind w:firstLine="420"/>
        <w:jc w:val="both"/>
        <w:rPr>
          <w:color w:val="auto"/>
        </w:rPr>
      </w:pPr>
      <w:bookmarkStart w:id="383" w:name="bookmark1003"/>
      <w:bookmarkEnd w:id="383"/>
      <w:r>
        <w:rPr>
          <w:rFonts w:hint="eastAsia"/>
          <w:color w:val="auto"/>
          <w:lang w:val="en-US"/>
        </w:rPr>
        <w:t>4.1.6</w:t>
      </w:r>
      <w:r>
        <w:rPr>
          <w:rFonts w:hint="eastAsia"/>
          <w:color w:val="auto"/>
        </w:rPr>
        <w:t>负责施工场地及其周边环境与生态的保护工作</w:t>
      </w:r>
    </w:p>
    <w:p w14:paraId="163AC062">
      <w:pPr>
        <w:pStyle w:val="95"/>
        <w:spacing w:line="355" w:lineRule="exact"/>
        <w:ind w:firstLine="420"/>
        <w:jc w:val="both"/>
        <w:rPr>
          <w:color w:val="auto"/>
        </w:rPr>
      </w:pPr>
      <w:r>
        <w:rPr>
          <w:rFonts w:hint="eastAsia"/>
          <w:color w:val="auto"/>
        </w:rPr>
        <w:t>承包人应按照第</w:t>
      </w:r>
      <w:r>
        <w:rPr>
          <w:rFonts w:hint="eastAsia"/>
          <w:color w:val="auto"/>
          <w:lang w:val="en-US" w:bidi="en-US"/>
        </w:rPr>
        <w:t>9.4</w:t>
      </w:r>
      <w:r>
        <w:rPr>
          <w:rFonts w:hint="eastAsia"/>
          <w:color w:val="auto"/>
        </w:rPr>
        <w:t>款约定负责施工场地及其周边环境与生态的保护工作。</w:t>
      </w:r>
    </w:p>
    <w:p w14:paraId="5EF67887">
      <w:pPr>
        <w:pStyle w:val="95"/>
        <w:spacing w:line="363" w:lineRule="exact"/>
        <w:ind w:firstLine="420"/>
        <w:jc w:val="both"/>
        <w:rPr>
          <w:color w:val="auto"/>
        </w:rPr>
      </w:pPr>
      <w:r>
        <w:rPr>
          <w:rFonts w:hint="eastAsia"/>
          <w:color w:val="auto"/>
          <w:lang w:val="en-US"/>
        </w:rPr>
        <w:t>4.1.</w:t>
      </w:r>
      <w:r>
        <w:rPr>
          <w:rFonts w:hint="eastAsia"/>
          <w:color w:val="auto"/>
        </w:rPr>
        <w:t>7避免施工对公众与他人的利益造成损害</w:t>
      </w:r>
    </w:p>
    <w:p w14:paraId="5FFB6F40">
      <w:pPr>
        <w:pStyle w:val="95"/>
        <w:spacing w:line="355" w:lineRule="exact"/>
        <w:ind w:firstLine="420"/>
        <w:jc w:val="both"/>
        <w:rPr>
          <w:color w:val="auto"/>
        </w:rPr>
      </w:pPr>
      <w:r>
        <w:rPr>
          <w:rFonts w:hint="eastAsia"/>
          <w:color w:val="auto"/>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5EB0582B">
      <w:pPr>
        <w:pStyle w:val="95"/>
        <w:spacing w:line="363" w:lineRule="exact"/>
        <w:ind w:firstLine="420"/>
        <w:jc w:val="both"/>
        <w:rPr>
          <w:color w:val="auto"/>
        </w:rPr>
      </w:pPr>
      <w:r>
        <w:rPr>
          <w:rFonts w:hint="eastAsia"/>
          <w:color w:val="auto"/>
          <w:lang w:val="en-US"/>
        </w:rPr>
        <w:t>4.1.8</w:t>
      </w:r>
      <w:r>
        <w:rPr>
          <w:rFonts w:hint="eastAsia"/>
          <w:color w:val="auto"/>
        </w:rPr>
        <w:t>为他人提供方便</w:t>
      </w:r>
    </w:p>
    <w:p w14:paraId="5C9D24A8">
      <w:pPr>
        <w:pStyle w:val="95"/>
        <w:spacing w:line="341" w:lineRule="exact"/>
        <w:ind w:firstLine="420"/>
        <w:jc w:val="both"/>
        <w:rPr>
          <w:color w:val="auto"/>
        </w:rPr>
      </w:pPr>
      <w:r>
        <w:rPr>
          <w:rFonts w:hint="eastAsia"/>
          <w:color w:val="auto"/>
        </w:rPr>
        <w:t>承包人应按监理人的指示为他人在施工场地或附近实施与工程有关的其他各项工作提供可能的条件。除合同另有约定外，提供有关条件的内容和可能发生的费用，由监理人按 第</w:t>
      </w:r>
      <w:r>
        <w:rPr>
          <w:rFonts w:hint="eastAsia"/>
          <w:color w:val="auto"/>
          <w:lang w:val="en-US" w:bidi="en-US"/>
        </w:rPr>
        <w:t>3.</w:t>
      </w:r>
      <w:r>
        <w:rPr>
          <w:rFonts w:hint="eastAsia"/>
          <w:color w:val="auto"/>
        </w:rPr>
        <w:t>5款商定或确定。</w:t>
      </w:r>
    </w:p>
    <w:p w14:paraId="79DC6B0C">
      <w:pPr>
        <w:pStyle w:val="95"/>
        <w:spacing w:line="363" w:lineRule="exact"/>
        <w:ind w:firstLine="420"/>
        <w:jc w:val="both"/>
        <w:rPr>
          <w:color w:val="auto"/>
        </w:rPr>
      </w:pPr>
      <w:r>
        <w:rPr>
          <w:rFonts w:hint="eastAsia"/>
          <w:color w:val="auto"/>
          <w:lang w:val="en-US"/>
        </w:rPr>
        <w:t>4.1.9</w:t>
      </w:r>
      <w:r>
        <w:rPr>
          <w:rFonts w:hint="eastAsia"/>
          <w:color w:val="auto"/>
        </w:rPr>
        <w:t>工程的维护和照管</w:t>
      </w:r>
    </w:p>
    <w:p w14:paraId="373FC80D">
      <w:pPr>
        <w:pStyle w:val="95"/>
        <w:spacing w:line="355" w:lineRule="exact"/>
        <w:ind w:firstLine="420"/>
        <w:jc w:val="both"/>
        <w:rPr>
          <w:color w:val="auto"/>
        </w:rPr>
      </w:pPr>
      <w:r>
        <w:rPr>
          <w:rFonts w:hint="eastAsia"/>
          <w:color w:va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3333B25">
      <w:pPr>
        <w:pStyle w:val="95"/>
        <w:spacing w:line="363" w:lineRule="exact"/>
        <w:ind w:firstLine="420"/>
        <w:jc w:val="both"/>
        <w:rPr>
          <w:color w:val="auto"/>
        </w:rPr>
      </w:pPr>
      <w:r>
        <w:rPr>
          <w:rFonts w:hint="eastAsia"/>
          <w:color w:val="auto"/>
        </w:rPr>
        <w:t>4.1.10其它义务</w:t>
      </w:r>
    </w:p>
    <w:p w14:paraId="5A138DFA">
      <w:pPr>
        <w:pStyle w:val="95"/>
        <w:spacing w:line="363" w:lineRule="exact"/>
        <w:ind w:firstLine="420"/>
        <w:jc w:val="both"/>
        <w:rPr>
          <w:color w:val="auto"/>
        </w:rPr>
      </w:pPr>
      <w:r>
        <w:rPr>
          <w:rFonts w:hint="eastAsia"/>
          <w:color w:val="auto"/>
        </w:rPr>
        <w:t>其它义务在专用合同条款中补充约定。</w:t>
      </w:r>
    </w:p>
    <w:p w14:paraId="7ADE4EA9">
      <w:pPr>
        <w:pStyle w:val="101"/>
        <w:spacing w:before="0" w:after="0" w:line="360" w:lineRule="exact"/>
        <w:rPr>
          <w:rFonts w:ascii="宋体" w:hAnsi="宋体" w:cs="宋体"/>
          <w:color w:val="auto"/>
          <w:sz w:val="24"/>
          <w:szCs w:val="24"/>
          <w:lang w:eastAsia="zh-CN"/>
        </w:rPr>
      </w:pPr>
      <w:bookmarkStart w:id="384" w:name="_Toc12072"/>
      <w:bookmarkStart w:id="385" w:name="_Toc1085"/>
      <w:bookmarkStart w:id="386" w:name="bookmark1006"/>
      <w:bookmarkStart w:id="387" w:name="bookmark1004"/>
      <w:bookmarkStart w:id="388" w:name="_Toc20330"/>
      <w:bookmarkStart w:id="389" w:name="_Toc23140"/>
      <w:bookmarkStart w:id="390" w:name="_Toc11535"/>
      <w:bookmarkStart w:id="391" w:name="_Toc30450"/>
      <w:bookmarkStart w:id="392" w:name="_Toc5452"/>
      <w:bookmarkStart w:id="393" w:name="bookmark1005"/>
      <w:r>
        <w:rPr>
          <w:rFonts w:hint="eastAsia" w:ascii="宋体" w:hAnsi="宋体" w:cs="宋体"/>
          <w:color w:val="auto"/>
          <w:sz w:val="24"/>
          <w:szCs w:val="24"/>
          <w:lang w:eastAsia="zh-CN"/>
        </w:rPr>
        <w:t>4.2履约担保</w:t>
      </w:r>
      <w:bookmarkEnd w:id="384"/>
      <w:bookmarkEnd w:id="385"/>
      <w:bookmarkEnd w:id="386"/>
      <w:bookmarkEnd w:id="387"/>
      <w:bookmarkEnd w:id="388"/>
      <w:bookmarkEnd w:id="389"/>
      <w:bookmarkEnd w:id="390"/>
      <w:bookmarkEnd w:id="391"/>
      <w:bookmarkEnd w:id="392"/>
      <w:bookmarkEnd w:id="393"/>
    </w:p>
    <w:p w14:paraId="53488583">
      <w:pPr>
        <w:pStyle w:val="95"/>
        <w:spacing w:line="331" w:lineRule="exact"/>
        <w:ind w:firstLine="420"/>
        <w:jc w:val="both"/>
        <w:rPr>
          <w:color w:val="auto"/>
        </w:rPr>
      </w:pPr>
      <w:r>
        <w:rPr>
          <w:rFonts w:hint="eastAsia"/>
          <w:color w:val="auto"/>
        </w:rPr>
        <w:t>承包人应保证其履约担保在发包人颁发合同工程完工证书前一直有效。发包人应在合同工程完工证书颁发后28天内将履约担保退还给承包人。</w:t>
      </w:r>
    </w:p>
    <w:p w14:paraId="619F9CE6">
      <w:pPr>
        <w:pStyle w:val="101"/>
        <w:spacing w:before="0" w:after="0" w:line="360" w:lineRule="exact"/>
        <w:rPr>
          <w:rFonts w:ascii="宋体" w:hAnsi="宋体" w:cs="宋体"/>
          <w:color w:val="auto"/>
          <w:sz w:val="24"/>
          <w:szCs w:val="24"/>
          <w:lang w:eastAsia="zh-CN"/>
        </w:rPr>
      </w:pPr>
      <w:bookmarkStart w:id="394" w:name="_Toc14304"/>
      <w:bookmarkStart w:id="395" w:name="_Toc32323"/>
      <w:bookmarkStart w:id="396" w:name="bookmark1007"/>
      <w:bookmarkStart w:id="397" w:name="_Toc8180"/>
      <w:bookmarkStart w:id="398" w:name="_Toc8313"/>
      <w:bookmarkStart w:id="399" w:name="bookmark1008"/>
      <w:bookmarkStart w:id="400" w:name="_Toc5868"/>
      <w:bookmarkStart w:id="401" w:name="_Toc31393"/>
      <w:bookmarkStart w:id="402" w:name="_Toc11216"/>
      <w:bookmarkStart w:id="403" w:name="bookmark1009"/>
      <w:r>
        <w:rPr>
          <w:rFonts w:hint="eastAsia" w:ascii="宋体" w:hAnsi="宋体" w:cs="宋体"/>
          <w:color w:val="auto"/>
          <w:sz w:val="24"/>
          <w:szCs w:val="24"/>
          <w:lang w:eastAsia="zh-CN"/>
        </w:rPr>
        <w:t>4.3分包</w:t>
      </w:r>
      <w:bookmarkEnd w:id="394"/>
      <w:bookmarkEnd w:id="395"/>
      <w:bookmarkEnd w:id="396"/>
      <w:bookmarkEnd w:id="397"/>
      <w:bookmarkEnd w:id="398"/>
      <w:bookmarkEnd w:id="399"/>
      <w:bookmarkEnd w:id="400"/>
      <w:bookmarkEnd w:id="401"/>
      <w:bookmarkEnd w:id="402"/>
      <w:bookmarkEnd w:id="403"/>
    </w:p>
    <w:p w14:paraId="0D190906">
      <w:pPr>
        <w:pStyle w:val="95"/>
        <w:spacing w:line="363" w:lineRule="exact"/>
        <w:ind w:firstLine="420"/>
        <w:jc w:val="both"/>
        <w:rPr>
          <w:color w:val="auto"/>
        </w:rPr>
      </w:pPr>
      <w:r>
        <w:rPr>
          <w:rFonts w:hint="eastAsia"/>
          <w:color w:val="auto"/>
          <w:lang w:val="en-US" w:bidi="en-US"/>
        </w:rPr>
        <w:t>4.3.1</w:t>
      </w:r>
      <w:r>
        <w:rPr>
          <w:rFonts w:hint="eastAsia"/>
          <w:color w:val="auto"/>
        </w:rPr>
        <w:t>承包人不得将其承包的全部工程转包给第三人，或将其承包的全部工程肢解后以分包的名义转包给第三人。</w:t>
      </w:r>
    </w:p>
    <w:p w14:paraId="565AE596">
      <w:pPr>
        <w:pStyle w:val="95"/>
        <w:spacing w:line="363" w:lineRule="exact"/>
        <w:ind w:firstLine="420"/>
        <w:jc w:val="both"/>
        <w:rPr>
          <w:color w:val="auto"/>
        </w:rPr>
      </w:pPr>
      <w:r>
        <w:rPr>
          <w:rFonts w:hint="eastAsia"/>
          <w:color w:val="auto"/>
          <w:lang w:val="en-US" w:bidi="en-US"/>
        </w:rPr>
        <w:t>4.3.2</w:t>
      </w:r>
      <w:r>
        <w:rPr>
          <w:rFonts w:hint="eastAsia"/>
          <w:color w:val="auto"/>
        </w:rPr>
        <w:t>承包人不得将工程主体、关键性工作分包给第三人。除专用合同条款另有约定外，未经发包人同意，承包人不得将工程的其他部分或工作分包给第三人。</w:t>
      </w:r>
    </w:p>
    <w:p w14:paraId="24E6FBFC">
      <w:pPr>
        <w:pStyle w:val="95"/>
        <w:spacing w:line="363" w:lineRule="exact"/>
        <w:ind w:firstLine="420"/>
        <w:jc w:val="both"/>
        <w:rPr>
          <w:color w:val="auto"/>
        </w:rPr>
      </w:pPr>
      <w:r>
        <w:rPr>
          <w:rFonts w:hint="eastAsia"/>
          <w:color w:val="auto"/>
          <w:lang w:val="en-US" w:bidi="en-US"/>
        </w:rPr>
        <w:t>4.3.</w:t>
      </w:r>
      <w:r>
        <w:rPr>
          <w:rFonts w:hint="eastAsia"/>
          <w:color w:val="auto"/>
        </w:rPr>
        <w:t>3分包人的资格能力应与其分包工程的标准和规模相适应。</w:t>
      </w:r>
    </w:p>
    <w:p w14:paraId="6129AD5E">
      <w:pPr>
        <w:pStyle w:val="95"/>
        <w:spacing w:line="363" w:lineRule="exact"/>
        <w:ind w:firstLine="420"/>
        <w:jc w:val="both"/>
        <w:rPr>
          <w:color w:val="auto"/>
        </w:rPr>
      </w:pPr>
      <w:r>
        <w:rPr>
          <w:rFonts w:hint="eastAsia"/>
          <w:color w:val="auto"/>
          <w:lang w:val="en-US" w:bidi="en-US"/>
        </w:rPr>
        <w:t>4.3.4</w:t>
      </w:r>
      <w:r>
        <w:rPr>
          <w:rFonts w:hint="eastAsia"/>
          <w:color w:val="auto"/>
        </w:rPr>
        <w:t>按投标函附录约定分包工程的，承包人应向发包人和监理人提交分包合同副本。</w:t>
      </w:r>
    </w:p>
    <w:p w14:paraId="0685E2D6">
      <w:pPr>
        <w:pStyle w:val="95"/>
        <w:spacing w:line="363" w:lineRule="exact"/>
        <w:ind w:firstLine="420"/>
        <w:jc w:val="both"/>
        <w:rPr>
          <w:color w:val="auto"/>
        </w:rPr>
      </w:pPr>
      <w:r>
        <w:rPr>
          <w:rFonts w:hint="eastAsia"/>
          <w:color w:val="auto"/>
          <w:lang w:val="en-US" w:bidi="en-US"/>
        </w:rPr>
        <w:t>4.3.5</w:t>
      </w:r>
      <w:r>
        <w:rPr>
          <w:rFonts w:hint="eastAsia"/>
          <w:color w:val="auto"/>
        </w:rPr>
        <w:t>承包人应与分包人就分包工程向发包人承担连带责任。</w:t>
      </w:r>
    </w:p>
    <w:p w14:paraId="08243529">
      <w:pPr>
        <w:pStyle w:val="95"/>
        <w:spacing w:line="363" w:lineRule="exact"/>
        <w:ind w:firstLine="420"/>
        <w:jc w:val="both"/>
        <w:rPr>
          <w:color w:val="auto"/>
        </w:rPr>
      </w:pPr>
      <w:r>
        <w:rPr>
          <w:rFonts w:hint="eastAsia"/>
          <w:color w:val="auto"/>
          <w:lang w:val="en-US" w:bidi="en-US"/>
        </w:rPr>
        <w:t>4.3.6</w:t>
      </w:r>
      <w:r>
        <w:rPr>
          <w:rFonts w:hint="eastAsia"/>
          <w:color w:val="auto"/>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24D532B1">
      <w:pPr>
        <w:pStyle w:val="95"/>
        <w:spacing w:line="363" w:lineRule="exact"/>
        <w:ind w:firstLine="420"/>
        <w:jc w:val="both"/>
        <w:rPr>
          <w:color w:val="auto"/>
        </w:rPr>
      </w:pPr>
      <w:r>
        <w:rPr>
          <w:rFonts w:hint="eastAsia"/>
          <w:color w:val="auto"/>
          <w:lang w:val="en-US" w:bidi="en-US"/>
        </w:rPr>
        <w:t>4.3.7</w:t>
      </w:r>
      <w:r>
        <w:rPr>
          <w:rFonts w:hint="eastAsia"/>
          <w:color w:val="auto"/>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7CCC3C66">
      <w:pPr>
        <w:pStyle w:val="95"/>
        <w:spacing w:line="363" w:lineRule="exact"/>
        <w:ind w:firstLine="420"/>
        <w:jc w:val="both"/>
        <w:rPr>
          <w:color w:val="auto"/>
        </w:rPr>
      </w:pPr>
      <w:r>
        <w:rPr>
          <w:rFonts w:hint="eastAsia"/>
          <w:color w:val="auto"/>
          <w:lang w:val="en-US" w:bidi="en-US"/>
        </w:rPr>
        <w:t>4.3.8</w:t>
      </w:r>
      <w:r>
        <w:rPr>
          <w:rFonts w:hint="eastAsia"/>
          <w:color w:val="auto"/>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2BAECB61">
      <w:pPr>
        <w:pStyle w:val="95"/>
        <w:spacing w:line="357" w:lineRule="exact"/>
        <w:ind w:firstLine="420"/>
        <w:jc w:val="both"/>
        <w:rPr>
          <w:color w:val="auto"/>
        </w:rPr>
      </w:pPr>
      <w:r>
        <w:rPr>
          <w:rFonts w:hint="eastAsia"/>
          <w:color w:val="auto"/>
          <w:lang w:val="en-US" w:bidi="en-US"/>
        </w:rPr>
        <w:t>4.3.9</w:t>
      </w:r>
      <w:r>
        <w:rPr>
          <w:rFonts w:hint="eastAsia"/>
          <w:color w:val="auto"/>
        </w:rPr>
        <w:t>除第</w:t>
      </w:r>
      <w:r>
        <w:rPr>
          <w:rFonts w:hint="eastAsia"/>
          <w:color w:val="auto"/>
          <w:lang w:val="en-US" w:bidi="en-US"/>
        </w:rPr>
        <w:t>4.3.</w:t>
      </w:r>
      <w:r>
        <w:rPr>
          <w:rFonts w:hint="eastAsia"/>
          <w:color w:val="auto"/>
        </w:rPr>
        <w:t>7项规定的指定分包外，承包人对其分包项目的实施以及分包人的行为向发包人负全部责任。承包人应对分包项目的工程进度、质量、安全、计量和验收等实施监督和管理。</w:t>
      </w:r>
    </w:p>
    <w:p w14:paraId="6E50F7C9">
      <w:pPr>
        <w:pStyle w:val="95"/>
        <w:tabs>
          <w:tab w:val="left" w:pos="736"/>
        </w:tabs>
        <w:spacing w:line="372" w:lineRule="exact"/>
        <w:ind w:left="420" w:firstLine="0"/>
        <w:jc w:val="both"/>
        <w:rPr>
          <w:color w:val="auto"/>
        </w:rPr>
      </w:pPr>
      <w:bookmarkStart w:id="404" w:name="bookmark1010"/>
      <w:bookmarkEnd w:id="404"/>
      <w:r>
        <w:rPr>
          <w:rFonts w:hint="eastAsia"/>
          <w:color w:val="auto"/>
          <w:lang w:val="en-US" w:bidi="en-US"/>
        </w:rPr>
        <w:t>4.3.</w:t>
      </w:r>
      <w:r>
        <w:rPr>
          <w:rFonts w:hint="eastAsia"/>
          <w:color w:val="auto"/>
        </w:rPr>
        <w:t>10分包人应按专用合同条款的约定设立项目管理机构组织管理分包工程的施工 活动。</w:t>
      </w:r>
    </w:p>
    <w:p w14:paraId="5AD850A5">
      <w:pPr>
        <w:pStyle w:val="101"/>
        <w:spacing w:before="0" w:after="0" w:line="360" w:lineRule="exact"/>
        <w:rPr>
          <w:rFonts w:ascii="宋体" w:hAnsi="宋体" w:cs="宋体"/>
          <w:color w:val="auto"/>
          <w:sz w:val="24"/>
          <w:szCs w:val="24"/>
          <w:lang w:eastAsia="zh-CN"/>
        </w:rPr>
      </w:pPr>
      <w:bookmarkStart w:id="405" w:name="_Toc12218"/>
      <w:bookmarkStart w:id="406" w:name="_Toc20891"/>
      <w:bookmarkStart w:id="407" w:name="_Toc31132"/>
      <w:bookmarkStart w:id="408" w:name="_Toc27582"/>
      <w:bookmarkStart w:id="409" w:name="bookmark1013"/>
      <w:bookmarkStart w:id="410" w:name="_Toc18421"/>
      <w:bookmarkStart w:id="411" w:name="bookmark1011"/>
      <w:bookmarkStart w:id="412" w:name="bookmark1012"/>
      <w:bookmarkStart w:id="413" w:name="_Toc30550"/>
      <w:bookmarkStart w:id="414" w:name="_Toc2750"/>
      <w:r>
        <w:rPr>
          <w:rFonts w:hint="eastAsia" w:ascii="宋体" w:hAnsi="宋体" w:cs="宋体"/>
          <w:color w:val="auto"/>
          <w:sz w:val="24"/>
          <w:szCs w:val="24"/>
          <w:lang w:eastAsia="zh-CN"/>
        </w:rPr>
        <w:t>4.4联合体</w:t>
      </w:r>
      <w:bookmarkEnd w:id="405"/>
      <w:bookmarkEnd w:id="406"/>
      <w:bookmarkEnd w:id="407"/>
      <w:bookmarkEnd w:id="408"/>
      <w:bookmarkEnd w:id="409"/>
      <w:bookmarkEnd w:id="410"/>
      <w:bookmarkEnd w:id="411"/>
      <w:bookmarkEnd w:id="412"/>
      <w:bookmarkEnd w:id="413"/>
      <w:bookmarkEnd w:id="414"/>
    </w:p>
    <w:p w14:paraId="52E7BBD4">
      <w:pPr>
        <w:pStyle w:val="95"/>
        <w:tabs>
          <w:tab w:val="left" w:pos="738"/>
        </w:tabs>
        <w:spacing w:line="377" w:lineRule="exact"/>
        <w:ind w:firstLineChars="200"/>
        <w:jc w:val="both"/>
        <w:rPr>
          <w:color w:val="auto"/>
        </w:rPr>
      </w:pPr>
      <w:bookmarkStart w:id="415" w:name="bookmark1014"/>
      <w:bookmarkEnd w:id="415"/>
      <w:r>
        <w:rPr>
          <w:rFonts w:hint="eastAsia"/>
          <w:color w:val="auto"/>
          <w:lang w:val="en-US" w:bidi="en-US"/>
        </w:rPr>
        <w:t>4.4.1</w:t>
      </w:r>
      <w:r>
        <w:rPr>
          <w:rFonts w:hint="eastAsia"/>
          <w:color w:val="auto"/>
        </w:rPr>
        <w:t>联合体各方应共同与发包人签订合同协议书。联合体各方应为履行合同承担连带责任。</w:t>
      </w:r>
    </w:p>
    <w:p w14:paraId="0ECFA247">
      <w:pPr>
        <w:pStyle w:val="95"/>
        <w:spacing w:line="365" w:lineRule="exact"/>
        <w:ind w:firstLine="420"/>
        <w:jc w:val="both"/>
        <w:rPr>
          <w:color w:val="auto"/>
        </w:rPr>
      </w:pPr>
      <w:r>
        <w:rPr>
          <w:rFonts w:hint="eastAsia"/>
          <w:color w:val="auto"/>
          <w:lang w:val="en-US" w:bidi="en-US"/>
        </w:rPr>
        <w:t>4.4.2</w:t>
      </w:r>
      <w:r>
        <w:rPr>
          <w:rFonts w:hint="eastAsia"/>
          <w:color w:val="auto"/>
        </w:rPr>
        <w:t>联合体协议经发包人确认后作为合同附件。在履行合同过程中，未经发包人同意，不得修改联合体协议。</w:t>
      </w:r>
    </w:p>
    <w:p w14:paraId="2CBCE4E9">
      <w:pPr>
        <w:pStyle w:val="95"/>
        <w:spacing w:line="362" w:lineRule="exact"/>
        <w:ind w:firstLine="420"/>
        <w:jc w:val="both"/>
        <w:rPr>
          <w:color w:val="auto"/>
        </w:rPr>
      </w:pPr>
      <w:r>
        <w:rPr>
          <w:rFonts w:hint="eastAsia"/>
          <w:color w:val="auto"/>
          <w:lang w:val="en-US" w:bidi="en-US"/>
        </w:rPr>
        <w:t>4.4.3</w:t>
      </w:r>
      <w:r>
        <w:rPr>
          <w:rFonts w:hint="eastAsia"/>
          <w:color w:val="auto"/>
        </w:rPr>
        <w:t>联合体牵头人负责与发包人和监理人联系，并接受指示，负责组织联合体各成员全面履行合同。</w:t>
      </w:r>
    </w:p>
    <w:p w14:paraId="026A2354">
      <w:pPr>
        <w:pStyle w:val="101"/>
        <w:spacing w:before="0" w:after="0" w:line="360" w:lineRule="exact"/>
        <w:rPr>
          <w:rFonts w:ascii="宋体" w:hAnsi="宋体" w:cs="宋体"/>
          <w:color w:val="auto"/>
          <w:sz w:val="24"/>
          <w:szCs w:val="24"/>
          <w:lang w:eastAsia="zh-CN"/>
        </w:rPr>
      </w:pPr>
      <w:bookmarkStart w:id="416" w:name="_Toc17025"/>
      <w:bookmarkStart w:id="417" w:name="_Toc31212"/>
      <w:bookmarkStart w:id="418" w:name="_Toc22472"/>
      <w:bookmarkStart w:id="419" w:name="_Toc27934"/>
      <w:bookmarkStart w:id="420" w:name="bookmark1015"/>
      <w:bookmarkStart w:id="421" w:name="_Toc30523"/>
      <w:bookmarkStart w:id="422" w:name="bookmark1016"/>
      <w:bookmarkStart w:id="423" w:name="bookmark1017"/>
      <w:bookmarkStart w:id="424" w:name="_Toc18564"/>
      <w:bookmarkStart w:id="425" w:name="_Toc31582"/>
      <w:r>
        <w:rPr>
          <w:rFonts w:hint="eastAsia" w:ascii="宋体" w:hAnsi="宋体" w:cs="宋体"/>
          <w:color w:val="auto"/>
          <w:sz w:val="24"/>
          <w:szCs w:val="24"/>
          <w:lang w:eastAsia="zh-CN"/>
        </w:rPr>
        <w:t>4.5承包人项目经理</w:t>
      </w:r>
      <w:bookmarkEnd w:id="416"/>
      <w:bookmarkEnd w:id="417"/>
      <w:bookmarkEnd w:id="418"/>
      <w:bookmarkEnd w:id="419"/>
      <w:bookmarkEnd w:id="420"/>
      <w:bookmarkEnd w:id="421"/>
      <w:bookmarkEnd w:id="422"/>
      <w:bookmarkEnd w:id="423"/>
      <w:bookmarkEnd w:id="424"/>
      <w:bookmarkEnd w:id="425"/>
    </w:p>
    <w:p w14:paraId="14B8FDAB">
      <w:pPr>
        <w:pStyle w:val="95"/>
        <w:spacing w:line="359" w:lineRule="exact"/>
        <w:ind w:firstLine="420"/>
        <w:jc w:val="both"/>
        <w:rPr>
          <w:color w:val="auto"/>
        </w:rPr>
      </w:pPr>
      <w:r>
        <w:rPr>
          <w:rFonts w:hint="eastAsia"/>
          <w:color w:val="auto"/>
          <w:lang w:val="en-US" w:bidi="en-US"/>
        </w:rPr>
        <w:t>4.5.1</w:t>
      </w:r>
      <w:r>
        <w:rPr>
          <w:rFonts w:hint="eastAsia"/>
          <w:color w:val="auto"/>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08E5B7F5">
      <w:pPr>
        <w:pStyle w:val="95"/>
        <w:spacing w:line="366" w:lineRule="exact"/>
        <w:ind w:firstLine="420"/>
        <w:jc w:val="both"/>
        <w:rPr>
          <w:color w:val="auto"/>
        </w:rPr>
      </w:pPr>
      <w:r>
        <w:rPr>
          <w:rFonts w:hint="eastAsia"/>
          <w:color w:val="auto"/>
          <w:lang w:val="en-US" w:bidi="en-US"/>
        </w:rPr>
        <w:t>4.5.2</w:t>
      </w:r>
      <w:r>
        <w:rPr>
          <w:rFonts w:hint="eastAsia"/>
          <w:color w:val="auto"/>
        </w:rPr>
        <w:t>承包人项目经理应按合同约定以及监理人按第</w:t>
      </w:r>
      <w:r>
        <w:rPr>
          <w:rFonts w:hint="eastAsia"/>
          <w:color w:val="auto"/>
          <w:lang w:val="en-US" w:bidi="en-US"/>
        </w:rPr>
        <w:t xml:space="preserve">3. </w:t>
      </w:r>
      <w:r>
        <w:rPr>
          <w:rFonts w:hint="eastAsia"/>
          <w:color w:val="auto"/>
        </w:rPr>
        <w:t>4款作出的指示，负责组织合同工程的实施。在情况紧急且无法与监理人取得联系时，可采取保证工程和人员生命财产 安全的紧急措施，并在采取措施后24小时内向监理人提交书面报告。</w:t>
      </w:r>
    </w:p>
    <w:p w14:paraId="3C5747C1">
      <w:pPr>
        <w:pStyle w:val="95"/>
        <w:spacing w:line="366" w:lineRule="exact"/>
        <w:ind w:firstLine="420"/>
        <w:jc w:val="both"/>
        <w:rPr>
          <w:color w:val="auto"/>
        </w:rPr>
      </w:pPr>
      <w:r>
        <w:rPr>
          <w:rFonts w:hint="eastAsia"/>
          <w:color w:val="auto"/>
          <w:lang w:val="en-US" w:bidi="en-US"/>
        </w:rPr>
        <w:t>4.5.</w:t>
      </w:r>
      <w:r>
        <w:rPr>
          <w:rFonts w:hint="eastAsia"/>
          <w:color w:val="auto"/>
        </w:rPr>
        <w:t>3承包人为履行合同发出的一切函件均应盖有承包人授权的施工场地管理机构章，并由承包人项目经理或其授权代表签字。</w:t>
      </w:r>
    </w:p>
    <w:p w14:paraId="383CE7E5">
      <w:pPr>
        <w:pStyle w:val="95"/>
        <w:spacing w:line="362" w:lineRule="exact"/>
        <w:ind w:firstLine="420"/>
        <w:jc w:val="both"/>
        <w:rPr>
          <w:color w:val="auto"/>
        </w:rPr>
      </w:pPr>
      <w:r>
        <w:rPr>
          <w:rFonts w:hint="eastAsia"/>
          <w:color w:val="auto"/>
          <w:lang w:val="en-US" w:bidi="en-US"/>
        </w:rPr>
        <w:t>4.5.4</w:t>
      </w:r>
      <w:r>
        <w:rPr>
          <w:rFonts w:hint="eastAsia"/>
          <w:color w:val="auto"/>
        </w:rPr>
        <w:t>承包人项目经理可以授权其下属人员履行其某项职责，但事先应将这些人员的姓名和授权范围通知监理人。</w:t>
      </w:r>
    </w:p>
    <w:p w14:paraId="768323F7">
      <w:pPr>
        <w:pStyle w:val="101"/>
        <w:spacing w:before="0" w:after="0" w:line="360" w:lineRule="exact"/>
        <w:rPr>
          <w:rFonts w:ascii="宋体" w:hAnsi="宋体" w:cs="宋体"/>
          <w:color w:val="auto"/>
          <w:sz w:val="24"/>
          <w:szCs w:val="24"/>
          <w:lang w:eastAsia="zh-CN"/>
        </w:rPr>
      </w:pPr>
      <w:bookmarkStart w:id="426" w:name="_Toc30135"/>
      <w:bookmarkStart w:id="427" w:name="_Toc20561"/>
      <w:bookmarkStart w:id="428" w:name="_Toc1095"/>
      <w:bookmarkStart w:id="429" w:name="_Toc32630"/>
      <w:bookmarkStart w:id="430" w:name="_Toc7416"/>
      <w:bookmarkStart w:id="431" w:name="bookmark1018"/>
      <w:bookmarkStart w:id="432" w:name="bookmark1020"/>
      <w:bookmarkStart w:id="433" w:name="bookmark1019"/>
      <w:bookmarkStart w:id="434" w:name="_Toc22230"/>
      <w:bookmarkStart w:id="435" w:name="_Toc4452"/>
      <w:r>
        <w:rPr>
          <w:rFonts w:hint="eastAsia" w:ascii="宋体" w:hAnsi="宋体" w:cs="宋体"/>
          <w:color w:val="auto"/>
          <w:sz w:val="24"/>
          <w:szCs w:val="24"/>
          <w:lang w:eastAsia="zh-CN"/>
        </w:rPr>
        <w:t>4.6承包人人员的管理</w:t>
      </w:r>
      <w:bookmarkEnd w:id="426"/>
      <w:bookmarkEnd w:id="427"/>
      <w:bookmarkEnd w:id="428"/>
      <w:bookmarkEnd w:id="429"/>
      <w:bookmarkEnd w:id="430"/>
      <w:bookmarkEnd w:id="431"/>
      <w:bookmarkEnd w:id="432"/>
      <w:bookmarkEnd w:id="433"/>
      <w:bookmarkEnd w:id="434"/>
      <w:bookmarkEnd w:id="435"/>
    </w:p>
    <w:p w14:paraId="14885431">
      <w:pPr>
        <w:pStyle w:val="95"/>
        <w:spacing w:line="360" w:lineRule="exact"/>
        <w:ind w:firstLine="420"/>
        <w:jc w:val="both"/>
        <w:rPr>
          <w:color w:val="auto"/>
        </w:rPr>
      </w:pPr>
      <w:r>
        <w:rPr>
          <w:rFonts w:hint="eastAsia"/>
          <w:color w:val="auto"/>
          <w:lang w:val="en-US" w:bidi="en-US"/>
        </w:rPr>
        <w:t>4.6.1</w:t>
      </w:r>
      <w:r>
        <w:rPr>
          <w:rFonts w:hint="eastAsia"/>
          <w:color w:val="auto"/>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3A33711">
      <w:pPr>
        <w:pStyle w:val="95"/>
        <w:spacing w:line="360" w:lineRule="exact"/>
        <w:ind w:firstLine="420"/>
        <w:jc w:val="both"/>
        <w:rPr>
          <w:color w:val="auto"/>
        </w:rPr>
      </w:pPr>
      <w:r>
        <w:rPr>
          <w:rFonts w:hint="eastAsia"/>
          <w:color w:val="auto"/>
          <w:lang w:val="en-US" w:bidi="en-US"/>
        </w:rPr>
        <w:t>4.6.2</w:t>
      </w:r>
      <w:r>
        <w:rPr>
          <w:rFonts w:hint="eastAsia"/>
          <w:color w:val="auto"/>
        </w:rPr>
        <w:t>为完成合同约定的各项工作，承包人应向施工场地派遣或雇佣足够数量的下列人员：</w:t>
      </w:r>
    </w:p>
    <w:p w14:paraId="3B62F0FC">
      <w:pPr>
        <w:pStyle w:val="95"/>
        <w:numPr>
          <w:ilvl w:val="0"/>
          <w:numId w:val="6"/>
        </w:numPr>
        <w:tabs>
          <w:tab w:val="left" w:pos="899"/>
        </w:tabs>
        <w:spacing w:line="360" w:lineRule="exact"/>
        <w:ind w:firstLine="420"/>
        <w:jc w:val="both"/>
        <w:rPr>
          <w:color w:val="auto"/>
        </w:rPr>
      </w:pPr>
      <w:bookmarkStart w:id="436" w:name="bookmark1021"/>
      <w:bookmarkEnd w:id="436"/>
      <w:r>
        <w:rPr>
          <w:rFonts w:hint="eastAsia"/>
          <w:color w:val="auto"/>
        </w:rPr>
        <w:t>具有相应资格的专业技工和合格的普工；</w:t>
      </w:r>
    </w:p>
    <w:p w14:paraId="375CC620">
      <w:pPr>
        <w:pStyle w:val="95"/>
        <w:numPr>
          <w:ilvl w:val="0"/>
          <w:numId w:val="6"/>
        </w:numPr>
        <w:tabs>
          <w:tab w:val="left" w:pos="899"/>
        </w:tabs>
        <w:spacing w:line="360" w:lineRule="exact"/>
        <w:ind w:firstLine="420"/>
        <w:jc w:val="both"/>
        <w:rPr>
          <w:color w:val="auto"/>
        </w:rPr>
      </w:pPr>
      <w:bookmarkStart w:id="437" w:name="bookmark1022"/>
      <w:bookmarkEnd w:id="437"/>
      <w:r>
        <w:rPr>
          <w:rFonts w:hint="eastAsia"/>
          <w:color w:val="auto"/>
        </w:rPr>
        <w:t>具有相应施工经验的技术人员；</w:t>
      </w:r>
    </w:p>
    <w:p w14:paraId="18597886">
      <w:pPr>
        <w:pStyle w:val="95"/>
        <w:numPr>
          <w:ilvl w:val="0"/>
          <w:numId w:val="6"/>
        </w:numPr>
        <w:tabs>
          <w:tab w:val="left" w:pos="899"/>
        </w:tabs>
        <w:spacing w:line="360" w:lineRule="exact"/>
        <w:ind w:firstLine="420"/>
        <w:jc w:val="both"/>
        <w:rPr>
          <w:color w:val="auto"/>
        </w:rPr>
      </w:pPr>
      <w:bookmarkStart w:id="438" w:name="bookmark1023"/>
      <w:bookmarkEnd w:id="438"/>
      <w:r>
        <w:rPr>
          <w:rFonts w:hint="eastAsia"/>
          <w:color w:val="auto"/>
        </w:rPr>
        <w:t>具有相应岗位资格的各级管理人员。</w:t>
      </w:r>
    </w:p>
    <w:p w14:paraId="70FBDA4A">
      <w:pPr>
        <w:pStyle w:val="95"/>
        <w:spacing w:line="360" w:lineRule="exact"/>
        <w:ind w:firstLine="420"/>
        <w:jc w:val="both"/>
        <w:rPr>
          <w:color w:val="auto"/>
        </w:rPr>
      </w:pPr>
      <w:r>
        <w:rPr>
          <w:rFonts w:hint="eastAsia"/>
          <w:color w:val="auto"/>
          <w:lang w:val="en-US" w:bidi="en-US"/>
        </w:rPr>
        <w:t>4.6.3</w:t>
      </w:r>
      <w:r>
        <w:rPr>
          <w:rFonts w:hint="eastAsia"/>
          <w:color w:val="auto"/>
        </w:rPr>
        <w:t>承包人安排在施工场地的主要管理人员和技术骨干应相对稳定。承包人更换主要管理人员和技术骨干时，应取得监理人的同意。</w:t>
      </w:r>
    </w:p>
    <w:p w14:paraId="6B5D3B2B">
      <w:pPr>
        <w:pStyle w:val="95"/>
        <w:spacing w:line="360" w:lineRule="exact"/>
        <w:ind w:firstLine="420"/>
        <w:jc w:val="both"/>
        <w:rPr>
          <w:color w:val="auto"/>
        </w:rPr>
      </w:pPr>
      <w:r>
        <w:rPr>
          <w:rFonts w:hint="eastAsia"/>
          <w:color w:val="auto"/>
          <w:lang w:val="en-US" w:bidi="en-US"/>
        </w:rPr>
        <w:t>4.6.4</w:t>
      </w:r>
      <w:r>
        <w:rPr>
          <w:rFonts w:hint="eastAsia"/>
          <w:color w:val="auto"/>
        </w:rPr>
        <w:t>特殊岗位的工作人员均应持有相应的资格证明，监理人有权随时检查。监理人认为有必要时，可进行现场考核。</w:t>
      </w:r>
    </w:p>
    <w:p w14:paraId="59E8C1B4">
      <w:pPr>
        <w:pStyle w:val="101"/>
        <w:spacing w:before="0" w:after="0" w:line="360" w:lineRule="exact"/>
        <w:rPr>
          <w:rFonts w:ascii="宋体" w:hAnsi="宋体" w:cs="宋体"/>
          <w:color w:val="auto"/>
          <w:sz w:val="24"/>
          <w:szCs w:val="24"/>
          <w:lang w:eastAsia="zh-CN"/>
        </w:rPr>
      </w:pPr>
      <w:bookmarkStart w:id="439" w:name="bookmark1025"/>
      <w:bookmarkStart w:id="440" w:name="_Toc29364"/>
      <w:bookmarkStart w:id="441" w:name="bookmark1026"/>
      <w:bookmarkStart w:id="442" w:name="_Toc273"/>
      <w:bookmarkStart w:id="443" w:name="_Toc23743"/>
      <w:bookmarkStart w:id="444" w:name="_Toc31913"/>
      <w:bookmarkStart w:id="445" w:name="_Toc30195"/>
      <w:bookmarkStart w:id="446" w:name="bookmark1024"/>
      <w:bookmarkStart w:id="447" w:name="_Toc24736"/>
      <w:bookmarkStart w:id="448" w:name="_Toc24164"/>
      <w:r>
        <w:rPr>
          <w:rFonts w:hint="eastAsia" w:ascii="宋体" w:hAnsi="宋体" w:cs="宋体"/>
          <w:color w:val="auto"/>
          <w:sz w:val="24"/>
          <w:szCs w:val="24"/>
          <w:lang w:eastAsia="zh-CN"/>
        </w:rPr>
        <w:t>4.7撤换承包人项目经理和其他人员</w:t>
      </w:r>
      <w:bookmarkEnd w:id="439"/>
      <w:bookmarkEnd w:id="440"/>
      <w:bookmarkEnd w:id="441"/>
      <w:bookmarkEnd w:id="442"/>
      <w:bookmarkEnd w:id="443"/>
      <w:bookmarkEnd w:id="444"/>
      <w:bookmarkEnd w:id="445"/>
      <w:bookmarkEnd w:id="446"/>
      <w:bookmarkEnd w:id="447"/>
      <w:bookmarkEnd w:id="448"/>
    </w:p>
    <w:p w14:paraId="48E9454F">
      <w:pPr>
        <w:pStyle w:val="95"/>
        <w:spacing w:line="360" w:lineRule="exact"/>
        <w:ind w:firstLine="420"/>
        <w:jc w:val="both"/>
        <w:rPr>
          <w:color w:val="auto"/>
        </w:rPr>
      </w:pPr>
      <w:r>
        <w:rPr>
          <w:rFonts w:hint="eastAsia"/>
          <w:color w:val="auto"/>
        </w:rPr>
        <w:t>承包人应对其项目经理和其他人员进行有效管理。监理人要求撤换不能胜任本职工作、行为不端或玩忽职守的承包人项目经理和其他人员的，承包人应予以撤换。</w:t>
      </w:r>
    </w:p>
    <w:p w14:paraId="5F25D4E9">
      <w:pPr>
        <w:pStyle w:val="101"/>
        <w:spacing w:before="0" w:after="0" w:line="360" w:lineRule="exact"/>
        <w:rPr>
          <w:rFonts w:ascii="宋体" w:hAnsi="宋体" w:cs="宋体"/>
          <w:color w:val="auto"/>
          <w:sz w:val="24"/>
          <w:szCs w:val="24"/>
          <w:lang w:eastAsia="zh-CN"/>
        </w:rPr>
      </w:pPr>
      <w:bookmarkStart w:id="449" w:name="bookmark1027"/>
      <w:bookmarkStart w:id="450" w:name="_Toc21781"/>
      <w:bookmarkStart w:id="451" w:name="bookmark1028"/>
      <w:bookmarkStart w:id="452" w:name="_Toc29514"/>
      <w:bookmarkStart w:id="453" w:name="_Toc3749"/>
      <w:bookmarkStart w:id="454" w:name="_Toc17613"/>
      <w:bookmarkStart w:id="455" w:name="_Toc1547"/>
      <w:bookmarkStart w:id="456" w:name="_Toc19207"/>
      <w:bookmarkStart w:id="457" w:name="_Toc22541"/>
      <w:bookmarkStart w:id="458" w:name="bookmark1029"/>
      <w:r>
        <w:rPr>
          <w:rFonts w:hint="eastAsia" w:ascii="宋体" w:hAnsi="宋体" w:cs="宋体"/>
          <w:color w:val="auto"/>
          <w:sz w:val="24"/>
          <w:szCs w:val="24"/>
          <w:lang w:eastAsia="zh-CN"/>
        </w:rPr>
        <w:t>4.8保障承包人人员的合法权益</w:t>
      </w:r>
      <w:bookmarkEnd w:id="449"/>
      <w:bookmarkEnd w:id="450"/>
      <w:bookmarkEnd w:id="451"/>
      <w:bookmarkEnd w:id="452"/>
      <w:bookmarkEnd w:id="453"/>
      <w:bookmarkEnd w:id="454"/>
      <w:bookmarkEnd w:id="455"/>
      <w:bookmarkEnd w:id="456"/>
      <w:bookmarkEnd w:id="457"/>
      <w:bookmarkEnd w:id="458"/>
    </w:p>
    <w:p w14:paraId="6DADFC57">
      <w:pPr>
        <w:pStyle w:val="95"/>
        <w:spacing w:line="360" w:lineRule="exact"/>
        <w:ind w:firstLine="420"/>
        <w:jc w:val="both"/>
        <w:rPr>
          <w:color w:val="auto"/>
        </w:rPr>
      </w:pPr>
      <w:r>
        <w:rPr>
          <w:rFonts w:hint="eastAsia"/>
          <w:color w:val="auto"/>
          <w:lang w:val="en-US" w:bidi="en-US"/>
        </w:rPr>
        <w:t>4.8.</w:t>
      </w:r>
      <w:r>
        <w:rPr>
          <w:rFonts w:hint="eastAsia"/>
          <w:color w:val="auto"/>
        </w:rPr>
        <w:t>1承包人应与其雇佣的人员签订劳动合同，并按时发放工资。</w:t>
      </w:r>
    </w:p>
    <w:p w14:paraId="5C23982C">
      <w:pPr>
        <w:pStyle w:val="95"/>
        <w:spacing w:line="360" w:lineRule="exact"/>
        <w:ind w:firstLine="420"/>
        <w:jc w:val="both"/>
        <w:rPr>
          <w:color w:val="auto"/>
        </w:rPr>
      </w:pPr>
      <w:r>
        <w:rPr>
          <w:rFonts w:hint="eastAsia"/>
          <w:color w:val="auto"/>
          <w:lang w:val="en-US" w:bidi="en-US"/>
        </w:rPr>
        <w:t>4.8.</w:t>
      </w:r>
      <w:r>
        <w:rPr>
          <w:rFonts w:hint="eastAsia"/>
          <w:color w:val="auto"/>
        </w:rPr>
        <w:t>2承包人应按劳动法的规定安排工作时间，保证其雇佣人员享有休息和休假的权利。因工程施工的特殊需要占用休假日或延长工作时间的，应不超过法律规定的限度，并按法律规定给予补休或付酬。</w:t>
      </w:r>
    </w:p>
    <w:p w14:paraId="08216CC1">
      <w:pPr>
        <w:pStyle w:val="95"/>
        <w:spacing w:line="360" w:lineRule="exact"/>
        <w:ind w:firstLine="420"/>
        <w:jc w:val="both"/>
        <w:rPr>
          <w:color w:val="auto"/>
        </w:rPr>
      </w:pPr>
      <w:r>
        <w:rPr>
          <w:rFonts w:hint="eastAsia"/>
          <w:color w:val="auto"/>
          <w:lang w:val="en-US" w:bidi="en-US"/>
        </w:rPr>
        <w:t>4.8.3</w:t>
      </w:r>
      <w:r>
        <w:rPr>
          <w:rFonts w:hint="eastAsia"/>
          <w:color w:val="auto"/>
        </w:rPr>
        <w:t>承包人应为其雇佣人员提供必要的食宿条件，以及符合环境保护和卫生要求的生活环境，在远离城镇的施工场地，还应配备必要的伤病防治和急救的医务人员与医疗设施。</w:t>
      </w:r>
    </w:p>
    <w:p w14:paraId="6AFAAC24">
      <w:pPr>
        <w:pStyle w:val="95"/>
        <w:spacing w:line="360" w:lineRule="exact"/>
        <w:ind w:firstLine="420"/>
        <w:jc w:val="both"/>
        <w:rPr>
          <w:color w:val="auto"/>
        </w:rPr>
      </w:pPr>
      <w:r>
        <w:rPr>
          <w:rFonts w:hint="eastAsia"/>
          <w:color w:val="auto"/>
          <w:lang w:val="en-US" w:bidi="en-US"/>
        </w:rPr>
        <w:t>4.8.4</w:t>
      </w:r>
      <w:r>
        <w:rPr>
          <w:rFonts w:hint="eastAsia"/>
          <w:color w:val="auto"/>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B82014F">
      <w:pPr>
        <w:pStyle w:val="95"/>
        <w:spacing w:line="360" w:lineRule="exact"/>
        <w:ind w:firstLine="420"/>
        <w:jc w:val="both"/>
        <w:rPr>
          <w:color w:val="auto"/>
        </w:rPr>
      </w:pPr>
      <w:r>
        <w:rPr>
          <w:rFonts w:hint="eastAsia"/>
          <w:color w:val="auto"/>
          <w:lang w:val="en-US" w:bidi="en-US"/>
        </w:rPr>
        <w:t>4.8.5</w:t>
      </w:r>
      <w:r>
        <w:rPr>
          <w:rFonts w:hint="eastAsia"/>
          <w:color w:val="auto"/>
        </w:rPr>
        <w:t>承包人应按有关法律规定和合同约定，为其雇佣人员办理保险。</w:t>
      </w:r>
    </w:p>
    <w:p w14:paraId="0F600D5C">
      <w:pPr>
        <w:pStyle w:val="95"/>
        <w:spacing w:line="360" w:lineRule="exact"/>
        <w:ind w:firstLine="420"/>
        <w:jc w:val="both"/>
        <w:rPr>
          <w:color w:val="auto"/>
        </w:rPr>
      </w:pPr>
      <w:r>
        <w:rPr>
          <w:rFonts w:hint="eastAsia"/>
          <w:color w:val="auto"/>
          <w:lang w:val="en-US" w:bidi="en-US"/>
        </w:rPr>
        <w:t>4.8.6</w:t>
      </w:r>
      <w:r>
        <w:rPr>
          <w:rFonts w:hint="eastAsia"/>
          <w:color w:val="auto"/>
        </w:rPr>
        <w:t>承包人应负责处理其雇佣人员因工伤亡事故的善后事宜。</w:t>
      </w:r>
    </w:p>
    <w:p w14:paraId="57560F9F">
      <w:pPr>
        <w:pStyle w:val="101"/>
        <w:spacing w:before="0" w:after="0" w:line="360" w:lineRule="exact"/>
        <w:rPr>
          <w:rFonts w:ascii="宋体" w:hAnsi="宋体" w:cs="宋体"/>
          <w:color w:val="auto"/>
          <w:sz w:val="24"/>
          <w:szCs w:val="24"/>
          <w:lang w:eastAsia="zh-CN"/>
        </w:rPr>
      </w:pPr>
      <w:bookmarkStart w:id="459" w:name="_Toc32668"/>
      <w:bookmarkStart w:id="460" w:name="_Toc14288"/>
      <w:bookmarkStart w:id="461" w:name="bookmark1030"/>
      <w:bookmarkStart w:id="462" w:name="_Toc7851"/>
      <w:bookmarkStart w:id="463" w:name="_Toc3220"/>
      <w:bookmarkStart w:id="464" w:name="_Toc1725"/>
      <w:bookmarkStart w:id="465" w:name="_Toc3337"/>
      <w:bookmarkStart w:id="466" w:name="bookmark1032"/>
      <w:bookmarkStart w:id="467" w:name="_Toc948"/>
      <w:bookmarkStart w:id="468" w:name="bookmark1031"/>
      <w:r>
        <w:rPr>
          <w:rFonts w:hint="eastAsia" w:ascii="宋体" w:hAnsi="宋体" w:cs="宋体"/>
          <w:color w:val="auto"/>
          <w:sz w:val="24"/>
          <w:szCs w:val="24"/>
          <w:lang w:eastAsia="zh-CN"/>
        </w:rPr>
        <w:t>4.9工程价款应专款专用</w:t>
      </w:r>
      <w:bookmarkEnd w:id="459"/>
      <w:bookmarkEnd w:id="460"/>
      <w:bookmarkEnd w:id="461"/>
      <w:bookmarkEnd w:id="462"/>
      <w:bookmarkEnd w:id="463"/>
      <w:bookmarkEnd w:id="464"/>
      <w:bookmarkEnd w:id="465"/>
      <w:bookmarkEnd w:id="466"/>
      <w:bookmarkEnd w:id="467"/>
      <w:bookmarkEnd w:id="468"/>
    </w:p>
    <w:p w14:paraId="5DD7EC7C">
      <w:pPr>
        <w:pStyle w:val="95"/>
        <w:spacing w:line="360" w:lineRule="exact"/>
        <w:ind w:firstLine="420"/>
        <w:rPr>
          <w:color w:val="auto"/>
        </w:rPr>
      </w:pPr>
      <w:r>
        <w:rPr>
          <w:rFonts w:hint="eastAsia"/>
          <w:color w:val="auto"/>
        </w:rPr>
        <w:t>发包人按合同约定支付给承包人的各项价款应专用于合同工程。</w:t>
      </w:r>
    </w:p>
    <w:p w14:paraId="24632EF4">
      <w:pPr>
        <w:pStyle w:val="101"/>
        <w:spacing w:before="0" w:after="0" w:line="360" w:lineRule="exact"/>
        <w:rPr>
          <w:rFonts w:ascii="宋体" w:hAnsi="宋体" w:cs="宋体"/>
          <w:color w:val="auto"/>
          <w:sz w:val="24"/>
          <w:szCs w:val="24"/>
          <w:lang w:eastAsia="zh-CN"/>
        </w:rPr>
      </w:pPr>
      <w:bookmarkStart w:id="469" w:name="_Toc11934"/>
      <w:bookmarkStart w:id="470" w:name="_Toc26654"/>
      <w:bookmarkStart w:id="471" w:name="bookmark1034"/>
      <w:bookmarkStart w:id="472" w:name="_Toc23164"/>
      <w:bookmarkStart w:id="473" w:name="_Toc5606"/>
      <w:bookmarkStart w:id="474" w:name="_Toc1276"/>
      <w:bookmarkStart w:id="475" w:name="bookmark1035"/>
      <w:bookmarkStart w:id="476" w:name="bookmark1033"/>
      <w:bookmarkStart w:id="477" w:name="_Toc30630"/>
      <w:bookmarkStart w:id="478" w:name="_Toc18201"/>
      <w:r>
        <w:rPr>
          <w:rFonts w:hint="eastAsia" w:ascii="宋体" w:hAnsi="宋体" w:cs="宋体"/>
          <w:color w:val="auto"/>
          <w:sz w:val="24"/>
          <w:szCs w:val="24"/>
          <w:lang w:eastAsia="zh-CN"/>
        </w:rPr>
        <w:t>4.10承包人现场查勘</w:t>
      </w:r>
      <w:bookmarkEnd w:id="469"/>
      <w:bookmarkEnd w:id="470"/>
      <w:bookmarkEnd w:id="471"/>
      <w:bookmarkEnd w:id="472"/>
      <w:bookmarkEnd w:id="473"/>
      <w:bookmarkEnd w:id="474"/>
      <w:bookmarkEnd w:id="475"/>
      <w:bookmarkEnd w:id="476"/>
      <w:bookmarkEnd w:id="477"/>
      <w:bookmarkEnd w:id="478"/>
    </w:p>
    <w:p w14:paraId="2C885E15">
      <w:pPr>
        <w:pStyle w:val="95"/>
        <w:spacing w:line="362" w:lineRule="exact"/>
        <w:ind w:firstLine="420"/>
        <w:jc w:val="both"/>
        <w:rPr>
          <w:color w:val="auto"/>
        </w:rPr>
      </w:pPr>
      <w:r>
        <w:rPr>
          <w:rFonts w:hint="eastAsia"/>
          <w:color w:val="auto"/>
          <w:lang w:val="en-US" w:bidi="en-US"/>
        </w:rPr>
        <w:t>4.10.</w:t>
      </w:r>
      <w:r>
        <w:rPr>
          <w:rFonts w:hint="eastAsia"/>
          <w:color w:val="auto"/>
        </w:rPr>
        <w:t>1发包人应将其持有的现场地质勘探资料、水文气象资料提供给承包人，并对其准确性负责。但承包人应对其阅读上述有关资料后所作出的解释和推断负责。</w:t>
      </w:r>
    </w:p>
    <w:p w14:paraId="28AF477E">
      <w:pPr>
        <w:pStyle w:val="95"/>
        <w:spacing w:line="362" w:lineRule="exact"/>
        <w:ind w:firstLine="420"/>
        <w:jc w:val="both"/>
        <w:rPr>
          <w:color w:val="auto"/>
        </w:rPr>
      </w:pPr>
      <w:bookmarkStart w:id="479" w:name="bookmark1036"/>
      <w:bookmarkEnd w:id="479"/>
      <w:r>
        <w:rPr>
          <w:rFonts w:hint="eastAsia"/>
          <w:color w:val="auto"/>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EBA0957">
      <w:pPr>
        <w:pStyle w:val="101"/>
        <w:spacing w:before="0" w:after="0" w:line="360" w:lineRule="exact"/>
        <w:rPr>
          <w:rFonts w:ascii="宋体" w:hAnsi="宋体" w:cs="宋体"/>
          <w:color w:val="auto"/>
          <w:sz w:val="24"/>
          <w:szCs w:val="24"/>
          <w:lang w:eastAsia="zh-CN"/>
        </w:rPr>
      </w:pPr>
      <w:bookmarkStart w:id="480" w:name="_Toc9893"/>
      <w:bookmarkStart w:id="481" w:name="_Toc15670"/>
      <w:bookmarkStart w:id="482" w:name="bookmark1037"/>
      <w:bookmarkStart w:id="483" w:name="_Toc2080"/>
      <w:bookmarkStart w:id="484" w:name="_Toc4074"/>
      <w:bookmarkStart w:id="485" w:name="bookmark1039"/>
      <w:bookmarkStart w:id="486" w:name="_Toc18935"/>
      <w:bookmarkStart w:id="487" w:name="_Toc2993"/>
      <w:bookmarkStart w:id="488" w:name="_Toc8894"/>
      <w:bookmarkStart w:id="489" w:name="bookmark1038"/>
      <w:r>
        <w:rPr>
          <w:rFonts w:hint="eastAsia" w:ascii="宋体" w:hAnsi="宋体" w:cs="宋体"/>
          <w:color w:val="auto"/>
          <w:sz w:val="24"/>
          <w:szCs w:val="24"/>
          <w:lang w:eastAsia="zh-CN"/>
        </w:rPr>
        <w:t>4.11不利物质条件</w:t>
      </w:r>
      <w:bookmarkEnd w:id="480"/>
      <w:bookmarkEnd w:id="481"/>
      <w:bookmarkEnd w:id="482"/>
      <w:bookmarkEnd w:id="483"/>
      <w:bookmarkEnd w:id="484"/>
      <w:bookmarkEnd w:id="485"/>
      <w:bookmarkEnd w:id="486"/>
      <w:bookmarkEnd w:id="487"/>
      <w:bookmarkEnd w:id="488"/>
      <w:bookmarkEnd w:id="489"/>
    </w:p>
    <w:p w14:paraId="2C03140F">
      <w:pPr>
        <w:pStyle w:val="95"/>
        <w:spacing w:line="367" w:lineRule="exact"/>
        <w:ind w:firstLine="420"/>
        <w:jc w:val="both"/>
        <w:rPr>
          <w:color w:val="auto"/>
        </w:rPr>
      </w:pPr>
      <w:r>
        <w:rPr>
          <w:rFonts w:hint="eastAsia"/>
          <w:color w:val="auto"/>
          <w:lang w:val="en-US" w:bidi="en-US"/>
        </w:rPr>
        <w:t>4.11.1</w:t>
      </w:r>
      <w:r>
        <w:rPr>
          <w:rFonts w:hint="eastAsia"/>
          <w:color w:val="auto"/>
        </w:rPr>
        <w:t>除专用合同条款另有约定外，不利的物质条件是指在施工中遭遇不可预见的外界障碍或自然条件造成施工受阻。</w:t>
      </w:r>
    </w:p>
    <w:p w14:paraId="7EC58BCA">
      <w:pPr>
        <w:pStyle w:val="95"/>
        <w:spacing w:line="367" w:lineRule="exact"/>
        <w:rPr>
          <w:color w:val="auto"/>
        </w:rPr>
      </w:pPr>
      <w:r>
        <w:rPr>
          <w:rFonts w:hint="eastAsia"/>
          <w:color w:val="auto"/>
          <w:lang w:val="en-US" w:bidi="en-US"/>
        </w:rPr>
        <w:t>4.11.2</w:t>
      </w:r>
      <w:r>
        <w:rPr>
          <w:rFonts w:hint="eastAsia"/>
          <w:color w:val="auto"/>
        </w:rPr>
        <w:t>承包人遇到不利物质条件时，应采取适应不利物质条件的合理措施继续施工, 并及时通知监理人。承包人应有权根据第</w:t>
      </w:r>
      <w:r>
        <w:rPr>
          <w:rFonts w:hint="eastAsia"/>
          <w:color w:val="auto"/>
          <w:lang w:val="en-US" w:bidi="en-US"/>
        </w:rPr>
        <w:t>23.1</w:t>
      </w:r>
      <w:r>
        <w:rPr>
          <w:rFonts w:hint="eastAsia"/>
          <w:color w:val="auto"/>
        </w:rPr>
        <w:t>款的约定，要求延长工期及增加费用。监理人收到此类要求后，应在分析上述外界障碍或自然条件是否不可预见及不可预见程度的基础上，按照通用合同条款第15条的约定办理。</w:t>
      </w:r>
    </w:p>
    <w:p w14:paraId="2BE0C9A4">
      <w:pPr>
        <w:pStyle w:val="101"/>
        <w:spacing w:before="0" w:after="0" w:line="360" w:lineRule="exact"/>
        <w:rPr>
          <w:rFonts w:ascii="宋体" w:hAnsi="宋体" w:cs="宋体"/>
          <w:color w:val="auto"/>
          <w:lang w:eastAsia="zh-CN"/>
        </w:rPr>
      </w:pPr>
      <w:bookmarkStart w:id="490" w:name="bookmark1042"/>
      <w:bookmarkEnd w:id="490"/>
      <w:bookmarkStart w:id="491" w:name="_Toc15597"/>
      <w:bookmarkStart w:id="492" w:name="_Toc13937"/>
      <w:bookmarkStart w:id="493" w:name="_Toc25230"/>
      <w:bookmarkStart w:id="494" w:name="bookmark1043"/>
      <w:bookmarkStart w:id="495" w:name="_Toc8705"/>
      <w:bookmarkStart w:id="496" w:name="_Toc9302"/>
      <w:bookmarkStart w:id="497" w:name="bookmark1040"/>
      <w:bookmarkStart w:id="498" w:name="_Toc3833"/>
      <w:bookmarkStart w:id="499" w:name="_Toc6145"/>
      <w:bookmarkStart w:id="500" w:name="bookmark1041"/>
      <w:r>
        <w:rPr>
          <w:rFonts w:hint="eastAsia" w:ascii="宋体" w:hAnsi="宋体" w:cs="宋体"/>
          <w:color w:val="auto"/>
          <w:lang w:eastAsia="zh-CN"/>
        </w:rPr>
        <w:t>5.材料和工程设备</w:t>
      </w:r>
      <w:bookmarkEnd w:id="491"/>
      <w:bookmarkEnd w:id="492"/>
      <w:bookmarkEnd w:id="493"/>
      <w:bookmarkEnd w:id="494"/>
      <w:bookmarkEnd w:id="495"/>
      <w:bookmarkEnd w:id="496"/>
      <w:bookmarkEnd w:id="497"/>
      <w:bookmarkEnd w:id="498"/>
      <w:bookmarkEnd w:id="499"/>
      <w:bookmarkEnd w:id="500"/>
    </w:p>
    <w:p w14:paraId="7F219218">
      <w:pPr>
        <w:pStyle w:val="101"/>
        <w:spacing w:before="0" w:after="0" w:line="360" w:lineRule="exact"/>
        <w:rPr>
          <w:rFonts w:ascii="宋体" w:hAnsi="宋体" w:cs="宋体"/>
          <w:color w:val="auto"/>
          <w:sz w:val="24"/>
          <w:szCs w:val="24"/>
          <w:lang w:eastAsia="zh-CN"/>
        </w:rPr>
      </w:pPr>
      <w:bookmarkStart w:id="501" w:name="_Toc1006"/>
      <w:bookmarkStart w:id="502" w:name="_Toc10866"/>
      <w:bookmarkStart w:id="503" w:name="_Toc5421"/>
      <w:bookmarkStart w:id="504" w:name="_Toc20253"/>
      <w:bookmarkStart w:id="505" w:name="bookmark1044"/>
      <w:bookmarkStart w:id="506" w:name="bookmark1045"/>
      <w:bookmarkStart w:id="507" w:name="_Toc24739"/>
      <w:bookmarkStart w:id="508" w:name="bookmark1046"/>
      <w:bookmarkStart w:id="509" w:name="_Toc9121"/>
      <w:bookmarkStart w:id="510" w:name="_Toc12138"/>
      <w:r>
        <w:rPr>
          <w:rFonts w:hint="eastAsia" w:ascii="宋体" w:hAnsi="宋体" w:cs="宋体"/>
          <w:color w:val="auto"/>
          <w:sz w:val="24"/>
          <w:szCs w:val="24"/>
          <w:lang w:eastAsia="zh-CN"/>
        </w:rPr>
        <w:t>5.1承包人提供的材料和工程设备</w:t>
      </w:r>
      <w:bookmarkEnd w:id="501"/>
      <w:bookmarkEnd w:id="502"/>
      <w:bookmarkEnd w:id="503"/>
      <w:bookmarkEnd w:id="504"/>
      <w:bookmarkEnd w:id="505"/>
      <w:bookmarkEnd w:id="506"/>
      <w:bookmarkEnd w:id="507"/>
      <w:bookmarkEnd w:id="508"/>
      <w:bookmarkEnd w:id="509"/>
      <w:bookmarkEnd w:id="510"/>
    </w:p>
    <w:p w14:paraId="20377B0D">
      <w:pPr>
        <w:pStyle w:val="95"/>
        <w:spacing w:line="354" w:lineRule="exact"/>
        <w:ind w:firstLine="420"/>
        <w:jc w:val="both"/>
        <w:rPr>
          <w:color w:val="auto"/>
          <w:lang w:val="en-US" w:bidi="en-US"/>
        </w:rPr>
      </w:pPr>
      <w:bookmarkStart w:id="511" w:name="bookmark1047"/>
      <w:bookmarkEnd w:id="511"/>
      <w:r>
        <w:rPr>
          <w:rFonts w:hint="eastAsia"/>
          <w:color w:val="auto"/>
          <w:lang w:val="en-US" w:bidi="en-US"/>
        </w:rPr>
        <w:t>5.1.1除第5.2款约定由发包人提供的材料和工程设备外，承包人负责采购、运输和保管完成本合同工作所需的材料和工程设备。承包人应对其采购的材料和工程设备负责。</w:t>
      </w:r>
    </w:p>
    <w:p w14:paraId="41CA551A">
      <w:pPr>
        <w:pStyle w:val="95"/>
        <w:spacing w:line="354" w:lineRule="exact"/>
        <w:ind w:firstLine="420"/>
        <w:jc w:val="both"/>
        <w:rPr>
          <w:color w:val="auto"/>
          <w:lang w:val="en-US" w:bidi="en-US"/>
        </w:rPr>
      </w:pPr>
      <w:r>
        <w:rPr>
          <w:rFonts w:hint="eastAsia"/>
          <w:color w:val="auto"/>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7B176C4F">
      <w:pPr>
        <w:pStyle w:val="95"/>
        <w:spacing w:line="354" w:lineRule="exact"/>
        <w:ind w:firstLine="420"/>
        <w:jc w:val="both"/>
        <w:rPr>
          <w:color w:val="auto"/>
          <w:lang w:val="en-US" w:bidi="en-US"/>
        </w:rPr>
      </w:pPr>
      <w:r>
        <w:rPr>
          <w:rFonts w:hint="eastAsia"/>
          <w:color w:val="auto"/>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21B22120">
      <w:pPr>
        <w:pStyle w:val="101"/>
        <w:spacing w:before="0" w:after="0" w:line="360" w:lineRule="exact"/>
        <w:rPr>
          <w:rFonts w:ascii="宋体" w:hAnsi="宋体" w:cs="宋体"/>
          <w:color w:val="auto"/>
          <w:sz w:val="24"/>
          <w:szCs w:val="24"/>
          <w:lang w:eastAsia="zh-CN"/>
        </w:rPr>
      </w:pPr>
      <w:bookmarkStart w:id="512" w:name="_Toc18208"/>
      <w:bookmarkStart w:id="513" w:name="bookmark1048"/>
      <w:bookmarkStart w:id="514" w:name="_Toc27129"/>
      <w:bookmarkStart w:id="515" w:name="_Toc17037"/>
      <w:bookmarkStart w:id="516" w:name="_Toc12737"/>
      <w:bookmarkStart w:id="517" w:name="bookmark1049"/>
      <w:bookmarkStart w:id="518" w:name="_Toc16936"/>
      <w:bookmarkStart w:id="519" w:name="_Toc23920"/>
      <w:bookmarkStart w:id="520" w:name="bookmark1050"/>
      <w:bookmarkStart w:id="521" w:name="_Toc29378"/>
      <w:r>
        <w:rPr>
          <w:rFonts w:hint="eastAsia" w:ascii="宋体" w:hAnsi="宋体" w:cs="宋体"/>
          <w:color w:val="auto"/>
          <w:sz w:val="24"/>
          <w:szCs w:val="24"/>
          <w:lang w:eastAsia="zh-CN"/>
        </w:rPr>
        <w:t>5.2发包人提供的材料和工程设备</w:t>
      </w:r>
      <w:bookmarkEnd w:id="512"/>
      <w:bookmarkEnd w:id="513"/>
      <w:bookmarkEnd w:id="514"/>
      <w:bookmarkEnd w:id="515"/>
      <w:bookmarkEnd w:id="516"/>
      <w:bookmarkEnd w:id="517"/>
      <w:bookmarkEnd w:id="518"/>
      <w:bookmarkEnd w:id="519"/>
      <w:bookmarkEnd w:id="520"/>
      <w:bookmarkEnd w:id="521"/>
    </w:p>
    <w:p w14:paraId="4E07FAA4">
      <w:pPr>
        <w:pStyle w:val="95"/>
        <w:spacing w:line="360" w:lineRule="exact"/>
        <w:ind w:firstLine="420"/>
        <w:jc w:val="both"/>
        <w:rPr>
          <w:color w:val="auto"/>
        </w:rPr>
      </w:pPr>
      <w:bookmarkStart w:id="522" w:name="bookmark1051"/>
      <w:bookmarkEnd w:id="522"/>
      <w:r>
        <w:rPr>
          <w:rFonts w:hint="eastAsia"/>
          <w:color w:val="auto"/>
        </w:rPr>
        <w:t>5.2.1发包人提供的材料和工程设备，应在专用合同条款中写明材料和工程设备的名称、规格、数量、价格、交货方式、交货地点和计划交货日期等。</w:t>
      </w:r>
    </w:p>
    <w:p w14:paraId="42B4BBDC">
      <w:pPr>
        <w:pStyle w:val="95"/>
        <w:spacing w:line="360" w:lineRule="exact"/>
        <w:ind w:firstLine="420"/>
        <w:jc w:val="both"/>
        <w:rPr>
          <w:color w:val="auto"/>
        </w:rPr>
      </w:pPr>
      <w:r>
        <w:rPr>
          <w:rFonts w:hint="eastAsia"/>
          <w:color w:val="auto"/>
          <w:lang w:val="en-US" w:bidi="en-US"/>
        </w:rPr>
        <w:t>5.2.2</w:t>
      </w:r>
      <w:r>
        <w:rPr>
          <w:rFonts w:hint="eastAsia"/>
          <w:color w:val="auto"/>
        </w:rPr>
        <w:t>承包人应根据合同进度计划的安排，向监理人报送要求发包人交货的日期计划。发包人应按照监理人与合同双方当事人商定的交货日期，向承包人提交材料和工程设备。</w:t>
      </w:r>
    </w:p>
    <w:p w14:paraId="3423463C">
      <w:pPr>
        <w:pStyle w:val="95"/>
        <w:spacing w:line="364" w:lineRule="exact"/>
        <w:ind w:firstLine="420"/>
        <w:jc w:val="both"/>
        <w:rPr>
          <w:color w:val="auto"/>
        </w:rPr>
      </w:pPr>
      <w:r>
        <w:rPr>
          <w:rFonts w:hint="eastAsia"/>
          <w:color w:val="auto"/>
          <w:lang w:val="en-US" w:bidi="en-US"/>
        </w:rPr>
        <w:t>5.2.3</w:t>
      </w:r>
      <w:r>
        <w:rPr>
          <w:rFonts w:hint="eastAsia"/>
          <w:color w:val="auto"/>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1D57FE9D">
      <w:pPr>
        <w:pStyle w:val="95"/>
        <w:spacing w:line="365" w:lineRule="exact"/>
        <w:ind w:firstLine="420"/>
        <w:jc w:val="both"/>
        <w:rPr>
          <w:color w:val="auto"/>
        </w:rPr>
      </w:pPr>
      <w:r>
        <w:rPr>
          <w:rFonts w:hint="eastAsia"/>
          <w:color w:val="auto"/>
          <w:lang w:val="en-US" w:bidi="en-US"/>
        </w:rPr>
        <w:t>5. 2.4</w:t>
      </w:r>
      <w:r>
        <w:rPr>
          <w:rFonts w:hint="eastAsia"/>
          <w:color w:val="auto"/>
        </w:rPr>
        <w:t>发包人要求向承包人提前交货的，承包人不得拒绝，但发包人应承担承包人由此增加的费用。</w:t>
      </w:r>
    </w:p>
    <w:p w14:paraId="1130759D">
      <w:pPr>
        <w:pStyle w:val="95"/>
        <w:spacing w:line="365" w:lineRule="exact"/>
        <w:ind w:firstLine="420"/>
        <w:jc w:val="both"/>
        <w:rPr>
          <w:color w:val="auto"/>
        </w:rPr>
      </w:pPr>
      <w:r>
        <w:rPr>
          <w:rFonts w:hint="eastAsia"/>
          <w:color w:val="auto"/>
          <w:lang w:val="en-US" w:bidi="en-US"/>
        </w:rPr>
        <w:t>5.2.5</w:t>
      </w:r>
      <w:r>
        <w:rPr>
          <w:rFonts w:hint="eastAsia"/>
          <w:color w:val="auto"/>
        </w:rPr>
        <w:t>承包人要求更改交货日期或地点的，应事先报请监理人批准。由于承包人要求更改交货时间或地点所增加的费用和（或）工期延误由承包人承担。</w:t>
      </w:r>
    </w:p>
    <w:p w14:paraId="3C192A56">
      <w:pPr>
        <w:pStyle w:val="95"/>
        <w:spacing w:line="354" w:lineRule="exact"/>
        <w:ind w:firstLine="420"/>
        <w:jc w:val="both"/>
        <w:rPr>
          <w:color w:val="auto"/>
        </w:rPr>
      </w:pPr>
      <w:r>
        <w:rPr>
          <w:rFonts w:hint="eastAsia"/>
          <w:color w:val="auto"/>
          <w:lang w:val="en-US" w:bidi="en-US"/>
        </w:rPr>
        <w:t>5.2.6</w:t>
      </w:r>
      <w:r>
        <w:rPr>
          <w:rFonts w:hint="eastAsia"/>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725D23E0">
      <w:pPr>
        <w:pStyle w:val="101"/>
        <w:spacing w:before="0" w:after="0" w:line="360" w:lineRule="exact"/>
        <w:rPr>
          <w:rFonts w:ascii="宋体" w:hAnsi="宋体" w:cs="宋体"/>
          <w:color w:val="auto"/>
          <w:sz w:val="24"/>
          <w:szCs w:val="24"/>
          <w:lang w:eastAsia="zh-CN"/>
        </w:rPr>
      </w:pPr>
      <w:bookmarkStart w:id="523" w:name="bookmark1052"/>
      <w:bookmarkStart w:id="524" w:name="_Toc7741"/>
      <w:bookmarkStart w:id="525" w:name="_Toc20788"/>
      <w:bookmarkStart w:id="526" w:name="_Toc17795"/>
      <w:bookmarkStart w:id="527" w:name="_Toc22044"/>
      <w:bookmarkStart w:id="528" w:name="bookmark1054"/>
      <w:bookmarkStart w:id="529" w:name="_Toc30782"/>
      <w:bookmarkStart w:id="530" w:name="_Toc2255"/>
      <w:bookmarkStart w:id="531" w:name="bookmark1053"/>
      <w:bookmarkStart w:id="532" w:name="_Toc18309"/>
      <w:r>
        <w:rPr>
          <w:rFonts w:hint="eastAsia" w:ascii="宋体" w:hAnsi="宋体" w:cs="宋体"/>
          <w:color w:val="auto"/>
          <w:sz w:val="24"/>
          <w:szCs w:val="24"/>
          <w:lang w:eastAsia="zh-CN"/>
        </w:rPr>
        <w:t>5.3材料和工程设备专用于合同工程</w:t>
      </w:r>
      <w:bookmarkEnd w:id="523"/>
      <w:bookmarkEnd w:id="524"/>
      <w:bookmarkEnd w:id="525"/>
      <w:bookmarkEnd w:id="526"/>
      <w:bookmarkEnd w:id="527"/>
      <w:bookmarkEnd w:id="528"/>
      <w:bookmarkEnd w:id="529"/>
      <w:bookmarkEnd w:id="530"/>
      <w:bookmarkEnd w:id="531"/>
      <w:bookmarkEnd w:id="532"/>
    </w:p>
    <w:p w14:paraId="0C8FC2F0">
      <w:pPr>
        <w:pStyle w:val="95"/>
        <w:spacing w:line="355" w:lineRule="exact"/>
        <w:ind w:firstLine="420"/>
        <w:jc w:val="both"/>
        <w:rPr>
          <w:color w:val="auto"/>
        </w:rPr>
      </w:pPr>
      <w:r>
        <w:rPr>
          <w:rFonts w:hint="eastAsia"/>
          <w:color w:val="auto"/>
          <w:lang w:val="en-US" w:bidi="en-US"/>
        </w:rPr>
        <w:t>5.3.1</w:t>
      </w:r>
      <w:r>
        <w:rPr>
          <w:rFonts w:hint="eastAsia"/>
          <w:color w:val="auto"/>
        </w:rPr>
        <w:t>运入施工场地的材料、工程设备，包括备品备件、安装专用工器具与随机资料，必须专用于合同工程，未经监理人同意，承包人不得运出施工场地或挪作他用。</w:t>
      </w:r>
    </w:p>
    <w:p w14:paraId="3A849FFE">
      <w:pPr>
        <w:pStyle w:val="95"/>
        <w:spacing w:line="364" w:lineRule="exact"/>
        <w:ind w:firstLine="420"/>
        <w:jc w:val="both"/>
        <w:rPr>
          <w:color w:val="auto"/>
        </w:rPr>
      </w:pPr>
      <w:r>
        <w:rPr>
          <w:rFonts w:hint="eastAsia"/>
          <w:color w:val="auto"/>
          <w:lang w:val="en-US" w:bidi="en-US"/>
        </w:rPr>
        <w:t>5.3.2</w:t>
      </w:r>
      <w:r>
        <w:rPr>
          <w:rFonts w:hint="eastAsia"/>
          <w:color w:val="auto"/>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71C73DF">
      <w:pPr>
        <w:pStyle w:val="101"/>
        <w:spacing w:before="0" w:after="0" w:line="360" w:lineRule="exact"/>
        <w:rPr>
          <w:rFonts w:ascii="宋体" w:hAnsi="宋体" w:cs="宋体"/>
          <w:color w:val="auto"/>
          <w:sz w:val="24"/>
          <w:szCs w:val="24"/>
          <w:lang w:eastAsia="zh-CN"/>
        </w:rPr>
      </w:pPr>
      <w:bookmarkStart w:id="533" w:name="_Toc15663"/>
      <w:bookmarkStart w:id="534" w:name="bookmark1055"/>
      <w:bookmarkStart w:id="535" w:name="_Toc12312"/>
      <w:bookmarkStart w:id="536" w:name="bookmark1057"/>
      <w:bookmarkStart w:id="537" w:name="_Toc3043"/>
      <w:bookmarkStart w:id="538" w:name="_Toc23254"/>
      <w:bookmarkStart w:id="539" w:name="_Toc4943"/>
      <w:bookmarkStart w:id="540" w:name="bookmark1056"/>
      <w:bookmarkStart w:id="541" w:name="_Toc30864"/>
      <w:bookmarkStart w:id="542" w:name="_Toc28376"/>
      <w:r>
        <w:rPr>
          <w:rFonts w:hint="eastAsia" w:ascii="宋体" w:hAnsi="宋体" w:cs="宋体"/>
          <w:color w:val="auto"/>
          <w:sz w:val="24"/>
          <w:szCs w:val="24"/>
          <w:lang w:eastAsia="zh-CN"/>
        </w:rPr>
        <w:t>5.4禁止使用不合格的材料和工程设备</w:t>
      </w:r>
      <w:bookmarkEnd w:id="533"/>
      <w:bookmarkEnd w:id="534"/>
      <w:bookmarkEnd w:id="535"/>
      <w:bookmarkEnd w:id="536"/>
      <w:bookmarkEnd w:id="537"/>
      <w:bookmarkEnd w:id="538"/>
      <w:bookmarkEnd w:id="539"/>
      <w:bookmarkEnd w:id="540"/>
      <w:bookmarkEnd w:id="541"/>
      <w:bookmarkEnd w:id="542"/>
    </w:p>
    <w:p w14:paraId="5856F65D">
      <w:pPr>
        <w:pStyle w:val="95"/>
        <w:spacing w:line="362" w:lineRule="exact"/>
        <w:ind w:firstLine="420"/>
        <w:jc w:val="both"/>
        <w:rPr>
          <w:color w:val="auto"/>
        </w:rPr>
      </w:pPr>
      <w:bookmarkStart w:id="543" w:name="bookmark1058"/>
      <w:bookmarkEnd w:id="543"/>
      <w:r>
        <w:rPr>
          <w:rFonts w:hint="eastAsia"/>
          <w:color w:val="auto"/>
        </w:rPr>
        <w:t>5.4.1监理人有权拒绝承包人提供的不合格材料或工程设备，并要求承包人立即进行更换。监理人应在更换后再次进行检查和检验，由此增加的费用和（或）工期延误由承包 人承担。</w:t>
      </w:r>
    </w:p>
    <w:p w14:paraId="5E6FD002">
      <w:pPr>
        <w:pStyle w:val="95"/>
        <w:spacing w:line="362" w:lineRule="exact"/>
        <w:ind w:firstLine="420"/>
        <w:jc w:val="both"/>
        <w:rPr>
          <w:color w:val="auto"/>
        </w:rPr>
      </w:pPr>
      <w:bookmarkStart w:id="544" w:name="bookmark1059"/>
      <w:bookmarkEnd w:id="544"/>
      <w:r>
        <w:rPr>
          <w:rFonts w:hint="eastAsia"/>
          <w:color w:val="auto"/>
        </w:rPr>
        <w:t>5.4.2监理人发现承包人使用了不合格的材料和工程设备，应即时发出指示要求承包人立即改正，并禁止在工程中继续使用不合格的材料和工程设备。</w:t>
      </w:r>
    </w:p>
    <w:p w14:paraId="221EEA0E">
      <w:pPr>
        <w:pStyle w:val="95"/>
        <w:spacing w:line="362" w:lineRule="exact"/>
        <w:ind w:firstLine="420"/>
        <w:jc w:val="both"/>
        <w:rPr>
          <w:color w:val="auto"/>
        </w:rPr>
      </w:pPr>
      <w:r>
        <w:rPr>
          <w:rFonts w:hint="eastAsia"/>
          <w:color w:val="auto"/>
          <w:lang w:val="en-US" w:bidi="en-US"/>
        </w:rPr>
        <w:t>5.4.3</w:t>
      </w:r>
      <w:r>
        <w:rPr>
          <w:rFonts w:hint="eastAsia"/>
          <w:color w:val="auto"/>
        </w:rPr>
        <w:t>发包人提供的材料或工程设备不符合合同要求的，承包人有权拒绝，并可要求发包人更换，由此增加的费用和（或）工期延误由发包人承担。</w:t>
      </w:r>
    </w:p>
    <w:p w14:paraId="0B543303">
      <w:pPr>
        <w:pStyle w:val="101"/>
        <w:spacing w:before="0" w:after="0" w:line="360" w:lineRule="exact"/>
        <w:rPr>
          <w:rFonts w:ascii="宋体" w:hAnsi="宋体" w:cs="宋体"/>
          <w:color w:val="auto"/>
          <w:lang w:eastAsia="zh-CN"/>
        </w:rPr>
      </w:pPr>
      <w:bookmarkStart w:id="545" w:name="bookmark1062"/>
      <w:bookmarkEnd w:id="545"/>
      <w:bookmarkStart w:id="546" w:name="_Toc3256"/>
      <w:bookmarkStart w:id="547" w:name="_Toc11123"/>
      <w:bookmarkStart w:id="548" w:name="_Toc18620"/>
      <w:bookmarkStart w:id="549" w:name="_Toc21496"/>
      <w:bookmarkStart w:id="550" w:name="_Toc8966"/>
      <w:bookmarkStart w:id="551" w:name="bookmark1061"/>
      <w:bookmarkStart w:id="552" w:name="_Toc4086"/>
      <w:bookmarkStart w:id="553" w:name="bookmark1060"/>
      <w:bookmarkStart w:id="554" w:name="_Toc19523"/>
      <w:bookmarkStart w:id="555" w:name="bookmark1063"/>
      <w:r>
        <w:rPr>
          <w:rFonts w:hint="eastAsia" w:ascii="宋体" w:hAnsi="宋体" w:cs="宋体"/>
          <w:color w:val="auto"/>
          <w:lang w:eastAsia="zh-CN"/>
        </w:rPr>
        <w:t>6.施工设备和临时设施</w:t>
      </w:r>
      <w:bookmarkEnd w:id="546"/>
      <w:bookmarkEnd w:id="547"/>
      <w:bookmarkEnd w:id="548"/>
      <w:bookmarkEnd w:id="549"/>
      <w:bookmarkEnd w:id="550"/>
      <w:bookmarkEnd w:id="551"/>
      <w:bookmarkEnd w:id="552"/>
      <w:bookmarkEnd w:id="553"/>
      <w:bookmarkEnd w:id="554"/>
      <w:bookmarkEnd w:id="555"/>
    </w:p>
    <w:p w14:paraId="72D1E20F">
      <w:pPr>
        <w:pStyle w:val="101"/>
        <w:spacing w:before="0" w:after="0" w:line="360" w:lineRule="exact"/>
        <w:rPr>
          <w:rFonts w:ascii="宋体" w:hAnsi="宋体" w:cs="宋体"/>
          <w:color w:val="auto"/>
          <w:sz w:val="24"/>
          <w:szCs w:val="24"/>
          <w:lang w:eastAsia="zh-CN"/>
        </w:rPr>
      </w:pPr>
      <w:bookmarkStart w:id="556" w:name="_Toc30984"/>
      <w:bookmarkStart w:id="557" w:name="bookmark1064"/>
      <w:bookmarkStart w:id="558" w:name="_Toc9863"/>
      <w:bookmarkStart w:id="559" w:name="_Toc29023"/>
      <w:bookmarkStart w:id="560" w:name="_Toc31061"/>
      <w:bookmarkStart w:id="561" w:name="_Toc19936"/>
      <w:bookmarkStart w:id="562" w:name="_Toc2544"/>
      <w:bookmarkStart w:id="563" w:name="_Toc5508"/>
      <w:bookmarkStart w:id="564" w:name="bookmark1065"/>
      <w:bookmarkStart w:id="565" w:name="bookmark1066"/>
      <w:r>
        <w:rPr>
          <w:rFonts w:hint="eastAsia" w:ascii="宋体" w:hAnsi="宋体" w:cs="宋体"/>
          <w:color w:val="auto"/>
          <w:sz w:val="24"/>
          <w:szCs w:val="24"/>
          <w:lang w:eastAsia="zh-CN"/>
        </w:rPr>
        <w:t>6.1承包人提供的施工设备和临时设施</w:t>
      </w:r>
      <w:bookmarkEnd w:id="556"/>
      <w:bookmarkEnd w:id="557"/>
      <w:bookmarkEnd w:id="558"/>
      <w:bookmarkEnd w:id="559"/>
      <w:bookmarkEnd w:id="560"/>
      <w:bookmarkEnd w:id="561"/>
      <w:bookmarkEnd w:id="562"/>
      <w:bookmarkEnd w:id="563"/>
      <w:bookmarkEnd w:id="564"/>
      <w:bookmarkEnd w:id="565"/>
    </w:p>
    <w:p w14:paraId="2AAA3D84">
      <w:pPr>
        <w:pStyle w:val="95"/>
        <w:spacing w:line="366" w:lineRule="exact"/>
        <w:ind w:firstLine="420"/>
        <w:jc w:val="both"/>
        <w:rPr>
          <w:color w:val="auto"/>
        </w:rPr>
      </w:pPr>
      <w:r>
        <w:rPr>
          <w:rFonts w:hint="eastAsia"/>
          <w:color w:val="auto"/>
          <w:lang w:val="en-US" w:bidi="en-US"/>
        </w:rPr>
        <w:t>6.1.1</w:t>
      </w:r>
      <w:r>
        <w:rPr>
          <w:rFonts w:hint="eastAsia"/>
          <w:color w:val="auto"/>
        </w:rPr>
        <w:t>承包人应按合同进度计划的要求，及时配置施工设备和修建临时设施。进入施工场地的承包人设备需经监理人核查后才能投入使用。承包人更换合同约定的承包人设备的，应报监理人批准。</w:t>
      </w:r>
    </w:p>
    <w:p w14:paraId="711A4791">
      <w:pPr>
        <w:pStyle w:val="95"/>
        <w:spacing w:line="374" w:lineRule="exact"/>
        <w:ind w:firstLine="420"/>
        <w:jc w:val="both"/>
        <w:rPr>
          <w:color w:val="auto"/>
        </w:rPr>
      </w:pPr>
      <w:r>
        <w:rPr>
          <w:rFonts w:hint="eastAsia"/>
          <w:color w:val="auto"/>
          <w:lang w:val="en-US" w:bidi="en-US"/>
        </w:rPr>
        <w:t>6.1.2</w:t>
      </w:r>
      <w:r>
        <w:rPr>
          <w:rFonts w:hint="eastAsia"/>
          <w:color w:val="auto"/>
        </w:rPr>
        <w:t>除专用合同条款另有约定外，承包人应自行承担修建临时设施的费用，需要临时占地的，应由发包人办理申请手续并承担相应费用。</w:t>
      </w:r>
    </w:p>
    <w:p w14:paraId="48414EE2">
      <w:pPr>
        <w:pStyle w:val="101"/>
        <w:spacing w:before="0" w:after="0" w:line="360" w:lineRule="exact"/>
        <w:rPr>
          <w:rFonts w:ascii="宋体" w:hAnsi="宋体" w:cs="宋体"/>
          <w:color w:val="auto"/>
          <w:sz w:val="24"/>
          <w:szCs w:val="24"/>
          <w:lang w:eastAsia="zh-CN"/>
        </w:rPr>
      </w:pPr>
      <w:bookmarkStart w:id="566" w:name="_Toc31030"/>
      <w:bookmarkStart w:id="567" w:name="_Toc15863"/>
      <w:bookmarkStart w:id="568" w:name="_Toc26040"/>
      <w:bookmarkStart w:id="569" w:name="_Toc10885"/>
      <w:bookmarkStart w:id="570" w:name="bookmark1068"/>
      <w:bookmarkStart w:id="571" w:name="bookmark1069"/>
      <w:bookmarkStart w:id="572" w:name="_Toc25469"/>
      <w:bookmarkStart w:id="573" w:name="_Toc21357"/>
      <w:bookmarkStart w:id="574" w:name="_Toc27930"/>
      <w:bookmarkStart w:id="575" w:name="bookmark1067"/>
      <w:r>
        <w:rPr>
          <w:rFonts w:hint="eastAsia" w:ascii="宋体" w:hAnsi="宋体" w:cs="宋体"/>
          <w:color w:val="auto"/>
          <w:sz w:val="24"/>
          <w:szCs w:val="24"/>
          <w:lang w:eastAsia="zh-CN"/>
        </w:rPr>
        <w:t>6.2发包人提供的施工设备和临时设施</w:t>
      </w:r>
      <w:bookmarkEnd w:id="566"/>
      <w:bookmarkEnd w:id="567"/>
      <w:bookmarkEnd w:id="568"/>
      <w:bookmarkEnd w:id="569"/>
      <w:bookmarkEnd w:id="570"/>
      <w:bookmarkEnd w:id="571"/>
      <w:bookmarkEnd w:id="572"/>
      <w:bookmarkEnd w:id="573"/>
      <w:bookmarkEnd w:id="574"/>
      <w:bookmarkEnd w:id="575"/>
    </w:p>
    <w:p w14:paraId="624C976E">
      <w:pPr>
        <w:pStyle w:val="95"/>
        <w:spacing w:line="370" w:lineRule="exact"/>
        <w:ind w:firstLine="420"/>
        <w:jc w:val="both"/>
        <w:rPr>
          <w:color w:val="auto"/>
        </w:rPr>
      </w:pPr>
      <w:r>
        <w:rPr>
          <w:rFonts w:hint="eastAsia"/>
          <w:color w:val="auto"/>
        </w:rPr>
        <w:t>发包人提供的施工设备或临时设施在专用合同条款中约定。</w:t>
      </w:r>
    </w:p>
    <w:p w14:paraId="4D37B374">
      <w:pPr>
        <w:pStyle w:val="101"/>
        <w:spacing w:before="0" w:after="0" w:line="360" w:lineRule="exact"/>
        <w:rPr>
          <w:rFonts w:ascii="宋体" w:hAnsi="宋体" w:cs="宋体"/>
          <w:color w:val="auto"/>
          <w:sz w:val="24"/>
          <w:szCs w:val="24"/>
          <w:lang w:eastAsia="zh-CN"/>
        </w:rPr>
      </w:pPr>
      <w:bookmarkStart w:id="576" w:name="_Toc22668"/>
      <w:bookmarkStart w:id="577" w:name="_Toc27576"/>
      <w:bookmarkStart w:id="578" w:name="_Toc13324"/>
      <w:bookmarkStart w:id="579" w:name="_Toc737"/>
      <w:bookmarkStart w:id="580" w:name="bookmark1070"/>
      <w:bookmarkStart w:id="581" w:name="bookmark1071"/>
      <w:bookmarkStart w:id="582" w:name="_Toc27703"/>
      <w:bookmarkStart w:id="583" w:name="bookmark1072"/>
      <w:bookmarkStart w:id="584" w:name="_Toc27066"/>
      <w:bookmarkStart w:id="585" w:name="_Toc30722"/>
      <w:r>
        <w:rPr>
          <w:rFonts w:hint="eastAsia" w:ascii="宋体" w:hAnsi="宋体" w:cs="宋体"/>
          <w:color w:val="auto"/>
          <w:sz w:val="24"/>
          <w:szCs w:val="24"/>
          <w:lang w:eastAsia="zh-CN"/>
        </w:rPr>
        <w:t>6.3要求承包人增加或更换施工设备</w:t>
      </w:r>
      <w:bookmarkEnd w:id="576"/>
      <w:bookmarkEnd w:id="577"/>
      <w:bookmarkEnd w:id="578"/>
      <w:bookmarkEnd w:id="579"/>
      <w:bookmarkEnd w:id="580"/>
      <w:bookmarkEnd w:id="581"/>
      <w:bookmarkEnd w:id="582"/>
      <w:bookmarkEnd w:id="583"/>
      <w:bookmarkEnd w:id="584"/>
      <w:bookmarkEnd w:id="585"/>
    </w:p>
    <w:p w14:paraId="29D895E6">
      <w:pPr>
        <w:pStyle w:val="95"/>
        <w:spacing w:line="365" w:lineRule="exact"/>
        <w:ind w:firstLine="420"/>
        <w:jc w:val="both"/>
        <w:rPr>
          <w:color w:val="auto"/>
        </w:rPr>
      </w:pPr>
      <w:r>
        <w:rPr>
          <w:rFonts w:hint="eastAsia"/>
          <w:color w:val="auto"/>
        </w:rPr>
        <w:t>承包人使用的施工设备不能满足合同进度计划和（或）质量要求时，监理人有权要求承包人增加或更换施工设备，承包人应及时增加或更换，由此增加的费用和（或）工期延误由承包人承担。</w:t>
      </w:r>
    </w:p>
    <w:p w14:paraId="0BF705D2">
      <w:pPr>
        <w:pStyle w:val="101"/>
        <w:spacing w:before="0" w:after="0" w:line="360" w:lineRule="exact"/>
        <w:rPr>
          <w:rFonts w:ascii="宋体" w:hAnsi="宋体" w:cs="宋体"/>
          <w:color w:val="auto"/>
          <w:sz w:val="24"/>
          <w:szCs w:val="24"/>
          <w:lang w:eastAsia="zh-CN"/>
        </w:rPr>
      </w:pPr>
      <w:bookmarkStart w:id="586" w:name="_Toc9836"/>
      <w:bookmarkStart w:id="587" w:name="_Toc6579"/>
      <w:bookmarkStart w:id="588" w:name="bookmark1073"/>
      <w:bookmarkStart w:id="589" w:name="_Toc3333"/>
      <w:bookmarkStart w:id="590" w:name="bookmark1074"/>
      <w:bookmarkStart w:id="591" w:name="_Toc31647"/>
      <w:bookmarkStart w:id="592" w:name="_Toc20425"/>
      <w:bookmarkStart w:id="593" w:name="_Toc21826"/>
      <w:bookmarkStart w:id="594" w:name="_Toc23117"/>
      <w:bookmarkStart w:id="595" w:name="bookmark1075"/>
      <w:r>
        <w:rPr>
          <w:rFonts w:hint="eastAsia" w:ascii="宋体" w:hAnsi="宋体" w:cs="宋体"/>
          <w:color w:val="auto"/>
          <w:sz w:val="24"/>
          <w:szCs w:val="24"/>
          <w:lang w:eastAsia="zh-CN"/>
        </w:rPr>
        <w:t>6.4施工设备和临时设施专用于合同工程</w:t>
      </w:r>
      <w:bookmarkEnd w:id="586"/>
      <w:bookmarkEnd w:id="587"/>
      <w:bookmarkEnd w:id="588"/>
      <w:bookmarkEnd w:id="589"/>
      <w:bookmarkEnd w:id="590"/>
      <w:bookmarkEnd w:id="591"/>
      <w:bookmarkEnd w:id="592"/>
      <w:bookmarkEnd w:id="593"/>
      <w:bookmarkEnd w:id="594"/>
      <w:bookmarkEnd w:id="595"/>
    </w:p>
    <w:p w14:paraId="2DAC23E1">
      <w:pPr>
        <w:pStyle w:val="95"/>
        <w:spacing w:line="365" w:lineRule="exact"/>
        <w:ind w:firstLine="420"/>
        <w:jc w:val="both"/>
        <w:rPr>
          <w:color w:val="auto"/>
        </w:rPr>
      </w:pPr>
      <w:bookmarkStart w:id="596" w:name="bookmark1076"/>
      <w:bookmarkEnd w:id="596"/>
      <w:r>
        <w:rPr>
          <w:rFonts w:hint="eastAsia"/>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14:paraId="77D5CC95">
      <w:pPr>
        <w:pStyle w:val="95"/>
        <w:tabs>
          <w:tab w:val="left" w:pos="754"/>
        </w:tabs>
        <w:spacing w:line="370" w:lineRule="exact"/>
        <w:ind w:left="420" w:firstLine="0"/>
        <w:rPr>
          <w:color w:val="auto"/>
        </w:rPr>
      </w:pPr>
      <w:bookmarkStart w:id="597" w:name="bookmark1077"/>
      <w:bookmarkEnd w:id="597"/>
      <w:r>
        <w:rPr>
          <w:rFonts w:hint="eastAsia"/>
          <w:color w:val="auto"/>
          <w:lang w:val="en-US" w:bidi="en-US"/>
        </w:rPr>
        <w:t>6.4.2</w:t>
      </w:r>
      <w:r>
        <w:rPr>
          <w:rFonts w:hint="eastAsia"/>
          <w:color w:val="auto"/>
        </w:rPr>
        <w:t>经监理人同意，承包人可根据合同进度计划撤走闲置的施工设备。</w:t>
      </w:r>
    </w:p>
    <w:p w14:paraId="00E4BB03">
      <w:pPr>
        <w:pStyle w:val="101"/>
        <w:spacing w:before="0" w:after="0" w:line="360" w:lineRule="exact"/>
        <w:rPr>
          <w:rFonts w:ascii="宋体" w:hAnsi="宋体" w:cs="宋体"/>
          <w:color w:val="auto"/>
          <w:lang w:eastAsia="zh-CN"/>
        </w:rPr>
      </w:pPr>
      <w:bookmarkStart w:id="598" w:name="bookmark1080"/>
      <w:bookmarkEnd w:id="598"/>
      <w:bookmarkStart w:id="599" w:name="_Toc18104"/>
      <w:bookmarkStart w:id="600" w:name="bookmark1081"/>
      <w:bookmarkStart w:id="601" w:name="bookmark1078"/>
      <w:bookmarkStart w:id="602" w:name="_Toc29984"/>
      <w:bookmarkStart w:id="603" w:name="bookmark1079"/>
      <w:bookmarkStart w:id="604" w:name="_Toc10710"/>
      <w:bookmarkStart w:id="605" w:name="_Toc13833"/>
      <w:bookmarkStart w:id="606" w:name="_Toc5657"/>
      <w:bookmarkStart w:id="607" w:name="_Toc26864"/>
      <w:bookmarkStart w:id="608" w:name="_Toc23755"/>
      <w:r>
        <w:rPr>
          <w:rFonts w:hint="eastAsia" w:ascii="宋体" w:hAnsi="宋体" w:cs="宋体"/>
          <w:color w:val="auto"/>
          <w:lang w:eastAsia="zh-CN"/>
        </w:rPr>
        <w:t>7.交通运输</w:t>
      </w:r>
      <w:bookmarkEnd w:id="599"/>
      <w:bookmarkEnd w:id="600"/>
      <w:bookmarkEnd w:id="601"/>
      <w:bookmarkEnd w:id="602"/>
      <w:bookmarkEnd w:id="603"/>
      <w:bookmarkEnd w:id="604"/>
      <w:bookmarkEnd w:id="605"/>
      <w:bookmarkEnd w:id="606"/>
      <w:bookmarkEnd w:id="607"/>
      <w:bookmarkEnd w:id="608"/>
    </w:p>
    <w:p w14:paraId="1DFB768F">
      <w:pPr>
        <w:pStyle w:val="101"/>
        <w:spacing w:before="0" w:after="0" w:line="360" w:lineRule="exact"/>
        <w:rPr>
          <w:rFonts w:ascii="宋体" w:hAnsi="宋体" w:cs="宋体"/>
          <w:color w:val="auto"/>
          <w:sz w:val="24"/>
          <w:szCs w:val="24"/>
          <w:lang w:eastAsia="zh-CN"/>
        </w:rPr>
      </w:pPr>
      <w:bookmarkStart w:id="609" w:name="bookmark1083"/>
      <w:bookmarkStart w:id="610" w:name="_Toc3349"/>
      <w:bookmarkStart w:id="611" w:name="_Toc18589"/>
      <w:bookmarkStart w:id="612" w:name="_Toc15301"/>
      <w:bookmarkStart w:id="613" w:name="_Toc22987"/>
      <w:bookmarkStart w:id="614" w:name="bookmark1082"/>
      <w:bookmarkStart w:id="615" w:name="_Toc14787"/>
      <w:bookmarkStart w:id="616" w:name="_Toc14817"/>
      <w:bookmarkStart w:id="617" w:name="_Toc26533"/>
      <w:bookmarkStart w:id="618" w:name="bookmark1084"/>
      <w:r>
        <w:rPr>
          <w:rFonts w:hint="eastAsia" w:ascii="宋体" w:hAnsi="宋体" w:cs="宋体"/>
          <w:color w:val="auto"/>
          <w:sz w:val="24"/>
          <w:szCs w:val="24"/>
          <w:lang w:eastAsia="zh-CN"/>
        </w:rPr>
        <w:t>7.1道路通行权和场外设施</w:t>
      </w:r>
      <w:bookmarkEnd w:id="609"/>
      <w:bookmarkEnd w:id="610"/>
      <w:bookmarkEnd w:id="611"/>
      <w:bookmarkEnd w:id="612"/>
      <w:bookmarkEnd w:id="613"/>
      <w:bookmarkEnd w:id="614"/>
      <w:bookmarkEnd w:id="615"/>
      <w:bookmarkEnd w:id="616"/>
      <w:bookmarkEnd w:id="617"/>
      <w:bookmarkEnd w:id="618"/>
    </w:p>
    <w:p w14:paraId="1026D45B">
      <w:pPr>
        <w:pStyle w:val="95"/>
        <w:spacing w:line="359" w:lineRule="exact"/>
        <w:ind w:firstLine="420"/>
        <w:jc w:val="both"/>
        <w:rPr>
          <w:color w:val="auto"/>
        </w:rPr>
      </w:pPr>
      <w:r>
        <w:rPr>
          <w:rFonts w:hint="eastAsia"/>
          <w:color w:va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112A521">
      <w:pPr>
        <w:pStyle w:val="101"/>
        <w:spacing w:before="0" w:after="0" w:line="360" w:lineRule="exact"/>
        <w:rPr>
          <w:rFonts w:ascii="宋体" w:hAnsi="宋体" w:cs="宋体"/>
          <w:color w:val="auto"/>
          <w:sz w:val="24"/>
          <w:szCs w:val="24"/>
          <w:lang w:eastAsia="zh-CN"/>
        </w:rPr>
      </w:pPr>
      <w:bookmarkStart w:id="619" w:name="_Toc7535"/>
      <w:bookmarkStart w:id="620" w:name="_Toc22721"/>
      <w:bookmarkStart w:id="621" w:name="_Toc19760"/>
      <w:bookmarkStart w:id="622" w:name="bookmark1087"/>
      <w:bookmarkStart w:id="623" w:name="_Toc9736"/>
      <w:bookmarkStart w:id="624" w:name="bookmark1085"/>
      <w:bookmarkStart w:id="625" w:name="bookmark1086"/>
      <w:bookmarkStart w:id="626" w:name="_Toc25046"/>
      <w:bookmarkStart w:id="627" w:name="_Toc26620"/>
      <w:bookmarkStart w:id="628" w:name="_Toc10093"/>
      <w:r>
        <w:rPr>
          <w:rFonts w:hint="eastAsia" w:ascii="宋体" w:hAnsi="宋体" w:cs="宋体"/>
          <w:color w:val="auto"/>
          <w:sz w:val="24"/>
          <w:szCs w:val="24"/>
          <w:lang w:eastAsia="zh-CN"/>
        </w:rPr>
        <w:t>7.2场内施工道路</w:t>
      </w:r>
      <w:bookmarkEnd w:id="619"/>
      <w:bookmarkEnd w:id="620"/>
      <w:bookmarkEnd w:id="621"/>
      <w:bookmarkEnd w:id="622"/>
      <w:bookmarkEnd w:id="623"/>
      <w:bookmarkEnd w:id="624"/>
      <w:bookmarkEnd w:id="625"/>
      <w:bookmarkEnd w:id="626"/>
      <w:bookmarkEnd w:id="627"/>
      <w:bookmarkEnd w:id="628"/>
    </w:p>
    <w:p w14:paraId="7326C471">
      <w:pPr>
        <w:pStyle w:val="95"/>
        <w:spacing w:line="370" w:lineRule="exact"/>
        <w:ind w:firstLine="420"/>
        <w:jc w:val="both"/>
        <w:rPr>
          <w:color w:val="auto"/>
        </w:rPr>
      </w:pPr>
      <w:r>
        <w:rPr>
          <w:rFonts w:hint="eastAsia"/>
          <w:color w:val="auto"/>
          <w:lang w:val="en-US" w:bidi="en-US"/>
        </w:rPr>
        <w:t>7.2.1</w:t>
      </w:r>
      <w:r>
        <w:rPr>
          <w:rFonts w:hint="eastAsia"/>
          <w:color w:val="auto"/>
        </w:rPr>
        <w:t>除本合同约定由发包人提供的部分道路和交通设施外，承包人应负责修建、维 修、养护和管理其施工所需的全部临时道路和交通设施（包括合同约定由发包人提供的部分道路和交通设施维修、养护和管理），并承担相应费用。</w:t>
      </w:r>
    </w:p>
    <w:p w14:paraId="7D293CD5">
      <w:pPr>
        <w:pStyle w:val="95"/>
        <w:spacing w:line="379" w:lineRule="exact"/>
        <w:ind w:firstLine="420"/>
        <w:jc w:val="both"/>
        <w:rPr>
          <w:color w:val="auto"/>
        </w:rPr>
      </w:pPr>
      <w:r>
        <w:rPr>
          <w:rFonts w:hint="eastAsia"/>
          <w:color w:val="auto"/>
          <w:lang w:val="en-US" w:bidi="en-US"/>
        </w:rPr>
        <w:t>7.2.2</w:t>
      </w:r>
      <w:r>
        <w:rPr>
          <w:rFonts w:hint="eastAsia"/>
          <w:color w:val="auto"/>
        </w:rPr>
        <w:t>承包人修建的临时道路和交通设施，应免费提供发包人、监理人，以及与本合同有关的其他承包人使用。</w:t>
      </w:r>
    </w:p>
    <w:p w14:paraId="7DE5298C">
      <w:pPr>
        <w:pStyle w:val="101"/>
        <w:spacing w:before="0" w:after="0" w:line="360" w:lineRule="exact"/>
        <w:rPr>
          <w:rFonts w:ascii="宋体" w:hAnsi="宋体" w:cs="宋体"/>
          <w:color w:val="auto"/>
          <w:sz w:val="24"/>
          <w:szCs w:val="24"/>
          <w:lang w:eastAsia="zh-CN"/>
        </w:rPr>
      </w:pPr>
      <w:bookmarkStart w:id="629" w:name="bookmark1090"/>
      <w:bookmarkStart w:id="630" w:name="_Toc9625"/>
      <w:bookmarkStart w:id="631" w:name="_Toc23082"/>
      <w:bookmarkStart w:id="632" w:name="bookmark1089"/>
      <w:bookmarkStart w:id="633" w:name="_Toc12355"/>
      <w:bookmarkStart w:id="634" w:name="_Toc17568"/>
      <w:bookmarkStart w:id="635" w:name="_Toc1077"/>
      <w:bookmarkStart w:id="636" w:name="bookmark1088"/>
      <w:bookmarkStart w:id="637" w:name="_Toc5303"/>
      <w:bookmarkStart w:id="638" w:name="_Toc588"/>
      <w:r>
        <w:rPr>
          <w:rFonts w:hint="eastAsia" w:ascii="宋体" w:hAnsi="宋体" w:cs="宋体"/>
          <w:color w:val="auto"/>
          <w:sz w:val="24"/>
          <w:szCs w:val="24"/>
          <w:lang w:eastAsia="zh-CN"/>
        </w:rPr>
        <w:t>7.3场外交通</w:t>
      </w:r>
      <w:bookmarkEnd w:id="629"/>
      <w:bookmarkEnd w:id="630"/>
      <w:bookmarkEnd w:id="631"/>
      <w:bookmarkEnd w:id="632"/>
      <w:bookmarkEnd w:id="633"/>
      <w:bookmarkEnd w:id="634"/>
      <w:bookmarkEnd w:id="635"/>
      <w:bookmarkEnd w:id="636"/>
      <w:bookmarkEnd w:id="637"/>
      <w:bookmarkEnd w:id="638"/>
    </w:p>
    <w:p w14:paraId="13E6B045">
      <w:pPr>
        <w:pStyle w:val="95"/>
        <w:spacing w:line="379" w:lineRule="exact"/>
        <w:ind w:firstLine="420"/>
        <w:jc w:val="both"/>
        <w:rPr>
          <w:color w:val="auto"/>
        </w:rPr>
      </w:pPr>
      <w:r>
        <w:rPr>
          <w:rFonts w:hint="eastAsia"/>
          <w:color w:val="auto"/>
          <w:lang w:val="en-US" w:bidi="en-US"/>
        </w:rPr>
        <w:t>7.3.1</w:t>
      </w:r>
      <w:r>
        <w:rPr>
          <w:rFonts w:hint="eastAsia"/>
          <w:color w:val="auto"/>
        </w:rPr>
        <w:t>承包人车辆外出行驶所需的场外公共道路的通行费、养路费和税款等由承包人承担。</w:t>
      </w:r>
    </w:p>
    <w:p w14:paraId="0257877A">
      <w:pPr>
        <w:pStyle w:val="95"/>
        <w:spacing w:line="379" w:lineRule="exact"/>
        <w:ind w:firstLine="420"/>
        <w:jc w:val="both"/>
        <w:rPr>
          <w:color w:val="auto"/>
        </w:rPr>
      </w:pPr>
      <w:r>
        <w:rPr>
          <w:rFonts w:hint="eastAsia"/>
          <w:color w:val="auto"/>
          <w:lang w:val="en-US"/>
        </w:rPr>
        <w:t>7.3.2</w:t>
      </w:r>
      <w:r>
        <w:rPr>
          <w:rFonts w:hint="eastAsia"/>
          <w:color w:val="auto"/>
        </w:rPr>
        <w:t>承包人应遵守有关交通法规，严格按照道路和桥梁的限制荷重安全行驶，并服从交通管理部门的检查和监督</w:t>
      </w:r>
      <w:r>
        <w:rPr>
          <w:rFonts w:hint="eastAsia"/>
          <w:color w:val="auto"/>
          <w:lang w:val="en-US"/>
        </w:rPr>
        <w:t>。</w:t>
      </w:r>
    </w:p>
    <w:p w14:paraId="7A1A7808">
      <w:pPr>
        <w:pStyle w:val="101"/>
        <w:spacing w:before="0" w:after="0" w:line="360" w:lineRule="exact"/>
        <w:rPr>
          <w:rFonts w:ascii="宋体" w:hAnsi="宋体" w:cs="宋体"/>
          <w:color w:val="auto"/>
          <w:sz w:val="24"/>
          <w:szCs w:val="24"/>
          <w:lang w:eastAsia="zh-CN"/>
        </w:rPr>
      </w:pPr>
      <w:bookmarkStart w:id="639" w:name="bookmark1093"/>
      <w:bookmarkStart w:id="640" w:name="_Toc25306"/>
      <w:bookmarkStart w:id="641" w:name="_Toc5823"/>
      <w:bookmarkStart w:id="642" w:name="_Toc25595"/>
      <w:bookmarkStart w:id="643" w:name="_Toc10137"/>
      <w:bookmarkStart w:id="644" w:name="_Toc20875"/>
      <w:bookmarkStart w:id="645" w:name="_Toc18897"/>
      <w:bookmarkStart w:id="646" w:name="bookmark1092"/>
      <w:bookmarkStart w:id="647" w:name="bookmark1091"/>
      <w:bookmarkStart w:id="648" w:name="_Toc23711"/>
      <w:r>
        <w:rPr>
          <w:rFonts w:hint="eastAsia" w:ascii="宋体" w:hAnsi="宋体" w:cs="宋体"/>
          <w:color w:val="auto"/>
          <w:sz w:val="24"/>
          <w:szCs w:val="24"/>
          <w:lang w:eastAsia="zh-CN"/>
        </w:rPr>
        <w:t>7.4超大件和超重件的运输</w:t>
      </w:r>
      <w:bookmarkEnd w:id="639"/>
      <w:bookmarkEnd w:id="640"/>
      <w:bookmarkEnd w:id="641"/>
      <w:bookmarkEnd w:id="642"/>
      <w:bookmarkEnd w:id="643"/>
      <w:bookmarkEnd w:id="644"/>
      <w:bookmarkEnd w:id="645"/>
      <w:bookmarkEnd w:id="646"/>
      <w:bookmarkEnd w:id="647"/>
      <w:bookmarkEnd w:id="648"/>
    </w:p>
    <w:p w14:paraId="38E70E21">
      <w:pPr>
        <w:pStyle w:val="95"/>
        <w:spacing w:line="347" w:lineRule="exact"/>
        <w:ind w:firstLine="440"/>
        <w:jc w:val="both"/>
        <w:rPr>
          <w:color w:val="auto"/>
        </w:rPr>
      </w:pPr>
      <w:r>
        <w:rPr>
          <w:rFonts w:hint="eastAsia"/>
          <w:color w:val="auto"/>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5CCD88B0">
      <w:pPr>
        <w:pStyle w:val="101"/>
        <w:spacing w:before="0" w:after="0" w:line="360" w:lineRule="exact"/>
        <w:rPr>
          <w:rFonts w:ascii="宋体" w:hAnsi="宋体" w:cs="宋体"/>
          <w:color w:val="auto"/>
          <w:sz w:val="24"/>
          <w:szCs w:val="24"/>
          <w:lang w:eastAsia="zh-CN"/>
        </w:rPr>
      </w:pPr>
      <w:bookmarkStart w:id="649" w:name="bookmark1094"/>
      <w:bookmarkStart w:id="650" w:name="_Toc12370"/>
      <w:bookmarkStart w:id="651" w:name="bookmark1095"/>
      <w:bookmarkStart w:id="652" w:name="_Toc8878"/>
      <w:bookmarkStart w:id="653" w:name="_Toc8684"/>
      <w:bookmarkStart w:id="654" w:name="_Toc5186"/>
      <w:bookmarkStart w:id="655" w:name="_Toc31023"/>
      <w:bookmarkStart w:id="656" w:name="_Toc23194"/>
      <w:bookmarkStart w:id="657" w:name="_Toc19673"/>
      <w:bookmarkStart w:id="658" w:name="bookmark1096"/>
      <w:r>
        <w:rPr>
          <w:rFonts w:hint="eastAsia" w:ascii="宋体" w:hAnsi="宋体" w:cs="宋体"/>
          <w:color w:val="auto"/>
          <w:sz w:val="24"/>
          <w:szCs w:val="24"/>
          <w:lang w:eastAsia="zh-CN"/>
        </w:rPr>
        <w:t>7.5道路和桥梁的损坏责任</w:t>
      </w:r>
      <w:bookmarkEnd w:id="649"/>
      <w:bookmarkEnd w:id="650"/>
      <w:bookmarkEnd w:id="651"/>
      <w:bookmarkEnd w:id="652"/>
      <w:bookmarkEnd w:id="653"/>
      <w:bookmarkEnd w:id="654"/>
      <w:bookmarkEnd w:id="655"/>
      <w:bookmarkEnd w:id="656"/>
      <w:bookmarkEnd w:id="657"/>
      <w:bookmarkEnd w:id="658"/>
    </w:p>
    <w:p w14:paraId="2F5375D3">
      <w:pPr>
        <w:pStyle w:val="95"/>
        <w:spacing w:line="353" w:lineRule="exact"/>
        <w:ind w:firstLine="440"/>
        <w:jc w:val="both"/>
        <w:rPr>
          <w:color w:val="auto"/>
        </w:rPr>
      </w:pPr>
      <w:r>
        <w:rPr>
          <w:rFonts w:hint="eastAsia"/>
          <w:color w:val="auto"/>
        </w:rPr>
        <w:t>因承包人运输造成施工场地内外公共道路和桥梁损坏的，由承包人承担修复损坏的全部费用和可能引起的赔偿。</w:t>
      </w:r>
    </w:p>
    <w:p w14:paraId="3400E409">
      <w:pPr>
        <w:pStyle w:val="101"/>
        <w:spacing w:before="0" w:after="0" w:line="360" w:lineRule="exact"/>
        <w:rPr>
          <w:rFonts w:ascii="宋体" w:hAnsi="宋体" w:cs="宋体"/>
          <w:color w:val="auto"/>
          <w:sz w:val="24"/>
          <w:szCs w:val="24"/>
          <w:lang w:eastAsia="zh-CN"/>
        </w:rPr>
      </w:pPr>
      <w:bookmarkStart w:id="659" w:name="_Toc20972"/>
      <w:bookmarkStart w:id="660" w:name="bookmark1097"/>
      <w:bookmarkStart w:id="661" w:name="bookmark1098"/>
      <w:bookmarkStart w:id="662" w:name="_Toc7521"/>
      <w:bookmarkStart w:id="663" w:name="_Toc12760"/>
      <w:bookmarkStart w:id="664" w:name="_Toc1890"/>
      <w:bookmarkStart w:id="665" w:name="_Toc32607"/>
      <w:bookmarkStart w:id="666" w:name="bookmark1099"/>
      <w:bookmarkStart w:id="667" w:name="_Toc30116"/>
      <w:bookmarkStart w:id="668" w:name="_Toc5839"/>
      <w:r>
        <w:rPr>
          <w:rFonts w:hint="eastAsia" w:ascii="宋体" w:hAnsi="宋体" w:cs="宋体"/>
          <w:color w:val="auto"/>
          <w:sz w:val="24"/>
          <w:szCs w:val="24"/>
          <w:lang w:eastAsia="zh-CN"/>
        </w:rPr>
        <w:t>7.6水路和航空运输</w:t>
      </w:r>
      <w:bookmarkEnd w:id="659"/>
      <w:bookmarkEnd w:id="660"/>
      <w:bookmarkEnd w:id="661"/>
      <w:bookmarkEnd w:id="662"/>
      <w:bookmarkEnd w:id="663"/>
      <w:bookmarkEnd w:id="664"/>
      <w:bookmarkEnd w:id="665"/>
      <w:bookmarkEnd w:id="666"/>
      <w:bookmarkEnd w:id="667"/>
      <w:bookmarkEnd w:id="668"/>
    </w:p>
    <w:p w14:paraId="6284E77A">
      <w:pPr>
        <w:pStyle w:val="95"/>
        <w:spacing w:line="350" w:lineRule="exact"/>
        <w:ind w:firstLine="440"/>
        <w:jc w:val="both"/>
        <w:rPr>
          <w:color w:val="auto"/>
        </w:rPr>
      </w:pPr>
      <w:r>
        <w:rPr>
          <w:rFonts w:hint="eastAsia"/>
          <w:color w:val="auto"/>
        </w:rPr>
        <w:t>本条上述各款的内容适用于水路运输和航空运输，其中“道路”一词的涵义包括河道、 航线、船闸、机场、码头、堤防以及水路或航空运输中其他相似结构物；“车辆”一词的涵义包括船舶和飞机等。</w:t>
      </w:r>
    </w:p>
    <w:p w14:paraId="71DC128A">
      <w:pPr>
        <w:pStyle w:val="101"/>
        <w:spacing w:before="0" w:after="0" w:line="360" w:lineRule="exact"/>
        <w:rPr>
          <w:rFonts w:ascii="宋体" w:hAnsi="宋体" w:cs="宋体"/>
          <w:color w:val="auto"/>
          <w:lang w:eastAsia="zh-CN"/>
        </w:rPr>
      </w:pPr>
      <w:bookmarkStart w:id="669" w:name="bookmark1102"/>
      <w:bookmarkEnd w:id="669"/>
      <w:bookmarkStart w:id="670" w:name="_Toc7491"/>
      <w:bookmarkStart w:id="671" w:name="bookmark1101"/>
      <w:bookmarkStart w:id="672" w:name="_Toc28596"/>
      <w:bookmarkStart w:id="673" w:name="_Toc14055"/>
      <w:bookmarkStart w:id="674" w:name="_Toc6840"/>
      <w:bookmarkStart w:id="675" w:name="bookmark1100"/>
      <w:bookmarkStart w:id="676" w:name="_Toc2136"/>
      <w:bookmarkStart w:id="677" w:name="_Toc16814"/>
      <w:bookmarkStart w:id="678" w:name="_Toc12391"/>
      <w:bookmarkStart w:id="679" w:name="bookmark1103"/>
      <w:r>
        <w:rPr>
          <w:rFonts w:hint="eastAsia" w:ascii="宋体" w:hAnsi="宋体" w:cs="宋体"/>
          <w:color w:val="auto"/>
          <w:lang w:eastAsia="zh-CN"/>
        </w:rPr>
        <w:t>8.测量放线</w:t>
      </w:r>
      <w:bookmarkEnd w:id="670"/>
      <w:bookmarkEnd w:id="671"/>
      <w:bookmarkEnd w:id="672"/>
      <w:bookmarkEnd w:id="673"/>
      <w:bookmarkEnd w:id="674"/>
      <w:bookmarkEnd w:id="675"/>
      <w:bookmarkEnd w:id="676"/>
      <w:bookmarkEnd w:id="677"/>
      <w:bookmarkEnd w:id="678"/>
      <w:bookmarkEnd w:id="679"/>
    </w:p>
    <w:p w14:paraId="400097A8">
      <w:pPr>
        <w:pStyle w:val="101"/>
        <w:spacing w:before="0" w:after="0" w:line="360" w:lineRule="exact"/>
        <w:rPr>
          <w:rFonts w:ascii="宋体" w:hAnsi="宋体" w:cs="宋体"/>
          <w:color w:val="auto"/>
          <w:sz w:val="24"/>
          <w:szCs w:val="24"/>
          <w:lang w:eastAsia="zh-CN"/>
        </w:rPr>
      </w:pPr>
      <w:bookmarkStart w:id="680" w:name="_Toc27846"/>
      <w:bookmarkStart w:id="681" w:name="_Toc16594"/>
      <w:bookmarkStart w:id="682" w:name="_Toc16690"/>
      <w:bookmarkStart w:id="683" w:name="_Toc19328"/>
      <w:bookmarkStart w:id="684" w:name="bookmark1104"/>
      <w:bookmarkStart w:id="685" w:name="_Toc7125"/>
      <w:bookmarkStart w:id="686" w:name="_Toc17814"/>
      <w:bookmarkStart w:id="687" w:name="bookmark1106"/>
      <w:bookmarkStart w:id="688" w:name="bookmark1105"/>
      <w:bookmarkStart w:id="689" w:name="_Toc24843"/>
      <w:r>
        <w:rPr>
          <w:rFonts w:hint="eastAsia" w:ascii="宋体" w:hAnsi="宋体" w:cs="宋体"/>
          <w:color w:val="auto"/>
          <w:sz w:val="24"/>
          <w:szCs w:val="24"/>
          <w:lang w:eastAsia="zh-CN"/>
        </w:rPr>
        <w:t>8.1施工控制网</w:t>
      </w:r>
      <w:bookmarkEnd w:id="680"/>
      <w:bookmarkEnd w:id="681"/>
      <w:bookmarkEnd w:id="682"/>
      <w:bookmarkEnd w:id="683"/>
      <w:bookmarkEnd w:id="684"/>
      <w:bookmarkEnd w:id="685"/>
      <w:bookmarkEnd w:id="686"/>
      <w:bookmarkEnd w:id="687"/>
      <w:bookmarkEnd w:id="688"/>
      <w:bookmarkEnd w:id="689"/>
    </w:p>
    <w:p w14:paraId="48D3ECD8">
      <w:pPr>
        <w:pStyle w:val="95"/>
        <w:spacing w:line="352" w:lineRule="exact"/>
        <w:ind w:firstLine="440"/>
        <w:jc w:val="both"/>
        <w:rPr>
          <w:color w:val="auto"/>
        </w:rPr>
      </w:pPr>
      <w:r>
        <w:rPr>
          <w:rFonts w:hint="eastAsia"/>
          <w:color w:val="auto"/>
          <w:lang w:val="en-US" w:bidi="en-US"/>
        </w:rPr>
        <w:t>8.1.1</w:t>
      </w:r>
      <w:r>
        <w:rPr>
          <w:rFonts w:hint="eastAsia"/>
          <w:color w:val="auto"/>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4CC65B9">
      <w:pPr>
        <w:pStyle w:val="95"/>
        <w:spacing w:line="352" w:lineRule="exact"/>
        <w:ind w:firstLine="440"/>
        <w:jc w:val="both"/>
        <w:rPr>
          <w:color w:val="auto"/>
        </w:rPr>
      </w:pPr>
      <w:r>
        <w:rPr>
          <w:rFonts w:hint="eastAsia"/>
          <w:color w:val="auto"/>
          <w:lang w:val="en-US" w:bidi="en-US"/>
        </w:rPr>
        <w:t>8.1.2</w:t>
      </w:r>
      <w:r>
        <w:rPr>
          <w:rFonts w:hint="eastAsia"/>
          <w:color w:val="auto"/>
        </w:rPr>
        <w:t>承包人应负责管理施工控制网点。施工控制网点丢失或损坏的，承包人应及时修复。承包人应承担施工控制网点的管理与修复费用，并在工程竣工后将施工控制网点移交发包人。</w:t>
      </w:r>
    </w:p>
    <w:p w14:paraId="55648922">
      <w:pPr>
        <w:pStyle w:val="101"/>
        <w:spacing w:before="0" w:after="0" w:line="360" w:lineRule="exact"/>
        <w:rPr>
          <w:rFonts w:ascii="宋体" w:hAnsi="宋体" w:cs="宋体"/>
          <w:color w:val="auto"/>
          <w:sz w:val="24"/>
          <w:szCs w:val="24"/>
          <w:lang w:eastAsia="zh-CN"/>
        </w:rPr>
      </w:pPr>
      <w:bookmarkStart w:id="690" w:name="_Toc9726"/>
      <w:bookmarkStart w:id="691" w:name="bookmark1107"/>
      <w:bookmarkStart w:id="692" w:name="_Toc28033"/>
      <w:bookmarkStart w:id="693" w:name="_Toc10111"/>
      <w:bookmarkStart w:id="694" w:name="_Toc16371"/>
      <w:bookmarkStart w:id="695" w:name="_Toc10169"/>
      <w:bookmarkStart w:id="696" w:name="_Toc15332"/>
      <w:bookmarkStart w:id="697" w:name="bookmark1109"/>
      <w:bookmarkStart w:id="698" w:name="bookmark1108"/>
      <w:bookmarkStart w:id="699" w:name="_Toc8732"/>
      <w:r>
        <w:rPr>
          <w:rFonts w:hint="eastAsia" w:ascii="宋体" w:hAnsi="宋体" w:cs="宋体"/>
          <w:color w:val="auto"/>
          <w:sz w:val="24"/>
          <w:szCs w:val="24"/>
          <w:lang w:eastAsia="zh-CN"/>
        </w:rPr>
        <w:t>8.2施工测量</w:t>
      </w:r>
      <w:bookmarkEnd w:id="690"/>
      <w:bookmarkEnd w:id="691"/>
      <w:bookmarkEnd w:id="692"/>
      <w:bookmarkEnd w:id="693"/>
      <w:bookmarkEnd w:id="694"/>
      <w:bookmarkEnd w:id="695"/>
      <w:bookmarkEnd w:id="696"/>
      <w:bookmarkEnd w:id="697"/>
      <w:bookmarkEnd w:id="698"/>
      <w:bookmarkEnd w:id="699"/>
    </w:p>
    <w:p w14:paraId="59E02CC6">
      <w:pPr>
        <w:pStyle w:val="95"/>
        <w:spacing w:line="360" w:lineRule="exact"/>
        <w:ind w:firstLine="440"/>
        <w:jc w:val="both"/>
        <w:rPr>
          <w:color w:val="auto"/>
        </w:rPr>
      </w:pPr>
      <w:r>
        <w:rPr>
          <w:rFonts w:hint="eastAsia"/>
          <w:color w:val="auto"/>
          <w:lang w:val="en-US" w:bidi="en-US"/>
        </w:rPr>
        <w:t>8.2.1</w:t>
      </w:r>
      <w:r>
        <w:rPr>
          <w:rFonts w:hint="eastAsia"/>
          <w:color w:val="auto"/>
        </w:rPr>
        <w:t>承包人应负责施工过程中的全部施工测量放线工作，并配置合格的人员、仪 器、设备和其他物品。</w:t>
      </w:r>
    </w:p>
    <w:p w14:paraId="059BAAFF">
      <w:pPr>
        <w:pStyle w:val="95"/>
        <w:spacing w:line="365" w:lineRule="exact"/>
        <w:ind w:firstLine="440"/>
        <w:jc w:val="both"/>
        <w:rPr>
          <w:color w:val="auto"/>
        </w:rPr>
      </w:pPr>
      <w:r>
        <w:rPr>
          <w:rFonts w:hint="eastAsia"/>
          <w:color w:val="auto"/>
          <w:lang w:val="en-US" w:bidi="en-US"/>
        </w:rPr>
        <w:t>8.2.2</w:t>
      </w:r>
      <w:r>
        <w:rPr>
          <w:rFonts w:hint="eastAsia"/>
          <w:color w:val="auto"/>
        </w:rPr>
        <w:t>监理人可以指示承包人进行抽样复测，当复测中发现错误或出现超过合同约定的误差时，承包人应按监理人指示进行修正或补测，并承担相应的复测费用。</w:t>
      </w:r>
    </w:p>
    <w:p w14:paraId="6D8CFBF1">
      <w:pPr>
        <w:pStyle w:val="101"/>
        <w:spacing w:before="0" w:after="0" w:line="360" w:lineRule="exact"/>
        <w:rPr>
          <w:rFonts w:ascii="宋体" w:hAnsi="宋体" w:cs="宋体"/>
          <w:color w:val="auto"/>
          <w:sz w:val="24"/>
          <w:szCs w:val="24"/>
          <w:lang w:eastAsia="zh-CN"/>
        </w:rPr>
      </w:pPr>
      <w:bookmarkStart w:id="700" w:name="_Toc18249"/>
      <w:bookmarkStart w:id="701" w:name="_Toc2169"/>
      <w:bookmarkStart w:id="702" w:name="bookmark1111"/>
      <w:bookmarkStart w:id="703" w:name="_Toc5971"/>
      <w:bookmarkStart w:id="704" w:name="_Toc5092"/>
      <w:bookmarkStart w:id="705" w:name="_Toc2222"/>
      <w:bookmarkStart w:id="706" w:name="_Toc29962"/>
      <w:bookmarkStart w:id="707" w:name="_Toc508"/>
      <w:bookmarkStart w:id="708" w:name="bookmark1112"/>
      <w:bookmarkStart w:id="709" w:name="bookmark1110"/>
      <w:r>
        <w:rPr>
          <w:rFonts w:hint="eastAsia" w:ascii="宋体" w:hAnsi="宋体" w:cs="宋体"/>
          <w:color w:val="auto"/>
          <w:sz w:val="24"/>
          <w:szCs w:val="24"/>
          <w:lang w:eastAsia="zh-CN"/>
        </w:rPr>
        <w:t>8.3基准资料错误的责任</w:t>
      </w:r>
      <w:bookmarkEnd w:id="700"/>
      <w:bookmarkEnd w:id="701"/>
      <w:bookmarkEnd w:id="702"/>
      <w:bookmarkEnd w:id="703"/>
      <w:bookmarkEnd w:id="704"/>
      <w:bookmarkEnd w:id="705"/>
      <w:bookmarkEnd w:id="706"/>
      <w:bookmarkEnd w:id="707"/>
      <w:bookmarkEnd w:id="708"/>
      <w:bookmarkEnd w:id="709"/>
    </w:p>
    <w:p w14:paraId="0FD02904">
      <w:pPr>
        <w:pStyle w:val="95"/>
        <w:spacing w:line="349" w:lineRule="exact"/>
        <w:ind w:firstLine="440"/>
        <w:jc w:val="both"/>
        <w:rPr>
          <w:color w:val="auto"/>
        </w:rPr>
      </w:pPr>
      <w:r>
        <w:rPr>
          <w:rFonts w:hint="eastAsia"/>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C37AD98">
      <w:pPr>
        <w:pStyle w:val="101"/>
        <w:spacing w:before="0" w:after="0" w:line="360" w:lineRule="exact"/>
        <w:rPr>
          <w:rFonts w:ascii="宋体" w:hAnsi="宋体" w:cs="宋体"/>
          <w:color w:val="auto"/>
          <w:sz w:val="24"/>
          <w:szCs w:val="24"/>
          <w:lang w:eastAsia="zh-CN"/>
        </w:rPr>
      </w:pPr>
      <w:bookmarkStart w:id="710" w:name="_Toc20115"/>
      <w:bookmarkStart w:id="711" w:name="bookmark1113"/>
      <w:bookmarkStart w:id="712" w:name="_Toc10182"/>
      <w:bookmarkStart w:id="713" w:name="bookmark1115"/>
      <w:bookmarkStart w:id="714" w:name="_Toc8662"/>
      <w:bookmarkStart w:id="715" w:name="_Toc26810"/>
      <w:bookmarkStart w:id="716" w:name="bookmark1114"/>
      <w:bookmarkStart w:id="717" w:name="_Toc12604"/>
      <w:bookmarkStart w:id="718" w:name="_Toc13167"/>
      <w:bookmarkStart w:id="719" w:name="_Toc24310"/>
      <w:r>
        <w:rPr>
          <w:rFonts w:hint="eastAsia" w:ascii="宋体" w:hAnsi="宋体" w:cs="宋体"/>
          <w:color w:val="auto"/>
          <w:sz w:val="24"/>
          <w:szCs w:val="24"/>
          <w:lang w:eastAsia="zh-CN"/>
        </w:rPr>
        <w:t>8.4监理人使用施工控制网</w:t>
      </w:r>
      <w:bookmarkEnd w:id="710"/>
      <w:bookmarkEnd w:id="711"/>
      <w:bookmarkEnd w:id="712"/>
      <w:bookmarkEnd w:id="713"/>
      <w:bookmarkEnd w:id="714"/>
      <w:bookmarkEnd w:id="715"/>
      <w:bookmarkEnd w:id="716"/>
      <w:bookmarkEnd w:id="717"/>
      <w:bookmarkEnd w:id="718"/>
      <w:bookmarkEnd w:id="719"/>
    </w:p>
    <w:p w14:paraId="77FDFDC5">
      <w:pPr>
        <w:pStyle w:val="95"/>
        <w:spacing w:line="351" w:lineRule="exact"/>
        <w:ind w:firstLine="440"/>
        <w:jc w:val="both"/>
        <w:rPr>
          <w:color w:val="auto"/>
        </w:rPr>
      </w:pPr>
      <w:r>
        <w:rPr>
          <w:rFonts w:hint="eastAsia"/>
          <w:color w:val="auto"/>
        </w:rPr>
        <w:t>监理人需要使用施工控制网的，承包人应提供必要的协助，发包人不再为此支付费用。</w:t>
      </w:r>
    </w:p>
    <w:p w14:paraId="0BF3F5FA">
      <w:pPr>
        <w:pStyle w:val="101"/>
        <w:spacing w:before="0" w:after="0" w:line="360" w:lineRule="exact"/>
        <w:rPr>
          <w:rFonts w:ascii="宋体" w:hAnsi="宋体" w:cs="宋体"/>
          <w:color w:val="auto"/>
          <w:sz w:val="24"/>
          <w:szCs w:val="24"/>
          <w:lang w:eastAsia="zh-CN"/>
        </w:rPr>
      </w:pPr>
      <w:bookmarkStart w:id="720" w:name="bookmark1116"/>
      <w:bookmarkStart w:id="721" w:name="bookmark1117"/>
      <w:bookmarkStart w:id="722" w:name="_Toc16643"/>
      <w:bookmarkStart w:id="723" w:name="_Toc26237"/>
      <w:bookmarkStart w:id="724" w:name="_Toc2884"/>
      <w:bookmarkStart w:id="725" w:name="_Toc16563"/>
      <w:bookmarkStart w:id="726" w:name="_Toc3157"/>
      <w:bookmarkStart w:id="727" w:name="_Toc6681"/>
      <w:bookmarkStart w:id="728" w:name="bookmark1118"/>
      <w:bookmarkStart w:id="729" w:name="_Toc3908"/>
      <w:r>
        <w:rPr>
          <w:rFonts w:hint="eastAsia" w:ascii="宋体" w:hAnsi="宋体" w:cs="宋体"/>
          <w:color w:val="auto"/>
          <w:sz w:val="24"/>
          <w:szCs w:val="24"/>
          <w:lang w:eastAsia="zh-CN"/>
        </w:rPr>
        <w:t>8.5补充地质勘探</w:t>
      </w:r>
      <w:bookmarkEnd w:id="720"/>
      <w:bookmarkEnd w:id="721"/>
      <w:bookmarkEnd w:id="722"/>
      <w:bookmarkEnd w:id="723"/>
      <w:bookmarkEnd w:id="724"/>
      <w:bookmarkEnd w:id="725"/>
      <w:bookmarkEnd w:id="726"/>
      <w:bookmarkEnd w:id="727"/>
      <w:bookmarkEnd w:id="728"/>
      <w:bookmarkEnd w:id="729"/>
    </w:p>
    <w:p w14:paraId="1DA98C15">
      <w:pPr>
        <w:pStyle w:val="95"/>
        <w:spacing w:line="349" w:lineRule="exact"/>
        <w:ind w:firstLine="440"/>
        <w:jc w:val="both"/>
        <w:rPr>
          <w:color w:val="auto"/>
        </w:rPr>
      </w:pPr>
      <w:r>
        <w:rPr>
          <w:rFonts w:hint="eastAsia"/>
          <w:color w:val="auto"/>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2ED06F66">
      <w:pPr>
        <w:pStyle w:val="101"/>
        <w:spacing w:before="0" w:after="0" w:line="360" w:lineRule="exact"/>
        <w:rPr>
          <w:rFonts w:ascii="宋体" w:hAnsi="宋体" w:cs="宋体"/>
          <w:color w:val="auto"/>
          <w:lang w:eastAsia="zh-CN"/>
        </w:rPr>
      </w:pPr>
      <w:bookmarkStart w:id="730" w:name="bookmark1121"/>
      <w:bookmarkEnd w:id="730"/>
      <w:bookmarkStart w:id="731" w:name="_Toc19098"/>
      <w:bookmarkStart w:id="732" w:name="bookmark1120"/>
      <w:bookmarkStart w:id="733" w:name="_Toc18693"/>
      <w:bookmarkStart w:id="734" w:name="_Toc15267"/>
      <w:bookmarkStart w:id="735" w:name="_Toc23359"/>
      <w:bookmarkStart w:id="736" w:name="bookmark1122"/>
      <w:bookmarkStart w:id="737" w:name="bookmark1119"/>
      <w:bookmarkStart w:id="738" w:name="_Toc21454"/>
      <w:bookmarkStart w:id="739" w:name="_Toc6662"/>
      <w:bookmarkStart w:id="740" w:name="_Toc26266"/>
      <w:r>
        <w:rPr>
          <w:rFonts w:hint="eastAsia" w:ascii="宋体" w:hAnsi="宋体" w:cs="宋体"/>
          <w:color w:val="auto"/>
          <w:lang w:eastAsia="zh-CN"/>
        </w:rPr>
        <w:t>9.施工安全、治安保卫和环境保护</w:t>
      </w:r>
      <w:bookmarkEnd w:id="731"/>
      <w:bookmarkEnd w:id="732"/>
      <w:bookmarkEnd w:id="733"/>
      <w:bookmarkEnd w:id="734"/>
      <w:bookmarkEnd w:id="735"/>
      <w:bookmarkEnd w:id="736"/>
      <w:bookmarkEnd w:id="737"/>
      <w:bookmarkEnd w:id="738"/>
      <w:bookmarkEnd w:id="739"/>
      <w:bookmarkEnd w:id="740"/>
    </w:p>
    <w:p w14:paraId="523B0D08">
      <w:pPr>
        <w:pStyle w:val="101"/>
        <w:spacing w:before="0" w:after="0" w:line="360" w:lineRule="exact"/>
        <w:rPr>
          <w:rFonts w:ascii="宋体" w:hAnsi="宋体" w:cs="宋体"/>
          <w:color w:val="auto"/>
          <w:sz w:val="24"/>
          <w:szCs w:val="24"/>
          <w:lang w:eastAsia="zh-CN"/>
        </w:rPr>
      </w:pPr>
      <w:bookmarkStart w:id="741" w:name="_Toc23846"/>
      <w:bookmarkStart w:id="742" w:name="_Toc12678"/>
      <w:bookmarkStart w:id="743" w:name="_Toc13008"/>
      <w:bookmarkStart w:id="744" w:name="_Toc1087"/>
      <w:bookmarkStart w:id="745" w:name="_Toc25099"/>
      <w:bookmarkStart w:id="746" w:name="_Toc23200"/>
      <w:bookmarkStart w:id="747" w:name="bookmark1123"/>
      <w:bookmarkStart w:id="748" w:name="_Toc16786"/>
      <w:bookmarkStart w:id="749" w:name="bookmark1125"/>
      <w:bookmarkStart w:id="750" w:name="bookmark1124"/>
      <w:r>
        <w:rPr>
          <w:rFonts w:hint="eastAsia" w:ascii="宋体" w:hAnsi="宋体" w:cs="宋体"/>
          <w:color w:val="auto"/>
          <w:sz w:val="24"/>
          <w:szCs w:val="24"/>
          <w:lang w:eastAsia="zh-CN"/>
        </w:rPr>
        <w:t>9.1发包人的施工安全责任</w:t>
      </w:r>
      <w:bookmarkEnd w:id="741"/>
      <w:bookmarkEnd w:id="742"/>
      <w:bookmarkEnd w:id="743"/>
      <w:bookmarkEnd w:id="744"/>
      <w:bookmarkEnd w:id="745"/>
      <w:bookmarkEnd w:id="746"/>
      <w:bookmarkEnd w:id="747"/>
      <w:bookmarkEnd w:id="748"/>
      <w:bookmarkEnd w:id="749"/>
      <w:bookmarkEnd w:id="750"/>
    </w:p>
    <w:p w14:paraId="0E888E4A">
      <w:pPr>
        <w:pStyle w:val="95"/>
        <w:spacing w:line="359" w:lineRule="exact"/>
        <w:ind w:firstLine="420"/>
        <w:jc w:val="both"/>
        <w:rPr>
          <w:color w:val="auto"/>
        </w:rPr>
      </w:pPr>
      <w:r>
        <w:rPr>
          <w:rFonts w:hint="eastAsia"/>
          <w:color w:val="auto"/>
          <w:lang w:val="en-US" w:bidi="en-US"/>
        </w:rPr>
        <w:t>9.1.1</w:t>
      </w:r>
      <w:r>
        <w:rPr>
          <w:rFonts w:hint="eastAsia"/>
          <w:color w:val="auto"/>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31EB1D0">
      <w:pPr>
        <w:pStyle w:val="95"/>
        <w:spacing w:line="377" w:lineRule="exact"/>
        <w:ind w:firstLine="420"/>
        <w:jc w:val="both"/>
        <w:rPr>
          <w:color w:val="auto"/>
        </w:rPr>
      </w:pPr>
      <w:r>
        <w:rPr>
          <w:rFonts w:hint="eastAsia"/>
          <w:color w:val="auto"/>
          <w:lang w:val="en-US" w:bidi="en-US"/>
        </w:rPr>
        <w:t>9.1.2</w:t>
      </w:r>
      <w:r>
        <w:rPr>
          <w:rFonts w:hint="eastAsia"/>
          <w:color w:val="auto"/>
        </w:rPr>
        <w:t>发包人应对其现场机构雇佣的全部人员的工伤事故承担责任，但由于承包人原因造成发包人人员工伤的，应由承包人承担责任。</w:t>
      </w:r>
    </w:p>
    <w:p w14:paraId="0ED564E6">
      <w:pPr>
        <w:pStyle w:val="95"/>
        <w:spacing w:line="360" w:lineRule="exact"/>
        <w:ind w:firstLine="420"/>
        <w:jc w:val="both"/>
        <w:rPr>
          <w:color w:val="auto"/>
        </w:rPr>
      </w:pPr>
      <w:r>
        <w:rPr>
          <w:rFonts w:hint="eastAsia"/>
          <w:color w:val="auto"/>
          <w:lang w:val="en-US" w:bidi="en-US"/>
        </w:rPr>
        <w:t>9.1.</w:t>
      </w:r>
      <w:r>
        <w:rPr>
          <w:rFonts w:hint="eastAsia"/>
          <w:color w:val="auto"/>
        </w:rPr>
        <w:t>3发包人应负责赔偿以下各种情况造成的第三者人身伤亡和财产损失：</w:t>
      </w:r>
    </w:p>
    <w:p w14:paraId="22C8DF65">
      <w:pPr>
        <w:pStyle w:val="95"/>
        <w:numPr>
          <w:ilvl w:val="0"/>
          <w:numId w:val="7"/>
        </w:numPr>
        <w:tabs>
          <w:tab w:val="left" w:pos="898"/>
        </w:tabs>
        <w:spacing w:line="360" w:lineRule="exact"/>
        <w:ind w:firstLine="420"/>
        <w:jc w:val="both"/>
        <w:rPr>
          <w:color w:val="auto"/>
        </w:rPr>
      </w:pPr>
      <w:bookmarkStart w:id="751" w:name="bookmark1126"/>
      <w:bookmarkEnd w:id="751"/>
      <w:r>
        <w:rPr>
          <w:rFonts w:hint="eastAsia"/>
          <w:color w:val="auto"/>
        </w:rPr>
        <w:t>工程或工程的任何部分对土地的占用所造成的第三者财产损失；</w:t>
      </w:r>
    </w:p>
    <w:p w14:paraId="657DD99B">
      <w:pPr>
        <w:pStyle w:val="95"/>
        <w:numPr>
          <w:ilvl w:val="0"/>
          <w:numId w:val="7"/>
        </w:numPr>
        <w:tabs>
          <w:tab w:val="left" w:pos="898"/>
        </w:tabs>
        <w:spacing w:line="360" w:lineRule="exact"/>
        <w:ind w:firstLine="420"/>
        <w:jc w:val="both"/>
        <w:rPr>
          <w:color w:val="auto"/>
        </w:rPr>
      </w:pPr>
      <w:bookmarkStart w:id="752" w:name="bookmark1127"/>
      <w:bookmarkEnd w:id="752"/>
      <w:r>
        <w:rPr>
          <w:rFonts w:hint="eastAsia"/>
          <w:color w:val="auto"/>
        </w:rPr>
        <w:t>由于发包人原因在施工场地及其毗邻地带造成的第三者人身伤亡和财产损失。</w:t>
      </w:r>
    </w:p>
    <w:p w14:paraId="0446D660">
      <w:pPr>
        <w:pStyle w:val="95"/>
        <w:spacing w:line="360" w:lineRule="exact"/>
        <w:ind w:firstLine="420"/>
        <w:jc w:val="both"/>
        <w:rPr>
          <w:color w:val="auto"/>
        </w:rPr>
      </w:pPr>
      <w:r>
        <w:rPr>
          <w:rFonts w:hint="eastAsia"/>
          <w:color w:val="auto"/>
          <w:lang w:val="en-US" w:bidi="en-US"/>
        </w:rPr>
        <w:t>9.1.4</w:t>
      </w:r>
      <w:r>
        <w:rPr>
          <w:rFonts w:hint="eastAsia"/>
          <w:color w:val="auto"/>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7A0AB596">
      <w:pPr>
        <w:pStyle w:val="95"/>
        <w:spacing w:line="370" w:lineRule="exact"/>
        <w:ind w:firstLine="420"/>
        <w:jc w:val="both"/>
        <w:rPr>
          <w:color w:val="auto"/>
        </w:rPr>
      </w:pPr>
      <w:r>
        <w:rPr>
          <w:rFonts w:hint="eastAsia"/>
          <w:color w:val="auto"/>
          <w:lang w:val="en-US" w:bidi="en-US"/>
        </w:rPr>
        <w:t>9.1.5</w:t>
      </w:r>
      <w:r>
        <w:rPr>
          <w:rFonts w:hint="eastAsia"/>
          <w:color w:val="auto"/>
        </w:rPr>
        <w:t>发包人按照已标价工程量清单所列金额和合同约定的计量支付规定，支付安全作业环境及安全施工措施所需费用。</w:t>
      </w:r>
    </w:p>
    <w:p w14:paraId="0F3EB383">
      <w:pPr>
        <w:pStyle w:val="95"/>
        <w:spacing w:line="374" w:lineRule="exact"/>
        <w:ind w:firstLine="420"/>
        <w:jc w:val="both"/>
        <w:rPr>
          <w:color w:val="auto"/>
        </w:rPr>
      </w:pPr>
      <w:r>
        <w:rPr>
          <w:rFonts w:hint="eastAsia"/>
          <w:color w:val="auto"/>
          <w:lang w:val="en-US" w:bidi="en-US"/>
        </w:rPr>
        <w:t>9.1.6</w:t>
      </w:r>
      <w:r>
        <w:rPr>
          <w:rFonts w:hint="eastAsia"/>
          <w:color w:val="auto"/>
        </w:rPr>
        <w:t>发包人负责组织工程参建单位编制保证安全生产的措施方案。工程开工前，就 落实安全生产的措施进行全面系统的布置，进一步明确承包人的安全生产责任。</w:t>
      </w:r>
    </w:p>
    <w:p w14:paraId="5BBE9758">
      <w:pPr>
        <w:pStyle w:val="95"/>
        <w:spacing w:line="379" w:lineRule="exact"/>
        <w:ind w:firstLine="420"/>
        <w:jc w:val="both"/>
        <w:rPr>
          <w:color w:val="auto"/>
        </w:rPr>
      </w:pPr>
      <w:r>
        <w:rPr>
          <w:rFonts w:hint="eastAsia"/>
          <w:color w:val="auto"/>
          <w:lang w:val="en-US" w:bidi="en-US"/>
        </w:rPr>
        <w:t>9.1.7</w:t>
      </w:r>
      <w:r>
        <w:rPr>
          <w:rFonts w:hint="eastAsia"/>
          <w:color w:val="auto"/>
        </w:rPr>
        <w:t>发包人负责在拆除工程和爆破工程施工14天前向有关部门或机构报送相关备案资料。</w:t>
      </w:r>
    </w:p>
    <w:p w14:paraId="7C12C230">
      <w:pPr>
        <w:pStyle w:val="101"/>
        <w:spacing w:before="0" w:after="0" w:line="360" w:lineRule="exact"/>
        <w:rPr>
          <w:rFonts w:ascii="宋体" w:hAnsi="宋体" w:cs="宋体"/>
          <w:color w:val="auto"/>
          <w:sz w:val="24"/>
          <w:szCs w:val="24"/>
          <w:lang w:eastAsia="zh-CN"/>
        </w:rPr>
      </w:pPr>
      <w:bookmarkStart w:id="753" w:name="bookmark1129"/>
      <w:bookmarkStart w:id="754" w:name="_Toc200"/>
      <w:bookmarkStart w:id="755" w:name="_Toc18397"/>
      <w:bookmarkStart w:id="756" w:name="bookmark1130"/>
      <w:bookmarkStart w:id="757" w:name="_Toc12676"/>
      <w:bookmarkStart w:id="758" w:name="bookmark1128"/>
      <w:bookmarkStart w:id="759" w:name="_Toc920"/>
      <w:bookmarkStart w:id="760" w:name="_Toc14920"/>
      <w:bookmarkStart w:id="761" w:name="_Toc13852"/>
      <w:bookmarkStart w:id="762" w:name="_Toc32671"/>
      <w:r>
        <w:rPr>
          <w:rFonts w:hint="eastAsia" w:ascii="宋体" w:hAnsi="宋体" w:cs="宋体"/>
          <w:color w:val="auto"/>
          <w:sz w:val="24"/>
          <w:szCs w:val="24"/>
          <w:lang w:eastAsia="zh-CN"/>
        </w:rPr>
        <w:t>9.2承包人的施工安全责任</w:t>
      </w:r>
      <w:bookmarkEnd w:id="753"/>
      <w:bookmarkEnd w:id="754"/>
      <w:bookmarkEnd w:id="755"/>
      <w:bookmarkEnd w:id="756"/>
      <w:bookmarkEnd w:id="757"/>
      <w:bookmarkEnd w:id="758"/>
      <w:bookmarkEnd w:id="759"/>
      <w:bookmarkEnd w:id="760"/>
      <w:bookmarkEnd w:id="761"/>
      <w:bookmarkEnd w:id="762"/>
    </w:p>
    <w:p w14:paraId="3FAB62AA">
      <w:pPr>
        <w:pStyle w:val="95"/>
        <w:spacing w:line="363" w:lineRule="exact"/>
        <w:ind w:firstLine="420"/>
        <w:jc w:val="both"/>
        <w:rPr>
          <w:color w:val="auto"/>
        </w:rPr>
      </w:pPr>
      <w:r>
        <w:rPr>
          <w:rFonts w:hint="eastAsia"/>
          <w:color w:val="auto"/>
          <w:lang w:val="en-US" w:bidi="en-US"/>
        </w:rPr>
        <w:t>9.2.1</w:t>
      </w:r>
      <w:r>
        <w:rPr>
          <w:rFonts w:hint="eastAsia"/>
          <w:color w:val="auto"/>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6AC2B9BD">
      <w:pPr>
        <w:pStyle w:val="95"/>
        <w:spacing w:line="363" w:lineRule="exact"/>
        <w:ind w:firstLine="420"/>
        <w:jc w:val="both"/>
        <w:rPr>
          <w:color w:val="auto"/>
        </w:rPr>
      </w:pPr>
      <w:r>
        <w:rPr>
          <w:rFonts w:hint="eastAsia"/>
          <w:color w:val="auto"/>
          <w:lang w:val="en-US" w:bidi="en-US"/>
        </w:rPr>
        <w:t>9.2.2</w:t>
      </w:r>
      <w:r>
        <w:rPr>
          <w:rFonts w:hint="eastAsia"/>
          <w:color w:val="auto"/>
        </w:rPr>
        <w:t>承包人应加强施工作业安全管理，特别应加强易燃、易爆材料、火工器材、有毒与腐蚀性材料和其他危险品的管理，以及对爆破作业和地下工程施工等危险作业的管理。</w:t>
      </w:r>
    </w:p>
    <w:p w14:paraId="2A6F7F16">
      <w:pPr>
        <w:pStyle w:val="95"/>
        <w:spacing w:line="363" w:lineRule="exact"/>
        <w:ind w:firstLine="420"/>
        <w:jc w:val="both"/>
        <w:rPr>
          <w:color w:val="auto"/>
        </w:rPr>
      </w:pPr>
      <w:r>
        <w:rPr>
          <w:rFonts w:hint="eastAsia"/>
          <w:color w:val="auto"/>
          <w:lang w:val="en-US" w:bidi="en-US"/>
        </w:rPr>
        <w:t>9.2.3</w:t>
      </w:r>
      <w:r>
        <w:rPr>
          <w:rFonts w:hint="eastAsia"/>
          <w:color w:val="auto"/>
        </w:rPr>
        <w:t>承包人应严格按照国家安全标准制定施工安全操作规程，配备必要的安全生产 和劳动保护设施，加强对承包人人员的安全教育，并发放安全工作手册和劳动保护用具。</w:t>
      </w:r>
    </w:p>
    <w:p w14:paraId="03A8E7C8">
      <w:pPr>
        <w:pStyle w:val="95"/>
        <w:spacing w:line="367" w:lineRule="exact"/>
        <w:ind w:firstLine="420"/>
        <w:jc w:val="both"/>
        <w:rPr>
          <w:color w:val="auto"/>
        </w:rPr>
      </w:pPr>
      <w:r>
        <w:rPr>
          <w:rFonts w:hint="eastAsia"/>
          <w:color w:val="auto"/>
          <w:lang w:val="en-US" w:bidi="en-US"/>
        </w:rPr>
        <w:t>9. 2.4</w:t>
      </w:r>
      <w:r>
        <w:rPr>
          <w:rFonts w:hint="eastAsia"/>
          <w:color w:val="auto"/>
        </w:rPr>
        <w:t>承包人应按监理人的指示制定应对灾害的紧急预案，报送监理人审批。承包人还应按预案做好安全检查，配置必要的救助物资和器材，切实保护好有关人员的人身和财产安全。</w:t>
      </w:r>
    </w:p>
    <w:p w14:paraId="30CF099C">
      <w:pPr>
        <w:pStyle w:val="95"/>
        <w:spacing w:line="356" w:lineRule="exact"/>
        <w:ind w:firstLine="420"/>
        <w:jc w:val="both"/>
        <w:rPr>
          <w:color w:val="auto"/>
        </w:rPr>
      </w:pPr>
      <w:r>
        <w:rPr>
          <w:rFonts w:hint="eastAsia"/>
          <w:color w:val="auto"/>
          <w:lang w:val="en-US" w:bidi="en-US"/>
        </w:rPr>
        <w:t>9.2.5</w:t>
      </w:r>
      <w:r>
        <w:rPr>
          <w:rFonts w:hint="eastAsia"/>
          <w:color w:val="auto"/>
        </w:rPr>
        <w:t>合同约定的安全作业环境及安全施工措施所需费用应遵守有关规定，并包括在相关工作的合同价格中。因采取合同未约定的安全作业环境及安全施工措施增加的费用，由监理人按第</w:t>
      </w:r>
      <w:r>
        <w:rPr>
          <w:rFonts w:hint="eastAsia"/>
          <w:color w:val="auto"/>
          <w:lang w:val="en-US" w:bidi="en-US"/>
        </w:rPr>
        <w:t xml:space="preserve">3. </w:t>
      </w:r>
      <w:r>
        <w:rPr>
          <w:rFonts w:hint="eastAsia"/>
          <w:color w:val="auto"/>
        </w:rPr>
        <w:t>5款商定或确定。</w:t>
      </w:r>
    </w:p>
    <w:p w14:paraId="56131A9F">
      <w:pPr>
        <w:pStyle w:val="95"/>
        <w:spacing w:line="356" w:lineRule="exact"/>
        <w:ind w:firstLine="420"/>
        <w:jc w:val="both"/>
        <w:rPr>
          <w:color w:val="auto"/>
        </w:rPr>
      </w:pPr>
      <w:r>
        <w:rPr>
          <w:rFonts w:hint="eastAsia"/>
          <w:color w:val="auto"/>
          <w:lang w:val="en-US" w:bidi="en-US"/>
        </w:rPr>
        <w:t>9.2.6</w:t>
      </w:r>
      <w:r>
        <w:rPr>
          <w:rFonts w:hint="eastAsia"/>
          <w:color w:val="auto"/>
        </w:rPr>
        <w:t>承包人应对其履行合同所雇佣的全部人员，包括分包人人员的工伤事故承担责任，但由于发包人原因造成承包人人员工伤事故的，应由发包人承担责任。</w:t>
      </w:r>
    </w:p>
    <w:p w14:paraId="1879236F">
      <w:pPr>
        <w:pStyle w:val="95"/>
        <w:spacing w:line="377" w:lineRule="exact"/>
        <w:ind w:firstLine="420"/>
        <w:jc w:val="both"/>
        <w:rPr>
          <w:color w:val="auto"/>
        </w:rPr>
      </w:pPr>
      <w:r>
        <w:rPr>
          <w:rFonts w:hint="eastAsia"/>
          <w:color w:val="auto"/>
          <w:lang w:val="en-US" w:bidi="en-US"/>
        </w:rPr>
        <w:t>9.2.</w:t>
      </w:r>
      <w:r>
        <w:rPr>
          <w:rFonts w:hint="eastAsia"/>
          <w:color w:val="auto"/>
        </w:rPr>
        <w:t>7由于承包人原因在施工场地内及其毗邻地带造成的第三者人员伤亡和财产损失，由承包人负责赔偿。</w:t>
      </w:r>
    </w:p>
    <w:p w14:paraId="5F3886E1">
      <w:pPr>
        <w:pStyle w:val="95"/>
        <w:spacing w:line="364" w:lineRule="exact"/>
        <w:ind w:firstLine="420"/>
        <w:jc w:val="both"/>
        <w:rPr>
          <w:color w:val="auto"/>
        </w:rPr>
      </w:pPr>
      <w:r>
        <w:rPr>
          <w:rFonts w:hint="eastAsia"/>
          <w:color w:val="auto"/>
          <w:lang w:val="en-US" w:bidi="en-US"/>
        </w:rPr>
        <w:t>9.2.</w:t>
      </w:r>
      <w:r>
        <w:rPr>
          <w:rFonts w:hint="eastAsia"/>
          <w:color w:val="auto"/>
        </w:rPr>
        <w:t>8承包人已标价工程量清单应包含工程安全作业环境及安全施工措施所需费用。</w:t>
      </w:r>
    </w:p>
    <w:p w14:paraId="2BB56226">
      <w:pPr>
        <w:pStyle w:val="95"/>
        <w:spacing w:line="364" w:lineRule="exact"/>
        <w:ind w:firstLine="420"/>
        <w:jc w:val="both"/>
        <w:rPr>
          <w:color w:val="auto"/>
        </w:rPr>
      </w:pPr>
      <w:r>
        <w:rPr>
          <w:rFonts w:hint="eastAsia"/>
          <w:color w:val="auto"/>
          <w:lang w:val="en-US" w:bidi="en-US"/>
        </w:rPr>
        <w:t>9.2.9</w:t>
      </w:r>
      <w:r>
        <w:rPr>
          <w:rFonts w:hint="eastAsia"/>
          <w:color w:val="auto"/>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499F9429">
      <w:pPr>
        <w:pStyle w:val="95"/>
        <w:spacing w:line="370" w:lineRule="exact"/>
        <w:ind w:firstLine="420"/>
        <w:jc w:val="both"/>
        <w:rPr>
          <w:color w:val="auto"/>
        </w:rPr>
      </w:pPr>
      <w:r>
        <w:rPr>
          <w:rFonts w:hint="eastAsia"/>
          <w:color w:val="auto"/>
          <w:lang w:val="en-US" w:bidi="en-US"/>
        </w:rPr>
        <w:t>9.2.</w:t>
      </w:r>
      <w:r>
        <w:rPr>
          <w:rFonts w:hint="eastAsia"/>
          <w:color w:val="auto"/>
        </w:rPr>
        <w:t>10承包人应设立安全生产管理机构，施工现场应有专职安全生产管理人员。</w:t>
      </w:r>
    </w:p>
    <w:p w14:paraId="10B67B6D">
      <w:pPr>
        <w:pStyle w:val="95"/>
        <w:spacing w:line="370" w:lineRule="exact"/>
        <w:ind w:firstLine="420"/>
        <w:jc w:val="both"/>
        <w:rPr>
          <w:color w:val="auto"/>
        </w:rPr>
      </w:pPr>
      <w:r>
        <w:rPr>
          <w:rFonts w:hint="eastAsia"/>
          <w:color w:val="auto"/>
          <w:lang w:val="en-US" w:bidi="en-US"/>
        </w:rPr>
        <w:t>9.2.11</w:t>
      </w:r>
      <w:r>
        <w:rPr>
          <w:rFonts w:hint="eastAsia"/>
          <w:color w:val="auto"/>
        </w:rPr>
        <w:t>承包人应负责对特种作业人员进行专门的安全作业培训，并保证特种作业人员持证上岗。</w:t>
      </w:r>
    </w:p>
    <w:p w14:paraId="5346BA23">
      <w:pPr>
        <w:pStyle w:val="95"/>
        <w:spacing w:line="365" w:lineRule="exact"/>
        <w:ind w:firstLine="420"/>
        <w:jc w:val="both"/>
        <w:rPr>
          <w:color w:val="auto"/>
        </w:rPr>
      </w:pPr>
      <w:r>
        <w:rPr>
          <w:rFonts w:hint="eastAsia"/>
          <w:color w:val="auto"/>
          <w:lang w:val="en-US" w:bidi="en-US"/>
        </w:rPr>
        <w:t xml:space="preserve">9.2. </w:t>
      </w:r>
      <w:r>
        <w:rPr>
          <w:rFonts w:hint="eastAsia"/>
          <w:color w:val="auto"/>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2F8C2E6">
      <w:pPr>
        <w:pStyle w:val="95"/>
        <w:spacing w:line="365" w:lineRule="exact"/>
        <w:ind w:firstLine="420"/>
        <w:jc w:val="both"/>
        <w:rPr>
          <w:color w:val="auto"/>
        </w:rPr>
      </w:pPr>
      <w:r>
        <w:rPr>
          <w:rFonts w:hint="eastAsia"/>
          <w:color w:val="auto"/>
          <w:lang w:val="en-US" w:bidi="en-US"/>
        </w:rPr>
        <w:t>9.2.</w:t>
      </w:r>
      <w:r>
        <w:rPr>
          <w:rFonts w:hint="eastAsia"/>
          <w:color w:val="auto"/>
        </w:rPr>
        <w:t>13承包人在使用施工起重机构和整体提升脚手架、模板等自升式架设设施前, 应组织有关单位进行验收。</w:t>
      </w:r>
    </w:p>
    <w:p w14:paraId="2FAD919B">
      <w:pPr>
        <w:pStyle w:val="101"/>
        <w:spacing w:before="0" w:after="0" w:line="360" w:lineRule="exact"/>
        <w:rPr>
          <w:rFonts w:ascii="宋体" w:hAnsi="宋体" w:cs="宋体"/>
          <w:color w:val="auto"/>
          <w:sz w:val="24"/>
          <w:szCs w:val="24"/>
          <w:lang w:eastAsia="zh-CN"/>
        </w:rPr>
      </w:pPr>
      <w:bookmarkStart w:id="763" w:name="_Toc25679"/>
      <w:bookmarkStart w:id="764" w:name="_Toc17239"/>
      <w:bookmarkStart w:id="765" w:name="_Toc17287"/>
      <w:bookmarkStart w:id="766" w:name="_Toc24079"/>
      <w:bookmarkStart w:id="767" w:name="_Toc24520"/>
      <w:bookmarkStart w:id="768" w:name="bookmark1132"/>
      <w:bookmarkStart w:id="769" w:name="_Toc20981"/>
      <w:bookmarkStart w:id="770" w:name="bookmark1133"/>
      <w:bookmarkStart w:id="771" w:name="_Toc26251"/>
      <w:bookmarkStart w:id="772" w:name="bookmark1131"/>
      <w:r>
        <w:rPr>
          <w:rFonts w:hint="eastAsia" w:ascii="宋体" w:hAnsi="宋体" w:cs="宋体"/>
          <w:color w:val="auto"/>
          <w:sz w:val="24"/>
          <w:szCs w:val="24"/>
          <w:lang w:eastAsia="zh-CN"/>
        </w:rPr>
        <w:t>9.3治安保卫</w:t>
      </w:r>
      <w:bookmarkEnd w:id="763"/>
      <w:bookmarkEnd w:id="764"/>
      <w:bookmarkEnd w:id="765"/>
      <w:bookmarkEnd w:id="766"/>
      <w:bookmarkEnd w:id="767"/>
      <w:bookmarkEnd w:id="768"/>
      <w:bookmarkEnd w:id="769"/>
      <w:bookmarkEnd w:id="770"/>
      <w:bookmarkEnd w:id="771"/>
      <w:bookmarkEnd w:id="772"/>
    </w:p>
    <w:p w14:paraId="7CF142B1">
      <w:pPr>
        <w:pStyle w:val="95"/>
        <w:spacing w:line="367" w:lineRule="exact"/>
        <w:ind w:firstLine="420"/>
        <w:jc w:val="both"/>
        <w:rPr>
          <w:color w:val="auto"/>
        </w:rPr>
      </w:pPr>
      <w:r>
        <w:rPr>
          <w:rFonts w:hint="eastAsia"/>
          <w:color w:val="auto"/>
          <w:lang w:val="en-US" w:bidi="en-US"/>
        </w:rPr>
        <w:t>9.3.1</w:t>
      </w:r>
      <w:r>
        <w:rPr>
          <w:rFonts w:hint="eastAsia"/>
          <w:color w:val="auto"/>
        </w:rPr>
        <w:t>除合同另有约定外，发包人应与当地公安部门协商，在现场建立治安管理机构或联防组织，统一管理施工场地的治安保卫事项，履行合同工程的治安保卫职责。</w:t>
      </w:r>
    </w:p>
    <w:p w14:paraId="443D8273">
      <w:pPr>
        <w:pStyle w:val="95"/>
        <w:spacing w:line="362" w:lineRule="exact"/>
        <w:ind w:firstLine="420"/>
        <w:jc w:val="both"/>
        <w:rPr>
          <w:color w:val="auto"/>
        </w:rPr>
      </w:pPr>
      <w:r>
        <w:rPr>
          <w:rFonts w:hint="eastAsia"/>
          <w:color w:val="auto"/>
          <w:lang w:val="en-US" w:bidi="en-US"/>
        </w:rPr>
        <w:t>9.3.</w:t>
      </w:r>
      <w:r>
        <w:rPr>
          <w:rFonts w:hint="eastAsia"/>
          <w:color w:val="auto"/>
        </w:rPr>
        <w:t>2发包人和承包人除应协助现场治安管理机构或联防组织维护施工场地的社会治安外，还应做好包括生活区在内的各自管辖区的治安保卫工作。</w:t>
      </w:r>
    </w:p>
    <w:p w14:paraId="78A01CEE">
      <w:pPr>
        <w:pStyle w:val="95"/>
        <w:spacing w:line="362" w:lineRule="exact"/>
        <w:ind w:firstLine="420"/>
        <w:jc w:val="both"/>
        <w:rPr>
          <w:color w:val="auto"/>
        </w:rPr>
      </w:pPr>
      <w:r>
        <w:rPr>
          <w:rFonts w:hint="eastAsia"/>
          <w:color w:val="auto"/>
          <w:lang w:val="en-US" w:bidi="en-US"/>
        </w:rPr>
        <w:t>9.3.3</w:t>
      </w:r>
      <w:r>
        <w:rPr>
          <w:rFonts w:hint="eastAsia"/>
          <w:color w:val="auto"/>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5960C1D6">
      <w:pPr>
        <w:pStyle w:val="101"/>
        <w:spacing w:before="0" w:after="0" w:line="360" w:lineRule="exact"/>
        <w:rPr>
          <w:rFonts w:ascii="宋体" w:hAnsi="宋体" w:cs="宋体"/>
          <w:color w:val="auto"/>
          <w:sz w:val="24"/>
          <w:szCs w:val="24"/>
          <w:lang w:eastAsia="zh-CN"/>
        </w:rPr>
      </w:pPr>
      <w:bookmarkStart w:id="773" w:name="_Toc25266"/>
      <w:bookmarkStart w:id="774" w:name="bookmark1136"/>
      <w:bookmarkStart w:id="775" w:name="_Toc23900"/>
      <w:bookmarkStart w:id="776" w:name="_Toc24105"/>
      <w:bookmarkStart w:id="777" w:name="_Toc24945"/>
      <w:bookmarkStart w:id="778" w:name="_Toc31814"/>
      <w:bookmarkStart w:id="779" w:name="_Toc6191"/>
      <w:bookmarkStart w:id="780" w:name="_Toc19282"/>
      <w:bookmarkStart w:id="781" w:name="bookmark1134"/>
      <w:bookmarkStart w:id="782" w:name="bookmark1135"/>
      <w:r>
        <w:rPr>
          <w:rFonts w:hint="eastAsia" w:ascii="宋体" w:hAnsi="宋体" w:cs="宋体"/>
          <w:color w:val="auto"/>
          <w:sz w:val="24"/>
          <w:szCs w:val="24"/>
          <w:lang w:eastAsia="zh-CN"/>
        </w:rPr>
        <w:t>9.4环境保护</w:t>
      </w:r>
      <w:bookmarkEnd w:id="773"/>
      <w:bookmarkEnd w:id="774"/>
      <w:bookmarkEnd w:id="775"/>
      <w:bookmarkEnd w:id="776"/>
      <w:bookmarkEnd w:id="777"/>
      <w:bookmarkEnd w:id="778"/>
      <w:bookmarkEnd w:id="779"/>
      <w:bookmarkEnd w:id="780"/>
      <w:bookmarkEnd w:id="781"/>
      <w:bookmarkEnd w:id="782"/>
    </w:p>
    <w:p w14:paraId="293F736E">
      <w:pPr>
        <w:pStyle w:val="95"/>
        <w:spacing w:line="360" w:lineRule="exact"/>
        <w:ind w:firstLine="420"/>
        <w:jc w:val="both"/>
        <w:rPr>
          <w:color w:val="auto"/>
        </w:rPr>
      </w:pPr>
      <w:r>
        <w:rPr>
          <w:rFonts w:hint="eastAsia"/>
          <w:color w:val="auto"/>
          <w:lang w:val="en-US" w:bidi="en-US"/>
        </w:rPr>
        <w:t>9.4.1</w:t>
      </w:r>
      <w:r>
        <w:rPr>
          <w:rFonts w:hint="eastAsia"/>
          <w:color w:val="auto"/>
        </w:rPr>
        <w:t>承包人在施工过程中，应遵守有关环境保护的法律，履行合同约定的环境保护义务，并对违反法律和合同约定义务所造成的环境破坏、人身伤害和财产损失负责。</w:t>
      </w:r>
    </w:p>
    <w:p w14:paraId="13FB5645">
      <w:pPr>
        <w:pStyle w:val="95"/>
        <w:spacing w:line="360" w:lineRule="exact"/>
        <w:ind w:firstLine="420"/>
        <w:jc w:val="both"/>
        <w:rPr>
          <w:color w:val="auto"/>
        </w:rPr>
      </w:pPr>
      <w:r>
        <w:rPr>
          <w:rFonts w:hint="eastAsia"/>
          <w:color w:val="auto"/>
          <w:lang w:val="en-US" w:bidi="en-US"/>
        </w:rPr>
        <w:t>9.4.2</w:t>
      </w:r>
      <w:r>
        <w:rPr>
          <w:rFonts w:hint="eastAsia"/>
          <w:color w:val="auto"/>
        </w:rPr>
        <w:t>承包人应按合同约定的环保工作内容，编制施工环保措施计划，报送监理人审批。</w:t>
      </w:r>
    </w:p>
    <w:p w14:paraId="62DAAF52">
      <w:pPr>
        <w:pStyle w:val="95"/>
        <w:spacing w:line="360" w:lineRule="exact"/>
        <w:ind w:firstLine="420"/>
        <w:jc w:val="both"/>
        <w:rPr>
          <w:color w:val="auto"/>
        </w:rPr>
      </w:pPr>
      <w:r>
        <w:rPr>
          <w:rFonts w:hint="eastAsia"/>
          <w:color w:val="auto"/>
          <w:lang w:val="en-US" w:bidi="en-US"/>
        </w:rPr>
        <w:t>9.4.3</w:t>
      </w:r>
      <w:r>
        <w:rPr>
          <w:rFonts w:hint="eastAsia"/>
          <w:color w:val="auto"/>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9E746C1">
      <w:pPr>
        <w:pStyle w:val="95"/>
        <w:spacing w:line="360" w:lineRule="exact"/>
        <w:ind w:firstLine="420"/>
        <w:jc w:val="both"/>
        <w:rPr>
          <w:color w:val="auto"/>
        </w:rPr>
      </w:pPr>
      <w:r>
        <w:rPr>
          <w:rFonts w:hint="eastAsia"/>
          <w:color w:val="auto"/>
          <w:lang w:val="en-US" w:bidi="en-US"/>
        </w:rPr>
        <w:t>9.4.4</w:t>
      </w:r>
      <w:r>
        <w:rPr>
          <w:rFonts w:hint="eastAsia"/>
          <w:color w:val="auto"/>
        </w:rPr>
        <w:t>承包人应按合同约定采取有效措施，对施工开挖的边坡及时进行支护，维护排 水设施，并进行水土保护，避免因施工造成的地质灾害。</w:t>
      </w:r>
    </w:p>
    <w:p w14:paraId="774D21F8">
      <w:pPr>
        <w:pStyle w:val="95"/>
        <w:spacing w:line="360" w:lineRule="exact"/>
        <w:ind w:firstLine="420"/>
        <w:rPr>
          <w:color w:val="auto"/>
        </w:rPr>
      </w:pPr>
      <w:r>
        <w:rPr>
          <w:rFonts w:hint="eastAsia"/>
          <w:color w:val="auto"/>
          <w:lang w:val="en-US" w:bidi="en-US"/>
        </w:rPr>
        <w:t>9.4.5</w:t>
      </w:r>
      <w:r>
        <w:rPr>
          <w:rFonts w:hint="eastAsia"/>
          <w:color w:val="auto"/>
        </w:rPr>
        <w:t>承包人应按国家饮用水管理标准定期对饮用水源进行监测，防止施工活动污染饮用水源。</w:t>
      </w:r>
    </w:p>
    <w:p w14:paraId="2B408439">
      <w:pPr>
        <w:pStyle w:val="95"/>
        <w:spacing w:line="360" w:lineRule="exact"/>
        <w:ind w:firstLine="420"/>
        <w:jc w:val="both"/>
        <w:rPr>
          <w:color w:val="auto"/>
        </w:rPr>
      </w:pPr>
      <w:r>
        <w:rPr>
          <w:rFonts w:hint="eastAsia"/>
          <w:color w:val="auto"/>
          <w:lang w:val="en-US" w:bidi="en-US"/>
        </w:rPr>
        <w:t>9.4.6</w:t>
      </w:r>
      <w:r>
        <w:rPr>
          <w:rFonts w:hint="eastAsia"/>
          <w:color w:val="auto"/>
        </w:rPr>
        <w:t>承包人应按合同约定，加强对噪声、粉尘、废气、废水和废油的控制，努力降低噪声，控制粉尘和废气浓度，做好废水和废油的治理和排放。</w:t>
      </w:r>
    </w:p>
    <w:p w14:paraId="4BAE6643">
      <w:pPr>
        <w:pStyle w:val="101"/>
        <w:spacing w:before="0" w:after="0" w:line="360" w:lineRule="exact"/>
        <w:rPr>
          <w:rFonts w:ascii="宋体" w:hAnsi="宋体" w:cs="宋体"/>
          <w:color w:val="auto"/>
          <w:sz w:val="24"/>
          <w:szCs w:val="24"/>
          <w:lang w:eastAsia="zh-CN"/>
        </w:rPr>
      </w:pPr>
      <w:bookmarkStart w:id="783" w:name="_Toc35"/>
      <w:bookmarkStart w:id="784" w:name="_Toc1363"/>
      <w:bookmarkStart w:id="785" w:name="bookmark1139"/>
      <w:bookmarkStart w:id="786" w:name="bookmark1138"/>
      <w:bookmarkStart w:id="787" w:name="_Toc19424"/>
      <w:bookmarkStart w:id="788" w:name="_Toc29872"/>
      <w:bookmarkStart w:id="789" w:name="bookmark1137"/>
      <w:bookmarkStart w:id="790" w:name="_Toc486"/>
      <w:bookmarkStart w:id="791" w:name="_Toc22656"/>
      <w:bookmarkStart w:id="792" w:name="_Toc29714"/>
      <w:r>
        <w:rPr>
          <w:rFonts w:hint="eastAsia" w:ascii="宋体" w:hAnsi="宋体" w:cs="宋体"/>
          <w:color w:val="auto"/>
          <w:sz w:val="24"/>
          <w:szCs w:val="24"/>
          <w:lang w:eastAsia="zh-CN"/>
        </w:rPr>
        <w:t>9.5事故处理</w:t>
      </w:r>
      <w:bookmarkEnd w:id="783"/>
      <w:bookmarkEnd w:id="784"/>
      <w:bookmarkEnd w:id="785"/>
      <w:bookmarkEnd w:id="786"/>
      <w:bookmarkEnd w:id="787"/>
      <w:bookmarkEnd w:id="788"/>
      <w:bookmarkEnd w:id="789"/>
      <w:bookmarkEnd w:id="790"/>
      <w:bookmarkEnd w:id="791"/>
      <w:bookmarkEnd w:id="792"/>
    </w:p>
    <w:p w14:paraId="687CC013">
      <w:pPr>
        <w:pStyle w:val="95"/>
        <w:spacing w:line="374" w:lineRule="exact"/>
        <w:ind w:firstLine="420"/>
        <w:jc w:val="both"/>
        <w:rPr>
          <w:color w:val="auto"/>
        </w:rPr>
      </w:pPr>
      <w:r>
        <w:rPr>
          <w:rFonts w:hint="eastAsia"/>
          <w:color w:val="auto"/>
          <w:lang w:val="en-US" w:bidi="en-US"/>
        </w:rPr>
        <w:t>9.5.1</w:t>
      </w:r>
      <w:r>
        <w:rPr>
          <w:rFonts w:hint="eastAsia"/>
          <w:color w:val="auto"/>
        </w:rPr>
        <w:t>发包人负责组织参建单位制定本工程的质量与安全事故应急预案，建立质量与安全事故应急处置指挥部。</w:t>
      </w:r>
    </w:p>
    <w:p w14:paraId="2A53723A">
      <w:pPr>
        <w:pStyle w:val="95"/>
        <w:spacing w:line="370" w:lineRule="exact"/>
        <w:ind w:firstLine="420"/>
        <w:jc w:val="both"/>
        <w:rPr>
          <w:color w:val="auto"/>
        </w:rPr>
      </w:pPr>
      <w:r>
        <w:rPr>
          <w:rFonts w:hint="eastAsia"/>
          <w:color w:val="auto"/>
          <w:lang w:val="en-US" w:bidi="en-US"/>
        </w:rPr>
        <w:t>9.5.2</w:t>
      </w:r>
      <w:r>
        <w:rPr>
          <w:rFonts w:hint="eastAsia"/>
          <w:color w:val="auto"/>
        </w:rPr>
        <w:t>承包人应对施工现场易发生重大事故的部位、环节的进行监控，配备救援器材、设备，并定期组织演练。</w:t>
      </w:r>
    </w:p>
    <w:p w14:paraId="55287838">
      <w:pPr>
        <w:pStyle w:val="95"/>
        <w:spacing w:line="374" w:lineRule="exact"/>
        <w:ind w:firstLine="420"/>
        <w:jc w:val="both"/>
        <w:rPr>
          <w:color w:val="auto"/>
        </w:rPr>
      </w:pPr>
      <w:r>
        <w:rPr>
          <w:rFonts w:hint="eastAsia"/>
          <w:color w:val="auto"/>
          <w:lang w:val="en-US" w:bidi="en-US"/>
        </w:rPr>
        <w:t>9.5.3</w:t>
      </w:r>
      <w:r>
        <w:rPr>
          <w:rFonts w:hint="eastAsia"/>
          <w:color w:val="auto"/>
        </w:rPr>
        <w:t>工程开工前，承包人应根据本工程特点制定施工现场施工质量与安全事故应急预案，并报发包人备案。</w:t>
      </w:r>
    </w:p>
    <w:p w14:paraId="6A3C5AD9">
      <w:pPr>
        <w:pStyle w:val="95"/>
        <w:spacing w:line="240" w:lineRule="auto"/>
        <w:ind w:firstLine="420"/>
        <w:rPr>
          <w:color w:val="auto"/>
        </w:rPr>
      </w:pPr>
      <w:r>
        <w:rPr>
          <w:rFonts w:hint="eastAsia"/>
          <w:color w:val="auto"/>
          <w:lang w:val="en-US" w:bidi="en-US"/>
        </w:rPr>
        <w:t>9.5.4</w:t>
      </w:r>
      <w:r>
        <w:rPr>
          <w:rFonts w:hint="eastAsia"/>
          <w:color w:val="auto"/>
        </w:rPr>
        <w:t>施工过程中发生事故时，发包人、承包人应立即启动应急预案。</w:t>
      </w:r>
    </w:p>
    <w:p w14:paraId="3A382997">
      <w:pPr>
        <w:pStyle w:val="95"/>
        <w:spacing w:line="367" w:lineRule="exact"/>
        <w:ind w:firstLine="420"/>
        <w:rPr>
          <w:color w:val="auto"/>
        </w:rPr>
      </w:pPr>
      <w:r>
        <w:rPr>
          <w:rFonts w:hint="eastAsia"/>
          <w:color w:val="auto"/>
          <w:lang w:val="en-US" w:bidi="en-US"/>
        </w:rPr>
        <w:t>9.5.5</w:t>
      </w:r>
      <w:r>
        <w:rPr>
          <w:rFonts w:hint="eastAsia"/>
          <w:color w:val="auto"/>
        </w:rPr>
        <w:t>事故调查处理由发包人按相关规定履行手续，承包人应配合。</w:t>
      </w:r>
    </w:p>
    <w:p w14:paraId="08F4B172">
      <w:pPr>
        <w:pStyle w:val="101"/>
        <w:spacing w:before="0" w:after="0" w:line="360" w:lineRule="exact"/>
        <w:rPr>
          <w:rFonts w:ascii="宋体" w:hAnsi="宋体" w:cs="宋体"/>
          <w:color w:val="auto"/>
          <w:sz w:val="24"/>
          <w:szCs w:val="24"/>
          <w:lang w:eastAsia="zh-CN"/>
        </w:rPr>
      </w:pPr>
      <w:bookmarkStart w:id="793" w:name="bookmark1140"/>
      <w:bookmarkStart w:id="794" w:name="_Toc21641"/>
      <w:bookmarkStart w:id="795" w:name="_Toc1975"/>
      <w:bookmarkStart w:id="796" w:name="bookmark1141"/>
      <w:bookmarkStart w:id="797" w:name="bookmark1142"/>
      <w:bookmarkStart w:id="798" w:name="_Toc8316"/>
      <w:bookmarkStart w:id="799" w:name="_Toc10912"/>
      <w:bookmarkStart w:id="800" w:name="_Toc5762"/>
      <w:bookmarkStart w:id="801" w:name="_Toc31047"/>
      <w:bookmarkStart w:id="802" w:name="_Toc17101"/>
      <w:r>
        <w:rPr>
          <w:rFonts w:hint="eastAsia" w:ascii="宋体" w:hAnsi="宋体" w:cs="宋体"/>
          <w:color w:val="auto"/>
          <w:sz w:val="24"/>
          <w:szCs w:val="24"/>
          <w:lang w:eastAsia="zh-CN"/>
        </w:rPr>
        <w:t>9.6水土保持</w:t>
      </w:r>
      <w:bookmarkEnd w:id="793"/>
      <w:bookmarkEnd w:id="794"/>
      <w:bookmarkEnd w:id="795"/>
      <w:bookmarkEnd w:id="796"/>
      <w:bookmarkEnd w:id="797"/>
      <w:bookmarkEnd w:id="798"/>
      <w:bookmarkEnd w:id="799"/>
      <w:bookmarkEnd w:id="800"/>
      <w:bookmarkEnd w:id="801"/>
      <w:bookmarkEnd w:id="802"/>
    </w:p>
    <w:p w14:paraId="4800BD14">
      <w:pPr>
        <w:pStyle w:val="95"/>
        <w:spacing w:line="379" w:lineRule="auto"/>
        <w:ind w:firstLine="420"/>
        <w:rPr>
          <w:color w:val="auto"/>
        </w:rPr>
      </w:pPr>
      <w:r>
        <w:rPr>
          <w:rFonts w:hint="eastAsia"/>
          <w:color w:val="auto"/>
          <w:lang w:val="en-US" w:bidi="en-US"/>
        </w:rPr>
        <w:t>9.6.</w:t>
      </w:r>
      <w:r>
        <w:rPr>
          <w:rFonts w:hint="eastAsia"/>
          <w:color w:val="auto"/>
        </w:rPr>
        <w:t>1发包人应及时向承包人提供水土保持方案。</w:t>
      </w:r>
    </w:p>
    <w:p w14:paraId="75D25472">
      <w:pPr>
        <w:pStyle w:val="95"/>
        <w:spacing w:line="362" w:lineRule="exact"/>
        <w:ind w:firstLine="420"/>
        <w:jc w:val="both"/>
        <w:rPr>
          <w:color w:val="auto"/>
        </w:rPr>
      </w:pPr>
      <w:r>
        <w:rPr>
          <w:rFonts w:hint="eastAsia"/>
          <w:color w:val="auto"/>
          <w:lang w:val="en-US" w:bidi="en-US"/>
        </w:rPr>
        <w:t>9.6.2</w:t>
      </w:r>
      <w:r>
        <w:rPr>
          <w:rFonts w:hint="eastAsia"/>
          <w:color w:val="auto"/>
        </w:rPr>
        <w:t>承包人在施工过程中，应遵守有关水土保持的法律法规和规章，履行合同约定的水土保持义务，并对其违反法律和合同约定义务所造成的水土流失灾害、人身伤害和财产损失负责。</w:t>
      </w:r>
    </w:p>
    <w:p w14:paraId="13B284BE">
      <w:pPr>
        <w:pStyle w:val="95"/>
        <w:spacing w:line="367" w:lineRule="exact"/>
        <w:ind w:firstLine="420"/>
        <w:jc w:val="both"/>
        <w:rPr>
          <w:color w:val="auto"/>
        </w:rPr>
      </w:pPr>
      <w:r>
        <w:rPr>
          <w:rFonts w:hint="eastAsia"/>
          <w:color w:val="auto"/>
          <w:lang w:val="en-US" w:bidi="en-US"/>
        </w:rPr>
        <w:t>9.6.3</w:t>
      </w:r>
      <w:r>
        <w:rPr>
          <w:rFonts w:hint="eastAsia"/>
          <w:color w:val="auto"/>
        </w:rPr>
        <w:t>承包人的水土保持措施计划，应满足技术标准和要求（合同技术条款）约定的要求。</w:t>
      </w:r>
    </w:p>
    <w:p w14:paraId="1D454CAA">
      <w:pPr>
        <w:pStyle w:val="101"/>
        <w:spacing w:before="0" w:after="0" w:line="360" w:lineRule="exact"/>
        <w:rPr>
          <w:rFonts w:ascii="宋体" w:hAnsi="宋体" w:cs="宋体"/>
          <w:color w:val="auto"/>
          <w:sz w:val="24"/>
          <w:szCs w:val="24"/>
          <w:lang w:eastAsia="zh-CN"/>
        </w:rPr>
      </w:pPr>
      <w:bookmarkStart w:id="803" w:name="bookmark1144"/>
      <w:bookmarkStart w:id="804" w:name="_Toc1747"/>
      <w:bookmarkStart w:id="805" w:name="_Toc16250"/>
      <w:bookmarkStart w:id="806" w:name="bookmark1143"/>
      <w:bookmarkStart w:id="807" w:name="_Toc32599"/>
      <w:bookmarkStart w:id="808" w:name="_Toc6176"/>
      <w:bookmarkStart w:id="809" w:name="_Toc9534"/>
      <w:bookmarkStart w:id="810" w:name="bookmark1145"/>
      <w:bookmarkStart w:id="811" w:name="_Toc21442"/>
      <w:bookmarkStart w:id="812" w:name="_Toc29131"/>
      <w:r>
        <w:rPr>
          <w:rFonts w:hint="eastAsia" w:ascii="宋体" w:hAnsi="宋体" w:cs="宋体"/>
          <w:color w:val="auto"/>
          <w:sz w:val="24"/>
          <w:szCs w:val="24"/>
          <w:lang w:eastAsia="zh-CN"/>
        </w:rPr>
        <w:t>9.7文明工地</w:t>
      </w:r>
      <w:bookmarkEnd w:id="803"/>
      <w:bookmarkEnd w:id="804"/>
      <w:bookmarkEnd w:id="805"/>
      <w:bookmarkEnd w:id="806"/>
      <w:bookmarkEnd w:id="807"/>
      <w:bookmarkEnd w:id="808"/>
      <w:bookmarkEnd w:id="809"/>
      <w:bookmarkEnd w:id="810"/>
      <w:bookmarkEnd w:id="811"/>
      <w:bookmarkEnd w:id="812"/>
    </w:p>
    <w:p w14:paraId="695103C2">
      <w:pPr>
        <w:pStyle w:val="95"/>
        <w:spacing w:line="372" w:lineRule="exact"/>
        <w:ind w:firstLine="420"/>
        <w:jc w:val="both"/>
        <w:rPr>
          <w:color w:val="auto"/>
        </w:rPr>
      </w:pPr>
      <w:r>
        <w:rPr>
          <w:rFonts w:hint="eastAsia"/>
          <w:color w:val="auto"/>
          <w:lang w:val="en-US" w:bidi="en-US"/>
        </w:rPr>
        <w:t>9.7.1</w:t>
      </w:r>
      <w:r>
        <w:rPr>
          <w:rFonts w:hint="eastAsia"/>
          <w:color w:val="auto"/>
        </w:rPr>
        <w:t>发包人应按专用合同条款的约定，负责建立创建文明建设工地的组织机构，制定创建文明建设工地的规划和办法。</w:t>
      </w:r>
    </w:p>
    <w:p w14:paraId="5BD1FBAF">
      <w:pPr>
        <w:pStyle w:val="95"/>
        <w:spacing w:line="370" w:lineRule="exact"/>
        <w:ind w:firstLine="420"/>
        <w:jc w:val="both"/>
        <w:rPr>
          <w:color w:val="auto"/>
        </w:rPr>
      </w:pPr>
      <w:r>
        <w:rPr>
          <w:rFonts w:hint="eastAsia"/>
          <w:color w:val="auto"/>
          <w:lang w:val="en-US" w:bidi="en-US"/>
        </w:rPr>
        <w:t>9.7.2</w:t>
      </w:r>
      <w:r>
        <w:rPr>
          <w:rFonts w:hint="eastAsia"/>
          <w:color w:val="auto"/>
        </w:rPr>
        <w:t>承包人应按创建文明建设工地的规划和办法，履行职责，承担相应责任。所需费用应含在已标价工程量清单中。</w:t>
      </w:r>
    </w:p>
    <w:p w14:paraId="7EFC8E6E">
      <w:pPr>
        <w:pStyle w:val="101"/>
        <w:spacing w:before="0" w:after="0" w:line="360" w:lineRule="exact"/>
        <w:rPr>
          <w:rFonts w:ascii="宋体" w:hAnsi="宋体" w:cs="宋体"/>
          <w:color w:val="auto"/>
          <w:sz w:val="24"/>
          <w:szCs w:val="24"/>
          <w:lang w:eastAsia="zh-CN"/>
        </w:rPr>
      </w:pPr>
      <w:bookmarkStart w:id="813" w:name="_Toc10413"/>
      <w:bookmarkStart w:id="814" w:name="_Toc7882"/>
      <w:bookmarkStart w:id="815" w:name="_Toc16124"/>
      <w:bookmarkStart w:id="816" w:name="_Toc2182"/>
      <w:bookmarkStart w:id="817" w:name="bookmark1147"/>
      <w:bookmarkStart w:id="818" w:name="_Toc14303"/>
      <w:bookmarkStart w:id="819" w:name="_Toc12785"/>
      <w:bookmarkStart w:id="820" w:name="bookmark1146"/>
      <w:bookmarkStart w:id="821" w:name="_Toc150"/>
      <w:bookmarkStart w:id="822" w:name="bookmark1148"/>
      <w:r>
        <w:rPr>
          <w:rFonts w:hint="eastAsia" w:ascii="宋体" w:hAnsi="宋体" w:cs="宋体"/>
          <w:color w:val="auto"/>
          <w:sz w:val="24"/>
          <w:szCs w:val="24"/>
          <w:lang w:eastAsia="zh-CN"/>
        </w:rPr>
        <w:t>9.8防汛度汛</w:t>
      </w:r>
      <w:bookmarkEnd w:id="813"/>
      <w:bookmarkEnd w:id="814"/>
      <w:bookmarkEnd w:id="815"/>
      <w:bookmarkEnd w:id="816"/>
      <w:bookmarkEnd w:id="817"/>
      <w:bookmarkEnd w:id="818"/>
      <w:bookmarkEnd w:id="819"/>
      <w:bookmarkEnd w:id="820"/>
      <w:bookmarkEnd w:id="821"/>
      <w:bookmarkEnd w:id="822"/>
    </w:p>
    <w:p w14:paraId="2C60BE85">
      <w:pPr>
        <w:pStyle w:val="95"/>
        <w:spacing w:line="360" w:lineRule="exact"/>
        <w:ind w:firstLine="420"/>
        <w:rPr>
          <w:color w:val="auto"/>
        </w:rPr>
      </w:pPr>
      <w:r>
        <w:rPr>
          <w:rFonts w:hint="eastAsia"/>
          <w:color w:val="auto"/>
          <w:lang w:val="en-US" w:bidi="en-US"/>
        </w:rPr>
        <w:t>9.8.</w:t>
      </w:r>
      <w:r>
        <w:rPr>
          <w:rFonts w:hint="eastAsia"/>
          <w:color w:val="auto"/>
        </w:rPr>
        <w:t>1发包人负责组织工程参建单位编制本工程的度汛方案和措施。</w:t>
      </w:r>
    </w:p>
    <w:p w14:paraId="0F3770CF">
      <w:pPr>
        <w:pStyle w:val="95"/>
        <w:spacing w:line="360" w:lineRule="exact"/>
        <w:ind w:firstLine="420"/>
        <w:jc w:val="both"/>
        <w:rPr>
          <w:color w:val="auto"/>
        </w:rPr>
      </w:pPr>
      <w:r>
        <w:rPr>
          <w:rFonts w:hint="eastAsia"/>
          <w:color w:val="auto"/>
          <w:lang w:val="en-US" w:bidi="en-US"/>
        </w:rPr>
        <w:t>9.8.2</w:t>
      </w:r>
      <w:r>
        <w:rPr>
          <w:rFonts w:hint="eastAsia"/>
          <w:color w:val="auto"/>
        </w:rPr>
        <w:t>承包人应根据发包人编制的本工程度汛方案和措施，制定相应的度汛方案，报发包人批准后实施。</w:t>
      </w:r>
    </w:p>
    <w:p w14:paraId="0D09BF92">
      <w:pPr>
        <w:pStyle w:val="101"/>
        <w:spacing w:before="0" w:after="0" w:line="360" w:lineRule="exact"/>
        <w:rPr>
          <w:rFonts w:ascii="宋体" w:hAnsi="宋体" w:cs="宋体"/>
          <w:color w:val="auto"/>
          <w:lang w:eastAsia="zh-CN"/>
        </w:rPr>
      </w:pPr>
      <w:bookmarkStart w:id="823" w:name="bookmark1151"/>
      <w:bookmarkStart w:id="824" w:name="_Toc21441"/>
      <w:bookmarkStart w:id="825" w:name="_Toc8788"/>
      <w:bookmarkStart w:id="826" w:name="_Toc27960"/>
      <w:bookmarkStart w:id="827" w:name="bookmark1149"/>
      <w:bookmarkStart w:id="828" w:name="_Toc20298"/>
      <w:bookmarkStart w:id="829" w:name="_Toc6560"/>
      <w:bookmarkStart w:id="830" w:name="_Toc32341"/>
      <w:bookmarkStart w:id="831" w:name="bookmark1150"/>
      <w:bookmarkStart w:id="832" w:name="_Toc14784"/>
      <w:r>
        <w:rPr>
          <w:rFonts w:hint="eastAsia" w:ascii="宋体" w:hAnsi="宋体" w:cs="宋体"/>
          <w:color w:val="auto"/>
          <w:lang w:eastAsia="zh-CN"/>
        </w:rPr>
        <w:t>10.进度计划</w:t>
      </w:r>
      <w:bookmarkEnd w:id="823"/>
      <w:bookmarkEnd w:id="824"/>
      <w:bookmarkEnd w:id="825"/>
      <w:bookmarkEnd w:id="826"/>
      <w:bookmarkEnd w:id="827"/>
      <w:bookmarkEnd w:id="828"/>
      <w:bookmarkEnd w:id="829"/>
      <w:bookmarkEnd w:id="830"/>
      <w:bookmarkEnd w:id="831"/>
      <w:bookmarkEnd w:id="832"/>
    </w:p>
    <w:p w14:paraId="2785D2F6">
      <w:pPr>
        <w:pStyle w:val="101"/>
        <w:spacing w:before="0" w:after="0" w:line="360" w:lineRule="exact"/>
        <w:rPr>
          <w:rFonts w:ascii="宋体" w:hAnsi="宋体" w:cs="宋体"/>
          <w:color w:val="auto"/>
          <w:sz w:val="24"/>
          <w:szCs w:val="24"/>
          <w:lang w:eastAsia="zh-CN"/>
        </w:rPr>
      </w:pPr>
      <w:bookmarkStart w:id="833" w:name="_Toc20408"/>
      <w:bookmarkStart w:id="834" w:name="_Toc15277"/>
      <w:bookmarkStart w:id="835" w:name="_Toc28440"/>
      <w:bookmarkStart w:id="836" w:name="bookmark1153"/>
      <w:bookmarkStart w:id="837" w:name="_Toc26167"/>
      <w:bookmarkStart w:id="838" w:name="_Toc854"/>
      <w:bookmarkStart w:id="839" w:name="_Toc11567"/>
      <w:bookmarkStart w:id="840" w:name="_Toc6027"/>
      <w:bookmarkStart w:id="841" w:name="bookmark1152"/>
      <w:bookmarkStart w:id="842" w:name="bookmark1154"/>
      <w:r>
        <w:rPr>
          <w:rFonts w:hint="eastAsia" w:ascii="宋体" w:hAnsi="宋体" w:cs="宋体"/>
          <w:color w:val="auto"/>
          <w:sz w:val="24"/>
          <w:szCs w:val="24"/>
          <w:lang w:eastAsia="zh-CN"/>
        </w:rPr>
        <w:t>10.1合同进度计划</w:t>
      </w:r>
      <w:bookmarkEnd w:id="833"/>
      <w:bookmarkEnd w:id="834"/>
      <w:bookmarkEnd w:id="835"/>
      <w:bookmarkEnd w:id="836"/>
      <w:bookmarkEnd w:id="837"/>
      <w:bookmarkEnd w:id="838"/>
      <w:bookmarkEnd w:id="839"/>
      <w:bookmarkEnd w:id="840"/>
      <w:bookmarkEnd w:id="841"/>
      <w:bookmarkEnd w:id="842"/>
    </w:p>
    <w:p w14:paraId="35AC01C2">
      <w:pPr>
        <w:pStyle w:val="95"/>
        <w:spacing w:line="355" w:lineRule="exact"/>
        <w:ind w:firstLine="420"/>
        <w:jc w:val="both"/>
        <w:rPr>
          <w:color w:val="auto"/>
        </w:rPr>
      </w:pPr>
      <w:r>
        <w:rPr>
          <w:rFonts w:hint="eastAsia"/>
          <w:color w:val="auto"/>
        </w:rPr>
        <w:t>承包人应按技术标准和要求（合同技术条款）约定的内容和期限以及监理人的指示, 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3D45FA96">
      <w:pPr>
        <w:pStyle w:val="101"/>
        <w:spacing w:before="0" w:after="0" w:line="360" w:lineRule="exact"/>
        <w:rPr>
          <w:rFonts w:ascii="宋体" w:hAnsi="宋体" w:cs="宋体"/>
          <w:color w:val="auto"/>
          <w:sz w:val="24"/>
          <w:szCs w:val="24"/>
          <w:lang w:eastAsia="zh-CN"/>
        </w:rPr>
      </w:pPr>
      <w:bookmarkStart w:id="843" w:name="_Toc11471"/>
      <w:bookmarkStart w:id="844" w:name="_Toc28470"/>
      <w:bookmarkStart w:id="845" w:name="_Toc84"/>
      <w:bookmarkStart w:id="846" w:name="bookmark1155"/>
      <w:bookmarkStart w:id="847" w:name="bookmark1157"/>
      <w:bookmarkStart w:id="848" w:name="_Toc8733"/>
      <w:bookmarkStart w:id="849" w:name="_Toc16392"/>
      <w:bookmarkStart w:id="850" w:name="_Toc29598"/>
      <w:bookmarkStart w:id="851" w:name="bookmark1156"/>
      <w:bookmarkStart w:id="852" w:name="_Toc27886"/>
      <w:r>
        <w:rPr>
          <w:rFonts w:hint="eastAsia" w:ascii="宋体" w:hAnsi="宋体" w:cs="宋体"/>
          <w:color w:val="auto"/>
          <w:sz w:val="24"/>
          <w:szCs w:val="24"/>
          <w:lang w:eastAsia="zh-CN"/>
        </w:rPr>
        <w:t>10.2合同进度计划的修订</w:t>
      </w:r>
      <w:bookmarkEnd w:id="843"/>
      <w:bookmarkEnd w:id="844"/>
      <w:bookmarkEnd w:id="845"/>
      <w:bookmarkEnd w:id="846"/>
      <w:bookmarkEnd w:id="847"/>
      <w:bookmarkEnd w:id="848"/>
      <w:bookmarkEnd w:id="849"/>
      <w:bookmarkEnd w:id="850"/>
      <w:bookmarkEnd w:id="851"/>
      <w:bookmarkEnd w:id="852"/>
    </w:p>
    <w:p w14:paraId="33D9E4D9">
      <w:pPr>
        <w:pStyle w:val="95"/>
        <w:spacing w:line="367" w:lineRule="exact"/>
        <w:ind w:firstLine="420"/>
        <w:jc w:val="both"/>
        <w:rPr>
          <w:color w:val="auto"/>
        </w:rPr>
      </w:pPr>
      <w:r>
        <w:rPr>
          <w:rFonts w:hint="eastAsia"/>
          <w:color w:val="auto"/>
        </w:rPr>
        <w:t>不论何种原因造成工程的实际进度与第</w:t>
      </w:r>
      <w:r>
        <w:rPr>
          <w:rFonts w:hint="eastAsia"/>
          <w:color w:val="auto"/>
          <w:lang w:val="en-US" w:bidi="en-US"/>
        </w:rPr>
        <w:t>10.</w:t>
      </w:r>
      <w:r>
        <w:rPr>
          <w:rFonts w:hint="eastAsia"/>
          <w:color w:val="auto"/>
        </w:rPr>
        <w:t>1款的合同进度计划不符时，承包人均应在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时，承包人应按监理人的指示，在14天内向监理人提交修订的合同进度计划，并附调整计划的相关资料，提交监理人审批。监理人应在收到进度计划后的14天内批复。</w:t>
      </w:r>
    </w:p>
    <w:p w14:paraId="41462E1A">
      <w:pPr>
        <w:pStyle w:val="95"/>
        <w:spacing w:line="350" w:lineRule="exact"/>
        <w:ind w:firstLine="420"/>
        <w:jc w:val="both"/>
        <w:rPr>
          <w:color w:val="auto"/>
        </w:rPr>
      </w:pPr>
      <w:r>
        <w:rPr>
          <w:rFonts w:hint="eastAsia"/>
          <w:color w:va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color w:val="auto"/>
          <w:lang w:val="en-US" w:bidi="en-US"/>
        </w:rPr>
        <w:t>11.</w:t>
      </w:r>
      <w:r>
        <w:rPr>
          <w:rFonts w:hint="eastAsia"/>
          <w:color w:val="auto"/>
        </w:rPr>
        <w:t>3款的约定办理；由于承包人原因造成施工进度延迟，应按第</w:t>
      </w:r>
      <w:r>
        <w:rPr>
          <w:rFonts w:hint="eastAsia"/>
          <w:color w:val="auto"/>
          <w:lang w:val="en-US" w:bidi="en-US"/>
        </w:rPr>
        <w:t>11.</w:t>
      </w:r>
      <w:r>
        <w:rPr>
          <w:rFonts w:hint="eastAsia"/>
          <w:color w:val="auto"/>
        </w:rPr>
        <w:t>5款的约定办理。</w:t>
      </w:r>
    </w:p>
    <w:p w14:paraId="779A3993">
      <w:pPr>
        <w:pStyle w:val="101"/>
        <w:spacing w:before="0" w:after="0" w:line="360" w:lineRule="exact"/>
        <w:rPr>
          <w:rFonts w:ascii="宋体" w:hAnsi="宋体" w:cs="宋体"/>
          <w:color w:val="auto"/>
          <w:sz w:val="24"/>
          <w:szCs w:val="24"/>
          <w:lang w:eastAsia="zh-CN"/>
        </w:rPr>
      </w:pPr>
      <w:bookmarkStart w:id="853" w:name="_Toc25361"/>
      <w:bookmarkStart w:id="854" w:name="bookmark1158"/>
      <w:bookmarkStart w:id="855" w:name="bookmark1160"/>
      <w:bookmarkStart w:id="856" w:name="_Toc18183"/>
      <w:bookmarkStart w:id="857" w:name="_Toc19677"/>
      <w:bookmarkStart w:id="858" w:name="bookmark1159"/>
      <w:bookmarkStart w:id="859" w:name="_Toc25330"/>
      <w:bookmarkStart w:id="860" w:name="_Toc15383"/>
      <w:bookmarkStart w:id="861" w:name="_Toc9821"/>
      <w:bookmarkStart w:id="862" w:name="_Toc29411"/>
      <w:r>
        <w:rPr>
          <w:rFonts w:hint="eastAsia" w:ascii="宋体" w:hAnsi="宋体" w:cs="宋体"/>
          <w:color w:val="auto"/>
          <w:sz w:val="24"/>
          <w:szCs w:val="24"/>
          <w:lang w:eastAsia="zh-CN"/>
        </w:rPr>
        <w:t>10.3单位工程进度计划</w:t>
      </w:r>
      <w:bookmarkEnd w:id="853"/>
      <w:bookmarkEnd w:id="854"/>
      <w:bookmarkEnd w:id="855"/>
      <w:bookmarkEnd w:id="856"/>
      <w:bookmarkEnd w:id="857"/>
      <w:bookmarkEnd w:id="858"/>
      <w:bookmarkEnd w:id="859"/>
      <w:bookmarkEnd w:id="860"/>
      <w:bookmarkEnd w:id="861"/>
      <w:bookmarkEnd w:id="862"/>
    </w:p>
    <w:p w14:paraId="29CEC856">
      <w:pPr>
        <w:pStyle w:val="95"/>
        <w:spacing w:line="353" w:lineRule="exact"/>
        <w:ind w:firstLine="420"/>
        <w:jc w:val="both"/>
        <w:rPr>
          <w:color w:val="auto"/>
        </w:rPr>
      </w:pPr>
      <w:r>
        <w:rPr>
          <w:rFonts w:hint="eastAsia"/>
          <w:color w:val="auto"/>
        </w:rPr>
        <w:t>监理人认为有必要时，承包人应按监理人指示的内容和期限，并根据合同进度计划的进度控制要求，编制单位工程进度计划，提交监理人审批。</w:t>
      </w:r>
    </w:p>
    <w:p w14:paraId="45F42A91">
      <w:pPr>
        <w:pStyle w:val="101"/>
        <w:spacing w:before="0" w:after="0" w:line="360" w:lineRule="exact"/>
        <w:rPr>
          <w:rFonts w:ascii="宋体" w:hAnsi="宋体" w:cs="宋体"/>
          <w:color w:val="auto"/>
          <w:sz w:val="24"/>
          <w:szCs w:val="24"/>
          <w:lang w:eastAsia="zh-CN"/>
        </w:rPr>
      </w:pPr>
      <w:bookmarkStart w:id="863" w:name="_Toc16717"/>
      <w:bookmarkStart w:id="864" w:name="bookmark1162"/>
      <w:bookmarkStart w:id="865" w:name="_Toc31671"/>
      <w:bookmarkStart w:id="866" w:name="_Toc2997"/>
      <w:bookmarkStart w:id="867" w:name="bookmark1161"/>
      <w:bookmarkStart w:id="868" w:name="_Toc14879"/>
      <w:bookmarkStart w:id="869" w:name="_Toc18009"/>
      <w:bookmarkStart w:id="870" w:name="_Toc5993"/>
      <w:bookmarkStart w:id="871" w:name="bookmark1163"/>
      <w:bookmarkStart w:id="872" w:name="_Toc30067"/>
      <w:r>
        <w:rPr>
          <w:rFonts w:hint="eastAsia" w:ascii="宋体" w:hAnsi="宋体" w:cs="宋体"/>
          <w:color w:val="auto"/>
          <w:sz w:val="24"/>
          <w:szCs w:val="24"/>
          <w:lang w:eastAsia="zh-CN"/>
        </w:rPr>
        <w:t>10.4提交资金流估算表</w:t>
      </w:r>
      <w:bookmarkEnd w:id="863"/>
      <w:bookmarkEnd w:id="864"/>
      <w:bookmarkEnd w:id="865"/>
      <w:bookmarkEnd w:id="866"/>
      <w:bookmarkEnd w:id="867"/>
      <w:bookmarkEnd w:id="868"/>
      <w:bookmarkEnd w:id="869"/>
      <w:bookmarkEnd w:id="870"/>
      <w:bookmarkEnd w:id="871"/>
      <w:bookmarkEnd w:id="872"/>
    </w:p>
    <w:p w14:paraId="05C9BA88">
      <w:pPr>
        <w:pStyle w:val="95"/>
        <w:spacing w:line="353" w:lineRule="exact"/>
        <w:ind w:firstLine="420"/>
        <w:jc w:val="both"/>
        <w:rPr>
          <w:color w:val="auto"/>
        </w:rPr>
      </w:pPr>
      <w:r>
        <w:rPr>
          <w:rFonts w:hint="eastAsia"/>
          <w:color w:val="auto"/>
        </w:rPr>
        <w:t>承包人应在按第</w:t>
      </w:r>
      <w:r>
        <w:rPr>
          <w:rFonts w:hint="eastAsia"/>
          <w:color w:val="auto"/>
          <w:lang w:val="en-US" w:bidi="en-US"/>
        </w:rPr>
        <w:t>10</w:t>
      </w:r>
      <w:r>
        <w:rPr>
          <w:rFonts w:hint="eastAsia"/>
          <w:color w:val="auto"/>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CF8A07E">
      <w:pPr>
        <w:pStyle w:val="95"/>
        <w:tabs>
          <w:tab w:val="left" w:pos="3329"/>
        </w:tabs>
        <w:spacing w:line="350" w:lineRule="exact"/>
        <w:ind w:firstLine="0"/>
        <w:jc w:val="center"/>
        <w:rPr>
          <w:color w:val="auto"/>
        </w:rPr>
      </w:pPr>
      <w:r>
        <w:rPr>
          <w:rFonts w:hint="eastAsia"/>
          <w:color w:val="auto"/>
          <w:lang w:val="en-US"/>
        </w:rPr>
        <w:t xml:space="preserve">                          </w:t>
      </w:r>
      <w:r>
        <w:rPr>
          <w:rFonts w:hint="eastAsia"/>
          <w:color w:val="auto"/>
        </w:rPr>
        <w:t>资金流估算表（参考格式）</w:t>
      </w:r>
      <w:r>
        <w:rPr>
          <w:rFonts w:hint="eastAsia"/>
          <w:color w:val="auto"/>
          <w:lang w:val="en-US"/>
        </w:rPr>
        <w:t xml:space="preserve">                   </w:t>
      </w:r>
      <w:r>
        <w:rPr>
          <w:rFonts w:hint="eastAsia"/>
          <w:color w:val="auto"/>
        </w:rPr>
        <w:t>金额单位：</w:t>
      </w:r>
    </w:p>
    <w:tbl>
      <w:tblPr>
        <w:tblStyle w:val="37"/>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186AF4CE">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vAlign w:val="center"/>
          </w:tcPr>
          <w:p w14:paraId="7F6DCAF2">
            <w:pPr>
              <w:pStyle w:val="103"/>
              <w:spacing w:line="240" w:lineRule="auto"/>
              <w:ind w:firstLine="0"/>
              <w:rPr>
                <w:color w:val="auto"/>
                <w:sz w:val="18"/>
                <w:szCs w:val="18"/>
              </w:rPr>
            </w:pPr>
            <w:r>
              <w:rPr>
                <w:rFonts w:hint="eastAsia"/>
                <w:color w:val="auto"/>
                <w:sz w:val="18"/>
                <w:szCs w:val="18"/>
              </w:rPr>
              <w:t>年</w:t>
            </w:r>
          </w:p>
        </w:tc>
        <w:tc>
          <w:tcPr>
            <w:tcW w:w="283" w:type="dxa"/>
            <w:tcBorders>
              <w:top w:val="single" w:color="auto" w:sz="4" w:space="0"/>
              <w:left w:val="single" w:color="auto" w:sz="4" w:space="0"/>
            </w:tcBorders>
            <w:shd w:val="clear" w:color="auto" w:fill="FFFFFF"/>
            <w:vAlign w:val="center"/>
          </w:tcPr>
          <w:p w14:paraId="64EFFBAF">
            <w:pPr>
              <w:pStyle w:val="103"/>
              <w:spacing w:line="240" w:lineRule="auto"/>
              <w:ind w:firstLine="0"/>
              <w:rPr>
                <w:color w:val="auto"/>
                <w:sz w:val="18"/>
                <w:szCs w:val="18"/>
              </w:rPr>
            </w:pPr>
            <w:r>
              <w:rPr>
                <w:rFonts w:hint="eastAsia"/>
                <w:color w:val="auto"/>
                <w:sz w:val="18"/>
                <w:szCs w:val="18"/>
              </w:rPr>
              <w:t>月</w:t>
            </w:r>
          </w:p>
        </w:tc>
        <w:tc>
          <w:tcPr>
            <w:tcW w:w="1022" w:type="dxa"/>
            <w:tcBorders>
              <w:top w:val="single" w:color="auto" w:sz="4" w:space="0"/>
              <w:left w:val="single" w:color="auto" w:sz="4" w:space="0"/>
            </w:tcBorders>
            <w:shd w:val="clear" w:color="auto" w:fill="FFFFFF"/>
            <w:vAlign w:val="center"/>
          </w:tcPr>
          <w:p w14:paraId="622377D7">
            <w:pPr>
              <w:pStyle w:val="103"/>
              <w:spacing w:line="240" w:lineRule="auto"/>
              <w:ind w:firstLine="0"/>
              <w:rPr>
                <w:color w:val="auto"/>
                <w:sz w:val="18"/>
                <w:szCs w:val="18"/>
              </w:rPr>
            </w:pPr>
            <w:r>
              <w:rPr>
                <w:rFonts w:hint="eastAsia"/>
                <w:color w:val="auto"/>
                <w:sz w:val="18"/>
                <w:szCs w:val="18"/>
              </w:rPr>
              <w:t>工程预付款</w:t>
            </w:r>
          </w:p>
        </w:tc>
        <w:tc>
          <w:tcPr>
            <w:tcW w:w="1416" w:type="dxa"/>
            <w:tcBorders>
              <w:top w:val="single" w:color="auto" w:sz="4" w:space="0"/>
              <w:left w:val="single" w:color="auto" w:sz="4" w:space="0"/>
            </w:tcBorders>
            <w:shd w:val="clear" w:color="auto" w:fill="FFFFFF"/>
            <w:vAlign w:val="center"/>
          </w:tcPr>
          <w:p w14:paraId="037B0419">
            <w:pPr>
              <w:pStyle w:val="103"/>
              <w:spacing w:line="240" w:lineRule="auto"/>
              <w:ind w:firstLine="0"/>
              <w:rPr>
                <w:color w:val="auto"/>
                <w:sz w:val="18"/>
                <w:szCs w:val="18"/>
              </w:rPr>
            </w:pPr>
            <w:r>
              <w:rPr>
                <w:rFonts w:hint="eastAsia"/>
                <w:color w:val="auto"/>
                <w:sz w:val="18"/>
                <w:szCs w:val="18"/>
              </w:rPr>
              <w:t>完成工作量付款</w:t>
            </w:r>
          </w:p>
        </w:tc>
        <w:tc>
          <w:tcPr>
            <w:tcW w:w="1022" w:type="dxa"/>
            <w:tcBorders>
              <w:top w:val="single" w:color="auto" w:sz="4" w:space="0"/>
              <w:left w:val="single" w:color="auto" w:sz="4" w:space="0"/>
            </w:tcBorders>
            <w:shd w:val="clear" w:color="auto" w:fill="FFFFFF"/>
            <w:vAlign w:val="center"/>
          </w:tcPr>
          <w:p w14:paraId="448B07F7">
            <w:pPr>
              <w:pStyle w:val="103"/>
              <w:spacing w:line="240" w:lineRule="auto"/>
              <w:ind w:firstLine="0"/>
              <w:rPr>
                <w:color w:val="auto"/>
                <w:sz w:val="18"/>
                <w:szCs w:val="18"/>
              </w:rPr>
            </w:pPr>
            <w:r>
              <w:rPr>
                <w:rFonts w:hint="eastAsia"/>
                <w:color w:val="auto"/>
                <w:sz w:val="18"/>
                <w:szCs w:val="18"/>
              </w:rPr>
              <w:t>保留金扣留</w:t>
            </w:r>
          </w:p>
        </w:tc>
        <w:tc>
          <w:tcPr>
            <w:tcW w:w="1018" w:type="dxa"/>
            <w:tcBorders>
              <w:top w:val="single" w:color="auto" w:sz="4" w:space="0"/>
              <w:left w:val="single" w:color="auto" w:sz="4" w:space="0"/>
            </w:tcBorders>
            <w:shd w:val="clear" w:color="auto" w:fill="FFFFFF"/>
            <w:vAlign w:val="center"/>
          </w:tcPr>
          <w:p w14:paraId="2B233A48">
            <w:pPr>
              <w:pStyle w:val="103"/>
              <w:spacing w:line="240" w:lineRule="auto"/>
              <w:ind w:firstLine="0"/>
              <w:jc w:val="right"/>
              <w:rPr>
                <w:color w:val="auto"/>
                <w:sz w:val="18"/>
                <w:szCs w:val="18"/>
              </w:rPr>
            </w:pPr>
            <w:r>
              <w:rPr>
                <w:rFonts w:hint="eastAsia"/>
                <w:color w:val="auto"/>
                <w:sz w:val="18"/>
                <w:szCs w:val="18"/>
              </w:rPr>
              <w:t>材料款扣除</w:t>
            </w:r>
          </w:p>
        </w:tc>
        <w:tc>
          <w:tcPr>
            <w:tcW w:w="1022" w:type="dxa"/>
            <w:tcBorders>
              <w:top w:val="single" w:color="auto" w:sz="4" w:space="0"/>
              <w:left w:val="single" w:color="auto" w:sz="4" w:space="0"/>
            </w:tcBorders>
            <w:shd w:val="clear" w:color="auto" w:fill="FFFFFF"/>
            <w:vAlign w:val="center"/>
          </w:tcPr>
          <w:p w14:paraId="04D60F20">
            <w:pPr>
              <w:pStyle w:val="103"/>
              <w:spacing w:line="240" w:lineRule="auto"/>
              <w:ind w:firstLine="0"/>
              <w:jc w:val="right"/>
              <w:rPr>
                <w:color w:val="auto"/>
                <w:sz w:val="18"/>
                <w:szCs w:val="18"/>
              </w:rPr>
            </w:pPr>
            <w:r>
              <w:rPr>
                <w:rFonts w:hint="eastAsia"/>
                <w:color w:val="auto"/>
                <w:sz w:val="18"/>
                <w:szCs w:val="18"/>
              </w:rPr>
              <w:t>预付款扣还</w:t>
            </w:r>
          </w:p>
        </w:tc>
        <w:tc>
          <w:tcPr>
            <w:tcW w:w="451" w:type="dxa"/>
            <w:tcBorders>
              <w:top w:val="single" w:color="auto" w:sz="4" w:space="0"/>
              <w:left w:val="single" w:color="auto" w:sz="4" w:space="0"/>
            </w:tcBorders>
            <w:shd w:val="clear" w:color="auto" w:fill="FFFFFF"/>
            <w:vAlign w:val="center"/>
          </w:tcPr>
          <w:p w14:paraId="44759B2C">
            <w:pPr>
              <w:pStyle w:val="103"/>
              <w:spacing w:line="240" w:lineRule="auto"/>
              <w:ind w:firstLine="0"/>
              <w:jc w:val="right"/>
              <w:rPr>
                <w:color w:val="auto"/>
                <w:sz w:val="18"/>
                <w:szCs w:val="18"/>
              </w:rPr>
            </w:pPr>
            <w:r>
              <w:rPr>
                <w:rFonts w:hint="eastAsia"/>
                <w:color w:val="auto"/>
                <w:sz w:val="18"/>
                <w:szCs w:val="18"/>
              </w:rPr>
              <w:t>其他</w:t>
            </w:r>
          </w:p>
        </w:tc>
        <w:tc>
          <w:tcPr>
            <w:tcW w:w="682" w:type="dxa"/>
            <w:tcBorders>
              <w:top w:val="single" w:color="auto" w:sz="4" w:space="0"/>
              <w:left w:val="single" w:color="auto" w:sz="4" w:space="0"/>
            </w:tcBorders>
            <w:shd w:val="clear" w:color="auto" w:fill="FFFFFF"/>
            <w:vAlign w:val="center"/>
          </w:tcPr>
          <w:p w14:paraId="3AC0D502">
            <w:pPr>
              <w:pStyle w:val="103"/>
              <w:spacing w:line="240" w:lineRule="auto"/>
              <w:ind w:firstLine="0"/>
              <w:jc w:val="right"/>
              <w:rPr>
                <w:color w:val="auto"/>
                <w:sz w:val="18"/>
                <w:szCs w:val="18"/>
              </w:rPr>
            </w:pPr>
            <w:r>
              <w:rPr>
                <w:rFonts w:hint="eastAsia"/>
                <w:color w:val="auto"/>
                <w:sz w:val="18"/>
                <w:szCs w:val="18"/>
              </w:rPr>
              <w:t>应收款</w:t>
            </w:r>
          </w:p>
        </w:tc>
        <w:tc>
          <w:tcPr>
            <w:tcW w:w="1142" w:type="dxa"/>
            <w:tcBorders>
              <w:top w:val="single" w:color="auto" w:sz="4" w:space="0"/>
              <w:left w:val="single" w:color="auto" w:sz="4" w:space="0"/>
              <w:right w:val="single" w:color="auto" w:sz="4" w:space="0"/>
            </w:tcBorders>
            <w:shd w:val="clear" w:color="auto" w:fill="FFFFFF"/>
            <w:vAlign w:val="center"/>
          </w:tcPr>
          <w:p w14:paraId="440E5DF2">
            <w:pPr>
              <w:pStyle w:val="103"/>
              <w:spacing w:line="240" w:lineRule="auto"/>
              <w:ind w:firstLine="0"/>
              <w:jc w:val="center"/>
              <w:rPr>
                <w:color w:val="auto"/>
                <w:sz w:val="18"/>
                <w:szCs w:val="18"/>
              </w:rPr>
            </w:pPr>
            <w:r>
              <w:rPr>
                <w:rFonts w:hint="eastAsia"/>
                <w:color w:val="auto"/>
                <w:sz w:val="18"/>
                <w:szCs w:val="18"/>
              </w:rPr>
              <w:t>累计应收款</w:t>
            </w:r>
          </w:p>
        </w:tc>
      </w:tr>
      <w:tr w14:paraId="1FBA8805">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3D13D169">
            <w:pPr>
              <w:pStyle w:val="96"/>
              <w:rPr>
                <w:rFonts w:ascii="宋体" w:hAnsi="宋体" w:eastAsia="宋体" w:cs="宋体"/>
                <w:color w:val="auto"/>
                <w:sz w:val="18"/>
                <w:szCs w:val="18"/>
              </w:rPr>
            </w:pPr>
          </w:p>
        </w:tc>
        <w:tc>
          <w:tcPr>
            <w:tcW w:w="283" w:type="dxa"/>
            <w:tcBorders>
              <w:top w:val="single" w:color="auto" w:sz="4" w:space="0"/>
              <w:left w:val="single" w:color="auto" w:sz="4" w:space="0"/>
            </w:tcBorders>
            <w:shd w:val="clear" w:color="auto" w:fill="FFFFFF"/>
          </w:tcPr>
          <w:p w14:paraId="6A02FDA3">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04F083AD">
            <w:pPr>
              <w:pStyle w:val="96"/>
              <w:rPr>
                <w:rFonts w:ascii="宋体" w:hAnsi="宋体" w:eastAsia="宋体" w:cs="宋体"/>
                <w:color w:val="auto"/>
                <w:sz w:val="18"/>
                <w:szCs w:val="18"/>
              </w:rPr>
            </w:pPr>
          </w:p>
        </w:tc>
        <w:tc>
          <w:tcPr>
            <w:tcW w:w="1416" w:type="dxa"/>
            <w:tcBorders>
              <w:top w:val="single" w:color="auto" w:sz="4" w:space="0"/>
              <w:left w:val="single" w:color="auto" w:sz="4" w:space="0"/>
            </w:tcBorders>
            <w:shd w:val="clear" w:color="auto" w:fill="FFFFFF"/>
          </w:tcPr>
          <w:p w14:paraId="7E124B35">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652E08C3">
            <w:pPr>
              <w:pStyle w:val="96"/>
              <w:rPr>
                <w:rFonts w:ascii="宋体" w:hAnsi="宋体" w:eastAsia="宋体" w:cs="宋体"/>
                <w:color w:val="auto"/>
                <w:sz w:val="18"/>
                <w:szCs w:val="18"/>
              </w:rPr>
            </w:pPr>
          </w:p>
        </w:tc>
        <w:tc>
          <w:tcPr>
            <w:tcW w:w="1018" w:type="dxa"/>
            <w:tcBorders>
              <w:top w:val="single" w:color="auto" w:sz="4" w:space="0"/>
              <w:left w:val="single" w:color="auto" w:sz="4" w:space="0"/>
            </w:tcBorders>
            <w:shd w:val="clear" w:color="auto" w:fill="FFFFFF"/>
          </w:tcPr>
          <w:p w14:paraId="59528838">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40656851">
            <w:pPr>
              <w:pStyle w:val="96"/>
              <w:rPr>
                <w:rFonts w:ascii="宋体" w:hAnsi="宋体" w:eastAsia="宋体" w:cs="宋体"/>
                <w:color w:val="auto"/>
                <w:sz w:val="18"/>
                <w:szCs w:val="18"/>
              </w:rPr>
            </w:pPr>
          </w:p>
        </w:tc>
        <w:tc>
          <w:tcPr>
            <w:tcW w:w="451" w:type="dxa"/>
            <w:tcBorders>
              <w:top w:val="single" w:color="auto" w:sz="4" w:space="0"/>
              <w:left w:val="single" w:color="auto" w:sz="4" w:space="0"/>
            </w:tcBorders>
            <w:shd w:val="clear" w:color="auto" w:fill="FFFFFF"/>
          </w:tcPr>
          <w:p w14:paraId="0884A03C">
            <w:pPr>
              <w:pStyle w:val="96"/>
              <w:rPr>
                <w:rFonts w:ascii="宋体" w:hAnsi="宋体" w:eastAsia="宋体" w:cs="宋体"/>
                <w:color w:val="auto"/>
                <w:sz w:val="18"/>
                <w:szCs w:val="18"/>
              </w:rPr>
            </w:pPr>
          </w:p>
        </w:tc>
        <w:tc>
          <w:tcPr>
            <w:tcW w:w="682" w:type="dxa"/>
            <w:tcBorders>
              <w:top w:val="single" w:color="auto" w:sz="4" w:space="0"/>
              <w:left w:val="single" w:color="auto" w:sz="4" w:space="0"/>
            </w:tcBorders>
            <w:shd w:val="clear" w:color="auto" w:fill="FFFFFF"/>
          </w:tcPr>
          <w:p w14:paraId="3930C8AA">
            <w:pPr>
              <w:pStyle w:val="96"/>
              <w:rPr>
                <w:rFonts w:ascii="宋体" w:hAnsi="宋体" w:eastAsia="宋体" w:cs="宋体"/>
                <w:color w:val="auto"/>
                <w:sz w:val="18"/>
                <w:szCs w:val="18"/>
              </w:rPr>
            </w:pPr>
          </w:p>
        </w:tc>
        <w:tc>
          <w:tcPr>
            <w:tcW w:w="1142" w:type="dxa"/>
            <w:tcBorders>
              <w:top w:val="single" w:color="auto" w:sz="4" w:space="0"/>
              <w:left w:val="single" w:color="auto" w:sz="4" w:space="0"/>
              <w:right w:val="single" w:color="auto" w:sz="4" w:space="0"/>
            </w:tcBorders>
            <w:shd w:val="clear" w:color="auto" w:fill="FFFFFF"/>
          </w:tcPr>
          <w:p w14:paraId="1960FBF3">
            <w:pPr>
              <w:pStyle w:val="96"/>
              <w:rPr>
                <w:rFonts w:ascii="宋体" w:hAnsi="宋体" w:eastAsia="宋体" w:cs="宋体"/>
                <w:color w:val="auto"/>
                <w:sz w:val="18"/>
                <w:szCs w:val="18"/>
              </w:rPr>
            </w:pPr>
          </w:p>
        </w:tc>
      </w:tr>
      <w:tr w14:paraId="500B0022">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6CD22836">
            <w:pPr>
              <w:pStyle w:val="96"/>
              <w:rPr>
                <w:rFonts w:ascii="宋体" w:hAnsi="宋体" w:eastAsia="宋体" w:cs="宋体"/>
                <w:color w:val="auto"/>
                <w:sz w:val="18"/>
                <w:szCs w:val="18"/>
              </w:rPr>
            </w:pPr>
          </w:p>
        </w:tc>
        <w:tc>
          <w:tcPr>
            <w:tcW w:w="283" w:type="dxa"/>
            <w:tcBorders>
              <w:top w:val="single" w:color="auto" w:sz="4" w:space="0"/>
              <w:left w:val="single" w:color="auto" w:sz="4" w:space="0"/>
            </w:tcBorders>
            <w:shd w:val="clear" w:color="auto" w:fill="FFFFFF"/>
          </w:tcPr>
          <w:p w14:paraId="383EFBFD">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3A24C682">
            <w:pPr>
              <w:pStyle w:val="96"/>
              <w:rPr>
                <w:rFonts w:ascii="宋体" w:hAnsi="宋体" w:eastAsia="宋体" w:cs="宋体"/>
                <w:color w:val="auto"/>
                <w:sz w:val="18"/>
                <w:szCs w:val="18"/>
              </w:rPr>
            </w:pPr>
          </w:p>
        </w:tc>
        <w:tc>
          <w:tcPr>
            <w:tcW w:w="1416" w:type="dxa"/>
            <w:tcBorders>
              <w:top w:val="single" w:color="auto" w:sz="4" w:space="0"/>
              <w:left w:val="single" w:color="auto" w:sz="4" w:space="0"/>
            </w:tcBorders>
            <w:shd w:val="clear" w:color="auto" w:fill="FFFFFF"/>
          </w:tcPr>
          <w:p w14:paraId="1266D6A3">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27F44F5B">
            <w:pPr>
              <w:pStyle w:val="96"/>
              <w:rPr>
                <w:rFonts w:ascii="宋体" w:hAnsi="宋体" w:eastAsia="宋体" w:cs="宋体"/>
                <w:color w:val="auto"/>
                <w:sz w:val="18"/>
                <w:szCs w:val="18"/>
              </w:rPr>
            </w:pPr>
          </w:p>
        </w:tc>
        <w:tc>
          <w:tcPr>
            <w:tcW w:w="1018" w:type="dxa"/>
            <w:tcBorders>
              <w:top w:val="single" w:color="auto" w:sz="4" w:space="0"/>
              <w:left w:val="single" w:color="auto" w:sz="4" w:space="0"/>
            </w:tcBorders>
            <w:shd w:val="clear" w:color="auto" w:fill="FFFFFF"/>
          </w:tcPr>
          <w:p w14:paraId="11860046">
            <w:pPr>
              <w:pStyle w:val="96"/>
              <w:rPr>
                <w:rFonts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tcPr>
          <w:p w14:paraId="47957146">
            <w:pPr>
              <w:pStyle w:val="96"/>
              <w:rPr>
                <w:rFonts w:ascii="宋体" w:hAnsi="宋体" w:eastAsia="宋体" w:cs="宋体"/>
                <w:color w:val="auto"/>
                <w:sz w:val="18"/>
                <w:szCs w:val="18"/>
              </w:rPr>
            </w:pPr>
          </w:p>
        </w:tc>
        <w:tc>
          <w:tcPr>
            <w:tcW w:w="451" w:type="dxa"/>
            <w:tcBorders>
              <w:top w:val="single" w:color="auto" w:sz="4" w:space="0"/>
              <w:left w:val="single" w:color="auto" w:sz="4" w:space="0"/>
            </w:tcBorders>
            <w:shd w:val="clear" w:color="auto" w:fill="FFFFFF"/>
          </w:tcPr>
          <w:p w14:paraId="0F383A5D">
            <w:pPr>
              <w:pStyle w:val="96"/>
              <w:rPr>
                <w:rFonts w:ascii="宋体" w:hAnsi="宋体" w:eastAsia="宋体" w:cs="宋体"/>
                <w:color w:val="auto"/>
                <w:sz w:val="18"/>
                <w:szCs w:val="18"/>
              </w:rPr>
            </w:pPr>
          </w:p>
        </w:tc>
        <w:tc>
          <w:tcPr>
            <w:tcW w:w="682" w:type="dxa"/>
            <w:tcBorders>
              <w:top w:val="single" w:color="auto" w:sz="4" w:space="0"/>
              <w:left w:val="single" w:color="auto" w:sz="4" w:space="0"/>
            </w:tcBorders>
            <w:shd w:val="clear" w:color="auto" w:fill="FFFFFF"/>
          </w:tcPr>
          <w:p w14:paraId="26AD6A0F">
            <w:pPr>
              <w:pStyle w:val="96"/>
              <w:rPr>
                <w:rFonts w:ascii="宋体" w:hAnsi="宋体" w:eastAsia="宋体" w:cs="宋体"/>
                <w:color w:val="auto"/>
                <w:sz w:val="18"/>
                <w:szCs w:val="18"/>
              </w:rPr>
            </w:pPr>
          </w:p>
        </w:tc>
        <w:tc>
          <w:tcPr>
            <w:tcW w:w="1142" w:type="dxa"/>
            <w:tcBorders>
              <w:top w:val="single" w:color="auto" w:sz="4" w:space="0"/>
              <w:left w:val="single" w:color="auto" w:sz="4" w:space="0"/>
              <w:right w:val="single" w:color="auto" w:sz="4" w:space="0"/>
            </w:tcBorders>
            <w:shd w:val="clear" w:color="auto" w:fill="FFFFFF"/>
          </w:tcPr>
          <w:p w14:paraId="24C7DFBD">
            <w:pPr>
              <w:pStyle w:val="96"/>
              <w:rPr>
                <w:rFonts w:ascii="宋体" w:hAnsi="宋体" w:eastAsia="宋体" w:cs="宋体"/>
                <w:color w:val="auto"/>
                <w:sz w:val="18"/>
                <w:szCs w:val="18"/>
              </w:rPr>
            </w:pPr>
          </w:p>
        </w:tc>
      </w:tr>
      <w:tr w14:paraId="5E933C6B">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tcPr>
          <w:p w14:paraId="2E578AB6">
            <w:pPr>
              <w:pStyle w:val="96"/>
              <w:rPr>
                <w:rFonts w:ascii="宋体" w:hAnsi="宋体" w:eastAsia="宋体" w:cs="宋体"/>
                <w:color w:val="auto"/>
                <w:sz w:val="18"/>
                <w:szCs w:val="18"/>
              </w:rPr>
            </w:pPr>
          </w:p>
        </w:tc>
        <w:tc>
          <w:tcPr>
            <w:tcW w:w="283" w:type="dxa"/>
            <w:tcBorders>
              <w:top w:val="single" w:color="auto" w:sz="4" w:space="0"/>
              <w:left w:val="single" w:color="auto" w:sz="4" w:space="0"/>
              <w:bottom w:val="single" w:color="auto" w:sz="4" w:space="0"/>
            </w:tcBorders>
            <w:shd w:val="clear" w:color="auto" w:fill="FFFFFF"/>
          </w:tcPr>
          <w:p w14:paraId="668D4E6F">
            <w:pPr>
              <w:pStyle w:val="96"/>
              <w:rPr>
                <w:rFonts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tcPr>
          <w:p w14:paraId="002D2160">
            <w:pPr>
              <w:pStyle w:val="96"/>
              <w:rPr>
                <w:rFonts w:ascii="宋体" w:hAnsi="宋体" w:eastAsia="宋体" w:cs="宋体"/>
                <w:color w:val="auto"/>
                <w:sz w:val="18"/>
                <w:szCs w:val="18"/>
              </w:rPr>
            </w:pPr>
          </w:p>
        </w:tc>
        <w:tc>
          <w:tcPr>
            <w:tcW w:w="1416" w:type="dxa"/>
            <w:tcBorders>
              <w:top w:val="single" w:color="auto" w:sz="4" w:space="0"/>
              <w:left w:val="single" w:color="auto" w:sz="4" w:space="0"/>
              <w:bottom w:val="single" w:color="auto" w:sz="4" w:space="0"/>
            </w:tcBorders>
            <w:shd w:val="clear" w:color="auto" w:fill="FFFFFF"/>
          </w:tcPr>
          <w:p w14:paraId="75B5BE8C">
            <w:pPr>
              <w:pStyle w:val="96"/>
              <w:rPr>
                <w:rFonts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tcPr>
          <w:p w14:paraId="6B0D11CD">
            <w:pPr>
              <w:pStyle w:val="96"/>
              <w:rPr>
                <w:rFonts w:ascii="宋体" w:hAnsi="宋体" w:eastAsia="宋体" w:cs="宋体"/>
                <w:color w:val="auto"/>
                <w:sz w:val="18"/>
                <w:szCs w:val="18"/>
              </w:rPr>
            </w:pPr>
          </w:p>
        </w:tc>
        <w:tc>
          <w:tcPr>
            <w:tcW w:w="1018" w:type="dxa"/>
            <w:tcBorders>
              <w:top w:val="single" w:color="auto" w:sz="4" w:space="0"/>
              <w:left w:val="single" w:color="auto" w:sz="4" w:space="0"/>
              <w:bottom w:val="single" w:color="auto" w:sz="4" w:space="0"/>
            </w:tcBorders>
            <w:shd w:val="clear" w:color="auto" w:fill="FFFFFF"/>
          </w:tcPr>
          <w:p w14:paraId="162099A0">
            <w:pPr>
              <w:pStyle w:val="96"/>
              <w:rPr>
                <w:rFonts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tcPr>
          <w:p w14:paraId="05A94321">
            <w:pPr>
              <w:pStyle w:val="96"/>
              <w:rPr>
                <w:rFonts w:ascii="宋体" w:hAnsi="宋体" w:eastAsia="宋体" w:cs="宋体"/>
                <w:color w:val="auto"/>
                <w:sz w:val="18"/>
                <w:szCs w:val="18"/>
              </w:rPr>
            </w:pPr>
          </w:p>
        </w:tc>
        <w:tc>
          <w:tcPr>
            <w:tcW w:w="451" w:type="dxa"/>
            <w:tcBorders>
              <w:top w:val="single" w:color="auto" w:sz="4" w:space="0"/>
              <w:left w:val="single" w:color="auto" w:sz="4" w:space="0"/>
              <w:bottom w:val="single" w:color="auto" w:sz="4" w:space="0"/>
            </w:tcBorders>
            <w:shd w:val="clear" w:color="auto" w:fill="FFFFFF"/>
          </w:tcPr>
          <w:p w14:paraId="5A2727AB">
            <w:pPr>
              <w:pStyle w:val="96"/>
              <w:rPr>
                <w:rFonts w:ascii="宋体" w:hAnsi="宋体" w:eastAsia="宋体" w:cs="宋体"/>
                <w:color w:val="auto"/>
                <w:sz w:val="18"/>
                <w:szCs w:val="18"/>
              </w:rPr>
            </w:pPr>
          </w:p>
        </w:tc>
        <w:tc>
          <w:tcPr>
            <w:tcW w:w="682" w:type="dxa"/>
            <w:tcBorders>
              <w:top w:val="single" w:color="auto" w:sz="4" w:space="0"/>
              <w:left w:val="single" w:color="auto" w:sz="4" w:space="0"/>
              <w:bottom w:val="single" w:color="auto" w:sz="4" w:space="0"/>
            </w:tcBorders>
            <w:shd w:val="clear" w:color="auto" w:fill="FFFFFF"/>
          </w:tcPr>
          <w:p w14:paraId="7210E895">
            <w:pPr>
              <w:pStyle w:val="96"/>
              <w:rPr>
                <w:rFonts w:ascii="宋体" w:hAnsi="宋体" w:eastAsia="宋体" w:cs="宋体"/>
                <w:color w:val="auto"/>
                <w:sz w:val="18"/>
                <w:szCs w:val="18"/>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712CD827">
            <w:pPr>
              <w:pStyle w:val="96"/>
              <w:rPr>
                <w:rFonts w:ascii="宋体" w:hAnsi="宋体" w:eastAsia="宋体" w:cs="宋体"/>
                <w:color w:val="auto"/>
                <w:sz w:val="18"/>
                <w:szCs w:val="18"/>
              </w:rPr>
            </w:pPr>
          </w:p>
        </w:tc>
      </w:tr>
    </w:tbl>
    <w:p w14:paraId="17ACE8DD">
      <w:pPr>
        <w:pStyle w:val="96"/>
        <w:spacing w:line="1" w:lineRule="exact"/>
        <w:rPr>
          <w:rFonts w:ascii="宋体" w:hAnsi="宋体" w:eastAsia="宋体" w:cs="宋体"/>
          <w:color w:val="auto"/>
        </w:rPr>
      </w:pPr>
    </w:p>
    <w:p w14:paraId="3E451BAB">
      <w:pPr>
        <w:pStyle w:val="101"/>
        <w:spacing w:before="0" w:after="0" w:line="360" w:lineRule="exact"/>
        <w:rPr>
          <w:rFonts w:ascii="宋体" w:hAnsi="宋体" w:cs="宋体"/>
          <w:color w:val="auto"/>
          <w:lang w:eastAsia="zh-CN"/>
        </w:rPr>
      </w:pPr>
      <w:bookmarkStart w:id="873" w:name="bookmark1166"/>
      <w:bookmarkEnd w:id="873"/>
      <w:bookmarkStart w:id="874" w:name="_Toc14490"/>
      <w:bookmarkStart w:id="875" w:name="bookmark1164"/>
      <w:bookmarkStart w:id="876" w:name="_Toc23848"/>
      <w:bookmarkStart w:id="877" w:name="bookmark1167"/>
      <w:bookmarkStart w:id="878" w:name="_Toc6915"/>
      <w:bookmarkStart w:id="879" w:name="_Toc24903"/>
      <w:bookmarkStart w:id="880" w:name="_Toc9039"/>
      <w:bookmarkStart w:id="881" w:name="_Toc16134"/>
      <w:bookmarkStart w:id="882" w:name="_Toc27821"/>
      <w:bookmarkStart w:id="883" w:name="bookmark1165"/>
      <w:r>
        <w:rPr>
          <w:rFonts w:hint="eastAsia" w:ascii="宋体" w:hAnsi="宋体" w:cs="宋体"/>
          <w:color w:val="auto"/>
          <w:lang w:eastAsia="zh-CN"/>
        </w:rPr>
        <w:t>11. 开工和竣工（完工）</w:t>
      </w:r>
      <w:bookmarkEnd w:id="874"/>
      <w:bookmarkEnd w:id="875"/>
      <w:bookmarkEnd w:id="876"/>
      <w:bookmarkEnd w:id="877"/>
      <w:bookmarkEnd w:id="878"/>
      <w:bookmarkEnd w:id="879"/>
      <w:bookmarkEnd w:id="880"/>
      <w:bookmarkEnd w:id="881"/>
      <w:bookmarkEnd w:id="882"/>
      <w:bookmarkEnd w:id="883"/>
    </w:p>
    <w:p w14:paraId="5864E30F">
      <w:pPr>
        <w:pStyle w:val="101"/>
        <w:spacing w:before="0" w:after="0" w:line="360" w:lineRule="exact"/>
        <w:rPr>
          <w:rFonts w:ascii="宋体" w:hAnsi="宋体" w:cs="宋体"/>
          <w:color w:val="auto"/>
          <w:sz w:val="24"/>
          <w:szCs w:val="24"/>
          <w:lang w:eastAsia="zh-CN"/>
        </w:rPr>
      </w:pPr>
      <w:bookmarkStart w:id="884" w:name="_Toc24710"/>
      <w:bookmarkStart w:id="885" w:name="_Toc28930"/>
      <w:bookmarkStart w:id="886" w:name="_Toc21224"/>
      <w:bookmarkStart w:id="887" w:name="_Toc29308"/>
      <w:bookmarkStart w:id="888" w:name="_Toc16827"/>
      <w:bookmarkStart w:id="889" w:name="bookmark1169"/>
      <w:bookmarkStart w:id="890" w:name="bookmark1170"/>
      <w:bookmarkStart w:id="891" w:name="_Toc28780"/>
      <w:bookmarkStart w:id="892" w:name="_Toc23713"/>
      <w:bookmarkStart w:id="893" w:name="bookmark1168"/>
      <w:r>
        <w:rPr>
          <w:rFonts w:hint="eastAsia" w:ascii="宋体" w:hAnsi="宋体" w:cs="宋体"/>
          <w:color w:val="auto"/>
          <w:sz w:val="24"/>
          <w:szCs w:val="24"/>
          <w:lang w:eastAsia="zh-CN"/>
        </w:rPr>
        <w:t>11.1 开工</w:t>
      </w:r>
      <w:bookmarkEnd w:id="884"/>
      <w:bookmarkEnd w:id="885"/>
      <w:bookmarkEnd w:id="886"/>
      <w:bookmarkEnd w:id="887"/>
      <w:bookmarkEnd w:id="888"/>
      <w:bookmarkEnd w:id="889"/>
      <w:bookmarkEnd w:id="890"/>
      <w:bookmarkEnd w:id="891"/>
      <w:bookmarkEnd w:id="892"/>
      <w:bookmarkEnd w:id="893"/>
    </w:p>
    <w:p w14:paraId="33C25E2A">
      <w:pPr>
        <w:pStyle w:val="95"/>
        <w:spacing w:line="351" w:lineRule="exact"/>
        <w:ind w:firstLine="420"/>
        <w:jc w:val="both"/>
        <w:rPr>
          <w:color w:val="auto"/>
        </w:rPr>
      </w:pPr>
      <w:r>
        <w:rPr>
          <w:rFonts w:hint="eastAsia"/>
          <w:color w:val="auto"/>
          <w:lang w:val="en-US" w:bidi="en-US"/>
        </w:rPr>
        <w:t>11.1.1</w:t>
      </w:r>
      <w:r>
        <w:rPr>
          <w:rFonts w:hint="eastAsia"/>
          <w:color w:val="auto"/>
        </w:rPr>
        <w:t>监理人应在开工日期7天前向承包人发出开工通知。监理人在发出开工通知前应获得发包人同意。工期自监理人发出的开工通知中载明的开工日期起计算。承包人应在开工日期后尽快施工。</w:t>
      </w:r>
    </w:p>
    <w:p w14:paraId="1BC03E2D">
      <w:pPr>
        <w:pStyle w:val="95"/>
        <w:spacing w:line="351" w:lineRule="exact"/>
        <w:ind w:firstLine="420"/>
        <w:jc w:val="both"/>
        <w:rPr>
          <w:color w:val="auto"/>
        </w:rPr>
      </w:pPr>
      <w:r>
        <w:rPr>
          <w:rFonts w:hint="eastAsia"/>
          <w:color w:val="auto"/>
          <w:lang w:val="en-US" w:bidi="en-US"/>
        </w:rPr>
        <w:t>11.1.</w:t>
      </w:r>
      <w:r>
        <w:rPr>
          <w:rFonts w:hint="eastAsia"/>
          <w:color w:val="auto"/>
        </w:rPr>
        <w:t>2承包人应按第</w:t>
      </w:r>
      <w:r>
        <w:rPr>
          <w:rFonts w:hint="eastAsia"/>
          <w:color w:val="auto"/>
          <w:lang w:val="en-US" w:bidi="en-US"/>
        </w:rPr>
        <w:t>10.</w:t>
      </w:r>
      <w:r>
        <w:rPr>
          <w:rFonts w:hint="eastAsia"/>
          <w:color w:val="auto"/>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3822755">
      <w:pPr>
        <w:pStyle w:val="95"/>
        <w:spacing w:line="351" w:lineRule="exact"/>
        <w:ind w:firstLine="420"/>
        <w:jc w:val="both"/>
        <w:rPr>
          <w:color w:val="auto"/>
        </w:rPr>
      </w:pPr>
      <w:r>
        <w:rPr>
          <w:rFonts w:hint="eastAsia"/>
          <w:color w:val="auto"/>
          <w:lang w:val="en-US" w:bidi="en-US"/>
        </w:rPr>
        <w:t>11.1.3</w:t>
      </w:r>
      <w:r>
        <w:rPr>
          <w:rFonts w:hint="eastAsia"/>
          <w:color w:val="auto"/>
        </w:rPr>
        <w:t>若发包人未能按合同约定向承包人提供开工的必要条件，承包人有权要求延长工期。监理人应在收到承包人的书面要求后，按第</w:t>
      </w:r>
      <w:r>
        <w:rPr>
          <w:rFonts w:hint="eastAsia"/>
          <w:color w:val="auto"/>
          <w:lang w:val="en-US" w:bidi="en-US"/>
        </w:rPr>
        <w:t>3.</w:t>
      </w:r>
      <w:r>
        <w:rPr>
          <w:rFonts w:hint="eastAsia"/>
          <w:color w:val="auto"/>
        </w:rPr>
        <w:t>5款的约定，与合同双方商定或确定增加的费用和延长的工期。</w:t>
      </w:r>
    </w:p>
    <w:p w14:paraId="7742BAE9">
      <w:pPr>
        <w:pStyle w:val="95"/>
        <w:spacing w:line="351" w:lineRule="exact"/>
        <w:ind w:firstLine="420"/>
        <w:jc w:val="both"/>
        <w:rPr>
          <w:color w:val="auto"/>
        </w:rPr>
      </w:pPr>
      <w:r>
        <w:rPr>
          <w:rFonts w:hint="eastAsia"/>
          <w:color w:val="auto"/>
          <w:lang w:val="en-US" w:bidi="en-US"/>
        </w:rPr>
        <w:t>11.1.4</w:t>
      </w:r>
      <w:r>
        <w:rPr>
          <w:rFonts w:hint="eastAsia"/>
          <w:color w:val="auto"/>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5659A712">
      <w:pPr>
        <w:pStyle w:val="101"/>
        <w:spacing w:before="0" w:after="0" w:line="360" w:lineRule="exact"/>
        <w:rPr>
          <w:rFonts w:ascii="宋体" w:hAnsi="宋体" w:cs="宋体"/>
          <w:color w:val="auto"/>
          <w:sz w:val="24"/>
          <w:szCs w:val="24"/>
          <w:lang w:eastAsia="zh-CN"/>
        </w:rPr>
      </w:pPr>
      <w:bookmarkStart w:id="894" w:name="_Toc25694"/>
      <w:bookmarkStart w:id="895" w:name="_Toc19403"/>
      <w:bookmarkStart w:id="896" w:name="bookmark1172"/>
      <w:bookmarkStart w:id="897" w:name="_Toc22792"/>
      <w:bookmarkStart w:id="898" w:name="_Toc27862"/>
      <w:bookmarkStart w:id="899" w:name="_Toc29025"/>
      <w:bookmarkStart w:id="900" w:name="_Toc14053"/>
      <w:bookmarkStart w:id="901" w:name="bookmark1173"/>
      <w:bookmarkStart w:id="902" w:name="_Toc17686"/>
      <w:bookmarkStart w:id="903" w:name="bookmark1171"/>
      <w:r>
        <w:rPr>
          <w:rFonts w:hint="eastAsia" w:ascii="宋体" w:hAnsi="宋体" w:cs="宋体"/>
          <w:color w:val="auto"/>
          <w:sz w:val="24"/>
          <w:szCs w:val="24"/>
          <w:lang w:eastAsia="zh-CN"/>
        </w:rPr>
        <w:t>11.2竣工(完工)</w:t>
      </w:r>
      <w:bookmarkEnd w:id="894"/>
      <w:bookmarkEnd w:id="895"/>
      <w:bookmarkEnd w:id="896"/>
      <w:bookmarkEnd w:id="897"/>
      <w:bookmarkEnd w:id="898"/>
      <w:bookmarkEnd w:id="899"/>
      <w:bookmarkEnd w:id="900"/>
      <w:bookmarkEnd w:id="901"/>
      <w:bookmarkEnd w:id="902"/>
      <w:bookmarkEnd w:id="903"/>
    </w:p>
    <w:p w14:paraId="65200A24">
      <w:pPr>
        <w:pStyle w:val="95"/>
        <w:spacing w:line="366" w:lineRule="exact"/>
        <w:ind w:firstLine="440"/>
        <w:jc w:val="both"/>
        <w:rPr>
          <w:color w:val="auto"/>
        </w:rPr>
      </w:pPr>
      <w:r>
        <w:rPr>
          <w:rFonts w:hint="eastAsia"/>
          <w:color w:val="auto"/>
        </w:rPr>
        <w:t>承包人应在第</w:t>
      </w:r>
      <w:r>
        <w:rPr>
          <w:rFonts w:hint="eastAsia"/>
          <w:color w:val="auto"/>
          <w:lang w:val="en-US" w:bidi="en-US"/>
        </w:rPr>
        <w:t>1.1. 4.</w:t>
      </w:r>
      <w:r>
        <w:rPr>
          <w:rFonts w:hint="eastAsia"/>
          <w:color w:val="auto"/>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color w:val="auto"/>
          <w:lang w:val="en-US" w:bidi="en-US"/>
        </w:rPr>
        <w:t>。</w:t>
      </w:r>
    </w:p>
    <w:p w14:paraId="0287B727">
      <w:pPr>
        <w:pStyle w:val="101"/>
        <w:spacing w:before="0" w:after="0" w:line="360" w:lineRule="exact"/>
        <w:rPr>
          <w:rFonts w:ascii="宋体" w:hAnsi="宋体" w:cs="宋体"/>
          <w:color w:val="auto"/>
          <w:sz w:val="24"/>
          <w:szCs w:val="24"/>
          <w:lang w:eastAsia="zh-CN"/>
        </w:rPr>
      </w:pPr>
      <w:bookmarkStart w:id="904" w:name="_Toc7284"/>
      <w:bookmarkStart w:id="905" w:name="_Toc12554"/>
      <w:bookmarkStart w:id="906" w:name="_Toc22436"/>
      <w:bookmarkStart w:id="907" w:name="_Toc31193"/>
      <w:bookmarkStart w:id="908" w:name="bookmark1176"/>
      <w:bookmarkStart w:id="909" w:name="bookmark1175"/>
      <w:bookmarkStart w:id="910" w:name="_Toc32261"/>
      <w:bookmarkStart w:id="911" w:name="bookmark1174"/>
      <w:bookmarkStart w:id="912" w:name="_Toc3144"/>
      <w:bookmarkStart w:id="913" w:name="_Toc1391"/>
      <w:r>
        <w:rPr>
          <w:rFonts w:hint="eastAsia" w:ascii="宋体" w:hAnsi="宋体" w:cs="宋体"/>
          <w:color w:val="auto"/>
          <w:sz w:val="24"/>
          <w:szCs w:val="24"/>
          <w:lang w:eastAsia="zh-CN"/>
        </w:rPr>
        <w:t>11.3发包人的工期延误</w:t>
      </w:r>
      <w:bookmarkEnd w:id="904"/>
      <w:bookmarkEnd w:id="905"/>
      <w:bookmarkEnd w:id="906"/>
      <w:bookmarkEnd w:id="907"/>
      <w:bookmarkEnd w:id="908"/>
      <w:bookmarkEnd w:id="909"/>
      <w:bookmarkEnd w:id="910"/>
      <w:bookmarkEnd w:id="911"/>
      <w:bookmarkEnd w:id="912"/>
      <w:bookmarkEnd w:id="913"/>
    </w:p>
    <w:p w14:paraId="39F6D822">
      <w:pPr>
        <w:pStyle w:val="95"/>
        <w:spacing w:line="360" w:lineRule="exact"/>
        <w:ind w:firstLine="440"/>
        <w:jc w:val="both"/>
        <w:rPr>
          <w:color w:val="auto"/>
        </w:rPr>
      </w:pPr>
      <w:r>
        <w:rPr>
          <w:rFonts w:hint="eastAsia"/>
          <w:color w:val="auto"/>
        </w:rPr>
        <w:t>在履行合同过程中，由于发包人的下列原因造成工期延误的，承包人有权要求发包人延长工期和(或)增加费用，并支付合理利润。需要修订合同进度计划的，按照第</w:t>
      </w:r>
      <w:r>
        <w:rPr>
          <w:rFonts w:hint="eastAsia"/>
          <w:color w:val="auto"/>
          <w:lang w:val="en-US" w:bidi="en-US"/>
        </w:rPr>
        <w:t>10.</w:t>
      </w:r>
      <w:r>
        <w:rPr>
          <w:rFonts w:hint="eastAsia"/>
          <w:color w:val="auto"/>
        </w:rPr>
        <w:t>2款的约定办理。</w:t>
      </w:r>
    </w:p>
    <w:p w14:paraId="5747C00D">
      <w:pPr>
        <w:pStyle w:val="95"/>
        <w:numPr>
          <w:ilvl w:val="0"/>
          <w:numId w:val="8"/>
        </w:numPr>
        <w:tabs>
          <w:tab w:val="left" w:pos="923"/>
        </w:tabs>
        <w:spacing w:line="360" w:lineRule="exact"/>
        <w:ind w:firstLine="440"/>
        <w:jc w:val="both"/>
        <w:rPr>
          <w:color w:val="auto"/>
        </w:rPr>
      </w:pPr>
      <w:bookmarkStart w:id="914" w:name="bookmark1177"/>
      <w:bookmarkEnd w:id="914"/>
      <w:r>
        <w:rPr>
          <w:rFonts w:hint="eastAsia"/>
          <w:color w:val="auto"/>
        </w:rPr>
        <w:t>增加合同工作内容；</w:t>
      </w:r>
    </w:p>
    <w:p w14:paraId="6AE52D57">
      <w:pPr>
        <w:pStyle w:val="95"/>
        <w:numPr>
          <w:ilvl w:val="0"/>
          <w:numId w:val="8"/>
        </w:numPr>
        <w:tabs>
          <w:tab w:val="left" w:pos="903"/>
        </w:tabs>
        <w:spacing w:line="360" w:lineRule="exact"/>
        <w:ind w:firstLine="420"/>
        <w:rPr>
          <w:color w:val="auto"/>
        </w:rPr>
      </w:pPr>
      <w:bookmarkStart w:id="915" w:name="bookmark1178"/>
      <w:bookmarkEnd w:id="915"/>
      <w:r>
        <w:rPr>
          <w:rFonts w:hint="eastAsia"/>
          <w:color w:val="auto"/>
        </w:rPr>
        <w:t>改变合同中任何一项工作的质量要求或其他特性；</w:t>
      </w:r>
    </w:p>
    <w:p w14:paraId="09ACF7FF">
      <w:pPr>
        <w:pStyle w:val="95"/>
        <w:numPr>
          <w:ilvl w:val="0"/>
          <w:numId w:val="8"/>
        </w:numPr>
        <w:tabs>
          <w:tab w:val="left" w:pos="903"/>
        </w:tabs>
        <w:spacing w:line="360" w:lineRule="exact"/>
        <w:ind w:firstLine="420"/>
        <w:rPr>
          <w:color w:val="auto"/>
        </w:rPr>
      </w:pPr>
      <w:bookmarkStart w:id="916" w:name="bookmark1179"/>
      <w:bookmarkEnd w:id="916"/>
      <w:r>
        <w:rPr>
          <w:rFonts w:hint="eastAsia"/>
          <w:color w:val="auto"/>
        </w:rPr>
        <w:t>发包人迟延提供材料、工程设备或变更交货地点的；</w:t>
      </w:r>
    </w:p>
    <w:p w14:paraId="118D17A3">
      <w:pPr>
        <w:pStyle w:val="95"/>
        <w:numPr>
          <w:ilvl w:val="0"/>
          <w:numId w:val="8"/>
        </w:numPr>
        <w:tabs>
          <w:tab w:val="left" w:pos="903"/>
        </w:tabs>
        <w:spacing w:line="360" w:lineRule="exact"/>
        <w:ind w:firstLine="420"/>
        <w:rPr>
          <w:color w:val="auto"/>
        </w:rPr>
      </w:pPr>
      <w:bookmarkStart w:id="917" w:name="bookmark1180"/>
      <w:bookmarkEnd w:id="917"/>
      <w:r>
        <w:rPr>
          <w:rFonts w:hint="eastAsia"/>
          <w:color w:val="auto"/>
        </w:rPr>
        <w:t>因发包人原因导致的暂停施工；</w:t>
      </w:r>
    </w:p>
    <w:p w14:paraId="57D8BE0F">
      <w:pPr>
        <w:pStyle w:val="95"/>
        <w:numPr>
          <w:ilvl w:val="0"/>
          <w:numId w:val="8"/>
        </w:numPr>
        <w:tabs>
          <w:tab w:val="left" w:pos="903"/>
        </w:tabs>
        <w:spacing w:line="360" w:lineRule="exact"/>
        <w:ind w:firstLine="420"/>
        <w:rPr>
          <w:color w:val="auto"/>
        </w:rPr>
      </w:pPr>
      <w:bookmarkStart w:id="918" w:name="bookmark1181"/>
      <w:bookmarkEnd w:id="918"/>
      <w:r>
        <w:rPr>
          <w:rFonts w:hint="eastAsia"/>
          <w:color w:val="auto"/>
        </w:rPr>
        <w:t>提供图纸延误；</w:t>
      </w:r>
    </w:p>
    <w:p w14:paraId="7AA992E6">
      <w:pPr>
        <w:pStyle w:val="95"/>
        <w:numPr>
          <w:ilvl w:val="0"/>
          <w:numId w:val="8"/>
        </w:numPr>
        <w:tabs>
          <w:tab w:val="left" w:pos="903"/>
        </w:tabs>
        <w:spacing w:line="360" w:lineRule="exact"/>
        <w:ind w:firstLine="420"/>
        <w:rPr>
          <w:color w:val="auto"/>
        </w:rPr>
      </w:pPr>
      <w:bookmarkStart w:id="919" w:name="bookmark1182"/>
      <w:bookmarkEnd w:id="919"/>
      <w:r>
        <w:rPr>
          <w:rFonts w:hint="eastAsia"/>
          <w:color w:val="auto"/>
        </w:rPr>
        <w:t>未按合同约定及时支付预付款、进度款；</w:t>
      </w:r>
    </w:p>
    <w:p w14:paraId="4ED446C4">
      <w:pPr>
        <w:pStyle w:val="95"/>
        <w:numPr>
          <w:ilvl w:val="0"/>
          <w:numId w:val="8"/>
        </w:numPr>
        <w:tabs>
          <w:tab w:val="left" w:pos="903"/>
        </w:tabs>
        <w:spacing w:line="360" w:lineRule="exact"/>
        <w:ind w:firstLine="420"/>
        <w:rPr>
          <w:color w:val="auto"/>
        </w:rPr>
      </w:pPr>
      <w:bookmarkStart w:id="920" w:name="bookmark1183"/>
      <w:bookmarkEnd w:id="920"/>
      <w:r>
        <w:rPr>
          <w:rFonts w:hint="eastAsia"/>
          <w:color w:val="auto"/>
        </w:rPr>
        <w:t>发包人造成工期延误的其他原因。</w:t>
      </w:r>
    </w:p>
    <w:p w14:paraId="262D2631">
      <w:pPr>
        <w:pStyle w:val="101"/>
        <w:spacing w:before="0" w:after="0" w:line="360" w:lineRule="exact"/>
        <w:rPr>
          <w:rFonts w:ascii="宋体" w:hAnsi="宋体" w:cs="宋体"/>
          <w:color w:val="auto"/>
          <w:sz w:val="24"/>
          <w:szCs w:val="24"/>
          <w:lang w:eastAsia="zh-CN"/>
        </w:rPr>
      </w:pPr>
      <w:bookmarkStart w:id="921" w:name="_Toc25119"/>
      <w:bookmarkStart w:id="922" w:name="_Toc13685"/>
      <w:bookmarkStart w:id="923" w:name="_Toc16589"/>
      <w:bookmarkStart w:id="924" w:name="bookmark1186"/>
      <w:bookmarkStart w:id="925" w:name="_Toc23944"/>
      <w:bookmarkStart w:id="926" w:name="bookmark1185"/>
      <w:bookmarkStart w:id="927" w:name="_Toc14471"/>
      <w:bookmarkStart w:id="928" w:name="bookmark1184"/>
      <w:bookmarkStart w:id="929" w:name="_Toc10371"/>
      <w:bookmarkStart w:id="930" w:name="_Toc26714"/>
      <w:r>
        <w:rPr>
          <w:rFonts w:hint="eastAsia" w:ascii="宋体" w:hAnsi="宋体" w:cs="宋体"/>
          <w:color w:val="auto"/>
          <w:sz w:val="24"/>
          <w:szCs w:val="24"/>
          <w:lang w:eastAsia="zh-CN"/>
        </w:rPr>
        <w:t>11.4异常恶劣的气候条件</w:t>
      </w:r>
      <w:bookmarkEnd w:id="921"/>
      <w:bookmarkEnd w:id="922"/>
      <w:bookmarkEnd w:id="923"/>
      <w:bookmarkEnd w:id="924"/>
      <w:bookmarkEnd w:id="925"/>
      <w:bookmarkEnd w:id="926"/>
      <w:bookmarkEnd w:id="927"/>
      <w:bookmarkEnd w:id="928"/>
      <w:bookmarkEnd w:id="929"/>
      <w:bookmarkEnd w:id="930"/>
    </w:p>
    <w:p w14:paraId="4D90E4B1">
      <w:pPr>
        <w:pStyle w:val="95"/>
        <w:spacing w:line="368" w:lineRule="exact"/>
        <w:ind w:firstLine="440"/>
        <w:jc w:val="both"/>
        <w:rPr>
          <w:color w:val="auto"/>
        </w:rPr>
      </w:pPr>
      <w:r>
        <w:rPr>
          <w:rFonts w:hint="eastAsia"/>
          <w:color w:val="auto"/>
          <w:lang w:val="en-US" w:bidi="en-US"/>
        </w:rPr>
        <w:t>11.4.1</w:t>
      </w:r>
      <w:r>
        <w:rPr>
          <w:rFonts w:hint="eastAsia"/>
          <w:color w:val="auto"/>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1E26C718">
      <w:pPr>
        <w:pStyle w:val="95"/>
        <w:spacing w:line="360" w:lineRule="exact"/>
        <w:ind w:firstLine="440"/>
        <w:jc w:val="both"/>
        <w:rPr>
          <w:color w:val="auto"/>
        </w:rPr>
      </w:pPr>
      <w:r>
        <w:rPr>
          <w:rFonts w:hint="eastAsia"/>
          <w:color w:val="auto"/>
          <w:lang w:val="en-US" w:bidi="en-US"/>
        </w:rPr>
        <w:t>11.4.2</w:t>
      </w:r>
      <w:r>
        <w:rPr>
          <w:rFonts w:hint="eastAsia"/>
          <w:color w:val="auto"/>
        </w:rPr>
        <w:t>异常恶劣气候条件造成的工期延误和工程损坏，应由发包人与承包人参照本合同通用合同条款第</w:t>
      </w:r>
      <w:r>
        <w:rPr>
          <w:rFonts w:hint="eastAsia"/>
          <w:color w:val="auto"/>
          <w:lang w:val="en-US" w:bidi="en-US"/>
        </w:rPr>
        <w:t>21.</w:t>
      </w:r>
      <w:r>
        <w:rPr>
          <w:rFonts w:hint="eastAsia"/>
          <w:color w:val="auto"/>
        </w:rPr>
        <w:t>3款的约定共同协商处理。</w:t>
      </w:r>
    </w:p>
    <w:p w14:paraId="18F2A34F">
      <w:pPr>
        <w:pStyle w:val="95"/>
        <w:spacing w:line="377" w:lineRule="auto"/>
        <w:ind w:firstLine="420"/>
        <w:rPr>
          <w:color w:val="auto"/>
        </w:rPr>
      </w:pPr>
      <w:r>
        <w:rPr>
          <w:rFonts w:hint="eastAsia"/>
          <w:color w:val="auto"/>
          <w:lang w:val="en-US" w:bidi="en-US"/>
        </w:rPr>
        <w:t>11.4.</w:t>
      </w:r>
      <w:r>
        <w:rPr>
          <w:rFonts w:hint="eastAsia"/>
          <w:color w:val="auto"/>
        </w:rPr>
        <w:t>3本合同工程界定异常恶劣气候条件的范围在专用合同条款中约定。</w:t>
      </w:r>
    </w:p>
    <w:p w14:paraId="22442291">
      <w:pPr>
        <w:pStyle w:val="101"/>
        <w:spacing w:before="0" w:after="0" w:line="360" w:lineRule="exact"/>
        <w:rPr>
          <w:rFonts w:ascii="宋体" w:hAnsi="宋体" w:cs="宋体"/>
          <w:color w:val="auto"/>
          <w:sz w:val="24"/>
          <w:szCs w:val="24"/>
          <w:lang w:eastAsia="zh-CN"/>
        </w:rPr>
      </w:pPr>
      <w:bookmarkStart w:id="931" w:name="_Toc20434"/>
      <w:bookmarkStart w:id="932" w:name="bookmark1189"/>
      <w:bookmarkStart w:id="933" w:name="_Toc1075"/>
      <w:bookmarkStart w:id="934" w:name="_Toc28579"/>
      <w:bookmarkStart w:id="935" w:name="bookmark1187"/>
      <w:bookmarkStart w:id="936" w:name="_Toc22626"/>
      <w:bookmarkStart w:id="937" w:name="bookmark1188"/>
      <w:bookmarkStart w:id="938" w:name="_Toc16421"/>
      <w:bookmarkStart w:id="939" w:name="_Toc11791"/>
      <w:bookmarkStart w:id="940" w:name="_Toc22319"/>
      <w:r>
        <w:rPr>
          <w:rFonts w:hint="eastAsia" w:ascii="宋体" w:hAnsi="宋体" w:cs="宋体"/>
          <w:color w:val="auto"/>
          <w:sz w:val="24"/>
          <w:szCs w:val="24"/>
          <w:lang w:eastAsia="zh-CN"/>
        </w:rPr>
        <w:t>11.5承包人工期延误</w:t>
      </w:r>
      <w:bookmarkEnd w:id="931"/>
      <w:bookmarkEnd w:id="932"/>
      <w:bookmarkEnd w:id="933"/>
      <w:bookmarkEnd w:id="934"/>
      <w:bookmarkEnd w:id="935"/>
      <w:bookmarkEnd w:id="936"/>
      <w:bookmarkEnd w:id="937"/>
      <w:bookmarkEnd w:id="938"/>
      <w:bookmarkEnd w:id="939"/>
      <w:bookmarkEnd w:id="940"/>
    </w:p>
    <w:p w14:paraId="69CF45AB">
      <w:pPr>
        <w:pStyle w:val="95"/>
        <w:spacing w:line="359" w:lineRule="exact"/>
        <w:ind w:firstLine="440"/>
        <w:jc w:val="both"/>
        <w:rPr>
          <w:color w:val="auto"/>
        </w:rPr>
      </w:pPr>
      <w:r>
        <w:rPr>
          <w:rFonts w:hint="eastAsia"/>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40C9613">
      <w:pPr>
        <w:pStyle w:val="101"/>
        <w:spacing w:before="0" w:after="0" w:line="360" w:lineRule="exact"/>
        <w:rPr>
          <w:rFonts w:ascii="宋体" w:hAnsi="宋体" w:cs="宋体"/>
          <w:color w:val="auto"/>
          <w:sz w:val="24"/>
          <w:szCs w:val="24"/>
          <w:lang w:eastAsia="zh-CN"/>
        </w:rPr>
      </w:pPr>
      <w:bookmarkStart w:id="941" w:name="_Toc474"/>
      <w:bookmarkStart w:id="942" w:name="_Toc31320"/>
      <w:bookmarkStart w:id="943" w:name="_Toc25589"/>
      <w:bookmarkStart w:id="944" w:name="bookmark1191"/>
      <w:bookmarkStart w:id="945" w:name="_Toc14969"/>
      <w:bookmarkStart w:id="946" w:name="bookmark1192"/>
      <w:bookmarkStart w:id="947" w:name="_Toc6246"/>
      <w:bookmarkStart w:id="948" w:name="_Toc18783"/>
      <w:bookmarkStart w:id="949" w:name="bookmark1190"/>
      <w:bookmarkStart w:id="950" w:name="_Toc18572"/>
      <w:r>
        <w:rPr>
          <w:rFonts w:hint="eastAsia" w:ascii="宋体" w:hAnsi="宋体" w:cs="宋体"/>
          <w:color w:val="auto"/>
          <w:sz w:val="24"/>
          <w:szCs w:val="24"/>
          <w:lang w:eastAsia="zh-CN"/>
        </w:rPr>
        <w:t>11.6工期提前</w:t>
      </w:r>
      <w:bookmarkEnd w:id="941"/>
      <w:bookmarkEnd w:id="942"/>
      <w:bookmarkEnd w:id="943"/>
      <w:bookmarkEnd w:id="944"/>
      <w:bookmarkEnd w:id="945"/>
      <w:bookmarkEnd w:id="946"/>
      <w:bookmarkEnd w:id="947"/>
      <w:bookmarkEnd w:id="948"/>
      <w:bookmarkEnd w:id="949"/>
      <w:bookmarkEnd w:id="950"/>
    </w:p>
    <w:p w14:paraId="3C9FFABB">
      <w:pPr>
        <w:pStyle w:val="95"/>
        <w:spacing w:line="360" w:lineRule="exact"/>
        <w:ind w:firstLine="440"/>
        <w:jc w:val="both"/>
        <w:rPr>
          <w:color w:val="auto"/>
        </w:rPr>
      </w:pPr>
      <w:r>
        <w:rPr>
          <w:rFonts w:hint="eastAsia"/>
          <w:color w:va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03E79FA8">
      <w:pPr>
        <w:pStyle w:val="95"/>
        <w:spacing w:line="360" w:lineRule="exact"/>
        <w:ind w:firstLine="420"/>
        <w:rPr>
          <w:color w:val="auto"/>
        </w:rPr>
      </w:pPr>
      <w:r>
        <w:rPr>
          <w:rFonts w:hint="eastAsia"/>
          <w:color w:val="auto"/>
        </w:rPr>
        <w:t>发包人要求提前完工的，双方协商一致后应签订提前完工协议，协议内容包括：</w:t>
      </w:r>
    </w:p>
    <w:p w14:paraId="18165923">
      <w:pPr>
        <w:pStyle w:val="95"/>
        <w:numPr>
          <w:ilvl w:val="0"/>
          <w:numId w:val="9"/>
        </w:numPr>
        <w:tabs>
          <w:tab w:val="left" w:pos="903"/>
        </w:tabs>
        <w:spacing w:line="360" w:lineRule="exact"/>
        <w:ind w:firstLine="420"/>
        <w:rPr>
          <w:color w:val="auto"/>
        </w:rPr>
      </w:pPr>
      <w:bookmarkStart w:id="951" w:name="bookmark1193"/>
      <w:bookmarkEnd w:id="951"/>
      <w:r>
        <w:rPr>
          <w:rFonts w:hint="eastAsia"/>
          <w:color w:val="auto"/>
        </w:rPr>
        <w:t>提前的时间和修订后的进度计划。</w:t>
      </w:r>
    </w:p>
    <w:p w14:paraId="3BC87812">
      <w:pPr>
        <w:pStyle w:val="95"/>
        <w:numPr>
          <w:ilvl w:val="0"/>
          <w:numId w:val="9"/>
        </w:numPr>
        <w:tabs>
          <w:tab w:val="left" w:pos="903"/>
        </w:tabs>
        <w:spacing w:line="360" w:lineRule="exact"/>
        <w:ind w:firstLine="420"/>
        <w:rPr>
          <w:color w:val="auto"/>
        </w:rPr>
      </w:pPr>
      <w:bookmarkStart w:id="952" w:name="bookmark1194"/>
      <w:bookmarkEnd w:id="952"/>
      <w:r>
        <w:rPr>
          <w:rFonts w:hint="eastAsia"/>
          <w:color w:val="auto"/>
        </w:rPr>
        <w:t>承包人的赶工措施。</w:t>
      </w:r>
    </w:p>
    <w:p w14:paraId="3EFB553D">
      <w:pPr>
        <w:pStyle w:val="95"/>
        <w:numPr>
          <w:ilvl w:val="0"/>
          <w:numId w:val="9"/>
        </w:numPr>
        <w:tabs>
          <w:tab w:val="left" w:pos="923"/>
        </w:tabs>
        <w:spacing w:line="360" w:lineRule="exact"/>
        <w:ind w:firstLine="440"/>
        <w:rPr>
          <w:color w:val="auto"/>
        </w:rPr>
      </w:pPr>
      <w:r>
        <w:rPr>
          <w:rFonts w:hint="eastAsia"/>
          <w:color w:val="auto"/>
        </w:rPr>
        <w:t>发包人为赶工提供的条件。</w:t>
      </w:r>
    </w:p>
    <w:p w14:paraId="23C1CF52">
      <w:pPr>
        <w:pStyle w:val="95"/>
        <w:numPr>
          <w:ilvl w:val="0"/>
          <w:numId w:val="9"/>
        </w:numPr>
        <w:tabs>
          <w:tab w:val="left" w:pos="923"/>
        </w:tabs>
        <w:spacing w:line="360" w:lineRule="exact"/>
        <w:ind w:firstLine="440"/>
        <w:rPr>
          <w:color w:val="auto"/>
        </w:rPr>
      </w:pPr>
      <w:bookmarkStart w:id="953" w:name="bookmark1196"/>
      <w:bookmarkEnd w:id="953"/>
      <w:r>
        <w:rPr>
          <w:rFonts w:hint="eastAsia"/>
          <w:color w:val="auto"/>
        </w:rPr>
        <w:t>赶工费用(包括利润和奖金)</w:t>
      </w:r>
    </w:p>
    <w:p w14:paraId="2C394E32">
      <w:pPr>
        <w:pStyle w:val="101"/>
        <w:spacing w:before="0" w:after="0" w:line="360" w:lineRule="exact"/>
        <w:rPr>
          <w:rFonts w:ascii="宋体" w:hAnsi="宋体" w:cs="宋体"/>
          <w:color w:val="auto"/>
          <w:lang w:eastAsia="zh-CN"/>
        </w:rPr>
      </w:pPr>
      <w:bookmarkStart w:id="954" w:name="_Toc11729"/>
      <w:bookmarkStart w:id="955" w:name="_Toc28415"/>
      <w:bookmarkStart w:id="956" w:name="_Toc3335"/>
      <w:bookmarkStart w:id="957" w:name="_Toc12465"/>
      <w:bookmarkStart w:id="958" w:name="bookmark1197"/>
      <w:bookmarkStart w:id="959" w:name="_Toc9683"/>
      <w:bookmarkStart w:id="960" w:name="bookmark1198"/>
      <w:bookmarkStart w:id="961" w:name="_Toc2782"/>
      <w:bookmarkStart w:id="962" w:name="bookmark1199"/>
      <w:bookmarkStart w:id="963" w:name="_Toc8400"/>
      <w:r>
        <w:rPr>
          <w:rFonts w:hint="eastAsia" w:ascii="宋体" w:hAnsi="宋体" w:cs="宋体"/>
          <w:color w:val="auto"/>
          <w:lang w:eastAsia="zh-CN"/>
        </w:rPr>
        <w:t>12.暂停施工</w:t>
      </w:r>
      <w:bookmarkEnd w:id="954"/>
      <w:bookmarkEnd w:id="955"/>
      <w:bookmarkEnd w:id="956"/>
      <w:bookmarkEnd w:id="957"/>
      <w:bookmarkEnd w:id="958"/>
      <w:bookmarkEnd w:id="959"/>
      <w:bookmarkEnd w:id="960"/>
      <w:bookmarkEnd w:id="961"/>
      <w:bookmarkEnd w:id="962"/>
      <w:bookmarkEnd w:id="963"/>
    </w:p>
    <w:p w14:paraId="6EE96839">
      <w:pPr>
        <w:pStyle w:val="101"/>
        <w:spacing w:before="0" w:after="0" w:line="360" w:lineRule="exact"/>
        <w:rPr>
          <w:rFonts w:ascii="宋体" w:hAnsi="宋体" w:cs="宋体"/>
          <w:color w:val="auto"/>
          <w:sz w:val="24"/>
          <w:szCs w:val="24"/>
          <w:lang w:eastAsia="zh-CN"/>
        </w:rPr>
      </w:pPr>
      <w:bookmarkStart w:id="964" w:name="_Toc11440"/>
      <w:bookmarkStart w:id="965" w:name="_Toc29337"/>
      <w:bookmarkStart w:id="966" w:name="bookmark1201"/>
      <w:bookmarkStart w:id="967" w:name="_Toc28457"/>
      <w:bookmarkStart w:id="968" w:name="bookmark1200"/>
      <w:bookmarkStart w:id="969" w:name="_Toc9095"/>
      <w:bookmarkStart w:id="970" w:name="_Toc30892"/>
      <w:bookmarkStart w:id="971" w:name="_Toc26234"/>
      <w:bookmarkStart w:id="972" w:name="_Toc25279"/>
      <w:bookmarkStart w:id="973" w:name="bookmark1202"/>
      <w:r>
        <w:rPr>
          <w:rFonts w:hint="eastAsia" w:ascii="宋体" w:hAnsi="宋体" w:cs="宋体"/>
          <w:color w:val="auto"/>
          <w:sz w:val="24"/>
          <w:szCs w:val="24"/>
          <w:lang w:eastAsia="zh-CN"/>
        </w:rPr>
        <w:t>12.1承包人暂停施工的责任</w:t>
      </w:r>
      <w:bookmarkEnd w:id="964"/>
      <w:bookmarkEnd w:id="965"/>
      <w:bookmarkEnd w:id="966"/>
      <w:bookmarkEnd w:id="967"/>
      <w:bookmarkEnd w:id="968"/>
      <w:bookmarkEnd w:id="969"/>
      <w:bookmarkEnd w:id="970"/>
      <w:bookmarkEnd w:id="971"/>
      <w:bookmarkEnd w:id="972"/>
      <w:bookmarkEnd w:id="973"/>
    </w:p>
    <w:p w14:paraId="11E98774">
      <w:pPr>
        <w:pStyle w:val="95"/>
        <w:spacing w:line="360" w:lineRule="exact"/>
        <w:ind w:firstLine="442"/>
        <w:rPr>
          <w:color w:val="auto"/>
        </w:rPr>
      </w:pPr>
      <w:r>
        <w:rPr>
          <w:rFonts w:hint="eastAsia"/>
          <w:color w:val="auto"/>
        </w:rPr>
        <w:t>因下列暂停施工增加的费用和(或)工期延误由承包人承担：</w:t>
      </w:r>
    </w:p>
    <w:p w14:paraId="698FFB37">
      <w:pPr>
        <w:pStyle w:val="95"/>
        <w:numPr>
          <w:ilvl w:val="0"/>
          <w:numId w:val="10"/>
        </w:numPr>
        <w:tabs>
          <w:tab w:val="left" w:pos="923"/>
        </w:tabs>
        <w:spacing w:line="360" w:lineRule="exact"/>
        <w:ind w:firstLine="442"/>
        <w:rPr>
          <w:color w:val="auto"/>
        </w:rPr>
      </w:pPr>
      <w:bookmarkStart w:id="974" w:name="bookmark1203"/>
      <w:bookmarkEnd w:id="974"/>
      <w:r>
        <w:rPr>
          <w:rFonts w:hint="eastAsia"/>
          <w:color w:val="auto"/>
        </w:rPr>
        <w:t>承包人违约引起的暂停施工；</w:t>
      </w:r>
    </w:p>
    <w:p w14:paraId="3BE3B363">
      <w:pPr>
        <w:pStyle w:val="95"/>
        <w:numPr>
          <w:ilvl w:val="0"/>
          <w:numId w:val="10"/>
        </w:numPr>
        <w:tabs>
          <w:tab w:val="left" w:pos="923"/>
        </w:tabs>
        <w:spacing w:line="360" w:lineRule="exact"/>
        <w:ind w:firstLine="442"/>
        <w:rPr>
          <w:color w:val="auto"/>
        </w:rPr>
      </w:pPr>
      <w:bookmarkStart w:id="975" w:name="bookmark1204"/>
      <w:bookmarkEnd w:id="975"/>
      <w:r>
        <w:rPr>
          <w:rFonts w:hint="eastAsia"/>
          <w:color w:val="auto"/>
        </w:rPr>
        <w:t>由于承包人原因为工程合理施工和安全保障所必需的暂停施工；</w:t>
      </w:r>
    </w:p>
    <w:p w14:paraId="3DC5377C">
      <w:pPr>
        <w:pStyle w:val="95"/>
        <w:numPr>
          <w:ilvl w:val="0"/>
          <w:numId w:val="10"/>
        </w:numPr>
        <w:tabs>
          <w:tab w:val="left" w:pos="923"/>
        </w:tabs>
        <w:spacing w:line="360" w:lineRule="exact"/>
        <w:ind w:firstLine="442"/>
        <w:rPr>
          <w:color w:val="auto"/>
        </w:rPr>
      </w:pPr>
      <w:bookmarkStart w:id="976" w:name="bookmark1205"/>
      <w:bookmarkEnd w:id="976"/>
      <w:r>
        <w:rPr>
          <w:rFonts w:hint="eastAsia"/>
          <w:color w:val="auto"/>
        </w:rPr>
        <w:t>承包人擅自暂停施工；</w:t>
      </w:r>
    </w:p>
    <w:p w14:paraId="6C801F16">
      <w:pPr>
        <w:pStyle w:val="95"/>
        <w:numPr>
          <w:ilvl w:val="0"/>
          <w:numId w:val="10"/>
        </w:numPr>
        <w:tabs>
          <w:tab w:val="left" w:pos="923"/>
        </w:tabs>
        <w:spacing w:line="360" w:lineRule="exact"/>
        <w:ind w:firstLine="442"/>
        <w:rPr>
          <w:color w:val="auto"/>
        </w:rPr>
      </w:pPr>
      <w:bookmarkStart w:id="977" w:name="bookmark1206"/>
      <w:bookmarkEnd w:id="977"/>
      <w:r>
        <w:rPr>
          <w:rFonts w:hint="eastAsia"/>
          <w:color w:val="auto"/>
        </w:rPr>
        <w:t>承包人其他原因引起的暂停施工；</w:t>
      </w:r>
    </w:p>
    <w:p w14:paraId="4E7BA559">
      <w:pPr>
        <w:pStyle w:val="95"/>
        <w:numPr>
          <w:ilvl w:val="0"/>
          <w:numId w:val="10"/>
        </w:numPr>
        <w:tabs>
          <w:tab w:val="left" w:pos="923"/>
        </w:tabs>
        <w:spacing w:line="360" w:lineRule="exact"/>
        <w:ind w:firstLine="442"/>
        <w:rPr>
          <w:color w:val="auto"/>
        </w:rPr>
      </w:pPr>
      <w:bookmarkStart w:id="978" w:name="bookmark1207"/>
      <w:bookmarkEnd w:id="978"/>
      <w:r>
        <w:rPr>
          <w:rFonts w:hint="eastAsia"/>
          <w:color w:val="auto"/>
        </w:rPr>
        <w:t>专用合同条款约定由承包人承担的其他暂停施工。</w:t>
      </w:r>
    </w:p>
    <w:p w14:paraId="2F11543F">
      <w:pPr>
        <w:pStyle w:val="101"/>
        <w:spacing w:before="0" w:after="0" w:line="360" w:lineRule="exact"/>
        <w:rPr>
          <w:rFonts w:ascii="宋体" w:hAnsi="宋体" w:cs="宋体"/>
          <w:color w:val="auto"/>
          <w:sz w:val="24"/>
          <w:szCs w:val="24"/>
          <w:lang w:eastAsia="zh-CN"/>
        </w:rPr>
      </w:pPr>
      <w:bookmarkStart w:id="979" w:name="_Toc19655"/>
      <w:bookmarkStart w:id="980" w:name="_Toc21186"/>
      <w:bookmarkStart w:id="981" w:name="_Toc1123"/>
      <w:bookmarkStart w:id="982" w:name="_Toc3478"/>
      <w:bookmarkStart w:id="983" w:name="bookmark1210"/>
      <w:bookmarkStart w:id="984" w:name="bookmark1208"/>
      <w:bookmarkStart w:id="985" w:name="_Toc7719"/>
      <w:bookmarkStart w:id="986" w:name="_Toc18103"/>
      <w:bookmarkStart w:id="987" w:name="bookmark1209"/>
      <w:bookmarkStart w:id="988" w:name="_Toc16980"/>
      <w:r>
        <w:rPr>
          <w:rFonts w:hint="eastAsia" w:ascii="宋体" w:hAnsi="宋体" w:cs="宋体"/>
          <w:color w:val="auto"/>
          <w:sz w:val="24"/>
          <w:szCs w:val="24"/>
          <w:lang w:eastAsia="zh-CN"/>
        </w:rPr>
        <w:t>12.2发包人暂停施工的责任</w:t>
      </w:r>
      <w:bookmarkEnd w:id="979"/>
      <w:bookmarkEnd w:id="980"/>
      <w:bookmarkEnd w:id="981"/>
      <w:bookmarkEnd w:id="982"/>
      <w:bookmarkEnd w:id="983"/>
      <w:bookmarkEnd w:id="984"/>
      <w:bookmarkEnd w:id="985"/>
      <w:bookmarkEnd w:id="986"/>
      <w:bookmarkEnd w:id="987"/>
      <w:bookmarkEnd w:id="988"/>
    </w:p>
    <w:p w14:paraId="14848AE9">
      <w:pPr>
        <w:pStyle w:val="95"/>
        <w:spacing w:line="360" w:lineRule="exact"/>
        <w:ind w:firstLine="442"/>
        <w:jc w:val="both"/>
        <w:rPr>
          <w:color w:val="auto"/>
        </w:rPr>
      </w:pPr>
      <w:r>
        <w:rPr>
          <w:rFonts w:hint="eastAsia"/>
          <w:color w:val="auto"/>
        </w:rPr>
        <w:t>由于发包人原因引起的暂停施工造成工期延误的，承包人有权要求发包人延长工期和 (或)增加费用，并支付合理利润。属于下列任何一种情况引起的暂停施工，均为发包人的责任：</w:t>
      </w:r>
    </w:p>
    <w:p w14:paraId="0514403F">
      <w:pPr>
        <w:pStyle w:val="95"/>
        <w:numPr>
          <w:ilvl w:val="0"/>
          <w:numId w:val="11"/>
        </w:numPr>
        <w:tabs>
          <w:tab w:val="left" w:pos="923"/>
        </w:tabs>
        <w:spacing w:line="360" w:lineRule="exact"/>
        <w:ind w:firstLine="442"/>
        <w:jc w:val="both"/>
        <w:rPr>
          <w:color w:val="auto"/>
        </w:rPr>
      </w:pPr>
      <w:bookmarkStart w:id="989" w:name="bookmark1211"/>
      <w:bookmarkEnd w:id="989"/>
      <w:r>
        <w:rPr>
          <w:rFonts w:hint="eastAsia"/>
          <w:color w:val="auto"/>
        </w:rPr>
        <w:t>由于发包人违约引起的暂停施工。</w:t>
      </w:r>
    </w:p>
    <w:p w14:paraId="0B7E4DCA">
      <w:pPr>
        <w:pStyle w:val="95"/>
        <w:numPr>
          <w:ilvl w:val="0"/>
          <w:numId w:val="11"/>
        </w:numPr>
        <w:tabs>
          <w:tab w:val="left" w:pos="923"/>
        </w:tabs>
        <w:spacing w:line="360" w:lineRule="exact"/>
        <w:ind w:firstLine="442"/>
        <w:rPr>
          <w:color w:val="auto"/>
        </w:rPr>
      </w:pPr>
      <w:bookmarkStart w:id="990" w:name="bookmark1212"/>
      <w:bookmarkEnd w:id="990"/>
      <w:r>
        <w:rPr>
          <w:rFonts w:hint="eastAsia"/>
          <w:color w:val="auto"/>
        </w:rPr>
        <w:t>由于不可抗力的自然或社会因素引起的暂停施工。</w:t>
      </w:r>
    </w:p>
    <w:p w14:paraId="101FDDBB">
      <w:pPr>
        <w:pStyle w:val="95"/>
        <w:numPr>
          <w:ilvl w:val="0"/>
          <w:numId w:val="11"/>
        </w:numPr>
        <w:tabs>
          <w:tab w:val="left" w:pos="923"/>
        </w:tabs>
        <w:spacing w:line="360" w:lineRule="exact"/>
        <w:ind w:firstLine="442"/>
        <w:rPr>
          <w:color w:val="auto"/>
        </w:rPr>
      </w:pPr>
      <w:bookmarkStart w:id="991" w:name="bookmark1213"/>
      <w:bookmarkEnd w:id="991"/>
      <w:r>
        <w:rPr>
          <w:rFonts w:hint="eastAsia"/>
          <w:color w:val="auto"/>
        </w:rPr>
        <w:t>专用合同条款中约定的其它由于发包人原因引起的暂停施工。</w:t>
      </w:r>
    </w:p>
    <w:p w14:paraId="2C298E03">
      <w:pPr>
        <w:pStyle w:val="101"/>
        <w:spacing w:before="0" w:after="0" w:line="360" w:lineRule="exact"/>
        <w:rPr>
          <w:rFonts w:ascii="宋体" w:hAnsi="宋体" w:cs="宋体"/>
          <w:color w:val="auto"/>
          <w:sz w:val="24"/>
          <w:szCs w:val="24"/>
          <w:lang w:eastAsia="zh-CN"/>
        </w:rPr>
      </w:pPr>
      <w:bookmarkStart w:id="992" w:name="bookmark1215"/>
      <w:bookmarkStart w:id="993" w:name="_Toc31503"/>
      <w:bookmarkStart w:id="994" w:name="_Toc4901"/>
      <w:bookmarkStart w:id="995" w:name="_Toc3566"/>
      <w:bookmarkStart w:id="996" w:name="bookmark1214"/>
      <w:bookmarkStart w:id="997" w:name="_Toc15099"/>
      <w:bookmarkStart w:id="998" w:name="_Toc15086"/>
      <w:bookmarkStart w:id="999" w:name="_Toc5536"/>
      <w:bookmarkStart w:id="1000" w:name="_Toc16874"/>
      <w:bookmarkStart w:id="1001" w:name="bookmark1216"/>
      <w:r>
        <w:rPr>
          <w:rFonts w:hint="eastAsia" w:ascii="宋体" w:hAnsi="宋体" w:cs="宋体"/>
          <w:color w:val="auto"/>
          <w:sz w:val="24"/>
          <w:szCs w:val="24"/>
          <w:lang w:eastAsia="zh-CN"/>
        </w:rPr>
        <w:t>12.3监理人暂停施工指示</w:t>
      </w:r>
      <w:bookmarkEnd w:id="992"/>
      <w:bookmarkEnd w:id="993"/>
      <w:bookmarkEnd w:id="994"/>
      <w:bookmarkEnd w:id="995"/>
      <w:bookmarkEnd w:id="996"/>
      <w:bookmarkEnd w:id="997"/>
      <w:bookmarkEnd w:id="998"/>
      <w:bookmarkEnd w:id="999"/>
      <w:bookmarkEnd w:id="1000"/>
      <w:bookmarkEnd w:id="1001"/>
    </w:p>
    <w:p w14:paraId="10E578FF">
      <w:pPr>
        <w:pStyle w:val="95"/>
        <w:spacing w:line="359" w:lineRule="exact"/>
        <w:ind w:firstLine="440"/>
        <w:jc w:val="both"/>
        <w:rPr>
          <w:color w:val="auto"/>
        </w:rPr>
      </w:pPr>
      <w:r>
        <w:rPr>
          <w:rFonts w:hint="eastAsia"/>
          <w:color w:val="auto"/>
          <w:lang w:val="en-US" w:bidi="en-US"/>
        </w:rPr>
        <w:t>12.3.1</w:t>
      </w:r>
      <w:r>
        <w:rPr>
          <w:rFonts w:hint="eastAsia"/>
          <w:color w:val="auto"/>
        </w:rPr>
        <w:t>监理人认为有必要时，可向承包人作出暂停施工的指示，承包人应按监理人指示暂停施工。不论由于何种原因引起的暂停施工，暂停施工期间承包人应负责妥善保护工程并提供安全保障。</w:t>
      </w:r>
    </w:p>
    <w:p w14:paraId="3DFEB3B3">
      <w:pPr>
        <w:pStyle w:val="95"/>
        <w:spacing w:line="359" w:lineRule="exact"/>
        <w:ind w:firstLine="440"/>
        <w:jc w:val="both"/>
        <w:rPr>
          <w:color w:val="auto"/>
        </w:rPr>
      </w:pPr>
      <w:r>
        <w:rPr>
          <w:rFonts w:hint="eastAsia"/>
          <w:color w:val="auto"/>
          <w:lang w:val="en-US" w:bidi="en-US"/>
        </w:rPr>
        <w:t>12.3.2</w:t>
      </w:r>
      <w:r>
        <w:rPr>
          <w:rFonts w:hint="eastAsia"/>
          <w:color w:val="auto"/>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16C45DB">
      <w:pPr>
        <w:pStyle w:val="101"/>
        <w:spacing w:before="0" w:after="0" w:line="360" w:lineRule="exact"/>
        <w:rPr>
          <w:rFonts w:ascii="宋体" w:hAnsi="宋体" w:cs="宋体"/>
          <w:color w:val="auto"/>
          <w:sz w:val="24"/>
          <w:szCs w:val="24"/>
          <w:lang w:eastAsia="zh-CN"/>
        </w:rPr>
      </w:pPr>
      <w:bookmarkStart w:id="1002" w:name="_Toc1146"/>
      <w:bookmarkStart w:id="1003" w:name="bookmark1219"/>
      <w:bookmarkStart w:id="1004" w:name="_Toc164"/>
      <w:bookmarkStart w:id="1005" w:name="_Toc14048"/>
      <w:bookmarkStart w:id="1006" w:name="_Toc7679"/>
      <w:bookmarkStart w:id="1007" w:name="_Toc19848"/>
      <w:bookmarkStart w:id="1008" w:name="bookmark1217"/>
      <w:bookmarkStart w:id="1009" w:name="_Toc27786"/>
      <w:bookmarkStart w:id="1010" w:name="_Toc5658"/>
      <w:bookmarkStart w:id="1011" w:name="bookmark1218"/>
      <w:r>
        <w:rPr>
          <w:rFonts w:hint="eastAsia" w:ascii="宋体" w:hAnsi="宋体" w:cs="宋体"/>
          <w:color w:val="auto"/>
          <w:sz w:val="24"/>
          <w:szCs w:val="24"/>
          <w:lang w:eastAsia="zh-CN"/>
        </w:rPr>
        <w:t>12.4暂停施工后的复工</w:t>
      </w:r>
      <w:bookmarkEnd w:id="1002"/>
      <w:bookmarkEnd w:id="1003"/>
      <w:bookmarkEnd w:id="1004"/>
      <w:bookmarkEnd w:id="1005"/>
      <w:bookmarkEnd w:id="1006"/>
      <w:bookmarkEnd w:id="1007"/>
      <w:bookmarkEnd w:id="1008"/>
      <w:bookmarkEnd w:id="1009"/>
      <w:bookmarkEnd w:id="1010"/>
      <w:bookmarkEnd w:id="1011"/>
    </w:p>
    <w:p w14:paraId="15784AF1">
      <w:pPr>
        <w:pStyle w:val="95"/>
        <w:spacing w:line="359" w:lineRule="exact"/>
        <w:ind w:firstLine="440"/>
        <w:jc w:val="both"/>
        <w:rPr>
          <w:color w:val="auto"/>
        </w:rPr>
      </w:pPr>
      <w:bookmarkStart w:id="1012" w:name="bookmark1220"/>
      <w:bookmarkEnd w:id="1012"/>
      <w:r>
        <w:rPr>
          <w:rFonts w:hint="eastAsia"/>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B268774">
      <w:pPr>
        <w:pStyle w:val="95"/>
        <w:spacing w:line="359" w:lineRule="exact"/>
        <w:ind w:firstLine="440"/>
        <w:jc w:val="both"/>
        <w:rPr>
          <w:color w:val="auto"/>
        </w:rPr>
      </w:pPr>
      <w:bookmarkStart w:id="1013" w:name="bookmark1221"/>
      <w:bookmarkEnd w:id="1013"/>
      <w:r>
        <w:rPr>
          <w:rFonts w:hint="eastAsia"/>
          <w:color w:val="auto"/>
        </w:rPr>
        <w:t>12</w:t>
      </w:r>
      <w:r>
        <w:rPr>
          <w:rFonts w:hint="eastAsia"/>
          <w:color w:val="auto"/>
          <w:lang w:val="en-US"/>
        </w:rPr>
        <w:t>.4.</w:t>
      </w:r>
      <w:r>
        <w:rPr>
          <w:rFonts w:hint="eastAsia"/>
          <w:color w:val="auto"/>
        </w:rPr>
        <w:t>2承包人无故拖延和拒绝复工的，由此增加的费用和工期延误由承包人承担；因发包人原因无法按时复工的，承包人有权要求发包人延长工期和(或)增加费用，并支付合理利润。</w:t>
      </w:r>
    </w:p>
    <w:p w14:paraId="7005F7B9">
      <w:pPr>
        <w:pStyle w:val="101"/>
        <w:spacing w:before="0" w:after="0" w:line="360" w:lineRule="exact"/>
        <w:rPr>
          <w:rFonts w:ascii="宋体" w:hAnsi="宋体" w:cs="宋体"/>
          <w:color w:val="auto"/>
          <w:sz w:val="24"/>
          <w:szCs w:val="24"/>
          <w:lang w:eastAsia="zh-CN"/>
        </w:rPr>
      </w:pPr>
      <w:bookmarkStart w:id="1014" w:name="bookmark1195"/>
      <w:bookmarkEnd w:id="1014"/>
      <w:bookmarkStart w:id="1015" w:name="bookmark1223"/>
      <w:bookmarkStart w:id="1016" w:name="bookmark1224"/>
      <w:bookmarkStart w:id="1017" w:name="_Toc6811"/>
      <w:bookmarkStart w:id="1018" w:name="_Toc24348"/>
      <w:bookmarkStart w:id="1019" w:name="_Toc31636"/>
      <w:bookmarkStart w:id="1020" w:name="bookmark1222"/>
      <w:bookmarkStart w:id="1021" w:name="_Toc4067"/>
      <w:bookmarkStart w:id="1022" w:name="_Toc24826"/>
      <w:bookmarkStart w:id="1023" w:name="_Toc28754"/>
      <w:bookmarkStart w:id="1024" w:name="_Toc23965"/>
      <w:r>
        <w:rPr>
          <w:rFonts w:hint="eastAsia" w:ascii="宋体" w:hAnsi="宋体" w:cs="宋体"/>
          <w:color w:val="auto"/>
          <w:sz w:val="24"/>
          <w:szCs w:val="24"/>
          <w:lang w:eastAsia="zh-CN"/>
        </w:rPr>
        <w:t>12.5暂停施工持续56天以上</w:t>
      </w:r>
      <w:bookmarkEnd w:id="1015"/>
      <w:bookmarkEnd w:id="1016"/>
      <w:bookmarkEnd w:id="1017"/>
      <w:bookmarkEnd w:id="1018"/>
      <w:bookmarkEnd w:id="1019"/>
      <w:bookmarkEnd w:id="1020"/>
      <w:bookmarkEnd w:id="1021"/>
      <w:bookmarkEnd w:id="1022"/>
      <w:bookmarkEnd w:id="1023"/>
      <w:bookmarkEnd w:id="1024"/>
    </w:p>
    <w:p w14:paraId="4DB6A060">
      <w:pPr>
        <w:pStyle w:val="95"/>
        <w:spacing w:line="365" w:lineRule="exact"/>
        <w:ind w:firstLine="440"/>
        <w:jc w:val="both"/>
        <w:rPr>
          <w:color w:val="auto"/>
        </w:rPr>
      </w:pPr>
      <w:r>
        <w:rPr>
          <w:rFonts w:hint="eastAsia"/>
          <w:color w:val="auto"/>
          <w:lang w:val="en-US" w:bidi="en-US"/>
        </w:rPr>
        <w:t>12.5.1</w:t>
      </w:r>
      <w:r>
        <w:rPr>
          <w:rFonts w:hint="eastAsia"/>
          <w:color w:val="auto"/>
        </w:rPr>
        <w:t>监理人发出暂停施工指示后56天内未向承包人发出复工通知，除了该项停工属于第</w:t>
      </w:r>
      <w:r>
        <w:rPr>
          <w:rFonts w:hint="eastAsia"/>
          <w:color w:val="auto"/>
          <w:lang w:val="en-US" w:bidi="en-US"/>
        </w:rPr>
        <w:t>12.1</w:t>
      </w:r>
      <w:r>
        <w:rPr>
          <w:rFonts w:hint="eastAsia"/>
          <w:color w:val="auto"/>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color w:val="auto"/>
          <w:lang w:val="en-US" w:bidi="en-US"/>
        </w:rPr>
        <w:t>15.1</w:t>
      </w:r>
      <w:r>
        <w:rPr>
          <w:rFonts w:hint="eastAsia"/>
          <w:color w:val="auto"/>
        </w:rPr>
        <w:t>(1)项的可取消工作。如暂停 施工影响到整个工程，可视为发包人违约，应按第</w:t>
      </w:r>
      <w:r>
        <w:rPr>
          <w:rFonts w:hint="eastAsia"/>
          <w:color w:val="auto"/>
          <w:lang w:val="en-US" w:bidi="en-US"/>
        </w:rPr>
        <w:t>22.</w:t>
      </w:r>
      <w:r>
        <w:rPr>
          <w:rFonts w:hint="eastAsia"/>
          <w:color w:val="auto"/>
        </w:rPr>
        <w:t>2款的约定办理。</w:t>
      </w:r>
    </w:p>
    <w:p w14:paraId="7AAD03A0">
      <w:pPr>
        <w:pStyle w:val="95"/>
        <w:spacing w:line="370" w:lineRule="exact"/>
        <w:ind w:firstLine="440"/>
        <w:jc w:val="both"/>
        <w:rPr>
          <w:color w:val="auto"/>
        </w:rPr>
      </w:pPr>
      <w:r>
        <w:rPr>
          <w:rFonts w:hint="eastAsia"/>
          <w:color w:val="auto"/>
          <w:lang w:val="en-US" w:bidi="en-US"/>
        </w:rPr>
        <w:t>12.5.2</w:t>
      </w:r>
      <w:r>
        <w:rPr>
          <w:rFonts w:hint="eastAsia"/>
          <w:color w:val="auto"/>
        </w:rPr>
        <w:t>由于承包人责任引起的暂停施工，如承包人在收到监理人暂停施工指示后56天内不认真采取有效的复工措施，造成工期延误，可视为承包人违约，应按第</w:t>
      </w:r>
      <w:r>
        <w:rPr>
          <w:rFonts w:hint="eastAsia"/>
          <w:color w:val="auto"/>
          <w:lang w:val="en-US" w:bidi="en-US"/>
        </w:rPr>
        <w:t>22.1</w:t>
      </w:r>
      <w:r>
        <w:rPr>
          <w:rFonts w:hint="eastAsia"/>
          <w:color w:val="auto"/>
        </w:rPr>
        <w:t>款的约定办理。</w:t>
      </w:r>
    </w:p>
    <w:p w14:paraId="2794CF9F">
      <w:pPr>
        <w:pStyle w:val="101"/>
        <w:spacing w:before="0" w:after="0" w:line="360" w:lineRule="exact"/>
        <w:rPr>
          <w:rFonts w:ascii="宋体" w:hAnsi="宋体" w:cs="宋体"/>
          <w:color w:val="auto"/>
          <w:lang w:eastAsia="zh-CN"/>
        </w:rPr>
      </w:pPr>
      <w:bookmarkStart w:id="1025" w:name="bookmark1227"/>
      <w:bookmarkStart w:id="1026" w:name="_Toc10322"/>
      <w:bookmarkStart w:id="1027" w:name="bookmark1226"/>
      <w:bookmarkStart w:id="1028" w:name="_Toc21375"/>
      <w:bookmarkStart w:id="1029" w:name="_Toc10954"/>
      <w:bookmarkStart w:id="1030" w:name="bookmark1225"/>
      <w:bookmarkStart w:id="1031" w:name="_Toc6946"/>
      <w:bookmarkStart w:id="1032" w:name="_Toc18900"/>
      <w:bookmarkStart w:id="1033" w:name="_Toc26168"/>
      <w:bookmarkStart w:id="1034" w:name="_Toc891"/>
      <w:r>
        <w:rPr>
          <w:rFonts w:hint="eastAsia" w:ascii="宋体" w:hAnsi="宋体" w:cs="宋体"/>
          <w:color w:val="auto"/>
          <w:lang w:eastAsia="zh-CN"/>
        </w:rPr>
        <w:t>13.工程质量</w:t>
      </w:r>
      <w:bookmarkEnd w:id="1025"/>
      <w:bookmarkEnd w:id="1026"/>
      <w:bookmarkEnd w:id="1027"/>
      <w:bookmarkEnd w:id="1028"/>
      <w:bookmarkEnd w:id="1029"/>
      <w:bookmarkEnd w:id="1030"/>
      <w:bookmarkEnd w:id="1031"/>
      <w:bookmarkEnd w:id="1032"/>
      <w:bookmarkEnd w:id="1033"/>
      <w:bookmarkEnd w:id="1034"/>
    </w:p>
    <w:p w14:paraId="5E7A58F0">
      <w:pPr>
        <w:pStyle w:val="101"/>
        <w:spacing w:before="0" w:after="0" w:line="360" w:lineRule="exact"/>
        <w:rPr>
          <w:rFonts w:ascii="宋体" w:hAnsi="宋体" w:cs="宋体"/>
          <w:color w:val="auto"/>
          <w:sz w:val="24"/>
          <w:szCs w:val="24"/>
          <w:lang w:eastAsia="zh-CN"/>
        </w:rPr>
      </w:pPr>
      <w:bookmarkStart w:id="1035" w:name="_Toc16230"/>
      <w:bookmarkStart w:id="1036" w:name="_Toc17065"/>
      <w:bookmarkStart w:id="1037" w:name="bookmark1228"/>
      <w:bookmarkStart w:id="1038" w:name="bookmark1230"/>
      <w:bookmarkStart w:id="1039" w:name="bookmark1229"/>
      <w:bookmarkStart w:id="1040" w:name="_Toc11707"/>
      <w:bookmarkStart w:id="1041" w:name="_Toc22625"/>
      <w:bookmarkStart w:id="1042" w:name="_Toc9064"/>
      <w:bookmarkStart w:id="1043" w:name="_Toc19924"/>
      <w:bookmarkStart w:id="1044" w:name="_Toc25521"/>
      <w:r>
        <w:rPr>
          <w:rFonts w:hint="eastAsia" w:ascii="宋体" w:hAnsi="宋体" w:cs="宋体"/>
          <w:color w:val="auto"/>
          <w:sz w:val="24"/>
          <w:szCs w:val="24"/>
          <w:lang w:eastAsia="zh-CN"/>
        </w:rPr>
        <w:t>13.1工程质量要求</w:t>
      </w:r>
      <w:bookmarkEnd w:id="1035"/>
      <w:bookmarkEnd w:id="1036"/>
      <w:bookmarkEnd w:id="1037"/>
      <w:bookmarkEnd w:id="1038"/>
      <w:bookmarkEnd w:id="1039"/>
      <w:bookmarkEnd w:id="1040"/>
      <w:bookmarkEnd w:id="1041"/>
      <w:bookmarkEnd w:id="1042"/>
      <w:bookmarkEnd w:id="1043"/>
      <w:bookmarkEnd w:id="1044"/>
    </w:p>
    <w:p w14:paraId="527BCED0">
      <w:pPr>
        <w:pStyle w:val="95"/>
        <w:tabs>
          <w:tab w:val="left" w:pos="820"/>
        </w:tabs>
        <w:spacing w:line="374" w:lineRule="exact"/>
        <w:ind w:left="420" w:firstLine="0"/>
        <w:jc w:val="both"/>
        <w:rPr>
          <w:color w:val="auto"/>
        </w:rPr>
      </w:pPr>
      <w:bookmarkStart w:id="1045" w:name="bookmark1231"/>
      <w:bookmarkEnd w:id="1045"/>
      <w:r>
        <w:rPr>
          <w:rFonts w:hint="eastAsia"/>
          <w:color w:val="auto"/>
          <w:lang w:val="en-US" w:bidi="en-US"/>
        </w:rPr>
        <w:t>13.1.</w:t>
      </w:r>
      <w:r>
        <w:rPr>
          <w:rFonts w:hint="eastAsia"/>
          <w:color w:val="auto"/>
        </w:rPr>
        <w:t>1工程质量验收按合同约定验收标准执行。</w:t>
      </w:r>
    </w:p>
    <w:p w14:paraId="3D09A9C7">
      <w:pPr>
        <w:pStyle w:val="95"/>
        <w:spacing w:line="374" w:lineRule="exact"/>
        <w:ind w:firstLine="440"/>
        <w:jc w:val="both"/>
        <w:rPr>
          <w:color w:val="auto"/>
        </w:rPr>
      </w:pPr>
      <w:r>
        <w:rPr>
          <w:rFonts w:hint="eastAsia"/>
          <w:color w:val="auto"/>
          <w:lang w:val="en-US" w:bidi="en-US"/>
        </w:rPr>
        <w:t>13.1.2</w:t>
      </w:r>
      <w:r>
        <w:rPr>
          <w:rFonts w:hint="eastAsia"/>
          <w:color w:val="auto"/>
        </w:rPr>
        <w:t>因承包人原因造成工程质量达不到合同约定验收标准的，监理人有权要求承包人返工直至符合合同要求为止，由此造成的费用增加和（或）工期延误由承包人承担。</w:t>
      </w:r>
    </w:p>
    <w:p w14:paraId="6BBE24B2">
      <w:pPr>
        <w:pStyle w:val="95"/>
        <w:spacing w:line="370" w:lineRule="exact"/>
        <w:ind w:firstLine="440"/>
        <w:jc w:val="both"/>
        <w:rPr>
          <w:color w:val="auto"/>
        </w:rPr>
      </w:pPr>
      <w:r>
        <w:rPr>
          <w:rFonts w:hint="eastAsia"/>
          <w:color w:val="auto"/>
          <w:lang w:val="en-US" w:bidi="en-US"/>
        </w:rPr>
        <w:t>13.1.3</w:t>
      </w:r>
      <w:r>
        <w:rPr>
          <w:rFonts w:hint="eastAsia"/>
          <w:color w:val="auto"/>
        </w:rPr>
        <w:t>因发包人原因造成工程质量达不到合同约定验收标准的，发包人应承担由于承包人返工造成的费用增加和（或）工期延误，并支付承包人合理利润。</w:t>
      </w:r>
    </w:p>
    <w:p w14:paraId="220BA18D">
      <w:pPr>
        <w:pStyle w:val="101"/>
        <w:spacing w:before="0" w:after="0" w:line="360" w:lineRule="exact"/>
        <w:rPr>
          <w:rFonts w:ascii="宋体" w:hAnsi="宋体" w:cs="宋体"/>
          <w:color w:val="auto"/>
          <w:sz w:val="24"/>
          <w:szCs w:val="24"/>
          <w:lang w:eastAsia="zh-CN"/>
        </w:rPr>
      </w:pPr>
      <w:bookmarkStart w:id="1046" w:name="bookmark1234"/>
      <w:bookmarkStart w:id="1047" w:name="_Toc15245"/>
      <w:bookmarkStart w:id="1048" w:name="_Toc4852"/>
      <w:bookmarkStart w:id="1049" w:name="_Toc9424"/>
      <w:bookmarkStart w:id="1050" w:name="_Toc27721"/>
      <w:bookmarkStart w:id="1051" w:name="_Toc31323"/>
      <w:bookmarkStart w:id="1052" w:name="_Toc6308"/>
      <w:bookmarkStart w:id="1053" w:name="_Toc30469"/>
      <w:bookmarkStart w:id="1054" w:name="bookmark1233"/>
      <w:bookmarkStart w:id="1055" w:name="bookmark1232"/>
      <w:r>
        <w:rPr>
          <w:rFonts w:hint="eastAsia" w:ascii="宋体" w:hAnsi="宋体" w:cs="宋体"/>
          <w:color w:val="auto"/>
          <w:sz w:val="24"/>
          <w:szCs w:val="24"/>
          <w:lang w:eastAsia="zh-CN"/>
        </w:rPr>
        <w:t>13.2承包人的质量管理</w:t>
      </w:r>
      <w:bookmarkEnd w:id="1046"/>
      <w:bookmarkEnd w:id="1047"/>
      <w:bookmarkEnd w:id="1048"/>
      <w:bookmarkEnd w:id="1049"/>
      <w:bookmarkEnd w:id="1050"/>
      <w:bookmarkEnd w:id="1051"/>
      <w:bookmarkEnd w:id="1052"/>
      <w:bookmarkEnd w:id="1053"/>
      <w:bookmarkEnd w:id="1054"/>
      <w:bookmarkEnd w:id="1055"/>
    </w:p>
    <w:p w14:paraId="7038F667">
      <w:pPr>
        <w:pStyle w:val="95"/>
        <w:spacing w:line="361" w:lineRule="exact"/>
        <w:ind w:firstLine="440"/>
        <w:jc w:val="both"/>
        <w:rPr>
          <w:color w:val="auto"/>
        </w:rPr>
      </w:pPr>
      <w:r>
        <w:rPr>
          <w:rFonts w:hint="eastAsia"/>
          <w:color w:val="auto"/>
          <w:lang w:val="en-US" w:bidi="en-US"/>
        </w:rPr>
        <w:t>13.2.1</w:t>
      </w:r>
      <w:r>
        <w:rPr>
          <w:rFonts w:hint="eastAsia"/>
          <w:color w:val="auto"/>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733BD4B1">
      <w:pPr>
        <w:pStyle w:val="95"/>
        <w:spacing w:line="361" w:lineRule="exact"/>
        <w:ind w:firstLine="440"/>
        <w:jc w:val="both"/>
        <w:rPr>
          <w:color w:val="auto"/>
        </w:rPr>
      </w:pPr>
      <w:bookmarkStart w:id="1056" w:name="bookmark1235"/>
      <w:bookmarkEnd w:id="1056"/>
      <w:r>
        <w:rPr>
          <w:rFonts w:hint="eastAsia"/>
          <w:color w:val="auto"/>
        </w:rPr>
        <w:t>13.2. 2承包人应加强对施工人员的质量教育和技术培训，定期考核施工人员的劳动技能，严格执行规范和操作规程。</w:t>
      </w:r>
    </w:p>
    <w:p w14:paraId="7B567592">
      <w:pPr>
        <w:pStyle w:val="101"/>
        <w:spacing w:before="0" w:after="0" w:line="360" w:lineRule="exact"/>
        <w:rPr>
          <w:rFonts w:ascii="宋体" w:hAnsi="宋体" w:cs="宋体"/>
          <w:color w:val="auto"/>
          <w:sz w:val="24"/>
          <w:szCs w:val="24"/>
          <w:lang w:eastAsia="zh-CN"/>
        </w:rPr>
      </w:pPr>
      <w:bookmarkStart w:id="1057" w:name="bookmark1238"/>
      <w:bookmarkStart w:id="1058" w:name="_Toc6998"/>
      <w:bookmarkStart w:id="1059" w:name="_Toc30087"/>
      <w:bookmarkStart w:id="1060" w:name="bookmark1237"/>
      <w:bookmarkStart w:id="1061" w:name="bookmark1236"/>
      <w:bookmarkStart w:id="1062" w:name="_Toc19429"/>
      <w:bookmarkStart w:id="1063" w:name="_Toc27201"/>
      <w:bookmarkStart w:id="1064" w:name="_Toc1664"/>
      <w:bookmarkStart w:id="1065" w:name="_Toc25853"/>
      <w:bookmarkStart w:id="1066" w:name="_Toc27102"/>
      <w:r>
        <w:rPr>
          <w:rFonts w:hint="eastAsia" w:ascii="宋体" w:hAnsi="宋体" w:cs="宋体"/>
          <w:color w:val="auto"/>
          <w:sz w:val="24"/>
          <w:szCs w:val="24"/>
          <w:lang w:eastAsia="zh-CN"/>
        </w:rPr>
        <w:t>13.3承包人的质量检查</w:t>
      </w:r>
      <w:bookmarkEnd w:id="1057"/>
      <w:bookmarkEnd w:id="1058"/>
      <w:bookmarkEnd w:id="1059"/>
      <w:bookmarkEnd w:id="1060"/>
      <w:bookmarkEnd w:id="1061"/>
      <w:bookmarkEnd w:id="1062"/>
      <w:bookmarkEnd w:id="1063"/>
      <w:bookmarkEnd w:id="1064"/>
      <w:bookmarkEnd w:id="1065"/>
      <w:bookmarkEnd w:id="1066"/>
    </w:p>
    <w:p w14:paraId="6953CF83">
      <w:pPr>
        <w:pStyle w:val="95"/>
        <w:spacing w:line="362" w:lineRule="exact"/>
        <w:ind w:firstLine="440"/>
        <w:jc w:val="both"/>
        <w:rPr>
          <w:color w:val="auto"/>
        </w:rPr>
      </w:pPr>
      <w:r>
        <w:rPr>
          <w:rFonts w:hint="eastAsia"/>
          <w:color w:val="auto"/>
        </w:rPr>
        <w:t>承包人应按合同约定对材料、工程设备以及工程的所有部位及其施工工艺进行全过程的质量检查和检验，并作详细记录，编制工程质量报表，报送监理人审查。</w:t>
      </w:r>
    </w:p>
    <w:p w14:paraId="1ACB4287">
      <w:pPr>
        <w:pStyle w:val="101"/>
        <w:spacing w:before="0" w:after="0" w:line="360" w:lineRule="exact"/>
        <w:rPr>
          <w:rFonts w:ascii="宋体" w:hAnsi="宋体" w:cs="宋体"/>
          <w:color w:val="auto"/>
          <w:sz w:val="24"/>
          <w:szCs w:val="24"/>
          <w:lang w:eastAsia="zh-CN"/>
        </w:rPr>
      </w:pPr>
      <w:bookmarkStart w:id="1067" w:name="_Toc26103"/>
      <w:bookmarkStart w:id="1068" w:name="_Toc13648"/>
      <w:bookmarkStart w:id="1069" w:name="bookmark1239"/>
      <w:bookmarkStart w:id="1070" w:name="_Toc14410"/>
      <w:bookmarkStart w:id="1071" w:name="bookmark1240"/>
      <w:bookmarkStart w:id="1072" w:name="_Toc30720"/>
      <w:bookmarkStart w:id="1073" w:name="_Toc2087"/>
      <w:bookmarkStart w:id="1074" w:name="bookmark1241"/>
      <w:bookmarkStart w:id="1075" w:name="_Toc14508"/>
      <w:bookmarkStart w:id="1076" w:name="_Toc30829"/>
      <w:r>
        <w:rPr>
          <w:rFonts w:hint="eastAsia" w:ascii="宋体" w:hAnsi="宋体" w:cs="宋体"/>
          <w:color w:val="auto"/>
          <w:sz w:val="24"/>
          <w:szCs w:val="24"/>
          <w:lang w:eastAsia="zh-CN"/>
        </w:rPr>
        <w:t>13.4监理人的质量检查</w:t>
      </w:r>
      <w:bookmarkEnd w:id="1067"/>
      <w:bookmarkEnd w:id="1068"/>
      <w:bookmarkEnd w:id="1069"/>
      <w:bookmarkEnd w:id="1070"/>
      <w:bookmarkEnd w:id="1071"/>
      <w:bookmarkEnd w:id="1072"/>
      <w:bookmarkEnd w:id="1073"/>
      <w:bookmarkEnd w:id="1074"/>
      <w:bookmarkEnd w:id="1075"/>
      <w:bookmarkEnd w:id="1076"/>
    </w:p>
    <w:p w14:paraId="4778011B">
      <w:pPr>
        <w:pStyle w:val="95"/>
        <w:spacing w:line="359" w:lineRule="exact"/>
        <w:ind w:firstLine="440"/>
        <w:jc w:val="both"/>
        <w:rPr>
          <w:color w:val="auto"/>
        </w:rPr>
      </w:pPr>
      <w:r>
        <w:rPr>
          <w:rFonts w:hint="eastAsia"/>
          <w:color w:va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4C80B81">
      <w:pPr>
        <w:pStyle w:val="101"/>
        <w:spacing w:before="0" w:after="0" w:line="360" w:lineRule="exact"/>
        <w:rPr>
          <w:rFonts w:ascii="宋体" w:hAnsi="宋体" w:cs="宋体"/>
          <w:color w:val="auto"/>
          <w:sz w:val="24"/>
          <w:szCs w:val="24"/>
          <w:lang w:eastAsia="zh-CN"/>
        </w:rPr>
      </w:pPr>
      <w:bookmarkStart w:id="1077" w:name="_Toc30255"/>
      <w:bookmarkStart w:id="1078" w:name="_Toc28595"/>
      <w:bookmarkStart w:id="1079" w:name="bookmark1244"/>
      <w:bookmarkStart w:id="1080" w:name="_Toc26786"/>
      <w:bookmarkStart w:id="1081" w:name="_Toc16458"/>
      <w:bookmarkStart w:id="1082" w:name="_Toc4239"/>
      <w:bookmarkStart w:id="1083" w:name="_Toc6542"/>
      <w:bookmarkStart w:id="1084" w:name="bookmark1243"/>
      <w:bookmarkStart w:id="1085" w:name="bookmark1242"/>
      <w:bookmarkStart w:id="1086" w:name="_Toc9244"/>
      <w:r>
        <w:rPr>
          <w:rFonts w:hint="eastAsia" w:ascii="宋体" w:hAnsi="宋体" w:cs="宋体"/>
          <w:color w:val="auto"/>
          <w:sz w:val="24"/>
          <w:szCs w:val="24"/>
          <w:lang w:eastAsia="zh-CN"/>
        </w:rPr>
        <w:t>13.5工程隐蔽部位覆盖前的检查</w:t>
      </w:r>
      <w:bookmarkEnd w:id="1077"/>
      <w:bookmarkEnd w:id="1078"/>
      <w:bookmarkEnd w:id="1079"/>
      <w:bookmarkEnd w:id="1080"/>
      <w:bookmarkEnd w:id="1081"/>
      <w:bookmarkEnd w:id="1082"/>
      <w:bookmarkEnd w:id="1083"/>
      <w:bookmarkEnd w:id="1084"/>
      <w:bookmarkEnd w:id="1085"/>
      <w:bookmarkEnd w:id="1086"/>
    </w:p>
    <w:p w14:paraId="35A14C4C">
      <w:pPr>
        <w:pStyle w:val="95"/>
        <w:tabs>
          <w:tab w:val="left" w:pos="840"/>
        </w:tabs>
        <w:spacing w:line="360" w:lineRule="exact"/>
        <w:ind w:firstLineChars="200"/>
        <w:jc w:val="both"/>
        <w:rPr>
          <w:color w:val="auto"/>
        </w:rPr>
      </w:pPr>
      <w:bookmarkStart w:id="1087" w:name="bookmark1245"/>
      <w:bookmarkEnd w:id="1087"/>
      <w:r>
        <w:rPr>
          <w:rFonts w:hint="eastAsia"/>
          <w:color w:val="auto"/>
          <w:lang w:val="en-US" w:bidi="en-US"/>
        </w:rPr>
        <w:t>13.5.</w:t>
      </w:r>
      <w:r>
        <w:rPr>
          <w:rFonts w:hint="eastAsia"/>
          <w:color w:val="auto"/>
        </w:rPr>
        <w:t>1通知监理人检查</w:t>
      </w:r>
    </w:p>
    <w:p w14:paraId="1D7F269F">
      <w:pPr>
        <w:pStyle w:val="95"/>
        <w:spacing w:line="360" w:lineRule="exact"/>
        <w:ind w:firstLine="440"/>
        <w:jc w:val="both"/>
        <w:rPr>
          <w:color w:val="auto"/>
        </w:rPr>
      </w:pPr>
      <w:r>
        <w:rPr>
          <w:rFonts w:hint="eastAsia"/>
          <w:color w:val="auto"/>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DD285C5">
      <w:pPr>
        <w:pStyle w:val="95"/>
        <w:spacing w:line="360" w:lineRule="exact"/>
        <w:ind w:firstLine="440"/>
        <w:jc w:val="both"/>
        <w:rPr>
          <w:color w:val="auto"/>
        </w:rPr>
      </w:pPr>
      <w:r>
        <w:rPr>
          <w:rFonts w:hint="eastAsia"/>
          <w:color w:val="auto"/>
          <w:lang w:val="en-US" w:bidi="en-US"/>
        </w:rPr>
        <w:t>13.5.2</w:t>
      </w:r>
      <w:r>
        <w:rPr>
          <w:rFonts w:hint="eastAsia"/>
          <w:color w:val="auto"/>
        </w:rPr>
        <w:t>监理人未到场检查</w:t>
      </w:r>
    </w:p>
    <w:p w14:paraId="558DAA82">
      <w:pPr>
        <w:pStyle w:val="95"/>
        <w:spacing w:line="360" w:lineRule="exact"/>
        <w:ind w:firstLine="440"/>
        <w:jc w:val="both"/>
        <w:rPr>
          <w:color w:val="auto"/>
        </w:rPr>
      </w:pPr>
      <w:r>
        <w:rPr>
          <w:rFonts w:hint="eastAsia"/>
          <w:color w:val="auto"/>
        </w:rPr>
        <w:t>监理人未按第</w:t>
      </w:r>
      <w:r>
        <w:rPr>
          <w:rFonts w:hint="eastAsia"/>
          <w:color w:val="auto"/>
          <w:lang w:val="en-US" w:bidi="en-US"/>
        </w:rPr>
        <w:t>13.5.1</w:t>
      </w:r>
      <w:r>
        <w:rPr>
          <w:rFonts w:hint="eastAsia"/>
          <w:color w:val="auto"/>
        </w:rPr>
        <w:t>项约定的时间进行检查的，除监理人另有指示外，承包人可自行完成覆盖工作，并作相应记录报送监理人，监理人应签字确认。监理人事后对检查记录有疑问的，可按第</w:t>
      </w:r>
      <w:r>
        <w:rPr>
          <w:rFonts w:hint="eastAsia"/>
          <w:color w:val="auto"/>
          <w:lang w:val="en-US" w:bidi="en-US"/>
        </w:rPr>
        <w:t>13.5.3</w:t>
      </w:r>
      <w:r>
        <w:rPr>
          <w:rFonts w:hint="eastAsia"/>
          <w:color w:val="auto"/>
        </w:rPr>
        <w:t>项的约定重新检查。</w:t>
      </w:r>
    </w:p>
    <w:p w14:paraId="6E76AEFC">
      <w:pPr>
        <w:pStyle w:val="95"/>
        <w:spacing w:line="360" w:lineRule="exact"/>
        <w:ind w:firstLine="440"/>
        <w:jc w:val="both"/>
        <w:rPr>
          <w:color w:val="auto"/>
        </w:rPr>
      </w:pPr>
      <w:r>
        <w:rPr>
          <w:rFonts w:hint="eastAsia"/>
          <w:color w:val="auto"/>
          <w:lang w:val="en-US" w:bidi="en-US"/>
        </w:rPr>
        <w:t>13.5.3</w:t>
      </w:r>
      <w:r>
        <w:rPr>
          <w:rFonts w:hint="eastAsia"/>
          <w:color w:val="auto"/>
        </w:rPr>
        <w:t>监理人重新检查</w:t>
      </w:r>
    </w:p>
    <w:p w14:paraId="03BE6924">
      <w:pPr>
        <w:pStyle w:val="95"/>
        <w:spacing w:line="360" w:lineRule="exact"/>
        <w:ind w:firstLine="440"/>
        <w:jc w:val="both"/>
        <w:rPr>
          <w:color w:val="auto"/>
        </w:rPr>
      </w:pPr>
      <w:r>
        <w:rPr>
          <w:rFonts w:hint="eastAsia"/>
          <w:color w:val="auto"/>
        </w:rPr>
        <w:t>承包人按第</w:t>
      </w:r>
      <w:r>
        <w:rPr>
          <w:rFonts w:hint="eastAsia"/>
          <w:color w:val="auto"/>
          <w:lang w:val="en-US" w:bidi="en-US"/>
        </w:rPr>
        <w:t>13.5.</w:t>
      </w:r>
      <w:r>
        <w:rPr>
          <w:rFonts w:hint="eastAsia"/>
          <w:color w:val="auto"/>
        </w:rPr>
        <w:t>1项或第</w:t>
      </w:r>
      <w:r>
        <w:rPr>
          <w:rFonts w:hint="eastAsia"/>
          <w:color w:val="auto"/>
          <w:lang w:val="en-US" w:bidi="en-US"/>
        </w:rPr>
        <w:t>13.5.</w:t>
      </w:r>
      <w:r>
        <w:rPr>
          <w:rFonts w:hint="eastAsia"/>
          <w:color w:val="auto"/>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68E4103">
      <w:pPr>
        <w:pStyle w:val="95"/>
        <w:spacing w:line="355" w:lineRule="exact"/>
        <w:ind w:firstLine="440"/>
        <w:jc w:val="both"/>
        <w:rPr>
          <w:color w:val="auto"/>
        </w:rPr>
      </w:pPr>
      <w:r>
        <w:rPr>
          <w:rFonts w:hint="eastAsia"/>
          <w:color w:val="auto"/>
          <w:lang w:val="en-US" w:bidi="en-US"/>
        </w:rPr>
        <w:t>13.5.4</w:t>
      </w:r>
      <w:r>
        <w:rPr>
          <w:rFonts w:hint="eastAsia"/>
          <w:color w:val="auto"/>
        </w:rPr>
        <w:t>承包人私自覆盖</w:t>
      </w:r>
    </w:p>
    <w:p w14:paraId="7DE46F3C">
      <w:pPr>
        <w:pStyle w:val="95"/>
        <w:spacing w:line="355" w:lineRule="exact"/>
        <w:ind w:firstLine="440"/>
        <w:jc w:val="both"/>
        <w:rPr>
          <w:color w:val="auto"/>
        </w:rPr>
      </w:pPr>
      <w:r>
        <w:rPr>
          <w:rFonts w:hint="eastAsia"/>
          <w:color w:val="auto"/>
        </w:rPr>
        <w:t>承包人未通知监理人到场检查，私自将工程隐蔽部位覆盖的，监理人有权指示承包人钻孔探测或揭开检查，由此增加的费用和（或）工期延误由承包人承担。</w:t>
      </w:r>
    </w:p>
    <w:p w14:paraId="56D04A2C">
      <w:pPr>
        <w:pStyle w:val="101"/>
        <w:spacing w:before="0" w:after="0" w:line="360" w:lineRule="exact"/>
        <w:rPr>
          <w:rFonts w:ascii="宋体" w:hAnsi="宋体" w:cs="宋体"/>
          <w:color w:val="auto"/>
          <w:sz w:val="24"/>
          <w:szCs w:val="24"/>
          <w:lang w:eastAsia="zh-CN"/>
        </w:rPr>
      </w:pPr>
      <w:bookmarkStart w:id="1088" w:name="bookmark1247"/>
      <w:bookmarkStart w:id="1089" w:name="bookmark1248"/>
      <w:bookmarkStart w:id="1090" w:name="_Toc30138"/>
      <w:bookmarkStart w:id="1091" w:name="_Toc17861"/>
      <w:bookmarkStart w:id="1092" w:name="_Toc12807"/>
      <w:bookmarkStart w:id="1093" w:name="_Toc25799"/>
      <w:bookmarkStart w:id="1094" w:name="_Toc29853"/>
      <w:bookmarkStart w:id="1095" w:name="_Toc21538"/>
      <w:bookmarkStart w:id="1096" w:name="bookmark1246"/>
      <w:bookmarkStart w:id="1097" w:name="_Toc31851"/>
      <w:r>
        <w:rPr>
          <w:rFonts w:hint="eastAsia" w:ascii="宋体" w:hAnsi="宋体" w:cs="宋体"/>
          <w:color w:val="auto"/>
          <w:sz w:val="24"/>
          <w:szCs w:val="24"/>
          <w:lang w:eastAsia="zh-CN"/>
        </w:rPr>
        <w:t>13.6清除不合格工程</w:t>
      </w:r>
      <w:bookmarkEnd w:id="1088"/>
      <w:bookmarkEnd w:id="1089"/>
      <w:bookmarkEnd w:id="1090"/>
      <w:bookmarkEnd w:id="1091"/>
      <w:bookmarkEnd w:id="1092"/>
      <w:bookmarkEnd w:id="1093"/>
      <w:bookmarkEnd w:id="1094"/>
      <w:bookmarkEnd w:id="1095"/>
      <w:bookmarkEnd w:id="1096"/>
      <w:bookmarkEnd w:id="1097"/>
    </w:p>
    <w:p w14:paraId="4B39ED55">
      <w:pPr>
        <w:pStyle w:val="95"/>
        <w:spacing w:line="362" w:lineRule="exact"/>
        <w:ind w:firstLine="440"/>
        <w:jc w:val="both"/>
        <w:rPr>
          <w:color w:val="auto"/>
        </w:rPr>
      </w:pPr>
      <w:r>
        <w:rPr>
          <w:rFonts w:hint="eastAsia"/>
          <w:color w:val="auto"/>
          <w:lang w:val="en-US" w:bidi="en-US"/>
        </w:rPr>
        <w:t>13.6.1</w:t>
      </w:r>
      <w:r>
        <w:rPr>
          <w:rFonts w:hint="eastAsia"/>
          <w:color w:val="auto"/>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027D5E30">
      <w:pPr>
        <w:pStyle w:val="95"/>
        <w:spacing w:line="383" w:lineRule="exact"/>
        <w:ind w:firstLine="440"/>
        <w:jc w:val="both"/>
        <w:rPr>
          <w:color w:val="auto"/>
        </w:rPr>
      </w:pPr>
      <w:r>
        <w:rPr>
          <w:rFonts w:hint="eastAsia"/>
          <w:color w:val="auto"/>
          <w:lang w:val="en-US" w:bidi="en-US"/>
        </w:rPr>
        <w:t>13.6.2</w:t>
      </w:r>
      <w:r>
        <w:rPr>
          <w:rFonts w:hint="eastAsia"/>
          <w:color w:val="auto"/>
        </w:rPr>
        <w:t>由于发包人提供的材料或工程设备不合格造成的工程不合格，需要承包人采取措施补救的，发包人应承担由此增加的费用和（或）工期延误，并支付承包人合理利润。</w:t>
      </w:r>
    </w:p>
    <w:p w14:paraId="24FAE732">
      <w:pPr>
        <w:pStyle w:val="101"/>
        <w:spacing w:before="0" w:after="0" w:line="360" w:lineRule="exact"/>
        <w:rPr>
          <w:rFonts w:ascii="宋体" w:hAnsi="宋体" w:cs="宋体"/>
          <w:color w:val="auto"/>
          <w:sz w:val="24"/>
          <w:szCs w:val="24"/>
          <w:lang w:eastAsia="zh-CN"/>
        </w:rPr>
      </w:pPr>
      <w:bookmarkStart w:id="1098" w:name="_Toc29699"/>
      <w:bookmarkStart w:id="1099" w:name="_Toc3708"/>
      <w:bookmarkStart w:id="1100" w:name="_Toc31279"/>
      <w:bookmarkStart w:id="1101" w:name="_Toc13625"/>
      <w:bookmarkStart w:id="1102" w:name="_Toc18750"/>
      <w:bookmarkStart w:id="1103" w:name="_Toc23949"/>
      <w:bookmarkStart w:id="1104" w:name="_Toc14095"/>
      <w:r>
        <w:rPr>
          <w:rFonts w:hint="eastAsia" w:ascii="宋体" w:hAnsi="宋体" w:cs="宋体"/>
          <w:color w:val="auto"/>
          <w:sz w:val="24"/>
          <w:szCs w:val="24"/>
          <w:lang w:eastAsia="zh-CN"/>
        </w:rPr>
        <w:t>13.7质量评定</w:t>
      </w:r>
      <w:bookmarkEnd w:id="1098"/>
      <w:bookmarkEnd w:id="1099"/>
      <w:bookmarkEnd w:id="1100"/>
      <w:bookmarkEnd w:id="1101"/>
      <w:bookmarkEnd w:id="1102"/>
      <w:bookmarkEnd w:id="1103"/>
      <w:bookmarkEnd w:id="1104"/>
    </w:p>
    <w:p w14:paraId="4CC3288A">
      <w:pPr>
        <w:pStyle w:val="95"/>
        <w:spacing w:line="372" w:lineRule="exact"/>
        <w:ind w:firstLine="440"/>
        <w:jc w:val="both"/>
        <w:rPr>
          <w:color w:val="auto"/>
        </w:rPr>
      </w:pPr>
      <w:r>
        <w:rPr>
          <w:rFonts w:hint="eastAsia"/>
          <w:color w:val="auto"/>
          <w:lang w:val="en-US" w:bidi="en-US"/>
        </w:rPr>
        <w:t>13.7.1</w:t>
      </w:r>
      <w:r>
        <w:rPr>
          <w:rFonts w:hint="eastAsia"/>
          <w:color w:val="auto"/>
        </w:rPr>
        <w:t>发包人应组织承包人进行工程项目划分，并确定单位工程、主要分部工程、重要隐蔽单元工程和关键部位单元工程。</w:t>
      </w:r>
    </w:p>
    <w:p w14:paraId="31FFDF48">
      <w:pPr>
        <w:pStyle w:val="95"/>
        <w:spacing w:line="362" w:lineRule="exact"/>
        <w:ind w:firstLine="440"/>
        <w:jc w:val="both"/>
        <w:rPr>
          <w:color w:val="auto"/>
        </w:rPr>
      </w:pPr>
      <w:r>
        <w:rPr>
          <w:rFonts w:hint="eastAsia"/>
          <w:color w:val="auto"/>
          <w:lang w:val="en-US" w:bidi="en-US"/>
        </w:rPr>
        <w:t>13.7.2</w:t>
      </w:r>
      <w:r>
        <w:rPr>
          <w:rFonts w:hint="eastAsia"/>
          <w:color w:val="auto"/>
        </w:rPr>
        <w:t>工程实施过程中，单位工程、主要分部工程、重要隐蔽单元工程和关键部位单元工程的项目划分需要调整时，承包人应报发包人确认。</w:t>
      </w:r>
    </w:p>
    <w:p w14:paraId="59F694E5">
      <w:pPr>
        <w:pStyle w:val="95"/>
        <w:spacing w:line="365" w:lineRule="exact"/>
        <w:ind w:firstLine="440"/>
        <w:jc w:val="both"/>
        <w:rPr>
          <w:color w:val="auto"/>
        </w:rPr>
      </w:pPr>
      <w:r>
        <w:rPr>
          <w:rFonts w:hint="eastAsia"/>
          <w:color w:val="auto"/>
          <w:lang w:val="en-US" w:bidi="en-US"/>
        </w:rPr>
        <w:t>13.7.3</w:t>
      </w:r>
      <w:r>
        <w:rPr>
          <w:rFonts w:hint="eastAsia"/>
          <w:color w:val="auto"/>
        </w:rPr>
        <w:t>承包人应在单元（工序）工程质量自评合格后，报监理人核定质量等级并签证认可。</w:t>
      </w:r>
    </w:p>
    <w:p w14:paraId="7B66CA2D">
      <w:pPr>
        <w:pStyle w:val="95"/>
        <w:spacing w:line="359" w:lineRule="exact"/>
        <w:ind w:firstLine="440"/>
        <w:jc w:val="both"/>
        <w:rPr>
          <w:color w:val="auto"/>
        </w:rPr>
      </w:pPr>
      <w:r>
        <w:rPr>
          <w:rFonts w:hint="eastAsia"/>
          <w:color w:val="auto"/>
          <w:lang w:val="en-US" w:bidi="en-US"/>
        </w:rPr>
        <w:t>13.7.4</w:t>
      </w:r>
      <w:r>
        <w:rPr>
          <w:rFonts w:hint="eastAsia"/>
          <w:color w:val="auto"/>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32606C11">
      <w:pPr>
        <w:pStyle w:val="95"/>
        <w:spacing w:line="374" w:lineRule="exact"/>
        <w:ind w:firstLine="440"/>
        <w:jc w:val="both"/>
        <w:rPr>
          <w:color w:val="auto"/>
        </w:rPr>
      </w:pPr>
      <w:r>
        <w:rPr>
          <w:rFonts w:hint="eastAsia"/>
          <w:color w:val="auto"/>
          <w:lang w:val="en-US" w:bidi="en-US"/>
        </w:rPr>
        <w:t>13.7.5</w:t>
      </w:r>
      <w:r>
        <w:rPr>
          <w:rFonts w:hint="eastAsia"/>
          <w:color w:val="auto"/>
        </w:rPr>
        <w:t>承包人应在分部工程质量自评合格后，报监理人复核和发包人认定。发包人负责按有关规定完成分部工程质量结论报工程质量监督机构核备（核定）手续。</w:t>
      </w:r>
    </w:p>
    <w:p w14:paraId="0AE36444">
      <w:pPr>
        <w:pStyle w:val="95"/>
        <w:spacing w:line="374" w:lineRule="exact"/>
        <w:ind w:firstLine="440"/>
        <w:jc w:val="both"/>
        <w:rPr>
          <w:color w:val="auto"/>
        </w:rPr>
      </w:pPr>
      <w:r>
        <w:rPr>
          <w:rFonts w:hint="eastAsia"/>
          <w:color w:val="auto"/>
          <w:lang w:val="en-US" w:bidi="en-US"/>
        </w:rPr>
        <w:t>13.7.6</w:t>
      </w:r>
      <w:r>
        <w:rPr>
          <w:rFonts w:hint="eastAsia"/>
          <w:color w:val="auto"/>
        </w:rPr>
        <w:t>承包人应在单位工程质量自评合格后，报监理人复核和发包人认定。发包人负责按有关规定完成单位工程质量结论报工程质量监督机构核定手续。</w:t>
      </w:r>
    </w:p>
    <w:p w14:paraId="4452F585">
      <w:pPr>
        <w:pStyle w:val="95"/>
        <w:spacing w:line="365" w:lineRule="exact"/>
        <w:ind w:firstLine="440"/>
        <w:jc w:val="both"/>
        <w:rPr>
          <w:color w:val="auto"/>
        </w:rPr>
      </w:pPr>
      <w:r>
        <w:rPr>
          <w:rFonts w:hint="eastAsia"/>
          <w:color w:val="auto"/>
          <w:lang w:val="en-US" w:bidi="en-US"/>
        </w:rPr>
        <w:t>13.7.7</w:t>
      </w:r>
      <w:r>
        <w:rPr>
          <w:rFonts w:hint="eastAsia"/>
          <w:color w:val="auto"/>
        </w:rPr>
        <w:t>除专用合同条款另有约定外，工程质量等级分为合格和优良，应分别达到约定的标准。</w:t>
      </w:r>
    </w:p>
    <w:p w14:paraId="200F8FD2">
      <w:pPr>
        <w:pStyle w:val="101"/>
        <w:spacing w:before="0" w:after="0" w:line="360" w:lineRule="exact"/>
        <w:rPr>
          <w:rFonts w:ascii="宋体" w:hAnsi="宋体" w:cs="宋体"/>
          <w:color w:val="auto"/>
          <w:sz w:val="24"/>
          <w:szCs w:val="24"/>
          <w:lang w:eastAsia="zh-CN"/>
        </w:rPr>
      </w:pPr>
      <w:bookmarkStart w:id="1105" w:name="_Toc10580"/>
      <w:bookmarkStart w:id="1106" w:name="bookmark1251"/>
      <w:bookmarkStart w:id="1107" w:name="_Toc19883"/>
      <w:bookmarkStart w:id="1108" w:name="_Toc385"/>
      <w:bookmarkStart w:id="1109" w:name="_Toc11291"/>
      <w:bookmarkStart w:id="1110" w:name="_Toc21295"/>
      <w:bookmarkStart w:id="1111" w:name="bookmark1249"/>
      <w:bookmarkStart w:id="1112" w:name="bookmark1250"/>
      <w:bookmarkStart w:id="1113" w:name="_Toc26803"/>
      <w:bookmarkStart w:id="1114" w:name="_Toc21663"/>
      <w:r>
        <w:rPr>
          <w:rFonts w:hint="eastAsia" w:ascii="宋体" w:hAnsi="宋体" w:cs="宋体"/>
          <w:color w:val="auto"/>
          <w:sz w:val="24"/>
          <w:szCs w:val="24"/>
          <w:lang w:eastAsia="zh-CN"/>
        </w:rPr>
        <w:t>13.8质量事故处理</w:t>
      </w:r>
      <w:bookmarkEnd w:id="1105"/>
      <w:bookmarkEnd w:id="1106"/>
      <w:bookmarkEnd w:id="1107"/>
      <w:bookmarkEnd w:id="1108"/>
      <w:bookmarkEnd w:id="1109"/>
      <w:bookmarkEnd w:id="1110"/>
      <w:bookmarkEnd w:id="1111"/>
      <w:bookmarkEnd w:id="1112"/>
      <w:bookmarkEnd w:id="1113"/>
      <w:bookmarkEnd w:id="1114"/>
    </w:p>
    <w:p w14:paraId="5E991E8D">
      <w:pPr>
        <w:pStyle w:val="95"/>
        <w:spacing w:line="362" w:lineRule="exact"/>
        <w:ind w:firstLine="420"/>
        <w:jc w:val="both"/>
        <w:rPr>
          <w:color w:val="auto"/>
        </w:rPr>
      </w:pPr>
      <w:r>
        <w:rPr>
          <w:rFonts w:hint="eastAsia"/>
          <w:color w:val="auto"/>
          <w:lang w:val="en-US" w:bidi="en-US"/>
        </w:rPr>
        <w:t>13.8.1</w:t>
      </w:r>
      <w:r>
        <w:rPr>
          <w:rFonts w:hint="eastAsia"/>
          <w:color w:val="auto"/>
        </w:rPr>
        <w:t>发生质量事故时，承包人应及时向发包人和监理人报告。</w:t>
      </w:r>
    </w:p>
    <w:p w14:paraId="46A6143C">
      <w:pPr>
        <w:pStyle w:val="95"/>
        <w:spacing w:line="362" w:lineRule="exact"/>
        <w:ind w:firstLine="420"/>
        <w:jc w:val="both"/>
        <w:rPr>
          <w:color w:val="auto"/>
        </w:rPr>
      </w:pPr>
      <w:r>
        <w:rPr>
          <w:rFonts w:hint="eastAsia"/>
          <w:color w:val="auto"/>
          <w:lang w:val="en-US" w:bidi="en-US"/>
        </w:rPr>
        <w:t>13.8.2</w:t>
      </w:r>
      <w:r>
        <w:rPr>
          <w:rFonts w:hint="eastAsia"/>
          <w:color w:val="auto"/>
        </w:rPr>
        <w:t>质量事故调查处理由发包人按相关规定履行手续，承包人应配合。</w:t>
      </w:r>
    </w:p>
    <w:p w14:paraId="5E28BD0B">
      <w:pPr>
        <w:pStyle w:val="95"/>
        <w:spacing w:line="362" w:lineRule="exact"/>
        <w:ind w:firstLine="440"/>
        <w:jc w:val="both"/>
        <w:rPr>
          <w:color w:val="auto"/>
        </w:rPr>
      </w:pPr>
      <w:r>
        <w:rPr>
          <w:rFonts w:hint="eastAsia"/>
          <w:color w:val="auto"/>
          <w:lang w:val="en-US" w:bidi="en-US"/>
        </w:rPr>
        <w:t>13.8.3</w:t>
      </w:r>
      <w:r>
        <w:rPr>
          <w:rFonts w:hint="eastAsia"/>
          <w:color w:val="auto"/>
        </w:rPr>
        <w:t>承包人应对质量缺陷进行备案。发包人委托监理人对质量缺陷备案情况进行监督检查并履行相关手续。</w:t>
      </w:r>
    </w:p>
    <w:p w14:paraId="23CE03A7">
      <w:pPr>
        <w:pStyle w:val="95"/>
        <w:spacing w:line="358" w:lineRule="exact"/>
        <w:ind w:firstLine="440"/>
        <w:jc w:val="both"/>
        <w:rPr>
          <w:color w:val="auto"/>
        </w:rPr>
      </w:pPr>
      <w:r>
        <w:rPr>
          <w:rFonts w:hint="eastAsia"/>
          <w:color w:val="auto"/>
          <w:lang w:val="en-US" w:bidi="en-US"/>
        </w:rPr>
        <w:t>13.8.4</w:t>
      </w:r>
      <w:r>
        <w:rPr>
          <w:rFonts w:hint="eastAsia"/>
          <w:color w:val="auto"/>
        </w:rPr>
        <w:t>除专用合同条款另有约定外，工程竣工验收时，发包人负责向竣工验收委员会汇报并提交历次质量缺陷处理的备案资料。</w:t>
      </w:r>
    </w:p>
    <w:p w14:paraId="70B2AA54">
      <w:pPr>
        <w:pStyle w:val="101"/>
        <w:spacing w:before="0" w:after="0" w:line="360" w:lineRule="exact"/>
        <w:rPr>
          <w:rFonts w:ascii="宋体" w:hAnsi="宋体" w:cs="宋体"/>
          <w:color w:val="auto"/>
          <w:lang w:eastAsia="zh-CN"/>
        </w:rPr>
      </w:pPr>
      <w:bookmarkStart w:id="1115" w:name="_Toc28565"/>
      <w:bookmarkStart w:id="1116" w:name="_Toc5378"/>
      <w:bookmarkStart w:id="1117" w:name="_Toc13569"/>
      <w:bookmarkStart w:id="1118" w:name="bookmark1252"/>
      <w:bookmarkStart w:id="1119" w:name="bookmark1254"/>
      <w:bookmarkStart w:id="1120" w:name="_Toc17645"/>
      <w:bookmarkStart w:id="1121" w:name="_Toc9889"/>
      <w:bookmarkStart w:id="1122" w:name="bookmark1253"/>
      <w:bookmarkStart w:id="1123" w:name="_Toc5837"/>
      <w:bookmarkStart w:id="1124" w:name="_Toc3911"/>
      <w:r>
        <w:rPr>
          <w:rFonts w:hint="eastAsia" w:ascii="宋体" w:hAnsi="宋体" w:cs="宋体"/>
          <w:color w:val="auto"/>
          <w:lang w:eastAsia="zh-CN"/>
        </w:rPr>
        <w:t>14.试验和检验</w:t>
      </w:r>
      <w:bookmarkEnd w:id="1115"/>
      <w:bookmarkEnd w:id="1116"/>
      <w:bookmarkEnd w:id="1117"/>
      <w:bookmarkEnd w:id="1118"/>
      <w:bookmarkEnd w:id="1119"/>
      <w:bookmarkEnd w:id="1120"/>
      <w:bookmarkEnd w:id="1121"/>
      <w:bookmarkEnd w:id="1122"/>
      <w:bookmarkEnd w:id="1123"/>
      <w:bookmarkEnd w:id="1124"/>
    </w:p>
    <w:p w14:paraId="34128565">
      <w:pPr>
        <w:pStyle w:val="101"/>
        <w:spacing w:before="0" w:after="0" w:line="360" w:lineRule="exact"/>
        <w:rPr>
          <w:rFonts w:ascii="宋体" w:hAnsi="宋体" w:cs="宋体"/>
          <w:color w:val="auto"/>
          <w:sz w:val="24"/>
          <w:szCs w:val="24"/>
          <w:lang w:eastAsia="zh-CN"/>
        </w:rPr>
      </w:pPr>
      <w:bookmarkStart w:id="1125" w:name="_Toc16875"/>
      <w:bookmarkStart w:id="1126" w:name="_Toc18503"/>
      <w:bookmarkStart w:id="1127" w:name="bookmark1257"/>
      <w:bookmarkStart w:id="1128" w:name="_Toc20832"/>
      <w:bookmarkStart w:id="1129" w:name="bookmark1255"/>
      <w:bookmarkStart w:id="1130" w:name="_Toc20745"/>
      <w:bookmarkStart w:id="1131" w:name="_Toc25688"/>
      <w:bookmarkStart w:id="1132" w:name="_Toc20293"/>
      <w:bookmarkStart w:id="1133" w:name="_Toc17325"/>
      <w:bookmarkStart w:id="1134" w:name="bookmark1256"/>
      <w:r>
        <w:rPr>
          <w:rFonts w:hint="eastAsia" w:ascii="宋体" w:hAnsi="宋体" w:cs="宋体"/>
          <w:color w:val="auto"/>
          <w:sz w:val="24"/>
          <w:szCs w:val="24"/>
          <w:lang w:eastAsia="zh-CN"/>
        </w:rPr>
        <w:t>14.1材料、工程设备和工程的试验和检验</w:t>
      </w:r>
      <w:bookmarkEnd w:id="1125"/>
      <w:bookmarkEnd w:id="1126"/>
      <w:bookmarkEnd w:id="1127"/>
      <w:bookmarkEnd w:id="1128"/>
      <w:bookmarkEnd w:id="1129"/>
      <w:bookmarkEnd w:id="1130"/>
      <w:bookmarkEnd w:id="1131"/>
      <w:bookmarkEnd w:id="1132"/>
      <w:bookmarkEnd w:id="1133"/>
      <w:bookmarkEnd w:id="1134"/>
    </w:p>
    <w:p w14:paraId="15FD0BAA">
      <w:pPr>
        <w:pStyle w:val="95"/>
        <w:spacing w:line="356" w:lineRule="exact"/>
        <w:ind w:firstLine="440"/>
        <w:jc w:val="both"/>
        <w:rPr>
          <w:color w:val="auto"/>
        </w:rPr>
      </w:pPr>
      <w:bookmarkStart w:id="1135" w:name="bookmark1258"/>
      <w:bookmarkEnd w:id="1135"/>
      <w:r>
        <w:rPr>
          <w:rFonts w:hint="eastAsia"/>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8DF55BB">
      <w:pPr>
        <w:pStyle w:val="95"/>
        <w:spacing w:line="356" w:lineRule="exact"/>
        <w:ind w:firstLine="440"/>
        <w:jc w:val="both"/>
        <w:rPr>
          <w:color w:val="auto"/>
        </w:rPr>
      </w:pPr>
      <w:r>
        <w:rPr>
          <w:rFonts w:hint="eastAsia"/>
          <w:color w:val="auto"/>
          <w:lang w:val="en-US" w:bidi="en-US"/>
        </w:rPr>
        <w:t>14.1.2</w:t>
      </w:r>
      <w:r>
        <w:rPr>
          <w:rFonts w:hint="eastAsia"/>
          <w:color w:val="auto"/>
        </w:rPr>
        <w:t>监理人未按合同约定派员参加试验和检验的，除监理人另有指示外，承包人可自行试验和检验，并应立即将试验和检验结果报送监理人，监理人应签字确认。</w:t>
      </w:r>
    </w:p>
    <w:p w14:paraId="2D88F296">
      <w:pPr>
        <w:pStyle w:val="95"/>
        <w:spacing w:line="356" w:lineRule="exact"/>
        <w:ind w:firstLine="440"/>
        <w:jc w:val="both"/>
        <w:rPr>
          <w:color w:val="auto"/>
        </w:rPr>
      </w:pPr>
      <w:r>
        <w:rPr>
          <w:rFonts w:hint="eastAsia"/>
          <w:color w:val="auto"/>
          <w:lang w:val="en-US" w:bidi="en-US"/>
        </w:rPr>
        <w:t>14.1.3</w:t>
      </w:r>
      <w:r>
        <w:rPr>
          <w:rFonts w:hint="eastAsia"/>
          <w:color w:val="auto"/>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671D5E9">
      <w:pPr>
        <w:pStyle w:val="95"/>
        <w:spacing w:line="356" w:lineRule="exact"/>
        <w:ind w:firstLine="440"/>
        <w:jc w:val="both"/>
        <w:rPr>
          <w:color w:val="auto"/>
        </w:rPr>
      </w:pPr>
      <w:r>
        <w:rPr>
          <w:rFonts w:hint="eastAsia"/>
          <w:color w:val="auto"/>
          <w:lang w:val="en-US" w:bidi="en-US"/>
        </w:rPr>
        <w:t>14.1.4</w:t>
      </w:r>
      <w:r>
        <w:rPr>
          <w:rFonts w:hint="eastAsia"/>
          <w:color w:val="auto"/>
        </w:rPr>
        <w:t>承包人应按相关规定和标准对水泥、钢材等原材料与中间产品质量进行检验, 并报监理人复核。</w:t>
      </w:r>
    </w:p>
    <w:p w14:paraId="591BAA68">
      <w:pPr>
        <w:pStyle w:val="95"/>
        <w:spacing w:line="356" w:lineRule="exact"/>
        <w:ind w:firstLine="440"/>
        <w:jc w:val="both"/>
        <w:rPr>
          <w:color w:val="auto"/>
        </w:rPr>
      </w:pPr>
      <w:r>
        <w:rPr>
          <w:rFonts w:hint="eastAsia"/>
          <w:color w:val="auto"/>
          <w:lang w:val="en-US" w:bidi="en-US"/>
        </w:rPr>
        <w:t>14.1.5</w:t>
      </w:r>
      <w:r>
        <w:rPr>
          <w:rFonts w:hint="eastAsia"/>
          <w:color w:val="auto"/>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36BA641">
      <w:pPr>
        <w:pStyle w:val="95"/>
        <w:spacing w:line="356" w:lineRule="exact"/>
        <w:ind w:firstLine="440"/>
        <w:jc w:val="both"/>
        <w:rPr>
          <w:color w:val="auto"/>
        </w:rPr>
      </w:pPr>
      <w:r>
        <w:rPr>
          <w:rFonts w:hint="eastAsia"/>
          <w:color w:val="auto"/>
          <w:lang w:val="en-US" w:bidi="en-US"/>
        </w:rPr>
        <w:t>14.1.6</w:t>
      </w:r>
      <w:r>
        <w:rPr>
          <w:rFonts w:hint="eastAsia"/>
          <w:color w:val="auto"/>
        </w:rPr>
        <w:t>对专用合同条款约定的试块、试件及有关材料，监理人实行见证取样。见证取样资料由承包人制备，记录应真实齐全，监理人、承包人等参与见证取样人员均应在相关文件上签字。</w:t>
      </w:r>
    </w:p>
    <w:p w14:paraId="76CDF3F0">
      <w:pPr>
        <w:pStyle w:val="101"/>
        <w:spacing w:before="0" w:after="0" w:line="360" w:lineRule="exact"/>
        <w:rPr>
          <w:rFonts w:ascii="宋体" w:hAnsi="宋体" w:cs="宋体"/>
          <w:color w:val="auto"/>
          <w:sz w:val="24"/>
          <w:szCs w:val="24"/>
          <w:lang w:eastAsia="zh-CN"/>
        </w:rPr>
      </w:pPr>
      <w:bookmarkStart w:id="1136" w:name="_Toc14685"/>
      <w:bookmarkStart w:id="1137" w:name="_Toc3682"/>
      <w:bookmarkStart w:id="1138" w:name="_Toc1429"/>
      <w:bookmarkStart w:id="1139" w:name="_Toc8045"/>
      <w:bookmarkStart w:id="1140" w:name="_Toc31218"/>
      <w:bookmarkStart w:id="1141" w:name="_Toc24338"/>
      <w:bookmarkStart w:id="1142" w:name="bookmark1260"/>
      <w:bookmarkStart w:id="1143" w:name="bookmark1261"/>
      <w:bookmarkStart w:id="1144" w:name="bookmark1259"/>
      <w:bookmarkStart w:id="1145" w:name="_Toc14939"/>
      <w:r>
        <w:rPr>
          <w:rFonts w:hint="eastAsia" w:ascii="宋体" w:hAnsi="宋体" w:cs="宋体"/>
          <w:color w:val="auto"/>
          <w:sz w:val="24"/>
          <w:szCs w:val="24"/>
          <w:lang w:eastAsia="zh-CN"/>
        </w:rPr>
        <w:t>14.2现场材料试验</w:t>
      </w:r>
      <w:bookmarkEnd w:id="1136"/>
      <w:bookmarkEnd w:id="1137"/>
      <w:bookmarkEnd w:id="1138"/>
      <w:bookmarkEnd w:id="1139"/>
      <w:bookmarkEnd w:id="1140"/>
      <w:bookmarkEnd w:id="1141"/>
      <w:bookmarkEnd w:id="1142"/>
      <w:bookmarkEnd w:id="1143"/>
      <w:bookmarkEnd w:id="1144"/>
      <w:bookmarkEnd w:id="1145"/>
    </w:p>
    <w:p w14:paraId="0FFADF76">
      <w:pPr>
        <w:pStyle w:val="95"/>
        <w:spacing w:line="356" w:lineRule="exact"/>
        <w:ind w:firstLine="440"/>
        <w:jc w:val="both"/>
        <w:rPr>
          <w:color w:val="auto"/>
        </w:rPr>
      </w:pPr>
      <w:bookmarkStart w:id="1146" w:name="bookmark1262"/>
      <w:bookmarkEnd w:id="1146"/>
      <w:r>
        <w:rPr>
          <w:rFonts w:hint="eastAsia"/>
          <w:color w:val="auto"/>
          <w:lang w:val="en-US" w:bidi="en-US"/>
        </w:rPr>
        <w:t>14.2.</w:t>
      </w:r>
      <w:r>
        <w:rPr>
          <w:rFonts w:hint="eastAsia"/>
          <w:color w:val="auto"/>
        </w:rPr>
        <w:t>1承包人根据合同约定或监理人指示进行的现场材料试验，应由承包人提供试 验场所、试验人员、试验设备器材以及其他必要的试验条件。</w:t>
      </w:r>
    </w:p>
    <w:p w14:paraId="05ABC225">
      <w:pPr>
        <w:pStyle w:val="95"/>
        <w:spacing w:line="356" w:lineRule="exact"/>
        <w:ind w:firstLine="440"/>
        <w:jc w:val="both"/>
        <w:rPr>
          <w:color w:val="auto"/>
        </w:rPr>
      </w:pPr>
      <w:bookmarkStart w:id="1147" w:name="bookmark1263"/>
      <w:bookmarkEnd w:id="1147"/>
      <w:r>
        <w:rPr>
          <w:rFonts w:hint="eastAsia"/>
          <w:color w:val="auto"/>
          <w:lang w:val="en-US" w:bidi="en-US"/>
        </w:rPr>
        <w:t>14.2.</w:t>
      </w:r>
      <w:r>
        <w:rPr>
          <w:rFonts w:hint="eastAsia"/>
          <w:color w:val="auto"/>
        </w:rPr>
        <w:t>2监理人在必要时可以使用承包人的试验场所、试验设备器材以及其他试验条件，进行以工程质量检查为目的的复核性材料试验，承包人应予以协助。</w:t>
      </w:r>
    </w:p>
    <w:p w14:paraId="429B2E89">
      <w:pPr>
        <w:pStyle w:val="101"/>
        <w:spacing w:before="0" w:after="0" w:line="360" w:lineRule="exact"/>
        <w:rPr>
          <w:rFonts w:ascii="宋体" w:hAnsi="宋体" w:cs="宋体"/>
          <w:color w:val="auto"/>
          <w:sz w:val="24"/>
          <w:szCs w:val="24"/>
          <w:lang w:eastAsia="zh-CN"/>
        </w:rPr>
      </w:pPr>
      <w:bookmarkStart w:id="1148" w:name="bookmark1266"/>
      <w:bookmarkStart w:id="1149" w:name="_Toc6572"/>
      <w:bookmarkStart w:id="1150" w:name="_Toc21991"/>
      <w:bookmarkStart w:id="1151" w:name="_Toc24817"/>
      <w:bookmarkStart w:id="1152" w:name="bookmark1264"/>
      <w:bookmarkStart w:id="1153" w:name="bookmark1265"/>
      <w:bookmarkStart w:id="1154" w:name="_Toc9735"/>
      <w:bookmarkStart w:id="1155" w:name="_Toc9011"/>
      <w:bookmarkStart w:id="1156" w:name="_Toc16192"/>
      <w:bookmarkStart w:id="1157" w:name="_Toc31173"/>
      <w:r>
        <w:rPr>
          <w:rFonts w:hint="eastAsia" w:ascii="宋体" w:hAnsi="宋体" w:cs="宋体"/>
          <w:color w:val="auto"/>
          <w:sz w:val="24"/>
          <w:szCs w:val="24"/>
          <w:lang w:eastAsia="zh-CN"/>
        </w:rPr>
        <w:t>14.3现场工艺试验</w:t>
      </w:r>
      <w:bookmarkEnd w:id="1148"/>
      <w:bookmarkEnd w:id="1149"/>
      <w:bookmarkEnd w:id="1150"/>
      <w:bookmarkEnd w:id="1151"/>
      <w:bookmarkEnd w:id="1152"/>
      <w:bookmarkEnd w:id="1153"/>
      <w:bookmarkEnd w:id="1154"/>
      <w:bookmarkEnd w:id="1155"/>
      <w:bookmarkEnd w:id="1156"/>
      <w:bookmarkEnd w:id="1157"/>
    </w:p>
    <w:p w14:paraId="3633DECE">
      <w:pPr>
        <w:pStyle w:val="95"/>
        <w:spacing w:line="360" w:lineRule="exact"/>
        <w:ind w:firstLine="440"/>
        <w:jc w:val="both"/>
        <w:rPr>
          <w:color w:val="auto"/>
        </w:rPr>
      </w:pPr>
      <w:r>
        <w:rPr>
          <w:rFonts w:hint="eastAsia"/>
          <w:color w:val="auto"/>
        </w:rPr>
        <w:t>承包人应按合同约定或监理人指示进行现场工艺试验。对大型的现场工艺试验，监理人认为必要时，应由承包人根据监理人提出的工艺试验要求，编制工艺试验措施计划，报送监理人审批。</w:t>
      </w:r>
    </w:p>
    <w:p w14:paraId="66962DBB">
      <w:pPr>
        <w:pStyle w:val="101"/>
        <w:spacing w:before="0" w:after="0" w:line="360" w:lineRule="exact"/>
        <w:rPr>
          <w:rFonts w:ascii="宋体" w:hAnsi="宋体" w:cs="宋体"/>
          <w:color w:val="auto"/>
          <w:lang w:eastAsia="zh-CN"/>
        </w:rPr>
      </w:pPr>
      <w:bookmarkStart w:id="1158" w:name="bookmark1269"/>
      <w:bookmarkStart w:id="1159" w:name="_Toc958"/>
      <w:bookmarkStart w:id="1160" w:name="_Toc5835"/>
      <w:bookmarkStart w:id="1161" w:name="_Toc9858"/>
      <w:bookmarkStart w:id="1162" w:name="_Toc24893"/>
      <w:bookmarkStart w:id="1163" w:name="_Toc9323"/>
      <w:bookmarkStart w:id="1164" w:name="_Toc5435"/>
      <w:bookmarkStart w:id="1165" w:name="_Toc28735"/>
      <w:bookmarkStart w:id="1166" w:name="bookmark1267"/>
      <w:bookmarkStart w:id="1167" w:name="bookmark1268"/>
      <w:r>
        <w:rPr>
          <w:rFonts w:hint="eastAsia" w:ascii="宋体" w:hAnsi="宋体" w:cs="宋体"/>
          <w:color w:val="auto"/>
          <w:lang w:eastAsia="zh-CN"/>
        </w:rPr>
        <w:t>15.变更</w:t>
      </w:r>
      <w:bookmarkEnd w:id="1158"/>
      <w:bookmarkEnd w:id="1159"/>
      <w:bookmarkEnd w:id="1160"/>
      <w:bookmarkEnd w:id="1161"/>
      <w:bookmarkEnd w:id="1162"/>
      <w:bookmarkEnd w:id="1163"/>
      <w:bookmarkEnd w:id="1164"/>
      <w:bookmarkEnd w:id="1165"/>
    </w:p>
    <w:p w14:paraId="7A68DFC5">
      <w:pPr>
        <w:pStyle w:val="101"/>
        <w:spacing w:before="0" w:after="0" w:line="360" w:lineRule="exact"/>
        <w:rPr>
          <w:rFonts w:ascii="宋体" w:hAnsi="宋体" w:cs="宋体"/>
          <w:color w:val="auto"/>
          <w:sz w:val="24"/>
          <w:szCs w:val="24"/>
          <w:lang w:eastAsia="zh-CN"/>
        </w:rPr>
      </w:pPr>
      <w:bookmarkStart w:id="1168" w:name="bookmark1270"/>
      <w:bookmarkStart w:id="1169" w:name="_Toc8153"/>
      <w:bookmarkStart w:id="1170" w:name="_Toc11187"/>
      <w:bookmarkStart w:id="1171" w:name="_Toc24745"/>
      <w:bookmarkStart w:id="1172" w:name="_Toc18303"/>
      <w:bookmarkStart w:id="1173" w:name="_Toc12295"/>
      <w:bookmarkStart w:id="1174" w:name="_Toc30097"/>
      <w:bookmarkStart w:id="1175" w:name="_Toc15796"/>
      <w:r>
        <w:rPr>
          <w:rFonts w:hint="eastAsia" w:ascii="宋体" w:hAnsi="宋体" w:cs="宋体"/>
          <w:color w:val="auto"/>
          <w:sz w:val="24"/>
          <w:szCs w:val="24"/>
          <w:lang w:eastAsia="zh-CN"/>
        </w:rPr>
        <w:t>15.1变更的范围和内容</w:t>
      </w:r>
      <w:bookmarkEnd w:id="1166"/>
      <w:bookmarkEnd w:id="1167"/>
      <w:bookmarkEnd w:id="1168"/>
      <w:bookmarkEnd w:id="1169"/>
      <w:bookmarkEnd w:id="1170"/>
      <w:bookmarkEnd w:id="1171"/>
      <w:bookmarkEnd w:id="1172"/>
      <w:bookmarkEnd w:id="1173"/>
      <w:bookmarkEnd w:id="1174"/>
      <w:bookmarkEnd w:id="1175"/>
    </w:p>
    <w:p w14:paraId="645E3FC4">
      <w:pPr>
        <w:pStyle w:val="95"/>
        <w:spacing w:line="360" w:lineRule="exact"/>
        <w:ind w:firstLine="440"/>
        <w:jc w:val="both"/>
        <w:rPr>
          <w:color w:val="auto"/>
        </w:rPr>
      </w:pPr>
      <w:r>
        <w:rPr>
          <w:rFonts w:hint="eastAsia"/>
          <w:color w:val="auto"/>
        </w:rPr>
        <w:t>在履行合同中发生以下情形之一，应按照本条规定进行变更。</w:t>
      </w:r>
    </w:p>
    <w:p w14:paraId="1D378AE9">
      <w:pPr>
        <w:pStyle w:val="95"/>
        <w:numPr>
          <w:ilvl w:val="0"/>
          <w:numId w:val="12"/>
        </w:numPr>
        <w:tabs>
          <w:tab w:val="left" w:pos="923"/>
        </w:tabs>
        <w:spacing w:line="360" w:lineRule="exact"/>
        <w:ind w:firstLine="440"/>
        <w:jc w:val="both"/>
        <w:rPr>
          <w:color w:val="auto"/>
        </w:rPr>
      </w:pPr>
      <w:bookmarkStart w:id="1176" w:name="bookmark1271"/>
      <w:bookmarkEnd w:id="1176"/>
      <w:r>
        <w:rPr>
          <w:rFonts w:hint="eastAsia"/>
          <w:color w:val="auto"/>
        </w:rPr>
        <w:t>取消合同中任何一项工作，但被取消的工作不能转由发包人或其它人实施；</w:t>
      </w:r>
    </w:p>
    <w:p w14:paraId="6A33B0A9">
      <w:pPr>
        <w:pStyle w:val="95"/>
        <w:numPr>
          <w:ilvl w:val="0"/>
          <w:numId w:val="12"/>
        </w:numPr>
        <w:tabs>
          <w:tab w:val="left" w:pos="923"/>
        </w:tabs>
        <w:spacing w:line="360" w:lineRule="exact"/>
        <w:ind w:firstLine="440"/>
        <w:jc w:val="both"/>
        <w:rPr>
          <w:color w:val="auto"/>
        </w:rPr>
      </w:pPr>
      <w:bookmarkStart w:id="1177" w:name="bookmark1272"/>
      <w:bookmarkEnd w:id="1177"/>
      <w:r>
        <w:rPr>
          <w:rFonts w:hint="eastAsia"/>
          <w:color w:val="auto"/>
        </w:rPr>
        <w:t>改变合同中任何一项工作的质量或其它特性；</w:t>
      </w:r>
    </w:p>
    <w:p w14:paraId="74ED8C78">
      <w:pPr>
        <w:pStyle w:val="95"/>
        <w:numPr>
          <w:ilvl w:val="0"/>
          <w:numId w:val="12"/>
        </w:numPr>
        <w:tabs>
          <w:tab w:val="left" w:pos="923"/>
        </w:tabs>
        <w:spacing w:line="360" w:lineRule="exact"/>
        <w:ind w:firstLine="440"/>
        <w:jc w:val="both"/>
        <w:rPr>
          <w:color w:val="auto"/>
        </w:rPr>
      </w:pPr>
      <w:bookmarkStart w:id="1178" w:name="bookmark1273"/>
      <w:bookmarkEnd w:id="1178"/>
      <w:r>
        <w:rPr>
          <w:rFonts w:hint="eastAsia"/>
          <w:color w:val="auto"/>
        </w:rPr>
        <w:t>改变合同工程的基线、标高、位置或尺寸；</w:t>
      </w:r>
    </w:p>
    <w:p w14:paraId="4E3F984B">
      <w:pPr>
        <w:pStyle w:val="95"/>
        <w:numPr>
          <w:ilvl w:val="0"/>
          <w:numId w:val="12"/>
        </w:numPr>
        <w:tabs>
          <w:tab w:val="left" w:pos="923"/>
        </w:tabs>
        <w:spacing w:line="365" w:lineRule="exact"/>
        <w:ind w:firstLine="440"/>
        <w:jc w:val="both"/>
        <w:rPr>
          <w:color w:val="auto"/>
        </w:rPr>
      </w:pPr>
      <w:bookmarkStart w:id="1179" w:name="bookmark1274"/>
      <w:bookmarkEnd w:id="1179"/>
      <w:r>
        <w:rPr>
          <w:rFonts w:hint="eastAsia"/>
          <w:color w:val="auto"/>
        </w:rPr>
        <w:t>改变合同中任何一项工作的施工时间或改变已批准的施工工艺或顺序；</w:t>
      </w:r>
    </w:p>
    <w:p w14:paraId="5051543B">
      <w:pPr>
        <w:pStyle w:val="95"/>
        <w:numPr>
          <w:ilvl w:val="0"/>
          <w:numId w:val="12"/>
        </w:numPr>
        <w:tabs>
          <w:tab w:val="left" w:pos="923"/>
        </w:tabs>
        <w:spacing w:line="365" w:lineRule="exact"/>
        <w:ind w:firstLine="440"/>
        <w:jc w:val="both"/>
        <w:rPr>
          <w:color w:val="auto"/>
        </w:rPr>
      </w:pPr>
      <w:bookmarkStart w:id="1180" w:name="bookmark1275"/>
      <w:bookmarkEnd w:id="1180"/>
      <w:r>
        <w:rPr>
          <w:rFonts w:hint="eastAsia"/>
          <w:color w:val="auto"/>
        </w:rPr>
        <w:t>为完成工程需要追加的额外工作；</w:t>
      </w:r>
    </w:p>
    <w:p w14:paraId="505544D5">
      <w:pPr>
        <w:pStyle w:val="95"/>
        <w:numPr>
          <w:ilvl w:val="0"/>
          <w:numId w:val="12"/>
        </w:numPr>
        <w:tabs>
          <w:tab w:val="left" w:pos="920"/>
        </w:tabs>
        <w:spacing w:line="365" w:lineRule="exact"/>
        <w:ind w:firstLine="440"/>
        <w:jc w:val="both"/>
        <w:rPr>
          <w:color w:val="auto"/>
        </w:rPr>
      </w:pPr>
      <w:bookmarkStart w:id="1181" w:name="bookmark1276"/>
      <w:bookmarkEnd w:id="1181"/>
      <w:r>
        <w:rPr>
          <w:rFonts w:hint="eastAsia"/>
          <w:color w:val="auto"/>
        </w:rPr>
        <w:t>增加或减少专用合同条款中约定的关键项目工程量超过其工程总量的一定数量的百分比。</w:t>
      </w:r>
    </w:p>
    <w:p w14:paraId="6718CA02">
      <w:pPr>
        <w:pStyle w:val="95"/>
        <w:spacing w:line="365" w:lineRule="exact"/>
        <w:ind w:firstLine="440"/>
        <w:jc w:val="both"/>
        <w:rPr>
          <w:color w:val="auto"/>
        </w:rPr>
      </w:pPr>
      <w:r>
        <w:rPr>
          <w:rFonts w:hint="eastAsia"/>
          <w:color w:val="auto"/>
        </w:rPr>
        <w:t>上述第(1)～(6)目的变更内容引起工程施工组织和进度计划发生实质性变动和影响其原定的价格时，才予调整该项目的单价。第(6)目情形下单价调整方式在专用合同条款中约定。</w:t>
      </w:r>
    </w:p>
    <w:p w14:paraId="2E5FEFC1">
      <w:pPr>
        <w:pStyle w:val="101"/>
        <w:spacing w:before="0" w:after="0" w:line="360" w:lineRule="exact"/>
        <w:rPr>
          <w:rFonts w:ascii="宋体" w:hAnsi="宋体" w:cs="宋体"/>
          <w:color w:val="auto"/>
          <w:sz w:val="24"/>
          <w:szCs w:val="24"/>
          <w:lang w:eastAsia="zh-CN"/>
        </w:rPr>
      </w:pPr>
      <w:bookmarkStart w:id="1182" w:name="_Toc18173"/>
      <w:bookmarkStart w:id="1183" w:name="bookmark1278"/>
      <w:bookmarkStart w:id="1184" w:name="bookmark1279"/>
      <w:bookmarkStart w:id="1185" w:name="_Toc18017"/>
      <w:bookmarkStart w:id="1186" w:name="bookmark1277"/>
      <w:bookmarkStart w:id="1187" w:name="_Toc32233"/>
      <w:bookmarkStart w:id="1188" w:name="_Toc24450"/>
      <w:bookmarkStart w:id="1189" w:name="_Toc17873"/>
      <w:bookmarkStart w:id="1190" w:name="_Toc17812"/>
      <w:bookmarkStart w:id="1191" w:name="_Toc25903"/>
      <w:r>
        <w:rPr>
          <w:rFonts w:hint="eastAsia" w:ascii="宋体" w:hAnsi="宋体" w:cs="宋体"/>
          <w:color w:val="auto"/>
          <w:sz w:val="24"/>
          <w:szCs w:val="24"/>
          <w:lang w:eastAsia="zh-CN"/>
        </w:rPr>
        <w:t>15.2变更权</w:t>
      </w:r>
      <w:bookmarkEnd w:id="1182"/>
      <w:bookmarkEnd w:id="1183"/>
      <w:bookmarkEnd w:id="1184"/>
      <w:bookmarkEnd w:id="1185"/>
      <w:bookmarkEnd w:id="1186"/>
      <w:bookmarkEnd w:id="1187"/>
      <w:bookmarkEnd w:id="1188"/>
      <w:bookmarkEnd w:id="1189"/>
      <w:bookmarkEnd w:id="1190"/>
      <w:bookmarkEnd w:id="1191"/>
    </w:p>
    <w:p w14:paraId="68B1BC92">
      <w:pPr>
        <w:pStyle w:val="95"/>
        <w:spacing w:line="374" w:lineRule="exact"/>
        <w:ind w:firstLine="440"/>
        <w:jc w:val="both"/>
        <w:rPr>
          <w:color w:val="auto"/>
        </w:rPr>
      </w:pPr>
      <w:r>
        <w:rPr>
          <w:rFonts w:hint="eastAsia"/>
          <w:color w:val="auto"/>
        </w:rPr>
        <w:t>在履行合同过程中，经发包人同意，监理人可按第</w:t>
      </w:r>
      <w:r>
        <w:rPr>
          <w:rFonts w:hint="eastAsia"/>
          <w:color w:val="auto"/>
          <w:lang w:val="en-US" w:bidi="en-US"/>
        </w:rPr>
        <w:t xml:space="preserve">15. </w:t>
      </w:r>
      <w:r>
        <w:rPr>
          <w:rFonts w:hint="eastAsia"/>
          <w:color w:val="auto"/>
        </w:rPr>
        <w:t>3款约定的变更程序向承包人作出变更指示，承包人应遵照执行。没有监理人的变更指示，承包人不得擅自变更。</w:t>
      </w:r>
    </w:p>
    <w:p w14:paraId="07A7A01E">
      <w:pPr>
        <w:pStyle w:val="101"/>
        <w:spacing w:before="0" w:after="0" w:line="360" w:lineRule="exact"/>
        <w:rPr>
          <w:rFonts w:ascii="宋体" w:hAnsi="宋体" w:cs="宋体"/>
          <w:color w:val="auto"/>
          <w:sz w:val="24"/>
          <w:szCs w:val="24"/>
          <w:lang w:eastAsia="zh-CN"/>
        </w:rPr>
      </w:pPr>
      <w:bookmarkStart w:id="1192" w:name="_Toc6368"/>
      <w:bookmarkStart w:id="1193" w:name="_Toc32618"/>
      <w:bookmarkStart w:id="1194" w:name="_Toc15151"/>
      <w:bookmarkStart w:id="1195" w:name="_Toc24991"/>
      <w:bookmarkStart w:id="1196" w:name="bookmark1281"/>
      <w:bookmarkStart w:id="1197" w:name="bookmark1282"/>
      <w:bookmarkStart w:id="1198" w:name="bookmark1280"/>
      <w:bookmarkStart w:id="1199" w:name="_Toc9148"/>
      <w:bookmarkStart w:id="1200" w:name="_Toc5846"/>
      <w:bookmarkStart w:id="1201" w:name="_Toc12451"/>
      <w:r>
        <w:rPr>
          <w:rFonts w:hint="eastAsia" w:ascii="宋体" w:hAnsi="宋体" w:cs="宋体"/>
          <w:color w:val="auto"/>
          <w:sz w:val="24"/>
          <w:szCs w:val="24"/>
          <w:lang w:eastAsia="zh-CN"/>
        </w:rPr>
        <w:t>15.3变更程序</w:t>
      </w:r>
      <w:bookmarkEnd w:id="1192"/>
      <w:bookmarkEnd w:id="1193"/>
      <w:bookmarkEnd w:id="1194"/>
      <w:bookmarkEnd w:id="1195"/>
      <w:bookmarkEnd w:id="1196"/>
      <w:bookmarkEnd w:id="1197"/>
      <w:bookmarkEnd w:id="1198"/>
      <w:bookmarkEnd w:id="1199"/>
      <w:bookmarkEnd w:id="1200"/>
      <w:bookmarkEnd w:id="1201"/>
    </w:p>
    <w:p w14:paraId="77BACC9C">
      <w:pPr>
        <w:pStyle w:val="95"/>
        <w:spacing w:line="360" w:lineRule="exact"/>
        <w:ind w:firstLine="420"/>
        <w:rPr>
          <w:color w:val="auto"/>
        </w:rPr>
      </w:pPr>
      <w:r>
        <w:rPr>
          <w:rFonts w:hint="eastAsia"/>
          <w:color w:val="auto"/>
          <w:lang w:val="en-US" w:eastAsia="en-US" w:bidi="en-US"/>
        </w:rPr>
        <w:t>15.3.1</w:t>
      </w:r>
      <w:r>
        <w:rPr>
          <w:rFonts w:hint="eastAsia"/>
          <w:color w:val="auto"/>
        </w:rPr>
        <w:t>变更的提出</w:t>
      </w:r>
    </w:p>
    <w:p w14:paraId="0ADC39DF">
      <w:pPr>
        <w:pStyle w:val="95"/>
        <w:numPr>
          <w:ilvl w:val="0"/>
          <w:numId w:val="13"/>
        </w:numPr>
        <w:tabs>
          <w:tab w:val="left" w:pos="918"/>
        </w:tabs>
        <w:spacing w:line="360" w:lineRule="exact"/>
        <w:ind w:firstLine="440"/>
        <w:jc w:val="both"/>
        <w:rPr>
          <w:color w:val="auto"/>
        </w:rPr>
      </w:pPr>
      <w:bookmarkStart w:id="1202" w:name="bookmark1283"/>
      <w:bookmarkEnd w:id="1202"/>
      <w:r>
        <w:rPr>
          <w:rFonts w:hint="eastAsia"/>
          <w:color w:val="auto"/>
        </w:rPr>
        <w:t>在合同履行过程中，可能发生第</w:t>
      </w:r>
      <w:r>
        <w:rPr>
          <w:rFonts w:hint="eastAsia"/>
          <w:color w:val="auto"/>
          <w:lang w:val="en-US" w:bidi="en-US"/>
        </w:rPr>
        <w:t>15.1</w:t>
      </w:r>
      <w:r>
        <w:rPr>
          <w:rFonts w:hint="eastAsia"/>
          <w:color w:val="auto"/>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color w:val="auto"/>
          <w:lang w:val="en-US" w:bidi="en-US"/>
        </w:rPr>
        <w:t>15.3.</w:t>
      </w:r>
      <w:r>
        <w:rPr>
          <w:rFonts w:hint="eastAsia"/>
          <w:color w:val="auto"/>
        </w:rPr>
        <w:t>3项约定发出变更指示。</w:t>
      </w:r>
    </w:p>
    <w:p w14:paraId="4560A5AA">
      <w:pPr>
        <w:pStyle w:val="95"/>
        <w:numPr>
          <w:ilvl w:val="0"/>
          <w:numId w:val="13"/>
        </w:numPr>
        <w:tabs>
          <w:tab w:val="left" w:pos="901"/>
        </w:tabs>
        <w:spacing w:line="360" w:lineRule="exact"/>
        <w:ind w:firstLine="440"/>
        <w:jc w:val="both"/>
        <w:rPr>
          <w:color w:val="auto"/>
        </w:rPr>
      </w:pPr>
      <w:bookmarkStart w:id="1203" w:name="bookmark1284"/>
      <w:bookmarkEnd w:id="1203"/>
      <w:r>
        <w:rPr>
          <w:rFonts w:hint="eastAsia"/>
          <w:color w:val="auto"/>
        </w:rPr>
        <w:t>在合同履行过程中，发生第</w:t>
      </w:r>
      <w:r>
        <w:rPr>
          <w:rFonts w:hint="eastAsia"/>
          <w:color w:val="auto"/>
          <w:lang w:val="en-US" w:bidi="en-US"/>
        </w:rPr>
        <w:t>15.</w:t>
      </w:r>
      <w:r>
        <w:rPr>
          <w:rFonts w:hint="eastAsia"/>
          <w:color w:val="auto"/>
        </w:rPr>
        <w:t>1款约定情形的，监理人应按照第</w:t>
      </w:r>
      <w:r>
        <w:rPr>
          <w:rFonts w:hint="eastAsia"/>
          <w:color w:val="auto"/>
          <w:lang w:val="en-US" w:bidi="en-US"/>
        </w:rPr>
        <w:t>15.3.</w:t>
      </w:r>
      <w:r>
        <w:rPr>
          <w:rFonts w:hint="eastAsia"/>
          <w:color w:val="auto"/>
        </w:rPr>
        <w:t>3项约定向承包人发出变更指示。</w:t>
      </w:r>
    </w:p>
    <w:p w14:paraId="2516E2E1">
      <w:pPr>
        <w:pStyle w:val="95"/>
        <w:numPr>
          <w:ilvl w:val="0"/>
          <w:numId w:val="13"/>
        </w:numPr>
        <w:tabs>
          <w:tab w:val="left" w:pos="922"/>
        </w:tabs>
        <w:spacing w:line="360" w:lineRule="exact"/>
        <w:ind w:firstLine="440"/>
        <w:jc w:val="both"/>
        <w:rPr>
          <w:color w:val="auto"/>
        </w:rPr>
      </w:pPr>
      <w:bookmarkStart w:id="1204" w:name="bookmark1285"/>
      <w:bookmarkEnd w:id="1204"/>
      <w:r>
        <w:rPr>
          <w:rFonts w:hint="eastAsia"/>
          <w:color w:val="auto"/>
        </w:rPr>
        <w:t>承包人收到监理人按合同约定发出的图纸和文件，经检查认为其中存在第</w:t>
      </w:r>
      <w:r>
        <w:rPr>
          <w:rFonts w:hint="eastAsia"/>
          <w:color w:val="auto"/>
          <w:lang w:val="en-US" w:bidi="en-US"/>
        </w:rPr>
        <w:t>15.</w:t>
      </w:r>
      <w:r>
        <w:rPr>
          <w:rFonts w:hint="eastAsia"/>
          <w:color w:val="auto"/>
        </w:rPr>
        <w:t>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6B0FD02">
      <w:pPr>
        <w:pStyle w:val="95"/>
        <w:numPr>
          <w:ilvl w:val="0"/>
          <w:numId w:val="13"/>
        </w:numPr>
        <w:tabs>
          <w:tab w:val="left" w:pos="922"/>
        </w:tabs>
        <w:spacing w:line="360" w:lineRule="exact"/>
        <w:ind w:firstLine="440"/>
        <w:jc w:val="both"/>
        <w:rPr>
          <w:color w:val="auto"/>
        </w:rPr>
      </w:pPr>
      <w:bookmarkStart w:id="1205" w:name="bookmark1286"/>
      <w:bookmarkEnd w:id="1205"/>
      <w:r>
        <w:rPr>
          <w:rFonts w:hint="eastAsia"/>
          <w:color w:val="auto"/>
        </w:rPr>
        <w:t>若承包人收到监理人的变更意向书后认为难以实施此项变更，应立即通知监理人, 说明原因并附详细依据。监理人与承包人和发包人协商后确定撤销、改变或不改变原变更意向书。</w:t>
      </w:r>
    </w:p>
    <w:p w14:paraId="038E3822">
      <w:pPr>
        <w:pStyle w:val="102"/>
        <w:spacing w:after="0" w:line="360" w:lineRule="exact"/>
        <w:ind w:firstLine="440"/>
        <w:jc w:val="both"/>
        <w:rPr>
          <w:rFonts w:ascii="宋体" w:hAnsi="宋体" w:cs="宋体"/>
          <w:color w:val="auto"/>
        </w:rPr>
      </w:pPr>
      <w:r>
        <w:rPr>
          <w:rFonts w:hint="eastAsia" w:ascii="宋体" w:hAnsi="宋体" w:cs="宋体"/>
          <w:color w:val="auto"/>
        </w:rPr>
        <w:t>15.3.2</w:t>
      </w:r>
      <w:r>
        <w:rPr>
          <w:rFonts w:hint="eastAsia" w:ascii="宋体" w:hAnsi="宋体" w:cs="宋体"/>
          <w:color w:val="auto"/>
          <w:lang w:val="zh-CN" w:eastAsia="zh-CN" w:bidi="zh-CN"/>
        </w:rPr>
        <w:t>变更估价</w:t>
      </w:r>
    </w:p>
    <w:p w14:paraId="3F87F683">
      <w:pPr>
        <w:pStyle w:val="95"/>
        <w:numPr>
          <w:ilvl w:val="0"/>
          <w:numId w:val="14"/>
        </w:numPr>
        <w:spacing w:line="360" w:lineRule="exact"/>
        <w:ind w:firstLine="440"/>
        <w:jc w:val="both"/>
        <w:rPr>
          <w:color w:val="auto"/>
        </w:rPr>
      </w:pPr>
      <w:bookmarkStart w:id="1206" w:name="bookmark1287"/>
      <w:bookmarkEnd w:id="1206"/>
      <w:r>
        <w:rPr>
          <w:rFonts w:hint="eastAsia"/>
          <w:color w:val="auto"/>
        </w:rPr>
        <w:t>除专用合同条款对期限另有约定外，承包人应在收到变更指示或变更意向书后的14天内，向监理人提交变更报价书，报价内容应根据第</w:t>
      </w:r>
      <w:r>
        <w:rPr>
          <w:rFonts w:hint="eastAsia"/>
          <w:color w:val="auto"/>
          <w:lang w:val="en-US" w:bidi="en-US"/>
        </w:rPr>
        <w:t>15.</w:t>
      </w:r>
      <w:r>
        <w:rPr>
          <w:rFonts w:hint="eastAsia"/>
          <w:color w:val="auto"/>
        </w:rPr>
        <w:t>4款约定的估价原则，详细开列变更工作的价格组成及其依据，并附必要的施工方法说明和有关图纸。</w:t>
      </w:r>
    </w:p>
    <w:p w14:paraId="1A95B9AB">
      <w:pPr>
        <w:pStyle w:val="95"/>
        <w:numPr>
          <w:ilvl w:val="0"/>
          <w:numId w:val="14"/>
        </w:numPr>
        <w:tabs>
          <w:tab w:val="left" w:pos="915"/>
        </w:tabs>
        <w:spacing w:line="360" w:lineRule="exact"/>
        <w:ind w:firstLine="440"/>
        <w:jc w:val="both"/>
        <w:rPr>
          <w:color w:val="auto"/>
        </w:rPr>
      </w:pPr>
      <w:bookmarkStart w:id="1207" w:name="bookmark1288"/>
      <w:bookmarkEnd w:id="1207"/>
      <w:r>
        <w:rPr>
          <w:rFonts w:hint="eastAsia"/>
          <w:color w:val="auto"/>
        </w:rPr>
        <w:t>变更工作影响工期的，承包人应提出调整工期的具体细节。监理人认为有必要时, 可要求承包人提交要求提前或延长工期的施工进度计划及相应施工措施等详细资料。</w:t>
      </w:r>
    </w:p>
    <w:p w14:paraId="0879A38E">
      <w:pPr>
        <w:pStyle w:val="95"/>
        <w:numPr>
          <w:ilvl w:val="0"/>
          <w:numId w:val="14"/>
        </w:numPr>
        <w:tabs>
          <w:tab w:val="left" w:pos="920"/>
        </w:tabs>
        <w:spacing w:line="360" w:lineRule="exact"/>
        <w:ind w:firstLine="440"/>
        <w:jc w:val="both"/>
        <w:rPr>
          <w:color w:val="auto"/>
        </w:rPr>
      </w:pPr>
      <w:bookmarkStart w:id="1208" w:name="bookmark1289"/>
      <w:bookmarkEnd w:id="1208"/>
      <w:r>
        <w:rPr>
          <w:rFonts w:hint="eastAsia"/>
          <w:color w:val="auto"/>
        </w:rPr>
        <w:t>除专用合同条款对期限另有约定外，监理人收到承包人变更报价书后的14天内，根据第</w:t>
      </w:r>
      <w:r>
        <w:rPr>
          <w:rFonts w:hint="eastAsia"/>
          <w:color w:val="auto"/>
          <w:lang w:val="en-US" w:bidi="en-US"/>
        </w:rPr>
        <w:t xml:space="preserve">15. </w:t>
      </w:r>
      <w:r>
        <w:rPr>
          <w:rFonts w:hint="eastAsia"/>
          <w:color w:val="auto"/>
        </w:rPr>
        <w:t>4款约定的估价原则，按照第</w:t>
      </w:r>
      <w:r>
        <w:rPr>
          <w:rFonts w:hint="eastAsia"/>
          <w:color w:val="auto"/>
          <w:lang w:val="en-US" w:bidi="en-US"/>
        </w:rPr>
        <w:t>3.</w:t>
      </w:r>
      <w:r>
        <w:rPr>
          <w:rFonts w:hint="eastAsia"/>
          <w:color w:val="auto"/>
        </w:rPr>
        <w:t>5款商定或确定变更价格。</w:t>
      </w:r>
    </w:p>
    <w:p w14:paraId="40BA94D9">
      <w:pPr>
        <w:pStyle w:val="102"/>
        <w:spacing w:after="0" w:line="360" w:lineRule="exact"/>
        <w:ind w:firstLine="440"/>
        <w:jc w:val="both"/>
        <w:rPr>
          <w:rFonts w:ascii="宋体" w:hAnsi="宋体" w:cs="宋体"/>
          <w:color w:val="auto"/>
        </w:rPr>
      </w:pPr>
      <w:r>
        <w:rPr>
          <w:rFonts w:hint="eastAsia" w:ascii="宋体" w:hAnsi="宋体" w:cs="宋体"/>
          <w:color w:val="auto"/>
        </w:rPr>
        <w:t>15.3.3</w:t>
      </w:r>
      <w:r>
        <w:rPr>
          <w:rFonts w:hint="eastAsia" w:ascii="宋体" w:hAnsi="宋体" w:cs="宋体"/>
          <w:color w:val="auto"/>
          <w:lang w:val="zh-CN" w:eastAsia="zh-CN" w:bidi="zh-CN"/>
        </w:rPr>
        <w:t>变更指示</w:t>
      </w:r>
    </w:p>
    <w:p w14:paraId="01442E34">
      <w:pPr>
        <w:pStyle w:val="95"/>
        <w:numPr>
          <w:ilvl w:val="0"/>
          <w:numId w:val="15"/>
        </w:numPr>
        <w:tabs>
          <w:tab w:val="left" w:pos="923"/>
        </w:tabs>
        <w:spacing w:line="360" w:lineRule="exact"/>
        <w:ind w:firstLine="440"/>
        <w:jc w:val="both"/>
        <w:rPr>
          <w:color w:val="auto"/>
        </w:rPr>
      </w:pPr>
      <w:bookmarkStart w:id="1209" w:name="bookmark1290"/>
      <w:bookmarkEnd w:id="1209"/>
      <w:r>
        <w:rPr>
          <w:rFonts w:hint="eastAsia"/>
          <w:color w:val="auto"/>
        </w:rPr>
        <w:t>变更指示只能由监理人发出。</w:t>
      </w:r>
    </w:p>
    <w:p w14:paraId="0379D6E1">
      <w:pPr>
        <w:pStyle w:val="95"/>
        <w:numPr>
          <w:ilvl w:val="0"/>
          <w:numId w:val="15"/>
        </w:numPr>
        <w:tabs>
          <w:tab w:val="left" w:pos="922"/>
        </w:tabs>
        <w:spacing w:line="360" w:lineRule="exact"/>
        <w:ind w:firstLine="440"/>
        <w:jc w:val="both"/>
        <w:rPr>
          <w:color w:val="auto"/>
        </w:rPr>
      </w:pPr>
      <w:bookmarkStart w:id="1210" w:name="bookmark1291"/>
      <w:bookmarkEnd w:id="1210"/>
      <w:r>
        <w:rPr>
          <w:rFonts w:hint="eastAsia"/>
          <w:color w:val="auto"/>
        </w:rPr>
        <w:t>变更指示应说明变更的目的、范围、变更内容以及变更的工程量及其进度和技术要求，并附有关图纸和文件。承包人收到变更指示后，应按变更指示进行变更工作。</w:t>
      </w:r>
    </w:p>
    <w:p w14:paraId="1C8F5C2C">
      <w:pPr>
        <w:pStyle w:val="101"/>
        <w:spacing w:before="0" w:after="0" w:line="360" w:lineRule="exact"/>
        <w:rPr>
          <w:rFonts w:ascii="宋体" w:hAnsi="宋体" w:cs="宋体"/>
          <w:color w:val="auto"/>
          <w:sz w:val="24"/>
          <w:szCs w:val="24"/>
          <w:lang w:eastAsia="zh-CN"/>
        </w:rPr>
      </w:pPr>
      <w:bookmarkStart w:id="1211" w:name="_Toc14135"/>
      <w:bookmarkStart w:id="1212" w:name="_Toc23317"/>
      <w:bookmarkStart w:id="1213" w:name="bookmark1293"/>
      <w:bookmarkStart w:id="1214" w:name="_Toc26186"/>
      <w:bookmarkStart w:id="1215" w:name="_Toc9569"/>
      <w:bookmarkStart w:id="1216" w:name="_Toc7718"/>
      <w:bookmarkStart w:id="1217" w:name="bookmark1292"/>
      <w:bookmarkStart w:id="1218" w:name="_Toc20496"/>
      <w:bookmarkStart w:id="1219" w:name="bookmark1294"/>
      <w:bookmarkStart w:id="1220" w:name="_Toc19837"/>
      <w:r>
        <w:rPr>
          <w:rFonts w:hint="eastAsia" w:ascii="宋体" w:hAnsi="宋体" w:cs="宋体"/>
          <w:color w:val="auto"/>
          <w:sz w:val="24"/>
          <w:szCs w:val="24"/>
          <w:lang w:eastAsia="zh-CN"/>
        </w:rPr>
        <w:t>15.4变更的估价原则</w:t>
      </w:r>
      <w:bookmarkEnd w:id="1211"/>
      <w:bookmarkEnd w:id="1212"/>
      <w:bookmarkEnd w:id="1213"/>
      <w:bookmarkEnd w:id="1214"/>
      <w:bookmarkEnd w:id="1215"/>
      <w:bookmarkEnd w:id="1216"/>
      <w:bookmarkEnd w:id="1217"/>
      <w:bookmarkEnd w:id="1218"/>
      <w:bookmarkEnd w:id="1219"/>
      <w:bookmarkEnd w:id="1220"/>
    </w:p>
    <w:p w14:paraId="196DE8C7">
      <w:pPr>
        <w:pStyle w:val="95"/>
        <w:spacing w:line="358" w:lineRule="exact"/>
        <w:ind w:firstLine="420"/>
        <w:rPr>
          <w:color w:val="auto"/>
        </w:rPr>
      </w:pPr>
      <w:r>
        <w:rPr>
          <w:rFonts w:hint="eastAsia"/>
          <w:color w:val="auto"/>
        </w:rPr>
        <w:t>除专用合同条款另有约定外，因变更引起的价格调整按照本款约定处理。</w:t>
      </w:r>
    </w:p>
    <w:p w14:paraId="39F48C73">
      <w:pPr>
        <w:pStyle w:val="95"/>
        <w:spacing w:line="374" w:lineRule="auto"/>
        <w:ind w:firstLine="420"/>
        <w:rPr>
          <w:color w:val="auto"/>
        </w:rPr>
      </w:pPr>
      <w:r>
        <w:rPr>
          <w:rFonts w:hint="eastAsia"/>
          <w:color w:val="auto"/>
          <w:lang w:val="en-US" w:bidi="en-US"/>
        </w:rPr>
        <w:t>15.4.1</w:t>
      </w:r>
      <w:r>
        <w:rPr>
          <w:rFonts w:hint="eastAsia"/>
          <w:color w:val="auto"/>
        </w:rPr>
        <w:t>已标价工程量清单中有适用于变更工作的子目的，采用该子目的单价。</w:t>
      </w:r>
    </w:p>
    <w:p w14:paraId="36627523">
      <w:pPr>
        <w:pStyle w:val="95"/>
        <w:spacing w:line="358" w:lineRule="exact"/>
        <w:ind w:firstLine="440"/>
        <w:jc w:val="both"/>
        <w:rPr>
          <w:color w:val="auto"/>
        </w:rPr>
      </w:pPr>
      <w:r>
        <w:rPr>
          <w:rFonts w:hint="eastAsia"/>
          <w:color w:val="auto"/>
          <w:lang w:val="en-US" w:bidi="en-US"/>
        </w:rPr>
        <w:t>15.4.2</w:t>
      </w:r>
      <w:r>
        <w:rPr>
          <w:rFonts w:hint="eastAsia"/>
          <w:color w:val="auto"/>
        </w:rPr>
        <w:t>已标价工程量清单中无适用于变更工作的子目，但有类似子目的，可在合理范围内参照类似子目的单价，由监理人按第</w:t>
      </w:r>
      <w:r>
        <w:rPr>
          <w:rFonts w:hint="eastAsia"/>
          <w:color w:val="auto"/>
          <w:lang w:val="en-US" w:bidi="en-US"/>
        </w:rPr>
        <w:t>3.</w:t>
      </w:r>
      <w:r>
        <w:rPr>
          <w:rFonts w:hint="eastAsia"/>
          <w:color w:val="auto"/>
        </w:rPr>
        <w:t>5款商定或确定变更工作的单价。</w:t>
      </w:r>
    </w:p>
    <w:p w14:paraId="0D577E65">
      <w:pPr>
        <w:pStyle w:val="95"/>
        <w:spacing w:line="358" w:lineRule="exact"/>
        <w:ind w:firstLine="440"/>
        <w:jc w:val="both"/>
        <w:rPr>
          <w:color w:val="auto"/>
        </w:rPr>
      </w:pPr>
      <w:r>
        <w:rPr>
          <w:rFonts w:hint="eastAsia"/>
          <w:color w:val="auto"/>
          <w:lang w:val="en-US" w:bidi="en-US"/>
        </w:rPr>
        <w:t>15.4.3</w:t>
      </w:r>
      <w:r>
        <w:rPr>
          <w:rFonts w:hint="eastAsia"/>
          <w:color w:val="auto"/>
        </w:rPr>
        <w:t>已标价工程量清单中无适用或类似子目的单价，可按照成本加利润的原则，由监理人按第</w:t>
      </w:r>
      <w:r>
        <w:rPr>
          <w:rFonts w:hint="eastAsia"/>
          <w:color w:val="auto"/>
          <w:lang w:val="en-US" w:bidi="en-US"/>
        </w:rPr>
        <w:t>3.</w:t>
      </w:r>
      <w:r>
        <w:rPr>
          <w:rFonts w:hint="eastAsia"/>
          <w:color w:val="auto"/>
        </w:rPr>
        <w:t>5款商定或确定变更工作的单价。</w:t>
      </w:r>
    </w:p>
    <w:p w14:paraId="453BF742">
      <w:pPr>
        <w:pStyle w:val="101"/>
        <w:spacing w:before="0" w:after="0" w:line="360" w:lineRule="exact"/>
        <w:rPr>
          <w:rFonts w:ascii="宋体" w:hAnsi="宋体" w:cs="宋体"/>
          <w:color w:val="auto"/>
          <w:sz w:val="24"/>
          <w:szCs w:val="24"/>
          <w:lang w:eastAsia="zh-CN"/>
        </w:rPr>
      </w:pPr>
      <w:bookmarkStart w:id="1221" w:name="_Toc15934"/>
      <w:bookmarkStart w:id="1222" w:name="_Toc19619"/>
      <w:bookmarkStart w:id="1223" w:name="bookmark1296"/>
      <w:bookmarkStart w:id="1224" w:name="bookmark1295"/>
      <w:bookmarkStart w:id="1225" w:name="bookmark1297"/>
      <w:bookmarkStart w:id="1226" w:name="_Toc3695"/>
      <w:bookmarkStart w:id="1227" w:name="_Toc27162"/>
      <w:bookmarkStart w:id="1228" w:name="_Toc28730"/>
      <w:bookmarkStart w:id="1229" w:name="_Toc18528"/>
      <w:r>
        <w:rPr>
          <w:rFonts w:hint="eastAsia" w:ascii="宋体" w:hAnsi="宋体" w:cs="宋体"/>
          <w:color w:val="auto"/>
          <w:sz w:val="24"/>
          <w:szCs w:val="24"/>
          <w:lang w:eastAsia="zh-CN"/>
        </w:rPr>
        <w:t>15.5承包人的合理化建议</w:t>
      </w:r>
      <w:bookmarkEnd w:id="1221"/>
      <w:bookmarkEnd w:id="1222"/>
      <w:bookmarkEnd w:id="1223"/>
      <w:bookmarkEnd w:id="1224"/>
      <w:bookmarkEnd w:id="1225"/>
      <w:bookmarkEnd w:id="1226"/>
      <w:bookmarkEnd w:id="1227"/>
      <w:bookmarkEnd w:id="1228"/>
      <w:bookmarkEnd w:id="1229"/>
    </w:p>
    <w:p w14:paraId="4B46878B">
      <w:pPr>
        <w:pStyle w:val="95"/>
        <w:tabs>
          <w:tab w:val="left" w:pos="854"/>
        </w:tabs>
        <w:spacing w:line="365" w:lineRule="exact"/>
        <w:ind w:firstLineChars="200"/>
        <w:jc w:val="both"/>
        <w:rPr>
          <w:color w:val="auto"/>
        </w:rPr>
      </w:pPr>
      <w:bookmarkStart w:id="1230" w:name="bookmark1298"/>
      <w:bookmarkEnd w:id="1230"/>
      <w:r>
        <w:rPr>
          <w:rFonts w:hint="eastAsia"/>
          <w:color w:val="auto"/>
          <w:lang w:val="en-US" w:bidi="en-US"/>
        </w:rPr>
        <w:t>15.5.</w:t>
      </w:r>
      <w:r>
        <w:rPr>
          <w:rFonts w:hint="eastAsia"/>
          <w:color w:val="auto"/>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color w:val="auto"/>
          <w:lang w:val="en-US" w:bidi="en-US"/>
        </w:rPr>
        <w:t>15.3.</w:t>
      </w:r>
      <w:r>
        <w:rPr>
          <w:rFonts w:hint="eastAsia"/>
          <w:color w:val="auto"/>
        </w:rPr>
        <w:t>3项约定向承包人发出变更指示。</w:t>
      </w:r>
    </w:p>
    <w:p w14:paraId="43F54A37">
      <w:pPr>
        <w:pStyle w:val="95"/>
        <w:spacing w:line="379" w:lineRule="exact"/>
        <w:ind w:firstLine="440"/>
        <w:jc w:val="both"/>
        <w:rPr>
          <w:color w:val="auto"/>
        </w:rPr>
      </w:pPr>
      <w:r>
        <w:rPr>
          <w:rFonts w:hint="eastAsia"/>
          <w:color w:val="auto"/>
          <w:lang w:val="en-US" w:bidi="en-US"/>
        </w:rPr>
        <w:t>15.5.2</w:t>
      </w:r>
      <w:r>
        <w:rPr>
          <w:rFonts w:hint="eastAsia"/>
          <w:color w:val="auto"/>
        </w:rPr>
        <w:t>承包人提出的合理化建议降低了合同价格、缩短了工期或者提高了工程经济效益的，发包人可按国家有关规定在专用合同条款中约定给予奖励。</w:t>
      </w:r>
    </w:p>
    <w:p w14:paraId="06CDC657">
      <w:pPr>
        <w:pStyle w:val="101"/>
        <w:spacing w:before="0" w:after="0" w:line="360" w:lineRule="exact"/>
        <w:rPr>
          <w:rFonts w:ascii="宋体" w:hAnsi="宋体" w:cs="宋体"/>
          <w:color w:val="auto"/>
          <w:sz w:val="24"/>
          <w:szCs w:val="24"/>
          <w:lang w:eastAsia="zh-CN"/>
        </w:rPr>
      </w:pPr>
      <w:bookmarkStart w:id="1231" w:name="_Toc16292"/>
      <w:bookmarkStart w:id="1232" w:name="bookmark1299"/>
      <w:bookmarkStart w:id="1233" w:name="_Toc16534"/>
      <w:bookmarkStart w:id="1234" w:name="bookmark1300"/>
      <w:bookmarkStart w:id="1235" w:name="_Toc7702"/>
      <w:bookmarkStart w:id="1236" w:name="_Toc441"/>
      <w:bookmarkStart w:id="1237" w:name="_Toc19763"/>
      <w:bookmarkStart w:id="1238" w:name="_Toc29165"/>
      <w:bookmarkStart w:id="1239" w:name="_Toc10362"/>
      <w:bookmarkStart w:id="1240" w:name="bookmark1301"/>
      <w:r>
        <w:rPr>
          <w:rFonts w:hint="eastAsia" w:ascii="宋体" w:hAnsi="宋体" w:cs="宋体"/>
          <w:color w:val="auto"/>
          <w:sz w:val="24"/>
          <w:szCs w:val="24"/>
          <w:lang w:eastAsia="zh-CN"/>
        </w:rPr>
        <w:t>15.6暂列金额</w:t>
      </w:r>
      <w:bookmarkEnd w:id="1231"/>
      <w:bookmarkEnd w:id="1232"/>
      <w:bookmarkEnd w:id="1233"/>
      <w:bookmarkEnd w:id="1234"/>
      <w:bookmarkEnd w:id="1235"/>
      <w:bookmarkEnd w:id="1236"/>
      <w:bookmarkEnd w:id="1237"/>
      <w:bookmarkEnd w:id="1238"/>
      <w:bookmarkEnd w:id="1239"/>
      <w:bookmarkEnd w:id="1240"/>
    </w:p>
    <w:p w14:paraId="23CD595A">
      <w:pPr>
        <w:pStyle w:val="95"/>
        <w:spacing w:line="365" w:lineRule="exact"/>
        <w:ind w:firstLine="420"/>
        <w:rPr>
          <w:color w:val="auto"/>
        </w:rPr>
      </w:pPr>
      <w:r>
        <w:rPr>
          <w:rFonts w:hint="eastAsia"/>
          <w:color w:val="auto"/>
        </w:rPr>
        <w:t>暂列金额只能按照监理人的指示使用，并对合同价格进行相应调整。</w:t>
      </w:r>
    </w:p>
    <w:p w14:paraId="26EDE75C">
      <w:pPr>
        <w:pStyle w:val="101"/>
        <w:spacing w:before="0" w:after="0" w:line="360" w:lineRule="exact"/>
        <w:rPr>
          <w:rFonts w:ascii="宋体" w:hAnsi="宋体" w:cs="宋体"/>
          <w:color w:val="auto"/>
          <w:sz w:val="24"/>
          <w:szCs w:val="24"/>
          <w:lang w:eastAsia="zh-CN"/>
        </w:rPr>
      </w:pPr>
      <w:bookmarkStart w:id="1241" w:name="_Toc20667"/>
      <w:bookmarkStart w:id="1242" w:name="_Toc16389"/>
      <w:bookmarkStart w:id="1243" w:name="_Toc23161"/>
      <w:bookmarkStart w:id="1244" w:name="_Toc5469"/>
      <w:bookmarkStart w:id="1245" w:name="bookmark1303"/>
      <w:bookmarkStart w:id="1246" w:name="_Toc10065"/>
      <w:bookmarkStart w:id="1247" w:name="_Toc14275"/>
      <w:bookmarkStart w:id="1248" w:name="bookmark1302"/>
      <w:bookmarkStart w:id="1249" w:name="_Toc22894"/>
      <w:bookmarkStart w:id="1250" w:name="bookmark1304"/>
      <w:r>
        <w:rPr>
          <w:rFonts w:hint="eastAsia" w:ascii="宋体" w:hAnsi="宋体" w:cs="宋体"/>
          <w:color w:val="auto"/>
          <w:sz w:val="24"/>
          <w:szCs w:val="24"/>
          <w:lang w:eastAsia="zh-CN"/>
        </w:rPr>
        <w:t>15.7计日工</w:t>
      </w:r>
      <w:bookmarkEnd w:id="1241"/>
      <w:bookmarkEnd w:id="1242"/>
      <w:bookmarkEnd w:id="1243"/>
      <w:bookmarkEnd w:id="1244"/>
      <w:bookmarkEnd w:id="1245"/>
      <w:bookmarkEnd w:id="1246"/>
      <w:bookmarkEnd w:id="1247"/>
      <w:bookmarkEnd w:id="1248"/>
      <w:bookmarkEnd w:id="1249"/>
      <w:bookmarkEnd w:id="1250"/>
    </w:p>
    <w:p w14:paraId="58BBCFAB">
      <w:pPr>
        <w:pStyle w:val="95"/>
        <w:spacing w:line="360" w:lineRule="exact"/>
        <w:ind w:firstLine="440"/>
        <w:jc w:val="both"/>
        <w:rPr>
          <w:color w:val="auto"/>
        </w:rPr>
      </w:pPr>
      <w:r>
        <w:rPr>
          <w:rFonts w:hint="eastAsia"/>
          <w:color w:val="auto"/>
          <w:lang w:val="en-US"/>
        </w:rPr>
        <w:t>15.7.1</w:t>
      </w:r>
      <w:r>
        <w:rPr>
          <w:rFonts w:hint="eastAsia"/>
          <w:color w:val="auto"/>
        </w:rPr>
        <w:t>发包人认为有必要时，由监理人通知承包人以计日工方式实施变更的零星工作。其价款按列入已标价工程量清单中的计日工计价子目及其单价进行计算。</w:t>
      </w:r>
    </w:p>
    <w:p w14:paraId="7FB6B3A8">
      <w:pPr>
        <w:pStyle w:val="95"/>
        <w:spacing w:line="360" w:lineRule="exact"/>
        <w:ind w:firstLine="440"/>
        <w:jc w:val="both"/>
        <w:rPr>
          <w:color w:val="auto"/>
        </w:rPr>
      </w:pPr>
      <w:r>
        <w:rPr>
          <w:rFonts w:hint="eastAsia"/>
          <w:color w:val="auto"/>
          <w:lang w:val="en-US" w:bidi="en-US"/>
        </w:rPr>
        <w:t>15.7.2</w:t>
      </w:r>
      <w:r>
        <w:rPr>
          <w:rFonts w:hint="eastAsia"/>
          <w:color w:val="auto"/>
        </w:rPr>
        <w:t>采用计日工计价的任何一项变更工作，应从暂列金额中支付，承包人应在该项变更的实施过程中，每天提交以下报表和有关凭证报送监理人审批：</w:t>
      </w:r>
    </w:p>
    <w:p w14:paraId="7728AE3B">
      <w:pPr>
        <w:pStyle w:val="95"/>
        <w:numPr>
          <w:ilvl w:val="0"/>
          <w:numId w:val="16"/>
        </w:numPr>
        <w:tabs>
          <w:tab w:val="left" w:pos="903"/>
        </w:tabs>
        <w:spacing w:line="360" w:lineRule="exact"/>
        <w:ind w:firstLine="420"/>
        <w:rPr>
          <w:color w:val="auto"/>
        </w:rPr>
      </w:pPr>
      <w:bookmarkStart w:id="1251" w:name="bookmark1305"/>
      <w:bookmarkEnd w:id="1251"/>
      <w:r>
        <w:rPr>
          <w:rFonts w:hint="eastAsia"/>
          <w:color w:val="auto"/>
        </w:rPr>
        <w:t>工作名称、内容和数量；</w:t>
      </w:r>
    </w:p>
    <w:p w14:paraId="4C8BE645">
      <w:pPr>
        <w:pStyle w:val="95"/>
        <w:numPr>
          <w:ilvl w:val="0"/>
          <w:numId w:val="16"/>
        </w:numPr>
        <w:tabs>
          <w:tab w:val="left" w:pos="903"/>
        </w:tabs>
        <w:spacing w:line="360" w:lineRule="exact"/>
        <w:ind w:firstLine="420"/>
        <w:rPr>
          <w:color w:val="auto"/>
        </w:rPr>
      </w:pPr>
      <w:bookmarkStart w:id="1252" w:name="bookmark1306"/>
      <w:bookmarkEnd w:id="1252"/>
      <w:r>
        <w:rPr>
          <w:rFonts w:hint="eastAsia"/>
          <w:color w:val="auto"/>
        </w:rPr>
        <w:t>投入该工作所有人员的姓名、工种、级别和耗用工时；</w:t>
      </w:r>
    </w:p>
    <w:p w14:paraId="473EC425">
      <w:pPr>
        <w:pStyle w:val="95"/>
        <w:numPr>
          <w:ilvl w:val="0"/>
          <w:numId w:val="16"/>
        </w:numPr>
        <w:tabs>
          <w:tab w:val="left" w:pos="903"/>
        </w:tabs>
        <w:spacing w:line="360" w:lineRule="exact"/>
        <w:ind w:firstLine="420"/>
        <w:rPr>
          <w:color w:val="auto"/>
        </w:rPr>
      </w:pPr>
      <w:bookmarkStart w:id="1253" w:name="bookmark1307"/>
      <w:bookmarkEnd w:id="1253"/>
      <w:r>
        <w:rPr>
          <w:rFonts w:hint="eastAsia"/>
          <w:color w:val="auto"/>
        </w:rPr>
        <w:t>投入该工作的材料类别和数量；</w:t>
      </w:r>
    </w:p>
    <w:p w14:paraId="4D7A26EA">
      <w:pPr>
        <w:pStyle w:val="95"/>
        <w:numPr>
          <w:ilvl w:val="0"/>
          <w:numId w:val="16"/>
        </w:numPr>
        <w:tabs>
          <w:tab w:val="left" w:pos="903"/>
        </w:tabs>
        <w:spacing w:line="360" w:lineRule="exact"/>
        <w:ind w:firstLine="420"/>
        <w:rPr>
          <w:color w:val="auto"/>
        </w:rPr>
      </w:pPr>
      <w:bookmarkStart w:id="1254" w:name="bookmark1308"/>
      <w:bookmarkEnd w:id="1254"/>
      <w:r>
        <w:rPr>
          <w:rFonts w:hint="eastAsia"/>
          <w:color w:val="auto"/>
        </w:rPr>
        <w:t>投入该工作的施工设备型号、台数和耗用台时；</w:t>
      </w:r>
    </w:p>
    <w:p w14:paraId="4F9A17D9">
      <w:pPr>
        <w:pStyle w:val="95"/>
        <w:numPr>
          <w:ilvl w:val="0"/>
          <w:numId w:val="16"/>
        </w:numPr>
        <w:tabs>
          <w:tab w:val="left" w:pos="903"/>
        </w:tabs>
        <w:spacing w:line="360" w:lineRule="exact"/>
        <w:ind w:firstLine="420"/>
        <w:rPr>
          <w:color w:val="auto"/>
        </w:rPr>
      </w:pPr>
      <w:bookmarkStart w:id="1255" w:name="bookmark1309"/>
      <w:bookmarkEnd w:id="1255"/>
      <w:r>
        <w:rPr>
          <w:rFonts w:hint="eastAsia"/>
          <w:color w:val="auto"/>
        </w:rPr>
        <w:t>监理人要求提交的其他资料和凭证。</w:t>
      </w:r>
    </w:p>
    <w:p w14:paraId="1E61C63B">
      <w:pPr>
        <w:pStyle w:val="95"/>
        <w:spacing w:line="360" w:lineRule="exact"/>
        <w:ind w:firstLine="440"/>
        <w:jc w:val="both"/>
        <w:rPr>
          <w:color w:val="auto"/>
        </w:rPr>
      </w:pPr>
      <w:r>
        <w:rPr>
          <w:rFonts w:hint="eastAsia"/>
          <w:color w:val="auto"/>
          <w:lang w:val="en-US" w:bidi="en-US"/>
        </w:rPr>
        <w:t>15.7.3</w:t>
      </w:r>
      <w:r>
        <w:rPr>
          <w:rFonts w:hint="eastAsia"/>
          <w:color w:val="auto"/>
        </w:rPr>
        <w:t>计日工由承包人汇总后，按第</w:t>
      </w:r>
      <w:r>
        <w:rPr>
          <w:rFonts w:hint="eastAsia"/>
          <w:color w:val="auto"/>
          <w:lang w:val="en-US" w:bidi="en-US"/>
        </w:rPr>
        <w:t>17.3.2</w:t>
      </w:r>
      <w:r>
        <w:rPr>
          <w:rFonts w:hint="eastAsia"/>
          <w:color w:val="auto"/>
        </w:rPr>
        <w:t>项的约定列入进度付款申请单，由监理人复核并经发包人同意后列入进度付款。</w:t>
      </w:r>
    </w:p>
    <w:p w14:paraId="3685E8BD">
      <w:pPr>
        <w:pStyle w:val="101"/>
        <w:spacing w:before="0" w:after="0" w:line="360" w:lineRule="exact"/>
        <w:rPr>
          <w:rFonts w:ascii="宋体" w:hAnsi="宋体" w:cs="宋体"/>
          <w:color w:val="auto"/>
          <w:sz w:val="24"/>
          <w:szCs w:val="24"/>
          <w:lang w:eastAsia="zh-CN"/>
        </w:rPr>
      </w:pPr>
      <w:bookmarkStart w:id="1256" w:name="_Toc21122"/>
      <w:bookmarkStart w:id="1257" w:name="bookmark1310"/>
      <w:bookmarkStart w:id="1258" w:name="_Toc31389"/>
      <w:bookmarkStart w:id="1259" w:name="_Toc21886"/>
      <w:bookmarkStart w:id="1260" w:name="bookmark1312"/>
      <w:bookmarkStart w:id="1261" w:name="_Toc6776"/>
      <w:bookmarkStart w:id="1262" w:name="bookmark1311"/>
      <w:bookmarkStart w:id="1263" w:name="_Toc32155"/>
      <w:bookmarkStart w:id="1264" w:name="_Toc28868"/>
      <w:bookmarkStart w:id="1265" w:name="_Toc23616"/>
      <w:r>
        <w:rPr>
          <w:rFonts w:hint="eastAsia" w:ascii="宋体" w:hAnsi="宋体" w:cs="宋体"/>
          <w:color w:val="auto"/>
          <w:sz w:val="24"/>
          <w:szCs w:val="24"/>
          <w:lang w:eastAsia="zh-CN"/>
        </w:rPr>
        <w:t>15.8暂估价</w:t>
      </w:r>
      <w:bookmarkEnd w:id="1256"/>
      <w:bookmarkEnd w:id="1257"/>
      <w:bookmarkEnd w:id="1258"/>
      <w:bookmarkEnd w:id="1259"/>
      <w:bookmarkEnd w:id="1260"/>
      <w:bookmarkEnd w:id="1261"/>
      <w:bookmarkEnd w:id="1262"/>
      <w:bookmarkEnd w:id="1263"/>
      <w:bookmarkEnd w:id="1264"/>
      <w:bookmarkEnd w:id="1265"/>
    </w:p>
    <w:p w14:paraId="42EA2E5A">
      <w:pPr>
        <w:pStyle w:val="95"/>
        <w:spacing w:line="374" w:lineRule="exact"/>
        <w:ind w:firstLine="440"/>
        <w:jc w:val="both"/>
        <w:rPr>
          <w:color w:val="auto"/>
        </w:rPr>
      </w:pPr>
      <w:bookmarkStart w:id="1266" w:name="bookmark1313"/>
      <w:bookmarkEnd w:id="1266"/>
      <w:r>
        <w:rPr>
          <w:rFonts w:hint="eastAsia"/>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2631FA28">
      <w:pPr>
        <w:pStyle w:val="95"/>
        <w:spacing w:line="374" w:lineRule="exact"/>
        <w:ind w:firstLine="440"/>
        <w:jc w:val="both"/>
        <w:rPr>
          <w:color w:val="auto"/>
        </w:rPr>
      </w:pPr>
      <w:bookmarkStart w:id="1267" w:name="bookmark1314"/>
      <w:bookmarkEnd w:id="1267"/>
      <w:r>
        <w:rPr>
          <w:rFonts w:hint="eastAsia"/>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63DECCB">
      <w:pPr>
        <w:pStyle w:val="95"/>
        <w:spacing w:line="374" w:lineRule="exact"/>
        <w:ind w:firstLine="440"/>
        <w:jc w:val="both"/>
        <w:rPr>
          <w:color w:val="auto"/>
        </w:rPr>
      </w:pPr>
      <w:bookmarkStart w:id="1268" w:name="bookmark1315"/>
      <w:bookmarkEnd w:id="1268"/>
      <w:r>
        <w:rPr>
          <w:rFonts w:hint="eastAsia"/>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F7886EC">
      <w:pPr>
        <w:pStyle w:val="101"/>
        <w:spacing w:before="0" w:after="0" w:line="360" w:lineRule="exact"/>
        <w:rPr>
          <w:rFonts w:ascii="宋体" w:hAnsi="宋体" w:cs="宋体"/>
          <w:color w:val="auto"/>
          <w:lang w:eastAsia="zh-CN"/>
        </w:rPr>
      </w:pPr>
      <w:bookmarkStart w:id="1269" w:name="_Toc31578"/>
      <w:bookmarkStart w:id="1270" w:name="_Toc32383"/>
      <w:bookmarkStart w:id="1271" w:name="bookmark1317"/>
      <w:bookmarkStart w:id="1272" w:name="_Toc242"/>
      <w:bookmarkStart w:id="1273" w:name="_Toc28344"/>
      <w:bookmarkStart w:id="1274" w:name="bookmark1316"/>
      <w:bookmarkStart w:id="1275" w:name="bookmark1318"/>
      <w:bookmarkStart w:id="1276" w:name="_Toc4694"/>
      <w:bookmarkStart w:id="1277" w:name="_Toc8185"/>
      <w:bookmarkStart w:id="1278" w:name="_Toc25393"/>
      <w:r>
        <w:rPr>
          <w:rFonts w:hint="eastAsia" w:ascii="宋体" w:hAnsi="宋体" w:cs="宋体"/>
          <w:color w:val="auto"/>
          <w:lang w:eastAsia="zh-CN"/>
        </w:rPr>
        <w:t>16 .价格调整</w:t>
      </w:r>
      <w:bookmarkEnd w:id="1269"/>
      <w:bookmarkEnd w:id="1270"/>
      <w:bookmarkEnd w:id="1271"/>
      <w:bookmarkEnd w:id="1272"/>
      <w:bookmarkEnd w:id="1273"/>
      <w:bookmarkEnd w:id="1274"/>
      <w:bookmarkEnd w:id="1275"/>
      <w:bookmarkEnd w:id="1276"/>
      <w:bookmarkEnd w:id="1277"/>
      <w:bookmarkEnd w:id="1278"/>
    </w:p>
    <w:p w14:paraId="3D102616">
      <w:pPr>
        <w:pStyle w:val="101"/>
        <w:spacing w:before="0" w:after="0" w:line="360" w:lineRule="exact"/>
        <w:rPr>
          <w:rFonts w:ascii="宋体" w:hAnsi="宋体" w:cs="宋体"/>
          <w:color w:val="auto"/>
          <w:sz w:val="24"/>
          <w:szCs w:val="24"/>
          <w:lang w:eastAsia="zh-CN"/>
        </w:rPr>
      </w:pPr>
      <w:bookmarkStart w:id="1279" w:name="_Toc2131"/>
      <w:bookmarkStart w:id="1280" w:name="bookmark1320"/>
      <w:bookmarkStart w:id="1281" w:name="bookmark1321"/>
      <w:bookmarkStart w:id="1282" w:name="_Toc3602"/>
      <w:bookmarkStart w:id="1283" w:name="_Toc8606"/>
      <w:bookmarkStart w:id="1284" w:name="bookmark1319"/>
      <w:bookmarkStart w:id="1285" w:name="_Toc20370"/>
      <w:bookmarkStart w:id="1286" w:name="_Toc28179"/>
      <w:bookmarkStart w:id="1287" w:name="_Toc23512"/>
      <w:bookmarkStart w:id="1288" w:name="_Toc11777"/>
      <w:r>
        <w:rPr>
          <w:rFonts w:hint="eastAsia" w:ascii="宋体" w:hAnsi="宋体" w:cs="宋体"/>
          <w:color w:val="auto"/>
          <w:sz w:val="24"/>
          <w:szCs w:val="24"/>
          <w:lang w:eastAsia="zh-CN"/>
        </w:rPr>
        <w:t>16.1物价波动引起的价格调整</w:t>
      </w:r>
      <w:bookmarkEnd w:id="1279"/>
      <w:bookmarkEnd w:id="1280"/>
      <w:bookmarkEnd w:id="1281"/>
      <w:bookmarkEnd w:id="1282"/>
      <w:bookmarkEnd w:id="1283"/>
      <w:bookmarkEnd w:id="1284"/>
      <w:bookmarkEnd w:id="1285"/>
      <w:bookmarkEnd w:id="1286"/>
      <w:bookmarkEnd w:id="1287"/>
      <w:bookmarkEnd w:id="1288"/>
    </w:p>
    <w:p w14:paraId="1C7BD3CD">
      <w:pPr>
        <w:pStyle w:val="95"/>
        <w:spacing w:line="347" w:lineRule="exact"/>
        <w:ind w:firstLine="420"/>
        <w:jc w:val="both"/>
        <w:rPr>
          <w:color w:val="auto"/>
        </w:rPr>
      </w:pPr>
      <w:r>
        <w:rPr>
          <w:rFonts w:hint="eastAsia"/>
          <w:color w:val="auto"/>
        </w:rPr>
        <w:t>由于物价波动原因引起合同价格需要调整的，其价格调整方式在专用合同条款中约定；除专用合同条款另有约定外，因物价波动引起的价格调整按照本款约定处理。</w:t>
      </w:r>
    </w:p>
    <w:p w14:paraId="54084562">
      <w:pPr>
        <w:pStyle w:val="95"/>
        <w:tabs>
          <w:tab w:val="left" w:pos="839"/>
        </w:tabs>
        <w:spacing w:line="347" w:lineRule="exact"/>
        <w:ind w:left="420" w:firstLine="0"/>
        <w:jc w:val="both"/>
        <w:rPr>
          <w:color w:val="auto"/>
        </w:rPr>
      </w:pPr>
      <w:bookmarkStart w:id="1289" w:name="bookmark1322"/>
      <w:bookmarkEnd w:id="1289"/>
      <w:r>
        <w:rPr>
          <w:rFonts w:hint="eastAsia"/>
          <w:color w:val="auto"/>
          <w:lang w:val="en-US" w:bidi="en-US"/>
        </w:rPr>
        <w:t>16.1.</w:t>
      </w:r>
      <w:r>
        <w:rPr>
          <w:rFonts w:hint="eastAsia"/>
          <w:color w:val="auto"/>
        </w:rPr>
        <w:t>1采用价格指数调整价格差额</w:t>
      </w:r>
    </w:p>
    <w:p w14:paraId="12048410">
      <w:pPr>
        <w:pStyle w:val="102"/>
        <w:tabs>
          <w:tab w:val="left" w:pos="839"/>
        </w:tabs>
        <w:spacing w:after="0" w:line="347" w:lineRule="exact"/>
        <w:ind w:left="420" w:firstLine="0"/>
        <w:jc w:val="both"/>
        <w:rPr>
          <w:rFonts w:ascii="宋体" w:hAnsi="宋体" w:cs="宋体"/>
          <w:color w:val="auto"/>
          <w:lang w:eastAsia="zh-CN"/>
        </w:rPr>
      </w:pPr>
      <w:bookmarkStart w:id="1290" w:name="bookmark1323"/>
      <w:bookmarkEnd w:id="1290"/>
      <w:r>
        <w:rPr>
          <w:rFonts w:hint="eastAsia" w:ascii="宋体" w:hAnsi="宋体" w:cs="宋体"/>
          <w:color w:val="auto"/>
          <w:lang w:eastAsia="zh-CN"/>
        </w:rPr>
        <w:t>16.1.1.</w:t>
      </w:r>
      <w:r>
        <w:rPr>
          <w:rFonts w:hint="eastAsia" w:ascii="宋体" w:hAnsi="宋体" w:cs="宋体"/>
          <w:color w:val="auto"/>
          <w:lang w:val="zh-CN" w:eastAsia="zh-CN" w:bidi="zh-CN"/>
        </w:rPr>
        <w:t>1价格调整公式</w:t>
      </w:r>
    </w:p>
    <w:p w14:paraId="5BD62FF6">
      <w:pPr>
        <w:pStyle w:val="95"/>
        <w:spacing w:line="347" w:lineRule="exact"/>
        <w:ind w:firstLine="420"/>
        <w:jc w:val="both"/>
        <w:rPr>
          <w:color w:val="auto"/>
        </w:rPr>
      </w:pPr>
      <w:r>
        <w:rPr>
          <w:rFonts w:hint="eastAsia"/>
          <w:color w:val="auto"/>
        </w:rPr>
        <w:t>因人工、材料和设备等价格波动影响合同价格时，根据投标函附录中的价格指数和权重表约定的数据，按以下公式计算差额并调整合同价格。</w:t>
      </w:r>
    </w:p>
    <w:p w14:paraId="2672FD24">
      <w:pPr>
        <w:pStyle w:val="95"/>
        <w:spacing w:line="240" w:lineRule="auto"/>
        <w:ind w:firstLine="420"/>
        <w:rPr>
          <w:color w:val="auto"/>
          <w:lang w:val="en-US"/>
        </w:rPr>
      </w:pPr>
      <w:r>
        <w:rPr>
          <w:rFonts w:hint="eastAsia"/>
          <w:color w:val="auto"/>
          <w:sz w:val="24"/>
        </w:rPr>
        <w:object>
          <v:shape id="_x0000_i1025" o:spt="75" type="#_x0000_t75" style="height:49.5pt;width:324.0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15E5DADB">
      <w:pPr>
        <w:pStyle w:val="95"/>
        <w:spacing w:line="374" w:lineRule="exact"/>
        <w:ind w:firstLine="420"/>
        <w:rPr>
          <w:color w:val="auto"/>
          <w:lang w:val="en-US"/>
        </w:rPr>
      </w:pPr>
    </w:p>
    <w:p w14:paraId="05891465">
      <w:pPr>
        <w:pStyle w:val="95"/>
        <w:spacing w:line="374" w:lineRule="exact"/>
        <w:ind w:firstLine="420"/>
        <w:rPr>
          <w:color w:val="auto"/>
          <w:lang w:val="en-US"/>
        </w:rPr>
      </w:pPr>
      <w:r>
        <w:rPr>
          <w:rFonts w:hint="eastAsia"/>
          <w:color w:val="auto"/>
          <w:lang w:val="en-US"/>
        </w:rPr>
        <w:t>式中： △P -- 需调整的价格差额；</w:t>
      </w:r>
    </w:p>
    <w:p w14:paraId="6C1DD938">
      <w:pPr>
        <w:pStyle w:val="95"/>
        <w:spacing w:line="374" w:lineRule="exact"/>
        <w:ind w:firstLine="420"/>
        <w:rPr>
          <w:color w:val="auto"/>
          <w:lang w:val="en-US"/>
        </w:rPr>
      </w:pPr>
      <w:r>
        <w:rPr>
          <w:rFonts w:hint="eastAsia"/>
          <w:color w:val="auto"/>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3AA3815A">
      <w:pPr>
        <w:pStyle w:val="95"/>
        <w:spacing w:line="374" w:lineRule="exact"/>
        <w:ind w:firstLine="420"/>
        <w:rPr>
          <w:color w:val="auto"/>
          <w:lang w:val="en-US"/>
        </w:rPr>
      </w:pPr>
      <w:bookmarkStart w:id="1291" w:name="_Toc152042495"/>
      <w:bookmarkStart w:id="1292" w:name="_Toc144974686"/>
      <w:r>
        <w:rPr>
          <w:rFonts w:hint="eastAsia"/>
          <w:color w:val="auto"/>
          <w:lang w:val="en-US"/>
        </w:rPr>
        <w:t>A -- 定值权重(即不调部分的权重)；</w:t>
      </w:r>
      <w:bookmarkEnd w:id="1291"/>
      <w:bookmarkEnd w:id="1292"/>
    </w:p>
    <w:p w14:paraId="0E2DE16E">
      <w:pPr>
        <w:pStyle w:val="95"/>
        <w:spacing w:line="374" w:lineRule="exact"/>
        <w:ind w:firstLine="420"/>
        <w:rPr>
          <w:color w:val="auto"/>
          <w:lang w:val="en-US"/>
        </w:rPr>
      </w:pPr>
      <w:r>
        <w:rPr>
          <w:rFonts w:hint="eastAsia"/>
          <w:color w:val="auto"/>
          <w:lang w:val="en-US"/>
        </w:rPr>
        <w:t>B1；B2；B3·····Bn -- 各可调因子的变值权重(即可调部分的权重)为各可调因子在投标函投标总报价中所占的比例；</w:t>
      </w:r>
    </w:p>
    <w:p w14:paraId="143CD27A">
      <w:pPr>
        <w:pStyle w:val="95"/>
        <w:spacing w:line="374" w:lineRule="exact"/>
        <w:ind w:firstLine="420"/>
        <w:rPr>
          <w:color w:val="auto"/>
          <w:lang w:val="en-US"/>
        </w:rPr>
      </w:pPr>
      <w:r>
        <w:rPr>
          <w:rFonts w:hint="eastAsia"/>
          <w:color w:val="auto"/>
          <w:lang w:val="en-US"/>
        </w:rPr>
        <w:t>Ft1；Ft2；Ft3·····Ftn -- 各可调因子的现行价格指数，指第17.3.3项、第17.5.2项和第17.6.2项约定的付款证书相关周期最后一天的前42天的各可调因子的价格指数；</w:t>
      </w:r>
    </w:p>
    <w:p w14:paraId="5C68E8B9">
      <w:pPr>
        <w:pStyle w:val="95"/>
        <w:spacing w:line="374" w:lineRule="exact"/>
        <w:ind w:firstLine="420"/>
        <w:jc w:val="both"/>
        <w:rPr>
          <w:color w:val="auto"/>
          <w:lang w:val="en-US"/>
        </w:rPr>
      </w:pPr>
      <w:r>
        <w:rPr>
          <w:rFonts w:hint="eastAsia"/>
          <w:color w:val="auto"/>
          <w:lang w:val="en-US"/>
        </w:rPr>
        <w:t>Fo1；Fo2; Fo3·····Fon -- 各可调因子的基本价格指数，指基准日期的各可调因子的价格指数。</w:t>
      </w:r>
    </w:p>
    <w:p w14:paraId="45E8D575">
      <w:pPr>
        <w:pStyle w:val="95"/>
        <w:spacing w:line="353" w:lineRule="exact"/>
        <w:ind w:firstLine="420"/>
        <w:jc w:val="both"/>
        <w:rPr>
          <w:color w:val="auto"/>
        </w:rPr>
      </w:pPr>
      <w:r>
        <w:rPr>
          <w:rFonts w:hint="eastAsia"/>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3696593">
      <w:pPr>
        <w:pStyle w:val="95"/>
        <w:spacing w:line="379" w:lineRule="auto"/>
        <w:ind w:firstLine="420"/>
        <w:rPr>
          <w:color w:val="auto"/>
        </w:rPr>
      </w:pPr>
      <w:r>
        <w:rPr>
          <w:rFonts w:hint="eastAsia"/>
          <w:color w:val="auto"/>
          <w:lang w:val="en-US" w:bidi="en-US"/>
        </w:rPr>
        <w:t>16.1.1.2</w:t>
      </w:r>
      <w:r>
        <w:rPr>
          <w:rFonts w:hint="eastAsia"/>
          <w:color w:val="auto"/>
        </w:rPr>
        <w:t>暂时确定调整差额</w:t>
      </w:r>
    </w:p>
    <w:p w14:paraId="05C06751">
      <w:pPr>
        <w:pStyle w:val="95"/>
        <w:spacing w:line="362" w:lineRule="exact"/>
        <w:ind w:firstLine="440"/>
        <w:jc w:val="both"/>
        <w:rPr>
          <w:color w:val="auto"/>
        </w:rPr>
      </w:pPr>
      <w:r>
        <w:rPr>
          <w:rFonts w:hint="eastAsia"/>
          <w:color w:val="auto"/>
        </w:rPr>
        <w:t>在计算调整差额时得不到现行价格指数的，可暂用上一次价格指数计算，并在以后的付款中再按实际价格指数进行调整。</w:t>
      </w:r>
    </w:p>
    <w:p w14:paraId="17C07DD9">
      <w:pPr>
        <w:pStyle w:val="102"/>
        <w:spacing w:after="0" w:line="386" w:lineRule="auto"/>
        <w:ind w:firstLine="440"/>
        <w:jc w:val="both"/>
        <w:rPr>
          <w:rFonts w:ascii="宋体" w:hAnsi="宋体" w:cs="宋体"/>
          <w:color w:val="auto"/>
          <w:lang w:eastAsia="zh-CN"/>
        </w:rPr>
      </w:pPr>
      <w:r>
        <w:rPr>
          <w:rFonts w:hint="eastAsia" w:ascii="宋体" w:hAnsi="宋体" w:cs="宋体"/>
          <w:color w:val="auto"/>
          <w:lang w:eastAsia="zh-CN"/>
        </w:rPr>
        <w:t>16.1.1.3</w:t>
      </w:r>
      <w:r>
        <w:rPr>
          <w:rFonts w:hint="eastAsia" w:ascii="宋体" w:hAnsi="宋体" w:cs="宋体"/>
          <w:color w:val="auto"/>
          <w:lang w:val="zh-CN" w:eastAsia="zh-CN" w:bidi="zh-CN"/>
        </w:rPr>
        <w:t>权重的调整</w:t>
      </w:r>
    </w:p>
    <w:p w14:paraId="4CECCA0B">
      <w:pPr>
        <w:pStyle w:val="95"/>
        <w:spacing w:line="370" w:lineRule="exact"/>
        <w:ind w:firstLine="440"/>
        <w:jc w:val="both"/>
        <w:rPr>
          <w:color w:val="auto"/>
        </w:rPr>
      </w:pPr>
      <w:r>
        <w:rPr>
          <w:rFonts w:hint="eastAsia"/>
          <w:color w:val="auto"/>
        </w:rPr>
        <w:t>按第</w:t>
      </w:r>
      <w:r>
        <w:rPr>
          <w:rFonts w:hint="eastAsia"/>
          <w:color w:val="auto"/>
          <w:lang w:val="en-US" w:bidi="en-US"/>
        </w:rPr>
        <w:t>15.</w:t>
      </w:r>
      <w:r>
        <w:rPr>
          <w:rFonts w:hint="eastAsia"/>
          <w:color w:val="auto"/>
        </w:rPr>
        <w:t>1款约定的变更导致原定合同中的权重不合理时，由监理人与承包人和发包人协商后进行调整。</w:t>
      </w:r>
    </w:p>
    <w:p w14:paraId="2418A655">
      <w:pPr>
        <w:pStyle w:val="95"/>
        <w:spacing w:line="374" w:lineRule="auto"/>
        <w:ind w:firstLine="420"/>
        <w:rPr>
          <w:color w:val="auto"/>
        </w:rPr>
      </w:pPr>
      <w:r>
        <w:rPr>
          <w:rFonts w:hint="eastAsia"/>
          <w:color w:val="auto"/>
          <w:lang w:val="en-US" w:bidi="en-US"/>
        </w:rPr>
        <w:t>16.1.1.4</w:t>
      </w:r>
      <w:r>
        <w:rPr>
          <w:rFonts w:hint="eastAsia"/>
          <w:color w:val="auto"/>
        </w:rPr>
        <w:t>承包人工期延误后的价格调整</w:t>
      </w:r>
    </w:p>
    <w:p w14:paraId="4CE8ECCF">
      <w:pPr>
        <w:pStyle w:val="95"/>
        <w:spacing w:line="356" w:lineRule="exact"/>
        <w:ind w:firstLine="440"/>
        <w:jc w:val="both"/>
        <w:rPr>
          <w:color w:val="auto"/>
        </w:rPr>
      </w:pPr>
      <w:r>
        <w:rPr>
          <w:rFonts w:hint="eastAsia"/>
          <w:color w:val="auto"/>
        </w:rPr>
        <w:t>由于承包人原因未在约定的工期内竣工的，则对原约定竣工日期后继续施工的工程, 在使用第</w:t>
      </w:r>
      <w:r>
        <w:rPr>
          <w:rFonts w:hint="eastAsia"/>
          <w:color w:val="auto"/>
          <w:lang w:val="en-US" w:bidi="en-US"/>
        </w:rPr>
        <w:t>16.1. 1.</w:t>
      </w:r>
      <w:r>
        <w:rPr>
          <w:rFonts w:hint="eastAsia"/>
          <w:color w:val="auto"/>
        </w:rPr>
        <w:t>1目价格调整公式时，应采用原约定竣工日期与实际竣工日期的两个价格指数中较低的一个作为现行价格指数。</w:t>
      </w:r>
    </w:p>
    <w:p w14:paraId="3CFEC743">
      <w:pPr>
        <w:pStyle w:val="95"/>
        <w:tabs>
          <w:tab w:val="left" w:pos="861"/>
        </w:tabs>
        <w:spacing w:line="374" w:lineRule="auto"/>
        <w:ind w:firstLine="0"/>
        <w:jc w:val="both"/>
        <w:rPr>
          <w:color w:val="auto"/>
        </w:rPr>
      </w:pPr>
      <w:bookmarkStart w:id="1293" w:name="bookmark1325"/>
      <w:bookmarkEnd w:id="1293"/>
      <w:r>
        <w:rPr>
          <w:rFonts w:hint="eastAsia"/>
          <w:color w:val="auto"/>
          <w:lang w:val="en-US" w:bidi="en-US"/>
        </w:rPr>
        <w:t>16.1.</w:t>
      </w:r>
      <w:r>
        <w:rPr>
          <w:rFonts w:hint="eastAsia"/>
          <w:color w:val="auto"/>
        </w:rPr>
        <w:t>2采用造价信息调整价格差额</w:t>
      </w:r>
    </w:p>
    <w:p w14:paraId="781CA9EB">
      <w:pPr>
        <w:pStyle w:val="95"/>
        <w:spacing w:line="359" w:lineRule="exact"/>
        <w:ind w:firstLine="440"/>
        <w:jc w:val="both"/>
        <w:rPr>
          <w:color w:val="auto"/>
        </w:rPr>
      </w:pPr>
      <w:r>
        <w:rPr>
          <w:rFonts w:hint="eastAsia"/>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E1B40E">
      <w:pPr>
        <w:pStyle w:val="95"/>
        <w:spacing w:line="359" w:lineRule="exact"/>
        <w:ind w:firstLine="420"/>
        <w:rPr>
          <w:color w:val="auto"/>
        </w:rPr>
      </w:pPr>
      <w:r>
        <w:rPr>
          <w:rFonts w:hint="eastAsia"/>
          <w:color w:val="auto"/>
        </w:rPr>
        <w:t>工程造价信息的来源以及价格调整的项目和系数在专用合同条款中约定。</w:t>
      </w:r>
    </w:p>
    <w:p w14:paraId="054207F3">
      <w:pPr>
        <w:pStyle w:val="101"/>
        <w:spacing w:before="0" w:after="0" w:line="360" w:lineRule="exact"/>
        <w:rPr>
          <w:rFonts w:ascii="宋体" w:hAnsi="宋体" w:cs="宋体"/>
          <w:color w:val="auto"/>
          <w:sz w:val="24"/>
          <w:szCs w:val="24"/>
          <w:lang w:eastAsia="zh-CN"/>
        </w:rPr>
      </w:pPr>
      <w:bookmarkStart w:id="1294" w:name="_Toc30516"/>
      <w:bookmarkStart w:id="1295" w:name="_Toc19456"/>
      <w:bookmarkStart w:id="1296" w:name="bookmark1328"/>
      <w:bookmarkStart w:id="1297" w:name="bookmark1327"/>
      <w:bookmarkStart w:id="1298" w:name="_Toc32307"/>
      <w:bookmarkStart w:id="1299" w:name="_Toc6435"/>
      <w:bookmarkStart w:id="1300" w:name="_Toc30076"/>
      <w:bookmarkStart w:id="1301" w:name="_Toc5978"/>
      <w:bookmarkStart w:id="1302" w:name="_Toc29681"/>
      <w:bookmarkStart w:id="1303" w:name="bookmark1326"/>
      <w:r>
        <w:rPr>
          <w:rFonts w:hint="eastAsia" w:ascii="宋体" w:hAnsi="宋体" w:cs="宋体"/>
          <w:color w:val="auto"/>
          <w:sz w:val="24"/>
          <w:szCs w:val="24"/>
          <w:lang w:eastAsia="zh-CN"/>
        </w:rPr>
        <w:t>16.2法律变化引起的价格调整</w:t>
      </w:r>
      <w:bookmarkEnd w:id="1294"/>
      <w:bookmarkEnd w:id="1295"/>
      <w:bookmarkEnd w:id="1296"/>
      <w:bookmarkEnd w:id="1297"/>
      <w:bookmarkEnd w:id="1298"/>
      <w:bookmarkEnd w:id="1299"/>
      <w:bookmarkEnd w:id="1300"/>
      <w:bookmarkEnd w:id="1301"/>
      <w:bookmarkEnd w:id="1302"/>
      <w:bookmarkEnd w:id="1303"/>
    </w:p>
    <w:p w14:paraId="6F434EC8">
      <w:pPr>
        <w:pStyle w:val="95"/>
        <w:spacing w:line="348" w:lineRule="exact"/>
        <w:ind w:firstLine="440"/>
        <w:jc w:val="both"/>
        <w:rPr>
          <w:color w:val="auto"/>
        </w:rPr>
      </w:pPr>
      <w:r>
        <w:rPr>
          <w:rFonts w:hint="eastAsia"/>
          <w:color w:val="auto"/>
        </w:rPr>
        <w:t>在基准日后，因法律变化导致承包人在合同履行中所需要的工程费用发生除第</w:t>
      </w:r>
      <w:r>
        <w:rPr>
          <w:rFonts w:hint="eastAsia"/>
          <w:color w:val="auto"/>
          <w:lang w:val="en-US" w:bidi="en-US"/>
        </w:rPr>
        <w:t>16.</w:t>
      </w:r>
      <w:r>
        <w:rPr>
          <w:rFonts w:hint="eastAsia"/>
          <w:color w:val="auto"/>
        </w:rPr>
        <w:t>1款约定以外的增减时，监理人应根据法律、国家或省、自治区、直辖市有关部门的规定，按第</w:t>
      </w:r>
      <w:r>
        <w:rPr>
          <w:rFonts w:hint="eastAsia"/>
          <w:color w:val="auto"/>
          <w:lang w:val="en-US" w:bidi="en-US"/>
        </w:rPr>
        <w:t>3.</w:t>
      </w:r>
      <w:r>
        <w:rPr>
          <w:rFonts w:hint="eastAsia"/>
          <w:color w:val="auto"/>
        </w:rPr>
        <w:t>5款商定或确定需调整的合同价款。</w:t>
      </w:r>
    </w:p>
    <w:p w14:paraId="31EB40C3">
      <w:pPr>
        <w:pStyle w:val="101"/>
        <w:spacing w:before="0" w:after="0" w:line="360" w:lineRule="exact"/>
        <w:rPr>
          <w:rFonts w:ascii="宋体" w:hAnsi="宋体" w:cs="宋体"/>
          <w:color w:val="auto"/>
          <w:lang w:eastAsia="zh-CN"/>
        </w:rPr>
      </w:pPr>
      <w:bookmarkStart w:id="1304" w:name="bookmark1330"/>
      <w:bookmarkStart w:id="1305" w:name="bookmark1331"/>
      <w:bookmarkStart w:id="1306" w:name="_Toc997"/>
      <w:bookmarkStart w:id="1307" w:name="_Toc22818"/>
      <w:bookmarkStart w:id="1308" w:name="_Toc18376"/>
      <w:bookmarkStart w:id="1309" w:name="bookmark1329"/>
      <w:bookmarkStart w:id="1310" w:name="_Toc21152"/>
      <w:bookmarkStart w:id="1311" w:name="_Toc26355"/>
      <w:bookmarkStart w:id="1312" w:name="_Toc15158"/>
      <w:bookmarkStart w:id="1313" w:name="_Toc9391"/>
      <w:r>
        <w:rPr>
          <w:rFonts w:hint="eastAsia" w:ascii="宋体" w:hAnsi="宋体" w:cs="宋体"/>
          <w:color w:val="auto"/>
          <w:lang w:eastAsia="zh-CN"/>
        </w:rPr>
        <w:t>17.计量与支付</w:t>
      </w:r>
      <w:bookmarkEnd w:id="1304"/>
      <w:bookmarkEnd w:id="1305"/>
      <w:bookmarkEnd w:id="1306"/>
      <w:bookmarkEnd w:id="1307"/>
      <w:bookmarkEnd w:id="1308"/>
      <w:bookmarkEnd w:id="1309"/>
      <w:bookmarkEnd w:id="1310"/>
      <w:bookmarkEnd w:id="1311"/>
      <w:bookmarkEnd w:id="1312"/>
      <w:bookmarkEnd w:id="1313"/>
    </w:p>
    <w:p w14:paraId="47702D52">
      <w:pPr>
        <w:pStyle w:val="101"/>
        <w:spacing w:before="0" w:after="0" w:line="360" w:lineRule="exact"/>
        <w:rPr>
          <w:rFonts w:ascii="宋体" w:hAnsi="宋体" w:cs="宋体"/>
          <w:color w:val="auto"/>
          <w:sz w:val="24"/>
          <w:szCs w:val="24"/>
          <w:lang w:eastAsia="zh-CN"/>
        </w:rPr>
      </w:pPr>
      <w:bookmarkStart w:id="1314" w:name="bookmark1333"/>
      <w:bookmarkStart w:id="1315" w:name="_Toc18909"/>
      <w:bookmarkStart w:id="1316" w:name="_Toc26705"/>
      <w:bookmarkStart w:id="1317" w:name="_Toc29361"/>
      <w:bookmarkStart w:id="1318" w:name="_Toc2006"/>
      <w:bookmarkStart w:id="1319" w:name="_Toc19169"/>
      <w:bookmarkStart w:id="1320" w:name="bookmark1332"/>
      <w:bookmarkStart w:id="1321" w:name="_Toc7733"/>
      <w:bookmarkStart w:id="1322" w:name="bookmark1334"/>
      <w:bookmarkStart w:id="1323" w:name="_Toc4525"/>
      <w:r>
        <w:rPr>
          <w:rFonts w:hint="eastAsia" w:ascii="宋体" w:hAnsi="宋体" w:cs="宋体"/>
          <w:color w:val="auto"/>
          <w:sz w:val="24"/>
          <w:szCs w:val="24"/>
          <w:lang w:eastAsia="zh-CN"/>
        </w:rPr>
        <w:t>17.1计量</w:t>
      </w:r>
      <w:bookmarkEnd w:id="1314"/>
      <w:bookmarkEnd w:id="1315"/>
      <w:bookmarkEnd w:id="1316"/>
      <w:bookmarkEnd w:id="1317"/>
      <w:bookmarkEnd w:id="1318"/>
      <w:bookmarkEnd w:id="1319"/>
      <w:bookmarkEnd w:id="1320"/>
      <w:bookmarkEnd w:id="1321"/>
      <w:bookmarkEnd w:id="1322"/>
      <w:bookmarkEnd w:id="1323"/>
    </w:p>
    <w:p w14:paraId="1E3485DD">
      <w:pPr>
        <w:pStyle w:val="102"/>
        <w:tabs>
          <w:tab w:val="left" w:pos="841"/>
        </w:tabs>
        <w:spacing w:after="0" w:line="360" w:lineRule="exact"/>
        <w:ind w:firstLine="0"/>
        <w:rPr>
          <w:rFonts w:ascii="宋体" w:hAnsi="宋体" w:cs="宋体"/>
          <w:color w:val="auto"/>
          <w:lang w:eastAsia="zh-CN"/>
        </w:rPr>
      </w:pPr>
      <w:bookmarkStart w:id="1324" w:name="bookmark1335"/>
      <w:bookmarkEnd w:id="1324"/>
      <w:r>
        <w:rPr>
          <w:rFonts w:hint="eastAsia" w:ascii="宋体" w:hAnsi="宋体" w:cs="宋体"/>
          <w:color w:val="auto"/>
          <w:lang w:eastAsia="zh-CN"/>
        </w:rPr>
        <w:t xml:space="preserve">    17.1.</w:t>
      </w:r>
      <w:r>
        <w:rPr>
          <w:rFonts w:hint="eastAsia" w:ascii="宋体" w:hAnsi="宋体" w:cs="宋体"/>
          <w:color w:val="auto"/>
          <w:lang w:val="zh-CN" w:eastAsia="zh-CN" w:bidi="zh-CN"/>
        </w:rPr>
        <w:t>1计量单位</w:t>
      </w:r>
    </w:p>
    <w:p w14:paraId="6AC184B1">
      <w:pPr>
        <w:pStyle w:val="95"/>
        <w:spacing w:line="360" w:lineRule="exact"/>
        <w:ind w:firstLine="420"/>
        <w:rPr>
          <w:color w:val="auto"/>
        </w:rPr>
      </w:pPr>
      <w:r>
        <w:rPr>
          <w:rFonts w:hint="eastAsia"/>
          <w:color w:val="auto"/>
        </w:rPr>
        <w:t>计量采用国家法定的计量单位。</w:t>
      </w:r>
    </w:p>
    <w:p w14:paraId="638B3090">
      <w:pPr>
        <w:pStyle w:val="95"/>
        <w:tabs>
          <w:tab w:val="left" w:pos="841"/>
        </w:tabs>
        <w:spacing w:line="360" w:lineRule="exact"/>
        <w:ind w:left="420" w:firstLine="0"/>
        <w:rPr>
          <w:color w:val="auto"/>
        </w:rPr>
      </w:pPr>
      <w:bookmarkStart w:id="1325" w:name="bookmark1336"/>
      <w:bookmarkEnd w:id="1325"/>
      <w:r>
        <w:rPr>
          <w:rFonts w:hint="eastAsia"/>
          <w:color w:val="auto"/>
          <w:lang w:val="en-US" w:bidi="en-US"/>
        </w:rPr>
        <w:t>17.1.</w:t>
      </w:r>
      <w:r>
        <w:rPr>
          <w:rFonts w:hint="eastAsia"/>
          <w:color w:val="auto"/>
        </w:rPr>
        <w:t>2计量方法</w:t>
      </w:r>
    </w:p>
    <w:p w14:paraId="370536FD">
      <w:pPr>
        <w:pStyle w:val="95"/>
        <w:spacing w:line="360" w:lineRule="exact"/>
        <w:ind w:firstLine="420"/>
        <w:rPr>
          <w:color w:val="auto"/>
        </w:rPr>
      </w:pPr>
      <w:r>
        <w:rPr>
          <w:rFonts w:hint="eastAsia"/>
          <w:color w:val="auto"/>
        </w:rPr>
        <w:t>结算工程量应按工程量清单中约定的方法计算。</w:t>
      </w:r>
    </w:p>
    <w:p w14:paraId="4EF47D1A">
      <w:pPr>
        <w:pStyle w:val="102"/>
        <w:spacing w:after="0" w:line="360" w:lineRule="exact"/>
        <w:rPr>
          <w:rFonts w:ascii="宋体" w:hAnsi="宋体" w:cs="宋体"/>
          <w:color w:val="auto"/>
          <w:lang w:eastAsia="zh-CN"/>
        </w:rPr>
      </w:pPr>
      <w:r>
        <w:rPr>
          <w:rFonts w:hint="eastAsia" w:ascii="宋体" w:hAnsi="宋体" w:cs="宋体"/>
          <w:color w:val="auto"/>
          <w:lang w:eastAsia="zh-CN"/>
        </w:rPr>
        <w:t>17.1.</w:t>
      </w:r>
      <w:r>
        <w:rPr>
          <w:rFonts w:hint="eastAsia" w:ascii="宋体" w:hAnsi="宋体" w:cs="宋体"/>
          <w:color w:val="auto"/>
          <w:lang w:val="zh-CN" w:eastAsia="zh-CN" w:bidi="zh-CN"/>
        </w:rPr>
        <w:t>3计量周期</w:t>
      </w:r>
    </w:p>
    <w:p w14:paraId="321B4540">
      <w:pPr>
        <w:pStyle w:val="95"/>
        <w:spacing w:line="360" w:lineRule="exact"/>
        <w:ind w:firstLine="440"/>
        <w:jc w:val="both"/>
        <w:rPr>
          <w:color w:val="auto"/>
        </w:rPr>
      </w:pPr>
      <w:r>
        <w:rPr>
          <w:rFonts w:hint="eastAsia"/>
          <w:color w:val="auto"/>
        </w:rPr>
        <w:t>除专用合同条款另有约定外，单价子目已完成工程量按月计量，总价子目的计量周期 按批准的支付分解报告确定。</w:t>
      </w:r>
    </w:p>
    <w:p w14:paraId="4EE92A54">
      <w:pPr>
        <w:pStyle w:val="95"/>
        <w:spacing w:line="360" w:lineRule="exact"/>
        <w:ind w:firstLine="440"/>
        <w:jc w:val="both"/>
        <w:rPr>
          <w:color w:val="auto"/>
        </w:rPr>
      </w:pPr>
      <w:r>
        <w:rPr>
          <w:rFonts w:hint="eastAsia"/>
          <w:color w:val="auto"/>
          <w:lang w:val="en-US" w:eastAsia="en-US" w:bidi="en-US"/>
        </w:rPr>
        <w:t>17.1.4</w:t>
      </w:r>
      <w:r>
        <w:rPr>
          <w:rFonts w:hint="eastAsia"/>
          <w:color w:val="auto"/>
        </w:rPr>
        <w:t>单价子目的计量</w:t>
      </w:r>
    </w:p>
    <w:p w14:paraId="6CFD2C08">
      <w:pPr>
        <w:pStyle w:val="95"/>
        <w:numPr>
          <w:ilvl w:val="0"/>
          <w:numId w:val="17"/>
        </w:numPr>
        <w:tabs>
          <w:tab w:val="left" w:pos="920"/>
        </w:tabs>
        <w:spacing w:line="360" w:lineRule="exact"/>
        <w:ind w:firstLine="440"/>
        <w:jc w:val="both"/>
        <w:rPr>
          <w:color w:val="auto"/>
        </w:rPr>
      </w:pPr>
      <w:bookmarkStart w:id="1326" w:name="bookmark1337"/>
      <w:bookmarkEnd w:id="1326"/>
      <w:r>
        <w:rPr>
          <w:rFonts w:hint="eastAsia"/>
          <w:color w:val="auto"/>
        </w:rPr>
        <w:t>已标价工程量清单中的单价子目工程量为估算工程量。结算工程量是承包人实际完成的，并按合同约定的计量方法进行计量的工程量。</w:t>
      </w:r>
    </w:p>
    <w:p w14:paraId="4C93CF35">
      <w:pPr>
        <w:pStyle w:val="95"/>
        <w:numPr>
          <w:ilvl w:val="0"/>
          <w:numId w:val="17"/>
        </w:numPr>
        <w:tabs>
          <w:tab w:val="left" w:pos="920"/>
        </w:tabs>
        <w:spacing w:line="360" w:lineRule="exact"/>
        <w:ind w:firstLine="440"/>
        <w:jc w:val="both"/>
        <w:rPr>
          <w:color w:val="auto"/>
        </w:rPr>
      </w:pPr>
      <w:bookmarkStart w:id="1327" w:name="bookmark1338"/>
      <w:bookmarkEnd w:id="1327"/>
      <w:r>
        <w:rPr>
          <w:rFonts w:hint="eastAsia"/>
          <w:color w:val="auto"/>
        </w:rPr>
        <w:t>承包人对已完成的工程进行计量，向监理人提交进度付款申请单、已完成工程量报表和有关计量资料。</w:t>
      </w:r>
    </w:p>
    <w:p w14:paraId="7D0B5F5B">
      <w:pPr>
        <w:pStyle w:val="95"/>
        <w:numPr>
          <w:ilvl w:val="0"/>
          <w:numId w:val="17"/>
        </w:numPr>
        <w:tabs>
          <w:tab w:val="left" w:pos="483"/>
        </w:tabs>
        <w:spacing w:line="360" w:lineRule="exact"/>
        <w:ind w:firstLine="440"/>
        <w:jc w:val="both"/>
        <w:rPr>
          <w:color w:val="auto"/>
        </w:rPr>
      </w:pPr>
      <w:r>
        <w:rPr>
          <w:rFonts w:hint="eastAsia"/>
          <w:color w:val="auto"/>
        </w:rPr>
        <w:t>监理人对承包人提交的工程量报表进行复核，以确定实际完成的工程量。对数量</w:t>
      </w:r>
      <w:bookmarkStart w:id="1328" w:name="bookmark1339"/>
      <w:bookmarkEnd w:id="1328"/>
      <w:r>
        <w:rPr>
          <w:rFonts w:hint="eastAsia"/>
          <w:color w:val="auto"/>
        </w:rPr>
        <w:t>有异议的，可要求承包人按第</w:t>
      </w:r>
      <w:r>
        <w:rPr>
          <w:rFonts w:hint="eastAsia"/>
          <w:color w:val="auto"/>
          <w:lang w:val="en-US" w:bidi="en-US"/>
        </w:rPr>
        <w:t xml:space="preserve">8. </w:t>
      </w:r>
      <w:r>
        <w:rPr>
          <w:rFonts w:hint="eastAsia"/>
          <w:color w:val="auto"/>
        </w:rPr>
        <w:t>2款约定进行共同复核和抽样复测。承包人应协助监理人进行复核并按监理人要求提供补充计量资料。承包人未按监理人要求参加复核，监理人复核或修正的工程量视为承包人实际完成的工程量。</w:t>
      </w:r>
    </w:p>
    <w:p w14:paraId="15A0B708">
      <w:pPr>
        <w:pStyle w:val="95"/>
        <w:numPr>
          <w:ilvl w:val="0"/>
          <w:numId w:val="17"/>
        </w:numPr>
        <w:tabs>
          <w:tab w:val="left" w:pos="899"/>
        </w:tabs>
        <w:spacing w:line="360" w:lineRule="exact"/>
        <w:ind w:firstLine="440"/>
        <w:jc w:val="both"/>
        <w:rPr>
          <w:color w:val="auto"/>
        </w:rPr>
      </w:pPr>
      <w:bookmarkStart w:id="1329" w:name="bookmark1340"/>
      <w:bookmarkEnd w:id="1329"/>
      <w:r>
        <w:rPr>
          <w:rFonts w:hint="eastAsia"/>
          <w:color w:val="auto"/>
        </w:rPr>
        <w:t>监理人认为有必要时，可通知承包人共同进行联合测量、计量，承包人应遵照执行。</w:t>
      </w:r>
    </w:p>
    <w:p w14:paraId="38CD6110">
      <w:pPr>
        <w:pStyle w:val="95"/>
        <w:numPr>
          <w:ilvl w:val="0"/>
          <w:numId w:val="17"/>
        </w:numPr>
        <w:tabs>
          <w:tab w:val="left" w:pos="902"/>
        </w:tabs>
        <w:spacing w:line="360" w:lineRule="exact"/>
        <w:ind w:firstLine="440"/>
        <w:jc w:val="both"/>
        <w:rPr>
          <w:color w:val="auto"/>
        </w:rPr>
      </w:pPr>
      <w:bookmarkStart w:id="1330" w:name="bookmark1341"/>
      <w:bookmarkEnd w:id="1330"/>
      <w:r>
        <w:rPr>
          <w:rFonts w:hint="eastAsia"/>
          <w:color w:val="auto"/>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DC5504C">
      <w:pPr>
        <w:pStyle w:val="95"/>
        <w:numPr>
          <w:ilvl w:val="0"/>
          <w:numId w:val="17"/>
        </w:numPr>
        <w:tabs>
          <w:tab w:val="left" w:pos="902"/>
        </w:tabs>
        <w:spacing w:line="360" w:lineRule="exact"/>
        <w:ind w:firstLine="440"/>
        <w:jc w:val="both"/>
        <w:rPr>
          <w:color w:val="auto"/>
        </w:rPr>
      </w:pPr>
      <w:bookmarkStart w:id="1331" w:name="bookmark1342"/>
      <w:bookmarkEnd w:id="1331"/>
      <w:r>
        <w:rPr>
          <w:rFonts w:hint="eastAsia"/>
          <w:color w:val="auto"/>
        </w:rPr>
        <w:t>监理人应在收到承包人提交的工程量报表后的7天内进行复核，监理人未在约定时间内复核的，承包人提交的工程量报表中的工程量视为承包人实际完成的工程量，据此计算工程价款。</w:t>
      </w:r>
    </w:p>
    <w:p w14:paraId="3AEE45AB">
      <w:pPr>
        <w:pStyle w:val="95"/>
        <w:spacing w:line="360" w:lineRule="exact"/>
        <w:ind w:firstLine="440"/>
        <w:jc w:val="both"/>
        <w:rPr>
          <w:color w:val="auto"/>
        </w:rPr>
      </w:pPr>
      <w:r>
        <w:rPr>
          <w:rFonts w:hint="eastAsia"/>
          <w:color w:val="auto"/>
          <w:lang w:val="en-US" w:bidi="en-US"/>
        </w:rPr>
        <w:t>17.1.5</w:t>
      </w:r>
      <w:r>
        <w:rPr>
          <w:rFonts w:hint="eastAsia"/>
          <w:color w:val="auto"/>
        </w:rPr>
        <w:t>总价子目的计量</w:t>
      </w:r>
    </w:p>
    <w:p w14:paraId="3EA40E97">
      <w:pPr>
        <w:pStyle w:val="95"/>
        <w:spacing w:line="360" w:lineRule="exact"/>
        <w:ind w:firstLine="420"/>
        <w:rPr>
          <w:color w:val="auto"/>
        </w:rPr>
      </w:pPr>
      <w:r>
        <w:rPr>
          <w:rFonts w:hint="eastAsia"/>
          <w:color w:val="auto"/>
        </w:rPr>
        <w:t>总价子目的分解和计量按照下述约定进行。</w:t>
      </w:r>
    </w:p>
    <w:p w14:paraId="650767E4">
      <w:pPr>
        <w:pStyle w:val="95"/>
        <w:numPr>
          <w:ilvl w:val="0"/>
          <w:numId w:val="18"/>
        </w:numPr>
        <w:tabs>
          <w:tab w:val="left" w:pos="899"/>
        </w:tabs>
        <w:spacing w:line="360" w:lineRule="exact"/>
        <w:ind w:firstLine="440"/>
        <w:jc w:val="both"/>
        <w:rPr>
          <w:color w:val="auto"/>
        </w:rPr>
      </w:pPr>
      <w:bookmarkStart w:id="1332" w:name="bookmark1343"/>
      <w:bookmarkEnd w:id="1332"/>
      <w:r>
        <w:rPr>
          <w:rFonts w:hint="eastAsia"/>
          <w:color w:val="auto"/>
        </w:rPr>
        <w:t>总价子目的计量和支付应以总价为基础，不因第</w:t>
      </w:r>
      <w:r>
        <w:rPr>
          <w:rFonts w:hint="eastAsia"/>
          <w:color w:val="auto"/>
          <w:lang w:val="en-US" w:bidi="en-US"/>
        </w:rPr>
        <w:t>16.1</w:t>
      </w:r>
      <w:r>
        <w:rPr>
          <w:rFonts w:hint="eastAsia"/>
          <w:color w:val="auto"/>
        </w:rPr>
        <w:t>款中的因素而进行调整。承包人实际完成的工程量，是进行工程目标管理和控制进度支付的依据。</w:t>
      </w:r>
    </w:p>
    <w:p w14:paraId="6B8359CB">
      <w:pPr>
        <w:pStyle w:val="95"/>
        <w:numPr>
          <w:ilvl w:val="0"/>
          <w:numId w:val="18"/>
        </w:numPr>
        <w:tabs>
          <w:tab w:val="left" w:pos="899"/>
        </w:tabs>
        <w:spacing w:line="360" w:lineRule="exact"/>
        <w:ind w:firstLine="440"/>
        <w:jc w:val="both"/>
        <w:rPr>
          <w:color w:val="auto"/>
        </w:rPr>
      </w:pPr>
      <w:bookmarkStart w:id="1333" w:name="bookmark1344"/>
      <w:bookmarkEnd w:id="1333"/>
      <w:r>
        <w:rPr>
          <w:rFonts w:hint="eastAsia"/>
          <w:color w:val="auto"/>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044515AB">
      <w:pPr>
        <w:pStyle w:val="95"/>
        <w:numPr>
          <w:ilvl w:val="0"/>
          <w:numId w:val="18"/>
        </w:numPr>
        <w:tabs>
          <w:tab w:val="left" w:pos="899"/>
        </w:tabs>
        <w:spacing w:line="360" w:lineRule="exact"/>
        <w:ind w:firstLine="440"/>
        <w:jc w:val="both"/>
        <w:rPr>
          <w:color w:val="auto"/>
        </w:rPr>
      </w:pPr>
      <w:bookmarkStart w:id="1334" w:name="bookmark1345"/>
      <w:bookmarkEnd w:id="1334"/>
      <w:r>
        <w:rPr>
          <w:rFonts w:hint="eastAsia"/>
          <w:color w:val="auto"/>
        </w:rPr>
        <w:t>监理人对承包人提交的上述资料进行复核，以确定分阶段实际完成的工程量和工程形象目标。对其有异议的，可要求承包人按第</w:t>
      </w:r>
      <w:r>
        <w:rPr>
          <w:rFonts w:hint="eastAsia"/>
          <w:color w:val="auto"/>
          <w:lang w:val="en-US" w:bidi="en-US"/>
        </w:rPr>
        <w:t xml:space="preserve">8. </w:t>
      </w:r>
      <w:r>
        <w:rPr>
          <w:rFonts w:hint="eastAsia"/>
          <w:color w:val="auto"/>
        </w:rPr>
        <w:t>2款约定进行共同复核和抽样复测。</w:t>
      </w:r>
    </w:p>
    <w:p w14:paraId="453A23C3">
      <w:pPr>
        <w:pStyle w:val="95"/>
        <w:numPr>
          <w:ilvl w:val="0"/>
          <w:numId w:val="18"/>
        </w:numPr>
        <w:tabs>
          <w:tab w:val="left" w:pos="899"/>
        </w:tabs>
        <w:spacing w:line="360" w:lineRule="exact"/>
        <w:ind w:firstLine="440"/>
        <w:jc w:val="both"/>
        <w:rPr>
          <w:color w:val="auto"/>
        </w:rPr>
      </w:pPr>
      <w:bookmarkStart w:id="1335" w:name="bookmark1346"/>
      <w:bookmarkEnd w:id="1335"/>
      <w:r>
        <w:rPr>
          <w:rFonts w:hint="eastAsia"/>
          <w:color w:val="auto"/>
        </w:rPr>
        <w:t>除按照第15条约定的变更外，总价子目的工程量是承包人用于结算的最终工程量。</w:t>
      </w:r>
    </w:p>
    <w:p w14:paraId="2E1EFDA9">
      <w:pPr>
        <w:pStyle w:val="101"/>
        <w:spacing w:before="0" w:after="0" w:line="360" w:lineRule="exact"/>
        <w:rPr>
          <w:rFonts w:ascii="宋体" w:hAnsi="宋体" w:cs="宋体"/>
          <w:color w:val="auto"/>
          <w:sz w:val="24"/>
          <w:szCs w:val="24"/>
          <w:lang w:eastAsia="zh-CN"/>
        </w:rPr>
      </w:pPr>
      <w:bookmarkStart w:id="1336" w:name="_Toc12913"/>
      <w:bookmarkStart w:id="1337" w:name="bookmark1349"/>
      <w:bookmarkStart w:id="1338" w:name="_Toc19531"/>
      <w:bookmarkStart w:id="1339" w:name="bookmark1347"/>
      <w:bookmarkStart w:id="1340" w:name="_Toc261"/>
      <w:bookmarkStart w:id="1341" w:name="_Toc16419"/>
      <w:bookmarkStart w:id="1342" w:name="_Toc19864"/>
      <w:bookmarkStart w:id="1343" w:name="_Toc1366"/>
      <w:bookmarkStart w:id="1344" w:name="bookmark1348"/>
      <w:bookmarkStart w:id="1345" w:name="_Toc31203"/>
      <w:r>
        <w:rPr>
          <w:rFonts w:hint="eastAsia" w:ascii="宋体" w:hAnsi="宋体" w:cs="宋体"/>
          <w:color w:val="auto"/>
          <w:sz w:val="24"/>
          <w:szCs w:val="24"/>
          <w:lang w:eastAsia="zh-CN"/>
        </w:rPr>
        <w:t>17.2预付款</w:t>
      </w:r>
      <w:bookmarkEnd w:id="1336"/>
      <w:bookmarkEnd w:id="1337"/>
      <w:bookmarkEnd w:id="1338"/>
      <w:bookmarkEnd w:id="1339"/>
      <w:bookmarkEnd w:id="1340"/>
      <w:bookmarkEnd w:id="1341"/>
      <w:bookmarkEnd w:id="1342"/>
      <w:bookmarkEnd w:id="1343"/>
      <w:bookmarkEnd w:id="1344"/>
      <w:bookmarkEnd w:id="1345"/>
    </w:p>
    <w:p w14:paraId="6B1575E4">
      <w:pPr>
        <w:pStyle w:val="102"/>
        <w:spacing w:after="0" w:line="394" w:lineRule="auto"/>
        <w:ind w:firstLine="440"/>
        <w:jc w:val="both"/>
        <w:rPr>
          <w:rFonts w:ascii="宋体" w:hAnsi="宋体" w:cs="宋体"/>
          <w:color w:val="auto"/>
          <w:lang w:eastAsia="zh-CN"/>
        </w:rPr>
      </w:pPr>
      <w:r>
        <w:rPr>
          <w:rFonts w:hint="eastAsia" w:ascii="宋体" w:hAnsi="宋体" w:cs="宋体"/>
          <w:color w:val="auto"/>
          <w:lang w:eastAsia="zh-CN"/>
        </w:rPr>
        <w:t>17.2.1</w:t>
      </w:r>
      <w:r>
        <w:rPr>
          <w:rFonts w:hint="eastAsia" w:ascii="宋体" w:hAnsi="宋体" w:cs="宋体"/>
          <w:color w:val="auto"/>
          <w:lang w:val="zh-CN" w:eastAsia="zh-CN" w:bidi="zh-CN"/>
        </w:rPr>
        <w:t>预付款</w:t>
      </w:r>
    </w:p>
    <w:p w14:paraId="341F22A2">
      <w:pPr>
        <w:pStyle w:val="95"/>
        <w:spacing w:line="349" w:lineRule="exact"/>
        <w:ind w:firstLine="440"/>
        <w:jc w:val="both"/>
        <w:rPr>
          <w:color w:val="auto"/>
        </w:rPr>
      </w:pPr>
      <w:r>
        <w:rPr>
          <w:rFonts w:hint="eastAsia"/>
          <w:color w:va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628B9857">
      <w:pPr>
        <w:pStyle w:val="95"/>
        <w:spacing w:line="354" w:lineRule="exact"/>
        <w:ind w:firstLine="440"/>
        <w:jc w:val="both"/>
        <w:rPr>
          <w:color w:val="auto"/>
        </w:rPr>
      </w:pPr>
      <w:r>
        <w:rPr>
          <w:rFonts w:hint="eastAsia"/>
          <w:color w:val="auto"/>
          <w:lang w:val="en-US" w:eastAsia="en-US" w:bidi="en-US"/>
        </w:rPr>
        <w:t>17.2.2</w:t>
      </w:r>
      <w:r>
        <w:rPr>
          <w:rFonts w:hint="eastAsia"/>
          <w:color w:val="auto"/>
        </w:rPr>
        <w:t>预付款保函(担保)</w:t>
      </w:r>
    </w:p>
    <w:p w14:paraId="18FB5D23">
      <w:pPr>
        <w:pStyle w:val="95"/>
        <w:numPr>
          <w:ilvl w:val="0"/>
          <w:numId w:val="19"/>
        </w:numPr>
        <w:tabs>
          <w:tab w:val="left" w:pos="899"/>
        </w:tabs>
        <w:spacing w:line="352" w:lineRule="exact"/>
        <w:ind w:firstLine="440"/>
        <w:jc w:val="both"/>
        <w:rPr>
          <w:color w:val="auto"/>
        </w:rPr>
      </w:pPr>
      <w:bookmarkStart w:id="1346" w:name="bookmark1350"/>
      <w:bookmarkEnd w:id="1346"/>
      <w:r>
        <w:rPr>
          <w:rFonts w:hint="eastAsia"/>
          <w:color w:val="auto"/>
        </w:rPr>
        <w:t>承包人应在收到第一次工程预付款的同时向发包人提交工程预付款担保，担保金额应与第一次工程预付款金额相同，工程预付款担保在第一次工程预付款被发包人扣回前一直有效。</w:t>
      </w:r>
    </w:p>
    <w:p w14:paraId="0D07415F">
      <w:pPr>
        <w:pStyle w:val="95"/>
        <w:numPr>
          <w:ilvl w:val="0"/>
          <w:numId w:val="19"/>
        </w:numPr>
        <w:tabs>
          <w:tab w:val="left" w:pos="903"/>
        </w:tabs>
        <w:spacing w:line="352" w:lineRule="exact"/>
        <w:ind w:firstLine="440"/>
        <w:jc w:val="both"/>
        <w:rPr>
          <w:color w:val="auto"/>
        </w:rPr>
      </w:pPr>
      <w:bookmarkStart w:id="1347" w:name="bookmark1351"/>
      <w:bookmarkEnd w:id="1347"/>
      <w:r>
        <w:rPr>
          <w:rFonts w:hint="eastAsia"/>
          <w:color w:val="auto"/>
        </w:rPr>
        <w:t>工程材料预付款的担保在专用合同条款中约定。</w:t>
      </w:r>
    </w:p>
    <w:p w14:paraId="3D4F91EC">
      <w:pPr>
        <w:pStyle w:val="95"/>
        <w:numPr>
          <w:ilvl w:val="0"/>
          <w:numId w:val="19"/>
        </w:numPr>
        <w:tabs>
          <w:tab w:val="left" w:pos="883"/>
        </w:tabs>
        <w:spacing w:line="352" w:lineRule="exact"/>
        <w:ind w:firstLine="420"/>
        <w:rPr>
          <w:color w:val="auto"/>
        </w:rPr>
      </w:pPr>
      <w:bookmarkStart w:id="1348" w:name="bookmark1352"/>
      <w:bookmarkEnd w:id="1348"/>
      <w:r>
        <w:rPr>
          <w:rFonts w:hint="eastAsia"/>
          <w:color w:val="auto"/>
        </w:rPr>
        <w:t>预付款担保的担保金额可根据预付款扣回的金额相应递减。</w:t>
      </w:r>
    </w:p>
    <w:p w14:paraId="2930451F">
      <w:pPr>
        <w:pStyle w:val="95"/>
        <w:spacing w:line="352" w:lineRule="exact"/>
        <w:ind w:firstLine="440"/>
        <w:jc w:val="both"/>
        <w:rPr>
          <w:color w:val="auto"/>
        </w:rPr>
      </w:pPr>
      <w:r>
        <w:rPr>
          <w:rFonts w:hint="eastAsia"/>
          <w:color w:val="auto"/>
          <w:lang w:val="en-US" w:bidi="en-US"/>
        </w:rPr>
        <w:t>17.2.3</w:t>
      </w:r>
      <w:r>
        <w:rPr>
          <w:rFonts w:hint="eastAsia"/>
          <w:color w:val="auto"/>
        </w:rPr>
        <w:t>预付款的扣回与还清</w:t>
      </w:r>
    </w:p>
    <w:p w14:paraId="3D0A701C">
      <w:pPr>
        <w:pStyle w:val="95"/>
        <w:spacing w:line="352" w:lineRule="exact"/>
        <w:ind w:firstLine="440"/>
        <w:jc w:val="both"/>
        <w:rPr>
          <w:color w:val="auto"/>
        </w:rPr>
      </w:pPr>
      <w:r>
        <w:rPr>
          <w:rFonts w:hint="eastAsia"/>
          <w:color w:val="auto"/>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21843EE4">
      <w:pPr>
        <w:pStyle w:val="101"/>
        <w:spacing w:before="0" w:after="0" w:line="360" w:lineRule="exact"/>
        <w:rPr>
          <w:rFonts w:ascii="宋体" w:hAnsi="宋体" w:cs="宋体"/>
          <w:color w:val="auto"/>
          <w:sz w:val="24"/>
          <w:szCs w:val="24"/>
          <w:lang w:eastAsia="zh-CN"/>
        </w:rPr>
      </w:pPr>
      <w:bookmarkStart w:id="1349" w:name="_Toc2053"/>
      <w:bookmarkStart w:id="1350" w:name="_Toc13772"/>
      <w:bookmarkStart w:id="1351" w:name="_Toc20674"/>
      <w:bookmarkStart w:id="1352" w:name="_Toc19696"/>
      <w:bookmarkStart w:id="1353" w:name="_Toc22891"/>
      <w:bookmarkStart w:id="1354" w:name="_Toc12699"/>
      <w:bookmarkStart w:id="1355" w:name="_Toc16580"/>
      <w:bookmarkStart w:id="1356" w:name="bookmark1355"/>
      <w:bookmarkStart w:id="1357" w:name="bookmark1353"/>
      <w:bookmarkStart w:id="1358" w:name="bookmark1354"/>
      <w:r>
        <w:rPr>
          <w:rFonts w:hint="eastAsia" w:ascii="宋体" w:hAnsi="宋体" w:cs="宋体"/>
          <w:color w:val="auto"/>
          <w:sz w:val="24"/>
          <w:szCs w:val="24"/>
          <w:lang w:eastAsia="zh-CN"/>
        </w:rPr>
        <w:t>17.3工程进度付款</w:t>
      </w:r>
      <w:bookmarkEnd w:id="1349"/>
      <w:bookmarkEnd w:id="1350"/>
      <w:bookmarkEnd w:id="1351"/>
      <w:bookmarkEnd w:id="1352"/>
      <w:bookmarkEnd w:id="1353"/>
      <w:bookmarkEnd w:id="1354"/>
      <w:bookmarkEnd w:id="1355"/>
      <w:bookmarkEnd w:id="1356"/>
      <w:bookmarkEnd w:id="1357"/>
      <w:bookmarkEnd w:id="1358"/>
    </w:p>
    <w:p w14:paraId="201612E5">
      <w:pPr>
        <w:pStyle w:val="102"/>
        <w:spacing w:after="0" w:line="377" w:lineRule="auto"/>
        <w:rPr>
          <w:rFonts w:ascii="宋体" w:hAnsi="宋体" w:cs="宋体"/>
          <w:color w:val="auto"/>
          <w:lang w:eastAsia="zh-CN"/>
        </w:rPr>
      </w:pPr>
      <w:r>
        <w:rPr>
          <w:rFonts w:hint="eastAsia" w:ascii="宋体" w:hAnsi="宋体" w:cs="宋体"/>
          <w:color w:val="auto"/>
          <w:lang w:eastAsia="zh-CN"/>
        </w:rPr>
        <w:t>17.3.1</w:t>
      </w:r>
      <w:r>
        <w:rPr>
          <w:rFonts w:hint="eastAsia" w:ascii="宋体" w:hAnsi="宋体" w:cs="宋体"/>
          <w:color w:val="auto"/>
          <w:lang w:val="zh-CN" w:eastAsia="zh-CN" w:bidi="zh-CN"/>
        </w:rPr>
        <w:t>付款周期</w:t>
      </w:r>
    </w:p>
    <w:p w14:paraId="281784B0">
      <w:pPr>
        <w:pStyle w:val="95"/>
        <w:spacing w:line="240" w:lineRule="auto"/>
        <w:ind w:firstLine="420"/>
        <w:rPr>
          <w:color w:val="auto"/>
        </w:rPr>
      </w:pPr>
      <w:r>
        <w:rPr>
          <w:rFonts w:hint="eastAsia"/>
          <w:color w:val="auto"/>
        </w:rPr>
        <w:t>付款周期同计量周期。</w:t>
      </w:r>
    </w:p>
    <w:p w14:paraId="4AAAB67C">
      <w:pPr>
        <w:pStyle w:val="95"/>
        <w:spacing w:line="360" w:lineRule="exact"/>
        <w:ind w:firstLine="420"/>
        <w:rPr>
          <w:color w:val="auto"/>
        </w:rPr>
      </w:pPr>
      <w:r>
        <w:rPr>
          <w:rFonts w:hint="eastAsia"/>
          <w:color w:val="auto"/>
          <w:lang w:val="en-US" w:bidi="en-US"/>
        </w:rPr>
        <w:t>17.3.2</w:t>
      </w:r>
      <w:r>
        <w:rPr>
          <w:rFonts w:hint="eastAsia"/>
          <w:color w:val="auto"/>
        </w:rPr>
        <w:t>进度付款申请单</w:t>
      </w:r>
    </w:p>
    <w:p w14:paraId="34E0794E">
      <w:pPr>
        <w:pStyle w:val="95"/>
        <w:spacing w:line="360" w:lineRule="exact"/>
        <w:ind w:firstLine="440"/>
        <w:jc w:val="both"/>
        <w:rPr>
          <w:color w:val="auto"/>
        </w:rPr>
      </w:pPr>
      <w:r>
        <w:rPr>
          <w:rFonts w:hint="eastAsia"/>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FAD2B82">
      <w:pPr>
        <w:pStyle w:val="95"/>
        <w:numPr>
          <w:ilvl w:val="0"/>
          <w:numId w:val="20"/>
        </w:numPr>
        <w:tabs>
          <w:tab w:val="left" w:pos="903"/>
        </w:tabs>
        <w:spacing w:line="360" w:lineRule="exact"/>
        <w:ind w:firstLine="420"/>
        <w:rPr>
          <w:color w:val="auto"/>
        </w:rPr>
      </w:pPr>
      <w:bookmarkStart w:id="1359" w:name="bookmark1356"/>
      <w:bookmarkEnd w:id="1359"/>
      <w:r>
        <w:rPr>
          <w:rFonts w:hint="eastAsia"/>
          <w:color w:val="auto"/>
        </w:rPr>
        <w:t>截至本次付款周期末已实施工程的价款；</w:t>
      </w:r>
    </w:p>
    <w:p w14:paraId="2B9D46AD">
      <w:pPr>
        <w:pStyle w:val="95"/>
        <w:numPr>
          <w:ilvl w:val="0"/>
          <w:numId w:val="20"/>
        </w:numPr>
        <w:tabs>
          <w:tab w:val="left" w:pos="903"/>
        </w:tabs>
        <w:spacing w:line="358" w:lineRule="exact"/>
        <w:ind w:firstLine="420"/>
        <w:rPr>
          <w:color w:val="auto"/>
        </w:rPr>
      </w:pPr>
      <w:bookmarkStart w:id="1360" w:name="bookmark1357"/>
      <w:bookmarkEnd w:id="1360"/>
      <w:r>
        <w:rPr>
          <w:rFonts w:hint="eastAsia"/>
          <w:color w:val="auto"/>
        </w:rPr>
        <w:t>根据第15条应增加和扣减的变更金额；</w:t>
      </w:r>
    </w:p>
    <w:p w14:paraId="3FF238DD">
      <w:pPr>
        <w:pStyle w:val="95"/>
        <w:numPr>
          <w:ilvl w:val="0"/>
          <w:numId w:val="20"/>
        </w:numPr>
        <w:tabs>
          <w:tab w:val="left" w:pos="903"/>
        </w:tabs>
        <w:spacing w:line="358" w:lineRule="exact"/>
        <w:ind w:firstLine="420"/>
        <w:rPr>
          <w:color w:val="auto"/>
        </w:rPr>
      </w:pPr>
      <w:bookmarkStart w:id="1361" w:name="bookmark1358"/>
      <w:bookmarkEnd w:id="1361"/>
      <w:r>
        <w:rPr>
          <w:rFonts w:hint="eastAsia"/>
          <w:color w:val="auto"/>
        </w:rPr>
        <w:t>根据第23条应增加和扣减的索赔金额；</w:t>
      </w:r>
    </w:p>
    <w:p w14:paraId="29C73F54">
      <w:pPr>
        <w:pStyle w:val="95"/>
        <w:numPr>
          <w:ilvl w:val="0"/>
          <w:numId w:val="20"/>
        </w:numPr>
        <w:tabs>
          <w:tab w:val="left" w:pos="903"/>
        </w:tabs>
        <w:spacing w:line="358" w:lineRule="exact"/>
        <w:ind w:firstLine="420"/>
        <w:rPr>
          <w:color w:val="auto"/>
        </w:rPr>
      </w:pPr>
      <w:bookmarkStart w:id="1362" w:name="bookmark1359"/>
      <w:bookmarkEnd w:id="1362"/>
      <w:r>
        <w:rPr>
          <w:rFonts w:hint="eastAsia"/>
          <w:color w:val="auto"/>
        </w:rPr>
        <w:t>根据第</w:t>
      </w:r>
      <w:r>
        <w:rPr>
          <w:rFonts w:hint="eastAsia"/>
          <w:color w:val="auto"/>
          <w:lang w:val="en-US" w:bidi="en-US"/>
        </w:rPr>
        <w:t>17.</w:t>
      </w:r>
      <w:r>
        <w:rPr>
          <w:rFonts w:hint="eastAsia"/>
          <w:color w:val="auto"/>
        </w:rPr>
        <w:t>2款约定应支付的预付款和扣减的返还预付款；</w:t>
      </w:r>
    </w:p>
    <w:p w14:paraId="283D3F5F">
      <w:pPr>
        <w:pStyle w:val="95"/>
        <w:numPr>
          <w:ilvl w:val="0"/>
          <w:numId w:val="20"/>
        </w:numPr>
        <w:tabs>
          <w:tab w:val="left" w:pos="903"/>
        </w:tabs>
        <w:spacing w:line="358" w:lineRule="exact"/>
        <w:ind w:firstLine="420"/>
        <w:rPr>
          <w:color w:val="auto"/>
        </w:rPr>
      </w:pPr>
      <w:bookmarkStart w:id="1363" w:name="bookmark1360"/>
      <w:bookmarkEnd w:id="1363"/>
      <w:r>
        <w:rPr>
          <w:rFonts w:hint="eastAsia"/>
          <w:color w:val="auto"/>
        </w:rPr>
        <w:t>根据第</w:t>
      </w:r>
      <w:r>
        <w:rPr>
          <w:rFonts w:hint="eastAsia"/>
          <w:color w:val="auto"/>
          <w:lang w:val="en-US" w:bidi="en-US"/>
        </w:rPr>
        <w:t>17.4.</w:t>
      </w:r>
      <w:r>
        <w:rPr>
          <w:rFonts w:hint="eastAsia"/>
          <w:color w:val="auto"/>
        </w:rPr>
        <w:t>1项约定应扣减的质量保证金；</w:t>
      </w:r>
    </w:p>
    <w:p w14:paraId="5A103D77">
      <w:pPr>
        <w:pStyle w:val="95"/>
        <w:numPr>
          <w:ilvl w:val="0"/>
          <w:numId w:val="20"/>
        </w:numPr>
        <w:tabs>
          <w:tab w:val="left" w:pos="903"/>
        </w:tabs>
        <w:spacing w:line="358" w:lineRule="exact"/>
        <w:ind w:firstLine="420"/>
        <w:rPr>
          <w:color w:val="auto"/>
        </w:rPr>
      </w:pPr>
      <w:bookmarkStart w:id="1364" w:name="bookmark1361"/>
      <w:bookmarkEnd w:id="1364"/>
      <w:r>
        <w:rPr>
          <w:rFonts w:hint="eastAsia"/>
          <w:color w:val="auto"/>
        </w:rPr>
        <w:t>根据合同应增加和扣减的其他金额。</w:t>
      </w:r>
    </w:p>
    <w:p w14:paraId="7BB9998D">
      <w:pPr>
        <w:pStyle w:val="95"/>
        <w:spacing w:line="358" w:lineRule="exact"/>
        <w:ind w:firstLine="420"/>
        <w:rPr>
          <w:color w:val="auto"/>
        </w:rPr>
      </w:pPr>
      <w:r>
        <w:rPr>
          <w:rFonts w:hint="eastAsia"/>
          <w:color w:val="auto"/>
          <w:lang w:val="en-US" w:bidi="en-US"/>
        </w:rPr>
        <w:t>17.3.3</w:t>
      </w:r>
      <w:r>
        <w:rPr>
          <w:rFonts w:hint="eastAsia"/>
          <w:color w:val="auto"/>
        </w:rPr>
        <w:t>进度付款证书和支付时间</w:t>
      </w:r>
    </w:p>
    <w:p w14:paraId="6BCD9F9F">
      <w:pPr>
        <w:pStyle w:val="95"/>
        <w:numPr>
          <w:ilvl w:val="0"/>
          <w:numId w:val="21"/>
        </w:numPr>
        <w:tabs>
          <w:tab w:val="left" w:pos="920"/>
        </w:tabs>
        <w:spacing w:line="358" w:lineRule="exact"/>
        <w:ind w:firstLine="440"/>
        <w:jc w:val="both"/>
        <w:rPr>
          <w:color w:val="auto"/>
        </w:rPr>
      </w:pPr>
      <w:bookmarkStart w:id="1365" w:name="bookmark1362"/>
      <w:bookmarkEnd w:id="1365"/>
      <w:r>
        <w:rPr>
          <w:rFonts w:hint="eastAsia"/>
          <w:color w:val="auto"/>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0C73B60">
      <w:pPr>
        <w:pStyle w:val="95"/>
        <w:numPr>
          <w:ilvl w:val="0"/>
          <w:numId w:val="21"/>
        </w:numPr>
        <w:tabs>
          <w:tab w:val="left" w:pos="922"/>
        </w:tabs>
        <w:spacing w:line="367" w:lineRule="exact"/>
        <w:ind w:firstLine="440"/>
        <w:jc w:val="both"/>
        <w:rPr>
          <w:color w:val="auto"/>
        </w:rPr>
      </w:pPr>
      <w:bookmarkStart w:id="1366" w:name="bookmark1363"/>
      <w:bookmarkEnd w:id="1366"/>
      <w:r>
        <w:rPr>
          <w:rFonts w:hint="eastAsia"/>
          <w:color w:val="auto"/>
        </w:rPr>
        <w:t>发包人应在监理人收到进度付款申请单后的28天内，将进度应付款支付给承包人。发包人不按期支付的，按专用合同条款的约定支付逾期付款违约金。</w:t>
      </w:r>
    </w:p>
    <w:p w14:paraId="03E6B9C1">
      <w:pPr>
        <w:pStyle w:val="95"/>
        <w:numPr>
          <w:ilvl w:val="0"/>
          <w:numId w:val="21"/>
        </w:numPr>
        <w:tabs>
          <w:tab w:val="left" w:pos="922"/>
        </w:tabs>
        <w:spacing w:line="367" w:lineRule="exact"/>
        <w:ind w:firstLine="440"/>
        <w:jc w:val="both"/>
        <w:rPr>
          <w:color w:val="auto"/>
        </w:rPr>
      </w:pPr>
      <w:bookmarkStart w:id="1367" w:name="bookmark1364"/>
      <w:bookmarkEnd w:id="1367"/>
      <w:r>
        <w:rPr>
          <w:rFonts w:hint="eastAsia"/>
          <w:color w:val="auto"/>
        </w:rPr>
        <w:t>监理人出具进度付款证书，不应视为监理人已同意、批准或接受了承包人完成的该部分工作。</w:t>
      </w:r>
    </w:p>
    <w:p w14:paraId="17DA5916">
      <w:pPr>
        <w:pStyle w:val="95"/>
        <w:numPr>
          <w:ilvl w:val="0"/>
          <w:numId w:val="21"/>
        </w:numPr>
        <w:tabs>
          <w:tab w:val="left" w:pos="918"/>
        </w:tabs>
        <w:spacing w:line="367" w:lineRule="exact"/>
        <w:ind w:firstLine="440"/>
        <w:jc w:val="both"/>
        <w:rPr>
          <w:color w:val="auto"/>
        </w:rPr>
      </w:pPr>
      <w:bookmarkStart w:id="1368" w:name="bookmark1365"/>
      <w:bookmarkEnd w:id="1368"/>
      <w:r>
        <w:rPr>
          <w:rFonts w:hint="eastAsia"/>
          <w:color w:val="auto"/>
        </w:rPr>
        <w:t>进度付款涉及政府投资资金的，按照国库集中支付等国家相关规定和专用合同条款的约定办理。</w:t>
      </w:r>
    </w:p>
    <w:p w14:paraId="4AF04882">
      <w:pPr>
        <w:pStyle w:val="95"/>
        <w:spacing w:line="361" w:lineRule="exact"/>
        <w:ind w:firstLine="440"/>
        <w:jc w:val="both"/>
        <w:rPr>
          <w:color w:val="auto"/>
        </w:rPr>
      </w:pPr>
      <w:r>
        <w:rPr>
          <w:rFonts w:hint="eastAsia"/>
          <w:color w:val="auto"/>
          <w:lang w:val="en-US" w:bidi="en-US"/>
        </w:rPr>
        <w:t>17.3.4</w:t>
      </w:r>
      <w:r>
        <w:rPr>
          <w:rFonts w:hint="eastAsia"/>
          <w:color w:val="auto"/>
        </w:rPr>
        <w:t>工程进度付款的修正</w:t>
      </w:r>
    </w:p>
    <w:p w14:paraId="0ECBE681">
      <w:pPr>
        <w:pStyle w:val="95"/>
        <w:spacing w:line="361" w:lineRule="exact"/>
        <w:ind w:firstLine="440"/>
        <w:jc w:val="both"/>
        <w:rPr>
          <w:color w:val="auto"/>
        </w:rPr>
      </w:pPr>
      <w:r>
        <w:rPr>
          <w:rFonts w:hint="eastAsia"/>
          <w:color w:val="auto"/>
        </w:rPr>
        <w:t>在对以往历次已签发的进度付款证书进行汇总和复核中发现错、漏或重复的，监理人有权予以修正，承包人也有权提出修正申请。经双方复核同意的修正，应在本次进度付款中支付或扣除。</w:t>
      </w:r>
    </w:p>
    <w:p w14:paraId="6EF58A26">
      <w:pPr>
        <w:pStyle w:val="101"/>
        <w:spacing w:before="0" w:after="0" w:line="360" w:lineRule="exact"/>
        <w:rPr>
          <w:rFonts w:ascii="宋体" w:hAnsi="宋体" w:cs="宋体"/>
          <w:color w:val="auto"/>
          <w:sz w:val="24"/>
          <w:szCs w:val="24"/>
          <w:lang w:eastAsia="zh-CN"/>
        </w:rPr>
      </w:pPr>
      <w:bookmarkStart w:id="1369" w:name="_Toc16981"/>
      <w:bookmarkStart w:id="1370" w:name="_Toc18760"/>
      <w:bookmarkStart w:id="1371" w:name="bookmark1367"/>
      <w:bookmarkStart w:id="1372" w:name="_Toc14740"/>
      <w:bookmarkStart w:id="1373" w:name="_Toc24179"/>
      <w:bookmarkStart w:id="1374" w:name="bookmark1368"/>
      <w:bookmarkStart w:id="1375" w:name="_Toc7659"/>
      <w:bookmarkStart w:id="1376" w:name="_Toc27343"/>
      <w:bookmarkStart w:id="1377" w:name="bookmark1366"/>
      <w:bookmarkStart w:id="1378" w:name="_Toc16349"/>
      <w:r>
        <w:rPr>
          <w:rFonts w:hint="eastAsia" w:ascii="宋体" w:hAnsi="宋体" w:cs="宋体"/>
          <w:color w:val="auto"/>
          <w:sz w:val="24"/>
          <w:szCs w:val="24"/>
          <w:lang w:eastAsia="zh-CN"/>
        </w:rPr>
        <w:t>17.4质量保证金</w:t>
      </w:r>
      <w:bookmarkEnd w:id="1369"/>
      <w:bookmarkEnd w:id="1370"/>
      <w:bookmarkEnd w:id="1371"/>
      <w:bookmarkEnd w:id="1372"/>
      <w:bookmarkEnd w:id="1373"/>
      <w:bookmarkEnd w:id="1374"/>
      <w:bookmarkEnd w:id="1375"/>
      <w:bookmarkEnd w:id="1376"/>
      <w:bookmarkEnd w:id="1377"/>
      <w:bookmarkEnd w:id="1378"/>
    </w:p>
    <w:p w14:paraId="5A883632">
      <w:pPr>
        <w:pStyle w:val="95"/>
        <w:spacing w:line="364" w:lineRule="exact"/>
        <w:ind w:firstLine="440"/>
        <w:jc w:val="both"/>
        <w:rPr>
          <w:color w:val="auto"/>
        </w:rPr>
      </w:pPr>
      <w:r>
        <w:rPr>
          <w:rFonts w:hint="eastAsia"/>
          <w:color w:val="auto"/>
          <w:lang w:val="en-US" w:bidi="en-US"/>
        </w:rPr>
        <w:t>17.4.1</w:t>
      </w:r>
      <w:r>
        <w:rPr>
          <w:rFonts w:hint="eastAsia"/>
          <w:color w:val="auto"/>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0E618496">
      <w:pPr>
        <w:pStyle w:val="95"/>
        <w:spacing w:line="366" w:lineRule="exact"/>
        <w:ind w:firstLine="440"/>
        <w:jc w:val="both"/>
        <w:rPr>
          <w:color w:val="auto"/>
        </w:rPr>
      </w:pPr>
      <w:r>
        <w:rPr>
          <w:rFonts w:hint="eastAsia"/>
          <w:color w:val="auto"/>
          <w:lang w:val="en-US" w:bidi="en-US"/>
        </w:rPr>
        <w:t>17.4.2</w:t>
      </w:r>
      <w:r>
        <w:rPr>
          <w:rFonts w:hint="eastAsia"/>
          <w:color w:val="auto"/>
        </w:rPr>
        <w:t>竣工验收鉴定书签署后14天内，发包人将质量保证金总额的一半支付给承包人。在第</w:t>
      </w:r>
      <w:r>
        <w:rPr>
          <w:rFonts w:hint="eastAsia"/>
          <w:color w:val="auto"/>
          <w:lang w:val="en-US" w:bidi="en-US"/>
        </w:rPr>
        <w:t xml:space="preserve">1.1. 4. </w:t>
      </w:r>
      <w:r>
        <w:rPr>
          <w:rFonts w:hint="eastAsia"/>
          <w:color w:val="auto"/>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35B3D3FF">
      <w:pPr>
        <w:pStyle w:val="95"/>
        <w:spacing w:line="370" w:lineRule="exact"/>
        <w:ind w:firstLine="440"/>
        <w:jc w:val="both"/>
        <w:rPr>
          <w:color w:val="auto"/>
        </w:rPr>
      </w:pPr>
      <w:r>
        <w:rPr>
          <w:rFonts w:hint="eastAsia"/>
          <w:color w:val="auto"/>
          <w:lang w:val="en-US" w:bidi="en-US"/>
        </w:rPr>
        <w:t>17.4.3</w:t>
      </w:r>
      <w:r>
        <w:rPr>
          <w:rFonts w:hint="eastAsia"/>
          <w:color w:val="auto"/>
        </w:rPr>
        <w:t>在第</w:t>
      </w:r>
      <w:r>
        <w:rPr>
          <w:rFonts w:hint="eastAsia"/>
          <w:color w:val="auto"/>
          <w:lang w:val="en-US" w:bidi="en-US"/>
        </w:rPr>
        <w:t>1.1.4.</w:t>
      </w:r>
      <w:r>
        <w:rPr>
          <w:rFonts w:hint="eastAsia"/>
          <w:color w:val="auto"/>
        </w:rPr>
        <w:t>5目约定的缺陷责任期满时，承包人没有完成缺陷责任的，发包人有权扣留与未履行责任剩余工作所需金额相应的质量保证金余额，并有权根据第</w:t>
      </w:r>
      <w:r>
        <w:rPr>
          <w:rFonts w:hint="eastAsia"/>
          <w:color w:val="auto"/>
          <w:lang w:val="en-US" w:bidi="en-US"/>
        </w:rPr>
        <w:t>19.</w:t>
      </w:r>
      <w:r>
        <w:rPr>
          <w:rFonts w:hint="eastAsia"/>
          <w:color w:val="auto"/>
        </w:rPr>
        <w:t>3款约定要求延长缺陷责任期，直至完成剩余工作为止。</w:t>
      </w:r>
    </w:p>
    <w:p w14:paraId="28520D64">
      <w:pPr>
        <w:pStyle w:val="101"/>
        <w:spacing w:before="0" w:after="0" w:line="360" w:lineRule="exact"/>
        <w:rPr>
          <w:rFonts w:ascii="宋体" w:hAnsi="宋体" w:cs="宋体"/>
          <w:color w:val="auto"/>
          <w:sz w:val="24"/>
          <w:szCs w:val="24"/>
          <w:lang w:eastAsia="zh-CN"/>
        </w:rPr>
      </w:pPr>
      <w:bookmarkStart w:id="1379" w:name="_Toc23362"/>
      <w:bookmarkStart w:id="1380" w:name="bookmark1370"/>
      <w:bookmarkStart w:id="1381" w:name="bookmark1371"/>
      <w:bookmarkStart w:id="1382" w:name="_Toc2435"/>
      <w:bookmarkStart w:id="1383" w:name="_Toc12268"/>
      <w:bookmarkStart w:id="1384" w:name="_Toc2225"/>
      <w:bookmarkStart w:id="1385" w:name="_Toc17676"/>
      <w:bookmarkStart w:id="1386" w:name="bookmark1369"/>
      <w:bookmarkStart w:id="1387" w:name="_Toc27561"/>
      <w:bookmarkStart w:id="1388" w:name="_Toc23113"/>
      <w:r>
        <w:rPr>
          <w:rFonts w:hint="eastAsia" w:ascii="宋体" w:hAnsi="宋体" w:cs="宋体"/>
          <w:color w:val="auto"/>
          <w:sz w:val="24"/>
          <w:szCs w:val="24"/>
          <w:lang w:eastAsia="zh-CN"/>
        </w:rPr>
        <w:t>17.5竣工结算(完工结算)</w:t>
      </w:r>
      <w:bookmarkEnd w:id="1379"/>
      <w:bookmarkEnd w:id="1380"/>
      <w:bookmarkEnd w:id="1381"/>
      <w:bookmarkEnd w:id="1382"/>
      <w:bookmarkEnd w:id="1383"/>
      <w:bookmarkEnd w:id="1384"/>
      <w:bookmarkEnd w:id="1385"/>
      <w:bookmarkEnd w:id="1386"/>
      <w:bookmarkEnd w:id="1387"/>
      <w:bookmarkEnd w:id="1388"/>
    </w:p>
    <w:p w14:paraId="6444AB32">
      <w:pPr>
        <w:pStyle w:val="95"/>
        <w:ind w:firstLine="440"/>
        <w:jc w:val="both"/>
        <w:rPr>
          <w:color w:val="auto"/>
        </w:rPr>
      </w:pPr>
      <w:r>
        <w:rPr>
          <w:rFonts w:hint="eastAsia"/>
          <w:color w:val="auto"/>
          <w:lang w:val="en-US" w:bidi="en-US"/>
        </w:rPr>
        <w:t>17.5.1</w:t>
      </w:r>
      <w:r>
        <w:rPr>
          <w:rFonts w:hint="eastAsia"/>
          <w:color w:val="auto"/>
        </w:rPr>
        <w:t>竣工(完工)付款申请单</w:t>
      </w:r>
    </w:p>
    <w:p w14:paraId="5E7DE016">
      <w:pPr>
        <w:pStyle w:val="95"/>
        <w:numPr>
          <w:ilvl w:val="0"/>
          <w:numId w:val="22"/>
        </w:numPr>
        <w:tabs>
          <w:tab w:val="left" w:pos="918"/>
        </w:tabs>
        <w:spacing w:line="352" w:lineRule="exact"/>
        <w:ind w:firstLine="440"/>
        <w:jc w:val="both"/>
        <w:rPr>
          <w:color w:val="auto"/>
        </w:rPr>
      </w:pPr>
      <w:bookmarkStart w:id="1389" w:name="bookmark1372"/>
      <w:bookmarkEnd w:id="1389"/>
      <w:r>
        <w:rPr>
          <w:rFonts w:hint="eastAsia"/>
          <w:color w:val="auto"/>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B04F38B">
      <w:pPr>
        <w:pStyle w:val="95"/>
        <w:numPr>
          <w:ilvl w:val="0"/>
          <w:numId w:val="22"/>
        </w:numPr>
        <w:tabs>
          <w:tab w:val="left" w:pos="916"/>
        </w:tabs>
        <w:spacing w:line="352" w:lineRule="exact"/>
        <w:ind w:firstLine="440"/>
        <w:jc w:val="both"/>
        <w:rPr>
          <w:color w:val="auto"/>
        </w:rPr>
      </w:pPr>
      <w:bookmarkStart w:id="1390" w:name="bookmark1373"/>
      <w:bookmarkEnd w:id="1390"/>
      <w:r>
        <w:rPr>
          <w:rFonts w:hint="eastAsia"/>
          <w:color w:val="auto"/>
        </w:rPr>
        <w:t>监理人对完工付款申请单有异议的，有权要求承包人进行修正和提供补充资料。经监理人和承包人协商后，由承包人向监理人提交修正后的完工付款申请单。</w:t>
      </w:r>
    </w:p>
    <w:p w14:paraId="790FB987">
      <w:pPr>
        <w:pStyle w:val="95"/>
        <w:spacing w:line="360" w:lineRule="exact"/>
        <w:ind w:firstLine="440"/>
        <w:jc w:val="both"/>
        <w:rPr>
          <w:color w:val="auto"/>
        </w:rPr>
      </w:pPr>
      <w:r>
        <w:rPr>
          <w:rFonts w:hint="eastAsia"/>
          <w:color w:val="auto"/>
          <w:lang w:val="en-US" w:bidi="en-US"/>
        </w:rPr>
        <w:t>17.5.2</w:t>
      </w:r>
      <w:r>
        <w:rPr>
          <w:rFonts w:hint="eastAsia"/>
          <w:color w:val="auto"/>
        </w:rPr>
        <w:t>竣工(完工)付款证书及支付时间</w:t>
      </w:r>
    </w:p>
    <w:p w14:paraId="0E97F41E">
      <w:pPr>
        <w:pStyle w:val="95"/>
        <w:numPr>
          <w:ilvl w:val="0"/>
          <w:numId w:val="23"/>
        </w:numPr>
        <w:tabs>
          <w:tab w:val="left" w:pos="918"/>
        </w:tabs>
        <w:spacing w:line="360" w:lineRule="exact"/>
        <w:ind w:firstLine="440"/>
        <w:jc w:val="both"/>
        <w:rPr>
          <w:color w:val="auto"/>
        </w:rPr>
      </w:pPr>
      <w:bookmarkStart w:id="1391" w:name="bookmark1374"/>
      <w:bookmarkEnd w:id="1391"/>
      <w:r>
        <w:rPr>
          <w:rFonts w:hint="eastAsia"/>
          <w:color w:val="auto"/>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54E7AA2F">
      <w:pPr>
        <w:pStyle w:val="95"/>
        <w:numPr>
          <w:ilvl w:val="0"/>
          <w:numId w:val="23"/>
        </w:numPr>
        <w:tabs>
          <w:tab w:val="left" w:pos="918"/>
        </w:tabs>
        <w:spacing w:line="360" w:lineRule="exact"/>
        <w:ind w:firstLine="440"/>
        <w:jc w:val="both"/>
        <w:rPr>
          <w:color w:val="auto"/>
        </w:rPr>
      </w:pPr>
      <w:bookmarkStart w:id="1392" w:name="bookmark1375"/>
      <w:bookmarkEnd w:id="1392"/>
      <w:r>
        <w:rPr>
          <w:rFonts w:hint="eastAsia"/>
          <w:color w:val="auto"/>
        </w:rPr>
        <w:t>发包人应在监理人出具完工付款证书后的14天内，将应支付款支付给承包人。发包人不按期支付的，按第</w:t>
      </w:r>
      <w:r>
        <w:rPr>
          <w:rFonts w:hint="eastAsia"/>
          <w:color w:val="auto"/>
          <w:lang w:val="en-US" w:bidi="en-US"/>
        </w:rPr>
        <w:t xml:space="preserve">17.3.3 </w:t>
      </w:r>
      <w:r>
        <w:rPr>
          <w:rFonts w:hint="eastAsia"/>
          <w:color w:val="auto"/>
        </w:rPr>
        <w:t>(2)目的约定，将逾期付款违约金支付给承包人。</w:t>
      </w:r>
    </w:p>
    <w:p w14:paraId="09B21A3E">
      <w:pPr>
        <w:pStyle w:val="95"/>
        <w:numPr>
          <w:ilvl w:val="0"/>
          <w:numId w:val="23"/>
        </w:numPr>
        <w:tabs>
          <w:tab w:val="left" w:pos="914"/>
        </w:tabs>
        <w:spacing w:line="360" w:lineRule="exact"/>
        <w:ind w:firstLine="440"/>
        <w:jc w:val="both"/>
        <w:rPr>
          <w:color w:val="auto"/>
        </w:rPr>
      </w:pPr>
      <w:bookmarkStart w:id="1393" w:name="bookmark1376"/>
      <w:bookmarkEnd w:id="1393"/>
      <w:r>
        <w:rPr>
          <w:rFonts w:hint="eastAsia"/>
          <w:color w:val="auto"/>
        </w:rPr>
        <w:t>承包人对发包人签认的完工付款证书有异议的，发包人可出具完工付款申请单中承包人已同意部分的临时付款证书。存在争议的部分，按第24条的约定办理。</w:t>
      </w:r>
    </w:p>
    <w:p w14:paraId="42A98058">
      <w:pPr>
        <w:pStyle w:val="95"/>
        <w:numPr>
          <w:ilvl w:val="0"/>
          <w:numId w:val="23"/>
        </w:numPr>
        <w:tabs>
          <w:tab w:val="left" w:pos="922"/>
        </w:tabs>
        <w:spacing w:line="360" w:lineRule="exact"/>
        <w:ind w:firstLine="440"/>
        <w:jc w:val="both"/>
        <w:rPr>
          <w:color w:val="auto"/>
        </w:rPr>
      </w:pPr>
      <w:bookmarkStart w:id="1394" w:name="bookmark1377"/>
      <w:bookmarkEnd w:id="1394"/>
      <w:r>
        <w:rPr>
          <w:rFonts w:hint="eastAsia"/>
          <w:color w:val="auto"/>
        </w:rPr>
        <w:t>完工付款涉及政府投资资金的，按第</w:t>
      </w:r>
      <w:r>
        <w:rPr>
          <w:rFonts w:hint="eastAsia"/>
          <w:color w:val="auto"/>
          <w:lang w:val="en-US" w:bidi="en-US"/>
        </w:rPr>
        <w:t xml:space="preserve">17.3.3 </w:t>
      </w:r>
      <w:r>
        <w:rPr>
          <w:rFonts w:hint="eastAsia"/>
          <w:color w:val="auto"/>
        </w:rPr>
        <w:t>(4)目的约定办理。</w:t>
      </w:r>
    </w:p>
    <w:p w14:paraId="68B080C4">
      <w:pPr>
        <w:pStyle w:val="101"/>
        <w:spacing w:before="0" w:after="0" w:line="360" w:lineRule="exact"/>
        <w:rPr>
          <w:rFonts w:ascii="宋体" w:hAnsi="宋体" w:cs="宋体"/>
          <w:color w:val="auto"/>
          <w:sz w:val="24"/>
          <w:szCs w:val="24"/>
          <w:lang w:eastAsia="zh-CN"/>
        </w:rPr>
      </w:pPr>
      <w:bookmarkStart w:id="1395" w:name="bookmark1380"/>
      <w:bookmarkStart w:id="1396" w:name="bookmark1379"/>
      <w:bookmarkStart w:id="1397" w:name="_Toc20149"/>
      <w:bookmarkStart w:id="1398" w:name="_Toc16927"/>
      <w:bookmarkStart w:id="1399" w:name="_Toc7329"/>
      <w:bookmarkStart w:id="1400" w:name="bookmark1378"/>
      <w:bookmarkStart w:id="1401" w:name="_Toc10191"/>
      <w:bookmarkStart w:id="1402" w:name="_Toc20411"/>
      <w:bookmarkStart w:id="1403" w:name="_Toc27598"/>
      <w:bookmarkStart w:id="1404" w:name="_Toc12143"/>
      <w:r>
        <w:rPr>
          <w:rFonts w:hint="eastAsia" w:ascii="宋体" w:hAnsi="宋体" w:cs="宋体"/>
          <w:color w:val="auto"/>
          <w:sz w:val="24"/>
          <w:szCs w:val="24"/>
          <w:lang w:eastAsia="zh-CN"/>
        </w:rPr>
        <w:t>17.6最终结清</w:t>
      </w:r>
      <w:bookmarkEnd w:id="1395"/>
      <w:bookmarkEnd w:id="1396"/>
      <w:bookmarkEnd w:id="1397"/>
      <w:bookmarkEnd w:id="1398"/>
      <w:bookmarkEnd w:id="1399"/>
      <w:bookmarkEnd w:id="1400"/>
      <w:bookmarkEnd w:id="1401"/>
      <w:bookmarkEnd w:id="1402"/>
      <w:bookmarkEnd w:id="1403"/>
      <w:bookmarkEnd w:id="1404"/>
    </w:p>
    <w:p w14:paraId="5F475CA0">
      <w:pPr>
        <w:pStyle w:val="95"/>
        <w:spacing w:line="360" w:lineRule="exact"/>
        <w:ind w:firstLine="440"/>
        <w:jc w:val="both"/>
        <w:rPr>
          <w:color w:val="auto"/>
        </w:rPr>
      </w:pPr>
      <w:r>
        <w:rPr>
          <w:rFonts w:hint="eastAsia"/>
          <w:color w:val="auto"/>
          <w:lang w:val="en-US" w:bidi="en-US"/>
        </w:rPr>
        <w:t>17.6.1</w:t>
      </w:r>
      <w:r>
        <w:rPr>
          <w:rFonts w:hint="eastAsia"/>
          <w:color w:val="auto"/>
        </w:rPr>
        <w:t>最终结清申请单</w:t>
      </w:r>
    </w:p>
    <w:p w14:paraId="6191FA5C">
      <w:pPr>
        <w:pStyle w:val="95"/>
        <w:numPr>
          <w:ilvl w:val="0"/>
          <w:numId w:val="24"/>
        </w:numPr>
        <w:tabs>
          <w:tab w:val="left" w:pos="894"/>
        </w:tabs>
        <w:spacing w:line="346" w:lineRule="exact"/>
        <w:ind w:firstLine="440"/>
        <w:jc w:val="both"/>
        <w:rPr>
          <w:color w:val="auto"/>
        </w:rPr>
      </w:pPr>
      <w:bookmarkStart w:id="1405" w:name="bookmark1381"/>
      <w:bookmarkEnd w:id="1405"/>
      <w:r>
        <w:rPr>
          <w:rFonts w:hint="eastAsia"/>
          <w:color w:val="auto"/>
        </w:rPr>
        <w:t>工程质量保修责任终止证书签发后，承包人应按监理人批准的格式提交最终结清申请单。提交最终结清申请单的份数在专用合同条款中约定。</w:t>
      </w:r>
    </w:p>
    <w:p w14:paraId="6163E6C3">
      <w:pPr>
        <w:pStyle w:val="95"/>
        <w:numPr>
          <w:ilvl w:val="0"/>
          <w:numId w:val="24"/>
        </w:numPr>
        <w:tabs>
          <w:tab w:val="left" w:pos="918"/>
        </w:tabs>
        <w:spacing w:line="346" w:lineRule="exact"/>
        <w:ind w:firstLine="440"/>
        <w:jc w:val="both"/>
        <w:rPr>
          <w:color w:val="auto"/>
        </w:rPr>
      </w:pPr>
      <w:bookmarkStart w:id="1406" w:name="bookmark1382"/>
      <w:bookmarkEnd w:id="1406"/>
      <w:r>
        <w:rPr>
          <w:rFonts w:hint="eastAsia"/>
          <w:color w:val="auto"/>
        </w:rPr>
        <w:t>发包人对最终结清申请单内容有异议的，有权要求承包人进行修正和提供补充资料，由承包人向监理人提交修正后的最终结清申请单。</w:t>
      </w:r>
    </w:p>
    <w:p w14:paraId="64CBE18B">
      <w:pPr>
        <w:pStyle w:val="95"/>
        <w:ind w:firstLine="440"/>
        <w:jc w:val="both"/>
        <w:rPr>
          <w:color w:val="auto"/>
        </w:rPr>
      </w:pPr>
      <w:r>
        <w:rPr>
          <w:rFonts w:hint="eastAsia"/>
          <w:color w:val="auto"/>
          <w:lang w:val="en-US" w:bidi="en-US"/>
        </w:rPr>
        <w:t>17.6.2</w:t>
      </w:r>
      <w:r>
        <w:rPr>
          <w:rFonts w:hint="eastAsia"/>
          <w:color w:val="auto"/>
        </w:rPr>
        <w:t>最终结清证书和支付时间</w:t>
      </w:r>
    </w:p>
    <w:p w14:paraId="30089CB9">
      <w:pPr>
        <w:pStyle w:val="95"/>
        <w:numPr>
          <w:ilvl w:val="0"/>
          <w:numId w:val="25"/>
        </w:numPr>
        <w:tabs>
          <w:tab w:val="left" w:pos="918"/>
        </w:tabs>
        <w:spacing w:line="346" w:lineRule="exact"/>
        <w:ind w:firstLine="440"/>
        <w:jc w:val="both"/>
        <w:rPr>
          <w:color w:val="auto"/>
        </w:rPr>
      </w:pPr>
      <w:bookmarkStart w:id="1407" w:name="bookmark1383"/>
      <w:bookmarkEnd w:id="1407"/>
      <w:r>
        <w:rPr>
          <w:rFonts w:hint="eastAsia"/>
          <w:color w:val="auto"/>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2F408F4">
      <w:pPr>
        <w:pStyle w:val="95"/>
        <w:numPr>
          <w:ilvl w:val="0"/>
          <w:numId w:val="25"/>
        </w:numPr>
        <w:tabs>
          <w:tab w:val="left" w:pos="918"/>
        </w:tabs>
        <w:spacing w:line="346" w:lineRule="exact"/>
        <w:ind w:firstLine="440"/>
        <w:jc w:val="both"/>
        <w:rPr>
          <w:color w:val="auto"/>
        </w:rPr>
      </w:pPr>
      <w:bookmarkStart w:id="1408" w:name="bookmark1384"/>
      <w:bookmarkEnd w:id="1408"/>
      <w:r>
        <w:rPr>
          <w:rFonts w:hint="eastAsia"/>
          <w:color w:val="auto"/>
        </w:rPr>
        <w:t>发包人应在监理人出具最终结清证书后的14天内，将应支付款支付给承包人。发包人不按期支付的，按第</w:t>
      </w:r>
      <w:r>
        <w:rPr>
          <w:rFonts w:hint="eastAsia"/>
          <w:color w:val="auto"/>
          <w:lang w:val="en-US" w:bidi="en-US"/>
        </w:rPr>
        <w:t xml:space="preserve">17.3.3 </w:t>
      </w:r>
      <w:r>
        <w:rPr>
          <w:rFonts w:hint="eastAsia"/>
          <w:color w:val="auto"/>
        </w:rPr>
        <w:t>(2)目的约定，将逾期付款违约金支付给承包人。</w:t>
      </w:r>
    </w:p>
    <w:p w14:paraId="11F39821">
      <w:pPr>
        <w:pStyle w:val="95"/>
        <w:numPr>
          <w:ilvl w:val="0"/>
          <w:numId w:val="25"/>
        </w:numPr>
        <w:tabs>
          <w:tab w:val="left" w:pos="922"/>
        </w:tabs>
        <w:spacing w:line="346" w:lineRule="exact"/>
        <w:ind w:firstLine="440"/>
        <w:jc w:val="both"/>
        <w:rPr>
          <w:color w:val="auto"/>
        </w:rPr>
      </w:pPr>
      <w:bookmarkStart w:id="1409" w:name="bookmark1385"/>
      <w:bookmarkEnd w:id="1409"/>
      <w:r>
        <w:rPr>
          <w:rFonts w:hint="eastAsia"/>
          <w:color w:val="auto"/>
        </w:rPr>
        <w:t>承包人对发包人签认的最终结清证书有异议的，按第24条的约定办理。</w:t>
      </w:r>
    </w:p>
    <w:p w14:paraId="6303BB25">
      <w:pPr>
        <w:pStyle w:val="95"/>
        <w:numPr>
          <w:ilvl w:val="0"/>
          <w:numId w:val="25"/>
        </w:numPr>
        <w:tabs>
          <w:tab w:val="left" w:pos="922"/>
        </w:tabs>
        <w:spacing w:line="346" w:lineRule="exact"/>
        <w:ind w:firstLine="440"/>
        <w:jc w:val="both"/>
        <w:rPr>
          <w:color w:val="auto"/>
        </w:rPr>
      </w:pPr>
      <w:bookmarkStart w:id="1410" w:name="bookmark1386"/>
      <w:bookmarkEnd w:id="1410"/>
      <w:r>
        <w:rPr>
          <w:rFonts w:hint="eastAsia"/>
          <w:color w:val="auto"/>
        </w:rPr>
        <w:t>最终结清付款涉及政府投资资金的，按第</w:t>
      </w:r>
      <w:r>
        <w:rPr>
          <w:rFonts w:hint="eastAsia"/>
          <w:color w:val="auto"/>
          <w:lang w:val="en-US" w:bidi="en-US"/>
        </w:rPr>
        <w:t xml:space="preserve">17.3.3 </w:t>
      </w:r>
      <w:r>
        <w:rPr>
          <w:rFonts w:hint="eastAsia"/>
          <w:color w:val="auto"/>
        </w:rPr>
        <w:t>(4)目的约定办理。</w:t>
      </w:r>
    </w:p>
    <w:p w14:paraId="2E96CEA3">
      <w:pPr>
        <w:pStyle w:val="101"/>
        <w:spacing w:before="0" w:after="0" w:line="360" w:lineRule="exact"/>
        <w:rPr>
          <w:rFonts w:ascii="宋体" w:hAnsi="宋体" w:cs="宋体"/>
          <w:color w:val="auto"/>
          <w:sz w:val="24"/>
          <w:szCs w:val="24"/>
          <w:lang w:eastAsia="zh-CN"/>
        </w:rPr>
      </w:pPr>
      <w:bookmarkStart w:id="1411" w:name="bookmark1387"/>
      <w:bookmarkStart w:id="1412" w:name="_Toc1639"/>
      <w:bookmarkStart w:id="1413" w:name="bookmark1388"/>
      <w:bookmarkStart w:id="1414" w:name="_Toc14387"/>
      <w:bookmarkStart w:id="1415" w:name="_Toc1643"/>
      <w:bookmarkStart w:id="1416" w:name="bookmark1389"/>
      <w:bookmarkStart w:id="1417" w:name="_Toc7524"/>
      <w:bookmarkStart w:id="1418" w:name="_Toc4347"/>
      <w:bookmarkStart w:id="1419" w:name="_Toc17569"/>
      <w:bookmarkStart w:id="1420" w:name="_Toc4415"/>
      <w:r>
        <w:rPr>
          <w:rFonts w:hint="eastAsia" w:ascii="宋体" w:hAnsi="宋体" w:cs="宋体"/>
          <w:color w:val="auto"/>
          <w:sz w:val="24"/>
          <w:szCs w:val="24"/>
          <w:lang w:eastAsia="zh-CN"/>
        </w:rPr>
        <w:t>17.7竣工财务决算</w:t>
      </w:r>
      <w:bookmarkEnd w:id="1411"/>
      <w:bookmarkEnd w:id="1412"/>
      <w:bookmarkEnd w:id="1413"/>
      <w:bookmarkEnd w:id="1414"/>
      <w:bookmarkEnd w:id="1415"/>
      <w:bookmarkEnd w:id="1416"/>
      <w:bookmarkEnd w:id="1417"/>
      <w:bookmarkEnd w:id="1418"/>
      <w:bookmarkEnd w:id="1419"/>
      <w:bookmarkEnd w:id="1420"/>
    </w:p>
    <w:p w14:paraId="6BD5D404">
      <w:pPr>
        <w:pStyle w:val="95"/>
        <w:spacing w:line="346" w:lineRule="exact"/>
        <w:ind w:firstLine="420"/>
        <w:jc w:val="both"/>
        <w:rPr>
          <w:color w:val="auto"/>
        </w:rPr>
      </w:pPr>
      <w:r>
        <w:rPr>
          <w:rFonts w:hint="eastAsia"/>
          <w:color w:val="auto"/>
        </w:rPr>
        <w:t>发包人负责编制本工程项目竣工财务决算，承包人应按专用合同条款的约定提供竣工财务决算编制所需的相关材料。</w:t>
      </w:r>
    </w:p>
    <w:p w14:paraId="60EDF5A4">
      <w:pPr>
        <w:pStyle w:val="101"/>
        <w:spacing w:before="0" w:after="0" w:line="360" w:lineRule="exact"/>
        <w:rPr>
          <w:rFonts w:ascii="宋体" w:hAnsi="宋体" w:cs="宋体"/>
          <w:color w:val="auto"/>
          <w:sz w:val="24"/>
          <w:szCs w:val="24"/>
          <w:lang w:eastAsia="zh-CN"/>
        </w:rPr>
      </w:pPr>
      <w:bookmarkStart w:id="1421" w:name="bookmark1391"/>
      <w:bookmarkStart w:id="1422" w:name="bookmark1392"/>
      <w:bookmarkStart w:id="1423" w:name="_Toc19499"/>
      <w:bookmarkStart w:id="1424" w:name="_Toc20613"/>
      <w:bookmarkStart w:id="1425" w:name="_Toc9623"/>
      <w:bookmarkStart w:id="1426" w:name="bookmark1390"/>
      <w:bookmarkStart w:id="1427" w:name="_Toc30161"/>
      <w:bookmarkStart w:id="1428" w:name="_Toc19010"/>
      <w:bookmarkStart w:id="1429" w:name="_Toc22243"/>
      <w:bookmarkStart w:id="1430" w:name="_Toc2293"/>
      <w:r>
        <w:rPr>
          <w:rFonts w:hint="eastAsia" w:ascii="宋体" w:hAnsi="宋体" w:cs="宋体"/>
          <w:color w:val="auto"/>
          <w:sz w:val="24"/>
          <w:szCs w:val="24"/>
          <w:lang w:eastAsia="zh-CN"/>
        </w:rPr>
        <w:t>17.8竣工审计</w:t>
      </w:r>
      <w:bookmarkEnd w:id="1421"/>
      <w:bookmarkEnd w:id="1422"/>
      <w:bookmarkEnd w:id="1423"/>
      <w:bookmarkEnd w:id="1424"/>
      <w:bookmarkEnd w:id="1425"/>
      <w:bookmarkEnd w:id="1426"/>
      <w:bookmarkEnd w:id="1427"/>
      <w:bookmarkEnd w:id="1428"/>
      <w:bookmarkEnd w:id="1429"/>
      <w:bookmarkEnd w:id="1430"/>
    </w:p>
    <w:p w14:paraId="38C6144E">
      <w:pPr>
        <w:pStyle w:val="95"/>
        <w:spacing w:line="362" w:lineRule="exact"/>
        <w:ind w:firstLine="420"/>
        <w:rPr>
          <w:color w:val="auto"/>
        </w:rPr>
      </w:pPr>
      <w:r>
        <w:rPr>
          <w:rFonts w:hint="eastAsia"/>
          <w:color w:val="auto"/>
        </w:rPr>
        <w:t>发包人负责完成本工程竣工审计手续，承包人应完成相关配合工作。</w:t>
      </w:r>
    </w:p>
    <w:p w14:paraId="54CA8C03">
      <w:pPr>
        <w:pStyle w:val="101"/>
        <w:spacing w:before="0" w:after="0" w:line="360" w:lineRule="exact"/>
        <w:rPr>
          <w:rFonts w:ascii="宋体" w:hAnsi="宋体" w:cs="宋体"/>
          <w:color w:val="auto"/>
          <w:lang w:eastAsia="zh-CN"/>
        </w:rPr>
      </w:pPr>
      <w:bookmarkStart w:id="1431" w:name="_Toc29462"/>
      <w:bookmarkStart w:id="1432" w:name="_Toc22826"/>
      <w:bookmarkStart w:id="1433" w:name="_Toc11224"/>
      <w:bookmarkStart w:id="1434" w:name="_Toc27318"/>
      <w:bookmarkStart w:id="1435" w:name="bookmark1393"/>
      <w:bookmarkStart w:id="1436" w:name="bookmark1394"/>
      <w:bookmarkStart w:id="1437" w:name="_Toc15468"/>
      <w:bookmarkStart w:id="1438" w:name="_Toc11762"/>
      <w:bookmarkStart w:id="1439" w:name="_Toc9679"/>
      <w:bookmarkStart w:id="1440" w:name="bookmark1395"/>
      <w:r>
        <w:rPr>
          <w:rFonts w:hint="eastAsia" w:ascii="宋体" w:hAnsi="宋体" w:cs="宋体"/>
          <w:color w:val="auto"/>
          <w:lang w:eastAsia="zh-CN"/>
        </w:rPr>
        <w:t>18.竣工验收（验收）</w:t>
      </w:r>
      <w:bookmarkEnd w:id="1431"/>
      <w:bookmarkEnd w:id="1432"/>
      <w:bookmarkEnd w:id="1433"/>
      <w:bookmarkEnd w:id="1434"/>
      <w:bookmarkEnd w:id="1435"/>
      <w:bookmarkEnd w:id="1436"/>
      <w:bookmarkEnd w:id="1437"/>
      <w:bookmarkEnd w:id="1438"/>
      <w:bookmarkEnd w:id="1439"/>
      <w:bookmarkEnd w:id="1440"/>
    </w:p>
    <w:p w14:paraId="53BE483F">
      <w:pPr>
        <w:pStyle w:val="101"/>
        <w:spacing w:before="0" w:after="0" w:line="360" w:lineRule="exact"/>
        <w:rPr>
          <w:rFonts w:ascii="宋体" w:hAnsi="宋体" w:cs="宋体"/>
          <w:color w:val="auto"/>
          <w:sz w:val="24"/>
          <w:szCs w:val="24"/>
          <w:lang w:eastAsia="zh-CN"/>
        </w:rPr>
      </w:pPr>
      <w:bookmarkStart w:id="1441" w:name="_Toc330"/>
      <w:bookmarkStart w:id="1442" w:name="bookmark1397"/>
      <w:bookmarkStart w:id="1443" w:name="_Toc1314"/>
      <w:bookmarkStart w:id="1444" w:name="_Toc20245"/>
      <w:bookmarkStart w:id="1445" w:name="bookmark1398"/>
      <w:bookmarkStart w:id="1446" w:name="bookmark1396"/>
      <w:bookmarkStart w:id="1447" w:name="_Toc28328"/>
      <w:bookmarkStart w:id="1448" w:name="_Toc9008"/>
      <w:bookmarkStart w:id="1449" w:name="_Toc409"/>
      <w:bookmarkStart w:id="1450" w:name="_Toc757"/>
      <w:r>
        <w:rPr>
          <w:rFonts w:hint="eastAsia" w:ascii="宋体" w:hAnsi="宋体" w:cs="宋体"/>
          <w:color w:val="auto"/>
          <w:sz w:val="24"/>
          <w:szCs w:val="24"/>
          <w:lang w:eastAsia="zh-CN"/>
        </w:rPr>
        <w:t>18.1验收工作分类</w:t>
      </w:r>
      <w:bookmarkEnd w:id="1441"/>
      <w:bookmarkEnd w:id="1442"/>
      <w:bookmarkEnd w:id="1443"/>
      <w:bookmarkEnd w:id="1444"/>
      <w:bookmarkEnd w:id="1445"/>
      <w:bookmarkEnd w:id="1446"/>
      <w:bookmarkEnd w:id="1447"/>
      <w:bookmarkEnd w:id="1448"/>
      <w:bookmarkEnd w:id="1449"/>
      <w:bookmarkEnd w:id="1450"/>
    </w:p>
    <w:p w14:paraId="5A0CD377">
      <w:pPr>
        <w:pStyle w:val="95"/>
        <w:spacing w:line="358" w:lineRule="exact"/>
        <w:ind w:firstLine="440"/>
        <w:jc w:val="both"/>
        <w:rPr>
          <w:color w:val="auto"/>
        </w:rPr>
      </w:pPr>
      <w:r>
        <w:rPr>
          <w:rFonts w:hint="eastAsia"/>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30CAC6C2">
      <w:pPr>
        <w:pStyle w:val="101"/>
        <w:spacing w:before="0" w:after="0" w:line="360" w:lineRule="exact"/>
        <w:rPr>
          <w:rFonts w:ascii="宋体" w:hAnsi="宋体" w:cs="宋体"/>
          <w:color w:val="auto"/>
          <w:sz w:val="24"/>
          <w:szCs w:val="24"/>
          <w:lang w:eastAsia="zh-CN"/>
        </w:rPr>
      </w:pPr>
      <w:bookmarkStart w:id="1451" w:name="_Toc7053"/>
      <w:bookmarkStart w:id="1452" w:name="_Toc24912"/>
      <w:bookmarkStart w:id="1453" w:name="_Toc3537"/>
      <w:bookmarkStart w:id="1454" w:name="bookmark1400"/>
      <w:bookmarkStart w:id="1455" w:name="bookmark1401"/>
      <w:bookmarkStart w:id="1456" w:name="_Toc8655"/>
      <w:bookmarkStart w:id="1457" w:name="_Toc29537"/>
      <w:bookmarkStart w:id="1458" w:name="_Toc10830"/>
      <w:bookmarkStart w:id="1459" w:name="_Toc15087"/>
      <w:bookmarkStart w:id="1460" w:name="bookmark1399"/>
      <w:r>
        <w:rPr>
          <w:rFonts w:hint="eastAsia" w:ascii="宋体" w:hAnsi="宋体" w:cs="宋体"/>
          <w:color w:val="auto"/>
          <w:sz w:val="24"/>
          <w:szCs w:val="24"/>
          <w:lang w:eastAsia="zh-CN"/>
        </w:rPr>
        <w:t>18.2分部工程验收</w:t>
      </w:r>
      <w:bookmarkEnd w:id="1451"/>
      <w:bookmarkEnd w:id="1452"/>
      <w:bookmarkEnd w:id="1453"/>
      <w:bookmarkEnd w:id="1454"/>
      <w:bookmarkEnd w:id="1455"/>
      <w:bookmarkEnd w:id="1456"/>
      <w:bookmarkEnd w:id="1457"/>
      <w:bookmarkEnd w:id="1458"/>
      <w:bookmarkEnd w:id="1459"/>
      <w:bookmarkEnd w:id="1460"/>
    </w:p>
    <w:p w14:paraId="144F985C">
      <w:pPr>
        <w:pStyle w:val="95"/>
        <w:spacing w:line="367" w:lineRule="exact"/>
        <w:ind w:firstLine="440"/>
        <w:jc w:val="both"/>
        <w:rPr>
          <w:color w:val="auto"/>
        </w:rPr>
      </w:pPr>
      <w:r>
        <w:rPr>
          <w:rFonts w:hint="eastAsia"/>
          <w:color w:val="auto"/>
          <w:lang w:val="en-US" w:bidi="en-US"/>
        </w:rPr>
        <w:t>18.2.1</w:t>
      </w:r>
      <w:r>
        <w:rPr>
          <w:rFonts w:hint="eastAsia"/>
          <w:color w:val="auto"/>
        </w:rPr>
        <w:t>分部工程具备验收条件时，承包人应向发包人提交验收申请报告，发包人应在收到验收申请报告之日起10个工作日内决定是否同意进行验收。</w:t>
      </w:r>
    </w:p>
    <w:p w14:paraId="6A84FD3C">
      <w:pPr>
        <w:pStyle w:val="95"/>
        <w:spacing w:line="367" w:lineRule="exact"/>
        <w:ind w:firstLine="440"/>
        <w:jc w:val="both"/>
        <w:rPr>
          <w:color w:val="auto"/>
        </w:rPr>
      </w:pPr>
      <w:r>
        <w:rPr>
          <w:rFonts w:hint="eastAsia"/>
          <w:color w:val="auto"/>
          <w:lang w:val="en-US" w:bidi="en-US"/>
        </w:rPr>
        <w:t>18.2.2</w:t>
      </w:r>
      <w:r>
        <w:rPr>
          <w:rFonts w:hint="eastAsia"/>
          <w:color w:val="auto"/>
        </w:rPr>
        <w:t>除专用合同条款另有约定外，监理人主持分部工程验收，承包人应派符合条件的代表参加验收工作组。</w:t>
      </w:r>
    </w:p>
    <w:p w14:paraId="61D06531">
      <w:pPr>
        <w:pStyle w:val="95"/>
        <w:spacing w:line="370" w:lineRule="exact"/>
        <w:ind w:firstLine="440"/>
        <w:jc w:val="both"/>
        <w:rPr>
          <w:color w:val="auto"/>
        </w:rPr>
      </w:pPr>
      <w:r>
        <w:rPr>
          <w:rFonts w:hint="eastAsia"/>
          <w:color w:val="auto"/>
          <w:lang w:val="en-US" w:bidi="en-US"/>
        </w:rPr>
        <w:t>18.2.3</w:t>
      </w:r>
      <w:r>
        <w:rPr>
          <w:rFonts w:hint="eastAsia"/>
          <w:color w:val="auto"/>
        </w:rPr>
        <w:t>分部工程验收通过后，发包人向承包人发送分部工程验收鉴定书。承包人应及时完成分部工程验收鉴定书载明应由承包人处理的遗留问题。</w:t>
      </w:r>
    </w:p>
    <w:p w14:paraId="739B99B8">
      <w:pPr>
        <w:pStyle w:val="101"/>
        <w:spacing w:before="0" w:after="0" w:line="360" w:lineRule="exact"/>
        <w:rPr>
          <w:rFonts w:ascii="宋体" w:hAnsi="宋体" w:cs="宋体"/>
          <w:color w:val="auto"/>
          <w:sz w:val="24"/>
          <w:szCs w:val="24"/>
          <w:lang w:eastAsia="zh-CN"/>
        </w:rPr>
      </w:pPr>
      <w:bookmarkStart w:id="1461" w:name="_Toc16242"/>
      <w:bookmarkStart w:id="1462" w:name="bookmark1402"/>
      <w:bookmarkStart w:id="1463" w:name="bookmark1404"/>
      <w:bookmarkStart w:id="1464" w:name="_Toc19460"/>
      <w:bookmarkStart w:id="1465" w:name="_Toc30253"/>
      <w:bookmarkStart w:id="1466" w:name="_Toc7133"/>
      <w:bookmarkStart w:id="1467" w:name="_Toc13910"/>
      <w:bookmarkStart w:id="1468" w:name="_Toc10068"/>
      <w:bookmarkStart w:id="1469" w:name="bookmark1403"/>
      <w:bookmarkStart w:id="1470" w:name="_Toc24827"/>
      <w:r>
        <w:rPr>
          <w:rFonts w:hint="eastAsia" w:ascii="宋体" w:hAnsi="宋体" w:cs="宋体"/>
          <w:color w:val="auto"/>
          <w:sz w:val="24"/>
          <w:szCs w:val="24"/>
          <w:lang w:eastAsia="zh-CN"/>
        </w:rPr>
        <w:t>18.3单位工程验收</w:t>
      </w:r>
      <w:bookmarkEnd w:id="1461"/>
      <w:bookmarkEnd w:id="1462"/>
      <w:bookmarkEnd w:id="1463"/>
      <w:bookmarkEnd w:id="1464"/>
      <w:bookmarkEnd w:id="1465"/>
      <w:bookmarkEnd w:id="1466"/>
      <w:bookmarkEnd w:id="1467"/>
      <w:bookmarkEnd w:id="1468"/>
      <w:bookmarkEnd w:id="1469"/>
      <w:bookmarkEnd w:id="1470"/>
    </w:p>
    <w:p w14:paraId="577B20C6">
      <w:pPr>
        <w:pStyle w:val="95"/>
        <w:spacing w:line="365" w:lineRule="exact"/>
        <w:ind w:firstLine="440"/>
        <w:jc w:val="both"/>
        <w:rPr>
          <w:color w:val="auto"/>
        </w:rPr>
      </w:pPr>
      <w:r>
        <w:rPr>
          <w:rFonts w:hint="eastAsia"/>
          <w:color w:val="auto"/>
          <w:lang w:val="en-US" w:bidi="en-US"/>
        </w:rPr>
        <w:t>18.3.1</w:t>
      </w:r>
      <w:r>
        <w:rPr>
          <w:rFonts w:hint="eastAsia"/>
          <w:color w:val="auto"/>
        </w:rPr>
        <w:t>单位工程具备验收条件时，承包人应向发包人提交验收申请报告，发包人应在收到验收申请报告之日起10个工作日内决定是否同意进行验收。</w:t>
      </w:r>
    </w:p>
    <w:p w14:paraId="74E900F2">
      <w:pPr>
        <w:pStyle w:val="95"/>
        <w:spacing w:line="365" w:lineRule="exact"/>
        <w:ind w:firstLine="440"/>
        <w:jc w:val="both"/>
        <w:rPr>
          <w:color w:val="auto"/>
        </w:rPr>
      </w:pPr>
      <w:r>
        <w:rPr>
          <w:rFonts w:hint="eastAsia"/>
          <w:color w:val="auto"/>
          <w:lang w:val="en-US" w:bidi="en-US"/>
        </w:rPr>
        <w:t>18.3.2</w:t>
      </w:r>
      <w:r>
        <w:rPr>
          <w:rFonts w:hint="eastAsia"/>
          <w:color w:val="auto"/>
        </w:rPr>
        <w:t>发包人主持单位工程验收，承包人应派符合条件的代表参加验收工作组。</w:t>
      </w:r>
    </w:p>
    <w:p w14:paraId="30F1BFB6">
      <w:pPr>
        <w:pStyle w:val="95"/>
        <w:spacing w:line="365" w:lineRule="exact"/>
        <w:ind w:firstLine="440"/>
        <w:jc w:val="both"/>
        <w:rPr>
          <w:color w:val="auto"/>
        </w:rPr>
      </w:pPr>
      <w:r>
        <w:rPr>
          <w:rFonts w:hint="eastAsia"/>
          <w:color w:val="auto"/>
          <w:lang w:val="en-US" w:bidi="en-US"/>
        </w:rPr>
        <w:t>18.3.3</w:t>
      </w:r>
      <w:r>
        <w:rPr>
          <w:rFonts w:hint="eastAsia"/>
          <w:color w:val="auto"/>
        </w:rPr>
        <w:t>单位工程验收通过后，发包人向承包人发送单位工程验收鉴定书。承包人应及时完成单位工程验收鉴定书载明应由承包人处理的遗留问题。</w:t>
      </w:r>
    </w:p>
    <w:p w14:paraId="0EA547E3">
      <w:pPr>
        <w:pStyle w:val="95"/>
        <w:spacing w:line="240" w:lineRule="auto"/>
        <w:ind w:firstLine="420"/>
        <w:rPr>
          <w:color w:val="auto"/>
        </w:rPr>
      </w:pPr>
      <w:r>
        <w:rPr>
          <w:rFonts w:hint="eastAsia"/>
          <w:color w:val="auto"/>
          <w:lang w:val="en-US" w:bidi="en-US"/>
        </w:rPr>
        <w:t>18.3.4</w:t>
      </w:r>
      <w:r>
        <w:rPr>
          <w:rFonts w:hint="eastAsia"/>
          <w:color w:val="auto"/>
        </w:rPr>
        <w:t>需提前投入使用的单位工程在专用合同条款中明确。</w:t>
      </w:r>
    </w:p>
    <w:p w14:paraId="7E3F6928">
      <w:pPr>
        <w:pStyle w:val="101"/>
        <w:spacing w:before="0" w:after="0" w:line="360" w:lineRule="exact"/>
        <w:rPr>
          <w:rFonts w:ascii="宋体" w:hAnsi="宋体" w:cs="宋体"/>
          <w:color w:val="auto"/>
          <w:sz w:val="24"/>
          <w:szCs w:val="24"/>
          <w:lang w:eastAsia="zh-CN"/>
        </w:rPr>
      </w:pPr>
      <w:bookmarkStart w:id="1471" w:name="bookmark1406"/>
      <w:bookmarkStart w:id="1472" w:name="_Toc22680"/>
      <w:bookmarkStart w:id="1473" w:name="_Toc4141"/>
      <w:bookmarkStart w:id="1474" w:name="_Toc3976"/>
      <w:bookmarkStart w:id="1475" w:name="_Toc11381"/>
      <w:bookmarkStart w:id="1476" w:name="_Toc23192"/>
      <w:bookmarkStart w:id="1477" w:name="_Toc14138"/>
      <w:bookmarkStart w:id="1478" w:name="bookmark1405"/>
      <w:bookmarkStart w:id="1479" w:name="bookmark1407"/>
      <w:bookmarkStart w:id="1480" w:name="_Toc24227"/>
      <w:r>
        <w:rPr>
          <w:rFonts w:hint="eastAsia" w:ascii="宋体" w:hAnsi="宋体" w:cs="宋体"/>
          <w:color w:val="auto"/>
          <w:sz w:val="24"/>
          <w:szCs w:val="24"/>
          <w:lang w:eastAsia="zh-CN"/>
        </w:rPr>
        <w:t>18.4合同工程完工验收</w:t>
      </w:r>
      <w:bookmarkEnd w:id="1471"/>
      <w:bookmarkEnd w:id="1472"/>
      <w:bookmarkEnd w:id="1473"/>
      <w:bookmarkEnd w:id="1474"/>
      <w:bookmarkEnd w:id="1475"/>
      <w:bookmarkEnd w:id="1476"/>
      <w:bookmarkEnd w:id="1477"/>
      <w:bookmarkEnd w:id="1478"/>
      <w:bookmarkEnd w:id="1479"/>
      <w:bookmarkEnd w:id="1480"/>
    </w:p>
    <w:p w14:paraId="2E919025">
      <w:pPr>
        <w:pStyle w:val="95"/>
        <w:spacing w:line="360" w:lineRule="exact"/>
        <w:ind w:firstLine="440"/>
        <w:jc w:val="both"/>
        <w:rPr>
          <w:color w:val="auto"/>
        </w:rPr>
      </w:pPr>
      <w:r>
        <w:rPr>
          <w:rFonts w:hint="eastAsia"/>
          <w:color w:val="auto"/>
          <w:lang w:val="en-US" w:bidi="en-US"/>
        </w:rPr>
        <w:t>18.4.1</w:t>
      </w:r>
      <w:r>
        <w:rPr>
          <w:rFonts w:hint="eastAsia"/>
          <w:color w:val="auto"/>
        </w:rPr>
        <w:t>合同工程具备验收条件时，承包人应向发包人提交验收申请报告，发包人应在收到验收申请报告之日起20个工作日内决定是否同意进行验收。</w:t>
      </w:r>
    </w:p>
    <w:p w14:paraId="7D96CECD">
      <w:pPr>
        <w:pStyle w:val="95"/>
        <w:spacing w:line="360" w:lineRule="exact"/>
        <w:ind w:firstLine="420"/>
        <w:rPr>
          <w:color w:val="auto"/>
        </w:rPr>
      </w:pPr>
      <w:r>
        <w:rPr>
          <w:rFonts w:hint="eastAsia"/>
          <w:color w:val="auto"/>
          <w:lang w:val="en-US" w:bidi="en-US"/>
        </w:rPr>
        <w:t>18.4.2</w:t>
      </w:r>
      <w:r>
        <w:rPr>
          <w:rFonts w:hint="eastAsia"/>
          <w:color w:val="auto"/>
        </w:rPr>
        <w:t>发包人主持合同工程完工验收，承包人应派项目经理参加验收工作组。</w:t>
      </w:r>
    </w:p>
    <w:p w14:paraId="23C8DF40">
      <w:pPr>
        <w:pStyle w:val="95"/>
        <w:spacing w:line="360" w:lineRule="exact"/>
        <w:ind w:firstLine="440"/>
        <w:jc w:val="both"/>
        <w:rPr>
          <w:color w:val="auto"/>
        </w:rPr>
      </w:pPr>
      <w:r>
        <w:rPr>
          <w:rFonts w:hint="eastAsia"/>
          <w:color w:val="auto"/>
          <w:lang w:val="en-US" w:bidi="en-US"/>
        </w:rPr>
        <w:t>18.4.3</w:t>
      </w:r>
      <w:r>
        <w:rPr>
          <w:rFonts w:hint="eastAsia"/>
          <w:color w:val="auto"/>
        </w:rPr>
        <w:t>合同工程完工验收通过后，发包人向承包人发送合同工程完工验收鉴定书。承包人应及时完成合同工程完工验收鉴定书载明应由承包人处理的遗留问题。</w:t>
      </w:r>
    </w:p>
    <w:p w14:paraId="2E07BDE4">
      <w:pPr>
        <w:pStyle w:val="95"/>
        <w:spacing w:line="360" w:lineRule="exact"/>
        <w:ind w:firstLine="440"/>
        <w:jc w:val="both"/>
        <w:rPr>
          <w:color w:val="auto"/>
        </w:rPr>
      </w:pPr>
      <w:r>
        <w:rPr>
          <w:rFonts w:hint="eastAsia"/>
          <w:color w:val="auto"/>
          <w:lang w:val="en-US" w:bidi="en-US"/>
        </w:rPr>
        <w:t>18.4.4</w:t>
      </w:r>
      <w:r>
        <w:rPr>
          <w:rFonts w:hint="eastAsia"/>
          <w:color w:val="auto"/>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5A8603EB">
      <w:pPr>
        <w:pStyle w:val="101"/>
        <w:spacing w:before="0" w:after="0" w:line="360" w:lineRule="exact"/>
        <w:rPr>
          <w:rFonts w:ascii="宋体" w:hAnsi="宋体" w:cs="宋体"/>
          <w:color w:val="auto"/>
          <w:sz w:val="24"/>
          <w:szCs w:val="24"/>
          <w:lang w:eastAsia="zh-CN"/>
        </w:rPr>
      </w:pPr>
      <w:bookmarkStart w:id="1481" w:name="_Toc14197"/>
      <w:bookmarkStart w:id="1482" w:name="_Toc1029"/>
      <w:bookmarkStart w:id="1483" w:name="_Toc32064"/>
      <w:bookmarkStart w:id="1484" w:name="_Toc12500"/>
      <w:bookmarkStart w:id="1485" w:name="_Toc8273"/>
      <w:bookmarkStart w:id="1486" w:name="bookmark1410"/>
      <w:bookmarkStart w:id="1487" w:name="bookmark1408"/>
      <w:bookmarkStart w:id="1488" w:name="_Toc15170"/>
      <w:bookmarkStart w:id="1489" w:name="_Toc8965"/>
      <w:bookmarkStart w:id="1490" w:name="bookmark1409"/>
      <w:r>
        <w:rPr>
          <w:rFonts w:hint="eastAsia" w:ascii="宋体" w:hAnsi="宋体" w:cs="宋体"/>
          <w:color w:val="auto"/>
          <w:sz w:val="24"/>
          <w:szCs w:val="24"/>
          <w:lang w:eastAsia="zh-CN"/>
        </w:rPr>
        <w:t>18.5阶段验收</w:t>
      </w:r>
      <w:bookmarkEnd w:id="1481"/>
      <w:bookmarkEnd w:id="1482"/>
      <w:bookmarkEnd w:id="1483"/>
      <w:bookmarkEnd w:id="1484"/>
      <w:bookmarkEnd w:id="1485"/>
      <w:bookmarkEnd w:id="1486"/>
      <w:bookmarkEnd w:id="1487"/>
      <w:bookmarkEnd w:id="1488"/>
      <w:bookmarkEnd w:id="1489"/>
      <w:bookmarkEnd w:id="1490"/>
    </w:p>
    <w:p w14:paraId="7433F215">
      <w:pPr>
        <w:pStyle w:val="95"/>
        <w:spacing w:line="372" w:lineRule="exact"/>
        <w:ind w:firstLine="426" w:firstLineChars="213"/>
        <w:jc w:val="both"/>
        <w:rPr>
          <w:color w:val="auto"/>
        </w:rPr>
      </w:pPr>
      <w:r>
        <w:rPr>
          <w:rFonts w:hint="eastAsia"/>
          <w:color w:val="auto"/>
          <w:lang w:val="en-US" w:bidi="en-US"/>
        </w:rPr>
        <w:t>18.5.1</w:t>
      </w:r>
      <w:r>
        <w:rPr>
          <w:rFonts w:hint="eastAsia"/>
          <w:color w:val="auto"/>
        </w:rPr>
        <w:t>工程建设具备阶段验收条件时，发包人负责提出阶段验收申请报告。承包人应派代表参加阶段验收，并作为被验收单位在验收鉴定书上签字。阶段验收的具体类别在专用合同条款中约定。</w:t>
      </w:r>
    </w:p>
    <w:p w14:paraId="3F2016D6">
      <w:pPr>
        <w:pStyle w:val="95"/>
        <w:tabs>
          <w:tab w:val="left" w:pos="841"/>
        </w:tabs>
        <w:spacing w:line="355" w:lineRule="exact"/>
        <w:ind w:left="420" w:firstLine="0"/>
        <w:rPr>
          <w:color w:val="auto"/>
        </w:rPr>
      </w:pPr>
      <w:r>
        <w:rPr>
          <w:rFonts w:hint="eastAsia"/>
          <w:color w:val="auto"/>
          <w:lang w:val="en-US" w:bidi="en-US"/>
        </w:rPr>
        <w:t>18.5.</w:t>
      </w:r>
      <w:r>
        <w:rPr>
          <w:rFonts w:hint="eastAsia"/>
          <w:color w:val="auto"/>
        </w:rPr>
        <w:t>2承包人应及时完成阶段验收鉴定书载明应由承包人处理的遗留问题。</w:t>
      </w:r>
    </w:p>
    <w:p w14:paraId="1F7FEB4E">
      <w:pPr>
        <w:pStyle w:val="101"/>
        <w:spacing w:before="0" w:after="0" w:line="360" w:lineRule="exact"/>
        <w:rPr>
          <w:rFonts w:ascii="宋体" w:hAnsi="宋体" w:cs="宋体"/>
          <w:color w:val="auto"/>
          <w:sz w:val="24"/>
          <w:szCs w:val="24"/>
          <w:lang w:eastAsia="zh-CN"/>
        </w:rPr>
      </w:pPr>
      <w:bookmarkStart w:id="1491" w:name="_Toc16235"/>
      <w:bookmarkStart w:id="1492" w:name="_Toc4964"/>
      <w:bookmarkStart w:id="1493" w:name="_Toc22175"/>
      <w:bookmarkStart w:id="1494" w:name="_Toc15333"/>
      <w:bookmarkStart w:id="1495" w:name="bookmark1414"/>
      <w:bookmarkStart w:id="1496" w:name="_Toc15039"/>
      <w:bookmarkStart w:id="1497" w:name="_Toc26244"/>
      <w:bookmarkStart w:id="1498" w:name="_Toc26964"/>
      <w:bookmarkStart w:id="1499" w:name="bookmark1413"/>
      <w:bookmarkStart w:id="1500" w:name="bookmark1412"/>
      <w:r>
        <w:rPr>
          <w:rFonts w:hint="eastAsia" w:ascii="宋体" w:hAnsi="宋体" w:cs="宋体"/>
          <w:color w:val="auto"/>
          <w:sz w:val="24"/>
          <w:szCs w:val="24"/>
          <w:lang w:eastAsia="zh-CN"/>
        </w:rPr>
        <w:t>18.6专项验收</w:t>
      </w:r>
      <w:bookmarkEnd w:id="1491"/>
      <w:bookmarkEnd w:id="1492"/>
      <w:bookmarkEnd w:id="1493"/>
      <w:bookmarkEnd w:id="1494"/>
      <w:bookmarkEnd w:id="1495"/>
      <w:bookmarkEnd w:id="1496"/>
      <w:bookmarkEnd w:id="1497"/>
      <w:bookmarkEnd w:id="1498"/>
      <w:bookmarkEnd w:id="1499"/>
      <w:bookmarkEnd w:id="1500"/>
    </w:p>
    <w:p w14:paraId="6CBD9FB7">
      <w:pPr>
        <w:pStyle w:val="95"/>
        <w:spacing w:line="353" w:lineRule="exact"/>
        <w:ind w:firstLine="440"/>
        <w:jc w:val="both"/>
        <w:rPr>
          <w:color w:val="auto"/>
        </w:rPr>
      </w:pPr>
      <w:r>
        <w:rPr>
          <w:rFonts w:hint="eastAsia"/>
          <w:color w:val="auto"/>
          <w:lang w:val="en-US" w:bidi="en-US"/>
        </w:rPr>
        <w:t>18.6.1</w:t>
      </w:r>
      <w:r>
        <w:rPr>
          <w:rFonts w:hint="eastAsia"/>
          <w:color w:val="auto"/>
        </w:rPr>
        <w:t>发包人负责提出专项验收申请报告。承包人应按专项验收的相关规定参加专项验收。专项验收的具体类别在专用合同条款中约定。</w:t>
      </w:r>
    </w:p>
    <w:p w14:paraId="609BBADA">
      <w:pPr>
        <w:pStyle w:val="95"/>
        <w:spacing w:line="355" w:lineRule="exact"/>
        <w:ind w:firstLine="420"/>
        <w:rPr>
          <w:color w:val="auto"/>
        </w:rPr>
      </w:pPr>
      <w:r>
        <w:rPr>
          <w:rFonts w:hint="eastAsia"/>
          <w:color w:val="auto"/>
          <w:lang w:val="en-US" w:bidi="en-US"/>
        </w:rPr>
        <w:t>18.6.</w:t>
      </w:r>
      <w:r>
        <w:rPr>
          <w:rFonts w:hint="eastAsia"/>
          <w:color w:val="auto"/>
        </w:rPr>
        <w:t>2承包应及时完成专项验收成果性文件载明应由承包人处理的遗留问题。</w:t>
      </w:r>
    </w:p>
    <w:p w14:paraId="564A59DE">
      <w:pPr>
        <w:pStyle w:val="101"/>
        <w:spacing w:before="0" w:after="0" w:line="360" w:lineRule="exact"/>
        <w:rPr>
          <w:rFonts w:ascii="宋体" w:hAnsi="宋体" w:cs="宋体"/>
          <w:color w:val="auto"/>
          <w:sz w:val="24"/>
          <w:szCs w:val="24"/>
          <w:lang w:eastAsia="zh-CN"/>
        </w:rPr>
      </w:pPr>
      <w:bookmarkStart w:id="1501" w:name="bookmark1417"/>
      <w:bookmarkStart w:id="1502" w:name="_Toc9466"/>
      <w:bookmarkStart w:id="1503" w:name="_Toc31377"/>
      <w:bookmarkStart w:id="1504" w:name="_Toc9830"/>
      <w:bookmarkStart w:id="1505" w:name="_Toc20915"/>
      <w:bookmarkStart w:id="1506" w:name="_Toc13138"/>
      <w:bookmarkStart w:id="1507" w:name="_Toc3384"/>
      <w:bookmarkStart w:id="1508" w:name="bookmark1415"/>
      <w:bookmarkStart w:id="1509" w:name="_Toc25934"/>
      <w:bookmarkStart w:id="1510" w:name="bookmark1416"/>
      <w:r>
        <w:rPr>
          <w:rFonts w:hint="eastAsia" w:ascii="宋体" w:hAnsi="宋体" w:cs="宋体"/>
          <w:color w:val="auto"/>
          <w:sz w:val="24"/>
          <w:szCs w:val="24"/>
          <w:lang w:eastAsia="zh-CN"/>
        </w:rPr>
        <w:t>18.7竣工验收</w:t>
      </w:r>
      <w:bookmarkEnd w:id="1501"/>
      <w:bookmarkEnd w:id="1502"/>
      <w:bookmarkEnd w:id="1503"/>
      <w:bookmarkEnd w:id="1504"/>
      <w:bookmarkEnd w:id="1505"/>
      <w:bookmarkEnd w:id="1506"/>
      <w:bookmarkEnd w:id="1507"/>
      <w:bookmarkEnd w:id="1508"/>
      <w:bookmarkEnd w:id="1509"/>
      <w:bookmarkEnd w:id="1510"/>
    </w:p>
    <w:p w14:paraId="2A512FC6">
      <w:pPr>
        <w:pStyle w:val="95"/>
        <w:spacing w:line="355" w:lineRule="exact"/>
        <w:ind w:firstLine="440"/>
        <w:jc w:val="both"/>
        <w:rPr>
          <w:color w:val="auto"/>
        </w:rPr>
      </w:pPr>
      <w:r>
        <w:rPr>
          <w:rFonts w:hint="eastAsia"/>
          <w:color w:val="auto"/>
          <w:lang w:val="en-US" w:bidi="en-US"/>
        </w:rPr>
        <w:t>18.7.1</w:t>
      </w:r>
      <w:r>
        <w:rPr>
          <w:rFonts w:hint="eastAsia"/>
          <w:color w:val="auto"/>
        </w:rPr>
        <w:t>申请竣工验收前，发包人组织竣工验收自查，承包人应派项目经理或技术负责人参加。</w:t>
      </w:r>
    </w:p>
    <w:p w14:paraId="3BC74B2A">
      <w:pPr>
        <w:pStyle w:val="95"/>
        <w:spacing w:line="362" w:lineRule="exact"/>
        <w:ind w:firstLine="440"/>
        <w:jc w:val="both"/>
        <w:rPr>
          <w:color w:val="auto"/>
        </w:rPr>
      </w:pPr>
      <w:r>
        <w:rPr>
          <w:rFonts w:hint="eastAsia"/>
          <w:color w:val="auto"/>
          <w:lang w:val="en-US" w:bidi="en-US"/>
        </w:rPr>
        <w:t>18.7.2</w:t>
      </w:r>
      <w:r>
        <w:rPr>
          <w:rFonts w:hint="eastAsia"/>
          <w:color w:val="auto"/>
        </w:rPr>
        <w:t>竣工验收分为竣工技术预验收和竣工验收两个阶段，发包人应通知承包人派法定代表人或项目经理参加技术预验收和竣工验收。</w:t>
      </w:r>
    </w:p>
    <w:p w14:paraId="4DA49456">
      <w:pPr>
        <w:pStyle w:val="95"/>
        <w:spacing w:line="360" w:lineRule="exact"/>
        <w:ind w:firstLine="440"/>
        <w:jc w:val="both"/>
        <w:rPr>
          <w:color w:val="auto"/>
        </w:rPr>
      </w:pPr>
      <w:r>
        <w:rPr>
          <w:rFonts w:hint="eastAsia"/>
          <w:color w:val="auto"/>
          <w:lang w:val="en-US" w:bidi="en-US"/>
        </w:rPr>
        <w:t>18.7.3</w:t>
      </w:r>
      <w:r>
        <w:rPr>
          <w:rFonts w:hint="eastAsia"/>
          <w:color w:val="auto"/>
        </w:rPr>
        <w:t>专用合同条款约定工程需要进行技术鉴定的，承包人应提交有关资料并完成配合工作。</w:t>
      </w:r>
    </w:p>
    <w:p w14:paraId="0F7DDE4F">
      <w:pPr>
        <w:pStyle w:val="95"/>
        <w:spacing w:line="362" w:lineRule="exact"/>
        <w:ind w:firstLine="440"/>
        <w:jc w:val="both"/>
        <w:rPr>
          <w:color w:val="auto"/>
        </w:rPr>
      </w:pPr>
      <w:r>
        <w:rPr>
          <w:rFonts w:hint="eastAsia"/>
          <w:color w:val="auto"/>
          <w:lang w:val="en-US" w:bidi="en-US"/>
        </w:rPr>
        <w:t>18.7.4</w:t>
      </w:r>
      <w:r>
        <w:rPr>
          <w:rFonts w:hint="eastAsia"/>
          <w:color w:val="auto"/>
        </w:rPr>
        <w:t>竣工验收需要进行质量检测的，所需费用由发包人承担，但因承包人原因造成质量不合格的除外。</w:t>
      </w:r>
    </w:p>
    <w:p w14:paraId="2589108A">
      <w:pPr>
        <w:pStyle w:val="95"/>
        <w:spacing w:line="354" w:lineRule="exact"/>
        <w:ind w:firstLine="440"/>
        <w:jc w:val="both"/>
        <w:rPr>
          <w:color w:val="auto"/>
        </w:rPr>
      </w:pPr>
      <w:r>
        <w:rPr>
          <w:rFonts w:hint="eastAsia"/>
          <w:color w:val="auto"/>
          <w:lang w:val="en-US" w:bidi="en-US"/>
        </w:rPr>
        <w:t>18.7.5</w:t>
      </w:r>
      <w:r>
        <w:rPr>
          <w:rFonts w:hint="eastAsia"/>
          <w:color w:val="auto"/>
        </w:rPr>
        <w:t>工程质量保修期满以及竣工验收遗留问题和尾工处理完成并通过验收后，发包人负责将处理情况和验收成果报送竣工验收主持单位，申请领取工程竣工证书，并发送承包人。</w:t>
      </w:r>
    </w:p>
    <w:p w14:paraId="449A0AA3">
      <w:pPr>
        <w:pStyle w:val="101"/>
        <w:spacing w:before="0" w:after="0" w:line="360" w:lineRule="exact"/>
        <w:rPr>
          <w:rFonts w:ascii="宋体" w:hAnsi="宋体" w:cs="宋体"/>
          <w:color w:val="auto"/>
          <w:sz w:val="24"/>
          <w:szCs w:val="24"/>
          <w:lang w:eastAsia="zh-CN"/>
        </w:rPr>
      </w:pPr>
      <w:bookmarkStart w:id="1511" w:name="_Toc28956"/>
      <w:bookmarkStart w:id="1512" w:name="_Toc18516"/>
      <w:bookmarkStart w:id="1513" w:name="_Toc9342"/>
      <w:bookmarkStart w:id="1514" w:name="bookmark1418"/>
      <w:bookmarkStart w:id="1515" w:name="bookmark1420"/>
      <w:bookmarkStart w:id="1516" w:name="_Toc16882"/>
      <w:bookmarkStart w:id="1517" w:name="bookmark1419"/>
      <w:bookmarkStart w:id="1518" w:name="_Toc7258"/>
      <w:bookmarkStart w:id="1519" w:name="_Toc8582"/>
      <w:bookmarkStart w:id="1520" w:name="_Toc30977"/>
      <w:r>
        <w:rPr>
          <w:rFonts w:hint="eastAsia" w:ascii="宋体" w:hAnsi="宋体" w:cs="宋体"/>
          <w:color w:val="auto"/>
          <w:sz w:val="24"/>
          <w:szCs w:val="24"/>
          <w:lang w:eastAsia="zh-CN"/>
        </w:rPr>
        <w:t>18.8施工期运行</w:t>
      </w:r>
      <w:bookmarkEnd w:id="1511"/>
      <w:bookmarkEnd w:id="1512"/>
      <w:bookmarkEnd w:id="1513"/>
      <w:bookmarkEnd w:id="1514"/>
      <w:bookmarkEnd w:id="1515"/>
      <w:bookmarkEnd w:id="1516"/>
      <w:bookmarkEnd w:id="1517"/>
      <w:bookmarkEnd w:id="1518"/>
      <w:bookmarkEnd w:id="1519"/>
      <w:bookmarkEnd w:id="1520"/>
    </w:p>
    <w:p w14:paraId="6BDC7125">
      <w:pPr>
        <w:pStyle w:val="95"/>
        <w:spacing w:line="350" w:lineRule="exact"/>
        <w:ind w:firstLine="440"/>
        <w:jc w:val="both"/>
        <w:rPr>
          <w:color w:val="auto"/>
        </w:rPr>
      </w:pPr>
      <w:r>
        <w:rPr>
          <w:rFonts w:hint="eastAsia"/>
          <w:color w:val="auto"/>
          <w:lang w:val="en-US" w:bidi="en-US"/>
        </w:rPr>
        <w:t>18.8.1</w:t>
      </w:r>
      <w:r>
        <w:rPr>
          <w:rFonts w:hint="eastAsia"/>
          <w:color w:val="auto"/>
        </w:rPr>
        <w:t>施工期运行是指合同工程尚未全部完工，其中某单位工程或部分工程已完工, 需要投入施工期运行的，经发包人按第</w:t>
      </w:r>
      <w:r>
        <w:rPr>
          <w:rFonts w:hint="eastAsia"/>
          <w:color w:val="auto"/>
          <w:lang w:val="en-US" w:bidi="en-US"/>
        </w:rPr>
        <w:t xml:space="preserve">18. </w:t>
      </w:r>
      <w:r>
        <w:rPr>
          <w:rFonts w:hint="eastAsia"/>
          <w:color w:val="auto"/>
        </w:rPr>
        <w:t>2款或第</w:t>
      </w:r>
      <w:r>
        <w:rPr>
          <w:rFonts w:hint="eastAsia"/>
          <w:color w:val="auto"/>
          <w:lang w:val="en-US" w:bidi="en-US"/>
        </w:rPr>
        <w:t xml:space="preserve">18. </w:t>
      </w:r>
      <w:r>
        <w:rPr>
          <w:rFonts w:hint="eastAsia"/>
          <w:color w:val="auto"/>
        </w:rPr>
        <w:t>3款的约定验收合格，证明能确保安全后，才能在施工期投入运行。需要在施工期运行的单位工程或部分工程在专用合同条款中约定。</w:t>
      </w:r>
    </w:p>
    <w:p w14:paraId="29D60454">
      <w:pPr>
        <w:pStyle w:val="95"/>
        <w:spacing w:line="370" w:lineRule="exact"/>
        <w:ind w:firstLine="440"/>
        <w:jc w:val="both"/>
        <w:rPr>
          <w:color w:val="auto"/>
        </w:rPr>
      </w:pPr>
      <w:r>
        <w:rPr>
          <w:rFonts w:hint="eastAsia"/>
          <w:color w:val="auto"/>
          <w:lang w:val="en-US" w:bidi="en-US"/>
        </w:rPr>
        <w:t>18.8.2</w:t>
      </w:r>
      <w:r>
        <w:rPr>
          <w:rFonts w:hint="eastAsia"/>
          <w:color w:val="auto"/>
        </w:rPr>
        <w:t>在施工期运行中发现工程或工程设备损坏或存在缺陷的，由承包人按第</w:t>
      </w:r>
      <w:r>
        <w:rPr>
          <w:rFonts w:hint="eastAsia"/>
          <w:color w:val="auto"/>
          <w:lang w:val="en-US" w:bidi="en-US"/>
        </w:rPr>
        <w:t xml:space="preserve">19. </w:t>
      </w:r>
      <w:r>
        <w:rPr>
          <w:rFonts w:hint="eastAsia"/>
          <w:color w:val="auto"/>
        </w:rPr>
        <w:t>2 款约定进行修复。</w:t>
      </w:r>
    </w:p>
    <w:p w14:paraId="5479BF00">
      <w:pPr>
        <w:pStyle w:val="101"/>
        <w:spacing w:before="0" w:after="0" w:line="360" w:lineRule="exact"/>
        <w:rPr>
          <w:rFonts w:ascii="宋体" w:hAnsi="宋体" w:cs="宋体"/>
          <w:color w:val="auto"/>
          <w:sz w:val="24"/>
          <w:szCs w:val="24"/>
          <w:lang w:eastAsia="zh-CN"/>
        </w:rPr>
      </w:pPr>
      <w:bookmarkStart w:id="1521" w:name="_Toc27490"/>
      <w:bookmarkStart w:id="1522" w:name="bookmark1422"/>
      <w:bookmarkStart w:id="1523" w:name="_Toc27246"/>
      <w:bookmarkStart w:id="1524" w:name="bookmark1421"/>
      <w:bookmarkStart w:id="1525" w:name="_Toc12151"/>
      <w:bookmarkStart w:id="1526" w:name="_Toc15490"/>
      <w:bookmarkStart w:id="1527" w:name="_Toc12394"/>
      <w:bookmarkStart w:id="1528" w:name="_Toc6863"/>
      <w:bookmarkStart w:id="1529" w:name="bookmark1423"/>
      <w:bookmarkStart w:id="1530" w:name="_Toc20150"/>
      <w:r>
        <w:rPr>
          <w:rFonts w:hint="eastAsia" w:ascii="宋体" w:hAnsi="宋体" w:cs="宋体"/>
          <w:color w:val="auto"/>
          <w:sz w:val="24"/>
          <w:szCs w:val="24"/>
          <w:lang w:eastAsia="zh-CN"/>
        </w:rPr>
        <w:t>18.9试运行</w:t>
      </w:r>
      <w:bookmarkEnd w:id="1521"/>
      <w:bookmarkEnd w:id="1522"/>
      <w:bookmarkEnd w:id="1523"/>
      <w:bookmarkEnd w:id="1524"/>
      <w:bookmarkEnd w:id="1525"/>
      <w:bookmarkEnd w:id="1526"/>
      <w:bookmarkEnd w:id="1527"/>
      <w:bookmarkEnd w:id="1528"/>
      <w:bookmarkEnd w:id="1529"/>
      <w:bookmarkEnd w:id="1530"/>
    </w:p>
    <w:p w14:paraId="6B8FAA9A">
      <w:pPr>
        <w:pStyle w:val="95"/>
        <w:spacing w:line="350" w:lineRule="exact"/>
        <w:ind w:firstLine="440"/>
        <w:jc w:val="both"/>
        <w:rPr>
          <w:color w:val="auto"/>
        </w:rPr>
      </w:pPr>
      <w:r>
        <w:rPr>
          <w:rFonts w:hint="eastAsia"/>
          <w:color w:val="auto"/>
          <w:lang w:val="en-US" w:bidi="en-US"/>
        </w:rPr>
        <w:t>18.9.1</w:t>
      </w:r>
      <w:r>
        <w:rPr>
          <w:rFonts w:hint="eastAsia"/>
          <w:color w:val="auto"/>
        </w:rPr>
        <w:t>除专用合同条款另有约定外，承包人应按规定进行工程及工程设备试运行, 负责提供试运行所需的人员、器材和必要的条件，并承担全部试运行费用。</w:t>
      </w:r>
    </w:p>
    <w:p w14:paraId="072ACD86">
      <w:pPr>
        <w:pStyle w:val="95"/>
        <w:spacing w:line="372" w:lineRule="exact"/>
        <w:ind w:firstLine="426" w:firstLineChars="213"/>
        <w:jc w:val="both"/>
        <w:rPr>
          <w:color w:val="auto"/>
        </w:rPr>
      </w:pPr>
      <w:r>
        <w:rPr>
          <w:rFonts w:hint="eastAsia"/>
          <w:color w:val="auto"/>
          <w:lang w:val="en-US" w:bidi="en-US"/>
        </w:rPr>
        <w:t>18.9.2</w:t>
      </w:r>
      <w:r>
        <w:rPr>
          <w:rFonts w:hint="eastAsia"/>
          <w:color w:val="auto"/>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531" w:name="bookmark1411"/>
      <w:bookmarkEnd w:id="1531"/>
    </w:p>
    <w:p w14:paraId="44AA8F57">
      <w:pPr>
        <w:pStyle w:val="101"/>
        <w:spacing w:before="0" w:after="0" w:line="360" w:lineRule="exact"/>
        <w:rPr>
          <w:rFonts w:ascii="宋体" w:hAnsi="宋体" w:cs="宋体"/>
          <w:color w:val="auto"/>
          <w:sz w:val="24"/>
          <w:szCs w:val="24"/>
          <w:lang w:eastAsia="zh-CN"/>
        </w:rPr>
      </w:pPr>
      <w:bookmarkStart w:id="1532" w:name="_Toc30593"/>
      <w:bookmarkStart w:id="1533" w:name="_Toc32042"/>
      <w:bookmarkStart w:id="1534" w:name="bookmark1425"/>
      <w:bookmarkStart w:id="1535" w:name="_Toc15964"/>
      <w:bookmarkStart w:id="1536" w:name="bookmark1426"/>
      <w:bookmarkStart w:id="1537" w:name="_Toc19830"/>
      <w:bookmarkStart w:id="1538" w:name="bookmark1424"/>
      <w:bookmarkStart w:id="1539" w:name="_Toc2706"/>
      <w:bookmarkStart w:id="1540" w:name="_Toc3577"/>
      <w:bookmarkStart w:id="1541" w:name="_Toc1706"/>
      <w:r>
        <w:rPr>
          <w:rFonts w:hint="eastAsia" w:ascii="宋体" w:hAnsi="宋体" w:cs="宋体"/>
          <w:color w:val="auto"/>
          <w:sz w:val="24"/>
          <w:szCs w:val="24"/>
          <w:lang w:eastAsia="zh-CN"/>
        </w:rPr>
        <w:t>18.10竣工（完工）清场</w:t>
      </w:r>
      <w:bookmarkEnd w:id="1532"/>
      <w:bookmarkEnd w:id="1533"/>
      <w:bookmarkEnd w:id="1534"/>
      <w:bookmarkEnd w:id="1535"/>
      <w:bookmarkEnd w:id="1536"/>
      <w:bookmarkEnd w:id="1537"/>
      <w:bookmarkEnd w:id="1538"/>
      <w:bookmarkEnd w:id="1539"/>
      <w:bookmarkEnd w:id="1540"/>
      <w:bookmarkEnd w:id="1541"/>
    </w:p>
    <w:p w14:paraId="6365C86C">
      <w:pPr>
        <w:pStyle w:val="95"/>
        <w:spacing w:line="355" w:lineRule="exact"/>
        <w:ind w:firstLine="440"/>
        <w:jc w:val="both"/>
        <w:rPr>
          <w:color w:val="auto"/>
        </w:rPr>
      </w:pPr>
      <w:r>
        <w:rPr>
          <w:rFonts w:hint="eastAsia"/>
          <w:color w:val="auto"/>
          <w:lang w:val="en-US" w:bidi="en-US"/>
        </w:rPr>
        <w:t>18.10.1</w:t>
      </w:r>
      <w:r>
        <w:rPr>
          <w:rFonts w:hint="eastAsia"/>
          <w:color w:val="auto"/>
        </w:rPr>
        <w:t>工程项目竣工（完工）清场的工作范围和内容在技术标准和要求（合同技术条款）中约定。</w:t>
      </w:r>
    </w:p>
    <w:p w14:paraId="15DAC13B">
      <w:pPr>
        <w:pStyle w:val="95"/>
        <w:spacing w:line="362" w:lineRule="exact"/>
        <w:ind w:firstLine="440"/>
        <w:jc w:val="both"/>
        <w:rPr>
          <w:color w:val="auto"/>
        </w:rPr>
      </w:pPr>
      <w:r>
        <w:rPr>
          <w:rFonts w:hint="eastAsia"/>
          <w:color w:val="auto"/>
          <w:lang w:val="en-US" w:bidi="en-US"/>
        </w:rPr>
        <w:t>18.10.2</w:t>
      </w:r>
      <w:r>
        <w:rPr>
          <w:rFonts w:hint="eastAsia"/>
          <w:color w:val="auto"/>
        </w:rPr>
        <w:t>承包未按监理人的要求恢复临时占地，或者场地清理未达到合同约定的，发包人有权委托其它人恢复或清理，所发生的金额从拟支付给承包人的款项中扣除。</w:t>
      </w:r>
    </w:p>
    <w:p w14:paraId="2389A4AD">
      <w:pPr>
        <w:pStyle w:val="101"/>
        <w:spacing w:before="0" w:after="0" w:line="360" w:lineRule="exact"/>
        <w:rPr>
          <w:rFonts w:ascii="宋体" w:hAnsi="宋体" w:cs="宋体"/>
          <w:color w:val="auto"/>
          <w:sz w:val="24"/>
          <w:szCs w:val="24"/>
          <w:lang w:eastAsia="zh-CN"/>
        </w:rPr>
      </w:pPr>
      <w:bookmarkStart w:id="1542" w:name="_Toc22352"/>
      <w:bookmarkStart w:id="1543" w:name="_Toc28693"/>
      <w:bookmarkStart w:id="1544" w:name="bookmark1428"/>
      <w:bookmarkStart w:id="1545" w:name="_Toc26850"/>
      <w:bookmarkStart w:id="1546" w:name="bookmark1427"/>
      <w:bookmarkStart w:id="1547" w:name="_Toc25918"/>
      <w:bookmarkStart w:id="1548" w:name="_Toc28474"/>
      <w:bookmarkStart w:id="1549" w:name="_Toc17603"/>
      <w:bookmarkStart w:id="1550" w:name="_Toc6032"/>
      <w:bookmarkStart w:id="1551" w:name="bookmark1429"/>
      <w:r>
        <w:rPr>
          <w:rFonts w:hint="eastAsia" w:ascii="宋体" w:hAnsi="宋体" w:cs="宋体"/>
          <w:color w:val="auto"/>
          <w:sz w:val="24"/>
          <w:szCs w:val="24"/>
          <w:lang w:eastAsia="zh-CN"/>
        </w:rPr>
        <w:t>18.11施工队伍的撤离</w:t>
      </w:r>
      <w:bookmarkEnd w:id="1542"/>
      <w:bookmarkEnd w:id="1543"/>
      <w:bookmarkEnd w:id="1544"/>
      <w:bookmarkEnd w:id="1545"/>
      <w:bookmarkEnd w:id="1546"/>
      <w:bookmarkEnd w:id="1547"/>
      <w:bookmarkEnd w:id="1548"/>
      <w:bookmarkEnd w:id="1549"/>
      <w:bookmarkEnd w:id="1550"/>
      <w:bookmarkEnd w:id="1551"/>
    </w:p>
    <w:p w14:paraId="114C7003">
      <w:pPr>
        <w:pStyle w:val="95"/>
        <w:spacing w:line="355" w:lineRule="exact"/>
        <w:ind w:firstLine="420"/>
        <w:jc w:val="both"/>
        <w:rPr>
          <w:color w:val="auto"/>
        </w:rPr>
      </w:pPr>
      <w:r>
        <w:rPr>
          <w:rFonts w:hint="eastAsia"/>
          <w:color w:va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0DFFE9EA">
      <w:pPr>
        <w:pStyle w:val="101"/>
        <w:spacing w:before="0" w:after="0" w:line="360" w:lineRule="exact"/>
        <w:rPr>
          <w:rFonts w:ascii="宋体" w:hAnsi="宋体" w:cs="宋体"/>
          <w:color w:val="auto"/>
          <w:lang w:eastAsia="zh-CN"/>
        </w:rPr>
      </w:pPr>
      <w:bookmarkStart w:id="1552" w:name="_Toc1913"/>
      <w:bookmarkStart w:id="1553" w:name="bookmark1432"/>
      <w:bookmarkStart w:id="1554" w:name="_Toc15410"/>
      <w:bookmarkStart w:id="1555" w:name="bookmark1430"/>
      <w:bookmarkStart w:id="1556" w:name="_Toc32204"/>
      <w:bookmarkStart w:id="1557" w:name="_Toc6223"/>
      <w:bookmarkStart w:id="1558" w:name="_Toc9783"/>
      <w:bookmarkStart w:id="1559" w:name="_Toc24932"/>
      <w:bookmarkStart w:id="1560" w:name="_Toc32001"/>
      <w:bookmarkStart w:id="1561" w:name="bookmark1431"/>
      <w:r>
        <w:rPr>
          <w:rFonts w:hint="eastAsia" w:ascii="宋体" w:hAnsi="宋体" w:cs="宋体"/>
          <w:color w:val="auto"/>
          <w:lang w:eastAsia="zh-CN"/>
        </w:rPr>
        <w:t>19.缺陷责任与保修责任</w:t>
      </w:r>
      <w:bookmarkEnd w:id="1552"/>
      <w:bookmarkEnd w:id="1553"/>
      <w:bookmarkEnd w:id="1554"/>
      <w:bookmarkEnd w:id="1555"/>
      <w:bookmarkEnd w:id="1556"/>
      <w:bookmarkEnd w:id="1557"/>
      <w:bookmarkEnd w:id="1558"/>
      <w:bookmarkEnd w:id="1559"/>
      <w:bookmarkEnd w:id="1560"/>
      <w:bookmarkEnd w:id="1561"/>
    </w:p>
    <w:p w14:paraId="745B33D1">
      <w:pPr>
        <w:pStyle w:val="101"/>
        <w:spacing w:before="0" w:after="0" w:line="360" w:lineRule="exact"/>
        <w:rPr>
          <w:rFonts w:ascii="宋体" w:hAnsi="宋体" w:cs="宋体"/>
          <w:color w:val="auto"/>
          <w:sz w:val="24"/>
          <w:szCs w:val="24"/>
          <w:lang w:eastAsia="zh-CN"/>
        </w:rPr>
      </w:pPr>
      <w:bookmarkStart w:id="1562" w:name="bookmark1435"/>
      <w:bookmarkStart w:id="1563" w:name="_Toc6737"/>
      <w:bookmarkStart w:id="1564" w:name="_Toc22913"/>
      <w:bookmarkStart w:id="1565" w:name="_Toc3316"/>
      <w:bookmarkStart w:id="1566" w:name="_Toc12662"/>
      <w:bookmarkStart w:id="1567" w:name="_Toc13406"/>
      <w:bookmarkStart w:id="1568" w:name="bookmark1433"/>
      <w:bookmarkStart w:id="1569" w:name="bookmark1434"/>
      <w:bookmarkStart w:id="1570" w:name="_Toc3331"/>
      <w:bookmarkStart w:id="1571" w:name="_Toc12944"/>
      <w:r>
        <w:rPr>
          <w:rFonts w:hint="eastAsia" w:ascii="宋体" w:hAnsi="宋体" w:cs="宋体"/>
          <w:color w:val="auto"/>
          <w:sz w:val="24"/>
          <w:szCs w:val="24"/>
          <w:lang w:eastAsia="zh-CN"/>
        </w:rPr>
        <w:t>19.1缺陷责任期（工程质量保修期）的起算时间</w:t>
      </w:r>
      <w:bookmarkEnd w:id="1562"/>
      <w:bookmarkEnd w:id="1563"/>
      <w:bookmarkEnd w:id="1564"/>
      <w:bookmarkEnd w:id="1565"/>
      <w:bookmarkEnd w:id="1566"/>
      <w:bookmarkEnd w:id="1567"/>
      <w:bookmarkEnd w:id="1568"/>
      <w:bookmarkEnd w:id="1569"/>
      <w:bookmarkEnd w:id="1570"/>
      <w:bookmarkEnd w:id="1571"/>
    </w:p>
    <w:p w14:paraId="349B8ED7">
      <w:pPr>
        <w:pStyle w:val="95"/>
        <w:spacing w:line="354" w:lineRule="exact"/>
        <w:ind w:firstLine="440"/>
        <w:jc w:val="both"/>
        <w:rPr>
          <w:color w:val="auto"/>
        </w:rPr>
      </w:pPr>
      <w:r>
        <w:rPr>
          <w:rFonts w:hint="eastAsia"/>
          <w:color w:val="auto"/>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6B556C37">
      <w:pPr>
        <w:pStyle w:val="101"/>
        <w:spacing w:before="0" w:after="0" w:line="360" w:lineRule="exact"/>
        <w:rPr>
          <w:rFonts w:ascii="宋体" w:hAnsi="宋体" w:cs="宋体"/>
          <w:color w:val="auto"/>
          <w:sz w:val="24"/>
          <w:szCs w:val="24"/>
          <w:lang w:eastAsia="zh-CN"/>
        </w:rPr>
      </w:pPr>
      <w:bookmarkStart w:id="1572" w:name="_Toc6517"/>
      <w:bookmarkStart w:id="1573" w:name="bookmark1437"/>
      <w:bookmarkStart w:id="1574" w:name="_Toc28950"/>
      <w:bookmarkStart w:id="1575" w:name="bookmark1438"/>
      <w:bookmarkStart w:id="1576" w:name="_Toc8542"/>
      <w:bookmarkStart w:id="1577" w:name="_Toc32238"/>
      <w:bookmarkStart w:id="1578" w:name="_Toc7545"/>
      <w:bookmarkStart w:id="1579" w:name="_Toc4030"/>
      <w:bookmarkStart w:id="1580" w:name="bookmark1436"/>
      <w:bookmarkStart w:id="1581" w:name="_Toc27743"/>
      <w:r>
        <w:rPr>
          <w:rFonts w:hint="eastAsia" w:ascii="宋体" w:hAnsi="宋体" w:cs="宋体"/>
          <w:color w:val="auto"/>
          <w:sz w:val="24"/>
          <w:szCs w:val="24"/>
          <w:lang w:eastAsia="zh-CN"/>
        </w:rPr>
        <w:t>19.2缺陷责任</w:t>
      </w:r>
      <w:bookmarkEnd w:id="1572"/>
      <w:bookmarkEnd w:id="1573"/>
      <w:bookmarkEnd w:id="1574"/>
      <w:bookmarkEnd w:id="1575"/>
      <w:bookmarkEnd w:id="1576"/>
      <w:bookmarkEnd w:id="1577"/>
      <w:bookmarkEnd w:id="1578"/>
      <w:bookmarkEnd w:id="1579"/>
      <w:bookmarkEnd w:id="1580"/>
      <w:bookmarkEnd w:id="1581"/>
    </w:p>
    <w:p w14:paraId="357923DA">
      <w:pPr>
        <w:pStyle w:val="95"/>
        <w:tabs>
          <w:tab w:val="left" w:pos="853"/>
        </w:tabs>
        <w:spacing w:line="360" w:lineRule="exact"/>
        <w:ind w:left="440" w:firstLine="0"/>
        <w:jc w:val="both"/>
        <w:rPr>
          <w:color w:val="auto"/>
        </w:rPr>
      </w:pPr>
      <w:bookmarkStart w:id="1582" w:name="bookmark1439"/>
      <w:bookmarkEnd w:id="1582"/>
      <w:r>
        <w:rPr>
          <w:rFonts w:hint="eastAsia"/>
          <w:color w:val="auto"/>
          <w:lang w:val="en-US" w:bidi="en-US"/>
        </w:rPr>
        <w:t>19.2.</w:t>
      </w:r>
      <w:r>
        <w:rPr>
          <w:rFonts w:hint="eastAsia"/>
          <w:color w:val="auto"/>
        </w:rPr>
        <w:t>1承包人应在缺陷责任期内对已交付使用的工程承担缺陷责任。</w:t>
      </w:r>
    </w:p>
    <w:p w14:paraId="758A6B68">
      <w:pPr>
        <w:pStyle w:val="95"/>
        <w:spacing w:line="360" w:lineRule="exact"/>
        <w:ind w:firstLine="440"/>
        <w:jc w:val="both"/>
        <w:rPr>
          <w:color w:val="auto"/>
        </w:rPr>
      </w:pPr>
      <w:r>
        <w:rPr>
          <w:rFonts w:hint="eastAsia"/>
          <w:color w:val="auto"/>
          <w:lang w:val="en-US" w:bidi="en-US"/>
        </w:rPr>
        <w:t>19.2.2</w:t>
      </w:r>
      <w:r>
        <w:rPr>
          <w:rFonts w:hint="eastAsia"/>
          <w:color w:val="auto"/>
        </w:rPr>
        <w:t>缺陷责任期内，发包人对已接收使用的工程负责日常维护工作。发包人在使用过程中，发现已接收的工程存在新的缺陷或已修复的缺陷部位或部件又遭损坏的，承包人应负责修复，直至检验合格为止。</w:t>
      </w:r>
    </w:p>
    <w:p w14:paraId="289E4DC9">
      <w:pPr>
        <w:pStyle w:val="95"/>
        <w:spacing w:line="360" w:lineRule="exact"/>
        <w:ind w:firstLine="440"/>
        <w:jc w:val="both"/>
        <w:rPr>
          <w:color w:val="auto"/>
        </w:rPr>
      </w:pPr>
      <w:r>
        <w:rPr>
          <w:rFonts w:hint="eastAsia"/>
          <w:color w:val="auto"/>
          <w:lang w:val="en-US" w:bidi="en-US"/>
        </w:rPr>
        <w:t>19.2.3</w:t>
      </w:r>
      <w:r>
        <w:rPr>
          <w:rFonts w:hint="eastAsia"/>
          <w:color w:val="auto"/>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14591798">
      <w:pPr>
        <w:pStyle w:val="95"/>
        <w:spacing w:line="360" w:lineRule="exact"/>
        <w:ind w:firstLine="440"/>
        <w:jc w:val="both"/>
        <w:rPr>
          <w:color w:val="auto"/>
        </w:rPr>
      </w:pPr>
      <w:r>
        <w:rPr>
          <w:rFonts w:hint="eastAsia"/>
          <w:color w:val="auto"/>
          <w:lang w:val="en-US" w:bidi="en-US"/>
        </w:rPr>
        <w:t>19.2.4</w:t>
      </w:r>
      <w:r>
        <w:rPr>
          <w:rFonts w:hint="eastAsia"/>
          <w:color w:val="auto"/>
        </w:rPr>
        <w:t>承包人不能在合理时间内修复缺陷的，发包人可自行修复或委托其他人修复, 所需费用和利润的承担，按第</w:t>
      </w:r>
      <w:r>
        <w:rPr>
          <w:rFonts w:hint="eastAsia"/>
          <w:color w:val="auto"/>
          <w:lang w:val="en-US" w:bidi="en-US"/>
        </w:rPr>
        <w:t>19.2.</w:t>
      </w:r>
      <w:r>
        <w:rPr>
          <w:rFonts w:hint="eastAsia"/>
          <w:color w:val="auto"/>
        </w:rPr>
        <w:t>3项约定办理。</w:t>
      </w:r>
    </w:p>
    <w:p w14:paraId="5CD4BB40">
      <w:pPr>
        <w:pStyle w:val="101"/>
        <w:spacing w:before="0" w:after="0" w:line="360" w:lineRule="exact"/>
        <w:rPr>
          <w:rFonts w:ascii="宋体" w:hAnsi="宋体" w:cs="宋体"/>
          <w:color w:val="auto"/>
          <w:sz w:val="24"/>
          <w:szCs w:val="24"/>
          <w:lang w:eastAsia="zh-CN"/>
        </w:rPr>
      </w:pPr>
      <w:bookmarkStart w:id="1583" w:name="_Toc18661"/>
      <w:bookmarkStart w:id="1584" w:name="bookmark1441"/>
      <w:bookmarkStart w:id="1585" w:name="_Toc7742"/>
      <w:bookmarkStart w:id="1586" w:name="_Toc31456"/>
      <w:bookmarkStart w:id="1587" w:name="bookmark1440"/>
      <w:bookmarkStart w:id="1588" w:name="_Toc23646"/>
      <w:bookmarkStart w:id="1589" w:name="_Toc21104"/>
      <w:bookmarkStart w:id="1590" w:name="_Toc21619"/>
      <w:bookmarkStart w:id="1591" w:name="bookmark1442"/>
      <w:bookmarkStart w:id="1592" w:name="_Toc19734"/>
      <w:r>
        <w:rPr>
          <w:rFonts w:hint="eastAsia" w:ascii="宋体" w:hAnsi="宋体" w:cs="宋体"/>
          <w:color w:val="auto"/>
          <w:sz w:val="24"/>
          <w:szCs w:val="24"/>
          <w:lang w:eastAsia="zh-CN"/>
        </w:rPr>
        <w:t>19.3缺陷责任期的延长</w:t>
      </w:r>
      <w:bookmarkEnd w:id="1583"/>
      <w:bookmarkEnd w:id="1584"/>
      <w:bookmarkEnd w:id="1585"/>
      <w:bookmarkEnd w:id="1586"/>
      <w:bookmarkEnd w:id="1587"/>
      <w:bookmarkEnd w:id="1588"/>
      <w:bookmarkEnd w:id="1589"/>
      <w:bookmarkEnd w:id="1590"/>
      <w:bookmarkEnd w:id="1591"/>
      <w:bookmarkEnd w:id="1592"/>
    </w:p>
    <w:p w14:paraId="2E31253A">
      <w:pPr>
        <w:pStyle w:val="95"/>
        <w:spacing w:line="343" w:lineRule="exact"/>
        <w:ind w:firstLine="440"/>
        <w:jc w:val="both"/>
        <w:rPr>
          <w:color w:val="auto"/>
        </w:rPr>
      </w:pPr>
      <w:r>
        <w:rPr>
          <w:rFonts w:hint="eastAsia"/>
          <w:color w:val="auto"/>
        </w:rPr>
        <w:t>由于承包人原因造成某项缺陷或损坏使某项工程或工程设备不能按原定目标使用而需要再次检查、检验和修复的，发包人有权要求承包人相应延长缺陷责任期，但缺陷责任期最长不超过2年。</w:t>
      </w:r>
    </w:p>
    <w:p w14:paraId="467397F7">
      <w:pPr>
        <w:pStyle w:val="101"/>
        <w:spacing w:before="0" w:after="0" w:line="360" w:lineRule="exact"/>
        <w:rPr>
          <w:rFonts w:ascii="宋体" w:hAnsi="宋体" w:cs="宋体"/>
          <w:color w:val="auto"/>
          <w:sz w:val="24"/>
          <w:szCs w:val="24"/>
          <w:lang w:eastAsia="zh-CN"/>
        </w:rPr>
      </w:pPr>
      <w:bookmarkStart w:id="1593" w:name="_Toc25168"/>
      <w:bookmarkStart w:id="1594" w:name="_Toc10058"/>
      <w:bookmarkStart w:id="1595" w:name="_Toc22609"/>
      <w:bookmarkStart w:id="1596" w:name="_Toc21544"/>
      <w:bookmarkStart w:id="1597" w:name="bookmark1443"/>
      <w:bookmarkStart w:id="1598" w:name="_Toc218"/>
      <w:bookmarkStart w:id="1599" w:name="_Toc6900"/>
      <w:bookmarkStart w:id="1600" w:name="_Toc4593"/>
      <w:bookmarkStart w:id="1601" w:name="bookmark1445"/>
      <w:bookmarkStart w:id="1602" w:name="bookmark1444"/>
      <w:r>
        <w:rPr>
          <w:rFonts w:hint="eastAsia" w:ascii="宋体" w:hAnsi="宋体" w:cs="宋体"/>
          <w:color w:val="auto"/>
          <w:sz w:val="24"/>
          <w:szCs w:val="24"/>
          <w:lang w:eastAsia="zh-CN"/>
        </w:rPr>
        <w:t>19.4进一步试验和试运行</w:t>
      </w:r>
      <w:bookmarkEnd w:id="1593"/>
      <w:bookmarkEnd w:id="1594"/>
      <w:bookmarkEnd w:id="1595"/>
      <w:bookmarkEnd w:id="1596"/>
      <w:bookmarkEnd w:id="1597"/>
      <w:bookmarkEnd w:id="1598"/>
      <w:bookmarkEnd w:id="1599"/>
      <w:bookmarkEnd w:id="1600"/>
      <w:bookmarkEnd w:id="1601"/>
      <w:bookmarkEnd w:id="1602"/>
    </w:p>
    <w:p w14:paraId="4EA0CFF8">
      <w:pPr>
        <w:pStyle w:val="95"/>
        <w:spacing w:line="360" w:lineRule="exact"/>
        <w:ind w:firstLine="440"/>
        <w:jc w:val="both"/>
        <w:rPr>
          <w:color w:val="auto"/>
        </w:rPr>
      </w:pPr>
      <w:r>
        <w:rPr>
          <w:rFonts w:hint="eastAsia"/>
          <w:color w:val="auto"/>
        </w:rPr>
        <w:t>任何一项缺陷或损坏修复后，经检查证明其影响了工程或工程设备的使用性能，承包人应重新进行合同约定的试验和试运行，试验和试运行的全部费用应由责任方承担。</w:t>
      </w:r>
    </w:p>
    <w:p w14:paraId="15F8C9EA">
      <w:pPr>
        <w:pStyle w:val="101"/>
        <w:spacing w:before="0" w:after="0" w:line="360" w:lineRule="exact"/>
        <w:rPr>
          <w:rFonts w:ascii="宋体" w:hAnsi="宋体" w:cs="宋体"/>
          <w:color w:val="auto"/>
          <w:sz w:val="24"/>
          <w:szCs w:val="24"/>
          <w:lang w:eastAsia="zh-CN"/>
        </w:rPr>
      </w:pPr>
      <w:bookmarkStart w:id="1603" w:name="_Toc8782"/>
      <w:bookmarkStart w:id="1604" w:name="_Toc24094"/>
      <w:bookmarkStart w:id="1605" w:name="_Toc13710"/>
      <w:bookmarkStart w:id="1606" w:name="bookmark1447"/>
      <w:bookmarkStart w:id="1607" w:name="_Toc21418"/>
      <w:bookmarkStart w:id="1608" w:name="_Toc17763"/>
      <w:bookmarkStart w:id="1609" w:name="_Toc992"/>
      <w:bookmarkStart w:id="1610" w:name="_Toc27517"/>
      <w:bookmarkStart w:id="1611" w:name="bookmark1446"/>
      <w:bookmarkStart w:id="1612" w:name="bookmark1448"/>
      <w:r>
        <w:rPr>
          <w:rFonts w:hint="eastAsia" w:ascii="宋体" w:hAnsi="宋体" w:cs="宋体"/>
          <w:color w:val="auto"/>
          <w:sz w:val="24"/>
          <w:szCs w:val="24"/>
          <w:lang w:eastAsia="zh-CN"/>
        </w:rPr>
        <w:t>19.5承包人的进入权</w:t>
      </w:r>
      <w:bookmarkEnd w:id="1603"/>
      <w:bookmarkEnd w:id="1604"/>
      <w:bookmarkEnd w:id="1605"/>
      <w:bookmarkEnd w:id="1606"/>
      <w:bookmarkEnd w:id="1607"/>
      <w:bookmarkEnd w:id="1608"/>
      <w:bookmarkEnd w:id="1609"/>
      <w:bookmarkEnd w:id="1610"/>
      <w:bookmarkEnd w:id="1611"/>
      <w:bookmarkEnd w:id="1612"/>
    </w:p>
    <w:p w14:paraId="32D248E8">
      <w:pPr>
        <w:pStyle w:val="95"/>
        <w:spacing w:line="362" w:lineRule="exact"/>
        <w:ind w:firstLine="440"/>
        <w:jc w:val="both"/>
        <w:rPr>
          <w:color w:val="auto"/>
        </w:rPr>
      </w:pPr>
      <w:r>
        <w:rPr>
          <w:rFonts w:hint="eastAsia"/>
          <w:color w:val="auto"/>
        </w:rPr>
        <w:t>缺陷责任期内承包人为缺陷修复工作需要，有权进入工程现场，但应遵守发包人的保安和保密规定。</w:t>
      </w:r>
    </w:p>
    <w:p w14:paraId="7EB47D55">
      <w:pPr>
        <w:pStyle w:val="101"/>
        <w:spacing w:before="0" w:after="0" w:line="360" w:lineRule="exact"/>
        <w:rPr>
          <w:rFonts w:ascii="宋体" w:hAnsi="宋体" w:cs="宋体"/>
          <w:color w:val="auto"/>
          <w:sz w:val="24"/>
          <w:szCs w:val="24"/>
          <w:lang w:eastAsia="zh-CN"/>
        </w:rPr>
      </w:pPr>
      <w:bookmarkStart w:id="1613" w:name="bookmark1451"/>
      <w:bookmarkStart w:id="1614" w:name="_Toc25651"/>
      <w:bookmarkStart w:id="1615" w:name="_Toc16024"/>
      <w:bookmarkStart w:id="1616" w:name="_Toc15137"/>
      <w:bookmarkStart w:id="1617" w:name="_Toc18929"/>
      <w:bookmarkStart w:id="1618" w:name="_Toc22433"/>
      <w:bookmarkStart w:id="1619" w:name="_Toc18615"/>
      <w:bookmarkStart w:id="1620" w:name="bookmark1449"/>
      <w:bookmarkStart w:id="1621" w:name="_Toc9818"/>
      <w:bookmarkStart w:id="1622" w:name="bookmark1450"/>
      <w:r>
        <w:rPr>
          <w:rFonts w:hint="eastAsia" w:ascii="宋体" w:hAnsi="宋体" w:cs="宋体"/>
          <w:color w:val="auto"/>
          <w:sz w:val="24"/>
          <w:szCs w:val="24"/>
          <w:lang w:eastAsia="zh-CN"/>
        </w:rPr>
        <w:t>19.6缺陷责任期终止证书（工程质量保修责任终止证书）</w:t>
      </w:r>
      <w:bookmarkEnd w:id="1613"/>
      <w:bookmarkEnd w:id="1614"/>
      <w:bookmarkEnd w:id="1615"/>
      <w:bookmarkEnd w:id="1616"/>
      <w:bookmarkEnd w:id="1617"/>
      <w:bookmarkEnd w:id="1618"/>
      <w:bookmarkEnd w:id="1619"/>
      <w:bookmarkEnd w:id="1620"/>
      <w:bookmarkEnd w:id="1621"/>
      <w:bookmarkEnd w:id="1622"/>
    </w:p>
    <w:p w14:paraId="5629755F">
      <w:pPr>
        <w:pStyle w:val="95"/>
        <w:spacing w:line="362" w:lineRule="exact"/>
        <w:ind w:firstLine="440"/>
        <w:jc w:val="both"/>
        <w:rPr>
          <w:color w:val="auto"/>
        </w:rPr>
      </w:pPr>
      <w:r>
        <w:rPr>
          <w:rFonts w:hint="eastAsia"/>
          <w:color w:val="auto"/>
        </w:rPr>
        <w:t>合同工程完工验收后，发包人与承包人应办理工程交接手续，承包人应向发包人递交工程质量保修书。</w:t>
      </w:r>
    </w:p>
    <w:p w14:paraId="7199D99C">
      <w:pPr>
        <w:pStyle w:val="95"/>
        <w:spacing w:line="361" w:lineRule="exact"/>
        <w:ind w:firstLine="440"/>
        <w:jc w:val="both"/>
        <w:rPr>
          <w:color w:val="auto"/>
        </w:rPr>
      </w:pPr>
      <w:r>
        <w:rPr>
          <w:rFonts w:hint="eastAsia"/>
          <w:color w:val="auto"/>
        </w:rPr>
        <w:t>缺陷责任期（工程质量保修期）满后30个工作日内，发包人应向承包人颁发工程质量保修责任终止证书，并退还剩余的质量保证金，但保修责任范围内的质量缺陷未处理完成的应除外。</w:t>
      </w:r>
    </w:p>
    <w:p w14:paraId="307C422C">
      <w:pPr>
        <w:pStyle w:val="101"/>
        <w:spacing w:before="0" w:after="0" w:line="360" w:lineRule="exact"/>
        <w:rPr>
          <w:rFonts w:ascii="宋体" w:hAnsi="宋体" w:cs="宋体"/>
          <w:color w:val="auto"/>
          <w:sz w:val="24"/>
          <w:szCs w:val="24"/>
          <w:lang w:eastAsia="zh-CN"/>
        </w:rPr>
      </w:pPr>
      <w:bookmarkStart w:id="1623" w:name="bookmark1453"/>
      <w:bookmarkStart w:id="1624" w:name="_Toc4569"/>
      <w:bookmarkStart w:id="1625" w:name="bookmark1452"/>
      <w:bookmarkStart w:id="1626" w:name="_Toc10905"/>
      <w:bookmarkStart w:id="1627" w:name="bookmark1454"/>
      <w:bookmarkStart w:id="1628" w:name="_Toc2388"/>
      <w:bookmarkStart w:id="1629" w:name="_Toc23490"/>
      <w:bookmarkStart w:id="1630" w:name="_Toc6687"/>
      <w:bookmarkStart w:id="1631" w:name="_Toc458"/>
      <w:bookmarkStart w:id="1632" w:name="_Toc10377"/>
      <w:r>
        <w:rPr>
          <w:rFonts w:hint="eastAsia" w:ascii="宋体" w:hAnsi="宋体" w:cs="宋体"/>
          <w:color w:val="auto"/>
          <w:sz w:val="24"/>
          <w:szCs w:val="24"/>
          <w:lang w:eastAsia="zh-CN"/>
        </w:rPr>
        <w:t>19.7保修责任</w:t>
      </w:r>
      <w:bookmarkEnd w:id="1623"/>
      <w:bookmarkEnd w:id="1624"/>
      <w:bookmarkEnd w:id="1625"/>
      <w:bookmarkEnd w:id="1626"/>
      <w:bookmarkEnd w:id="1627"/>
      <w:bookmarkEnd w:id="1628"/>
      <w:bookmarkEnd w:id="1629"/>
      <w:bookmarkEnd w:id="1630"/>
      <w:bookmarkEnd w:id="1631"/>
      <w:bookmarkEnd w:id="1632"/>
    </w:p>
    <w:p w14:paraId="2BE589E4">
      <w:pPr>
        <w:pStyle w:val="95"/>
        <w:spacing w:line="347" w:lineRule="exact"/>
        <w:ind w:firstLine="440"/>
        <w:jc w:val="both"/>
        <w:rPr>
          <w:color w:val="auto"/>
        </w:rPr>
      </w:pPr>
      <w:r>
        <w:rPr>
          <w:rFonts w:hint="eastAsia"/>
          <w:color w:val="auto"/>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2ED358AF">
      <w:pPr>
        <w:pStyle w:val="101"/>
        <w:spacing w:before="0" w:after="0" w:line="360" w:lineRule="exact"/>
        <w:rPr>
          <w:rFonts w:ascii="宋体" w:hAnsi="宋体" w:cs="宋体"/>
          <w:color w:val="auto"/>
          <w:lang w:eastAsia="zh-CN"/>
        </w:rPr>
      </w:pPr>
      <w:bookmarkStart w:id="1633" w:name="_Toc8963"/>
      <w:bookmarkStart w:id="1634" w:name="_Toc11587"/>
      <w:bookmarkStart w:id="1635" w:name="_Toc14173"/>
      <w:bookmarkStart w:id="1636" w:name="_Toc3597"/>
      <w:bookmarkStart w:id="1637" w:name="_Toc31099"/>
      <w:bookmarkStart w:id="1638" w:name="_Toc18133"/>
      <w:bookmarkStart w:id="1639" w:name="bookmark1457"/>
      <w:bookmarkStart w:id="1640" w:name="_Toc8899"/>
      <w:bookmarkStart w:id="1641" w:name="bookmark1456"/>
      <w:bookmarkStart w:id="1642" w:name="bookmark1455"/>
      <w:r>
        <w:rPr>
          <w:rFonts w:hint="eastAsia" w:ascii="宋体" w:hAnsi="宋体" w:cs="宋体"/>
          <w:color w:val="auto"/>
          <w:lang w:eastAsia="zh-CN"/>
        </w:rPr>
        <w:t>20.保险</w:t>
      </w:r>
      <w:bookmarkEnd w:id="1633"/>
      <w:bookmarkEnd w:id="1634"/>
      <w:bookmarkEnd w:id="1635"/>
      <w:bookmarkEnd w:id="1636"/>
      <w:bookmarkEnd w:id="1637"/>
      <w:bookmarkEnd w:id="1638"/>
      <w:bookmarkEnd w:id="1639"/>
      <w:bookmarkEnd w:id="1640"/>
    </w:p>
    <w:p w14:paraId="6CE4BF76">
      <w:pPr>
        <w:pStyle w:val="101"/>
        <w:spacing w:before="0" w:after="0" w:line="360" w:lineRule="exact"/>
        <w:rPr>
          <w:rFonts w:ascii="宋体" w:hAnsi="宋体" w:cs="宋体"/>
          <w:color w:val="auto"/>
          <w:sz w:val="24"/>
          <w:szCs w:val="24"/>
          <w:lang w:eastAsia="zh-CN"/>
        </w:rPr>
      </w:pPr>
      <w:bookmarkStart w:id="1643" w:name="bookmark1458"/>
      <w:bookmarkStart w:id="1644" w:name="_Toc5774"/>
      <w:bookmarkStart w:id="1645" w:name="_Toc11990"/>
      <w:bookmarkStart w:id="1646" w:name="_Toc16520"/>
      <w:bookmarkStart w:id="1647" w:name="_Toc9374"/>
      <w:bookmarkStart w:id="1648" w:name="_Toc14998"/>
      <w:bookmarkStart w:id="1649" w:name="_Toc24626"/>
      <w:bookmarkStart w:id="1650" w:name="_Toc15571"/>
      <w:r>
        <w:rPr>
          <w:rFonts w:hint="eastAsia" w:ascii="宋体" w:hAnsi="宋体" w:cs="宋体"/>
          <w:color w:val="auto"/>
          <w:sz w:val="24"/>
          <w:szCs w:val="24"/>
          <w:lang w:eastAsia="zh-CN"/>
        </w:rPr>
        <w:t>20.1工程保险</w:t>
      </w:r>
      <w:bookmarkEnd w:id="1641"/>
      <w:bookmarkEnd w:id="1642"/>
      <w:bookmarkEnd w:id="1643"/>
      <w:bookmarkEnd w:id="1644"/>
      <w:bookmarkEnd w:id="1645"/>
      <w:bookmarkEnd w:id="1646"/>
      <w:bookmarkEnd w:id="1647"/>
      <w:bookmarkEnd w:id="1648"/>
      <w:bookmarkEnd w:id="1649"/>
      <w:bookmarkEnd w:id="1650"/>
    </w:p>
    <w:p w14:paraId="71947084">
      <w:pPr>
        <w:pStyle w:val="95"/>
        <w:spacing w:line="348" w:lineRule="exact"/>
        <w:ind w:firstLine="440"/>
        <w:jc w:val="both"/>
        <w:rPr>
          <w:color w:val="auto"/>
        </w:rPr>
      </w:pPr>
      <w:r>
        <w:rPr>
          <w:rFonts w:hint="eastAsia"/>
          <w:color w:val="auto"/>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7BCF8461">
      <w:pPr>
        <w:pStyle w:val="101"/>
        <w:spacing w:before="0" w:after="0" w:line="360" w:lineRule="exact"/>
        <w:rPr>
          <w:rFonts w:ascii="宋体" w:hAnsi="宋体" w:cs="宋体"/>
          <w:color w:val="auto"/>
          <w:sz w:val="24"/>
          <w:szCs w:val="24"/>
          <w:lang w:eastAsia="zh-CN"/>
        </w:rPr>
      </w:pPr>
      <w:bookmarkStart w:id="1651" w:name="_Toc11868"/>
      <w:bookmarkStart w:id="1652" w:name="_Toc25845"/>
      <w:bookmarkStart w:id="1653" w:name="bookmark1459"/>
      <w:bookmarkStart w:id="1654" w:name="bookmark1460"/>
      <w:bookmarkStart w:id="1655" w:name="bookmark1461"/>
      <w:bookmarkStart w:id="1656" w:name="_Toc22508"/>
      <w:bookmarkStart w:id="1657" w:name="_Toc6488"/>
      <w:bookmarkStart w:id="1658" w:name="_Toc19236"/>
      <w:bookmarkStart w:id="1659" w:name="_Toc18402"/>
      <w:bookmarkStart w:id="1660" w:name="_Toc12206"/>
      <w:r>
        <w:rPr>
          <w:rFonts w:hint="eastAsia" w:ascii="宋体" w:hAnsi="宋体" w:cs="宋体"/>
          <w:color w:val="auto"/>
          <w:sz w:val="24"/>
          <w:szCs w:val="24"/>
          <w:lang w:eastAsia="zh-CN"/>
        </w:rPr>
        <w:t>20.2人员工伤事故的保险</w:t>
      </w:r>
      <w:bookmarkEnd w:id="1651"/>
      <w:bookmarkEnd w:id="1652"/>
      <w:bookmarkEnd w:id="1653"/>
      <w:bookmarkEnd w:id="1654"/>
      <w:bookmarkEnd w:id="1655"/>
      <w:bookmarkEnd w:id="1656"/>
      <w:bookmarkEnd w:id="1657"/>
      <w:bookmarkEnd w:id="1658"/>
      <w:bookmarkEnd w:id="1659"/>
      <w:bookmarkEnd w:id="1660"/>
    </w:p>
    <w:p w14:paraId="06A93BE7">
      <w:pPr>
        <w:pStyle w:val="95"/>
        <w:tabs>
          <w:tab w:val="left" w:pos="878"/>
        </w:tabs>
        <w:spacing w:line="353" w:lineRule="exact"/>
        <w:ind w:left="440" w:firstLine="0"/>
        <w:jc w:val="both"/>
        <w:rPr>
          <w:color w:val="auto"/>
        </w:rPr>
      </w:pPr>
      <w:bookmarkStart w:id="1661" w:name="bookmark1462"/>
      <w:bookmarkEnd w:id="1661"/>
      <w:r>
        <w:rPr>
          <w:rFonts w:hint="eastAsia"/>
          <w:color w:val="auto"/>
          <w:lang w:val="en-US" w:bidi="en-US"/>
        </w:rPr>
        <w:t>20.2.</w:t>
      </w:r>
      <w:r>
        <w:rPr>
          <w:rFonts w:hint="eastAsia"/>
          <w:color w:val="auto"/>
        </w:rPr>
        <w:t>1承包人员工伤事故的保险</w:t>
      </w:r>
    </w:p>
    <w:p w14:paraId="11BC49FD">
      <w:pPr>
        <w:pStyle w:val="95"/>
        <w:spacing w:line="353" w:lineRule="exact"/>
        <w:ind w:firstLine="440"/>
        <w:jc w:val="both"/>
        <w:rPr>
          <w:color w:val="auto"/>
        </w:rPr>
      </w:pPr>
      <w:r>
        <w:rPr>
          <w:rFonts w:hint="eastAsia"/>
          <w:color w:val="auto"/>
        </w:rPr>
        <w:t>承包人应依照有关法律规定参加工伤保险，为其履行合同所雇佣的全部人员，缴纳工 伤保险费，并要求其分包人也进行此项保险。</w:t>
      </w:r>
    </w:p>
    <w:p w14:paraId="60BA396F">
      <w:pPr>
        <w:pStyle w:val="95"/>
        <w:spacing w:line="358" w:lineRule="exact"/>
        <w:ind w:firstLine="440"/>
        <w:jc w:val="both"/>
        <w:rPr>
          <w:color w:val="auto"/>
        </w:rPr>
      </w:pPr>
      <w:r>
        <w:rPr>
          <w:rFonts w:hint="eastAsia"/>
          <w:color w:val="auto"/>
          <w:lang w:val="en-US" w:bidi="en-US"/>
        </w:rPr>
        <w:t>20.2.</w:t>
      </w:r>
      <w:r>
        <w:rPr>
          <w:rFonts w:hint="eastAsia"/>
          <w:color w:val="auto"/>
        </w:rPr>
        <w:t>2发包人员工伤事故的保险</w:t>
      </w:r>
    </w:p>
    <w:p w14:paraId="4BEC5981">
      <w:pPr>
        <w:pStyle w:val="95"/>
        <w:spacing w:line="358" w:lineRule="exact"/>
        <w:ind w:firstLine="440"/>
        <w:jc w:val="both"/>
        <w:rPr>
          <w:color w:val="auto"/>
        </w:rPr>
      </w:pPr>
      <w:r>
        <w:rPr>
          <w:rFonts w:hint="eastAsia"/>
          <w:color w:val="auto"/>
        </w:rPr>
        <w:t>发包人应依照有关法律规定参加工伤保险，为其现场机构雇佣的全部人员，缴纳工伤保险费，并要求其监理人也进行此项保险。</w:t>
      </w:r>
    </w:p>
    <w:p w14:paraId="3243EA34">
      <w:pPr>
        <w:pStyle w:val="101"/>
        <w:spacing w:before="0" w:after="0" w:line="360" w:lineRule="exact"/>
        <w:rPr>
          <w:rFonts w:ascii="宋体" w:hAnsi="宋体" w:cs="宋体"/>
          <w:color w:val="auto"/>
          <w:sz w:val="24"/>
          <w:szCs w:val="24"/>
          <w:lang w:eastAsia="zh-CN"/>
        </w:rPr>
      </w:pPr>
      <w:bookmarkStart w:id="1662" w:name="_Toc24283"/>
      <w:bookmarkStart w:id="1663" w:name="_Toc9146"/>
      <w:bookmarkStart w:id="1664" w:name="_Toc23979"/>
      <w:bookmarkStart w:id="1665" w:name="_Toc25347"/>
      <w:bookmarkStart w:id="1666" w:name="bookmark1465"/>
      <w:bookmarkStart w:id="1667" w:name="_Toc11865"/>
      <w:bookmarkStart w:id="1668" w:name="bookmark1464"/>
      <w:bookmarkStart w:id="1669" w:name="_Toc27631"/>
      <w:bookmarkStart w:id="1670" w:name="_Toc23335"/>
      <w:bookmarkStart w:id="1671" w:name="bookmark1463"/>
      <w:r>
        <w:rPr>
          <w:rFonts w:hint="eastAsia" w:ascii="宋体" w:hAnsi="宋体" w:cs="宋体"/>
          <w:color w:val="auto"/>
          <w:sz w:val="24"/>
          <w:szCs w:val="24"/>
          <w:lang w:eastAsia="zh-CN"/>
        </w:rPr>
        <w:t>20.3人身意外伤害险</w:t>
      </w:r>
      <w:bookmarkEnd w:id="1662"/>
      <w:bookmarkEnd w:id="1663"/>
      <w:bookmarkEnd w:id="1664"/>
      <w:bookmarkEnd w:id="1665"/>
      <w:bookmarkEnd w:id="1666"/>
      <w:bookmarkEnd w:id="1667"/>
      <w:bookmarkEnd w:id="1668"/>
      <w:bookmarkEnd w:id="1669"/>
      <w:bookmarkEnd w:id="1670"/>
      <w:bookmarkEnd w:id="1671"/>
    </w:p>
    <w:p w14:paraId="2930C579">
      <w:pPr>
        <w:pStyle w:val="95"/>
        <w:spacing w:line="362" w:lineRule="exact"/>
        <w:ind w:firstLine="440"/>
        <w:jc w:val="both"/>
        <w:rPr>
          <w:color w:val="auto"/>
        </w:rPr>
      </w:pPr>
      <w:r>
        <w:rPr>
          <w:rFonts w:hint="eastAsia"/>
          <w:color w:val="auto"/>
          <w:lang w:val="en-US" w:bidi="en-US"/>
        </w:rPr>
        <w:t>20.3.1</w:t>
      </w:r>
      <w:r>
        <w:rPr>
          <w:rFonts w:hint="eastAsia"/>
          <w:color w:val="auto"/>
        </w:rPr>
        <w:t>发包人应在整个施工期间为其现场机构雇用的全部人员，投保人身意外伤害险，缴纳保险费，并要求其监理人也进行此项保险。</w:t>
      </w:r>
    </w:p>
    <w:p w14:paraId="7FE9122D">
      <w:pPr>
        <w:pStyle w:val="95"/>
        <w:spacing w:line="367" w:lineRule="exact"/>
        <w:ind w:firstLine="440"/>
        <w:jc w:val="both"/>
        <w:rPr>
          <w:color w:val="auto"/>
        </w:rPr>
      </w:pPr>
      <w:r>
        <w:rPr>
          <w:rFonts w:hint="eastAsia"/>
          <w:color w:val="auto"/>
          <w:lang w:val="en-US" w:bidi="en-US"/>
        </w:rPr>
        <w:t>20.3.2</w:t>
      </w:r>
      <w:r>
        <w:rPr>
          <w:rFonts w:hint="eastAsia"/>
          <w:color w:val="auto"/>
        </w:rPr>
        <w:t>承包人应在整个施工期间为其现场机构雇用的全部人员，投保人身意外伤害险，缴纳保险费，并要求其分包人也进行此项保险。</w:t>
      </w:r>
    </w:p>
    <w:p w14:paraId="29E42F23">
      <w:pPr>
        <w:pStyle w:val="101"/>
        <w:spacing w:before="0" w:after="0" w:line="360" w:lineRule="exact"/>
        <w:rPr>
          <w:rFonts w:ascii="宋体" w:hAnsi="宋体" w:cs="宋体"/>
          <w:color w:val="auto"/>
          <w:sz w:val="24"/>
          <w:szCs w:val="24"/>
          <w:lang w:eastAsia="zh-CN"/>
        </w:rPr>
      </w:pPr>
      <w:bookmarkStart w:id="1672" w:name="_Toc25765"/>
      <w:bookmarkStart w:id="1673" w:name="bookmark1468"/>
      <w:bookmarkStart w:id="1674" w:name="_Toc10679"/>
      <w:bookmarkStart w:id="1675" w:name="_Toc32532"/>
      <w:bookmarkStart w:id="1676" w:name="_Toc10600"/>
      <w:bookmarkStart w:id="1677" w:name="bookmark1466"/>
      <w:bookmarkStart w:id="1678" w:name="bookmark1467"/>
      <w:bookmarkStart w:id="1679" w:name="_Toc14865"/>
      <w:bookmarkStart w:id="1680" w:name="_Toc10666"/>
      <w:bookmarkStart w:id="1681" w:name="_Toc29860"/>
      <w:r>
        <w:rPr>
          <w:rFonts w:hint="eastAsia" w:ascii="宋体" w:hAnsi="宋体" w:cs="宋体"/>
          <w:color w:val="auto"/>
          <w:sz w:val="24"/>
          <w:szCs w:val="24"/>
          <w:lang w:eastAsia="zh-CN"/>
        </w:rPr>
        <w:t>20.4第三者责任险</w:t>
      </w:r>
      <w:bookmarkEnd w:id="1672"/>
      <w:bookmarkEnd w:id="1673"/>
      <w:bookmarkEnd w:id="1674"/>
      <w:bookmarkEnd w:id="1675"/>
      <w:bookmarkEnd w:id="1676"/>
      <w:bookmarkEnd w:id="1677"/>
      <w:bookmarkEnd w:id="1678"/>
      <w:bookmarkEnd w:id="1679"/>
      <w:bookmarkEnd w:id="1680"/>
      <w:bookmarkEnd w:id="1681"/>
    </w:p>
    <w:p w14:paraId="1A030A24">
      <w:pPr>
        <w:pStyle w:val="95"/>
        <w:spacing w:line="359" w:lineRule="exact"/>
        <w:ind w:firstLine="440"/>
        <w:jc w:val="both"/>
        <w:rPr>
          <w:color w:val="auto"/>
        </w:rPr>
      </w:pPr>
      <w:r>
        <w:rPr>
          <w:rFonts w:hint="eastAsia"/>
          <w:color w:val="auto"/>
          <w:lang w:val="en-US" w:bidi="en-US"/>
        </w:rPr>
        <w:t>20.4.1</w:t>
      </w:r>
      <w:r>
        <w:rPr>
          <w:rFonts w:hint="eastAsia"/>
          <w:color w:val="auto"/>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7ED3723">
      <w:pPr>
        <w:pStyle w:val="95"/>
        <w:spacing w:line="361" w:lineRule="exact"/>
        <w:ind w:firstLine="440"/>
        <w:jc w:val="both"/>
        <w:rPr>
          <w:color w:val="auto"/>
        </w:rPr>
      </w:pPr>
      <w:r>
        <w:rPr>
          <w:rFonts w:hint="eastAsia"/>
          <w:color w:val="auto"/>
          <w:lang w:val="en-US" w:bidi="en-US"/>
        </w:rPr>
        <w:t>20.4.2</w:t>
      </w:r>
      <w:r>
        <w:rPr>
          <w:rFonts w:hint="eastAsia"/>
          <w:color w:val="auto"/>
        </w:rPr>
        <w:t>在缺陷责任期终止证书颁发前，承包人应以承包人和发包人的共同名义，投保第</w:t>
      </w:r>
      <w:r>
        <w:rPr>
          <w:rFonts w:hint="eastAsia"/>
          <w:color w:val="auto"/>
          <w:lang w:val="en-US" w:bidi="en-US"/>
        </w:rPr>
        <w:t>20.4.1</w:t>
      </w:r>
      <w:r>
        <w:rPr>
          <w:rFonts w:hint="eastAsia"/>
          <w:color w:val="auto"/>
        </w:rPr>
        <w:t>项约定的第三者责任险，其保险费率、保险金额等有关内容在专用合同条款中约定。</w:t>
      </w:r>
    </w:p>
    <w:p w14:paraId="57C0D389">
      <w:pPr>
        <w:pStyle w:val="101"/>
        <w:spacing w:before="0" w:after="0" w:line="360" w:lineRule="exact"/>
        <w:rPr>
          <w:rFonts w:ascii="宋体" w:hAnsi="宋体" w:cs="宋体"/>
          <w:color w:val="auto"/>
          <w:sz w:val="24"/>
          <w:szCs w:val="24"/>
          <w:lang w:eastAsia="zh-CN"/>
        </w:rPr>
      </w:pPr>
      <w:bookmarkStart w:id="1682" w:name="bookmark1470"/>
      <w:bookmarkStart w:id="1683" w:name="_Toc18039"/>
      <w:bookmarkStart w:id="1684" w:name="bookmark1469"/>
      <w:bookmarkStart w:id="1685" w:name="_Toc4891"/>
      <w:bookmarkStart w:id="1686" w:name="_Toc18873"/>
      <w:bookmarkStart w:id="1687" w:name="_Toc28174"/>
      <w:bookmarkStart w:id="1688" w:name="_Toc14993"/>
      <w:bookmarkStart w:id="1689" w:name="_Toc5441"/>
      <w:bookmarkStart w:id="1690" w:name="bookmark1471"/>
      <w:bookmarkStart w:id="1691" w:name="_Toc15855"/>
      <w:r>
        <w:rPr>
          <w:rFonts w:hint="eastAsia" w:ascii="宋体" w:hAnsi="宋体" w:cs="宋体"/>
          <w:color w:val="auto"/>
          <w:sz w:val="24"/>
          <w:szCs w:val="24"/>
          <w:lang w:eastAsia="zh-CN"/>
        </w:rPr>
        <w:t>20.5其他保险</w:t>
      </w:r>
      <w:bookmarkEnd w:id="1682"/>
      <w:bookmarkEnd w:id="1683"/>
      <w:bookmarkEnd w:id="1684"/>
      <w:bookmarkEnd w:id="1685"/>
      <w:bookmarkEnd w:id="1686"/>
      <w:bookmarkEnd w:id="1687"/>
      <w:bookmarkEnd w:id="1688"/>
      <w:bookmarkEnd w:id="1689"/>
      <w:bookmarkEnd w:id="1690"/>
      <w:bookmarkEnd w:id="1691"/>
    </w:p>
    <w:p w14:paraId="0E0FEC0E">
      <w:pPr>
        <w:pStyle w:val="95"/>
        <w:spacing w:line="350" w:lineRule="exact"/>
        <w:ind w:firstLine="440"/>
        <w:jc w:val="both"/>
        <w:rPr>
          <w:color w:val="auto"/>
        </w:rPr>
      </w:pPr>
      <w:r>
        <w:rPr>
          <w:rFonts w:hint="eastAsia"/>
          <w:color w:val="auto"/>
        </w:rPr>
        <w:t>除专用合同条款另有约定外，承包人应为其施工设备、进场的材料和工程设备等办理保险。</w:t>
      </w:r>
    </w:p>
    <w:p w14:paraId="19CD59D9">
      <w:pPr>
        <w:pStyle w:val="101"/>
        <w:spacing w:before="0" w:after="0" w:line="360" w:lineRule="exact"/>
        <w:rPr>
          <w:rFonts w:ascii="宋体" w:hAnsi="宋体" w:cs="宋体"/>
          <w:color w:val="auto"/>
          <w:sz w:val="24"/>
          <w:szCs w:val="24"/>
          <w:lang w:eastAsia="zh-CN"/>
        </w:rPr>
      </w:pPr>
      <w:bookmarkStart w:id="1692" w:name="bookmark1474"/>
      <w:bookmarkStart w:id="1693" w:name="_Toc20306"/>
      <w:bookmarkStart w:id="1694" w:name="_Toc8714"/>
      <w:bookmarkStart w:id="1695" w:name="_Toc16342"/>
      <w:bookmarkStart w:id="1696" w:name="_Toc9403"/>
      <w:bookmarkStart w:id="1697" w:name="_Toc10335"/>
      <w:bookmarkStart w:id="1698" w:name="_Toc5898"/>
      <w:bookmarkStart w:id="1699" w:name="bookmark1472"/>
      <w:bookmarkStart w:id="1700" w:name="bookmark1473"/>
      <w:bookmarkStart w:id="1701" w:name="_Toc26250"/>
      <w:r>
        <w:rPr>
          <w:rFonts w:hint="eastAsia" w:ascii="宋体" w:hAnsi="宋体" w:cs="宋体"/>
          <w:color w:val="auto"/>
          <w:sz w:val="24"/>
          <w:szCs w:val="24"/>
          <w:lang w:eastAsia="zh-CN"/>
        </w:rPr>
        <w:t>20.6对各项保险的一般要求</w:t>
      </w:r>
      <w:bookmarkEnd w:id="1692"/>
      <w:bookmarkEnd w:id="1693"/>
      <w:bookmarkEnd w:id="1694"/>
      <w:bookmarkEnd w:id="1695"/>
      <w:bookmarkEnd w:id="1696"/>
      <w:bookmarkEnd w:id="1697"/>
      <w:bookmarkEnd w:id="1698"/>
      <w:bookmarkEnd w:id="1699"/>
      <w:bookmarkEnd w:id="1700"/>
      <w:bookmarkEnd w:id="1701"/>
    </w:p>
    <w:p w14:paraId="63E4B040">
      <w:pPr>
        <w:pStyle w:val="102"/>
        <w:spacing w:after="0" w:line="360" w:lineRule="exact"/>
        <w:ind w:firstLine="442"/>
        <w:jc w:val="both"/>
        <w:rPr>
          <w:rFonts w:ascii="宋体" w:hAnsi="宋体" w:cs="宋体"/>
          <w:color w:val="auto"/>
          <w:lang w:eastAsia="zh-CN"/>
        </w:rPr>
      </w:pPr>
      <w:r>
        <w:rPr>
          <w:rFonts w:hint="eastAsia" w:ascii="宋体" w:hAnsi="宋体" w:cs="宋体"/>
          <w:color w:val="auto"/>
          <w:lang w:eastAsia="zh-CN"/>
        </w:rPr>
        <w:t>20.6.</w:t>
      </w:r>
      <w:r>
        <w:rPr>
          <w:rFonts w:hint="eastAsia" w:ascii="宋体" w:hAnsi="宋体" w:cs="宋体"/>
          <w:color w:val="auto"/>
          <w:lang w:val="zh-CN" w:eastAsia="zh-CN" w:bidi="zh-CN"/>
        </w:rPr>
        <w:t>1保险凭证</w:t>
      </w:r>
    </w:p>
    <w:p w14:paraId="39B358CF">
      <w:pPr>
        <w:pStyle w:val="95"/>
        <w:spacing w:line="360" w:lineRule="exact"/>
        <w:ind w:firstLine="442"/>
        <w:jc w:val="both"/>
        <w:rPr>
          <w:color w:val="auto"/>
        </w:rPr>
      </w:pPr>
      <w:r>
        <w:rPr>
          <w:rFonts w:hint="eastAsia"/>
          <w:color w:val="auto"/>
        </w:rPr>
        <w:t>承包人应在专用合同条款约定的期限内向发包人提交各项保险生效的证据和保险单副本，保险单必须与专用合同条款约定的条件保持一致。</w:t>
      </w:r>
    </w:p>
    <w:p w14:paraId="6847A823">
      <w:pPr>
        <w:pStyle w:val="95"/>
        <w:spacing w:line="360" w:lineRule="exact"/>
        <w:ind w:firstLine="442"/>
        <w:jc w:val="both"/>
        <w:rPr>
          <w:color w:val="auto"/>
        </w:rPr>
      </w:pPr>
      <w:r>
        <w:rPr>
          <w:rFonts w:hint="eastAsia"/>
          <w:color w:val="auto"/>
          <w:lang w:val="en-US" w:bidi="en-US"/>
        </w:rPr>
        <w:t>20.6.2</w:t>
      </w:r>
      <w:r>
        <w:rPr>
          <w:rFonts w:hint="eastAsia"/>
          <w:color w:val="auto"/>
        </w:rPr>
        <w:t>保险合同条款的变动</w:t>
      </w:r>
    </w:p>
    <w:p w14:paraId="39BD721D">
      <w:pPr>
        <w:pStyle w:val="95"/>
        <w:spacing w:line="360" w:lineRule="exact"/>
        <w:ind w:firstLine="442"/>
        <w:jc w:val="both"/>
        <w:rPr>
          <w:color w:val="auto"/>
        </w:rPr>
      </w:pPr>
      <w:r>
        <w:rPr>
          <w:rFonts w:hint="eastAsia"/>
          <w:color w:val="auto"/>
        </w:rPr>
        <w:t>承包人需要变动保险合同条款时，应事先征得发包人同意，并通知监理人。保险人作出变动的，承包人应在收到保险人通知后立即通知发包人和监理人。</w:t>
      </w:r>
    </w:p>
    <w:p w14:paraId="60D3553E">
      <w:pPr>
        <w:pStyle w:val="102"/>
        <w:spacing w:after="0" w:line="360" w:lineRule="exact"/>
        <w:ind w:firstLine="442"/>
        <w:jc w:val="both"/>
        <w:rPr>
          <w:rFonts w:ascii="宋体" w:hAnsi="宋体" w:cs="宋体"/>
          <w:color w:val="auto"/>
          <w:lang w:eastAsia="zh-CN"/>
        </w:rPr>
      </w:pPr>
      <w:r>
        <w:rPr>
          <w:rFonts w:hint="eastAsia" w:ascii="宋体" w:hAnsi="宋体" w:cs="宋体"/>
          <w:color w:val="auto"/>
          <w:lang w:eastAsia="zh-CN"/>
        </w:rPr>
        <w:t>20.6.</w:t>
      </w:r>
      <w:r>
        <w:rPr>
          <w:rFonts w:hint="eastAsia" w:ascii="宋体" w:hAnsi="宋体" w:cs="宋体"/>
          <w:color w:val="auto"/>
          <w:lang w:val="zh-CN" w:eastAsia="zh-CN" w:bidi="zh-CN"/>
        </w:rPr>
        <w:t>3持续保险</w:t>
      </w:r>
    </w:p>
    <w:p w14:paraId="3EDF6B0B">
      <w:pPr>
        <w:pStyle w:val="95"/>
        <w:spacing w:line="360" w:lineRule="exact"/>
        <w:ind w:firstLine="442"/>
        <w:jc w:val="both"/>
        <w:rPr>
          <w:color w:val="auto"/>
        </w:rPr>
      </w:pPr>
      <w:r>
        <w:rPr>
          <w:rFonts w:hint="eastAsia"/>
          <w:color w:val="auto"/>
        </w:rPr>
        <w:t>承包人应与保险人保持联系，使保险人能够随时了解工程实施中的变动，并确保按保险合同条款要求持续保险。</w:t>
      </w:r>
    </w:p>
    <w:p w14:paraId="2175B300">
      <w:pPr>
        <w:pStyle w:val="95"/>
        <w:spacing w:line="360" w:lineRule="exact"/>
        <w:ind w:firstLine="442"/>
        <w:jc w:val="both"/>
        <w:rPr>
          <w:color w:val="auto"/>
        </w:rPr>
      </w:pPr>
      <w:r>
        <w:rPr>
          <w:rFonts w:hint="eastAsia"/>
          <w:color w:val="auto"/>
          <w:lang w:val="en-US" w:bidi="en-US"/>
        </w:rPr>
        <w:t>20.6.4</w:t>
      </w:r>
      <w:r>
        <w:rPr>
          <w:rFonts w:hint="eastAsia"/>
          <w:color w:val="auto"/>
        </w:rPr>
        <w:t>保险金不足的补偿</w:t>
      </w:r>
    </w:p>
    <w:p w14:paraId="11F0AD27">
      <w:pPr>
        <w:pStyle w:val="95"/>
        <w:spacing w:line="360" w:lineRule="exact"/>
        <w:ind w:firstLine="442"/>
        <w:jc w:val="both"/>
        <w:rPr>
          <w:color w:val="auto"/>
        </w:rPr>
      </w:pPr>
      <w:r>
        <w:rPr>
          <w:rFonts w:hint="eastAsia"/>
          <w:color w:val="auto"/>
        </w:rPr>
        <w:t>保险金不足以补偿损失时，应由承包人和发包人各自负责补偿的范围和金额在专用合同条款中约定。</w:t>
      </w:r>
    </w:p>
    <w:p w14:paraId="14D470C4">
      <w:pPr>
        <w:pStyle w:val="95"/>
        <w:spacing w:line="360" w:lineRule="exact"/>
        <w:ind w:firstLine="442"/>
        <w:jc w:val="both"/>
        <w:rPr>
          <w:color w:val="auto"/>
        </w:rPr>
      </w:pPr>
      <w:r>
        <w:rPr>
          <w:rFonts w:hint="eastAsia"/>
          <w:color w:val="auto"/>
          <w:lang w:val="en-US" w:eastAsia="en-US" w:bidi="en-US"/>
        </w:rPr>
        <w:t>20.6.</w:t>
      </w:r>
      <w:r>
        <w:rPr>
          <w:rFonts w:hint="eastAsia"/>
          <w:color w:val="auto"/>
        </w:rPr>
        <w:t>5未按约定投保的补救</w:t>
      </w:r>
    </w:p>
    <w:p w14:paraId="1416F013">
      <w:pPr>
        <w:pStyle w:val="95"/>
        <w:numPr>
          <w:ilvl w:val="0"/>
          <w:numId w:val="26"/>
        </w:numPr>
        <w:tabs>
          <w:tab w:val="left" w:pos="903"/>
        </w:tabs>
        <w:spacing w:line="352" w:lineRule="exact"/>
        <w:ind w:firstLine="440"/>
        <w:jc w:val="both"/>
        <w:rPr>
          <w:color w:val="auto"/>
        </w:rPr>
      </w:pPr>
      <w:bookmarkStart w:id="1702" w:name="bookmark1475"/>
      <w:bookmarkEnd w:id="1702"/>
      <w:r>
        <w:rPr>
          <w:rFonts w:hint="eastAsia"/>
          <w:color w:val="auto"/>
        </w:rPr>
        <w:t>由于负有投保义务的一方当事人未按合同约定办理保险，或未能使保险持续有效的，另一方当事人可代为办理，所需费用由对方当事人承担。</w:t>
      </w:r>
    </w:p>
    <w:p w14:paraId="69526B20">
      <w:pPr>
        <w:pStyle w:val="95"/>
        <w:numPr>
          <w:ilvl w:val="0"/>
          <w:numId w:val="26"/>
        </w:numPr>
        <w:tabs>
          <w:tab w:val="left" w:pos="915"/>
        </w:tabs>
        <w:spacing w:line="352" w:lineRule="exact"/>
        <w:ind w:firstLine="440"/>
        <w:jc w:val="both"/>
        <w:rPr>
          <w:color w:val="auto"/>
        </w:rPr>
      </w:pPr>
      <w:bookmarkStart w:id="1703" w:name="bookmark1476"/>
      <w:bookmarkEnd w:id="1703"/>
      <w:r>
        <w:rPr>
          <w:rFonts w:hint="eastAsia"/>
          <w:color w:val="auto"/>
        </w:rPr>
        <w:t>由于负有投保义务的一方当事人未按合同约定办理某项保险，导致受益人未能得到保险人的赔偿，原应从该项保险得到的保险金应由负有投保义务的一方当事人支付。</w:t>
      </w:r>
    </w:p>
    <w:p w14:paraId="59FD49E2">
      <w:pPr>
        <w:pStyle w:val="102"/>
        <w:spacing w:after="0" w:line="353" w:lineRule="exact"/>
        <w:jc w:val="both"/>
        <w:rPr>
          <w:rFonts w:ascii="宋体" w:hAnsi="宋体" w:cs="宋体"/>
          <w:color w:val="auto"/>
          <w:lang w:eastAsia="zh-CN"/>
        </w:rPr>
      </w:pPr>
      <w:r>
        <w:rPr>
          <w:rFonts w:hint="eastAsia" w:ascii="宋体" w:hAnsi="宋体" w:cs="宋体"/>
          <w:color w:val="auto"/>
          <w:lang w:eastAsia="zh-CN"/>
        </w:rPr>
        <w:t>20.6.6</w:t>
      </w:r>
      <w:r>
        <w:rPr>
          <w:rFonts w:hint="eastAsia" w:ascii="宋体" w:hAnsi="宋体" w:cs="宋体"/>
          <w:color w:val="auto"/>
          <w:lang w:val="zh-CN" w:eastAsia="zh-CN" w:bidi="zh-CN"/>
        </w:rPr>
        <w:t>报告义务</w:t>
      </w:r>
    </w:p>
    <w:p w14:paraId="34F08B77">
      <w:pPr>
        <w:pStyle w:val="95"/>
        <w:spacing w:line="353" w:lineRule="exact"/>
        <w:ind w:firstLine="420"/>
        <w:jc w:val="both"/>
        <w:rPr>
          <w:color w:val="auto"/>
        </w:rPr>
      </w:pPr>
      <w:r>
        <w:rPr>
          <w:rFonts w:hint="eastAsia"/>
          <w:color w:val="auto"/>
        </w:rPr>
        <w:t>当保险事故发生时，投保人应按照保险单规定的条件和期限及时向保险人报告。</w:t>
      </w:r>
    </w:p>
    <w:p w14:paraId="4359DD69">
      <w:pPr>
        <w:pStyle w:val="101"/>
        <w:spacing w:before="0" w:after="0" w:line="360" w:lineRule="exact"/>
        <w:rPr>
          <w:rFonts w:ascii="宋体" w:hAnsi="宋体" w:cs="宋体"/>
          <w:color w:val="auto"/>
          <w:sz w:val="24"/>
          <w:szCs w:val="24"/>
          <w:lang w:eastAsia="zh-CN"/>
        </w:rPr>
      </w:pPr>
      <w:bookmarkStart w:id="1704" w:name="_Toc1749"/>
      <w:bookmarkStart w:id="1705" w:name="bookmark1477"/>
      <w:bookmarkStart w:id="1706" w:name="_Toc24008"/>
      <w:bookmarkStart w:id="1707" w:name="_Toc12103"/>
      <w:bookmarkStart w:id="1708" w:name="_Toc1665"/>
      <w:bookmarkStart w:id="1709" w:name="_Toc9345"/>
      <w:bookmarkStart w:id="1710" w:name="_Toc19375"/>
      <w:bookmarkStart w:id="1711" w:name="_Toc28630"/>
      <w:bookmarkStart w:id="1712" w:name="bookmark1478"/>
      <w:bookmarkStart w:id="1713" w:name="bookmark1479"/>
      <w:r>
        <w:rPr>
          <w:rFonts w:hint="eastAsia" w:ascii="宋体" w:hAnsi="宋体" w:cs="宋体"/>
          <w:color w:val="auto"/>
          <w:sz w:val="24"/>
          <w:szCs w:val="24"/>
          <w:lang w:eastAsia="zh-CN"/>
        </w:rPr>
        <w:t>20.7风险责任的转移</w:t>
      </w:r>
      <w:bookmarkEnd w:id="1704"/>
      <w:bookmarkEnd w:id="1705"/>
      <w:bookmarkEnd w:id="1706"/>
      <w:bookmarkEnd w:id="1707"/>
      <w:bookmarkEnd w:id="1708"/>
      <w:bookmarkEnd w:id="1709"/>
      <w:bookmarkEnd w:id="1710"/>
      <w:bookmarkEnd w:id="1711"/>
      <w:bookmarkEnd w:id="1712"/>
      <w:bookmarkEnd w:id="1713"/>
    </w:p>
    <w:p w14:paraId="5A1258B3">
      <w:pPr>
        <w:pStyle w:val="95"/>
        <w:spacing w:line="353" w:lineRule="exact"/>
        <w:ind w:firstLine="440"/>
        <w:jc w:val="both"/>
        <w:rPr>
          <w:color w:val="auto"/>
        </w:rPr>
      </w:pPr>
      <w:r>
        <w:rPr>
          <w:rFonts w:hint="eastAsia"/>
          <w:color w:val="auto"/>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color w:val="auto"/>
          <w:lang w:val="en-US" w:bidi="en-US"/>
        </w:rPr>
        <w:t>。</w:t>
      </w:r>
    </w:p>
    <w:p w14:paraId="1A48826C">
      <w:pPr>
        <w:pStyle w:val="101"/>
        <w:spacing w:before="0" w:after="0" w:line="360" w:lineRule="exact"/>
        <w:rPr>
          <w:rFonts w:ascii="宋体" w:hAnsi="宋体" w:cs="宋体"/>
          <w:color w:val="auto"/>
          <w:lang w:eastAsia="zh-CN"/>
        </w:rPr>
      </w:pPr>
      <w:bookmarkStart w:id="1714" w:name="_Toc24408"/>
      <w:bookmarkStart w:id="1715" w:name="_Toc814"/>
      <w:bookmarkStart w:id="1716" w:name="_Toc11352"/>
      <w:bookmarkStart w:id="1717" w:name="_Toc14311"/>
      <w:bookmarkStart w:id="1718" w:name="_Toc11080"/>
      <w:bookmarkStart w:id="1719" w:name="bookmark1481"/>
      <w:bookmarkStart w:id="1720" w:name="_Toc3304"/>
      <w:bookmarkStart w:id="1721" w:name="bookmark1482"/>
      <w:bookmarkStart w:id="1722" w:name="bookmark1480"/>
      <w:bookmarkStart w:id="1723" w:name="_Toc5879"/>
      <w:r>
        <w:rPr>
          <w:rFonts w:hint="eastAsia" w:ascii="宋体" w:hAnsi="宋体" w:cs="宋体"/>
          <w:color w:val="auto"/>
          <w:lang w:eastAsia="zh-CN"/>
        </w:rPr>
        <w:t>21.不可抗力</w:t>
      </w:r>
      <w:bookmarkEnd w:id="1714"/>
      <w:bookmarkEnd w:id="1715"/>
      <w:bookmarkEnd w:id="1716"/>
      <w:bookmarkEnd w:id="1717"/>
      <w:bookmarkEnd w:id="1718"/>
      <w:bookmarkEnd w:id="1719"/>
      <w:bookmarkEnd w:id="1720"/>
      <w:bookmarkEnd w:id="1721"/>
      <w:bookmarkEnd w:id="1722"/>
      <w:bookmarkEnd w:id="1723"/>
    </w:p>
    <w:p w14:paraId="1EB746F5">
      <w:pPr>
        <w:pStyle w:val="101"/>
        <w:spacing w:before="0" w:after="0" w:line="360" w:lineRule="exact"/>
        <w:rPr>
          <w:rFonts w:ascii="宋体" w:hAnsi="宋体" w:cs="宋体"/>
          <w:color w:val="auto"/>
          <w:sz w:val="24"/>
          <w:szCs w:val="24"/>
          <w:lang w:eastAsia="zh-CN"/>
        </w:rPr>
      </w:pPr>
      <w:bookmarkStart w:id="1724" w:name="bookmark1483"/>
      <w:bookmarkStart w:id="1725" w:name="_Toc18271"/>
      <w:bookmarkStart w:id="1726" w:name="_Toc26366"/>
      <w:bookmarkStart w:id="1727" w:name="bookmark1484"/>
      <w:bookmarkStart w:id="1728" w:name="_Toc21767"/>
      <w:bookmarkStart w:id="1729" w:name="_Toc28700"/>
      <w:bookmarkStart w:id="1730" w:name="_Toc15722"/>
      <w:bookmarkStart w:id="1731" w:name="bookmark1485"/>
      <w:bookmarkStart w:id="1732" w:name="_Toc27643"/>
      <w:bookmarkStart w:id="1733" w:name="_Toc24966"/>
      <w:r>
        <w:rPr>
          <w:rFonts w:hint="eastAsia" w:ascii="宋体" w:hAnsi="宋体" w:cs="宋体"/>
          <w:color w:val="auto"/>
          <w:sz w:val="24"/>
          <w:szCs w:val="24"/>
          <w:lang w:eastAsia="zh-CN"/>
        </w:rPr>
        <w:t>21.1不可抗力的确认</w:t>
      </w:r>
      <w:bookmarkEnd w:id="1724"/>
      <w:bookmarkEnd w:id="1725"/>
      <w:bookmarkEnd w:id="1726"/>
      <w:bookmarkEnd w:id="1727"/>
      <w:bookmarkEnd w:id="1728"/>
      <w:bookmarkEnd w:id="1729"/>
      <w:bookmarkEnd w:id="1730"/>
      <w:bookmarkEnd w:id="1731"/>
      <w:bookmarkEnd w:id="1732"/>
      <w:bookmarkEnd w:id="1733"/>
    </w:p>
    <w:p w14:paraId="024EDB52">
      <w:pPr>
        <w:pStyle w:val="95"/>
        <w:spacing w:line="353" w:lineRule="exact"/>
        <w:ind w:firstLine="440"/>
        <w:jc w:val="both"/>
        <w:rPr>
          <w:color w:val="auto"/>
        </w:rPr>
      </w:pPr>
      <w:r>
        <w:rPr>
          <w:rFonts w:hint="eastAsia"/>
          <w:color w:val="auto"/>
          <w:lang w:val="en-US" w:bidi="en-US"/>
        </w:rPr>
        <w:t>21.1.1</w:t>
      </w:r>
      <w:r>
        <w:rPr>
          <w:rFonts w:hint="eastAsia"/>
          <w:color w:val="auto"/>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12148810">
      <w:pPr>
        <w:pStyle w:val="95"/>
        <w:spacing w:line="353" w:lineRule="exact"/>
        <w:ind w:firstLine="440"/>
        <w:jc w:val="both"/>
        <w:rPr>
          <w:color w:val="auto"/>
        </w:rPr>
      </w:pPr>
      <w:r>
        <w:rPr>
          <w:rFonts w:hint="eastAsia"/>
          <w:color w:val="auto"/>
          <w:lang w:val="en-US" w:bidi="en-US"/>
        </w:rPr>
        <w:t>21.1.2</w:t>
      </w:r>
      <w:r>
        <w:rPr>
          <w:rFonts w:hint="eastAsia"/>
          <w:color w:val="auto"/>
        </w:rPr>
        <w:t>不可抗力发生后，发包人和承包人应及时认真统计所造成的损失，收集不可抗力造成损失的证据。合同双方对是否属于不可抗力或其损失的意见不一致的，由监理人按第</w:t>
      </w:r>
      <w:r>
        <w:rPr>
          <w:rFonts w:hint="eastAsia"/>
          <w:color w:val="auto"/>
          <w:lang w:val="en-US" w:bidi="en-US"/>
        </w:rPr>
        <w:t>3.</w:t>
      </w:r>
      <w:r>
        <w:rPr>
          <w:rFonts w:hint="eastAsia"/>
          <w:color w:val="auto"/>
        </w:rPr>
        <w:t>5款商定或确定。发生争议时，按第24条的约定办理。</w:t>
      </w:r>
    </w:p>
    <w:p w14:paraId="053259A3">
      <w:pPr>
        <w:pStyle w:val="101"/>
        <w:spacing w:before="0" w:after="0" w:line="360" w:lineRule="exact"/>
        <w:rPr>
          <w:rFonts w:ascii="宋体" w:hAnsi="宋体" w:cs="宋体"/>
          <w:color w:val="auto"/>
          <w:sz w:val="24"/>
          <w:szCs w:val="24"/>
          <w:lang w:eastAsia="zh-CN"/>
        </w:rPr>
      </w:pPr>
      <w:bookmarkStart w:id="1734" w:name="bookmark1486"/>
      <w:bookmarkStart w:id="1735" w:name="_Toc6955"/>
      <w:bookmarkStart w:id="1736" w:name="_Toc1962"/>
      <w:bookmarkStart w:id="1737" w:name="_Toc19223"/>
      <w:bookmarkStart w:id="1738" w:name="_Toc5372"/>
      <w:bookmarkStart w:id="1739" w:name="bookmark1487"/>
      <w:bookmarkStart w:id="1740" w:name="_Toc12048"/>
      <w:bookmarkStart w:id="1741" w:name="_Toc2385"/>
      <w:bookmarkStart w:id="1742" w:name="bookmark1488"/>
      <w:bookmarkStart w:id="1743" w:name="_Toc32139"/>
      <w:r>
        <w:rPr>
          <w:rFonts w:hint="eastAsia" w:ascii="宋体" w:hAnsi="宋体" w:cs="宋体"/>
          <w:color w:val="auto"/>
          <w:sz w:val="24"/>
          <w:szCs w:val="24"/>
          <w:lang w:eastAsia="zh-CN"/>
        </w:rPr>
        <w:t>21.2不可抗力的通知</w:t>
      </w:r>
      <w:bookmarkEnd w:id="1734"/>
      <w:bookmarkEnd w:id="1735"/>
      <w:bookmarkEnd w:id="1736"/>
      <w:bookmarkEnd w:id="1737"/>
      <w:bookmarkEnd w:id="1738"/>
      <w:bookmarkEnd w:id="1739"/>
      <w:bookmarkEnd w:id="1740"/>
      <w:bookmarkEnd w:id="1741"/>
      <w:bookmarkEnd w:id="1742"/>
      <w:bookmarkEnd w:id="1743"/>
    </w:p>
    <w:p w14:paraId="0EB9E3B4">
      <w:pPr>
        <w:pStyle w:val="95"/>
        <w:spacing w:line="359" w:lineRule="exact"/>
        <w:ind w:firstLine="440"/>
        <w:jc w:val="both"/>
        <w:rPr>
          <w:color w:val="auto"/>
        </w:rPr>
      </w:pPr>
      <w:r>
        <w:rPr>
          <w:rFonts w:hint="eastAsia"/>
          <w:color w:val="auto"/>
          <w:lang w:val="en-US" w:bidi="en-US"/>
        </w:rPr>
        <w:t>21.2.1</w:t>
      </w:r>
      <w:r>
        <w:rPr>
          <w:rFonts w:hint="eastAsia"/>
          <w:color w:val="auto"/>
        </w:rPr>
        <w:t>合同一方当事人遇到不可抗力事件，使其履行合同义务受到阻碍时，应立即通知合同另一方当事人和监理人，书面说明不可抗力和受阻碍的详细情况，并提供必要的证明。</w:t>
      </w:r>
    </w:p>
    <w:p w14:paraId="2BDAD278">
      <w:pPr>
        <w:pStyle w:val="95"/>
        <w:spacing w:line="361" w:lineRule="exact"/>
        <w:ind w:firstLine="440"/>
        <w:jc w:val="both"/>
        <w:rPr>
          <w:color w:val="auto"/>
        </w:rPr>
      </w:pPr>
      <w:r>
        <w:rPr>
          <w:rFonts w:hint="eastAsia"/>
          <w:color w:val="auto"/>
          <w:lang w:val="en-US" w:bidi="en-US"/>
        </w:rPr>
        <w:t>21.2.2</w:t>
      </w:r>
      <w:r>
        <w:rPr>
          <w:rFonts w:hint="eastAsia"/>
          <w:color w:val="auto"/>
        </w:rPr>
        <w:t>如不可抗力持续发生，合同一方当事人应及时向合同另一方当事人和监理人提交中间报告，说明不可抗力和履行合同受阻的情况，并于不可抗力事件结束后28天内提交最终报告及有关资料。</w:t>
      </w:r>
    </w:p>
    <w:p w14:paraId="1F30DB6C">
      <w:pPr>
        <w:pStyle w:val="101"/>
        <w:spacing w:before="0" w:after="0" w:line="360" w:lineRule="exact"/>
        <w:rPr>
          <w:rFonts w:ascii="宋体" w:hAnsi="宋体" w:cs="宋体"/>
          <w:color w:val="auto"/>
          <w:sz w:val="24"/>
          <w:szCs w:val="24"/>
          <w:lang w:eastAsia="zh-CN"/>
        </w:rPr>
      </w:pPr>
      <w:bookmarkStart w:id="1744" w:name="_Toc24307"/>
      <w:bookmarkStart w:id="1745" w:name="_Toc29415"/>
      <w:bookmarkStart w:id="1746" w:name="_Toc12586"/>
      <w:bookmarkStart w:id="1747" w:name="_Toc17208"/>
      <w:bookmarkStart w:id="1748" w:name="bookmark1490"/>
      <w:bookmarkStart w:id="1749" w:name="_Toc32024"/>
      <w:bookmarkStart w:id="1750" w:name="_Toc27556"/>
      <w:bookmarkStart w:id="1751" w:name="_Toc14472"/>
      <w:bookmarkStart w:id="1752" w:name="bookmark1491"/>
      <w:bookmarkStart w:id="1753" w:name="bookmark1489"/>
      <w:r>
        <w:rPr>
          <w:rFonts w:hint="eastAsia" w:ascii="宋体" w:hAnsi="宋体" w:cs="宋体"/>
          <w:color w:val="auto"/>
          <w:sz w:val="24"/>
          <w:szCs w:val="24"/>
          <w:lang w:eastAsia="zh-CN"/>
        </w:rPr>
        <w:t>21.3不可抗力后果及其处理</w:t>
      </w:r>
      <w:bookmarkEnd w:id="1744"/>
      <w:bookmarkEnd w:id="1745"/>
      <w:bookmarkEnd w:id="1746"/>
      <w:bookmarkEnd w:id="1747"/>
      <w:bookmarkEnd w:id="1748"/>
      <w:bookmarkEnd w:id="1749"/>
      <w:bookmarkEnd w:id="1750"/>
      <w:bookmarkEnd w:id="1751"/>
      <w:bookmarkEnd w:id="1752"/>
      <w:bookmarkEnd w:id="1753"/>
    </w:p>
    <w:p w14:paraId="28BF2D00">
      <w:pPr>
        <w:pStyle w:val="95"/>
        <w:spacing w:line="362" w:lineRule="exact"/>
        <w:ind w:firstLine="440"/>
        <w:jc w:val="both"/>
        <w:rPr>
          <w:color w:val="auto"/>
        </w:rPr>
      </w:pPr>
      <w:r>
        <w:rPr>
          <w:rFonts w:hint="eastAsia"/>
          <w:color w:val="auto"/>
          <w:lang w:val="en-US" w:bidi="en-US"/>
        </w:rPr>
        <w:t>21.3.1</w:t>
      </w:r>
      <w:r>
        <w:rPr>
          <w:rFonts w:hint="eastAsia"/>
          <w:color w:val="auto"/>
        </w:rPr>
        <w:t>不可抗力造成损害的责任</w:t>
      </w:r>
    </w:p>
    <w:p w14:paraId="5D8315D3">
      <w:pPr>
        <w:pStyle w:val="95"/>
        <w:spacing w:line="349" w:lineRule="exact"/>
        <w:ind w:firstLine="440"/>
        <w:jc w:val="both"/>
        <w:rPr>
          <w:color w:val="auto"/>
        </w:rPr>
      </w:pPr>
      <w:r>
        <w:rPr>
          <w:rFonts w:hint="eastAsia"/>
          <w:color w:val="auto"/>
        </w:rPr>
        <w:t>除专用合同条款另有约定外，不可抗力导致的人员伤亡、财产损失、费用增加和(或) 工期延误等后果，由合同双方按以下原则承担：</w:t>
      </w:r>
    </w:p>
    <w:p w14:paraId="6965E571">
      <w:pPr>
        <w:pStyle w:val="95"/>
        <w:numPr>
          <w:ilvl w:val="0"/>
          <w:numId w:val="27"/>
        </w:numPr>
        <w:tabs>
          <w:tab w:val="left" w:pos="903"/>
        </w:tabs>
        <w:spacing w:line="349" w:lineRule="exact"/>
        <w:ind w:firstLine="440"/>
        <w:jc w:val="both"/>
        <w:rPr>
          <w:color w:val="auto"/>
        </w:rPr>
      </w:pPr>
      <w:bookmarkStart w:id="1754" w:name="bookmark1492"/>
      <w:bookmarkEnd w:id="1754"/>
      <w:r>
        <w:rPr>
          <w:rFonts w:hint="eastAsia"/>
          <w:color w:val="auto"/>
        </w:rPr>
        <w:t>永久工程，包括已运至施工场地的材料和工程设备的损害，以及因工程损害造成的第三者人员伤亡和财产损失由发包人承担；</w:t>
      </w:r>
    </w:p>
    <w:p w14:paraId="618D5BCF">
      <w:pPr>
        <w:pStyle w:val="95"/>
        <w:numPr>
          <w:ilvl w:val="0"/>
          <w:numId w:val="27"/>
        </w:numPr>
        <w:tabs>
          <w:tab w:val="left" w:pos="923"/>
        </w:tabs>
        <w:spacing w:line="349" w:lineRule="exact"/>
        <w:ind w:firstLine="440"/>
        <w:jc w:val="both"/>
        <w:rPr>
          <w:color w:val="auto"/>
        </w:rPr>
      </w:pPr>
      <w:bookmarkStart w:id="1755" w:name="bookmark1493"/>
      <w:bookmarkEnd w:id="1755"/>
      <w:r>
        <w:rPr>
          <w:rFonts w:hint="eastAsia"/>
          <w:color w:val="auto"/>
        </w:rPr>
        <w:t>承包人设备的损坏由承包人承担；</w:t>
      </w:r>
    </w:p>
    <w:p w14:paraId="41FC9593">
      <w:pPr>
        <w:pStyle w:val="95"/>
        <w:numPr>
          <w:ilvl w:val="0"/>
          <w:numId w:val="27"/>
        </w:numPr>
        <w:tabs>
          <w:tab w:val="left" w:pos="923"/>
        </w:tabs>
        <w:spacing w:line="362" w:lineRule="exact"/>
        <w:ind w:firstLine="440"/>
        <w:jc w:val="both"/>
        <w:rPr>
          <w:color w:val="auto"/>
        </w:rPr>
      </w:pPr>
      <w:bookmarkStart w:id="1756" w:name="bookmark1494"/>
      <w:bookmarkEnd w:id="1756"/>
      <w:r>
        <w:rPr>
          <w:rFonts w:hint="eastAsia"/>
          <w:color w:val="auto"/>
        </w:rPr>
        <w:t>发包人和承包人各自承担其人员伤亡和其他财产损失及其相关费用；</w:t>
      </w:r>
    </w:p>
    <w:p w14:paraId="3A23F3F4">
      <w:pPr>
        <w:pStyle w:val="95"/>
        <w:numPr>
          <w:ilvl w:val="0"/>
          <w:numId w:val="27"/>
        </w:numPr>
        <w:tabs>
          <w:tab w:val="left" w:pos="915"/>
        </w:tabs>
        <w:spacing w:line="362" w:lineRule="exact"/>
        <w:ind w:firstLine="440"/>
        <w:jc w:val="both"/>
        <w:rPr>
          <w:color w:val="auto"/>
        </w:rPr>
      </w:pPr>
      <w:bookmarkStart w:id="1757" w:name="bookmark1495"/>
      <w:bookmarkEnd w:id="1757"/>
      <w:r>
        <w:rPr>
          <w:rFonts w:hint="eastAsia"/>
          <w:color w:val="auto"/>
        </w:rPr>
        <w:t>承包人的停工损失由承包人承担，但停工期间应监理人要求照管工程和清理、修复工程的金额由发包人承担；</w:t>
      </w:r>
    </w:p>
    <w:p w14:paraId="6188A3C5">
      <w:pPr>
        <w:pStyle w:val="95"/>
        <w:numPr>
          <w:ilvl w:val="0"/>
          <w:numId w:val="27"/>
        </w:numPr>
        <w:tabs>
          <w:tab w:val="left" w:pos="920"/>
        </w:tabs>
        <w:spacing w:line="362" w:lineRule="exact"/>
        <w:ind w:firstLine="440"/>
        <w:jc w:val="both"/>
        <w:rPr>
          <w:color w:val="auto"/>
        </w:rPr>
      </w:pPr>
      <w:bookmarkStart w:id="1758" w:name="bookmark1496"/>
      <w:bookmarkEnd w:id="1758"/>
      <w:r>
        <w:rPr>
          <w:rFonts w:hint="eastAsia"/>
          <w:color w:val="auto"/>
        </w:rPr>
        <w:t>不能按期竣工的，应合理延长工期，承包人不需支付逾期竣工违约金。发包人要求赶工的，承包人应采取赶工措施，赶工费用由发包人承担。</w:t>
      </w:r>
    </w:p>
    <w:p w14:paraId="03255408">
      <w:pPr>
        <w:pStyle w:val="95"/>
        <w:spacing w:line="362" w:lineRule="exact"/>
        <w:ind w:firstLine="440"/>
        <w:jc w:val="both"/>
        <w:rPr>
          <w:color w:val="auto"/>
        </w:rPr>
      </w:pPr>
      <w:r>
        <w:rPr>
          <w:rFonts w:hint="eastAsia"/>
          <w:color w:val="auto"/>
          <w:lang w:val="en-US" w:bidi="en-US"/>
        </w:rPr>
        <w:t>21.3.2</w:t>
      </w:r>
      <w:r>
        <w:rPr>
          <w:rFonts w:hint="eastAsia"/>
          <w:color w:val="auto"/>
        </w:rPr>
        <w:t>延迟履行期间发生的不可抗力</w:t>
      </w:r>
    </w:p>
    <w:p w14:paraId="3F99FBE3">
      <w:pPr>
        <w:pStyle w:val="95"/>
        <w:spacing w:line="362" w:lineRule="exact"/>
        <w:ind w:firstLine="440"/>
        <w:jc w:val="both"/>
        <w:rPr>
          <w:color w:val="auto"/>
        </w:rPr>
      </w:pPr>
      <w:r>
        <w:rPr>
          <w:rFonts w:hint="eastAsia"/>
          <w:color w:val="auto"/>
        </w:rPr>
        <w:t>合同一方当事人延迟履行，在延迟履行期间发生不可抗力的，不免除其责任。</w:t>
      </w:r>
    </w:p>
    <w:p w14:paraId="11F8042B">
      <w:pPr>
        <w:pStyle w:val="95"/>
        <w:spacing w:line="362" w:lineRule="exact"/>
        <w:ind w:firstLine="440"/>
        <w:jc w:val="both"/>
        <w:rPr>
          <w:color w:val="auto"/>
        </w:rPr>
      </w:pPr>
      <w:r>
        <w:rPr>
          <w:rFonts w:hint="eastAsia"/>
          <w:color w:val="auto"/>
          <w:lang w:val="en-US"/>
        </w:rPr>
        <w:t>21.3.3</w:t>
      </w:r>
      <w:r>
        <w:rPr>
          <w:rFonts w:hint="eastAsia"/>
          <w:color w:val="auto"/>
        </w:rPr>
        <w:t>避免和减少不可抗力损失</w:t>
      </w:r>
    </w:p>
    <w:p w14:paraId="277B3834">
      <w:pPr>
        <w:pStyle w:val="95"/>
        <w:spacing w:line="358" w:lineRule="exact"/>
        <w:ind w:firstLine="440"/>
        <w:jc w:val="both"/>
        <w:rPr>
          <w:color w:val="auto"/>
        </w:rPr>
      </w:pPr>
      <w:r>
        <w:rPr>
          <w:rFonts w:hint="eastAsia"/>
          <w:color w:val="auto"/>
        </w:rPr>
        <w:t>不可抗力发生后，发包人和承包人均应采取措施尽量避免和减少损失的扩大，任何一方没有采取有效措施导致损失扩大的，应对扩大的损失承担责任。</w:t>
      </w:r>
    </w:p>
    <w:p w14:paraId="1D416753">
      <w:pPr>
        <w:pStyle w:val="95"/>
        <w:spacing w:line="362" w:lineRule="exact"/>
        <w:ind w:firstLine="440"/>
        <w:jc w:val="both"/>
        <w:rPr>
          <w:color w:val="auto"/>
          <w:lang w:val="en-US"/>
        </w:rPr>
      </w:pPr>
      <w:r>
        <w:rPr>
          <w:rFonts w:hint="eastAsia"/>
          <w:color w:val="auto"/>
          <w:lang w:val="en-US"/>
        </w:rPr>
        <w:t>21.3.4因不可抗力解除合同</w:t>
      </w:r>
    </w:p>
    <w:p w14:paraId="3F00C15D">
      <w:pPr>
        <w:pStyle w:val="95"/>
        <w:spacing w:line="349" w:lineRule="exact"/>
        <w:ind w:firstLine="440"/>
        <w:jc w:val="both"/>
        <w:rPr>
          <w:color w:val="auto"/>
        </w:rPr>
      </w:pPr>
      <w:r>
        <w:rPr>
          <w:rFonts w:hint="eastAsia"/>
          <w:color w:val="auto"/>
        </w:rPr>
        <w:t>合同一方当事人因不可抗力不能履行合同的，应当及时通知对方解除合同。合同解除后，承包人应按照第</w:t>
      </w:r>
      <w:r>
        <w:rPr>
          <w:rFonts w:hint="eastAsia"/>
          <w:color w:val="auto"/>
          <w:lang w:val="en-US" w:bidi="en-US"/>
        </w:rPr>
        <w:t>22.2.5</w:t>
      </w:r>
      <w:r>
        <w:rPr>
          <w:rFonts w:hint="eastAsia"/>
          <w:color w:val="auto"/>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color w:val="auto"/>
          <w:lang w:val="en-US" w:bidi="en-US"/>
        </w:rPr>
        <w:t>22.2.4</w:t>
      </w:r>
      <w:r>
        <w:rPr>
          <w:rFonts w:hint="eastAsia"/>
          <w:color w:val="auto"/>
        </w:rPr>
        <w:t>项约定，由监理人按第</w:t>
      </w:r>
      <w:r>
        <w:rPr>
          <w:rFonts w:hint="eastAsia"/>
          <w:color w:val="auto"/>
          <w:lang w:val="en-US" w:bidi="en-US"/>
        </w:rPr>
        <w:t>3.</w:t>
      </w:r>
      <w:r>
        <w:rPr>
          <w:rFonts w:hint="eastAsia"/>
          <w:color w:val="auto"/>
        </w:rPr>
        <w:t>5款商定或确定。</w:t>
      </w:r>
    </w:p>
    <w:p w14:paraId="3538DA3E">
      <w:pPr>
        <w:pStyle w:val="101"/>
        <w:spacing w:before="0" w:after="0" w:line="360" w:lineRule="exact"/>
        <w:rPr>
          <w:rFonts w:ascii="宋体" w:hAnsi="宋体" w:cs="宋体"/>
          <w:color w:val="auto"/>
          <w:lang w:eastAsia="zh-CN"/>
        </w:rPr>
      </w:pPr>
      <w:bookmarkStart w:id="1759" w:name="bookmark1499"/>
      <w:bookmarkStart w:id="1760" w:name="_Toc11918"/>
      <w:bookmarkStart w:id="1761" w:name="_Toc4457"/>
      <w:bookmarkStart w:id="1762" w:name="_Toc6299"/>
      <w:bookmarkStart w:id="1763" w:name="_Toc15719"/>
      <w:bookmarkStart w:id="1764" w:name="_Toc1058"/>
      <w:bookmarkStart w:id="1765" w:name="_Toc28468"/>
      <w:bookmarkStart w:id="1766" w:name="_Toc15837"/>
      <w:bookmarkStart w:id="1767" w:name="bookmark1498"/>
      <w:bookmarkStart w:id="1768" w:name="bookmark1497"/>
      <w:r>
        <w:rPr>
          <w:rFonts w:hint="eastAsia" w:ascii="宋体" w:hAnsi="宋体" w:cs="宋体"/>
          <w:color w:val="auto"/>
          <w:lang w:eastAsia="zh-CN"/>
        </w:rPr>
        <w:t>22.违约</w:t>
      </w:r>
      <w:bookmarkEnd w:id="1759"/>
      <w:bookmarkEnd w:id="1760"/>
      <w:bookmarkEnd w:id="1761"/>
      <w:bookmarkEnd w:id="1762"/>
      <w:bookmarkEnd w:id="1763"/>
      <w:bookmarkEnd w:id="1764"/>
      <w:bookmarkEnd w:id="1765"/>
      <w:bookmarkEnd w:id="1766"/>
    </w:p>
    <w:p w14:paraId="1C4C4295">
      <w:pPr>
        <w:pStyle w:val="101"/>
        <w:spacing w:before="0" w:after="0" w:line="360" w:lineRule="exact"/>
        <w:rPr>
          <w:rFonts w:ascii="宋体" w:hAnsi="宋体" w:cs="宋体"/>
          <w:color w:val="auto"/>
          <w:sz w:val="24"/>
          <w:szCs w:val="24"/>
          <w:lang w:eastAsia="zh-CN"/>
        </w:rPr>
      </w:pPr>
      <w:bookmarkStart w:id="1769" w:name="_Toc23190"/>
      <w:bookmarkStart w:id="1770" w:name="_Toc15198"/>
      <w:bookmarkStart w:id="1771" w:name="_Toc3191"/>
      <w:bookmarkStart w:id="1772" w:name="_Toc21452"/>
      <w:bookmarkStart w:id="1773" w:name="_Toc18856"/>
      <w:bookmarkStart w:id="1774" w:name="_Toc10648"/>
      <w:bookmarkStart w:id="1775" w:name="bookmark1500"/>
      <w:bookmarkStart w:id="1776" w:name="_Toc22400"/>
      <w:r>
        <w:rPr>
          <w:rFonts w:hint="eastAsia" w:ascii="宋体" w:hAnsi="宋体" w:cs="宋体"/>
          <w:color w:val="auto"/>
          <w:sz w:val="24"/>
          <w:szCs w:val="24"/>
          <w:lang w:eastAsia="zh-CN"/>
        </w:rPr>
        <w:t>22.1承包人违约</w:t>
      </w:r>
      <w:bookmarkEnd w:id="1767"/>
      <w:bookmarkEnd w:id="1768"/>
      <w:bookmarkEnd w:id="1769"/>
      <w:bookmarkEnd w:id="1770"/>
      <w:bookmarkEnd w:id="1771"/>
      <w:bookmarkEnd w:id="1772"/>
      <w:bookmarkEnd w:id="1773"/>
      <w:bookmarkEnd w:id="1774"/>
      <w:bookmarkEnd w:id="1775"/>
      <w:bookmarkEnd w:id="1776"/>
    </w:p>
    <w:p w14:paraId="0648D0A1">
      <w:pPr>
        <w:pStyle w:val="95"/>
        <w:spacing w:line="379" w:lineRule="auto"/>
        <w:ind w:firstLine="420"/>
        <w:jc w:val="both"/>
        <w:rPr>
          <w:color w:val="auto"/>
        </w:rPr>
      </w:pPr>
      <w:r>
        <w:rPr>
          <w:rFonts w:hint="eastAsia"/>
          <w:color w:val="auto"/>
          <w:lang w:val="en-US" w:bidi="en-US"/>
        </w:rPr>
        <w:t>22.1.1</w:t>
      </w:r>
      <w:r>
        <w:rPr>
          <w:rFonts w:hint="eastAsia"/>
          <w:color w:val="auto"/>
        </w:rPr>
        <w:t>承包人违约的情形</w:t>
      </w:r>
    </w:p>
    <w:p w14:paraId="22067CF4">
      <w:pPr>
        <w:pStyle w:val="95"/>
        <w:spacing w:line="362" w:lineRule="exact"/>
        <w:ind w:firstLine="420"/>
        <w:jc w:val="both"/>
        <w:rPr>
          <w:color w:val="auto"/>
        </w:rPr>
      </w:pPr>
      <w:r>
        <w:rPr>
          <w:rFonts w:hint="eastAsia"/>
          <w:color w:val="auto"/>
        </w:rPr>
        <w:t>在履行合同过程中发生的下列情况属承包人违约：</w:t>
      </w:r>
    </w:p>
    <w:p w14:paraId="0DB31966">
      <w:pPr>
        <w:pStyle w:val="95"/>
        <w:numPr>
          <w:ilvl w:val="0"/>
          <w:numId w:val="28"/>
        </w:numPr>
        <w:tabs>
          <w:tab w:val="left" w:pos="920"/>
        </w:tabs>
        <w:spacing w:line="379" w:lineRule="exact"/>
        <w:ind w:firstLine="440"/>
        <w:jc w:val="both"/>
        <w:rPr>
          <w:color w:val="auto"/>
        </w:rPr>
      </w:pPr>
      <w:bookmarkStart w:id="1777" w:name="bookmark1501"/>
      <w:bookmarkEnd w:id="1777"/>
      <w:r>
        <w:rPr>
          <w:rFonts w:hint="eastAsia"/>
          <w:color w:val="auto"/>
        </w:rPr>
        <w:t>承包人违反第</w:t>
      </w:r>
      <w:r>
        <w:rPr>
          <w:rFonts w:hint="eastAsia"/>
          <w:color w:val="auto"/>
          <w:lang w:val="en-US" w:bidi="en-US"/>
        </w:rPr>
        <w:t>1.8</w:t>
      </w:r>
      <w:r>
        <w:rPr>
          <w:rFonts w:hint="eastAsia"/>
          <w:color w:val="auto"/>
        </w:rPr>
        <w:t>款或第</w:t>
      </w:r>
      <w:r>
        <w:rPr>
          <w:rFonts w:hint="eastAsia"/>
          <w:color w:val="auto"/>
          <w:lang w:val="en-US" w:bidi="en-US"/>
        </w:rPr>
        <w:t>4.</w:t>
      </w:r>
      <w:r>
        <w:rPr>
          <w:rFonts w:hint="eastAsia"/>
          <w:color w:val="auto"/>
        </w:rPr>
        <w:t>3款的约定，私自将合同的全部或部分权利转让给其他人，或私自将合同的全部或部分义务转移给其他人；</w:t>
      </w:r>
    </w:p>
    <w:p w14:paraId="71D0778C">
      <w:pPr>
        <w:pStyle w:val="95"/>
        <w:numPr>
          <w:ilvl w:val="0"/>
          <w:numId w:val="28"/>
        </w:numPr>
        <w:tabs>
          <w:tab w:val="left" w:pos="920"/>
        </w:tabs>
        <w:spacing w:line="377" w:lineRule="exact"/>
        <w:ind w:firstLine="440"/>
        <w:jc w:val="both"/>
        <w:rPr>
          <w:color w:val="auto"/>
        </w:rPr>
      </w:pPr>
      <w:bookmarkStart w:id="1778" w:name="bookmark1502"/>
      <w:bookmarkEnd w:id="1778"/>
      <w:r>
        <w:rPr>
          <w:rFonts w:hint="eastAsia"/>
          <w:color w:val="auto"/>
        </w:rPr>
        <w:t>承包人违反第</w:t>
      </w:r>
      <w:r>
        <w:rPr>
          <w:rFonts w:hint="eastAsia"/>
          <w:color w:val="auto"/>
          <w:lang w:val="en-US" w:bidi="en-US"/>
        </w:rPr>
        <w:t>5.</w:t>
      </w:r>
      <w:r>
        <w:rPr>
          <w:rFonts w:hint="eastAsia"/>
          <w:color w:val="auto"/>
        </w:rPr>
        <w:t>3款或第</w:t>
      </w:r>
      <w:r>
        <w:rPr>
          <w:rFonts w:hint="eastAsia"/>
          <w:color w:val="auto"/>
          <w:lang w:val="en-US" w:bidi="en-US"/>
        </w:rPr>
        <w:t>6.</w:t>
      </w:r>
      <w:r>
        <w:rPr>
          <w:rFonts w:hint="eastAsia"/>
          <w:color w:val="auto"/>
        </w:rPr>
        <w:t>4款的约定，未经监理人批准，私自将已按合同约定进入施工场地的施工设备、临时设施或材料撤离施工场地；</w:t>
      </w:r>
    </w:p>
    <w:p w14:paraId="782C6669">
      <w:pPr>
        <w:pStyle w:val="95"/>
        <w:numPr>
          <w:ilvl w:val="0"/>
          <w:numId w:val="28"/>
        </w:numPr>
        <w:tabs>
          <w:tab w:val="left" w:pos="922"/>
        </w:tabs>
        <w:spacing w:line="379" w:lineRule="exact"/>
        <w:ind w:firstLine="440"/>
        <w:jc w:val="both"/>
        <w:rPr>
          <w:color w:val="auto"/>
        </w:rPr>
      </w:pPr>
      <w:bookmarkStart w:id="1779" w:name="bookmark1503"/>
      <w:bookmarkEnd w:id="1779"/>
      <w:r>
        <w:rPr>
          <w:rFonts w:hint="eastAsia"/>
          <w:color w:val="auto"/>
        </w:rPr>
        <w:t>承包人违反第</w:t>
      </w:r>
      <w:r>
        <w:rPr>
          <w:rFonts w:hint="eastAsia"/>
          <w:color w:val="auto"/>
          <w:lang w:val="en-US" w:bidi="en-US"/>
        </w:rPr>
        <w:t>5.</w:t>
      </w:r>
      <w:r>
        <w:rPr>
          <w:rFonts w:hint="eastAsia"/>
          <w:color w:val="auto"/>
        </w:rPr>
        <w:t>4款的约定使用了不合格材料或工程设备，工程质量达不到标准要求，又拒绝清除不合格工程；</w:t>
      </w:r>
    </w:p>
    <w:p w14:paraId="2A4EB7F2">
      <w:pPr>
        <w:pStyle w:val="95"/>
        <w:numPr>
          <w:ilvl w:val="0"/>
          <w:numId w:val="28"/>
        </w:numPr>
        <w:tabs>
          <w:tab w:val="left" w:pos="922"/>
        </w:tabs>
        <w:spacing w:line="365" w:lineRule="exact"/>
        <w:ind w:firstLine="440"/>
        <w:jc w:val="both"/>
        <w:rPr>
          <w:color w:val="auto"/>
        </w:rPr>
      </w:pPr>
      <w:bookmarkStart w:id="1780" w:name="bookmark1504"/>
      <w:bookmarkEnd w:id="1780"/>
      <w:r>
        <w:rPr>
          <w:rFonts w:hint="eastAsia"/>
          <w:color w:val="auto"/>
        </w:rPr>
        <w:t>承包人未能按合同进度计划及时完成合同约定的工作，已造成或预期造成工期延误；</w:t>
      </w:r>
    </w:p>
    <w:p w14:paraId="4926D0BA">
      <w:pPr>
        <w:pStyle w:val="95"/>
        <w:numPr>
          <w:ilvl w:val="0"/>
          <w:numId w:val="28"/>
        </w:numPr>
        <w:tabs>
          <w:tab w:val="left" w:pos="922"/>
        </w:tabs>
        <w:spacing w:line="362" w:lineRule="exact"/>
        <w:ind w:firstLine="440"/>
        <w:jc w:val="both"/>
        <w:rPr>
          <w:color w:val="auto"/>
        </w:rPr>
      </w:pPr>
      <w:bookmarkStart w:id="1781" w:name="bookmark1505"/>
      <w:bookmarkEnd w:id="1781"/>
      <w:r>
        <w:rPr>
          <w:rFonts w:hint="eastAsia"/>
          <w:color w:val="auto"/>
        </w:rPr>
        <w:t>承包人在缺陷责任期(工程质量保修期)内，未能对合同工程完工验收鉴定书中所列的缺陷清单的内容或缺陷责任期(工程质量保修期)内发生的缺陷进行修复，而又拒绝按监理人指示再进行修补；</w:t>
      </w:r>
    </w:p>
    <w:p w14:paraId="162DF987">
      <w:pPr>
        <w:pStyle w:val="95"/>
        <w:numPr>
          <w:ilvl w:val="0"/>
          <w:numId w:val="28"/>
        </w:numPr>
        <w:tabs>
          <w:tab w:val="left" w:pos="903"/>
        </w:tabs>
        <w:spacing w:line="349" w:lineRule="exact"/>
        <w:ind w:firstLine="420"/>
        <w:jc w:val="both"/>
        <w:rPr>
          <w:color w:val="auto"/>
        </w:rPr>
      </w:pPr>
      <w:bookmarkStart w:id="1782" w:name="bookmark1506"/>
      <w:bookmarkEnd w:id="1782"/>
      <w:r>
        <w:rPr>
          <w:rFonts w:hint="eastAsia"/>
          <w:color w:val="auto"/>
        </w:rPr>
        <w:t>承包人无法继续履行或明确表示不履行或实质上已停止履行合同；</w:t>
      </w:r>
    </w:p>
    <w:p w14:paraId="5ED5319D">
      <w:pPr>
        <w:pStyle w:val="95"/>
        <w:numPr>
          <w:ilvl w:val="0"/>
          <w:numId w:val="28"/>
        </w:numPr>
        <w:tabs>
          <w:tab w:val="left" w:pos="903"/>
        </w:tabs>
        <w:spacing w:line="349" w:lineRule="exact"/>
        <w:ind w:firstLine="420"/>
        <w:jc w:val="both"/>
        <w:rPr>
          <w:color w:val="auto"/>
        </w:rPr>
      </w:pPr>
      <w:bookmarkStart w:id="1783" w:name="bookmark1507"/>
      <w:bookmarkEnd w:id="1783"/>
      <w:r>
        <w:rPr>
          <w:rFonts w:hint="eastAsia"/>
          <w:color w:val="auto"/>
        </w:rPr>
        <w:t>承包人不按合同约定履行义务的其他情况。</w:t>
      </w:r>
    </w:p>
    <w:p w14:paraId="41B3FE43">
      <w:pPr>
        <w:pStyle w:val="95"/>
        <w:spacing w:line="349" w:lineRule="exact"/>
        <w:ind w:firstLine="420"/>
        <w:jc w:val="both"/>
        <w:rPr>
          <w:color w:val="auto"/>
        </w:rPr>
      </w:pPr>
      <w:r>
        <w:rPr>
          <w:rFonts w:hint="eastAsia"/>
          <w:color w:val="auto"/>
          <w:lang w:val="en-US" w:eastAsia="en-US" w:bidi="en-US"/>
        </w:rPr>
        <w:t>22.1.2</w:t>
      </w:r>
      <w:r>
        <w:rPr>
          <w:rFonts w:hint="eastAsia"/>
          <w:color w:val="auto"/>
        </w:rPr>
        <w:t>对承包人违约的处理</w:t>
      </w:r>
    </w:p>
    <w:p w14:paraId="7DCEA7D8">
      <w:pPr>
        <w:pStyle w:val="95"/>
        <w:numPr>
          <w:ilvl w:val="0"/>
          <w:numId w:val="29"/>
        </w:numPr>
        <w:tabs>
          <w:tab w:val="left" w:pos="922"/>
        </w:tabs>
        <w:spacing w:line="349" w:lineRule="exact"/>
        <w:ind w:firstLine="440"/>
        <w:jc w:val="both"/>
        <w:rPr>
          <w:color w:val="auto"/>
        </w:rPr>
      </w:pPr>
      <w:bookmarkStart w:id="1784" w:name="bookmark1508"/>
      <w:bookmarkEnd w:id="1784"/>
      <w:r>
        <w:rPr>
          <w:rFonts w:hint="eastAsia"/>
          <w:color w:val="auto"/>
        </w:rPr>
        <w:t>承包人发生第</w:t>
      </w:r>
      <w:r>
        <w:rPr>
          <w:rFonts w:hint="eastAsia"/>
          <w:color w:val="auto"/>
          <w:lang w:val="en-US" w:bidi="en-US"/>
        </w:rPr>
        <w:t xml:space="preserve">22.1.1 </w:t>
      </w:r>
      <w:r>
        <w:rPr>
          <w:rFonts w:hint="eastAsia"/>
          <w:color w:val="auto"/>
        </w:rPr>
        <w:t>(6)目约定的违约情况时，发包人可通知承包人立即解除合同，并按有关法律处理。</w:t>
      </w:r>
    </w:p>
    <w:p w14:paraId="452466CF">
      <w:pPr>
        <w:pStyle w:val="95"/>
        <w:numPr>
          <w:ilvl w:val="0"/>
          <w:numId w:val="29"/>
        </w:numPr>
        <w:tabs>
          <w:tab w:val="left" w:pos="920"/>
        </w:tabs>
        <w:spacing w:line="349" w:lineRule="exact"/>
        <w:ind w:firstLine="440"/>
        <w:jc w:val="both"/>
        <w:rPr>
          <w:color w:val="auto"/>
        </w:rPr>
      </w:pPr>
      <w:bookmarkStart w:id="1785" w:name="bookmark1509"/>
      <w:bookmarkEnd w:id="1785"/>
      <w:r>
        <w:rPr>
          <w:rFonts w:hint="eastAsia"/>
          <w:color w:val="auto"/>
        </w:rPr>
        <w:t>承包人发生除第</w:t>
      </w:r>
      <w:r>
        <w:rPr>
          <w:rFonts w:hint="eastAsia"/>
          <w:color w:val="auto"/>
          <w:lang w:val="en-US" w:bidi="en-US"/>
        </w:rPr>
        <w:t xml:space="preserve">22. 1. </w:t>
      </w:r>
      <w:r>
        <w:rPr>
          <w:rFonts w:hint="eastAsia"/>
          <w:color w:val="auto"/>
        </w:rPr>
        <w:t>1 (6)目约定以外的其他违约情况时，监理人可向承包人发出整改通知，要求其在指定的期限内改正。承包人应承担其违约所引起的费用增加和 (或)工期延误。</w:t>
      </w:r>
    </w:p>
    <w:p w14:paraId="51DED287">
      <w:pPr>
        <w:pStyle w:val="95"/>
        <w:numPr>
          <w:ilvl w:val="0"/>
          <w:numId w:val="29"/>
        </w:numPr>
        <w:tabs>
          <w:tab w:val="left" w:pos="922"/>
        </w:tabs>
        <w:spacing w:line="349" w:lineRule="exact"/>
        <w:ind w:firstLine="440"/>
        <w:jc w:val="both"/>
        <w:rPr>
          <w:color w:val="auto"/>
        </w:rPr>
      </w:pPr>
      <w:bookmarkStart w:id="1786" w:name="bookmark1510"/>
      <w:bookmarkEnd w:id="1786"/>
      <w:r>
        <w:rPr>
          <w:rFonts w:hint="eastAsia"/>
          <w:color w:val="auto"/>
        </w:rPr>
        <w:t>经检查证明承包人已采取了有效措施纠正违约行为，具备复工条件的，可由监理人签发复工通知复工。</w:t>
      </w:r>
    </w:p>
    <w:p w14:paraId="72099243">
      <w:pPr>
        <w:pStyle w:val="95"/>
        <w:spacing w:line="349" w:lineRule="exact"/>
        <w:ind w:firstLine="440"/>
        <w:jc w:val="both"/>
        <w:rPr>
          <w:color w:val="auto"/>
        </w:rPr>
      </w:pPr>
      <w:r>
        <w:rPr>
          <w:rFonts w:hint="eastAsia"/>
          <w:color w:val="auto"/>
          <w:lang w:val="en-US" w:bidi="en-US"/>
        </w:rPr>
        <w:t>22.1.3</w:t>
      </w:r>
      <w:r>
        <w:rPr>
          <w:rFonts w:hint="eastAsia"/>
          <w:color w:val="auto"/>
        </w:rPr>
        <w:t>承包人违约解除合同</w:t>
      </w:r>
    </w:p>
    <w:p w14:paraId="6FC9EF62">
      <w:pPr>
        <w:pStyle w:val="95"/>
        <w:spacing w:line="349" w:lineRule="exact"/>
        <w:ind w:firstLine="440"/>
        <w:jc w:val="both"/>
        <w:rPr>
          <w:color w:val="auto"/>
        </w:rPr>
      </w:pPr>
      <w:r>
        <w:rPr>
          <w:rFonts w:hint="eastAsia"/>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094A6AE3">
      <w:pPr>
        <w:pStyle w:val="95"/>
        <w:spacing w:line="349" w:lineRule="exact"/>
        <w:ind w:firstLine="440"/>
        <w:jc w:val="both"/>
        <w:rPr>
          <w:color w:val="auto"/>
        </w:rPr>
      </w:pPr>
      <w:r>
        <w:rPr>
          <w:rFonts w:hint="eastAsia"/>
          <w:color w:val="auto"/>
          <w:lang w:val="en-US"/>
        </w:rPr>
        <w:t>22.1.4</w:t>
      </w:r>
      <w:r>
        <w:rPr>
          <w:rFonts w:hint="eastAsia"/>
          <w:color w:val="auto"/>
        </w:rPr>
        <w:t>合同解除后的估价、付款和结清</w:t>
      </w:r>
    </w:p>
    <w:p w14:paraId="51C1C2AD">
      <w:pPr>
        <w:pStyle w:val="95"/>
        <w:numPr>
          <w:ilvl w:val="0"/>
          <w:numId w:val="30"/>
        </w:numPr>
        <w:tabs>
          <w:tab w:val="left" w:pos="920"/>
        </w:tabs>
        <w:spacing w:line="361" w:lineRule="exact"/>
        <w:ind w:firstLine="440"/>
        <w:jc w:val="both"/>
        <w:rPr>
          <w:color w:val="auto"/>
        </w:rPr>
      </w:pPr>
      <w:bookmarkStart w:id="1787" w:name="bookmark1511"/>
      <w:bookmarkEnd w:id="1787"/>
      <w:r>
        <w:rPr>
          <w:rFonts w:hint="eastAsia"/>
          <w:color w:val="auto"/>
        </w:rPr>
        <w:t>合同解除后，监理人按第</w:t>
      </w:r>
      <w:r>
        <w:rPr>
          <w:rFonts w:hint="eastAsia"/>
          <w:color w:val="auto"/>
          <w:lang w:val="en-US" w:bidi="en-US"/>
        </w:rPr>
        <w:t>3.</w:t>
      </w:r>
      <w:r>
        <w:rPr>
          <w:rFonts w:hint="eastAsia"/>
          <w:color w:val="auto"/>
        </w:rPr>
        <w:t>5款商定或确定承包人实际完成工作的价值，以及承包人已提供的材料、施工设备、工程设备和临时工程等的价值。</w:t>
      </w:r>
    </w:p>
    <w:p w14:paraId="0C1C8558">
      <w:pPr>
        <w:pStyle w:val="95"/>
        <w:numPr>
          <w:ilvl w:val="0"/>
          <w:numId w:val="30"/>
        </w:numPr>
        <w:tabs>
          <w:tab w:val="left" w:pos="922"/>
        </w:tabs>
        <w:spacing w:line="361" w:lineRule="exact"/>
        <w:ind w:firstLine="440"/>
        <w:jc w:val="both"/>
        <w:rPr>
          <w:color w:val="auto"/>
        </w:rPr>
      </w:pPr>
      <w:bookmarkStart w:id="1788" w:name="bookmark1512"/>
      <w:bookmarkEnd w:id="1788"/>
      <w:r>
        <w:rPr>
          <w:rFonts w:hint="eastAsia"/>
          <w:color w:val="auto"/>
        </w:rPr>
        <w:t>合同解除后，发包人应暂停对承包人的一切付款，查清各项付款和已扣款金额, 包括承包人应支付的违约金。</w:t>
      </w:r>
    </w:p>
    <w:p w14:paraId="2377F28F">
      <w:pPr>
        <w:pStyle w:val="95"/>
        <w:numPr>
          <w:ilvl w:val="0"/>
          <w:numId w:val="30"/>
        </w:numPr>
        <w:tabs>
          <w:tab w:val="left" w:pos="920"/>
        </w:tabs>
        <w:spacing w:line="374" w:lineRule="exact"/>
        <w:ind w:firstLine="440"/>
        <w:jc w:val="both"/>
        <w:rPr>
          <w:color w:val="auto"/>
        </w:rPr>
      </w:pPr>
      <w:bookmarkStart w:id="1789" w:name="bookmark1513"/>
      <w:bookmarkEnd w:id="1789"/>
      <w:r>
        <w:rPr>
          <w:rFonts w:hint="eastAsia"/>
          <w:color w:val="auto"/>
        </w:rPr>
        <w:t>合同解除后，发包人应按第</w:t>
      </w:r>
      <w:r>
        <w:rPr>
          <w:rFonts w:hint="eastAsia"/>
          <w:color w:val="auto"/>
          <w:lang w:val="en-US" w:bidi="en-US"/>
        </w:rPr>
        <w:t xml:space="preserve">23. </w:t>
      </w:r>
      <w:r>
        <w:rPr>
          <w:rFonts w:hint="eastAsia"/>
          <w:color w:val="auto"/>
        </w:rPr>
        <w:t>4款的约定向承包人索赔由于解除合同给发包人造成的损失。</w:t>
      </w:r>
    </w:p>
    <w:p w14:paraId="0BE722F9">
      <w:pPr>
        <w:pStyle w:val="95"/>
        <w:numPr>
          <w:ilvl w:val="0"/>
          <w:numId w:val="30"/>
        </w:numPr>
        <w:tabs>
          <w:tab w:val="left" w:pos="903"/>
        </w:tabs>
        <w:spacing w:line="360" w:lineRule="exact"/>
        <w:ind w:firstLine="420"/>
        <w:jc w:val="both"/>
        <w:rPr>
          <w:color w:val="auto"/>
        </w:rPr>
      </w:pPr>
      <w:bookmarkStart w:id="1790" w:name="bookmark1514"/>
      <w:bookmarkEnd w:id="1790"/>
      <w:r>
        <w:rPr>
          <w:rFonts w:hint="eastAsia"/>
          <w:color w:val="auto"/>
        </w:rPr>
        <w:t>合同双方确认上述往来款项后，出具最终结清付款证书，结清全部合同款项。</w:t>
      </w:r>
    </w:p>
    <w:p w14:paraId="15BBA2B0">
      <w:pPr>
        <w:pStyle w:val="95"/>
        <w:numPr>
          <w:ilvl w:val="0"/>
          <w:numId w:val="30"/>
        </w:numPr>
        <w:tabs>
          <w:tab w:val="left" w:pos="922"/>
        </w:tabs>
        <w:spacing w:line="360" w:lineRule="exact"/>
        <w:ind w:firstLine="440"/>
        <w:jc w:val="both"/>
        <w:rPr>
          <w:color w:val="auto"/>
        </w:rPr>
      </w:pPr>
      <w:bookmarkStart w:id="1791" w:name="bookmark1515"/>
      <w:bookmarkEnd w:id="1791"/>
      <w:r>
        <w:rPr>
          <w:rFonts w:hint="eastAsia"/>
          <w:color w:val="auto"/>
        </w:rPr>
        <w:t>发包人和承包人未能就解除合同后的结清达成一致而形成争议的，按第24条的约定办理。</w:t>
      </w:r>
    </w:p>
    <w:p w14:paraId="335E6F5C">
      <w:pPr>
        <w:pStyle w:val="95"/>
        <w:ind w:firstLine="440"/>
        <w:jc w:val="both"/>
        <w:rPr>
          <w:color w:val="auto"/>
        </w:rPr>
      </w:pPr>
      <w:r>
        <w:rPr>
          <w:rFonts w:hint="eastAsia"/>
          <w:color w:val="auto"/>
          <w:lang w:val="en-US" w:bidi="en-US"/>
        </w:rPr>
        <w:t>22.1.5</w:t>
      </w:r>
      <w:r>
        <w:rPr>
          <w:rFonts w:hint="eastAsia"/>
          <w:color w:val="auto"/>
        </w:rPr>
        <w:t>协议利益的转让</w:t>
      </w:r>
    </w:p>
    <w:p w14:paraId="5E563C12">
      <w:pPr>
        <w:pStyle w:val="95"/>
        <w:spacing w:line="351" w:lineRule="exact"/>
        <w:ind w:firstLine="440"/>
        <w:jc w:val="both"/>
        <w:rPr>
          <w:color w:val="auto"/>
        </w:rPr>
      </w:pPr>
      <w:r>
        <w:rPr>
          <w:rFonts w:hint="eastAsia"/>
          <w:color w:val="auto"/>
        </w:rPr>
        <w:t>因承包人违约解除合同的，发包人有权要求承包人将其为实施合同而签订的材料和设备的订货协议或任何服务协议利益转让给发包人，并在解除合同后的14天内，依法办理转让手续。</w:t>
      </w:r>
    </w:p>
    <w:p w14:paraId="07D2F556">
      <w:pPr>
        <w:pStyle w:val="95"/>
        <w:spacing w:line="349" w:lineRule="exact"/>
        <w:ind w:firstLine="440"/>
        <w:jc w:val="both"/>
        <w:rPr>
          <w:color w:val="auto"/>
          <w:lang w:val="en-US"/>
        </w:rPr>
      </w:pPr>
      <w:bookmarkStart w:id="1792" w:name="bookmark1516"/>
      <w:bookmarkEnd w:id="1792"/>
      <w:r>
        <w:rPr>
          <w:rFonts w:hint="eastAsia"/>
          <w:color w:val="auto"/>
          <w:lang w:val="en-US"/>
        </w:rPr>
        <w:t>22.1.6紧急情况下无能力或不愿进行抢救</w:t>
      </w:r>
    </w:p>
    <w:p w14:paraId="0EDF1367">
      <w:pPr>
        <w:pStyle w:val="95"/>
        <w:spacing w:line="351" w:lineRule="exact"/>
        <w:ind w:firstLine="440"/>
        <w:jc w:val="both"/>
        <w:rPr>
          <w:color w:val="auto"/>
        </w:rPr>
      </w:pPr>
      <w:r>
        <w:rPr>
          <w:rFonts w:hint="eastAsia"/>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0327ECF">
      <w:pPr>
        <w:pStyle w:val="101"/>
        <w:spacing w:before="0" w:after="0" w:line="360" w:lineRule="exact"/>
        <w:rPr>
          <w:rFonts w:ascii="宋体" w:hAnsi="宋体" w:cs="宋体"/>
          <w:color w:val="auto"/>
          <w:sz w:val="24"/>
          <w:szCs w:val="24"/>
          <w:lang w:eastAsia="zh-CN"/>
        </w:rPr>
      </w:pPr>
      <w:bookmarkStart w:id="1793" w:name="bookmark1519"/>
      <w:bookmarkStart w:id="1794" w:name="_Toc32348"/>
      <w:bookmarkStart w:id="1795" w:name="_Toc32549"/>
      <w:bookmarkStart w:id="1796" w:name="_Toc1802"/>
      <w:bookmarkStart w:id="1797" w:name="_Toc9771"/>
      <w:bookmarkStart w:id="1798" w:name="_Toc10614"/>
      <w:bookmarkStart w:id="1799" w:name="_Toc24772"/>
      <w:bookmarkStart w:id="1800" w:name="_Toc7505"/>
      <w:bookmarkStart w:id="1801" w:name="bookmark1518"/>
      <w:bookmarkStart w:id="1802" w:name="bookmark1517"/>
      <w:r>
        <w:rPr>
          <w:rFonts w:hint="eastAsia" w:ascii="宋体" w:hAnsi="宋体" w:cs="宋体"/>
          <w:color w:val="auto"/>
          <w:sz w:val="24"/>
          <w:szCs w:val="24"/>
          <w:lang w:eastAsia="zh-CN"/>
        </w:rPr>
        <w:t>22.2发包人违约</w:t>
      </w:r>
      <w:bookmarkEnd w:id="1793"/>
      <w:bookmarkEnd w:id="1794"/>
      <w:bookmarkEnd w:id="1795"/>
      <w:bookmarkEnd w:id="1796"/>
      <w:bookmarkEnd w:id="1797"/>
      <w:bookmarkEnd w:id="1798"/>
      <w:bookmarkEnd w:id="1799"/>
      <w:bookmarkEnd w:id="1800"/>
      <w:bookmarkEnd w:id="1801"/>
      <w:bookmarkEnd w:id="1802"/>
    </w:p>
    <w:p w14:paraId="41248C5C">
      <w:pPr>
        <w:pStyle w:val="95"/>
        <w:spacing w:line="350" w:lineRule="exact"/>
        <w:ind w:firstLine="420"/>
        <w:jc w:val="both"/>
        <w:rPr>
          <w:color w:val="auto"/>
        </w:rPr>
      </w:pPr>
      <w:r>
        <w:rPr>
          <w:rFonts w:hint="eastAsia"/>
          <w:color w:val="auto"/>
          <w:lang w:val="en-US" w:bidi="en-US"/>
        </w:rPr>
        <w:t>22.2.1</w:t>
      </w:r>
      <w:r>
        <w:rPr>
          <w:rFonts w:hint="eastAsia"/>
          <w:color w:val="auto"/>
        </w:rPr>
        <w:t>发包人违约的情形</w:t>
      </w:r>
    </w:p>
    <w:p w14:paraId="5339E8DE">
      <w:pPr>
        <w:pStyle w:val="95"/>
        <w:spacing w:line="350" w:lineRule="exact"/>
        <w:ind w:firstLine="420"/>
        <w:jc w:val="both"/>
        <w:rPr>
          <w:color w:val="auto"/>
        </w:rPr>
      </w:pPr>
      <w:r>
        <w:rPr>
          <w:rFonts w:hint="eastAsia"/>
          <w:color w:val="auto"/>
        </w:rPr>
        <w:t>在履行合同过程中发生的下列情形，属发包人违约：</w:t>
      </w:r>
    </w:p>
    <w:p w14:paraId="729087EB">
      <w:pPr>
        <w:pStyle w:val="95"/>
        <w:numPr>
          <w:ilvl w:val="0"/>
          <w:numId w:val="31"/>
        </w:numPr>
        <w:spacing w:line="350" w:lineRule="exact"/>
        <w:ind w:firstLine="420"/>
        <w:jc w:val="both"/>
        <w:rPr>
          <w:color w:val="auto"/>
        </w:rPr>
      </w:pPr>
      <w:bookmarkStart w:id="1803" w:name="bookmark1520"/>
      <w:bookmarkEnd w:id="1803"/>
      <w:r>
        <w:rPr>
          <w:rFonts w:hint="eastAsia"/>
          <w:color w:val="auto"/>
        </w:rPr>
        <w:t>发包人未能按合同约定支付预付款或合同价款，或拖延、拒绝批准付款申请和支付凭证，导致付款延误的；</w:t>
      </w:r>
    </w:p>
    <w:p w14:paraId="1B071E62">
      <w:pPr>
        <w:pStyle w:val="95"/>
        <w:numPr>
          <w:ilvl w:val="0"/>
          <w:numId w:val="31"/>
        </w:numPr>
        <w:tabs>
          <w:tab w:val="left" w:pos="903"/>
        </w:tabs>
        <w:spacing w:line="362" w:lineRule="exact"/>
        <w:ind w:firstLine="420"/>
        <w:rPr>
          <w:color w:val="auto"/>
        </w:rPr>
      </w:pPr>
      <w:bookmarkStart w:id="1804" w:name="bookmark1521"/>
      <w:bookmarkEnd w:id="1804"/>
      <w:r>
        <w:rPr>
          <w:rFonts w:hint="eastAsia"/>
          <w:color w:val="auto"/>
        </w:rPr>
        <w:t>发包人原因造成停工的；</w:t>
      </w:r>
    </w:p>
    <w:p w14:paraId="5F6D6A07">
      <w:pPr>
        <w:pStyle w:val="95"/>
        <w:numPr>
          <w:ilvl w:val="0"/>
          <w:numId w:val="31"/>
        </w:numPr>
        <w:tabs>
          <w:tab w:val="left" w:pos="903"/>
        </w:tabs>
        <w:spacing w:line="362" w:lineRule="exact"/>
        <w:ind w:firstLine="420"/>
        <w:rPr>
          <w:color w:val="auto"/>
        </w:rPr>
      </w:pPr>
      <w:bookmarkStart w:id="1805" w:name="bookmark1522"/>
      <w:bookmarkEnd w:id="1805"/>
      <w:r>
        <w:rPr>
          <w:rFonts w:hint="eastAsia"/>
          <w:color w:val="auto"/>
        </w:rPr>
        <w:t>监理人无正当理由没有在约定期限内发出复工指示，导致承包人无法复工的；</w:t>
      </w:r>
    </w:p>
    <w:p w14:paraId="40891970">
      <w:pPr>
        <w:pStyle w:val="95"/>
        <w:numPr>
          <w:ilvl w:val="0"/>
          <w:numId w:val="31"/>
        </w:numPr>
        <w:tabs>
          <w:tab w:val="left" w:pos="903"/>
        </w:tabs>
        <w:spacing w:line="362" w:lineRule="exact"/>
        <w:ind w:firstLine="420"/>
        <w:rPr>
          <w:color w:val="auto"/>
        </w:rPr>
      </w:pPr>
      <w:bookmarkStart w:id="1806" w:name="bookmark1523"/>
      <w:bookmarkEnd w:id="1806"/>
      <w:r>
        <w:rPr>
          <w:rFonts w:hint="eastAsia"/>
          <w:color w:val="auto"/>
        </w:rPr>
        <w:t>发包人无法继续履行或明确表示不履行或实质上已停止履行合同的；</w:t>
      </w:r>
    </w:p>
    <w:p w14:paraId="163FEBA6">
      <w:pPr>
        <w:pStyle w:val="95"/>
        <w:numPr>
          <w:ilvl w:val="0"/>
          <w:numId w:val="31"/>
        </w:numPr>
        <w:tabs>
          <w:tab w:val="left" w:pos="903"/>
        </w:tabs>
        <w:spacing w:line="362" w:lineRule="exact"/>
        <w:ind w:firstLine="420"/>
        <w:rPr>
          <w:color w:val="auto"/>
        </w:rPr>
      </w:pPr>
      <w:bookmarkStart w:id="1807" w:name="bookmark1524"/>
      <w:bookmarkEnd w:id="1807"/>
      <w:r>
        <w:rPr>
          <w:rFonts w:hint="eastAsia"/>
          <w:color w:val="auto"/>
        </w:rPr>
        <w:t>发包人不履行合同约定其他义务的。</w:t>
      </w:r>
    </w:p>
    <w:p w14:paraId="126011C6">
      <w:pPr>
        <w:pStyle w:val="95"/>
        <w:spacing w:line="362" w:lineRule="exact"/>
        <w:ind w:firstLine="420"/>
        <w:rPr>
          <w:color w:val="auto"/>
        </w:rPr>
      </w:pPr>
      <w:r>
        <w:rPr>
          <w:rFonts w:hint="eastAsia"/>
          <w:color w:val="auto"/>
          <w:lang w:val="en-US" w:bidi="en-US"/>
        </w:rPr>
        <w:t>22.2.2</w:t>
      </w:r>
      <w:r>
        <w:rPr>
          <w:rFonts w:hint="eastAsia"/>
          <w:color w:val="auto"/>
        </w:rPr>
        <w:t>承包人有权暂停施工</w:t>
      </w:r>
    </w:p>
    <w:p w14:paraId="3D495860">
      <w:pPr>
        <w:pStyle w:val="95"/>
        <w:spacing w:line="362" w:lineRule="exact"/>
        <w:ind w:firstLine="440"/>
        <w:jc w:val="both"/>
        <w:rPr>
          <w:color w:val="auto"/>
        </w:rPr>
      </w:pPr>
      <w:r>
        <w:rPr>
          <w:rFonts w:hint="eastAsia"/>
          <w:color w:val="auto"/>
        </w:rPr>
        <w:t>发包人发生除第</w:t>
      </w:r>
      <w:r>
        <w:rPr>
          <w:rFonts w:hint="eastAsia"/>
          <w:color w:val="auto"/>
          <w:lang w:val="en-US" w:bidi="en-US"/>
        </w:rPr>
        <w:t xml:space="preserve">22.2.1 </w:t>
      </w:r>
      <w:r>
        <w:rPr>
          <w:rFonts w:hint="eastAsia"/>
          <w:color w:val="auto"/>
        </w:rPr>
        <w:t>(4)目以外的违约情况时，承包人可向发包人发出通知，要求发包人采取有效措施纠正违约行为。发包人收到承包人通知后的28天内仍不履行合同义 务，承包人有权暂停施工，并通知监理人，发包人应承担由此增加的费用和(或)工期延误，并支付承包人合理利润。</w:t>
      </w:r>
    </w:p>
    <w:p w14:paraId="68DBC9B7">
      <w:pPr>
        <w:pStyle w:val="95"/>
        <w:spacing w:line="362" w:lineRule="exact"/>
        <w:ind w:firstLine="420"/>
        <w:rPr>
          <w:color w:val="auto"/>
        </w:rPr>
      </w:pPr>
      <w:r>
        <w:rPr>
          <w:rFonts w:hint="eastAsia"/>
          <w:color w:val="auto"/>
          <w:lang w:val="en-US" w:eastAsia="en-US"/>
        </w:rPr>
        <w:t>22.2.3</w:t>
      </w:r>
      <w:r>
        <w:rPr>
          <w:rFonts w:hint="eastAsia"/>
          <w:color w:val="auto"/>
        </w:rPr>
        <w:t>发包人违约解除合同</w:t>
      </w:r>
    </w:p>
    <w:p w14:paraId="0144F875">
      <w:pPr>
        <w:pStyle w:val="95"/>
        <w:numPr>
          <w:ilvl w:val="0"/>
          <w:numId w:val="32"/>
        </w:numPr>
        <w:tabs>
          <w:tab w:val="left" w:pos="923"/>
        </w:tabs>
        <w:spacing w:line="367" w:lineRule="exact"/>
        <w:ind w:firstLine="440"/>
        <w:jc w:val="both"/>
        <w:rPr>
          <w:color w:val="auto"/>
        </w:rPr>
      </w:pPr>
      <w:bookmarkStart w:id="1808" w:name="bookmark1525"/>
      <w:bookmarkEnd w:id="1808"/>
      <w:r>
        <w:rPr>
          <w:rFonts w:hint="eastAsia"/>
          <w:color w:val="auto"/>
        </w:rPr>
        <w:t>发生第</w:t>
      </w:r>
      <w:r>
        <w:rPr>
          <w:rFonts w:hint="eastAsia"/>
          <w:color w:val="auto"/>
          <w:lang w:val="en-US" w:bidi="en-US"/>
        </w:rPr>
        <w:t xml:space="preserve">22.2.1 </w:t>
      </w:r>
      <w:r>
        <w:rPr>
          <w:rFonts w:hint="eastAsia"/>
          <w:color w:val="auto"/>
        </w:rPr>
        <w:t>(4)目的违约情况时，承包人可书面通知发包人解除合同。</w:t>
      </w:r>
    </w:p>
    <w:p w14:paraId="29E6B8EE">
      <w:pPr>
        <w:pStyle w:val="95"/>
        <w:numPr>
          <w:ilvl w:val="0"/>
          <w:numId w:val="32"/>
        </w:numPr>
        <w:tabs>
          <w:tab w:val="left" w:pos="920"/>
        </w:tabs>
        <w:spacing w:line="367" w:lineRule="exact"/>
        <w:ind w:firstLine="440"/>
        <w:jc w:val="both"/>
        <w:rPr>
          <w:color w:val="auto"/>
        </w:rPr>
      </w:pPr>
      <w:bookmarkStart w:id="1809" w:name="bookmark1526"/>
      <w:bookmarkEnd w:id="1809"/>
      <w:r>
        <w:rPr>
          <w:rFonts w:hint="eastAsia"/>
          <w:color w:val="auto"/>
        </w:rPr>
        <w:t>承包人按</w:t>
      </w:r>
      <w:r>
        <w:rPr>
          <w:rFonts w:hint="eastAsia"/>
          <w:color w:val="auto"/>
          <w:lang w:val="en-US" w:bidi="en-US"/>
        </w:rPr>
        <w:t>22.2.</w:t>
      </w:r>
      <w:r>
        <w:rPr>
          <w:rFonts w:hint="eastAsia"/>
          <w:color w:val="auto"/>
        </w:rPr>
        <w:t>2项暂停施工28天后，发包人仍不纠正违约行为的，承包人可向发包人发出解除合同通知。但承包人的这一行动不免除发包人承担的违约责任，也不影响承包人根据合同约定享有的索赔权利。</w:t>
      </w:r>
    </w:p>
    <w:p w14:paraId="25AEAC61">
      <w:pPr>
        <w:pStyle w:val="95"/>
        <w:spacing w:line="374" w:lineRule="exact"/>
        <w:ind w:firstLine="440"/>
        <w:jc w:val="both"/>
        <w:rPr>
          <w:color w:val="auto"/>
        </w:rPr>
      </w:pPr>
      <w:r>
        <w:rPr>
          <w:rFonts w:hint="eastAsia"/>
          <w:color w:val="auto"/>
          <w:lang w:val="en-US" w:bidi="en-US"/>
        </w:rPr>
        <w:t>22.2.4</w:t>
      </w:r>
      <w:r>
        <w:rPr>
          <w:rFonts w:hint="eastAsia"/>
          <w:color w:val="auto"/>
        </w:rPr>
        <w:t>解除合同后的付款</w:t>
      </w:r>
    </w:p>
    <w:p w14:paraId="62ACCCC1">
      <w:pPr>
        <w:pStyle w:val="95"/>
        <w:spacing w:line="374" w:lineRule="exact"/>
        <w:ind w:firstLine="440"/>
        <w:jc w:val="both"/>
        <w:rPr>
          <w:color w:val="auto"/>
        </w:rPr>
      </w:pPr>
      <w:r>
        <w:rPr>
          <w:rFonts w:hint="eastAsia"/>
          <w:color w:val="auto"/>
        </w:rPr>
        <w:t>因发包人违约解除合同的，发包人应在解除合同后28天内向承包人支付下列金额，承包人应在此期限内及时向发包人提交要求支付下列金额的有关资料和凭证：</w:t>
      </w:r>
    </w:p>
    <w:p w14:paraId="10CBBA32">
      <w:pPr>
        <w:pStyle w:val="95"/>
        <w:numPr>
          <w:ilvl w:val="0"/>
          <w:numId w:val="33"/>
        </w:numPr>
        <w:tabs>
          <w:tab w:val="left" w:pos="903"/>
        </w:tabs>
        <w:spacing w:line="374" w:lineRule="exact"/>
        <w:ind w:firstLine="420"/>
        <w:rPr>
          <w:color w:val="auto"/>
        </w:rPr>
      </w:pPr>
      <w:bookmarkStart w:id="1810" w:name="bookmark1527"/>
      <w:bookmarkEnd w:id="1810"/>
      <w:r>
        <w:rPr>
          <w:rFonts w:hint="eastAsia"/>
          <w:color w:val="auto"/>
        </w:rPr>
        <w:t>合同解除日以前所完成工作的价款；</w:t>
      </w:r>
    </w:p>
    <w:p w14:paraId="71E18EE9">
      <w:pPr>
        <w:pStyle w:val="95"/>
        <w:numPr>
          <w:ilvl w:val="0"/>
          <w:numId w:val="33"/>
        </w:numPr>
        <w:tabs>
          <w:tab w:val="left" w:pos="920"/>
        </w:tabs>
        <w:spacing w:line="365" w:lineRule="exact"/>
        <w:ind w:firstLine="440"/>
        <w:jc w:val="both"/>
        <w:rPr>
          <w:color w:val="auto"/>
        </w:rPr>
      </w:pPr>
      <w:bookmarkStart w:id="1811" w:name="bookmark1528"/>
      <w:bookmarkEnd w:id="1811"/>
      <w:r>
        <w:rPr>
          <w:rFonts w:hint="eastAsia"/>
          <w:color w:val="auto"/>
        </w:rPr>
        <w:t>承包人为该工程施工订购并已付款的材料、工程设备和其他物品的金额。发包人付还后，该材料、工程设备和其他物品归发包人所有；</w:t>
      </w:r>
    </w:p>
    <w:p w14:paraId="4DDD8540">
      <w:pPr>
        <w:pStyle w:val="95"/>
        <w:numPr>
          <w:ilvl w:val="0"/>
          <w:numId w:val="33"/>
        </w:numPr>
        <w:tabs>
          <w:tab w:val="left" w:pos="903"/>
        </w:tabs>
        <w:spacing w:line="365" w:lineRule="exact"/>
        <w:ind w:firstLine="420"/>
        <w:rPr>
          <w:color w:val="auto"/>
        </w:rPr>
      </w:pPr>
      <w:bookmarkStart w:id="1812" w:name="bookmark1529"/>
      <w:bookmarkEnd w:id="1812"/>
      <w:r>
        <w:rPr>
          <w:rFonts w:hint="eastAsia"/>
          <w:color w:val="auto"/>
        </w:rPr>
        <w:t>承包人为完成工程所发生的，而发包人未支付的金额；</w:t>
      </w:r>
    </w:p>
    <w:p w14:paraId="331B51C6">
      <w:pPr>
        <w:pStyle w:val="95"/>
        <w:numPr>
          <w:ilvl w:val="0"/>
          <w:numId w:val="33"/>
        </w:numPr>
        <w:tabs>
          <w:tab w:val="left" w:pos="903"/>
        </w:tabs>
        <w:spacing w:line="358" w:lineRule="exact"/>
        <w:ind w:firstLine="420"/>
        <w:rPr>
          <w:color w:val="auto"/>
        </w:rPr>
      </w:pPr>
      <w:bookmarkStart w:id="1813" w:name="bookmark1530"/>
      <w:bookmarkEnd w:id="1813"/>
      <w:r>
        <w:rPr>
          <w:rFonts w:hint="eastAsia"/>
          <w:color w:val="auto"/>
        </w:rPr>
        <w:t>承包人撤离施工场地以及遣散承包人人员的金额；</w:t>
      </w:r>
    </w:p>
    <w:p w14:paraId="68178081">
      <w:pPr>
        <w:pStyle w:val="95"/>
        <w:numPr>
          <w:ilvl w:val="0"/>
          <w:numId w:val="33"/>
        </w:numPr>
        <w:tabs>
          <w:tab w:val="left" w:pos="903"/>
        </w:tabs>
        <w:spacing w:line="358" w:lineRule="exact"/>
        <w:ind w:firstLine="420"/>
        <w:rPr>
          <w:color w:val="auto"/>
        </w:rPr>
      </w:pPr>
      <w:bookmarkStart w:id="1814" w:name="bookmark1531"/>
      <w:bookmarkEnd w:id="1814"/>
      <w:r>
        <w:rPr>
          <w:rFonts w:hint="eastAsia"/>
          <w:color w:val="auto"/>
        </w:rPr>
        <w:t>由于解除合同应赔偿的承包人损失；</w:t>
      </w:r>
    </w:p>
    <w:p w14:paraId="57D08EF2">
      <w:pPr>
        <w:pStyle w:val="95"/>
        <w:numPr>
          <w:ilvl w:val="0"/>
          <w:numId w:val="33"/>
        </w:numPr>
        <w:tabs>
          <w:tab w:val="left" w:pos="903"/>
        </w:tabs>
        <w:spacing w:line="358" w:lineRule="exact"/>
        <w:ind w:firstLine="420"/>
        <w:rPr>
          <w:color w:val="auto"/>
        </w:rPr>
      </w:pPr>
      <w:bookmarkStart w:id="1815" w:name="bookmark1532"/>
      <w:bookmarkEnd w:id="1815"/>
      <w:r>
        <w:rPr>
          <w:rFonts w:hint="eastAsia"/>
          <w:color w:val="auto"/>
        </w:rPr>
        <w:t>按合同约定在合同解除日前应支付给承包人的其他金额。</w:t>
      </w:r>
    </w:p>
    <w:p w14:paraId="3850A319">
      <w:pPr>
        <w:pStyle w:val="95"/>
        <w:spacing w:line="358" w:lineRule="exact"/>
        <w:ind w:firstLine="440"/>
        <w:jc w:val="both"/>
        <w:rPr>
          <w:color w:val="auto"/>
        </w:rPr>
      </w:pPr>
      <w:r>
        <w:rPr>
          <w:rFonts w:hint="eastAsia"/>
          <w:color w:val="auto"/>
        </w:rPr>
        <w:t>发包人应按本项约定支付上述金额并退还质量保证金和履约担保，但有权要求承包人支付应偿还给发包人的各项金额。</w:t>
      </w:r>
    </w:p>
    <w:p w14:paraId="44521490">
      <w:pPr>
        <w:pStyle w:val="95"/>
        <w:spacing w:line="362" w:lineRule="exact"/>
        <w:ind w:firstLine="420"/>
        <w:rPr>
          <w:color w:val="auto"/>
          <w:lang w:val="en-US"/>
        </w:rPr>
      </w:pPr>
      <w:r>
        <w:rPr>
          <w:rFonts w:hint="eastAsia"/>
          <w:color w:val="auto"/>
          <w:lang w:val="en-US"/>
        </w:rPr>
        <w:t>22.2.5解除合同后的承包人撤离</w:t>
      </w:r>
    </w:p>
    <w:p w14:paraId="13AAF54C">
      <w:pPr>
        <w:pStyle w:val="95"/>
        <w:spacing w:line="348" w:lineRule="exact"/>
        <w:ind w:firstLine="440"/>
        <w:jc w:val="both"/>
        <w:rPr>
          <w:color w:val="auto"/>
        </w:rPr>
      </w:pPr>
      <w:r>
        <w:rPr>
          <w:rFonts w:hint="eastAsia"/>
          <w:color w:val="auto"/>
        </w:rPr>
        <w:t>因发包人违约而解除合同后，承包人应妥善做好已竣工工程和已购材料、设备的保护和移交工作，按发包人要求将承包人设备和人员撤出施工场地。承包人撤出施工场地应遵守第</w:t>
      </w:r>
      <w:r>
        <w:rPr>
          <w:rFonts w:hint="eastAsia"/>
          <w:color w:val="auto"/>
          <w:lang w:val="en-US" w:bidi="en-US"/>
        </w:rPr>
        <w:t>18.7.</w:t>
      </w:r>
      <w:r>
        <w:rPr>
          <w:rFonts w:hint="eastAsia"/>
          <w:color w:val="auto"/>
        </w:rPr>
        <w:t>1项的约定，发包人应为承包人撤出提供必要条件。</w:t>
      </w:r>
    </w:p>
    <w:p w14:paraId="7AFEFC75">
      <w:pPr>
        <w:pStyle w:val="101"/>
        <w:spacing w:before="0" w:after="0" w:line="360" w:lineRule="exact"/>
        <w:rPr>
          <w:rFonts w:ascii="宋体" w:hAnsi="宋体" w:cs="宋体"/>
          <w:color w:val="auto"/>
          <w:sz w:val="24"/>
          <w:szCs w:val="24"/>
          <w:lang w:eastAsia="zh-CN"/>
        </w:rPr>
      </w:pPr>
      <w:bookmarkStart w:id="1816" w:name="_Toc9266"/>
      <w:bookmarkStart w:id="1817" w:name="_Toc31935"/>
      <w:bookmarkStart w:id="1818" w:name="bookmark1535"/>
      <w:bookmarkStart w:id="1819" w:name="_Toc15175"/>
      <w:bookmarkStart w:id="1820" w:name="_Toc20607"/>
      <w:bookmarkStart w:id="1821" w:name="_Toc31370"/>
      <w:bookmarkStart w:id="1822" w:name="bookmark1534"/>
      <w:bookmarkStart w:id="1823" w:name="bookmark1533"/>
      <w:bookmarkStart w:id="1824" w:name="_Toc7744"/>
      <w:bookmarkStart w:id="1825" w:name="_Toc14652"/>
      <w:r>
        <w:rPr>
          <w:rFonts w:hint="eastAsia" w:ascii="宋体" w:hAnsi="宋体" w:cs="宋体"/>
          <w:color w:val="auto"/>
          <w:sz w:val="24"/>
          <w:szCs w:val="24"/>
          <w:lang w:eastAsia="zh-CN"/>
        </w:rPr>
        <w:t>22.3第三人造成的违约</w:t>
      </w:r>
      <w:bookmarkEnd w:id="1816"/>
      <w:bookmarkEnd w:id="1817"/>
      <w:bookmarkEnd w:id="1818"/>
      <w:bookmarkEnd w:id="1819"/>
      <w:bookmarkEnd w:id="1820"/>
      <w:bookmarkEnd w:id="1821"/>
      <w:bookmarkEnd w:id="1822"/>
      <w:bookmarkEnd w:id="1823"/>
      <w:bookmarkEnd w:id="1824"/>
      <w:bookmarkEnd w:id="1825"/>
    </w:p>
    <w:p w14:paraId="7C8CD9A6">
      <w:pPr>
        <w:pStyle w:val="95"/>
        <w:spacing w:line="350" w:lineRule="exact"/>
        <w:ind w:firstLine="440"/>
        <w:jc w:val="both"/>
        <w:rPr>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14:paraId="0262C29F">
      <w:pPr>
        <w:pStyle w:val="101"/>
        <w:spacing w:before="0" w:after="0" w:line="360" w:lineRule="exact"/>
        <w:rPr>
          <w:rFonts w:ascii="宋体" w:hAnsi="宋体" w:cs="宋体"/>
          <w:color w:val="auto"/>
          <w:lang w:eastAsia="zh-CN"/>
        </w:rPr>
      </w:pPr>
      <w:bookmarkStart w:id="1826" w:name="_Toc24657"/>
      <w:bookmarkStart w:id="1827" w:name="_Toc8277"/>
      <w:bookmarkStart w:id="1828" w:name="_Toc1501"/>
      <w:bookmarkStart w:id="1829" w:name="_Toc26868"/>
      <w:bookmarkStart w:id="1830" w:name="_Toc12819"/>
      <w:bookmarkStart w:id="1831" w:name="_Toc29128"/>
      <w:bookmarkStart w:id="1832" w:name="_Toc27027"/>
      <w:r>
        <w:rPr>
          <w:rFonts w:hint="eastAsia" w:ascii="宋体" w:hAnsi="宋体" w:cs="宋体"/>
          <w:color w:val="auto"/>
          <w:lang w:eastAsia="zh-CN"/>
        </w:rPr>
        <w:t>23.索赔</w:t>
      </w:r>
      <w:bookmarkEnd w:id="1826"/>
      <w:bookmarkEnd w:id="1827"/>
      <w:bookmarkEnd w:id="1828"/>
      <w:bookmarkEnd w:id="1829"/>
      <w:bookmarkEnd w:id="1830"/>
      <w:bookmarkEnd w:id="1831"/>
      <w:bookmarkEnd w:id="1832"/>
    </w:p>
    <w:p w14:paraId="6AC7559C">
      <w:pPr>
        <w:pStyle w:val="101"/>
        <w:spacing w:before="0" w:after="0" w:line="360" w:lineRule="exact"/>
        <w:rPr>
          <w:rFonts w:ascii="宋体" w:hAnsi="宋体" w:cs="宋体"/>
          <w:color w:val="auto"/>
          <w:sz w:val="24"/>
          <w:szCs w:val="24"/>
          <w:lang w:eastAsia="zh-CN"/>
        </w:rPr>
      </w:pPr>
      <w:bookmarkStart w:id="1833" w:name="bookmark1536"/>
      <w:bookmarkStart w:id="1834" w:name="bookmark1538"/>
      <w:bookmarkStart w:id="1835" w:name="_Toc19245"/>
      <w:bookmarkStart w:id="1836" w:name="_Toc8073"/>
      <w:bookmarkStart w:id="1837" w:name="_Toc6380"/>
      <w:bookmarkStart w:id="1838" w:name="_Toc31748"/>
      <w:bookmarkStart w:id="1839" w:name="_Toc26745"/>
      <w:bookmarkStart w:id="1840" w:name="bookmark1537"/>
      <w:bookmarkStart w:id="1841" w:name="_Toc25030"/>
      <w:bookmarkStart w:id="1842" w:name="_Toc12223"/>
      <w:r>
        <w:rPr>
          <w:rFonts w:hint="eastAsia" w:ascii="宋体" w:hAnsi="宋体" w:cs="宋体"/>
          <w:color w:val="auto"/>
          <w:sz w:val="24"/>
          <w:szCs w:val="24"/>
          <w:lang w:eastAsia="zh-CN"/>
        </w:rPr>
        <w:t>23.1承包人索赔的提出</w:t>
      </w:r>
      <w:bookmarkEnd w:id="1833"/>
      <w:bookmarkEnd w:id="1834"/>
      <w:bookmarkEnd w:id="1835"/>
      <w:bookmarkEnd w:id="1836"/>
      <w:bookmarkEnd w:id="1837"/>
      <w:bookmarkEnd w:id="1838"/>
      <w:bookmarkEnd w:id="1839"/>
      <w:bookmarkEnd w:id="1840"/>
      <w:bookmarkEnd w:id="1841"/>
      <w:bookmarkEnd w:id="1842"/>
    </w:p>
    <w:p w14:paraId="472CAB7F">
      <w:pPr>
        <w:pStyle w:val="96"/>
        <w:ind w:firstLine="400" w:firstLineChars="200"/>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根据合同约定，承包人认为有权得到追加付款和(或)延长工期的，应按以下程序向发包人提出索赔：</w:t>
      </w:r>
    </w:p>
    <w:p w14:paraId="62B8B1B9">
      <w:pPr>
        <w:pStyle w:val="95"/>
        <w:numPr>
          <w:ilvl w:val="0"/>
          <w:numId w:val="34"/>
        </w:numPr>
        <w:tabs>
          <w:tab w:val="left" w:pos="918"/>
        </w:tabs>
        <w:spacing w:line="362" w:lineRule="exact"/>
        <w:ind w:firstLine="440"/>
        <w:jc w:val="both"/>
        <w:rPr>
          <w:color w:val="auto"/>
        </w:rPr>
      </w:pPr>
      <w:bookmarkStart w:id="1843" w:name="bookmark1539"/>
      <w:bookmarkEnd w:id="1843"/>
      <w:r>
        <w:rPr>
          <w:rFonts w:hint="eastAsia"/>
          <w:color w:val="auto"/>
        </w:rPr>
        <w:t>承包人应在知道或应当知道索赔事件发生后28天内，向监理人递交索赔意向通知书，并说明发生索赔事件的事由。承包人未在前述28天内发出索赔意向通知书的，丧失要求追加付款和(或)延长工期的权利；</w:t>
      </w:r>
    </w:p>
    <w:p w14:paraId="1F3D6AF5">
      <w:pPr>
        <w:pStyle w:val="95"/>
        <w:numPr>
          <w:ilvl w:val="0"/>
          <w:numId w:val="34"/>
        </w:numPr>
        <w:tabs>
          <w:tab w:val="left" w:pos="918"/>
        </w:tabs>
        <w:spacing w:line="354" w:lineRule="exact"/>
        <w:ind w:firstLine="440"/>
        <w:jc w:val="both"/>
        <w:rPr>
          <w:color w:val="auto"/>
        </w:rPr>
      </w:pPr>
      <w:bookmarkStart w:id="1844" w:name="bookmark1540"/>
      <w:bookmarkEnd w:id="1844"/>
      <w:r>
        <w:rPr>
          <w:rFonts w:hint="eastAsia"/>
          <w:color w:val="auto"/>
        </w:rPr>
        <w:t>承包人应在发出索赔意向通知书后28天内，向监理人正式递交索赔通知书。索赔通知书应详细说明索赔理由以及要求追加的付款金额和(或)延长的工期，并附必要的记 录和证明材料；</w:t>
      </w:r>
    </w:p>
    <w:p w14:paraId="47F7450D">
      <w:pPr>
        <w:pStyle w:val="95"/>
        <w:numPr>
          <w:ilvl w:val="0"/>
          <w:numId w:val="34"/>
        </w:numPr>
        <w:tabs>
          <w:tab w:val="left" w:pos="903"/>
        </w:tabs>
        <w:spacing w:line="354" w:lineRule="exact"/>
        <w:ind w:firstLine="440"/>
        <w:jc w:val="both"/>
        <w:rPr>
          <w:color w:val="auto"/>
        </w:rPr>
      </w:pPr>
      <w:bookmarkStart w:id="1845" w:name="bookmark1541"/>
      <w:bookmarkEnd w:id="1845"/>
      <w:r>
        <w:rPr>
          <w:rFonts w:hint="eastAsia"/>
          <w:color w:val="auto"/>
        </w:rPr>
        <w:t>索赔事件具有连续影响的，承包人应按合理时间间隔继续递交延续索赔通知，说明连续影响的实际情况和记录，列出累计的追加付款金额和(或)工期延长天数；</w:t>
      </w:r>
    </w:p>
    <w:p w14:paraId="535010BD">
      <w:pPr>
        <w:pStyle w:val="95"/>
        <w:numPr>
          <w:ilvl w:val="0"/>
          <w:numId w:val="34"/>
        </w:numPr>
        <w:tabs>
          <w:tab w:val="left" w:pos="920"/>
        </w:tabs>
        <w:spacing w:line="367" w:lineRule="exact"/>
        <w:ind w:firstLine="440"/>
        <w:jc w:val="both"/>
        <w:rPr>
          <w:color w:val="auto"/>
        </w:rPr>
      </w:pPr>
      <w:bookmarkStart w:id="1846" w:name="bookmark1542"/>
      <w:bookmarkEnd w:id="1846"/>
      <w:r>
        <w:rPr>
          <w:rFonts w:hint="eastAsia"/>
          <w:color w:val="auto"/>
        </w:rPr>
        <w:t>在索赔事件影响结束后的28天内，承包人应向监理人递交最终索赔通知书，说明最终要求索赔的追加付款金额和延长的工期，并附必要的记录和证明材料。</w:t>
      </w:r>
    </w:p>
    <w:p w14:paraId="1D7383DF">
      <w:pPr>
        <w:pStyle w:val="101"/>
        <w:spacing w:before="0" w:after="0" w:line="360" w:lineRule="exact"/>
        <w:rPr>
          <w:rFonts w:ascii="宋体" w:hAnsi="宋体" w:cs="宋体"/>
          <w:color w:val="auto"/>
          <w:sz w:val="24"/>
          <w:szCs w:val="24"/>
          <w:lang w:eastAsia="zh-CN"/>
        </w:rPr>
      </w:pPr>
      <w:bookmarkStart w:id="1847" w:name="_Toc26095"/>
      <w:bookmarkStart w:id="1848" w:name="bookmark1545"/>
      <w:bookmarkStart w:id="1849" w:name="_Toc21987"/>
      <w:bookmarkStart w:id="1850" w:name="_Toc22594"/>
      <w:bookmarkStart w:id="1851" w:name="_Toc5534"/>
      <w:bookmarkStart w:id="1852" w:name="_Toc23700"/>
      <w:bookmarkStart w:id="1853" w:name="bookmark1543"/>
      <w:bookmarkStart w:id="1854" w:name="_Toc1402"/>
      <w:bookmarkStart w:id="1855" w:name="_Toc28499"/>
      <w:bookmarkStart w:id="1856" w:name="bookmark1544"/>
      <w:r>
        <w:rPr>
          <w:rFonts w:hint="eastAsia" w:ascii="宋体" w:hAnsi="宋体" w:cs="宋体"/>
          <w:color w:val="auto"/>
          <w:sz w:val="24"/>
          <w:szCs w:val="24"/>
          <w:lang w:eastAsia="zh-CN"/>
        </w:rPr>
        <w:t>23.2承包人索赔处理程序</w:t>
      </w:r>
      <w:bookmarkEnd w:id="1847"/>
      <w:bookmarkEnd w:id="1848"/>
      <w:bookmarkEnd w:id="1849"/>
      <w:bookmarkEnd w:id="1850"/>
      <w:bookmarkEnd w:id="1851"/>
      <w:bookmarkEnd w:id="1852"/>
      <w:bookmarkEnd w:id="1853"/>
      <w:bookmarkEnd w:id="1854"/>
      <w:bookmarkEnd w:id="1855"/>
      <w:bookmarkEnd w:id="1856"/>
    </w:p>
    <w:p w14:paraId="4F181051">
      <w:pPr>
        <w:pStyle w:val="95"/>
        <w:numPr>
          <w:ilvl w:val="0"/>
          <w:numId w:val="35"/>
        </w:numPr>
        <w:tabs>
          <w:tab w:val="left" w:pos="922"/>
        </w:tabs>
        <w:spacing w:line="348" w:lineRule="exact"/>
        <w:ind w:firstLine="440"/>
        <w:jc w:val="both"/>
        <w:rPr>
          <w:color w:val="auto"/>
        </w:rPr>
      </w:pPr>
      <w:bookmarkStart w:id="1857" w:name="bookmark1546"/>
      <w:bookmarkEnd w:id="1857"/>
      <w:r>
        <w:rPr>
          <w:rFonts w:hint="eastAsia"/>
          <w:color w:val="auto"/>
        </w:rPr>
        <w:t>监理人收到承包人提交的索赔通知书后，应及时审查索赔通知书的内容、查验承包人的记录和证明材料，必要时监理人可要求承包人提交全部原始记录副本。</w:t>
      </w:r>
    </w:p>
    <w:p w14:paraId="335E8538">
      <w:pPr>
        <w:pStyle w:val="95"/>
        <w:numPr>
          <w:ilvl w:val="0"/>
          <w:numId w:val="35"/>
        </w:numPr>
        <w:tabs>
          <w:tab w:val="left" w:pos="918"/>
        </w:tabs>
        <w:spacing w:line="361" w:lineRule="exact"/>
        <w:ind w:firstLine="440"/>
        <w:jc w:val="both"/>
        <w:rPr>
          <w:color w:val="auto"/>
        </w:rPr>
      </w:pPr>
      <w:bookmarkStart w:id="1858" w:name="bookmark1547"/>
      <w:bookmarkEnd w:id="1858"/>
      <w:r>
        <w:rPr>
          <w:rFonts w:hint="eastAsia"/>
          <w:color w:val="auto"/>
        </w:rPr>
        <w:t>监理人应按第</w:t>
      </w:r>
      <w:r>
        <w:rPr>
          <w:rFonts w:hint="eastAsia"/>
          <w:color w:val="auto"/>
          <w:lang w:val="en-US" w:bidi="en-US"/>
        </w:rPr>
        <w:t>3.</w:t>
      </w:r>
      <w:r>
        <w:rPr>
          <w:rFonts w:hint="eastAsia"/>
          <w:color w:val="auto"/>
        </w:rPr>
        <w:t>5款商定或确定追加的付款和(或)延长的工期，并在收到上述索赔通知书或有关索赔的进一步证明材料后的42天内，将索赔处理结果答复承包人。</w:t>
      </w:r>
    </w:p>
    <w:p w14:paraId="35F4CFCD">
      <w:pPr>
        <w:pStyle w:val="95"/>
        <w:numPr>
          <w:ilvl w:val="0"/>
          <w:numId w:val="35"/>
        </w:numPr>
        <w:tabs>
          <w:tab w:val="left" w:pos="920"/>
        </w:tabs>
        <w:spacing w:line="361" w:lineRule="exact"/>
        <w:ind w:firstLine="440"/>
        <w:jc w:val="both"/>
        <w:rPr>
          <w:color w:val="auto"/>
        </w:rPr>
      </w:pPr>
      <w:bookmarkStart w:id="1859" w:name="bookmark1548"/>
      <w:bookmarkEnd w:id="1859"/>
      <w:r>
        <w:rPr>
          <w:rFonts w:hint="eastAsia"/>
          <w:color w:val="auto"/>
        </w:rPr>
        <w:t>承包人接受索赔处理结果的，发包人应在作出索赔处理结果答复后28天内完成赔付。承包人不接受索赔处理结果的，按第24条的约定办理。</w:t>
      </w:r>
    </w:p>
    <w:p w14:paraId="0E42A193">
      <w:pPr>
        <w:pStyle w:val="101"/>
        <w:spacing w:before="0" w:after="0" w:line="360" w:lineRule="exact"/>
        <w:rPr>
          <w:rFonts w:ascii="宋体" w:hAnsi="宋体" w:cs="宋体"/>
          <w:color w:val="auto"/>
          <w:sz w:val="24"/>
          <w:szCs w:val="24"/>
          <w:lang w:eastAsia="zh-CN"/>
        </w:rPr>
      </w:pPr>
      <w:bookmarkStart w:id="1860" w:name="_Toc17879"/>
      <w:bookmarkStart w:id="1861" w:name="_Toc2285"/>
      <w:bookmarkStart w:id="1862" w:name="bookmark1550"/>
      <w:bookmarkStart w:id="1863" w:name="_Toc25861"/>
      <w:bookmarkStart w:id="1864" w:name="bookmark1551"/>
      <w:bookmarkStart w:id="1865" w:name="bookmark1549"/>
      <w:bookmarkStart w:id="1866" w:name="_Toc20211"/>
      <w:bookmarkStart w:id="1867" w:name="_Toc3433"/>
      <w:bookmarkStart w:id="1868" w:name="_Toc5392"/>
      <w:bookmarkStart w:id="1869" w:name="_Toc23368"/>
      <w:r>
        <w:rPr>
          <w:rFonts w:hint="eastAsia" w:ascii="宋体" w:hAnsi="宋体" w:cs="宋体"/>
          <w:color w:val="auto"/>
          <w:sz w:val="24"/>
          <w:szCs w:val="24"/>
          <w:lang w:eastAsia="zh-CN"/>
        </w:rPr>
        <w:t>23.3承包人提出索赔的期限</w:t>
      </w:r>
      <w:bookmarkEnd w:id="1860"/>
      <w:bookmarkEnd w:id="1861"/>
      <w:bookmarkEnd w:id="1862"/>
      <w:bookmarkEnd w:id="1863"/>
      <w:bookmarkEnd w:id="1864"/>
      <w:bookmarkEnd w:id="1865"/>
      <w:bookmarkEnd w:id="1866"/>
      <w:bookmarkEnd w:id="1867"/>
      <w:bookmarkEnd w:id="1868"/>
      <w:bookmarkEnd w:id="1869"/>
    </w:p>
    <w:p w14:paraId="35452FD0">
      <w:pPr>
        <w:pStyle w:val="95"/>
        <w:tabs>
          <w:tab w:val="left" w:pos="855"/>
        </w:tabs>
        <w:spacing w:line="362" w:lineRule="exact"/>
        <w:ind w:firstLineChars="200"/>
        <w:jc w:val="both"/>
        <w:rPr>
          <w:color w:val="auto"/>
        </w:rPr>
      </w:pPr>
      <w:bookmarkStart w:id="1870" w:name="bookmark1552"/>
      <w:bookmarkEnd w:id="1870"/>
      <w:r>
        <w:rPr>
          <w:rFonts w:hint="eastAsia"/>
          <w:color w:val="auto"/>
          <w:lang w:val="en-US" w:bidi="en-US"/>
        </w:rPr>
        <w:t>23.3.</w:t>
      </w:r>
      <w:r>
        <w:rPr>
          <w:rFonts w:hint="eastAsia"/>
          <w:color w:val="auto"/>
        </w:rPr>
        <w:t>1承包人按第</w:t>
      </w:r>
      <w:r>
        <w:rPr>
          <w:rFonts w:hint="eastAsia"/>
          <w:color w:val="auto"/>
          <w:lang w:val="en-US" w:bidi="en-US"/>
        </w:rPr>
        <w:t>17.</w:t>
      </w:r>
      <w:r>
        <w:rPr>
          <w:rFonts w:hint="eastAsia"/>
          <w:color w:val="auto"/>
        </w:rPr>
        <w:t>5款的约定接受了完工付款证书后，应被认为已无权再提出在合同工程完工证书颁发前所发生的任何索赔。</w:t>
      </w:r>
    </w:p>
    <w:p w14:paraId="192DBB32">
      <w:pPr>
        <w:pStyle w:val="95"/>
        <w:spacing w:line="372" w:lineRule="exact"/>
        <w:ind w:firstLine="440"/>
        <w:jc w:val="both"/>
        <w:rPr>
          <w:color w:val="auto"/>
        </w:rPr>
      </w:pPr>
      <w:r>
        <w:rPr>
          <w:rFonts w:hint="eastAsia"/>
          <w:color w:val="auto"/>
          <w:lang w:val="en-US" w:bidi="en-US"/>
        </w:rPr>
        <w:t>23.3.2</w:t>
      </w:r>
      <w:r>
        <w:rPr>
          <w:rFonts w:hint="eastAsia"/>
          <w:color w:val="auto"/>
        </w:rPr>
        <w:t>承包人按第</w:t>
      </w:r>
      <w:r>
        <w:rPr>
          <w:rFonts w:hint="eastAsia"/>
          <w:color w:val="auto"/>
          <w:lang w:val="en-US" w:bidi="en-US"/>
        </w:rPr>
        <w:t>17.</w:t>
      </w:r>
      <w:r>
        <w:rPr>
          <w:rFonts w:hint="eastAsia"/>
          <w:color w:val="auto"/>
        </w:rPr>
        <w:t>6款的约定提交的最终结清申请单中，只限于提出合同工程完工证书颁发后发生的索赔。提出索赔的期限自接受最终结清证书时终止。</w:t>
      </w:r>
    </w:p>
    <w:p w14:paraId="0B05FA4B">
      <w:pPr>
        <w:pStyle w:val="101"/>
        <w:spacing w:before="0" w:after="0" w:line="360" w:lineRule="exact"/>
        <w:rPr>
          <w:rFonts w:ascii="宋体" w:hAnsi="宋体" w:cs="宋体"/>
          <w:color w:val="auto"/>
          <w:sz w:val="24"/>
          <w:szCs w:val="24"/>
          <w:lang w:eastAsia="zh-CN"/>
        </w:rPr>
      </w:pPr>
      <w:bookmarkStart w:id="1871" w:name="bookmark1554"/>
      <w:bookmarkStart w:id="1872" w:name="_Toc26155"/>
      <w:bookmarkStart w:id="1873" w:name="_Toc20324"/>
      <w:bookmarkStart w:id="1874" w:name="_Toc19540"/>
      <w:bookmarkStart w:id="1875" w:name="_Toc1321"/>
      <w:bookmarkStart w:id="1876" w:name="_Toc27840"/>
      <w:bookmarkStart w:id="1877" w:name="bookmark1553"/>
      <w:bookmarkStart w:id="1878" w:name="bookmark1555"/>
      <w:bookmarkStart w:id="1879" w:name="_Toc13664"/>
      <w:bookmarkStart w:id="1880" w:name="_Toc15446"/>
      <w:r>
        <w:rPr>
          <w:rFonts w:hint="eastAsia" w:ascii="宋体" w:hAnsi="宋体" w:cs="宋体"/>
          <w:color w:val="auto"/>
          <w:sz w:val="24"/>
          <w:szCs w:val="24"/>
          <w:lang w:eastAsia="zh-CN"/>
        </w:rPr>
        <w:t>23.4发包人的索赔</w:t>
      </w:r>
      <w:bookmarkEnd w:id="1871"/>
      <w:bookmarkEnd w:id="1872"/>
      <w:bookmarkEnd w:id="1873"/>
      <w:bookmarkEnd w:id="1874"/>
      <w:bookmarkEnd w:id="1875"/>
      <w:bookmarkEnd w:id="1876"/>
      <w:bookmarkEnd w:id="1877"/>
      <w:bookmarkEnd w:id="1878"/>
      <w:bookmarkEnd w:id="1879"/>
      <w:bookmarkEnd w:id="1880"/>
    </w:p>
    <w:p w14:paraId="2DF9EFCE">
      <w:pPr>
        <w:pStyle w:val="95"/>
        <w:spacing w:line="367" w:lineRule="exact"/>
        <w:ind w:firstLine="440"/>
        <w:jc w:val="both"/>
        <w:rPr>
          <w:color w:val="auto"/>
        </w:rPr>
      </w:pPr>
      <w:r>
        <w:rPr>
          <w:rFonts w:hint="eastAsia"/>
          <w:color w:val="auto"/>
          <w:lang w:val="en-US" w:bidi="en-US"/>
        </w:rPr>
        <w:t>23.4.1</w:t>
      </w:r>
      <w:r>
        <w:rPr>
          <w:rFonts w:hint="eastAsia"/>
          <w:color w:val="auto"/>
        </w:rPr>
        <w:t>发生索赔事件后，监理人应及时书面通知承包人，详细说明发包人有权得到的索赔金额和(或)延长缺陷责任期的细节和依据。发包人提出索赔的期限和要求与第</w:t>
      </w:r>
      <w:bookmarkStart w:id="1881" w:name="bookmark1556"/>
      <w:bookmarkEnd w:id="1881"/>
      <w:r>
        <w:rPr>
          <w:rFonts w:hint="eastAsia"/>
          <w:color w:val="auto"/>
          <w:lang w:val="en-US"/>
        </w:rPr>
        <w:t>23.</w:t>
      </w:r>
      <w:r>
        <w:rPr>
          <w:rFonts w:hint="eastAsia"/>
          <w:color w:val="auto"/>
        </w:rPr>
        <w:t>3款的约定相同，延长缺陷责任期的通知应在缺陷责任期届满前发出。</w:t>
      </w:r>
    </w:p>
    <w:p w14:paraId="3C49C7CC">
      <w:pPr>
        <w:pStyle w:val="95"/>
        <w:spacing w:line="367" w:lineRule="exact"/>
        <w:ind w:firstLine="440"/>
        <w:jc w:val="both"/>
        <w:rPr>
          <w:color w:val="auto"/>
        </w:rPr>
      </w:pPr>
      <w:r>
        <w:rPr>
          <w:rFonts w:hint="eastAsia"/>
          <w:color w:val="auto"/>
          <w:lang w:val="en-US" w:bidi="en-US"/>
        </w:rPr>
        <w:t>23.4.2</w:t>
      </w:r>
      <w:r>
        <w:rPr>
          <w:rFonts w:hint="eastAsia"/>
          <w:color w:val="auto"/>
        </w:rPr>
        <w:t>监理人按第</w:t>
      </w:r>
      <w:r>
        <w:rPr>
          <w:rFonts w:hint="eastAsia"/>
          <w:color w:val="auto"/>
          <w:lang w:val="en-US" w:bidi="en-US"/>
        </w:rPr>
        <w:t>3.</w:t>
      </w:r>
      <w:r>
        <w:rPr>
          <w:rFonts w:hint="eastAsia"/>
          <w:color w:val="auto"/>
        </w:rPr>
        <w:t>5款商定或确定发包人从承包人处得到赔付的金额和(或)缺陷责任期的延长期。承包人应付给发包人的金额可从拟支付给承包人的合同价款中扣除, 或由承包人以其他方式支付给发包人。</w:t>
      </w:r>
    </w:p>
    <w:p w14:paraId="51BECA75">
      <w:pPr>
        <w:pStyle w:val="95"/>
        <w:spacing w:line="354" w:lineRule="exact"/>
        <w:ind w:firstLine="440"/>
        <w:jc w:val="both"/>
        <w:rPr>
          <w:color w:val="auto"/>
        </w:rPr>
      </w:pPr>
      <w:r>
        <w:rPr>
          <w:rFonts w:hint="eastAsia"/>
          <w:color w:val="auto"/>
          <w:lang w:val="en-US" w:bidi="en-US"/>
        </w:rPr>
        <w:t>23.4.</w:t>
      </w:r>
      <w:r>
        <w:rPr>
          <w:rFonts w:hint="eastAsia"/>
          <w:color w:val="auto"/>
        </w:rPr>
        <w:t>3承包人对监理人按第</w:t>
      </w:r>
      <w:r>
        <w:rPr>
          <w:rFonts w:hint="eastAsia"/>
          <w:color w:val="auto"/>
          <w:lang w:val="en-US" w:bidi="en-US"/>
        </w:rPr>
        <w:t>23.4.</w:t>
      </w:r>
      <w:r>
        <w:rPr>
          <w:rFonts w:hint="eastAsia"/>
          <w:color w:val="auto"/>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color w:val="auto"/>
          <w:lang w:val="en-US" w:bidi="en-US"/>
        </w:rPr>
        <w:t>23.4.2</w:t>
      </w:r>
      <w:r>
        <w:rPr>
          <w:rFonts w:hint="eastAsia"/>
          <w:color w:val="auto"/>
        </w:rPr>
        <w:t>项的约定执 行赔付。若承包人不接受监理人的索赔处理意见，可按本合同第24条的规定办理。</w:t>
      </w:r>
    </w:p>
    <w:p w14:paraId="1F095DD6">
      <w:pPr>
        <w:pStyle w:val="101"/>
        <w:spacing w:before="0" w:after="0" w:line="360" w:lineRule="exact"/>
        <w:rPr>
          <w:rFonts w:ascii="宋体" w:hAnsi="宋体" w:cs="宋体"/>
          <w:color w:val="auto"/>
          <w:lang w:eastAsia="zh-CN"/>
        </w:rPr>
      </w:pPr>
      <w:bookmarkStart w:id="1882" w:name="bookmark1559"/>
      <w:bookmarkEnd w:id="1882"/>
      <w:bookmarkStart w:id="1883" w:name="_Toc32550"/>
      <w:bookmarkStart w:id="1884" w:name="bookmark1560"/>
      <w:bookmarkStart w:id="1885" w:name="_Toc6231"/>
      <w:bookmarkStart w:id="1886" w:name="bookmark1558"/>
      <w:bookmarkStart w:id="1887" w:name="_Toc12079"/>
      <w:bookmarkStart w:id="1888" w:name="_Toc4900"/>
      <w:bookmarkStart w:id="1889" w:name="_Toc25791"/>
      <w:bookmarkStart w:id="1890" w:name="_Toc10449"/>
      <w:bookmarkStart w:id="1891" w:name="_Toc19085"/>
      <w:bookmarkStart w:id="1892" w:name="bookmark1557"/>
      <w:r>
        <w:rPr>
          <w:rFonts w:hint="eastAsia" w:ascii="宋体" w:hAnsi="宋体" w:cs="宋体"/>
          <w:color w:val="auto"/>
          <w:lang w:eastAsia="zh-CN"/>
        </w:rPr>
        <w:t>24.争议的解决</w:t>
      </w:r>
      <w:bookmarkEnd w:id="1883"/>
      <w:bookmarkEnd w:id="1884"/>
      <w:bookmarkEnd w:id="1885"/>
      <w:bookmarkEnd w:id="1886"/>
      <w:bookmarkEnd w:id="1887"/>
      <w:bookmarkEnd w:id="1888"/>
      <w:bookmarkEnd w:id="1889"/>
      <w:bookmarkEnd w:id="1890"/>
      <w:bookmarkEnd w:id="1891"/>
      <w:bookmarkEnd w:id="1892"/>
    </w:p>
    <w:p w14:paraId="0A85A3C7">
      <w:pPr>
        <w:pStyle w:val="101"/>
        <w:spacing w:before="0" w:after="0" w:line="360" w:lineRule="exact"/>
        <w:rPr>
          <w:rFonts w:ascii="宋体" w:hAnsi="宋体" w:cs="宋体"/>
          <w:color w:val="auto"/>
          <w:sz w:val="24"/>
          <w:szCs w:val="24"/>
          <w:lang w:eastAsia="zh-CN"/>
        </w:rPr>
      </w:pPr>
      <w:bookmarkStart w:id="1893" w:name="_Toc5262"/>
      <w:bookmarkStart w:id="1894" w:name="_Toc16491"/>
      <w:bookmarkStart w:id="1895" w:name="bookmark1561"/>
      <w:bookmarkStart w:id="1896" w:name="_Toc12687"/>
      <w:bookmarkStart w:id="1897" w:name="bookmark1563"/>
      <w:bookmarkStart w:id="1898" w:name="_Toc3210"/>
      <w:bookmarkStart w:id="1899" w:name="_Toc16058"/>
      <w:bookmarkStart w:id="1900" w:name="_Toc3078"/>
      <w:bookmarkStart w:id="1901" w:name="bookmark1562"/>
      <w:bookmarkStart w:id="1902" w:name="_Toc11003"/>
      <w:r>
        <w:rPr>
          <w:rFonts w:hint="eastAsia" w:ascii="宋体" w:hAnsi="宋体" w:cs="宋体"/>
          <w:color w:val="auto"/>
          <w:sz w:val="24"/>
          <w:szCs w:val="24"/>
          <w:lang w:eastAsia="zh-CN"/>
        </w:rPr>
        <w:t>24.1争议的解决方式</w:t>
      </w:r>
      <w:bookmarkEnd w:id="1893"/>
      <w:bookmarkEnd w:id="1894"/>
      <w:bookmarkEnd w:id="1895"/>
      <w:bookmarkEnd w:id="1896"/>
      <w:bookmarkEnd w:id="1897"/>
      <w:bookmarkEnd w:id="1898"/>
      <w:bookmarkEnd w:id="1899"/>
      <w:bookmarkEnd w:id="1900"/>
      <w:bookmarkEnd w:id="1901"/>
      <w:bookmarkEnd w:id="1902"/>
    </w:p>
    <w:p w14:paraId="46AA4947">
      <w:pPr>
        <w:pStyle w:val="95"/>
        <w:spacing w:line="362" w:lineRule="exact"/>
        <w:ind w:firstLine="420"/>
        <w:jc w:val="both"/>
        <w:rPr>
          <w:color w:val="auto"/>
        </w:rPr>
      </w:pPr>
      <w:r>
        <w:rPr>
          <w:rFonts w:hint="eastAsia"/>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888BD5D">
      <w:pPr>
        <w:pStyle w:val="95"/>
        <w:numPr>
          <w:ilvl w:val="0"/>
          <w:numId w:val="36"/>
        </w:numPr>
        <w:tabs>
          <w:tab w:val="left" w:pos="901"/>
        </w:tabs>
        <w:spacing w:line="382" w:lineRule="auto"/>
        <w:ind w:firstLine="420"/>
        <w:jc w:val="both"/>
        <w:rPr>
          <w:color w:val="auto"/>
        </w:rPr>
      </w:pPr>
      <w:bookmarkStart w:id="1903" w:name="bookmark1564"/>
      <w:bookmarkEnd w:id="1903"/>
      <w:r>
        <w:rPr>
          <w:rFonts w:hint="eastAsia"/>
          <w:color w:val="auto"/>
        </w:rPr>
        <w:t>向约定的仲裁委员会申请仲裁；</w:t>
      </w:r>
    </w:p>
    <w:p w14:paraId="72E76516">
      <w:pPr>
        <w:pStyle w:val="95"/>
        <w:numPr>
          <w:ilvl w:val="0"/>
          <w:numId w:val="36"/>
        </w:numPr>
        <w:tabs>
          <w:tab w:val="left" w:pos="901"/>
        </w:tabs>
        <w:spacing w:line="379" w:lineRule="auto"/>
        <w:ind w:firstLine="420"/>
        <w:jc w:val="both"/>
        <w:rPr>
          <w:color w:val="auto"/>
        </w:rPr>
      </w:pPr>
      <w:bookmarkStart w:id="1904" w:name="bookmark1565"/>
      <w:bookmarkEnd w:id="1904"/>
      <w:r>
        <w:rPr>
          <w:rFonts w:hint="eastAsia"/>
          <w:color w:val="auto"/>
        </w:rPr>
        <w:t>向有管辖权的人民法院提起诉讼。</w:t>
      </w:r>
    </w:p>
    <w:p w14:paraId="2B2F5F65">
      <w:pPr>
        <w:pStyle w:val="101"/>
        <w:spacing w:before="0" w:after="0" w:line="360" w:lineRule="exact"/>
        <w:rPr>
          <w:rFonts w:ascii="宋体" w:hAnsi="宋体" w:cs="宋体"/>
          <w:color w:val="auto"/>
          <w:sz w:val="24"/>
          <w:szCs w:val="24"/>
          <w:lang w:eastAsia="zh-CN"/>
        </w:rPr>
      </w:pPr>
      <w:bookmarkStart w:id="1905" w:name="bookmark1568"/>
      <w:bookmarkStart w:id="1906" w:name="_Toc18700"/>
      <w:bookmarkStart w:id="1907" w:name="_Toc7072"/>
      <w:bookmarkStart w:id="1908" w:name="_Toc9806"/>
      <w:bookmarkStart w:id="1909" w:name="bookmark1566"/>
      <w:bookmarkStart w:id="1910" w:name="_Toc13288"/>
      <w:bookmarkStart w:id="1911" w:name="_Toc13255"/>
      <w:bookmarkStart w:id="1912" w:name="_Toc9979"/>
      <w:bookmarkStart w:id="1913" w:name="bookmark1567"/>
      <w:bookmarkStart w:id="1914" w:name="_Toc9157"/>
      <w:r>
        <w:rPr>
          <w:rFonts w:hint="eastAsia" w:ascii="宋体" w:hAnsi="宋体" w:cs="宋体"/>
          <w:color w:val="auto"/>
          <w:sz w:val="24"/>
          <w:szCs w:val="24"/>
          <w:lang w:eastAsia="zh-CN"/>
        </w:rPr>
        <w:t>24.2友好解决</w:t>
      </w:r>
      <w:bookmarkEnd w:id="1905"/>
      <w:bookmarkEnd w:id="1906"/>
      <w:bookmarkEnd w:id="1907"/>
      <w:bookmarkEnd w:id="1908"/>
      <w:bookmarkEnd w:id="1909"/>
      <w:bookmarkEnd w:id="1910"/>
      <w:bookmarkEnd w:id="1911"/>
      <w:bookmarkEnd w:id="1912"/>
      <w:bookmarkEnd w:id="1913"/>
      <w:bookmarkEnd w:id="1914"/>
    </w:p>
    <w:p w14:paraId="5DBACFBC">
      <w:pPr>
        <w:pStyle w:val="95"/>
        <w:spacing w:line="346" w:lineRule="exact"/>
        <w:ind w:firstLine="440"/>
        <w:jc w:val="both"/>
        <w:rPr>
          <w:color w:val="auto"/>
        </w:rPr>
      </w:pPr>
      <w:r>
        <w:rPr>
          <w:rFonts w:hint="eastAsia"/>
          <w:color w:val="auto"/>
        </w:rPr>
        <w:t>在提请争议评审、仲裁或者诉讼前，以及在争议评审、仲裁或诉讼过程中，发包人和承包人均可共同努力友好协商解决争议。</w:t>
      </w:r>
    </w:p>
    <w:p w14:paraId="5991B2B6">
      <w:pPr>
        <w:pStyle w:val="101"/>
        <w:spacing w:before="0" w:after="0" w:line="360" w:lineRule="exact"/>
        <w:rPr>
          <w:rFonts w:ascii="宋体" w:hAnsi="宋体" w:cs="宋体"/>
          <w:color w:val="auto"/>
          <w:sz w:val="24"/>
          <w:szCs w:val="24"/>
          <w:lang w:eastAsia="zh-CN"/>
        </w:rPr>
      </w:pPr>
      <w:bookmarkStart w:id="1915" w:name="_Toc22991"/>
      <w:bookmarkStart w:id="1916" w:name="bookmark1570"/>
      <w:bookmarkStart w:id="1917" w:name="bookmark1569"/>
      <w:bookmarkStart w:id="1918" w:name="_Toc2712"/>
      <w:bookmarkStart w:id="1919" w:name="_Toc25841"/>
      <w:bookmarkStart w:id="1920" w:name="_Toc12305"/>
      <w:bookmarkStart w:id="1921" w:name="_Toc3702"/>
      <w:bookmarkStart w:id="1922" w:name="_Toc19711"/>
      <w:bookmarkStart w:id="1923" w:name="_Toc20374"/>
      <w:bookmarkStart w:id="1924" w:name="bookmark1571"/>
      <w:r>
        <w:rPr>
          <w:rFonts w:hint="eastAsia" w:ascii="宋体" w:hAnsi="宋体" w:cs="宋体"/>
          <w:color w:val="auto"/>
          <w:sz w:val="24"/>
          <w:szCs w:val="24"/>
          <w:lang w:eastAsia="zh-CN"/>
        </w:rPr>
        <w:t>24.3争议评审</w:t>
      </w:r>
      <w:bookmarkEnd w:id="1915"/>
      <w:bookmarkEnd w:id="1916"/>
      <w:bookmarkEnd w:id="1917"/>
      <w:bookmarkEnd w:id="1918"/>
      <w:bookmarkEnd w:id="1919"/>
      <w:bookmarkEnd w:id="1920"/>
      <w:bookmarkEnd w:id="1921"/>
      <w:bookmarkEnd w:id="1922"/>
      <w:bookmarkEnd w:id="1923"/>
      <w:bookmarkEnd w:id="1924"/>
    </w:p>
    <w:p w14:paraId="1078A7E9">
      <w:pPr>
        <w:pStyle w:val="95"/>
        <w:spacing w:line="379" w:lineRule="exact"/>
        <w:ind w:firstLine="440"/>
        <w:jc w:val="both"/>
        <w:rPr>
          <w:color w:val="auto"/>
        </w:rPr>
      </w:pPr>
      <w:r>
        <w:rPr>
          <w:rFonts w:hint="eastAsia"/>
          <w:color w:val="auto"/>
          <w:lang w:val="en-US" w:bidi="en-US"/>
        </w:rPr>
        <w:t>24.3.1</w:t>
      </w:r>
      <w:r>
        <w:rPr>
          <w:rFonts w:hint="eastAsia"/>
          <w:color w:val="auto"/>
        </w:rPr>
        <w:t>采用争议评审的，发包人和承包人应在开工日后的28天内或在争议发生后, 协商成立争议评审组。争议评审组由有合同管理和工程实践经验的专家组成。</w:t>
      </w:r>
    </w:p>
    <w:p w14:paraId="63D4791F">
      <w:pPr>
        <w:pStyle w:val="95"/>
        <w:spacing w:line="358" w:lineRule="exact"/>
        <w:ind w:firstLine="440"/>
        <w:jc w:val="both"/>
        <w:rPr>
          <w:color w:val="auto"/>
        </w:rPr>
      </w:pPr>
      <w:r>
        <w:rPr>
          <w:rFonts w:hint="eastAsia"/>
          <w:color w:val="auto"/>
          <w:lang w:val="en-US" w:bidi="en-US"/>
        </w:rPr>
        <w:t>24.3.2</w:t>
      </w:r>
      <w:r>
        <w:rPr>
          <w:rFonts w:hint="eastAsia"/>
          <w:color w:val="auto"/>
        </w:rPr>
        <w:t>合同双方的争议，应首先由申请人向争议评审组提交一份详细的评审申请报告，并附必要的文件、图纸和证明材料，申请人还应将上述报告的副本同时提交给被申请人和监理人。</w:t>
      </w:r>
    </w:p>
    <w:p w14:paraId="55EAF412">
      <w:pPr>
        <w:pStyle w:val="95"/>
        <w:spacing w:line="379" w:lineRule="exact"/>
        <w:ind w:firstLine="440"/>
        <w:jc w:val="both"/>
        <w:rPr>
          <w:color w:val="auto"/>
        </w:rPr>
      </w:pPr>
      <w:r>
        <w:rPr>
          <w:rFonts w:hint="eastAsia"/>
          <w:color w:val="auto"/>
          <w:lang w:val="en-US" w:bidi="en-US"/>
        </w:rPr>
        <w:t>24.3.3</w:t>
      </w:r>
      <w:r>
        <w:rPr>
          <w:rFonts w:hint="eastAsia"/>
          <w:color w:val="auto"/>
        </w:rPr>
        <w:t>被申请人在收到申请人评审申请报告副本后的28天内，向争议评审组提交一份答辩报告，并附证明材料。被申请人应将答辩报告的副本同时提交给申请人和监理人。</w:t>
      </w:r>
    </w:p>
    <w:p w14:paraId="18F07870">
      <w:pPr>
        <w:pStyle w:val="95"/>
        <w:spacing w:line="364" w:lineRule="exact"/>
        <w:ind w:firstLine="440"/>
        <w:jc w:val="both"/>
        <w:rPr>
          <w:color w:val="auto"/>
        </w:rPr>
      </w:pPr>
      <w:r>
        <w:rPr>
          <w:rFonts w:hint="eastAsia"/>
          <w:color w:val="auto"/>
          <w:lang w:val="en-US" w:bidi="en-US"/>
        </w:rPr>
        <w:t>24.3.4</w:t>
      </w:r>
      <w:r>
        <w:rPr>
          <w:rFonts w:hint="eastAsia"/>
          <w:color w:val="auto"/>
        </w:rPr>
        <w:t>除专用合同条款另有约定外，争议评审组在收到合同双方报告后的14天内， 邀请双方代表和有关人员举行调查会，向双方调查争议细节；必要时争议评审组可要求双方进一步提供补充材料。</w:t>
      </w:r>
    </w:p>
    <w:p w14:paraId="473037C6">
      <w:pPr>
        <w:pStyle w:val="95"/>
        <w:spacing w:line="364" w:lineRule="exact"/>
        <w:ind w:firstLine="440"/>
        <w:jc w:val="both"/>
        <w:rPr>
          <w:color w:val="auto"/>
        </w:rPr>
      </w:pPr>
      <w:bookmarkStart w:id="1925" w:name="bookmark1572"/>
      <w:bookmarkEnd w:id="1925"/>
      <w:r>
        <w:rPr>
          <w:rFonts w:hint="eastAsia"/>
          <w:color w:val="auto"/>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446F7A5">
      <w:pPr>
        <w:pStyle w:val="95"/>
        <w:spacing w:line="365" w:lineRule="exact"/>
        <w:ind w:firstLine="440"/>
        <w:jc w:val="both"/>
        <w:rPr>
          <w:color w:val="auto"/>
        </w:rPr>
      </w:pPr>
      <w:r>
        <w:rPr>
          <w:rFonts w:hint="eastAsia"/>
          <w:color w:val="auto"/>
          <w:lang w:val="en-US" w:bidi="en-US"/>
        </w:rPr>
        <w:t>24.3.6</w:t>
      </w:r>
      <w:r>
        <w:rPr>
          <w:rFonts w:hint="eastAsia"/>
          <w:color w:val="auto"/>
        </w:rPr>
        <w:t>发包人和承包人接受评审意见的，由监理人根据评审意见拟定执行协议，经争议双方签字后作为合同的补充文件，并遵照执行。</w:t>
      </w:r>
    </w:p>
    <w:p w14:paraId="3FECE6C4">
      <w:pPr>
        <w:pStyle w:val="95"/>
        <w:spacing w:line="359" w:lineRule="exact"/>
        <w:ind w:firstLine="440"/>
        <w:jc w:val="both"/>
        <w:rPr>
          <w:color w:val="auto"/>
        </w:rPr>
      </w:pPr>
      <w:r>
        <w:rPr>
          <w:rFonts w:hint="eastAsia"/>
          <w:color w:val="auto"/>
          <w:lang w:val="en-US" w:bidi="en-US"/>
        </w:rPr>
        <w:t>24.3.7</w:t>
      </w:r>
      <w:r>
        <w:rPr>
          <w:rFonts w:hint="eastAsia"/>
          <w:color w:val="auto"/>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2DB2F356">
      <w:pPr>
        <w:pStyle w:val="101"/>
        <w:spacing w:before="0" w:after="0" w:line="360" w:lineRule="exact"/>
        <w:rPr>
          <w:rFonts w:ascii="宋体" w:hAnsi="宋体" w:cs="宋体"/>
          <w:color w:val="auto"/>
          <w:sz w:val="24"/>
          <w:szCs w:val="24"/>
          <w:lang w:eastAsia="zh-CN"/>
        </w:rPr>
      </w:pPr>
      <w:bookmarkStart w:id="1926" w:name="_Toc23723"/>
      <w:bookmarkStart w:id="1927" w:name="_Toc548"/>
      <w:bookmarkStart w:id="1928" w:name="bookmark1573"/>
      <w:bookmarkStart w:id="1929" w:name="bookmark1574"/>
      <w:bookmarkStart w:id="1930" w:name="bookmark1575"/>
      <w:bookmarkStart w:id="1931" w:name="_Toc27270"/>
      <w:bookmarkStart w:id="1932" w:name="_Toc1829"/>
      <w:bookmarkStart w:id="1933" w:name="_Toc10843"/>
      <w:bookmarkStart w:id="1934" w:name="_Toc22785"/>
      <w:bookmarkStart w:id="1935" w:name="_Toc6757"/>
      <w:r>
        <w:rPr>
          <w:rFonts w:hint="eastAsia" w:ascii="宋体" w:hAnsi="宋体" w:cs="宋体"/>
          <w:color w:val="auto"/>
          <w:sz w:val="24"/>
          <w:szCs w:val="24"/>
          <w:lang w:eastAsia="zh-CN"/>
        </w:rPr>
        <w:t>24.4仲裁</w:t>
      </w:r>
      <w:bookmarkEnd w:id="1926"/>
      <w:bookmarkEnd w:id="1927"/>
      <w:bookmarkEnd w:id="1928"/>
      <w:bookmarkEnd w:id="1929"/>
      <w:bookmarkEnd w:id="1930"/>
      <w:bookmarkEnd w:id="1931"/>
      <w:bookmarkEnd w:id="1932"/>
      <w:bookmarkEnd w:id="1933"/>
      <w:bookmarkEnd w:id="1934"/>
      <w:bookmarkEnd w:id="1935"/>
    </w:p>
    <w:p w14:paraId="2FF4A467">
      <w:pPr>
        <w:pStyle w:val="95"/>
        <w:spacing w:line="384" w:lineRule="auto"/>
        <w:ind w:firstLine="420"/>
        <w:jc w:val="both"/>
        <w:rPr>
          <w:color w:val="auto"/>
        </w:rPr>
      </w:pPr>
      <w:r>
        <w:rPr>
          <w:rFonts w:hint="eastAsia"/>
          <w:color w:val="auto"/>
          <w:lang w:val="en-US" w:bidi="en-US"/>
        </w:rPr>
        <w:t>24.4.1</w:t>
      </w:r>
      <w:r>
        <w:rPr>
          <w:rFonts w:hint="eastAsia"/>
          <w:color w:val="auto"/>
        </w:rPr>
        <w:t>若合同双方商定直接向仲裁机构申请仲裁，应签订仲裁协议并约定仲裁机构。</w:t>
      </w:r>
    </w:p>
    <w:p w14:paraId="326D1A90">
      <w:pPr>
        <w:pStyle w:val="95"/>
        <w:spacing w:line="367" w:lineRule="exact"/>
        <w:ind w:firstLine="440"/>
        <w:jc w:val="both"/>
        <w:rPr>
          <w:color w:val="auto"/>
        </w:rPr>
      </w:pPr>
      <w:r>
        <w:rPr>
          <w:rFonts w:hint="eastAsia"/>
          <w:color w:val="auto"/>
          <w:lang w:val="en-US" w:bidi="en-US"/>
        </w:rPr>
        <w:t>24.4.2</w:t>
      </w:r>
      <w:r>
        <w:rPr>
          <w:rFonts w:hint="eastAsia"/>
          <w:color w:val="auto"/>
        </w:rPr>
        <w:t>若合同双方未能达成仲裁协议，则本合同的仲裁条款无效，任一方均有权向人民法院提起诉讼。</w:t>
      </w:r>
    </w:p>
    <w:p w14:paraId="7FCC73AC">
      <w:pPr>
        <w:pStyle w:val="100"/>
        <w:spacing w:before="0" w:after="0"/>
        <w:rPr>
          <w:rFonts w:eastAsia="宋体"/>
          <w:color w:val="auto"/>
          <w:sz w:val="32"/>
          <w:szCs w:val="32"/>
          <w:lang w:eastAsia="zh-CN"/>
        </w:rPr>
      </w:pPr>
      <w:bookmarkStart w:id="1936" w:name="_Toc1972"/>
      <w:bookmarkStart w:id="1937" w:name="bookmark1577"/>
      <w:bookmarkStart w:id="1938" w:name="_Toc14907"/>
      <w:bookmarkStart w:id="1939" w:name="bookmark1576"/>
      <w:bookmarkStart w:id="1940" w:name="_Toc27368"/>
      <w:bookmarkStart w:id="1941" w:name="bookmark1578"/>
      <w:r>
        <w:rPr>
          <w:rFonts w:hint="eastAsia" w:eastAsia="宋体"/>
          <w:color w:val="auto"/>
          <w:sz w:val="32"/>
          <w:szCs w:val="32"/>
          <w:lang w:eastAsia="zh-CN"/>
        </w:rPr>
        <w:br w:type="page"/>
      </w:r>
      <w:bookmarkStart w:id="1942" w:name="_Toc332"/>
      <w:bookmarkStart w:id="1943" w:name="_Toc30303"/>
      <w:bookmarkStart w:id="1944" w:name="_Toc28143"/>
      <w:bookmarkStart w:id="1945" w:name="_Toc8100"/>
      <w:bookmarkStart w:id="1946" w:name="_Toc24730"/>
      <w:r>
        <w:rPr>
          <w:rFonts w:hint="eastAsia" w:eastAsia="宋体"/>
          <w:color w:val="auto"/>
          <w:sz w:val="32"/>
          <w:szCs w:val="32"/>
          <w:lang w:eastAsia="zh-CN"/>
        </w:rPr>
        <w:t>第二节 专用合同条款</w:t>
      </w:r>
      <w:bookmarkEnd w:id="1936"/>
      <w:bookmarkEnd w:id="1937"/>
      <w:bookmarkEnd w:id="1938"/>
      <w:bookmarkEnd w:id="1939"/>
      <w:bookmarkEnd w:id="1940"/>
      <w:bookmarkEnd w:id="1941"/>
      <w:bookmarkEnd w:id="1942"/>
      <w:bookmarkEnd w:id="1943"/>
      <w:bookmarkEnd w:id="1944"/>
      <w:bookmarkEnd w:id="1945"/>
      <w:bookmarkEnd w:id="1946"/>
    </w:p>
    <w:p w14:paraId="44AED4BD">
      <w:pPr>
        <w:pStyle w:val="4"/>
        <w:spacing w:before="0" w:after="0" w:line="460" w:lineRule="exact"/>
        <w:rPr>
          <w:rFonts w:ascii="宋体" w:hAnsi="宋体" w:cs="宋体"/>
          <w:color w:val="auto"/>
          <w:sz w:val="21"/>
          <w:szCs w:val="21"/>
        </w:rPr>
      </w:pPr>
      <w:bookmarkStart w:id="1947" w:name="bookmark1581"/>
      <w:bookmarkEnd w:id="1947"/>
      <w:bookmarkStart w:id="1948" w:name="_Toc222033878"/>
      <w:bookmarkStart w:id="1949" w:name="_Toc229305387"/>
      <w:bookmarkStart w:id="1950" w:name="_Toc222031029"/>
      <w:bookmarkStart w:id="1951" w:name="_Toc222032696"/>
      <w:bookmarkStart w:id="1952" w:name="_Toc221951111"/>
      <w:bookmarkStart w:id="1953" w:name="_Toc23719"/>
      <w:bookmarkStart w:id="1954" w:name="_Toc222029527"/>
      <w:bookmarkStart w:id="1955" w:name="_Toc7183"/>
      <w:bookmarkStart w:id="1956" w:name="_Toc10268"/>
      <w:bookmarkStart w:id="1957" w:name="_Toc14930"/>
      <w:bookmarkStart w:id="1958" w:name="bookmark1892"/>
      <w:bookmarkStart w:id="1959" w:name="bookmark1891"/>
      <w:bookmarkStart w:id="1960" w:name="bookmark1893"/>
      <w:bookmarkStart w:id="1961" w:name="_Toc15420"/>
      <w:r>
        <w:rPr>
          <w:rFonts w:hint="eastAsia" w:ascii="宋体" w:hAnsi="宋体" w:cs="宋体"/>
          <w:color w:val="auto"/>
          <w:sz w:val="21"/>
          <w:szCs w:val="21"/>
        </w:rPr>
        <w:t>1．一般约定</w:t>
      </w:r>
      <w:bookmarkEnd w:id="1948"/>
      <w:bookmarkEnd w:id="1949"/>
      <w:bookmarkEnd w:id="1950"/>
      <w:bookmarkEnd w:id="1951"/>
      <w:bookmarkEnd w:id="1952"/>
      <w:bookmarkEnd w:id="1953"/>
      <w:bookmarkEnd w:id="1954"/>
      <w:bookmarkEnd w:id="1955"/>
    </w:p>
    <w:p w14:paraId="3A034AC6">
      <w:pPr>
        <w:pStyle w:val="4"/>
        <w:spacing w:before="0" w:after="0" w:line="460" w:lineRule="exact"/>
        <w:rPr>
          <w:rFonts w:ascii="宋体" w:hAnsi="宋体" w:cs="宋体"/>
          <w:color w:val="auto"/>
          <w:sz w:val="21"/>
          <w:szCs w:val="21"/>
        </w:rPr>
      </w:pPr>
      <w:bookmarkStart w:id="1962" w:name="_Toc2760"/>
      <w:bookmarkStart w:id="1963" w:name="_Toc221951112"/>
      <w:bookmarkStart w:id="1964" w:name="_Toc8129"/>
      <w:r>
        <w:rPr>
          <w:rFonts w:hint="eastAsia" w:ascii="宋体" w:hAnsi="宋体" w:cs="宋体"/>
          <w:color w:val="auto"/>
          <w:sz w:val="21"/>
          <w:szCs w:val="21"/>
        </w:rPr>
        <w:t>1.1  词语定义</w:t>
      </w:r>
      <w:bookmarkEnd w:id="1962"/>
      <w:bookmarkEnd w:id="1963"/>
      <w:bookmarkEnd w:id="1964"/>
    </w:p>
    <w:p w14:paraId="7DE9E3DD">
      <w:pPr>
        <w:spacing w:line="460" w:lineRule="exact"/>
        <w:ind w:firstLine="422" w:firstLineChars="200"/>
        <w:rPr>
          <w:rFonts w:ascii="宋体" w:hAnsi="宋体" w:cs="宋体"/>
          <w:color w:val="auto"/>
          <w:szCs w:val="21"/>
        </w:rPr>
      </w:pPr>
      <w:bookmarkStart w:id="1965" w:name="_Toc221951113"/>
      <w:r>
        <w:rPr>
          <w:rFonts w:hint="eastAsia" w:ascii="宋体" w:hAnsi="宋体" w:cs="宋体"/>
          <w:b/>
          <w:color w:val="auto"/>
          <w:szCs w:val="21"/>
        </w:rPr>
        <w:t xml:space="preserve">1.1.2 </w:t>
      </w:r>
      <w:r>
        <w:rPr>
          <w:rFonts w:hint="eastAsia" w:ascii="宋体" w:hAnsi="宋体" w:cs="宋体"/>
          <w:color w:val="auto"/>
          <w:szCs w:val="21"/>
        </w:rPr>
        <w:t xml:space="preserve"> 合同当事人和人员</w:t>
      </w:r>
      <w:bookmarkEnd w:id="1965"/>
    </w:p>
    <w:p w14:paraId="22E11ECC">
      <w:pPr>
        <w:spacing w:line="460" w:lineRule="exact"/>
        <w:ind w:firstLine="422" w:firstLineChars="200"/>
        <w:rPr>
          <w:rFonts w:ascii="宋体" w:hAnsi="宋体" w:cs="宋体"/>
          <w:color w:val="auto"/>
          <w:szCs w:val="21"/>
        </w:rPr>
      </w:pPr>
      <w:bookmarkStart w:id="1966" w:name="_Toc221951114"/>
      <w:r>
        <w:rPr>
          <w:rFonts w:hint="eastAsia" w:ascii="宋体" w:hAnsi="宋体" w:cs="宋体"/>
          <w:b/>
          <w:color w:val="auto"/>
          <w:szCs w:val="21"/>
        </w:rPr>
        <w:t xml:space="preserve">1.1.2.2 </w:t>
      </w:r>
      <w:r>
        <w:rPr>
          <w:rFonts w:hint="eastAsia" w:ascii="宋体" w:hAnsi="宋体" w:cs="宋体"/>
          <w:color w:val="auto"/>
          <w:szCs w:val="21"/>
        </w:rPr>
        <w:t xml:space="preserve"> 发包人：</w:t>
      </w:r>
      <w:r>
        <w:rPr>
          <w:rFonts w:hint="eastAsia" w:ascii="宋体" w:hAnsi="宋体" w:cs="宋体"/>
          <w:color w:val="auto"/>
          <w:szCs w:val="21"/>
          <w:u w:val="single"/>
        </w:rPr>
        <w:t xml:space="preserve">                     </w:t>
      </w:r>
      <w:r>
        <w:rPr>
          <w:rFonts w:hint="eastAsia" w:ascii="宋体" w:hAnsi="宋体" w:cs="宋体"/>
          <w:color w:val="auto"/>
          <w:szCs w:val="21"/>
        </w:rPr>
        <w:t>。</w:t>
      </w:r>
      <w:bookmarkEnd w:id="1966"/>
    </w:p>
    <w:p w14:paraId="15E90407">
      <w:pPr>
        <w:spacing w:line="460" w:lineRule="exact"/>
        <w:ind w:firstLine="422" w:firstLineChars="200"/>
        <w:rPr>
          <w:rFonts w:ascii="宋体" w:hAnsi="宋体" w:cs="宋体"/>
          <w:color w:val="auto"/>
          <w:szCs w:val="21"/>
        </w:rPr>
      </w:pPr>
      <w:bookmarkStart w:id="1967" w:name="_Toc221951115"/>
      <w:r>
        <w:rPr>
          <w:rFonts w:hint="eastAsia" w:ascii="宋体" w:hAnsi="宋体" w:cs="宋体"/>
          <w:b/>
          <w:color w:val="auto"/>
          <w:szCs w:val="21"/>
        </w:rPr>
        <w:t xml:space="preserve">1.1.2.3 </w:t>
      </w:r>
      <w:r>
        <w:rPr>
          <w:rFonts w:hint="eastAsia" w:ascii="宋体" w:hAnsi="宋体" w:cs="宋体"/>
          <w:color w:val="auto"/>
          <w:szCs w:val="21"/>
        </w:rPr>
        <w:t xml:space="preserve"> 承包人：</w:t>
      </w:r>
      <w:r>
        <w:rPr>
          <w:rFonts w:hint="eastAsia" w:ascii="宋体" w:hAnsi="宋体" w:cs="宋体"/>
          <w:color w:val="auto"/>
          <w:szCs w:val="21"/>
          <w:u w:val="single"/>
        </w:rPr>
        <w:t xml:space="preserve">                     </w:t>
      </w:r>
      <w:r>
        <w:rPr>
          <w:rFonts w:hint="eastAsia" w:ascii="宋体" w:hAnsi="宋体" w:cs="宋体"/>
          <w:color w:val="auto"/>
          <w:szCs w:val="21"/>
        </w:rPr>
        <w:t>。</w:t>
      </w:r>
      <w:bookmarkEnd w:id="1967"/>
    </w:p>
    <w:p w14:paraId="7F41EE52">
      <w:pPr>
        <w:spacing w:line="460" w:lineRule="exact"/>
        <w:ind w:firstLine="422" w:firstLineChars="200"/>
        <w:rPr>
          <w:rFonts w:ascii="宋体" w:hAnsi="宋体" w:cs="宋体"/>
          <w:color w:val="auto"/>
          <w:szCs w:val="21"/>
          <w:u w:val="single"/>
        </w:rPr>
      </w:pPr>
      <w:bookmarkStart w:id="1968" w:name="_Toc221951117"/>
      <w:r>
        <w:rPr>
          <w:rFonts w:hint="eastAsia" w:ascii="宋体" w:hAnsi="宋体" w:cs="宋体"/>
          <w:b/>
          <w:color w:val="auto"/>
          <w:szCs w:val="21"/>
        </w:rPr>
        <w:t xml:space="preserve">1.1.2.6 </w:t>
      </w:r>
      <w:r>
        <w:rPr>
          <w:rFonts w:hint="eastAsia" w:ascii="宋体" w:hAnsi="宋体" w:cs="宋体"/>
          <w:color w:val="auto"/>
          <w:szCs w:val="21"/>
        </w:rPr>
        <w:t xml:space="preserve"> 监理人：</w:t>
      </w:r>
      <w:r>
        <w:rPr>
          <w:rFonts w:hint="eastAsia" w:ascii="宋体" w:hAnsi="宋体" w:cs="宋体"/>
          <w:color w:val="auto"/>
          <w:szCs w:val="21"/>
          <w:u w:val="single"/>
        </w:rPr>
        <w:t>另行通知。</w:t>
      </w:r>
      <w:bookmarkEnd w:id="1968"/>
    </w:p>
    <w:p w14:paraId="456D467F">
      <w:pPr>
        <w:spacing w:line="460" w:lineRule="exact"/>
        <w:ind w:firstLine="422" w:firstLineChars="200"/>
        <w:rPr>
          <w:rFonts w:ascii="宋体" w:hAnsi="宋体" w:cs="宋体"/>
          <w:color w:val="auto"/>
          <w:szCs w:val="21"/>
        </w:rPr>
      </w:pPr>
      <w:bookmarkStart w:id="1969" w:name="_Toc221951125"/>
      <w:r>
        <w:rPr>
          <w:rFonts w:hint="eastAsia" w:ascii="宋体" w:hAnsi="宋体" w:cs="宋体"/>
          <w:b/>
          <w:color w:val="auto"/>
          <w:szCs w:val="21"/>
        </w:rPr>
        <w:t xml:space="preserve">1.1.4  </w:t>
      </w:r>
      <w:r>
        <w:rPr>
          <w:rFonts w:hint="eastAsia" w:ascii="宋体" w:hAnsi="宋体" w:cs="宋体"/>
          <w:color w:val="auto"/>
          <w:szCs w:val="21"/>
        </w:rPr>
        <w:t>日期</w:t>
      </w:r>
      <w:bookmarkEnd w:id="1969"/>
    </w:p>
    <w:p w14:paraId="56202E6A">
      <w:pPr>
        <w:spacing w:line="460" w:lineRule="exact"/>
        <w:ind w:firstLine="422" w:firstLineChars="200"/>
        <w:rPr>
          <w:rFonts w:ascii="宋体" w:hAnsi="宋体" w:cs="宋体"/>
          <w:color w:val="auto"/>
          <w:szCs w:val="21"/>
          <w:highlight w:val="yellow"/>
        </w:rPr>
      </w:pPr>
      <w:bookmarkStart w:id="1970" w:name="_Toc221951126"/>
      <w:r>
        <w:rPr>
          <w:rFonts w:hint="eastAsia" w:ascii="宋体" w:hAnsi="宋体" w:cs="宋体"/>
          <w:b/>
          <w:color w:val="auto"/>
          <w:szCs w:val="21"/>
          <w:highlight w:val="yellow"/>
        </w:rPr>
        <w:t xml:space="preserve">1.1.4.5 </w:t>
      </w:r>
      <w:r>
        <w:rPr>
          <w:rFonts w:hint="eastAsia" w:ascii="宋体" w:hAnsi="宋体" w:cs="宋体"/>
          <w:color w:val="auto"/>
          <w:szCs w:val="21"/>
          <w:highlight w:val="yellow"/>
        </w:rPr>
        <w:t xml:space="preserve"> 缺陷责任期（工程质量保修期）：</w:t>
      </w:r>
      <w:r>
        <w:rPr>
          <w:rFonts w:hint="eastAsia" w:ascii="宋体" w:hAnsi="宋体" w:cs="宋体"/>
          <w:color w:val="auto"/>
          <w:szCs w:val="21"/>
          <w:highlight w:val="yellow"/>
          <w:u w:val="single"/>
        </w:rPr>
        <w:t xml:space="preserve"> 一年 </w:t>
      </w:r>
      <w:r>
        <w:rPr>
          <w:rFonts w:hint="eastAsia" w:ascii="宋体" w:hAnsi="宋体" w:cs="宋体"/>
          <w:color w:val="auto"/>
          <w:szCs w:val="21"/>
          <w:highlight w:val="yellow"/>
        </w:rPr>
        <w:t>。</w:t>
      </w:r>
      <w:bookmarkEnd w:id="1970"/>
    </w:p>
    <w:p w14:paraId="04B4F14B">
      <w:pPr>
        <w:pStyle w:val="4"/>
        <w:spacing w:before="0" w:after="0" w:line="460" w:lineRule="exact"/>
        <w:rPr>
          <w:rFonts w:ascii="宋体" w:hAnsi="宋体" w:cs="宋体"/>
          <w:color w:val="auto"/>
          <w:sz w:val="21"/>
          <w:szCs w:val="21"/>
        </w:rPr>
      </w:pPr>
      <w:bookmarkStart w:id="1971" w:name="_Toc20269"/>
      <w:bookmarkStart w:id="1972" w:name="_Toc14687"/>
      <w:bookmarkStart w:id="1973" w:name="_Toc221951127"/>
      <w:r>
        <w:rPr>
          <w:rFonts w:hint="eastAsia" w:ascii="宋体" w:hAnsi="宋体" w:cs="宋体"/>
          <w:color w:val="auto"/>
          <w:sz w:val="21"/>
          <w:szCs w:val="21"/>
        </w:rPr>
        <w:t>1.4  合同文件的优先顺序</w:t>
      </w:r>
      <w:bookmarkEnd w:id="1971"/>
      <w:bookmarkEnd w:id="1972"/>
      <w:bookmarkEnd w:id="1973"/>
    </w:p>
    <w:p w14:paraId="6044E3C1">
      <w:pPr>
        <w:spacing w:line="460" w:lineRule="exact"/>
        <w:ind w:firstLine="420" w:firstLineChars="200"/>
        <w:rPr>
          <w:rFonts w:ascii="宋体" w:hAnsi="宋体" w:cs="宋体"/>
          <w:color w:val="auto"/>
          <w:szCs w:val="21"/>
        </w:rPr>
      </w:pPr>
      <w:bookmarkStart w:id="1974" w:name="_Toc221951128"/>
      <w:r>
        <w:rPr>
          <w:rFonts w:hint="eastAsia" w:ascii="宋体" w:hAnsi="宋体" w:cs="宋体"/>
          <w:color w:val="auto"/>
          <w:szCs w:val="21"/>
        </w:rPr>
        <w:t>进入合同的各项文件及其优先顺序如下：</w:t>
      </w:r>
    </w:p>
    <w:p w14:paraId="5498C6D9">
      <w:pPr>
        <w:spacing w:line="460" w:lineRule="exact"/>
        <w:ind w:firstLine="420" w:firstLineChars="200"/>
        <w:rPr>
          <w:rFonts w:ascii="宋体" w:hAnsi="宋体" w:cs="宋体"/>
          <w:color w:val="auto"/>
          <w:szCs w:val="21"/>
        </w:rPr>
      </w:pPr>
      <w:r>
        <w:rPr>
          <w:rFonts w:hint="eastAsia" w:ascii="宋体" w:hAnsi="宋体" w:cs="宋体"/>
          <w:color w:val="auto"/>
          <w:szCs w:val="21"/>
        </w:rPr>
        <w:t>（1）合同协议书（包括补充协议、合同谈判备忘录）；</w:t>
      </w:r>
    </w:p>
    <w:p w14:paraId="5B823AC0">
      <w:pPr>
        <w:spacing w:line="460" w:lineRule="exact"/>
        <w:ind w:firstLine="420" w:firstLineChars="200"/>
        <w:rPr>
          <w:rFonts w:ascii="宋体" w:hAnsi="宋体" w:cs="宋体"/>
          <w:color w:val="auto"/>
          <w:szCs w:val="21"/>
        </w:rPr>
      </w:pPr>
      <w:r>
        <w:rPr>
          <w:rFonts w:hint="eastAsia" w:ascii="宋体" w:hAnsi="宋体" w:cs="宋体"/>
          <w:color w:val="auto"/>
          <w:szCs w:val="21"/>
        </w:rPr>
        <w:t>（2）成交通知书；</w:t>
      </w:r>
    </w:p>
    <w:p w14:paraId="010D4A8D">
      <w:pPr>
        <w:spacing w:line="460" w:lineRule="exact"/>
        <w:ind w:firstLine="420" w:firstLineChars="200"/>
        <w:rPr>
          <w:rFonts w:ascii="宋体" w:hAnsi="宋体" w:cs="宋体"/>
          <w:color w:val="auto"/>
          <w:szCs w:val="21"/>
        </w:rPr>
      </w:pPr>
      <w:r>
        <w:rPr>
          <w:rFonts w:hint="eastAsia" w:ascii="宋体" w:hAnsi="宋体" w:cs="宋体"/>
          <w:color w:val="auto"/>
          <w:szCs w:val="21"/>
        </w:rPr>
        <w:t>（3）磋商函及其附件；</w:t>
      </w:r>
    </w:p>
    <w:p w14:paraId="5992DA9B">
      <w:pPr>
        <w:spacing w:line="460" w:lineRule="exact"/>
        <w:ind w:firstLine="420" w:firstLineChars="200"/>
        <w:rPr>
          <w:rFonts w:ascii="宋体" w:hAnsi="宋体" w:cs="宋体"/>
          <w:color w:val="auto"/>
          <w:szCs w:val="21"/>
        </w:rPr>
      </w:pPr>
      <w:r>
        <w:rPr>
          <w:rFonts w:hint="eastAsia" w:ascii="宋体" w:hAnsi="宋体" w:cs="宋体"/>
          <w:color w:val="auto"/>
          <w:szCs w:val="21"/>
        </w:rPr>
        <w:t>（4）专用合同条款（含附加条款）；</w:t>
      </w:r>
    </w:p>
    <w:p w14:paraId="2D1803CD">
      <w:pPr>
        <w:spacing w:line="460" w:lineRule="exact"/>
        <w:ind w:firstLine="420" w:firstLineChars="200"/>
        <w:rPr>
          <w:rFonts w:ascii="宋体" w:hAnsi="宋体" w:cs="宋体"/>
          <w:color w:val="auto"/>
          <w:szCs w:val="21"/>
        </w:rPr>
      </w:pPr>
      <w:r>
        <w:rPr>
          <w:rFonts w:hint="eastAsia" w:ascii="宋体" w:hAnsi="宋体" w:cs="宋体"/>
          <w:color w:val="auto"/>
          <w:szCs w:val="21"/>
        </w:rPr>
        <w:t>（5）图纸；</w:t>
      </w:r>
    </w:p>
    <w:p w14:paraId="6DE72F4C">
      <w:pPr>
        <w:spacing w:line="460" w:lineRule="exact"/>
        <w:ind w:firstLine="420" w:firstLineChars="200"/>
        <w:rPr>
          <w:rFonts w:ascii="宋体" w:hAnsi="宋体" w:cs="宋体"/>
          <w:color w:val="auto"/>
          <w:szCs w:val="21"/>
        </w:rPr>
      </w:pPr>
      <w:r>
        <w:rPr>
          <w:rFonts w:hint="eastAsia" w:ascii="宋体" w:hAnsi="宋体" w:cs="宋体"/>
          <w:color w:val="auto"/>
          <w:szCs w:val="21"/>
        </w:rPr>
        <w:t>（6）已标价工程量清单；</w:t>
      </w:r>
    </w:p>
    <w:p w14:paraId="70D88296">
      <w:pPr>
        <w:spacing w:line="460" w:lineRule="exact"/>
        <w:ind w:firstLine="420" w:firstLineChars="200"/>
        <w:rPr>
          <w:rFonts w:ascii="宋体" w:hAnsi="宋体" w:cs="宋体"/>
          <w:color w:val="auto"/>
          <w:szCs w:val="21"/>
        </w:rPr>
      </w:pPr>
      <w:r>
        <w:rPr>
          <w:rFonts w:hint="eastAsia" w:ascii="宋体" w:hAnsi="宋体" w:cs="宋体"/>
          <w:color w:val="auto"/>
          <w:szCs w:val="21"/>
        </w:rPr>
        <w:t>（7）技术标准和要求（合同技术条款）；</w:t>
      </w:r>
    </w:p>
    <w:p w14:paraId="5EFE26B5">
      <w:pPr>
        <w:spacing w:line="460" w:lineRule="exact"/>
        <w:ind w:firstLine="420" w:firstLineChars="200"/>
        <w:rPr>
          <w:rFonts w:ascii="宋体" w:hAnsi="宋体" w:cs="宋体"/>
          <w:color w:val="auto"/>
          <w:szCs w:val="21"/>
        </w:rPr>
      </w:pPr>
      <w:r>
        <w:rPr>
          <w:rFonts w:hint="eastAsia" w:ascii="宋体" w:hAnsi="宋体" w:cs="宋体"/>
          <w:color w:val="auto"/>
          <w:szCs w:val="21"/>
        </w:rPr>
        <w:t>（8）通用合同条款；</w:t>
      </w:r>
    </w:p>
    <w:p w14:paraId="1201C6BF">
      <w:pPr>
        <w:spacing w:line="460" w:lineRule="exact"/>
        <w:ind w:firstLine="420" w:firstLineChars="200"/>
        <w:rPr>
          <w:rFonts w:ascii="宋体" w:hAnsi="宋体" w:cs="宋体"/>
          <w:color w:val="auto"/>
          <w:szCs w:val="21"/>
        </w:rPr>
      </w:pPr>
      <w:r>
        <w:rPr>
          <w:rFonts w:hint="eastAsia" w:ascii="宋体" w:hAnsi="宋体" w:cs="宋体"/>
          <w:color w:val="auto"/>
          <w:szCs w:val="21"/>
        </w:rPr>
        <w:t>（9）响应文件其他内容；</w:t>
      </w:r>
    </w:p>
    <w:p w14:paraId="1C79B158">
      <w:pPr>
        <w:spacing w:line="460" w:lineRule="exact"/>
        <w:ind w:firstLine="420" w:firstLineChars="200"/>
        <w:rPr>
          <w:rFonts w:ascii="宋体" w:hAnsi="宋体" w:cs="宋体"/>
          <w:color w:val="auto"/>
          <w:szCs w:val="21"/>
        </w:rPr>
      </w:pPr>
      <w:r>
        <w:rPr>
          <w:rFonts w:hint="eastAsia" w:ascii="宋体" w:hAnsi="宋体" w:cs="宋体"/>
          <w:color w:val="auto"/>
          <w:szCs w:val="21"/>
        </w:rPr>
        <w:t>（10）其他合同文件。</w:t>
      </w:r>
    </w:p>
    <w:p w14:paraId="2B95FA5B">
      <w:pPr>
        <w:spacing w:line="460" w:lineRule="exact"/>
        <w:ind w:firstLine="420" w:firstLineChars="200"/>
        <w:rPr>
          <w:rFonts w:ascii="宋体" w:hAnsi="宋体" w:cs="宋体"/>
          <w:color w:val="auto"/>
          <w:szCs w:val="21"/>
        </w:rPr>
      </w:pPr>
      <w:r>
        <w:rPr>
          <w:rFonts w:hint="eastAsia" w:ascii="宋体" w:hAnsi="宋体" w:cs="宋体"/>
          <w:color w:val="auto"/>
          <w:szCs w:val="21"/>
        </w:rPr>
        <w:t>上述文件将互相补充，若有不明确或不一致处，以上列次序在先者为准。另外双方有关工程的洽商、变更等书面协议或文件视为本合同的组成部分，若有不明确或不一致处以时间顺序在后者为准。</w:t>
      </w:r>
    </w:p>
    <w:bookmarkEnd w:id="1974"/>
    <w:p w14:paraId="59F0C2DC">
      <w:pPr>
        <w:pStyle w:val="4"/>
        <w:spacing w:before="0" w:after="0" w:line="460" w:lineRule="exact"/>
        <w:rPr>
          <w:rFonts w:ascii="宋体" w:hAnsi="宋体" w:cs="宋体"/>
          <w:color w:val="auto"/>
          <w:sz w:val="21"/>
          <w:szCs w:val="21"/>
        </w:rPr>
      </w:pPr>
      <w:bookmarkStart w:id="1975" w:name="_Toc16047"/>
      <w:bookmarkStart w:id="1976" w:name="_Toc2371"/>
      <w:bookmarkStart w:id="1977" w:name="_Toc221951129"/>
      <w:r>
        <w:rPr>
          <w:rFonts w:hint="eastAsia" w:ascii="宋体" w:hAnsi="宋体" w:cs="宋体"/>
          <w:color w:val="auto"/>
          <w:sz w:val="21"/>
          <w:szCs w:val="21"/>
        </w:rPr>
        <w:t>1.5合同签订</w:t>
      </w:r>
      <w:bookmarkEnd w:id="1975"/>
      <w:bookmarkEnd w:id="1976"/>
    </w:p>
    <w:p w14:paraId="6ED1129E">
      <w:pPr>
        <w:spacing w:line="460" w:lineRule="exact"/>
        <w:ind w:firstLine="420" w:firstLineChars="200"/>
        <w:rPr>
          <w:rFonts w:ascii="宋体" w:hAnsi="宋体" w:cs="宋体"/>
          <w:color w:val="auto"/>
          <w:szCs w:val="21"/>
        </w:rPr>
      </w:pPr>
      <w:r>
        <w:rPr>
          <w:rFonts w:hint="eastAsia" w:ascii="宋体" w:hAnsi="宋体" w:cs="宋体"/>
          <w:color w:val="auto"/>
          <w:szCs w:val="21"/>
        </w:rPr>
        <w:t>签订合同时，必须由承包人法定代表人或项目经理到发包人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48521BB5">
      <w:pPr>
        <w:pStyle w:val="4"/>
        <w:spacing w:before="0" w:after="0" w:line="460" w:lineRule="exact"/>
        <w:rPr>
          <w:rFonts w:ascii="宋体" w:hAnsi="宋体" w:cs="宋体"/>
          <w:color w:val="auto"/>
          <w:sz w:val="21"/>
          <w:szCs w:val="21"/>
        </w:rPr>
      </w:pPr>
      <w:r>
        <w:rPr>
          <w:rFonts w:hint="eastAsia" w:ascii="宋体" w:hAnsi="宋体" w:cs="宋体"/>
          <w:color w:val="auto"/>
          <w:sz w:val="21"/>
          <w:szCs w:val="21"/>
        </w:rPr>
        <w:t xml:space="preserve"> </w:t>
      </w:r>
      <w:bookmarkStart w:id="1978" w:name="_Toc32522"/>
      <w:bookmarkStart w:id="1979" w:name="_Toc25293"/>
      <w:r>
        <w:rPr>
          <w:rFonts w:hint="eastAsia" w:ascii="宋体" w:hAnsi="宋体" w:cs="宋体"/>
          <w:color w:val="auto"/>
          <w:sz w:val="21"/>
          <w:szCs w:val="21"/>
        </w:rPr>
        <w:t>1.7  联络</w:t>
      </w:r>
      <w:bookmarkEnd w:id="1977"/>
      <w:bookmarkEnd w:id="1978"/>
      <w:bookmarkEnd w:id="1979"/>
    </w:p>
    <w:p w14:paraId="2C344E28">
      <w:pPr>
        <w:spacing w:line="460" w:lineRule="exact"/>
        <w:ind w:firstLine="422" w:firstLineChars="200"/>
        <w:rPr>
          <w:rFonts w:ascii="宋体" w:hAnsi="宋体" w:cs="宋体"/>
          <w:color w:val="auto"/>
          <w:szCs w:val="21"/>
        </w:rPr>
      </w:pPr>
      <w:bookmarkStart w:id="1980" w:name="_Toc221951130"/>
      <w:r>
        <w:rPr>
          <w:rFonts w:hint="eastAsia" w:ascii="宋体" w:hAnsi="宋体" w:cs="宋体"/>
          <w:b/>
          <w:color w:val="auto"/>
          <w:szCs w:val="21"/>
        </w:rPr>
        <w:t xml:space="preserve">1.7.2  </w:t>
      </w:r>
      <w:r>
        <w:rPr>
          <w:rFonts w:hint="eastAsia" w:ascii="宋体" w:hAnsi="宋体" w:cs="宋体"/>
          <w:color w:val="auto"/>
          <w:szCs w:val="21"/>
        </w:rPr>
        <w:t>来往函件均应按技术标准和要求（合同技术条款）约定的期限送达</w:t>
      </w:r>
      <w:r>
        <w:rPr>
          <w:rFonts w:hint="eastAsia" w:ascii="宋体" w:hAnsi="宋体" w:cs="宋体"/>
          <w:b/>
          <w:color w:val="auto"/>
          <w:szCs w:val="21"/>
          <w:u w:val="single"/>
        </w:rPr>
        <w:t>项目监理部或北海市合浦水库工程管理中心，</w:t>
      </w:r>
      <w:r>
        <w:rPr>
          <w:rFonts w:hint="eastAsia" w:ascii="宋体" w:hAnsi="宋体" w:cs="宋体"/>
          <w:color w:val="auto"/>
          <w:szCs w:val="21"/>
          <w:u w:val="single"/>
        </w:rPr>
        <w:t>来文形式包括纸质版和电子版资料。</w:t>
      </w:r>
      <w:bookmarkEnd w:id="1980"/>
    </w:p>
    <w:p w14:paraId="29C2B792">
      <w:pPr>
        <w:pStyle w:val="4"/>
        <w:spacing w:before="0" w:after="0" w:line="460" w:lineRule="exact"/>
        <w:rPr>
          <w:rFonts w:ascii="宋体" w:hAnsi="宋体" w:cs="宋体"/>
          <w:color w:val="auto"/>
          <w:sz w:val="21"/>
          <w:szCs w:val="21"/>
        </w:rPr>
      </w:pPr>
      <w:bookmarkStart w:id="1981" w:name="_Toc222031030"/>
      <w:bookmarkStart w:id="1982" w:name="_Toc222032697"/>
      <w:bookmarkStart w:id="1983" w:name="_Toc221951131"/>
      <w:bookmarkStart w:id="1984" w:name="_Toc229305388"/>
      <w:bookmarkStart w:id="1985" w:name="_Toc222029528"/>
      <w:bookmarkStart w:id="1986" w:name="_Toc9729"/>
      <w:bookmarkStart w:id="1987" w:name="_Toc14528"/>
      <w:bookmarkStart w:id="1988" w:name="_Toc222033879"/>
      <w:r>
        <w:rPr>
          <w:rFonts w:hint="eastAsia" w:ascii="宋体" w:hAnsi="宋体" w:cs="宋体"/>
          <w:color w:val="auto"/>
          <w:sz w:val="21"/>
          <w:szCs w:val="21"/>
        </w:rPr>
        <w:t>2  发包人义务</w:t>
      </w:r>
      <w:bookmarkEnd w:id="1981"/>
      <w:bookmarkEnd w:id="1982"/>
      <w:bookmarkEnd w:id="1983"/>
      <w:bookmarkEnd w:id="1984"/>
      <w:bookmarkEnd w:id="1985"/>
      <w:bookmarkEnd w:id="1986"/>
      <w:bookmarkEnd w:id="1987"/>
      <w:bookmarkEnd w:id="1988"/>
    </w:p>
    <w:p w14:paraId="2B54CC01">
      <w:pPr>
        <w:pStyle w:val="4"/>
        <w:spacing w:before="0" w:after="0" w:line="460" w:lineRule="exact"/>
        <w:rPr>
          <w:rFonts w:ascii="宋体" w:hAnsi="宋体" w:cs="宋体"/>
          <w:color w:val="auto"/>
          <w:sz w:val="21"/>
          <w:szCs w:val="21"/>
        </w:rPr>
      </w:pPr>
      <w:bookmarkStart w:id="1989" w:name="_Toc25849"/>
      <w:bookmarkStart w:id="1990" w:name="_Toc10907"/>
      <w:bookmarkStart w:id="1991" w:name="_Toc221951132"/>
      <w:r>
        <w:rPr>
          <w:rFonts w:hint="eastAsia" w:ascii="宋体" w:hAnsi="宋体" w:cs="宋体"/>
          <w:color w:val="auto"/>
          <w:sz w:val="21"/>
          <w:szCs w:val="21"/>
        </w:rPr>
        <w:t>2.3  提供施工场地</w:t>
      </w:r>
      <w:bookmarkEnd w:id="1989"/>
      <w:bookmarkEnd w:id="1990"/>
      <w:bookmarkEnd w:id="1991"/>
    </w:p>
    <w:p w14:paraId="16656203">
      <w:pPr>
        <w:spacing w:line="460" w:lineRule="exact"/>
        <w:ind w:firstLine="420" w:firstLineChars="200"/>
        <w:rPr>
          <w:rFonts w:ascii="宋体" w:hAnsi="宋体" w:cs="宋体"/>
          <w:color w:val="auto"/>
          <w:szCs w:val="21"/>
        </w:rPr>
      </w:pPr>
      <w:bookmarkStart w:id="1992" w:name="_Toc221951133"/>
      <w:bookmarkStart w:id="1993" w:name="_Toc222033880"/>
      <w:bookmarkStart w:id="1994" w:name="_Toc221951140"/>
      <w:bookmarkStart w:id="1995" w:name="_Toc229305389"/>
      <w:bookmarkStart w:id="1996" w:name="_Toc222032698"/>
      <w:bookmarkStart w:id="1997" w:name="_Toc222031031"/>
      <w:bookmarkStart w:id="1998" w:name="_Toc222029529"/>
      <w:r>
        <w:rPr>
          <w:rFonts w:hint="eastAsia" w:ascii="宋体" w:hAnsi="宋体" w:cs="宋体"/>
          <w:color w:val="auto"/>
          <w:szCs w:val="21"/>
        </w:rPr>
        <w:t>2.3.2 发包人提供的施工场地范围为：</w:t>
      </w:r>
      <w:bookmarkEnd w:id="1992"/>
      <w:r>
        <w:rPr>
          <w:rFonts w:hint="eastAsia" w:ascii="宋体" w:hAnsi="宋体" w:cs="宋体"/>
          <w:color w:val="auto"/>
          <w:szCs w:val="21"/>
        </w:rPr>
        <w:t>发包人根据施工图纸划定施工场地范围，承包人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发包人有权终止合同，将工程另行发包。以上费用由承包人承担，发包人不另行支付。</w:t>
      </w:r>
    </w:p>
    <w:p w14:paraId="38DED244">
      <w:pPr>
        <w:spacing w:line="460" w:lineRule="exact"/>
        <w:ind w:firstLine="420" w:firstLineChars="200"/>
        <w:rPr>
          <w:rFonts w:ascii="宋体" w:hAnsi="宋体" w:cs="宋体"/>
          <w:color w:val="auto"/>
          <w:szCs w:val="21"/>
        </w:rPr>
      </w:pPr>
      <w:r>
        <w:rPr>
          <w:rFonts w:hint="eastAsia" w:ascii="宋体" w:hAnsi="宋体" w:cs="宋体"/>
          <w:color w:val="auto"/>
          <w:szCs w:val="21"/>
        </w:rPr>
        <w:t>2.3.3承包人自行勘察的施工场地范围为：完成合同工程施工建设任务所涉及的所有范围。</w:t>
      </w:r>
    </w:p>
    <w:p w14:paraId="6824E90D">
      <w:pPr>
        <w:spacing w:line="460" w:lineRule="exact"/>
        <w:ind w:firstLine="420" w:firstLineChars="200"/>
        <w:rPr>
          <w:rFonts w:ascii="宋体" w:hAnsi="宋体" w:cs="宋体"/>
          <w:color w:val="auto"/>
          <w:szCs w:val="21"/>
        </w:rPr>
      </w:pPr>
      <w:r>
        <w:rPr>
          <w:rFonts w:hint="eastAsia" w:ascii="宋体" w:hAnsi="宋体" w:cs="宋体"/>
          <w:color w:val="auto"/>
          <w:szCs w:val="21"/>
        </w:rPr>
        <w:t>2.3.4 发包人提供的施工场地三通一平（含施工道路）完成情况按招标现状，承包人应无条件接受现场条件。</w:t>
      </w:r>
    </w:p>
    <w:p w14:paraId="72F71685">
      <w:pPr>
        <w:pStyle w:val="4"/>
        <w:spacing w:before="0" w:after="0" w:line="460" w:lineRule="exact"/>
        <w:rPr>
          <w:rFonts w:ascii="宋体" w:hAnsi="宋体" w:cs="宋体"/>
          <w:color w:val="auto"/>
          <w:sz w:val="21"/>
          <w:szCs w:val="21"/>
        </w:rPr>
      </w:pPr>
      <w:r>
        <w:rPr>
          <w:rFonts w:hint="eastAsia" w:ascii="宋体" w:hAnsi="宋体" w:cs="宋体"/>
          <w:color w:val="auto"/>
          <w:sz w:val="21"/>
          <w:szCs w:val="21"/>
        </w:rPr>
        <w:t xml:space="preserve"> </w:t>
      </w:r>
      <w:bookmarkStart w:id="1999" w:name="_Toc14122"/>
      <w:bookmarkStart w:id="2000" w:name="_Toc14622"/>
      <w:r>
        <w:rPr>
          <w:rFonts w:hint="eastAsia" w:ascii="宋体" w:hAnsi="宋体" w:cs="宋体"/>
          <w:color w:val="auto"/>
          <w:sz w:val="21"/>
          <w:szCs w:val="21"/>
        </w:rPr>
        <w:t>3  监理人</w:t>
      </w:r>
      <w:bookmarkEnd w:id="1993"/>
      <w:bookmarkEnd w:id="1994"/>
      <w:bookmarkEnd w:id="1995"/>
      <w:bookmarkEnd w:id="1996"/>
      <w:bookmarkEnd w:id="1997"/>
      <w:bookmarkEnd w:id="1998"/>
      <w:bookmarkEnd w:id="1999"/>
      <w:bookmarkEnd w:id="2000"/>
    </w:p>
    <w:p w14:paraId="1B5BB169">
      <w:pPr>
        <w:pStyle w:val="4"/>
        <w:spacing w:before="0" w:after="0" w:line="460" w:lineRule="exact"/>
        <w:rPr>
          <w:rFonts w:ascii="宋体" w:hAnsi="宋体" w:cs="宋体"/>
          <w:color w:val="auto"/>
          <w:sz w:val="21"/>
          <w:szCs w:val="21"/>
        </w:rPr>
      </w:pPr>
      <w:bookmarkStart w:id="2001" w:name="_Toc221951141"/>
      <w:bookmarkStart w:id="2002" w:name="_Toc21300"/>
      <w:bookmarkStart w:id="2003" w:name="_Toc25553"/>
      <w:r>
        <w:rPr>
          <w:rFonts w:hint="eastAsia" w:ascii="宋体" w:hAnsi="宋体" w:cs="宋体"/>
          <w:color w:val="auto"/>
          <w:sz w:val="21"/>
          <w:szCs w:val="21"/>
        </w:rPr>
        <w:t>3.1  监理人的职责和权力</w:t>
      </w:r>
      <w:bookmarkEnd w:id="2001"/>
      <w:bookmarkEnd w:id="2002"/>
      <w:bookmarkEnd w:id="2003"/>
    </w:p>
    <w:p w14:paraId="09EFA4D2">
      <w:pPr>
        <w:spacing w:line="460" w:lineRule="exact"/>
        <w:ind w:left="600" w:right="248"/>
        <w:rPr>
          <w:rFonts w:ascii="宋体" w:hAnsi="宋体" w:cs="宋体"/>
          <w:color w:val="auto"/>
          <w:szCs w:val="21"/>
        </w:rPr>
      </w:pPr>
      <w:bookmarkStart w:id="2004" w:name="_Toc221951142"/>
      <w:r>
        <w:rPr>
          <w:rFonts w:hint="eastAsia" w:ascii="宋体" w:hAnsi="宋体" w:cs="宋体"/>
          <w:b/>
          <w:color w:val="auto"/>
          <w:szCs w:val="21"/>
        </w:rPr>
        <w:t>3.1.1</w:t>
      </w:r>
      <w:bookmarkEnd w:id="2004"/>
      <w:r>
        <w:rPr>
          <w:rFonts w:hint="eastAsia" w:ascii="宋体" w:hAnsi="宋体" w:cs="宋体"/>
          <w:b/>
          <w:color w:val="auto"/>
          <w:szCs w:val="21"/>
        </w:rPr>
        <w:t>　</w:t>
      </w:r>
      <w:bookmarkStart w:id="2005" w:name="_Toc221951143"/>
      <w:r>
        <w:rPr>
          <w:rFonts w:hint="eastAsia" w:ascii="宋体" w:hAnsi="宋体" w:cs="宋体"/>
          <w:color w:val="auto"/>
          <w:szCs w:val="21"/>
        </w:rPr>
        <w:t>监理人须根据发包人事先批准的权力范围行使权力，发包人批准的权力范围：</w:t>
      </w:r>
      <w:bookmarkEnd w:id="2005"/>
      <w:r>
        <w:rPr>
          <w:rFonts w:hint="eastAsia" w:ascii="宋体" w:hAnsi="宋体" w:cs="宋体"/>
          <w:color w:val="auto"/>
          <w:szCs w:val="21"/>
        </w:rPr>
        <w:t>按本工程委托监理合同。</w:t>
      </w:r>
    </w:p>
    <w:p w14:paraId="120AB08D">
      <w:pPr>
        <w:pStyle w:val="4"/>
        <w:spacing w:before="0" w:after="0" w:line="460" w:lineRule="exact"/>
        <w:rPr>
          <w:rFonts w:ascii="宋体" w:hAnsi="宋体" w:cs="宋体"/>
          <w:color w:val="auto"/>
          <w:sz w:val="21"/>
          <w:szCs w:val="21"/>
        </w:rPr>
      </w:pPr>
      <w:bookmarkStart w:id="2006" w:name="_Toc222029530"/>
      <w:bookmarkStart w:id="2007" w:name="_Toc8050"/>
      <w:bookmarkStart w:id="2008" w:name="_Toc16820"/>
      <w:bookmarkStart w:id="2009" w:name="_Toc221951150"/>
      <w:bookmarkStart w:id="2010" w:name="_Toc222033881"/>
      <w:bookmarkStart w:id="2011" w:name="_Toc222032699"/>
      <w:bookmarkStart w:id="2012" w:name="_Toc222031032"/>
      <w:bookmarkStart w:id="2013" w:name="_Toc229305390"/>
      <w:r>
        <w:rPr>
          <w:rFonts w:hint="eastAsia" w:ascii="宋体" w:hAnsi="宋体" w:cs="宋体"/>
          <w:color w:val="auto"/>
          <w:sz w:val="21"/>
          <w:szCs w:val="21"/>
        </w:rPr>
        <w:t>4  承包人</w:t>
      </w:r>
      <w:bookmarkEnd w:id="2006"/>
      <w:bookmarkEnd w:id="2007"/>
      <w:bookmarkEnd w:id="2008"/>
      <w:bookmarkEnd w:id="2009"/>
      <w:bookmarkEnd w:id="2010"/>
      <w:bookmarkEnd w:id="2011"/>
      <w:bookmarkEnd w:id="2012"/>
      <w:bookmarkEnd w:id="2013"/>
    </w:p>
    <w:p w14:paraId="20CFCD65">
      <w:pPr>
        <w:pStyle w:val="4"/>
        <w:spacing w:before="0" w:after="0" w:line="460" w:lineRule="exact"/>
        <w:rPr>
          <w:rFonts w:ascii="宋体" w:hAnsi="宋体" w:cs="宋体"/>
          <w:color w:val="auto"/>
          <w:sz w:val="21"/>
          <w:szCs w:val="21"/>
        </w:rPr>
      </w:pPr>
      <w:bookmarkStart w:id="2014" w:name="_Toc15891"/>
      <w:bookmarkStart w:id="2015" w:name="_Toc32525"/>
      <w:bookmarkStart w:id="2016" w:name="_Toc221951151"/>
      <w:r>
        <w:rPr>
          <w:rFonts w:hint="eastAsia" w:ascii="宋体" w:hAnsi="宋体" w:cs="宋体"/>
          <w:color w:val="auto"/>
          <w:sz w:val="21"/>
          <w:szCs w:val="21"/>
        </w:rPr>
        <w:t>4.1  承包人的一般义务</w:t>
      </w:r>
      <w:bookmarkEnd w:id="2014"/>
      <w:bookmarkEnd w:id="2015"/>
      <w:bookmarkEnd w:id="2016"/>
    </w:p>
    <w:p w14:paraId="4D8B580D">
      <w:pPr>
        <w:spacing w:line="460" w:lineRule="exact"/>
        <w:ind w:right="248" w:firstLine="480"/>
        <w:rPr>
          <w:rFonts w:ascii="宋体" w:hAnsi="宋体" w:cs="宋体"/>
          <w:color w:val="auto"/>
          <w:szCs w:val="21"/>
        </w:rPr>
      </w:pPr>
      <w:bookmarkStart w:id="2017" w:name="_Toc221951152"/>
      <w:r>
        <w:rPr>
          <w:rFonts w:hint="eastAsia" w:ascii="宋体" w:hAnsi="宋体" w:cs="宋体"/>
          <w:b/>
          <w:color w:val="auto"/>
          <w:szCs w:val="21"/>
        </w:rPr>
        <w:t xml:space="preserve">4.1.10  </w:t>
      </w:r>
      <w:r>
        <w:rPr>
          <w:rFonts w:hint="eastAsia" w:ascii="宋体" w:hAnsi="宋体" w:cs="宋体"/>
          <w:color w:val="auto"/>
          <w:szCs w:val="21"/>
        </w:rPr>
        <w:t>其他义务</w:t>
      </w:r>
      <w:bookmarkEnd w:id="2017"/>
    </w:p>
    <w:p w14:paraId="58ACE45B">
      <w:pPr>
        <w:pStyle w:val="24"/>
        <w:spacing w:line="460" w:lineRule="exact"/>
        <w:ind w:firstLine="422" w:firstLineChars="200"/>
        <w:rPr>
          <w:rFonts w:ascii="宋体" w:hAnsi="宋体" w:cs="宋体"/>
          <w:color w:val="auto"/>
          <w:sz w:val="21"/>
          <w:szCs w:val="21"/>
        </w:rPr>
      </w:pPr>
      <w:r>
        <w:rPr>
          <w:rFonts w:hint="eastAsia" w:ascii="宋体" w:hAnsi="宋体" w:cs="宋体"/>
          <w:b/>
          <w:color w:val="auto"/>
          <w:sz w:val="21"/>
          <w:szCs w:val="21"/>
        </w:rPr>
        <w:t>（一）</w:t>
      </w:r>
      <w:r>
        <w:rPr>
          <w:rFonts w:hint="eastAsia" w:ascii="宋体" w:hAnsi="宋体" w:cs="宋体"/>
          <w:b/>
          <w:bCs/>
          <w:color w:val="auto"/>
          <w:sz w:val="21"/>
          <w:szCs w:val="21"/>
        </w:rPr>
        <w:t>办理建筑意外伤害保险。</w:t>
      </w:r>
    </w:p>
    <w:p w14:paraId="0D7A4152">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7F7DAA72">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保险期限自投保之日（工程开工之日）起至工程竣工验收时止，时间上涵盖施工全过程的任一时段。</w:t>
      </w:r>
    </w:p>
    <w:p w14:paraId="41F4C079">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鉴于本合同工程各工种调动频繁、用工流动性大等特点，投保实行不记名和不计人数的方式，一旦该工程项目发生人员意外伤害，只要是在该工程发生的，都应该由保险公司在保险责任范围内负责赔付。</w:t>
      </w:r>
    </w:p>
    <w:p w14:paraId="2DB97C3B">
      <w:pPr>
        <w:pStyle w:val="24"/>
        <w:spacing w:line="460" w:lineRule="exact"/>
        <w:ind w:firstLine="413" w:firstLineChars="196"/>
        <w:rPr>
          <w:rFonts w:ascii="宋体" w:hAnsi="宋体" w:cs="宋体"/>
          <w:b/>
          <w:color w:val="auto"/>
          <w:sz w:val="21"/>
          <w:szCs w:val="21"/>
        </w:rPr>
      </w:pPr>
      <w:r>
        <w:rPr>
          <w:rFonts w:hint="eastAsia" w:ascii="宋体" w:hAnsi="宋体" w:cs="宋体"/>
          <w:b/>
          <w:color w:val="auto"/>
          <w:sz w:val="21"/>
          <w:szCs w:val="21"/>
        </w:rPr>
        <w:t>（二）执行农民工工资保证金制度，缴纳农民工工资保证金（适用于在本自治区行政区域内施工的所有水利水电工程项目）。</w:t>
      </w:r>
    </w:p>
    <w:p w14:paraId="5A827D1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承包人按时发放农民工工资，在发包人按时支付工程进度款后，承包人发生拖欠农民工工资的，发包人从农民工工资保证金中先行垫付，承包人将作为不良信用单位记入该承包人工资支付信用档案。承包人恶意拖欠、克扣农民工工资的，发包人将按投标文件承诺书的相关规定处理。</w:t>
      </w:r>
    </w:p>
    <w:p w14:paraId="6DFE42B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因承包人拖欠农民工工资等原因造成农民工到发包人或政府相关部门聚众闹事、追讨工资等事件，按1000元.人/次进行处罚，如达三次以上，没收全部履约保证金，如造成发包人损失的，由承包人负责赔偿。</w:t>
      </w:r>
    </w:p>
    <w:p w14:paraId="49F74191">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根据广西壮族自治区劳动和社会保障厅、自治区水利厅二○○七年二月二十七日联合颁发的桂劳社发[2007]38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64CABC4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 按以下标准在劳动保障部门指定的账户足额存入农民工工资保证金：   </w:t>
      </w:r>
    </w:p>
    <w:p w14:paraId="294E802E">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工程项目中标价(合同价)1000万元(含1000万元)以下的，按2％计算；超过1000万元部分，按1％计算。</w:t>
      </w:r>
    </w:p>
    <w:p w14:paraId="68777C8C">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 承包人在投标时，必须在投标文件中作如下承诺：</w:t>
      </w:r>
    </w:p>
    <w:p w14:paraId="31A56D01">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① 如实说明其以前所承建的工程项目中工资支付的情况，特别注明是否存在拖欠或克扣农民工工资的行为。</w:t>
      </w:r>
    </w:p>
    <w:p w14:paraId="3C674A9E">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②承诺中标后及时、足额存入农民工工资保证金。</w:t>
      </w:r>
    </w:p>
    <w:p w14:paraId="746B2C39">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③承诺依法足额支付农民工工资，一旦其承建的工程项目出现拖欠农民工工资情况的，可由劳动保障部门从工资保证金中先予垫支。</w:t>
      </w:r>
    </w:p>
    <w:p w14:paraId="32383A66">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承包人应当持根据上述作出的承诺和说明、存入农民工工资保证金的银行凭证到劳动保障部门报备。由劳动保障部门出具备案证明后到水利部门办理开工手续。</w:t>
      </w:r>
    </w:p>
    <w:p w14:paraId="4D8793DD">
      <w:pPr>
        <w:pStyle w:val="24"/>
        <w:spacing w:line="460" w:lineRule="exact"/>
        <w:ind w:firstLine="422" w:firstLineChars="200"/>
        <w:rPr>
          <w:rFonts w:ascii="宋体" w:hAnsi="宋体" w:cs="宋体"/>
          <w:b/>
          <w:color w:val="auto"/>
          <w:sz w:val="21"/>
          <w:szCs w:val="21"/>
        </w:rPr>
      </w:pPr>
      <w:r>
        <w:rPr>
          <w:rFonts w:hint="eastAsia" w:ascii="宋体" w:hAnsi="宋体" w:cs="宋体"/>
          <w:b/>
          <w:color w:val="auto"/>
          <w:sz w:val="21"/>
          <w:szCs w:val="21"/>
        </w:rPr>
        <w:t>（三）工程施工的义务和责任</w:t>
      </w:r>
    </w:p>
    <w:p w14:paraId="58C3E910">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0FCB0C5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除民房外、承包人应按监理人的指示负责拆除、清理已征用土地范围内的地上地下附属物，例如：旧基础、旧石墙、旧管道、杂物、竹木、蕉木、树木、树（竹）根、杂草等，为施工需要或施工原因采取临时渡汛措施并承担其费用。</w:t>
      </w:r>
    </w:p>
    <w:p w14:paraId="63A0B164">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（3）承包人因施工需要所采取的安全防护费用由承包人承担。</w:t>
      </w:r>
    </w:p>
    <w:p w14:paraId="53104C63">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承包人应充分理解有一些设施（如施工道路、桥梁）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385FA218">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（5）承包人将租用临时用地费用列入报价的“临时工程费”内。</w:t>
      </w:r>
    </w:p>
    <w:p w14:paraId="717A6636">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（6）承包人负责工程取土场地的落实和取土手续的办理。</w:t>
      </w:r>
    </w:p>
    <w:p w14:paraId="3B8B1352">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（7）承包人应为监理、质监、发包人现场代表对施工现场的检查监督提供必要的配合，并对这种配合对施工的影响应有充分的考虑。</w:t>
      </w:r>
    </w:p>
    <w:p w14:paraId="3ABDC75C">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（8）工程竣工后，承包人应按监理人的指示清理施工现场直至监理人、发包人满意为止。</w:t>
      </w:r>
    </w:p>
    <w:p w14:paraId="07DD4E84">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（9）对上述（1）～（8）项工作,费用已包括在有关单价和总价中，发包人不再另行支付由此所发生的一切费用。</w:t>
      </w:r>
    </w:p>
    <w:p w14:paraId="37FF6BA8">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212488A4">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（11）承包人必须文明、安全施工，在施工期间发生的一切人员伤亡和财产损失等责任事故和所发生的一切费用概由承包人承担。</w:t>
      </w:r>
    </w:p>
    <w:p w14:paraId="22CFB850">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（12）按照发包人的要求作好安全文明宣传、领导检查宣传等工作，相关费用由承包人承担。</w:t>
      </w:r>
    </w:p>
    <w:p w14:paraId="67841EBB">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（13）承包人应按约定时间和要求，完成以下工作：</w:t>
      </w:r>
    </w:p>
    <w:p w14:paraId="71C711DA">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①按时提交施工组织设计、单位工程的施工方案。                     </w:t>
      </w:r>
    </w:p>
    <w:p w14:paraId="69C6C0B1">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②每月20日向监理人提交当月工程进度报表及下月进度计划。</w:t>
      </w:r>
    </w:p>
    <w:p w14:paraId="1E1FFD77">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③承包人自行负责施工安全保卫工作及夜间施工照明。                                                                           </w:t>
      </w:r>
    </w:p>
    <w:p w14:paraId="7B9125B2">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④需承包人办理的有关施工场地交通、环卫和施工噪音管理等手续：遵守有关部门对施工现场交通、环卫和施工噪音管理规定，如有发生，费用由承包人承担。             </w:t>
      </w:r>
    </w:p>
    <w:p w14:paraId="680B6C52">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⑤已完工程成品保护的特殊要求及费用承担：已竣工工程未交付发包人之前，承包人按协议条款约定负责已完成工程的成品保护工作，保护期间发生损坏，承包人自费予以修复。                        </w:t>
      </w:r>
    </w:p>
    <w:p w14:paraId="6EA7AF8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⑥承包人有义务对施工场地周围管线（含地上及地下）和邻近建筑物、构筑物(含文物保护建筑)、古树名木等进行探明并负责保护。                                              </w:t>
      </w:r>
    </w:p>
    <w:p w14:paraId="424D4BDF">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⑦施工场地清洁卫生的要求：按城建卫生有关规定执行，由承包人负责，费用由承包人承担。 </w:t>
      </w:r>
    </w:p>
    <w:p w14:paraId="1BAFC66D">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⑧承包人承担施工场地、水电及运输通道的修建和维护、清场等费用。</w:t>
      </w:r>
    </w:p>
    <w:p w14:paraId="531BC863">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（14）双方约定承包人应做的其他工作：</w:t>
      </w:r>
    </w:p>
    <w:p w14:paraId="00618289">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21E0E73">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②工程完工后，承包人应按监理人的指示清理施工现场。并在工程完工后3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2％。</w:t>
      </w:r>
    </w:p>
    <w:p w14:paraId="56AE3CF3">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（15）其他未尽事宜双方另行协商。</w:t>
      </w:r>
    </w:p>
    <w:p w14:paraId="057FFE38">
      <w:pPr>
        <w:pStyle w:val="101"/>
        <w:spacing w:before="0" w:after="0" w:line="360" w:lineRule="auto"/>
        <w:rPr>
          <w:rFonts w:ascii="Arial"/>
          <w:color w:val="auto"/>
          <w:sz w:val="21"/>
          <w:szCs w:val="21"/>
          <w:lang w:eastAsia="zh-CN"/>
        </w:rPr>
      </w:pPr>
      <w:bookmarkStart w:id="2018" w:name="_Toc27098"/>
      <w:bookmarkStart w:id="2019" w:name="_Toc10044"/>
      <w:bookmarkStart w:id="2020" w:name="_Toc12270"/>
      <w:bookmarkStart w:id="2021" w:name="_Toc30464"/>
      <w:bookmarkStart w:id="2022" w:name="_Toc8083"/>
      <w:r>
        <w:rPr>
          <w:rFonts w:ascii="宋体" w:hAnsi="宋体"/>
          <w:color w:val="auto"/>
          <w:sz w:val="21"/>
          <w:szCs w:val="21"/>
          <w:lang w:eastAsia="zh-CN" w:bidi="en-US"/>
        </w:rPr>
        <w:t>4.5 承包人项目负责人</w:t>
      </w:r>
      <w:bookmarkEnd w:id="2018"/>
      <w:bookmarkEnd w:id="2019"/>
      <w:bookmarkEnd w:id="2020"/>
      <w:bookmarkEnd w:id="2021"/>
      <w:bookmarkEnd w:id="2022"/>
    </w:p>
    <w:p w14:paraId="6CBC4616">
      <w:pPr>
        <w:spacing w:line="360" w:lineRule="auto"/>
        <w:ind w:left="399"/>
        <w:rPr>
          <w:color w:val="auto"/>
          <w:szCs w:val="21"/>
        </w:rPr>
      </w:pPr>
      <w:r>
        <w:rPr>
          <w:rFonts w:ascii="宋体" w:hAnsi="宋体" w:cs="宋体"/>
          <w:color w:val="auto"/>
          <w:szCs w:val="21"/>
        </w:rPr>
        <w:t>4.5.5 (1)同一施工项目负责人不能同时在两个及以上的工程项目上担任施工项目负责人。</w:t>
      </w:r>
    </w:p>
    <w:p w14:paraId="2FA3CDDB">
      <w:pPr>
        <w:pStyle w:val="104"/>
        <w:tabs>
          <w:tab w:val="left" w:pos="5849"/>
        </w:tabs>
        <w:ind w:left="174" w:leftChars="83" w:firstLine="210" w:firstLineChars="100"/>
        <w:rPr>
          <w:color w:val="auto"/>
          <w:sz w:val="21"/>
          <w:szCs w:val="21"/>
        </w:rPr>
      </w:pPr>
      <w:r>
        <w:rPr>
          <w:color w:val="auto"/>
          <w:sz w:val="21"/>
          <w:szCs w:val="21"/>
        </w:rPr>
        <w:t>(2) 承包人应保证项目负责人每月在工地现场的时间不少于</w:t>
      </w:r>
      <w:r>
        <w:rPr>
          <w:color w:val="auto"/>
          <w:sz w:val="21"/>
          <w:szCs w:val="21"/>
          <w:u w:val="single"/>
        </w:rPr>
        <w:t xml:space="preserve"> 22</w:t>
      </w:r>
      <w:r>
        <w:rPr>
          <w:color w:val="auto"/>
          <w:sz w:val="21"/>
          <w:szCs w:val="21"/>
        </w:rPr>
        <w:t xml:space="preserve"> 日，否则将按每人每天人民币 </w:t>
      </w:r>
      <w:r>
        <w:rPr>
          <w:color w:val="auto"/>
          <w:sz w:val="21"/>
          <w:szCs w:val="21"/>
          <w:u w:val="single"/>
        </w:rPr>
        <w:t xml:space="preserve">500 </w:t>
      </w:r>
      <w:r>
        <w:rPr>
          <w:color w:val="auto"/>
          <w:sz w:val="21"/>
          <w:szCs w:val="21"/>
        </w:rPr>
        <w:t xml:space="preserve">元的标准向发包人支付违约金， </w:t>
      </w:r>
      <w:r>
        <w:rPr>
          <w:rFonts w:hint="eastAsia" w:ascii="Times New Roman" w:hAnsi="Times New Roman" w:cs="Times New Roman"/>
          <w:color w:val="auto"/>
          <w:sz w:val="21"/>
          <w:szCs w:val="21"/>
          <w:lang w:val="en-US" w:bidi="en-US"/>
        </w:rPr>
        <w:t>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54A4F2B1">
      <w:pPr>
        <w:pStyle w:val="4"/>
        <w:spacing w:before="0" w:after="0" w:line="460" w:lineRule="exact"/>
        <w:rPr>
          <w:rFonts w:ascii="宋体" w:hAnsi="宋体" w:cs="宋体"/>
          <w:color w:val="auto"/>
          <w:sz w:val="21"/>
          <w:szCs w:val="21"/>
        </w:rPr>
      </w:pPr>
      <w:bookmarkStart w:id="2023" w:name="_Toc17523"/>
      <w:bookmarkStart w:id="2024" w:name="_Toc27925"/>
      <w:bookmarkStart w:id="2025" w:name="_Toc222029531"/>
      <w:bookmarkStart w:id="2026" w:name="_Toc222033882"/>
      <w:bookmarkStart w:id="2027" w:name="_Toc222032700"/>
      <w:bookmarkStart w:id="2028" w:name="_Toc222031033"/>
      <w:bookmarkStart w:id="2029" w:name="_Toc229305391"/>
      <w:bookmarkStart w:id="2030" w:name="_Toc221951160"/>
      <w:r>
        <w:rPr>
          <w:rFonts w:hint="eastAsia" w:ascii="宋体" w:hAnsi="宋体" w:cs="宋体"/>
          <w:color w:val="auto"/>
          <w:sz w:val="21"/>
          <w:szCs w:val="21"/>
        </w:rPr>
        <w:t>4.6承包人人员管理</w:t>
      </w:r>
      <w:bookmarkEnd w:id="2023"/>
      <w:bookmarkEnd w:id="2024"/>
    </w:p>
    <w:p w14:paraId="0C661C86">
      <w:pPr>
        <w:spacing w:line="360" w:lineRule="auto"/>
        <w:ind w:left="26" w:right="74" w:firstLine="399"/>
        <w:rPr>
          <w:rFonts w:ascii="宋体" w:hAnsi="宋体" w:cs="宋体"/>
          <w:color w:val="auto"/>
          <w:szCs w:val="21"/>
        </w:rPr>
      </w:pPr>
      <w:r>
        <w:rPr>
          <w:rFonts w:ascii="宋体" w:hAnsi="宋体" w:cs="宋体"/>
          <w:color w:val="auto"/>
          <w:szCs w:val="21"/>
        </w:rPr>
        <w:t>4.6.3 承包人安排在施工场地的主要管理人员和技术骨干应相对稳定。投入本项目的项目经理、技术负责人、质量检查员、专职安全员等主要管理人员中标后，未经发包人书面批准不得更换。拟申请变换的主要管理人员，不得低于投标拟投入人员的同等条件。</w:t>
      </w:r>
    </w:p>
    <w:p w14:paraId="0DBB176A">
      <w:pPr>
        <w:spacing w:line="360" w:lineRule="auto"/>
        <w:ind w:left="25" w:firstLine="399"/>
        <w:rPr>
          <w:rFonts w:ascii="宋体" w:hAnsi="宋体" w:cs="宋体"/>
          <w:color w:val="auto"/>
          <w:szCs w:val="21"/>
        </w:rPr>
      </w:pPr>
      <w:r>
        <w:rPr>
          <w:rFonts w:ascii="宋体" w:hAnsi="宋体" w:cs="宋体"/>
          <w:color w:val="auto"/>
          <w:szCs w:val="21"/>
        </w:rPr>
        <w:t>4.6.4 承包人项目经理、技术负责人、质量管理人员、安全管理人员驻工程现场时间不得少于22 天/月，否则对项目经理、技术负责人按每少1天处 500 元/天</w:t>
      </w:r>
      <w:r>
        <w:rPr>
          <w:rFonts w:hint="eastAsia" w:ascii="宋体" w:hAnsi="宋体" w:cs="宋体"/>
          <w:color w:val="auto"/>
          <w:szCs w:val="21"/>
        </w:rPr>
        <w:t>.</w:t>
      </w:r>
      <w:r>
        <w:rPr>
          <w:rFonts w:ascii="宋体" w:hAnsi="宋体" w:cs="宋体"/>
          <w:color w:val="auto"/>
          <w:szCs w:val="21"/>
        </w:rPr>
        <w:t>人的罚款；对质量管理人员、安全管理人员按每少1天处 300元/天</w:t>
      </w:r>
      <w:r>
        <w:rPr>
          <w:rFonts w:hint="eastAsia" w:ascii="宋体" w:hAnsi="宋体" w:cs="宋体"/>
          <w:color w:val="auto"/>
          <w:szCs w:val="21"/>
        </w:rPr>
        <w:t>.</w:t>
      </w:r>
      <w:r>
        <w:rPr>
          <w:rFonts w:ascii="宋体" w:hAnsi="宋体" w:cs="宋体"/>
          <w:color w:val="auto"/>
          <w:szCs w:val="21"/>
        </w:rPr>
        <w:t>人的罚款。在工地现场实行每日签到上班制度，签到必须是本人签字，发现有代签弄虚作假的， 每人次按缺勤 10天处罚，发包人现场检查发现人员不到位的一次按缺勤 10 天处罚，发包人在每月支付给承包人的进度付款中直接扣除；若项目经理、技术负责人连续 2 个月少于合同规定驻工地时间，发包人将约谈承包人法定代表人；若第 3 个月依然不能履行合同规定驻工地时间，发包人有权与承包人解除本合同， 按本合同完成工作量据实结算，承包人不得有异议并无条件承担由 此给发包人带来的一切损失。 同时视为承包人未按合同履约， 由发包人报上级有关行政监督部门进行处理并依照相关规定将结果记入承包人的市场主体信用档案，公布不良行为记录。</w:t>
      </w:r>
    </w:p>
    <w:p w14:paraId="7D4D9CB1">
      <w:pPr>
        <w:pStyle w:val="95"/>
        <w:tabs>
          <w:tab w:val="left" w:pos="5849"/>
        </w:tabs>
        <w:ind w:firstLine="420"/>
        <w:jc w:val="both"/>
        <w:rPr>
          <w:rFonts w:ascii="Times New Roman" w:hAnsi="Times New Roman" w:cs="Times New Roman"/>
          <w:color w:val="auto"/>
          <w:sz w:val="21"/>
          <w:szCs w:val="21"/>
          <w:lang w:val="en-US" w:bidi="en-US"/>
        </w:rPr>
      </w:pPr>
      <w:r>
        <w:rPr>
          <w:color w:val="auto"/>
          <w:sz w:val="21"/>
          <w:szCs w:val="21"/>
        </w:rPr>
        <w:t>4.6.5.1 施工单位要制定好每 15 天进度节点，项目业主要对每 15 天进度节点进行考核，如有两个节点进度未能完成任务，项目业主有权采取必要的赶工措施 (包括增派机械、人员、增加工作面) ，所发生的赶工费用由施工单位负责支付。</w:t>
      </w:r>
    </w:p>
    <w:p w14:paraId="0CF6A9A3">
      <w:pPr>
        <w:pStyle w:val="101"/>
        <w:spacing w:before="0" w:after="0" w:line="360" w:lineRule="auto"/>
        <w:rPr>
          <w:rFonts w:ascii="宋体" w:hAnsi="宋体"/>
          <w:color w:val="auto"/>
          <w:sz w:val="21"/>
          <w:szCs w:val="21"/>
          <w:lang w:eastAsia="zh-CN" w:bidi="en-US"/>
        </w:rPr>
      </w:pPr>
      <w:bookmarkStart w:id="2031" w:name="_Toc28667"/>
      <w:bookmarkStart w:id="2032" w:name="_Toc3434"/>
      <w:bookmarkStart w:id="2033" w:name="_Toc28542"/>
      <w:bookmarkStart w:id="2034" w:name="bookmark1657"/>
      <w:bookmarkStart w:id="2035" w:name="bookmark1656"/>
      <w:bookmarkStart w:id="2036" w:name="_Toc25240"/>
      <w:bookmarkStart w:id="2037" w:name="_Toc24838"/>
      <w:bookmarkStart w:id="2038" w:name="_Toc8745"/>
      <w:bookmarkStart w:id="2039" w:name="bookmark1658"/>
      <w:r>
        <w:rPr>
          <w:rFonts w:ascii="宋体" w:hAnsi="宋体"/>
          <w:color w:val="auto"/>
          <w:sz w:val="21"/>
          <w:szCs w:val="21"/>
          <w:lang w:eastAsia="zh-CN" w:bidi="en-US"/>
        </w:rPr>
        <w:t>4.7撤换承包人项目经理和其他人员</w:t>
      </w:r>
      <w:bookmarkEnd w:id="2031"/>
      <w:bookmarkEnd w:id="2032"/>
      <w:bookmarkEnd w:id="2033"/>
      <w:bookmarkEnd w:id="2034"/>
      <w:bookmarkEnd w:id="2035"/>
      <w:bookmarkEnd w:id="2036"/>
      <w:bookmarkEnd w:id="2037"/>
      <w:bookmarkEnd w:id="2038"/>
      <w:bookmarkEnd w:id="2039"/>
    </w:p>
    <w:p w14:paraId="7674B2EB">
      <w:pPr>
        <w:spacing w:line="360" w:lineRule="auto"/>
        <w:ind w:left="29" w:right="3" w:firstLine="446"/>
        <w:rPr>
          <w:rFonts w:ascii="宋体" w:hAnsi="宋体" w:cs="宋体"/>
          <w:color w:val="auto"/>
          <w:szCs w:val="21"/>
        </w:rPr>
      </w:pPr>
      <w:r>
        <w:rPr>
          <w:rFonts w:ascii="宋体" w:hAnsi="宋体" w:cs="宋体"/>
          <w:color w:val="auto"/>
          <w:szCs w:val="21"/>
        </w:rPr>
        <w:t>口 4.7.1 中标人根据投标文件的承诺，投入本项目的项目经理、技术负责人、质量管理员、 安全管理员等主要管理人员中标后不得更换(除因故去世、调离本单位外)。</w:t>
      </w:r>
    </w:p>
    <w:p w14:paraId="54D9BF81">
      <w:pPr>
        <w:spacing w:line="360" w:lineRule="auto"/>
        <w:ind w:left="26" w:right="72" w:firstLine="447"/>
        <w:rPr>
          <w:rFonts w:ascii="宋体" w:hAnsi="宋体" w:cs="宋体"/>
          <w:color w:val="auto"/>
          <w:szCs w:val="21"/>
        </w:rPr>
      </w:pPr>
      <w:r>
        <w:rPr>
          <w:rFonts w:ascii="MS Gothic" w:hAnsi="MS Gothic" w:eastAsia="MS Gothic" w:cs="MS Gothic"/>
          <w:color w:val="auto"/>
          <w:szCs w:val="21"/>
        </w:rPr>
        <w:t>☑</w:t>
      </w:r>
      <w:r>
        <w:rPr>
          <w:rFonts w:ascii="宋体" w:hAnsi="宋体" w:cs="宋体"/>
          <w:color w:val="auto"/>
          <w:szCs w:val="21"/>
        </w:rPr>
        <w:t>4.7.1 投入本项目的项目经理、技术负责人、质量管理员、专职管理员等主要管理人员中标后，经中标人申请、监理机构审核允许、</w:t>
      </w:r>
      <w:r>
        <w:rPr>
          <w:rFonts w:hint="eastAsia" w:ascii="宋体" w:hAnsi="宋体" w:cs="宋体"/>
          <w:color w:val="auto"/>
          <w:szCs w:val="21"/>
        </w:rPr>
        <w:t>发包人</w:t>
      </w:r>
      <w:r>
        <w:rPr>
          <w:rFonts w:ascii="宋体" w:hAnsi="宋体" w:cs="宋体"/>
          <w:color w:val="auto"/>
          <w:szCs w:val="21"/>
        </w:rPr>
        <w:t>同意后方可变更为不低于同等条件的人员。</w:t>
      </w:r>
    </w:p>
    <w:p w14:paraId="73080B6F">
      <w:pPr>
        <w:spacing w:line="360" w:lineRule="auto"/>
        <w:ind w:right="44" w:firstLine="420" w:firstLineChars="200"/>
        <w:rPr>
          <w:rFonts w:ascii="宋体" w:hAnsi="宋体" w:cs="宋体"/>
          <w:color w:val="auto"/>
          <w:szCs w:val="21"/>
        </w:rPr>
      </w:pPr>
      <w:r>
        <w:rPr>
          <w:rFonts w:ascii="宋体" w:hAnsi="宋体" w:cs="宋体"/>
          <w:color w:val="auto"/>
          <w:szCs w:val="21"/>
        </w:rPr>
        <w:t>4.7.2 除非发包人要求或者批准， 承包人擅自更换项目经理、项目副经理、技术负责人、专职安全员的，将按每人每天人民币 500 元的标准向发包人支付违约金。 由发包人报上级有关行政监督部门进行处理并依照相关规定将结果记入承包人的市场主体信用档案，公布不良行为记录。</w:t>
      </w:r>
    </w:p>
    <w:p w14:paraId="682F5CC9">
      <w:pPr>
        <w:spacing w:line="360" w:lineRule="auto"/>
        <w:ind w:left="26" w:right="67" w:firstLine="437"/>
        <w:rPr>
          <w:color w:val="auto"/>
          <w:szCs w:val="21"/>
        </w:rPr>
      </w:pPr>
      <w:r>
        <w:rPr>
          <w:rFonts w:ascii="宋体" w:hAnsi="宋体" w:cs="宋体"/>
          <w:color w:val="auto"/>
          <w:szCs w:val="21"/>
        </w:rPr>
        <w:t xml:space="preserve">4.7.3 尽管承包人已按第 4.6.2 款的规定派遣了各类人员，但仍然不能满足合同工程的进度 计划或质量要求时，发包人有权要求承包人继续增派(/或更换) 人员。承包人在接到通知 14 天内，增派(和/或更换)的人员要到岗，否则，承包人应按每人每天人民币 </w:t>
      </w:r>
      <w:r>
        <w:rPr>
          <w:rFonts w:ascii="宋体" w:hAnsi="宋体" w:cs="宋体"/>
          <w:color w:val="auto"/>
          <w:szCs w:val="21"/>
          <w:u w:val="single"/>
        </w:rPr>
        <w:t xml:space="preserve">500 </w:t>
      </w:r>
      <w:r>
        <w:rPr>
          <w:rFonts w:ascii="宋体" w:hAnsi="宋体" w:cs="宋体"/>
          <w:color w:val="auto"/>
          <w:szCs w:val="21"/>
        </w:rPr>
        <w:t>元的标准向发包人支付违约金，直至按照发包人的要求增派(和/或更换)的人员到岗为此。</w:t>
      </w:r>
    </w:p>
    <w:p w14:paraId="1D2B0D33">
      <w:pPr>
        <w:pStyle w:val="4"/>
        <w:spacing w:before="0" w:after="0" w:line="460" w:lineRule="exact"/>
        <w:rPr>
          <w:rFonts w:ascii="宋体" w:hAnsi="宋体" w:cs="宋体"/>
          <w:color w:val="auto"/>
          <w:sz w:val="21"/>
          <w:szCs w:val="21"/>
        </w:rPr>
      </w:pPr>
      <w:bookmarkStart w:id="2040" w:name="_Toc8375"/>
      <w:bookmarkStart w:id="2041" w:name="_Toc23123"/>
      <w:r>
        <w:rPr>
          <w:rFonts w:hint="eastAsia" w:ascii="宋体" w:hAnsi="宋体" w:cs="宋体"/>
          <w:color w:val="auto"/>
          <w:sz w:val="21"/>
          <w:szCs w:val="21"/>
        </w:rPr>
        <w:t>5  材料和工程设备</w:t>
      </w:r>
      <w:bookmarkEnd w:id="2025"/>
      <w:bookmarkEnd w:id="2026"/>
      <w:bookmarkEnd w:id="2027"/>
      <w:bookmarkEnd w:id="2028"/>
      <w:bookmarkEnd w:id="2029"/>
      <w:bookmarkEnd w:id="2030"/>
      <w:bookmarkEnd w:id="2040"/>
      <w:bookmarkEnd w:id="2041"/>
    </w:p>
    <w:p w14:paraId="6D83803D">
      <w:pPr>
        <w:pStyle w:val="4"/>
        <w:spacing w:before="0" w:after="0" w:line="460" w:lineRule="exact"/>
        <w:rPr>
          <w:rFonts w:ascii="宋体" w:hAnsi="宋体" w:cs="宋体"/>
          <w:color w:val="auto"/>
          <w:sz w:val="21"/>
          <w:szCs w:val="21"/>
        </w:rPr>
      </w:pPr>
      <w:bookmarkStart w:id="2042" w:name="_Toc31512"/>
      <w:bookmarkStart w:id="2043" w:name="_Toc32486"/>
      <w:r>
        <w:rPr>
          <w:rFonts w:hint="eastAsia" w:ascii="宋体" w:hAnsi="宋体" w:cs="宋体"/>
          <w:color w:val="auto"/>
          <w:sz w:val="21"/>
          <w:szCs w:val="21"/>
        </w:rPr>
        <w:t>5.1承包人提供的材料和工程设备</w:t>
      </w:r>
      <w:bookmarkEnd w:id="2042"/>
      <w:bookmarkEnd w:id="2043"/>
    </w:p>
    <w:p w14:paraId="1D893A01">
      <w:pPr>
        <w:spacing w:line="460" w:lineRule="exact"/>
        <w:ind w:firstLine="422" w:firstLineChars="200"/>
        <w:rPr>
          <w:rFonts w:ascii="宋体" w:hAnsi="宋体" w:cs="宋体"/>
          <w:color w:val="auto"/>
          <w:szCs w:val="21"/>
        </w:rPr>
      </w:pPr>
      <w:r>
        <w:rPr>
          <w:rFonts w:hint="eastAsia" w:ascii="宋体" w:hAnsi="宋体" w:cs="宋体"/>
          <w:b/>
          <w:color w:val="auto"/>
          <w:szCs w:val="21"/>
        </w:rPr>
        <w:t>5.1.2</w:t>
      </w:r>
      <w:r>
        <w:rPr>
          <w:rFonts w:hint="eastAsia" w:ascii="宋体" w:hAnsi="宋体" w:cs="宋体"/>
          <w:color w:val="auto"/>
          <w:szCs w:val="21"/>
        </w:rPr>
        <w:t>本工程承包人所用钢筋，性能相当于柳钢、水城、平钢生产的产品；水泥性能相当于鱼峰牌、华润牌（红水河牌）、海螺牌的产品标准。</w:t>
      </w:r>
    </w:p>
    <w:p w14:paraId="6181FB64">
      <w:pPr>
        <w:pStyle w:val="4"/>
        <w:spacing w:before="0" w:after="0" w:line="460" w:lineRule="exact"/>
        <w:rPr>
          <w:rFonts w:ascii="宋体" w:hAnsi="宋体" w:cs="宋体"/>
          <w:color w:val="auto"/>
          <w:sz w:val="21"/>
          <w:szCs w:val="21"/>
        </w:rPr>
      </w:pPr>
      <w:bookmarkStart w:id="2044" w:name="_Toc26097"/>
      <w:bookmarkStart w:id="2045" w:name="_Toc10029"/>
      <w:bookmarkStart w:id="2046" w:name="_Toc221951163"/>
      <w:r>
        <w:rPr>
          <w:rFonts w:hint="eastAsia" w:ascii="宋体" w:hAnsi="宋体" w:cs="宋体"/>
          <w:color w:val="auto"/>
          <w:sz w:val="21"/>
          <w:szCs w:val="21"/>
        </w:rPr>
        <w:t>5.2  发包人提供的材料和工程设备</w:t>
      </w:r>
      <w:bookmarkEnd w:id="2044"/>
      <w:bookmarkEnd w:id="2045"/>
      <w:bookmarkEnd w:id="2046"/>
    </w:p>
    <w:p w14:paraId="4F629D8D">
      <w:pPr>
        <w:spacing w:line="460" w:lineRule="exact"/>
        <w:ind w:firstLine="422" w:firstLineChars="200"/>
        <w:rPr>
          <w:rFonts w:ascii="宋体" w:hAnsi="宋体" w:cs="宋体"/>
          <w:color w:val="auto"/>
          <w:szCs w:val="21"/>
        </w:rPr>
      </w:pPr>
      <w:bookmarkStart w:id="2047" w:name="_Toc229305392"/>
      <w:bookmarkStart w:id="2048" w:name="_Toc222032701"/>
      <w:bookmarkStart w:id="2049" w:name="_Toc222031034"/>
      <w:bookmarkStart w:id="2050" w:name="_Toc221951166"/>
      <w:bookmarkStart w:id="2051" w:name="_Toc222029532"/>
      <w:bookmarkStart w:id="2052" w:name="_Toc222033883"/>
      <w:r>
        <w:rPr>
          <w:rFonts w:hint="eastAsia" w:ascii="宋体" w:hAnsi="宋体" w:cs="宋体"/>
          <w:b/>
          <w:color w:val="auto"/>
          <w:szCs w:val="21"/>
        </w:rPr>
        <w:t>5.2.1</w:t>
      </w:r>
      <w:r>
        <w:rPr>
          <w:rFonts w:hint="eastAsia" w:ascii="宋体" w:hAnsi="宋体" w:cs="宋体"/>
          <w:b/>
          <w:color w:val="auto"/>
          <w:kern w:val="0"/>
          <w:szCs w:val="21"/>
        </w:rPr>
        <w:t xml:space="preserve"> </w:t>
      </w:r>
      <w:r>
        <w:rPr>
          <w:rFonts w:hint="eastAsia" w:ascii="宋体" w:hAnsi="宋体" w:cs="宋体"/>
          <w:color w:val="auto"/>
          <w:szCs w:val="21"/>
        </w:rPr>
        <w:t>本工程发包人无提供任何材料和工程设备。</w:t>
      </w:r>
    </w:p>
    <w:p w14:paraId="649B1835">
      <w:pPr>
        <w:pStyle w:val="4"/>
        <w:spacing w:before="0" w:after="0" w:line="460" w:lineRule="exact"/>
        <w:rPr>
          <w:rFonts w:ascii="宋体" w:hAnsi="宋体" w:cs="宋体"/>
          <w:color w:val="auto"/>
          <w:sz w:val="21"/>
          <w:szCs w:val="21"/>
        </w:rPr>
      </w:pPr>
      <w:bookmarkStart w:id="2053" w:name="_Toc23578"/>
      <w:bookmarkStart w:id="2054" w:name="_Toc23748"/>
      <w:r>
        <w:rPr>
          <w:rFonts w:hint="eastAsia" w:ascii="宋体" w:hAnsi="宋体" w:cs="宋体"/>
          <w:color w:val="auto"/>
          <w:sz w:val="21"/>
          <w:szCs w:val="21"/>
        </w:rPr>
        <w:t>6  施工设备和临时设施</w:t>
      </w:r>
      <w:bookmarkEnd w:id="2047"/>
      <w:bookmarkEnd w:id="2048"/>
      <w:bookmarkEnd w:id="2049"/>
      <w:bookmarkEnd w:id="2050"/>
      <w:bookmarkEnd w:id="2051"/>
      <w:bookmarkEnd w:id="2052"/>
      <w:bookmarkEnd w:id="2053"/>
      <w:bookmarkEnd w:id="2054"/>
    </w:p>
    <w:p w14:paraId="4EBB1C3B">
      <w:pPr>
        <w:pStyle w:val="4"/>
        <w:spacing w:before="0" w:after="0" w:line="460" w:lineRule="exact"/>
        <w:rPr>
          <w:rFonts w:ascii="宋体" w:hAnsi="宋体" w:cs="宋体"/>
          <w:color w:val="auto"/>
          <w:sz w:val="21"/>
          <w:szCs w:val="21"/>
        </w:rPr>
      </w:pPr>
      <w:bookmarkStart w:id="2055" w:name="_Toc8043"/>
      <w:bookmarkStart w:id="2056" w:name="_Toc11631"/>
      <w:bookmarkStart w:id="2057" w:name="_Toc229593367"/>
      <w:r>
        <w:rPr>
          <w:rFonts w:hint="eastAsia" w:ascii="宋体" w:hAnsi="宋体" w:cs="宋体"/>
          <w:color w:val="auto"/>
          <w:sz w:val="21"/>
          <w:szCs w:val="21"/>
        </w:rPr>
        <w:t>6.1 承包人提供的施工设备和临时设施</w:t>
      </w:r>
      <w:bookmarkEnd w:id="2055"/>
      <w:bookmarkEnd w:id="2056"/>
      <w:bookmarkEnd w:id="2057"/>
    </w:p>
    <w:p w14:paraId="1734E2D7">
      <w:pPr>
        <w:spacing w:line="460" w:lineRule="exact"/>
        <w:ind w:firstLine="422" w:firstLineChars="200"/>
        <w:rPr>
          <w:rFonts w:ascii="宋体" w:hAnsi="宋体" w:cs="宋体"/>
          <w:color w:val="auto"/>
          <w:kern w:val="0"/>
          <w:szCs w:val="21"/>
        </w:rPr>
      </w:pPr>
      <w:r>
        <w:rPr>
          <w:rFonts w:hint="eastAsia" w:ascii="宋体" w:hAnsi="宋体" w:cs="宋体"/>
          <w:b/>
          <w:color w:val="auto"/>
          <w:kern w:val="0"/>
          <w:szCs w:val="21"/>
        </w:rPr>
        <w:t xml:space="preserve">6.1.2 </w:t>
      </w:r>
      <w:r>
        <w:rPr>
          <w:rFonts w:hint="eastAsia" w:ascii="宋体" w:hAnsi="宋体" w:cs="宋体"/>
          <w:color w:val="auto"/>
          <w:kern w:val="0"/>
          <w:szCs w:val="21"/>
        </w:rPr>
        <w:t>承包人自行承担修建临时设施的费用，需要临时占地的，由承包人办理相关申请手续，发包人予以协助，发生的相关费用由承包人承担。</w:t>
      </w:r>
    </w:p>
    <w:p w14:paraId="4478A340">
      <w:pPr>
        <w:pStyle w:val="101"/>
        <w:spacing w:before="0" w:after="0" w:line="360" w:lineRule="auto"/>
        <w:rPr>
          <w:color w:val="auto"/>
          <w:sz w:val="21"/>
          <w:szCs w:val="21"/>
          <w:lang w:eastAsia="zh-CN"/>
        </w:rPr>
      </w:pPr>
      <w:bookmarkStart w:id="2058" w:name="_Toc16046"/>
      <w:bookmarkStart w:id="2059" w:name="_Toc22064"/>
      <w:bookmarkStart w:id="2060" w:name="_Toc24910"/>
      <w:bookmarkStart w:id="2061" w:name="_Toc20581"/>
      <w:bookmarkStart w:id="2062" w:name="_Toc12202"/>
      <w:bookmarkStart w:id="2063" w:name="_Toc8481"/>
      <w:r>
        <w:rPr>
          <w:rFonts w:hint="eastAsia"/>
          <w:color w:val="auto"/>
          <w:sz w:val="21"/>
          <w:szCs w:val="21"/>
          <w:lang w:eastAsia="zh-CN"/>
        </w:rPr>
        <w:t>7. 交通运输</w:t>
      </w:r>
      <w:bookmarkEnd w:id="2058"/>
      <w:bookmarkEnd w:id="2059"/>
      <w:bookmarkEnd w:id="2060"/>
      <w:bookmarkEnd w:id="2061"/>
      <w:bookmarkEnd w:id="2062"/>
      <w:bookmarkEnd w:id="2063"/>
    </w:p>
    <w:p w14:paraId="65126434">
      <w:pPr>
        <w:pStyle w:val="101"/>
        <w:spacing w:before="0" w:after="0" w:line="360" w:lineRule="auto"/>
        <w:rPr>
          <w:rFonts w:ascii="宋体" w:hAnsi="宋体"/>
          <w:color w:val="auto"/>
          <w:sz w:val="21"/>
          <w:szCs w:val="21"/>
          <w:lang w:eastAsia="zh-CN" w:bidi="en-US"/>
        </w:rPr>
      </w:pPr>
      <w:bookmarkStart w:id="2064" w:name="_Toc21833"/>
      <w:bookmarkStart w:id="2065" w:name="_Toc7455"/>
      <w:bookmarkStart w:id="2066" w:name="_Toc22063"/>
      <w:bookmarkStart w:id="2067" w:name="_Toc23651"/>
      <w:bookmarkStart w:id="2068" w:name="_Toc9004"/>
      <w:bookmarkStart w:id="2069" w:name="_Toc13571"/>
      <w:r>
        <w:rPr>
          <w:rFonts w:ascii="宋体" w:hAnsi="宋体"/>
          <w:color w:val="auto"/>
          <w:sz w:val="21"/>
          <w:szCs w:val="21"/>
          <w:lang w:eastAsia="zh-CN" w:bidi="en-US"/>
        </w:rPr>
        <w:t>7.1道路通行权和场外设施</w:t>
      </w:r>
      <w:bookmarkEnd w:id="2064"/>
      <w:bookmarkEnd w:id="2065"/>
      <w:bookmarkEnd w:id="2066"/>
      <w:bookmarkEnd w:id="2067"/>
      <w:bookmarkEnd w:id="2068"/>
      <w:bookmarkEnd w:id="2069"/>
    </w:p>
    <w:p w14:paraId="2D0AD775">
      <w:pPr>
        <w:pStyle w:val="3"/>
        <w:spacing w:before="0" w:after="0"/>
        <w:rPr>
          <w:rFonts w:eastAsia="宋体"/>
          <w:color w:val="auto"/>
        </w:rPr>
      </w:pPr>
      <w:bookmarkStart w:id="2070" w:name="_Toc6897"/>
      <w:bookmarkStart w:id="2071" w:name="_Toc32364"/>
      <w:r>
        <w:rPr>
          <w:color w:val="auto"/>
          <w:sz w:val="21"/>
          <w:szCs w:val="21"/>
        </w:rPr>
        <w:t>道路通行权和场外设施的约定：</w:t>
      </w:r>
      <w:r>
        <w:rPr>
          <w:rFonts w:ascii="宋体" w:hAnsi="宋体" w:eastAsia="宋体" w:cs="宋体"/>
          <w:color w:val="auto"/>
          <w:sz w:val="21"/>
          <w:szCs w:val="21"/>
          <w:u w:val="single"/>
        </w:rPr>
        <w:t>承包人负责并承担费用</w:t>
      </w:r>
      <w:r>
        <w:rPr>
          <w:rFonts w:hint="eastAsia" w:ascii="宋体" w:hAnsi="宋体" w:eastAsia="宋体" w:cs="宋体"/>
          <w:color w:val="auto"/>
          <w:sz w:val="21"/>
          <w:szCs w:val="21"/>
          <w:u w:val="single"/>
        </w:rPr>
        <w:t>。</w:t>
      </w:r>
      <w:bookmarkEnd w:id="2070"/>
      <w:bookmarkEnd w:id="2071"/>
    </w:p>
    <w:p w14:paraId="5D404069">
      <w:pPr>
        <w:pStyle w:val="4"/>
        <w:spacing w:before="0" w:after="0" w:line="460" w:lineRule="exact"/>
        <w:rPr>
          <w:rFonts w:ascii="宋体" w:hAnsi="宋体" w:cs="宋体"/>
          <w:color w:val="auto"/>
          <w:sz w:val="21"/>
          <w:szCs w:val="21"/>
        </w:rPr>
      </w:pPr>
      <w:bookmarkStart w:id="2072" w:name="_Toc2861"/>
      <w:bookmarkStart w:id="2073" w:name="_Toc16290"/>
      <w:r>
        <w:rPr>
          <w:rFonts w:hint="eastAsia" w:ascii="宋体" w:hAnsi="宋体" w:cs="宋体"/>
          <w:color w:val="auto"/>
          <w:sz w:val="21"/>
          <w:szCs w:val="21"/>
        </w:rPr>
        <w:t>8 测量放线</w:t>
      </w:r>
      <w:bookmarkEnd w:id="2072"/>
      <w:bookmarkEnd w:id="2073"/>
    </w:p>
    <w:p w14:paraId="52BBA813">
      <w:pPr>
        <w:pStyle w:val="4"/>
        <w:spacing w:before="0" w:after="0" w:line="460" w:lineRule="exact"/>
        <w:rPr>
          <w:rFonts w:ascii="宋体" w:hAnsi="宋体" w:cs="宋体"/>
          <w:color w:val="auto"/>
          <w:sz w:val="21"/>
          <w:szCs w:val="21"/>
        </w:rPr>
      </w:pPr>
      <w:bookmarkStart w:id="2074" w:name="_Toc6690"/>
      <w:bookmarkStart w:id="2075" w:name="_Toc23682"/>
      <w:r>
        <w:rPr>
          <w:rFonts w:hint="eastAsia" w:ascii="宋体" w:hAnsi="宋体" w:cs="宋体"/>
          <w:color w:val="auto"/>
          <w:sz w:val="21"/>
          <w:szCs w:val="21"/>
        </w:rPr>
        <w:t>8.1 施工控制网</w:t>
      </w:r>
      <w:bookmarkEnd w:id="2074"/>
      <w:bookmarkEnd w:id="2075"/>
    </w:p>
    <w:p w14:paraId="35350469">
      <w:pPr>
        <w:spacing w:line="460" w:lineRule="exact"/>
        <w:ind w:firstLine="422" w:firstLineChars="200"/>
        <w:rPr>
          <w:rFonts w:ascii="宋体" w:hAnsi="宋体" w:cs="宋体"/>
          <w:color w:val="auto"/>
          <w:kern w:val="0"/>
          <w:szCs w:val="21"/>
        </w:rPr>
      </w:pPr>
      <w:r>
        <w:rPr>
          <w:rFonts w:hint="eastAsia" w:ascii="宋体" w:hAnsi="宋体" w:cs="宋体"/>
          <w:b/>
          <w:color w:val="auto"/>
          <w:kern w:val="0"/>
          <w:szCs w:val="21"/>
        </w:rPr>
        <w:t>8.1.1</w:t>
      </w:r>
      <w:r>
        <w:rPr>
          <w:rFonts w:hint="eastAsia" w:ascii="宋体" w:hAnsi="宋体" w:cs="宋体"/>
          <w:color w:val="auto"/>
          <w:kern w:val="0"/>
          <w:szCs w:val="21"/>
        </w:rPr>
        <w:t>施工控制网的约定：由发包人负责交桩，承包人负责复核、测设；发包人应在本合同协议书签订后7天内，向承包人提供基准点、基准线和水准点及相关资料；承包人在收到上述资料后的14天内，将施测的施工控制网资料提交监理人审批；发包人不对提供的测设控制网准确性负责。</w:t>
      </w:r>
    </w:p>
    <w:p w14:paraId="3D469D8A">
      <w:pPr>
        <w:pStyle w:val="4"/>
        <w:spacing w:before="0" w:after="0" w:line="460" w:lineRule="exact"/>
        <w:rPr>
          <w:rFonts w:ascii="宋体" w:hAnsi="宋体" w:cs="宋体"/>
          <w:color w:val="auto"/>
          <w:sz w:val="21"/>
          <w:szCs w:val="21"/>
        </w:rPr>
      </w:pPr>
      <w:bookmarkStart w:id="2076" w:name="_Toc6202"/>
      <w:bookmarkStart w:id="2077" w:name="_Toc14346"/>
      <w:r>
        <w:rPr>
          <w:rFonts w:hint="eastAsia" w:ascii="宋体" w:hAnsi="宋体" w:cs="宋体"/>
          <w:color w:val="auto"/>
          <w:sz w:val="21"/>
          <w:szCs w:val="21"/>
        </w:rPr>
        <w:t>9 施工安全、治安保卫和环境保护</w:t>
      </w:r>
      <w:bookmarkEnd w:id="2076"/>
      <w:bookmarkEnd w:id="2077"/>
    </w:p>
    <w:p w14:paraId="11F3F8DD">
      <w:pPr>
        <w:spacing w:line="360" w:lineRule="auto"/>
        <w:ind w:left="446"/>
        <w:rPr>
          <w:rFonts w:ascii="宋体" w:hAnsi="宋体" w:cs="宋体"/>
          <w:color w:val="auto"/>
          <w:szCs w:val="21"/>
        </w:rPr>
      </w:pPr>
      <w:r>
        <w:rPr>
          <w:rFonts w:ascii="宋体" w:hAnsi="宋体" w:cs="宋体"/>
          <w:color w:val="auto"/>
          <w:szCs w:val="21"/>
        </w:rPr>
        <w:t>9.1.3 本款补充：但由于承包人原因造成的应由承包人承担责任。</w:t>
      </w:r>
    </w:p>
    <w:p w14:paraId="4B8042FA">
      <w:pPr>
        <w:spacing w:line="360" w:lineRule="auto"/>
        <w:ind w:firstLine="420" w:firstLineChars="200"/>
        <w:rPr>
          <w:rFonts w:ascii="宋体" w:hAnsi="宋体" w:cs="宋体"/>
          <w:color w:val="auto"/>
          <w:szCs w:val="21"/>
        </w:rPr>
      </w:pPr>
      <w:r>
        <w:rPr>
          <w:rFonts w:ascii="宋体" w:hAnsi="宋体" w:cs="宋体"/>
          <w:color w:val="auto"/>
          <w:szCs w:val="21"/>
        </w:rPr>
        <w:t>9.1.4 本款改为：除专用合同条款另有约定外，承包人应自行调查施工现场及施工可能影 响的毗邻区域内供水、排水、供电、供气、供热、通信、广播电视等地下管线资料，气象和水文观测资料，拟建工程可能影响的相邻建筑物地下工程的有关资料，应承包人要求，发包人可以提供协助； 由于承包人调查不清楚而造成施工现场及施工可能影响的毗邻区域内工程建筑物或管线损坏的，由承包人负责恢复并承担经济损失，由此造成期延误的责任由承包人承担。</w:t>
      </w:r>
    </w:p>
    <w:p w14:paraId="6765278C">
      <w:pPr>
        <w:pStyle w:val="101"/>
        <w:spacing w:before="0" w:after="0" w:line="360" w:lineRule="auto"/>
        <w:rPr>
          <w:rFonts w:ascii="宋体" w:hAnsi="宋体"/>
          <w:color w:val="auto"/>
          <w:sz w:val="21"/>
          <w:szCs w:val="21"/>
          <w:lang w:eastAsia="zh-CN" w:bidi="en-US"/>
        </w:rPr>
      </w:pPr>
      <w:bookmarkStart w:id="2078" w:name="_Toc32424"/>
      <w:bookmarkStart w:id="2079" w:name="_Toc21629"/>
      <w:bookmarkStart w:id="2080" w:name="_Toc962"/>
      <w:bookmarkStart w:id="2081" w:name="_Toc9063"/>
      <w:bookmarkStart w:id="2082" w:name="_Toc17966"/>
      <w:bookmarkStart w:id="2083" w:name="_Toc7841"/>
      <w:r>
        <w:rPr>
          <w:rFonts w:ascii="宋体" w:hAnsi="宋体"/>
          <w:color w:val="auto"/>
          <w:sz w:val="21"/>
          <w:szCs w:val="21"/>
          <w:lang w:eastAsia="zh-CN" w:bidi="en-US"/>
        </w:rPr>
        <w:t>9.2承包人的施工安全责任</w:t>
      </w:r>
      <w:bookmarkEnd w:id="2078"/>
      <w:bookmarkEnd w:id="2079"/>
      <w:bookmarkEnd w:id="2080"/>
      <w:bookmarkEnd w:id="2081"/>
      <w:bookmarkEnd w:id="2082"/>
      <w:bookmarkEnd w:id="2083"/>
    </w:p>
    <w:p w14:paraId="3BFED7A6">
      <w:pPr>
        <w:spacing w:line="360" w:lineRule="auto"/>
        <w:ind w:left="448" w:right="42" w:hanging="2"/>
        <w:rPr>
          <w:rFonts w:ascii="宋体" w:hAnsi="宋体" w:cs="宋体"/>
          <w:color w:val="auto"/>
          <w:szCs w:val="21"/>
        </w:rPr>
      </w:pPr>
      <w:r>
        <w:rPr>
          <w:rFonts w:ascii="宋体" w:hAnsi="宋体" w:cs="宋体"/>
          <w:color w:val="auto"/>
          <w:szCs w:val="21"/>
        </w:rPr>
        <w:t xml:space="preserve">9.2. 8 </w:t>
      </w:r>
      <w:r>
        <w:rPr>
          <w:rFonts w:hint="eastAsia" w:ascii="宋体" w:hAnsi="宋体" w:cs="宋体"/>
          <w:color w:val="auto"/>
          <w:szCs w:val="21"/>
        </w:rPr>
        <w:t>安全施工措施所需费用在投标时不得做竞争调整。安全施工措施所需费为人工、材料、机械费的2.5%，由承包人专门用于施工安全措施相关支出，不得挪作他用。</w:t>
      </w:r>
    </w:p>
    <w:p w14:paraId="668F4AE1">
      <w:pPr>
        <w:pStyle w:val="101"/>
        <w:spacing w:before="0" w:after="0" w:line="360" w:lineRule="auto"/>
        <w:ind w:firstLine="420" w:firstLineChars="200"/>
        <w:rPr>
          <w:rFonts w:ascii="宋体" w:hAnsi="宋体" w:cs="宋体"/>
          <w:b w:val="0"/>
          <w:color w:val="auto"/>
          <w:kern w:val="2"/>
          <w:sz w:val="21"/>
          <w:szCs w:val="21"/>
          <w:lang w:eastAsia="zh-CN"/>
        </w:rPr>
      </w:pPr>
      <w:bookmarkStart w:id="2084" w:name="_Toc1978"/>
      <w:bookmarkStart w:id="2085" w:name="_Toc10880"/>
      <w:bookmarkStart w:id="2086" w:name="_Toc7714"/>
      <w:bookmarkStart w:id="2087" w:name="_Toc17671"/>
      <w:bookmarkStart w:id="2088" w:name="_Toc7789"/>
      <w:bookmarkStart w:id="2089" w:name="_Toc30838"/>
      <w:r>
        <w:rPr>
          <w:rFonts w:hint="eastAsia" w:ascii="宋体" w:hAnsi="宋体" w:cs="宋体"/>
          <w:b w:val="0"/>
          <w:color w:val="auto"/>
          <w:kern w:val="2"/>
          <w:sz w:val="21"/>
          <w:szCs w:val="21"/>
          <w:lang w:eastAsia="zh-CN"/>
        </w:rPr>
        <w:t>9.</w:t>
      </w:r>
      <w:r>
        <w:rPr>
          <w:rFonts w:ascii="宋体" w:hAnsi="宋体" w:cs="宋体"/>
          <w:b w:val="0"/>
          <w:color w:val="auto"/>
          <w:kern w:val="2"/>
          <w:sz w:val="21"/>
          <w:szCs w:val="21"/>
          <w:lang w:eastAsia="zh-CN"/>
        </w:rPr>
        <w:t>2.12 下列工程应编制专项施工方案：由发包人和监理人根据有关规定明确。其中应组织专家论证和审查的专项施工方案：由发包人和监理人根据有关规定明确。</w:t>
      </w:r>
      <w:bookmarkEnd w:id="2084"/>
      <w:bookmarkEnd w:id="2085"/>
      <w:bookmarkEnd w:id="2086"/>
      <w:bookmarkEnd w:id="2087"/>
      <w:bookmarkEnd w:id="2088"/>
      <w:bookmarkEnd w:id="2089"/>
    </w:p>
    <w:p w14:paraId="0A3BE353">
      <w:pPr>
        <w:pStyle w:val="4"/>
        <w:spacing w:before="0" w:after="0" w:line="460" w:lineRule="exact"/>
        <w:rPr>
          <w:rFonts w:ascii="宋体" w:hAnsi="宋体" w:cs="宋体"/>
          <w:color w:val="auto"/>
          <w:sz w:val="21"/>
          <w:szCs w:val="21"/>
        </w:rPr>
      </w:pPr>
      <w:bookmarkStart w:id="2090" w:name="_Toc8154"/>
      <w:bookmarkStart w:id="2091" w:name="_Toc23536"/>
      <w:r>
        <w:rPr>
          <w:rFonts w:hint="eastAsia" w:ascii="宋体" w:hAnsi="宋体" w:cs="宋体"/>
          <w:color w:val="auto"/>
          <w:sz w:val="21"/>
          <w:szCs w:val="21"/>
        </w:rPr>
        <w:t>9.7 文明工地</w:t>
      </w:r>
      <w:bookmarkEnd w:id="2090"/>
      <w:bookmarkEnd w:id="2091"/>
    </w:p>
    <w:p w14:paraId="0D7D4059">
      <w:pPr>
        <w:spacing w:line="460" w:lineRule="exact"/>
        <w:ind w:right="248" w:firstLine="480"/>
        <w:rPr>
          <w:rFonts w:ascii="宋体" w:hAnsi="宋体" w:cs="宋体"/>
          <w:color w:val="auto"/>
          <w:szCs w:val="21"/>
        </w:rPr>
      </w:pPr>
      <w:r>
        <w:rPr>
          <w:rFonts w:hint="eastAsia" w:ascii="宋体" w:hAnsi="宋体" w:cs="宋体"/>
          <w:b/>
          <w:color w:val="auto"/>
          <w:szCs w:val="21"/>
        </w:rPr>
        <w:t xml:space="preserve">9.7.1 </w:t>
      </w:r>
      <w:r>
        <w:rPr>
          <w:rFonts w:hint="eastAsia" w:ascii="宋体" w:hAnsi="宋体" w:cs="宋体"/>
          <w:color w:val="auto"/>
          <w:szCs w:val="21"/>
        </w:rPr>
        <w:t>本合同文明工地的约定：</w:t>
      </w:r>
      <w:r>
        <w:rPr>
          <w:rFonts w:hint="eastAsia" w:ascii="宋体" w:hAnsi="宋体" w:cs="宋体"/>
          <w:bCs/>
          <w:color w:val="auto"/>
          <w:szCs w:val="21"/>
          <w:u w:val="single"/>
        </w:rPr>
        <w:t>按水利部《水利系统文明建设工地评审管理办法》创建文明建设工地</w:t>
      </w:r>
      <w:r>
        <w:rPr>
          <w:rFonts w:hint="eastAsia" w:ascii="宋体" w:hAnsi="宋体" w:cs="宋体"/>
          <w:color w:val="auto"/>
          <w:szCs w:val="21"/>
        </w:rPr>
        <w:t>。</w:t>
      </w:r>
    </w:p>
    <w:p w14:paraId="0E96E4B7">
      <w:pPr>
        <w:pStyle w:val="4"/>
        <w:spacing w:before="0" w:after="0" w:line="460" w:lineRule="exact"/>
        <w:rPr>
          <w:rFonts w:ascii="宋体" w:hAnsi="宋体" w:cs="宋体"/>
          <w:color w:val="auto"/>
          <w:sz w:val="21"/>
          <w:szCs w:val="21"/>
        </w:rPr>
      </w:pPr>
      <w:bookmarkStart w:id="2092" w:name="_Toc222029536"/>
      <w:bookmarkStart w:id="2093" w:name="_Toc222033887"/>
      <w:bookmarkStart w:id="2094" w:name="_Toc229305394"/>
      <w:bookmarkStart w:id="2095" w:name="_Toc222031038"/>
      <w:bookmarkStart w:id="2096" w:name="_Toc221951188"/>
      <w:bookmarkStart w:id="2097" w:name="_Toc222032705"/>
      <w:bookmarkStart w:id="2098" w:name="_Toc15994"/>
      <w:bookmarkStart w:id="2099" w:name="_Toc12526"/>
      <w:r>
        <w:rPr>
          <w:rFonts w:hint="eastAsia" w:ascii="宋体" w:hAnsi="宋体" w:cs="宋体"/>
          <w:color w:val="auto"/>
          <w:sz w:val="21"/>
          <w:szCs w:val="21"/>
        </w:rPr>
        <w:t>11  开工和竣工</w:t>
      </w:r>
      <w:bookmarkEnd w:id="2092"/>
      <w:bookmarkEnd w:id="2093"/>
      <w:bookmarkEnd w:id="2094"/>
      <w:bookmarkEnd w:id="2095"/>
      <w:bookmarkEnd w:id="2096"/>
      <w:bookmarkEnd w:id="2097"/>
      <w:r>
        <w:rPr>
          <w:rFonts w:hint="eastAsia" w:ascii="宋体" w:hAnsi="宋体" w:cs="宋体"/>
          <w:color w:val="auto"/>
          <w:sz w:val="21"/>
          <w:szCs w:val="21"/>
        </w:rPr>
        <w:t>（完工）</w:t>
      </w:r>
      <w:bookmarkEnd w:id="2098"/>
      <w:bookmarkEnd w:id="2099"/>
    </w:p>
    <w:p w14:paraId="4BC9FAD1">
      <w:pPr>
        <w:spacing w:line="460" w:lineRule="exact"/>
        <w:ind w:firstLine="422" w:firstLineChars="200"/>
        <w:rPr>
          <w:rFonts w:ascii="宋体" w:hAnsi="宋体" w:cs="宋体"/>
          <w:color w:val="auto"/>
          <w:szCs w:val="21"/>
        </w:rPr>
      </w:pPr>
      <w:r>
        <w:rPr>
          <w:rFonts w:hint="eastAsia" w:ascii="宋体" w:hAnsi="宋体" w:cs="宋体"/>
          <w:b/>
          <w:color w:val="auto"/>
          <w:szCs w:val="21"/>
        </w:rPr>
        <w:t xml:space="preserve">11.1  </w:t>
      </w:r>
      <w:r>
        <w:rPr>
          <w:rFonts w:hint="eastAsia" w:ascii="宋体" w:hAnsi="宋体" w:cs="宋体"/>
          <w:color w:val="auto"/>
          <w:szCs w:val="21"/>
        </w:rPr>
        <w:t>本工程计划开工时间为：</w:t>
      </w:r>
      <w:r>
        <w:rPr>
          <w:rFonts w:hint="eastAsia" w:ascii="宋体" w:hAnsi="宋体" w:cs="宋体"/>
          <w:b/>
          <w:color w:val="auto"/>
          <w:szCs w:val="21"/>
          <w:u w:val="single"/>
        </w:rPr>
        <w:t xml:space="preserve">     年   月   日（以监理开工令为准）。</w:t>
      </w:r>
    </w:p>
    <w:p w14:paraId="177DDC0F">
      <w:pPr>
        <w:spacing w:line="460" w:lineRule="exact"/>
        <w:ind w:firstLine="422" w:firstLineChars="200"/>
        <w:rPr>
          <w:rFonts w:ascii="宋体" w:hAnsi="宋体" w:cs="宋体"/>
          <w:color w:val="auto"/>
          <w:szCs w:val="21"/>
        </w:rPr>
      </w:pPr>
      <w:r>
        <w:rPr>
          <w:rFonts w:hint="eastAsia" w:ascii="宋体" w:hAnsi="宋体" w:cs="宋体"/>
          <w:b/>
          <w:color w:val="auto"/>
          <w:szCs w:val="21"/>
        </w:rPr>
        <w:t xml:space="preserve">11.2  </w:t>
      </w:r>
      <w:r>
        <w:rPr>
          <w:rFonts w:hint="eastAsia" w:ascii="宋体" w:hAnsi="宋体" w:cs="宋体"/>
          <w:color w:val="auto"/>
          <w:szCs w:val="21"/>
        </w:rPr>
        <w:t>本工程计划完工时间为：</w:t>
      </w:r>
      <w:r>
        <w:rPr>
          <w:rFonts w:hint="eastAsia" w:ascii="宋体" w:hAnsi="宋体" w:cs="宋体"/>
          <w:b/>
          <w:color w:val="auto"/>
          <w:szCs w:val="21"/>
          <w:u w:val="single"/>
        </w:rPr>
        <w:t xml:space="preserve">     年   月   日（以监理签发的开工日起   日历天为准）。</w:t>
      </w:r>
    </w:p>
    <w:p w14:paraId="1F99CA76">
      <w:pPr>
        <w:pStyle w:val="4"/>
        <w:spacing w:before="0" w:after="0" w:line="460" w:lineRule="exact"/>
        <w:rPr>
          <w:rFonts w:ascii="宋体" w:hAnsi="宋体" w:cs="宋体"/>
          <w:color w:val="auto"/>
          <w:sz w:val="21"/>
          <w:szCs w:val="21"/>
        </w:rPr>
      </w:pPr>
      <w:bookmarkStart w:id="2100" w:name="_Toc221951198"/>
      <w:bookmarkStart w:id="2101" w:name="_Toc12558"/>
      <w:bookmarkStart w:id="2102" w:name="_Toc25710"/>
      <w:r>
        <w:rPr>
          <w:rFonts w:hint="eastAsia" w:ascii="宋体" w:hAnsi="宋体" w:cs="宋体"/>
          <w:color w:val="auto"/>
          <w:sz w:val="21"/>
          <w:szCs w:val="21"/>
        </w:rPr>
        <w:t>11.5  承包人工期延误</w:t>
      </w:r>
      <w:bookmarkEnd w:id="2100"/>
      <w:bookmarkEnd w:id="2101"/>
      <w:bookmarkEnd w:id="2102"/>
      <w:r>
        <w:rPr>
          <w:rFonts w:hint="eastAsia" w:ascii="宋体" w:hAnsi="宋体" w:cs="宋体"/>
          <w:color w:val="auto"/>
          <w:sz w:val="21"/>
          <w:szCs w:val="21"/>
        </w:rPr>
        <w:t xml:space="preserve"> </w:t>
      </w:r>
      <w:bookmarkStart w:id="2103" w:name="_Toc221951200"/>
    </w:p>
    <w:bookmarkEnd w:id="2103"/>
    <w:p w14:paraId="10FA1CFB">
      <w:pPr>
        <w:spacing w:line="460" w:lineRule="exact"/>
        <w:ind w:right="248" w:firstLine="420" w:firstLineChars="200"/>
        <w:rPr>
          <w:rFonts w:ascii="宋体" w:hAnsi="宋体" w:cs="宋体"/>
          <w:color w:val="auto"/>
          <w:szCs w:val="21"/>
        </w:rPr>
      </w:pPr>
      <w:bookmarkStart w:id="2104" w:name="_Toc221951205"/>
      <w:r>
        <w:rPr>
          <w:rFonts w:hint="eastAsia" w:ascii="宋体" w:hAnsi="宋体" w:cs="宋体"/>
          <w:color w:val="auto"/>
          <w:szCs w:val="21"/>
        </w:rPr>
        <w:t>（1）承包人如未能按要求的完工日期前完工，</w:t>
      </w:r>
      <w:r>
        <w:rPr>
          <w:rFonts w:hint="eastAsia" w:ascii="宋体" w:hAnsi="宋体" w:cs="宋体"/>
          <w:bCs/>
          <w:color w:val="auto"/>
          <w:szCs w:val="21"/>
        </w:rPr>
        <w:t>逾期完工违约金按</w:t>
      </w:r>
      <w:r>
        <w:rPr>
          <w:rFonts w:hint="eastAsia" w:ascii="宋体" w:hAnsi="宋体" w:cs="宋体"/>
          <w:color w:val="auto"/>
          <w:szCs w:val="21"/>
          <w:u w:val="single"/>
        </w:rPr>
        <w:t xml:space="preserve"> 1000</w:t>
      </w:r>
      <w:r>
        <w:rPr>
          <w:rFonts w:hint="eastAsia" w:ascii="宋体" w:hAnsi="宋体" w:cs="宋体"/>
          <w:bCs/>
          <w:color w:val="auto"/>
          <w:szCs w:val="21"/>
        </w:rPr>
        <w:t>元/天计算。</w:t>
      </w:r>
    </w:p>
    <w:p w14:paraId="21594124">
      <w:pPr>
        <w:spacing w:line="460" w:lineRule="exact"/>
        <w:ind w:right="248" w:firstLine="420" w:firstLineChars="200"/>
        <w:rPr>
          <w:rFonts w:ascii="宋体" w:hAnsi="宋体" w:cs="宋体"/>
          <w:color w:val="auto"/>
          <w:szCs w:val="21"/>
        </w:rPr>
      </w:pPr>
      <w:r>
        <w:rPr>
          <w:rFonts w:hint="eastAsia" w:ascii="宋体" w:hAnsi="宋体" w:cs="宋体"/>
          <w:color w:val="auto"/>
          <w:szCs w:val="21"/>
        </w:rPr>
        <w:t>（2）全部逾期完工违约金的总限额不超过合同总价的</w:t>
      </w:r>
      <w:r>
        <w:rPr>
          <w:rFonts w:hint="eastAsia" w:ascii="宋体" w:hAnsi="宋体" w:cs="宋体"/>
          <w:color w:val="auto"/>
          <w:szCs w:val="21"/>
          <w:u w:val="single"/>
        </w:rPr>
        <w:t xml:space="preserve"> 2 </w:t>
      </w:r>
      <w:r>
        <w:rPr>
          <w:rFonts w:hint="eastAsia" w:ascii="宋体" w:hAnsi="宋体" w:cs="宋体"/>
          <w:color w:val="auto"/>
          <w:szCs w:val="21"/>
        </w:rPr>
        <w:t>%，发包人可从应向承包人支付的任何金额中扣除此项违约金，此违约金的支付并不能解除承包人应完成工程的责任和合同规定的其他责任 。</w:t>
      </w:r>
      <w:bookmarkEnd w:id="2104"/>
    </w:p>
    <w:p w14:paraId="3857B8D3">
      <w:pPr>
        <w:pStyle w:val="4"/>
        <w:spacing w:before="0" w:after="0" w:line="460" w:lineRule="exact"/>
        <w:rPr>
          <w:rFonts w:ascii="宋体" w:hAnsi="宋体" w:cs="宋体"/>
          <w:color w:val="auto"/>
          <w:sz w:val="21"/>
          <w:szCs w:val="21"/>
        </w:rPr>
      </w:pPr>
      <w:bookmarkStart w:id="2105" w:name="_Toc9131"/>
      <w:bookmarkStart w:id="2106" w:name="_Toc22886"/>
      <w:r>
        <w:rPr>
          <w:rFonts w:hint="eastAsia" w:ascii="宋体" w:hAnsi="宋体" w:cs="宋体"/>
          <w:color w:val="auto"/>
          <w:sz w:val="21"/>
          <w:szCs w:val="21"/>
        </w:rPr>
        <w:t>11.6 工期提前</w:t>
      </w:r>
      <w:bookmarkEnd w:id="2105"/>
      <w:bookmarkEnd w:id="2106"/>
    </w:p>
    <w:p w14:paraId="1ED4D484">
      <w:pPr>
        <w:spacing w:line="460" w:lineRule="exact"/>
        <w:ind w:right="248" w:firstLine="420" w:firstLineChars="200"/>
        <w:rPr>
          <w:rFonts w:ascii="宋体" w:hAnsi="宋体" w:cs="宋体"/>
          <w:color w:val="auto"/>
          <w:szCs w:val="21"/>
        </w:rPr>
      </w:pPr>
      <w:r>
        <w:rPr>
          <w:rFonts w:hint="eastAsia" w:ascii="宋体" w:hAnsi="宋体" w:cs="宋体"/>
          <w:color w:val="auto"/>
          <w:szCs w:val="21"/>
        </w:rPr>
        <w:t>工期提前的资金约定：</w:t>
      </w:r>
      <w:r>
        <w:rPr>
          <w:rFonts w:hint="eastAsia" w:ascii="宋体" w:hAnsi="宋体" w:cs="宋体"/>
          <w:bCs/>
          <w:color w:val="auto"/>
          <w:szCs w:val="21"/>
          <w:u w:val="single"/>
        </w:rPr>
        <w:t>在保证工程质量的前提下，发包人鼓励承包人提前完工，但本合同工程无提前工期奖金</w:t>
      </w:r>
      <w:r>
        <w:rPr>
          <w:rFonts w:hint="eastAsia" w:ascii="宋体" w:hAnsi="宋体" w:cs="宋体"/>
          <w:color w:val="auto"/>
          <w:szCs w:val="21"/>
        </w:rPr>
        <w:t>。</w:t>
      </w:r>
    </w:p>
    <w:p w14:paraId="2EF0E429">
      <w:pPr>
        <w:pStyle w:val="4"/>
        <w:spacing w:before="0" w:after="0" w:line="460" w:lineRule="exact"/>
        <w:rPr>
          <w:rFonts w:ascii="宋体" w:hAnsi="宋体" w:cs="宋体"/>
          <w:color w:val="auto"/>
          <w:sz w:val="21"/>
          <w:szCs w:val="21"/>
        </w:rPr>
      </w:pPr>
      <w:bookmarkStart w:id="2107" w:name="_Toc16645"/>
      <w:bookmarkStart w:id="2108" w:name="_Toc25074"/>
      <w:r>
        <w:rPr>
          <w:rFonts w:hint="eastAsia" w:ascii="宋体" w:hAnsi="宋体" w:cs="宋体"/>
          <w:color w:val="auto"/>
          <w:sz w:val="21"/>
          <w:szCs w:val="21"/>
        </w:rPr>
        <w:t>14 试验和检验</w:t>
      </w:r>
      <w:bookmarkEnd w:id="2107"/>
      <w:bookmarkEnd w:id="2108"/>
    </w:p>
    <w:p w14:paraId="06EB541C">
      <w:pPr>
        <w:pStyle w:val="4"/>
        <w:spacing w:before="0" w:after="0" w:line="460" w:lineRule="exact"/>
        <w:rPr>
          <w:rFonts w:ascii="宋体" w:hAnsi="宋体" w:cs="宋体"/>
          <w:color w:val="auto"/>
          <w:sz w:val="21"/>
          <w:szCs w:val="21"/>
        </w:rPr>
      </w:pPr>
      <w:bookmarkStart w:id="2109" w:name="_Toc6085"/>
      <w:bookmarkStart w:id="2110" w:name="_Toc17717"/>
      <w:r>
        <w:rPr>
          <w:rFonts w:hint="eastAsia" w:ascii="宋体" w:hAnsi="宋体" w:cs="宋体"/>
          <w:color w:val="auto"/>
          <w:sz w:val="21"/>
          <w:szCs w:val="21"/>
        </w:rPr>
        <w:t>14.1 材料、工程设备和工程的试验和检验</w:t>
      </w:r>
      <w:bookmarkEnd w:id="2109"/>
      <w:bookmarkEnd w:id="2110"/>
    </w:p>
    <w:p w14:paraId="6CBA25DB">
      <w:pPr>
        <w:spacing w:line="460" w:lineRule="exact"/>
        <w:ind w:firstLine="422" w:firstLineChars="200"/>
        <w:rPr>
          <w:rFonts w:ascii="宋体" w:hAnsi="宋体" w:cs="宋体"/>
          <w:color w:val="auto"/>
          <w:szCs w:val="21"/>
          <w:u w:val="single"/>
        </w:rPr>
      </w:pPr>
      <w:r>
        <w:rPr>
          <w:rFonts w:hint="eastAsia" w:ascii="宋体" w:hAnsi="宋体" w:cs="宋体"/>
          <w:b/>
          <w:color w:val="auto"/>
          <w:szCs w:val="21"/>
        </w:rPr>
        <w:t xml:space="preserve">14.1.6 </w:t>
      </w:r>
      <w:r>
        <w:rPr>
          <w:rFonts w:hint="eastAsia" w:ascii="宋体" w:hAnsi="宋体" w:cs="宋体"/>
          <w:color w:val="auto"/>
          <w:szCs w:val="21"/>
        </w:rPr>
        <w:t>本工程实行见证取样的试块、试件及有关材料：</w:t>
      </w:r>
      <w:r>
        <w:rPr>
          <w:rFonts w:hint="eastAsia" w:ascii="宋体" w:hAnsi="宋体" w:cs="宋体"/>
          <w:color w:val="auto"/>
          <w:szCs w:val="21"/>
          <w:u w:val="single"/>
        </w:rPr>
        <w:t>水泥、砂、碎（卵）石、钢筋、混凝土及砂浆试块等，除此以外，监理人提出要求实行见证取样的其他材料和中间产品。</w:t>
      </w:r>
      <w:bookmarkStart w:id="2111" w:name="_Toc222029539"/>
      <w:bookmarkStart w:id="2112" w:name="_Toc229305396"/>
      <w:bookmarkStart w:id="2113" w:name="_Toc221951213"/>
      <w:bookmarkStart w:id="2114" w:name="_Toc222031041"/>
      <w:bookmarkStart w:id="2115" w:name="_Toc222032708"/>
      <w:bookmarkStart w:id="2116" w:name="_Toc222033890"/>
    </w:p>
    <w:p w14:paraId="35360E9F">
      <w:pPr>
        <w:spacing w:line="460" w:lineRule="exact"/>
        <w:ind w:firstLine="422" w:firstLineChars="200"/>
        <w:rPr>
          <w:rFonts w:ascii="宋体" w:hAnsi="宋体" w:cs="宋体"/>
          <w:b/>
          <w:color w:val="auto"/>
          <w:szCs w:val="21"/>
        </w:rPr>
      </w:pPr>
      <w:r>
        <w:rPr>
          <w:rFonts w:hint="eastAsia" w:ascii="宋体" w:hAnsi="宋体" w:cs="宋体"/>
          <w:b/>
          <w:bCs/>
          <w:color w:val="auto"/>
          <w:szCs w:val="21"/>
        </w:rPr>
        <w:t>15  变更</w:t>
      </w:r>
      <w:bookmarkEnd w:id="2111"/>
      <w:bookmarkEnd w:id="2112"/>
      <w:bookmarkEnd w:id="2113"/>
      <w:bookmarkEnd w:id="2114"/>
      <w:bookmarkEnd w:id="2115"/>
      <w:bookmarkEnd w:id="2116"/>
    </w:p>
    <w:p w14:paraId="546158C2">
      <w:pPr>
        <w:pStyle w:val="4"/>
        <w:spacing w:before="0" w:after="0" w:line="460" w:lineRule="exact"/>
        <w:rPr>
          <w:rFonts w:ascii="宋体" w:hAnsi="宋体" w:cs="宋体"/>
          <w:color w:val="auto"/>
          <w:sz w:val="21"/>
          <w:szCs w:val="21"/>
        </w:rPr>
      </w:pPr>
      <w:bookmarkStart w:id="2117" w:name="_Toc1823"/>
      <w:bookmarkStart w:id="2118" w:name="_Toc221951214"/>
      <w:bookmarkStart w:id="2119" w:name="_Toc24532"/>
      <w:r>
        <w:rPr>
          <w:rFonts w:hint="eastAsia" w:ascii="宋体" w:hAnsi="宋体" w:cs="宋体"/>
          <w:color w:val="auto"/>
          <w:sz w:val="21"/>
          <w:szCs w:val="21"/>
        </w:rPr>
        <w:t>15.1  变更的范围和内容</w:t>
      </w:r>
      <w:bookmarkEnd w:id="2117"/>
      <w:bookmarkEnd w:id="2118"/>
      <w:bookmarkEnd w:id="2119"/>
    </w:p>
    <w:p w14:paraId="082A52ED">
      <w:pPr>
        <w:pStyle w:val="4"/>
        <w:spacing w:before="0" w:after="0" w:line="460" w:lineRule="exact"/>
        <w:rPr>
          <w:rFonts w:ascii="宋体" w:hAnsi="宋体" w:cs="宋体"/>
          <w:color w:val="auto"/>
          <w:sz w:val="21"/>
          <w:szCs w:val="21"/>
          <w:u w:val="single"/>
        </w:rPr>
      </w:pPr>
      <w:bookmarkStart w:id="2120" w:name="_Toc221951216"/>
      <w:bookmarkStart w:id="2121" w:name="_Toc9903"/>
      <w:bookmarkStart w:id="2122" w:name="_Toc18673"/>
      <w:r>
        <w:rPr>
          <w:rFonts w:hint="eastAsia" w:ascii="宋体" w:hAnsi="宋体" w:cs="宋体"/>
          <w:color w:val="auto"/>
          <w:sz w:val="21"/>
          <w:szCs w:val="21"/>
        </w:rPr>
        <w:t>（6）增加或减少合同中关键项目的工程量超过其项目工程总量的</w:t>
      </w:r>
      <w:r>
        <w:rPr>
          <w:rFonts w:hint="eastAsia" w:ascii="宋体" w:hAnsi="宋体" w:cs="宋体"/>
          <w:color w:val="auto"/>
          <w:sz w:val="21"/>
          <w:szCs w:val="21"/>
          <w:u w:val="single"/>
        </w:rPr>
        <w:t>25％</w:t>
      </w:r>
      <w:bookmarkEnd w:id="2120"/>
      <w:r>
        <w:rPr>
          <w:rFonts w:hint="eastAsia" w:ascii="宋体" w:hAnsi="宋体" w:cs="宋体"/>
          <w:color w:val="auto"/>
          <w:sz w:val="21"/>
          <w:szCs w:val="21"/>
        </w:rPr>
        <w:t>，单价调整方式：</w:t>
      </w:r>
      <w:r>
        <w:rPr>
          <w:rFonts w:hint="eastAsia" w:ascii="宋体" w:hAnsi="宋体" w:cs="宋体"/>
          <w:color w:val="auto"/>
          <w:sz w:val="21"/>
          <w:szCs w:val="21"/>
          <w:u w:val="single"/>
        </w:rPr>
        <w:t>不作调整。</w:t>
      </w:r>
      <w:bookmarkEnd w:id="2121"/>
      <w:bookmarkEnd w:id="2122"/>
    </w:p>
    <w:p w14:paraId="3F101943">
      <w:pPr>
        <w:pStyle w:val="4"/>
        <w:spacing w:before="0" w:after="0" w:line="460" w:lineRule="exact"/>
        <w:rPr>
          <w:rFonts w:ascii="宋体" w:hAnsi="宋体" w:cs="宋体"/>
          <w:color w:val="auto"/>
          <w:sz w:val="21"/>
          <w:szCs w:val="21"/>
        </w:rPr>
      </w:pPr>
      <w:bookmarkStart w:id="2123" w:name="_Toc8744"/>
      <w:r>
        <w:rPr>
          <w:rFonts w:hint="eastAsia" w:ascii="宋体" w:hAnsi="宋体" w:cs="宋体"/>
          <w:color w:val="auto"/>
          <w:sz w:val="21"/>
          <w:szCs w:val="21"/>
        </w:rPr>
        <w:t>15.4 变更的估价原则</w:t>
      </w:r>
      <w:bookmarkEnd w:id="2123"/>
    </w:p>
    <w:p w14:paraId="275479E5">
      <w:pPr>
        <w:spacing w:line="460" w:lineRule="exact"/>
        <w:ind w:firstLine="422" w:firstLineChars="200"/>
        <w:rPr>
          <w:rFonts w:ascii="宋体" w:hAnsi="宋体" w:cs="宋体"/>
          <w:color w:val="auto"/>
          <w:szCs w:val="21"/>
        </w:rPr>
      </w:pPr>
      <w:r>
        <w:rPr>
          <w:rFonts w:hint="eastAsia" w:ascii="宋体" w:hAnsi="宋体" w:cs="宋体"/>
          <w:b/>
          <w:color w:val="auto"/>
          <w:szCs w:val="21"/>
        </w:rPr>
        <w:t xml:space="preserve">15.4.3 </w:t>
      </w:r>
      <w:r>
        <w:rPr>
          <w:rFonts w:hint="eastAsia" w:ascii="宋体" w:hAnsi="宋体" w:cs="宋体"/>
          <w:color w:val="auto"/>
          <w:szCs w:val="21"/>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1DA571F0">
      <w:pPr>
        <w:pStyle w:val="4"/>
        <w:spacing w:before="0" w:after="0" w:line="460" w:lineRule="exact"/>
        <w:rPr>
          <w:rFonts w:ascii="宋体" w:hAnsi="宋体" w:cs="宋体"/>
          <w:color w:val="auto"/>
          <w:sz w:val="21"/>
          <w:szCs w:val="21"/>
        </w:rPr>
      </w:pPr>
      <w:bookmarkStart w:id="2124" w:name="_Toc229305397"/>
      <w:bookmarkStart w:id="2125" w:name="_Toc628"/>
      <w:bookmarkStart w:id="2126" w:name="_Toc17166"/>
      <w:r>
        <w:rPr>
          <w:rFonts w:hint="eastAsia" w:ascii="宋体" w:hAnsi="宋体" w:cs="宋体"/>
          <w:color w:val="auto"/>
          <w:sz w:val="21"/>
          <w:szCs w:val="21"/>
        </w:rPr>
        <w:t>16 价格调整</w:t>
      </w:r>
      <w:bookmarkEnd w:id="2124"/>
      <w:bookmarkEnd w:id="2125"/>
      <w:bookmarkEnd w:id="2126"/>
    </w:p>
    <w:p w14:paraId="3C0BB0E5">
      <w:pPr>
        <w:pStyle w:val="4"/>
        <w:spacing w:before="0" w:after="0" w:line="460" w:lineRule="exact"/>
        <w:rPr>
          <w:rFonts w:ascii="宋体" w:hAnsi="宋体" w:cs="宋体"/>
          <w:color w:val="auto"/>
          <w:sz w:val="21"/>
          <w:szCs w:val="21"/>
        </w:rPr>
      </w:pPr>
      <w:bookmarkStart w:id="2127" w:name="_Toc2112"/>
      <w:bookmarkStart w:id="2128" w:name="_Toc23577"/>
      <w:r>
        <w:rPr>
          <w:rFonts w:hint="eastAsia" w:ascii="宋体" w:hAnsi="宋体" w:cs="宋体"/>
          <w:color w:val="auto"/>
          <w:sz w:val="21"/>
          <w:szCs w:val="21"/>
        </w:rPr>
        <w:t>16.1 物价波动引起的价格调整</w:t>
      </w:r>
      <w:bookmarkEnd w:id="2127"/>
      <w:bookmarkEnd w:id="2128"/>
      <w:r>
        <w:rPr>
          <w:rFonts w:hint="eastAsia" w:ascii="宋体" w:hAnsi="宋体" w:cs="宋体"/>
          <w:color w:val="auto"/>
          <w:sz w:val="21"/>
          <w:szCs w:val="21"/>
        </w:rPr>
        <w:t xml:space="preserve">  </w:t>
      </w:r>
    </w:p>
    <w:p w14:paraId="58DCAE91">
      <w:pPr>
        <w:spacing w:line="460" w:lineRule="exact"/>
        <w:ind w:right="248" w:firstLine="480"/>
        <w:rPr>
          <w:rFonts w:ascii="宋体" w:hAnsi="宋体" w:cs="宋体"/>
          <w:b/>
          <w:color w:val="auto"/>
          <w:szCs w:val="21"/>
          <w:u w:val="single"/>
        </w:rPr>
      </w:pPr>
      <w:bookmarkStart w:id="2129" w:name="_Toc222031042"/>
      <w:bookmarkStart w:id="2130" w:name="_Toc222033891"/>
      <w:bookmarkStart w:id="2131" w:name="_Toc221951223"/>
      <w:bookmarkStart w:id="2132" w:name="_Toc222029540"/>
      <w:bookmarkStart w:id="2133" w:name="_Toc222032709"/>
      <w:bookmarkStart w:id="2134" w:name="_Toc229305398"/>
      <w:r>
        <w:rPr>
          <w:rFonts w:hint="eastAsia" w:ascii="宋体" w:hAnsi="宋体" w:cs="宋体"/>
          <w:color w:val="auto"/>
          <w:szCs w:val="21"/>
        </w:rPr>
        <w:t>物价波动引起的价格调整方式：</w:t>
      </w:r>
      <w:r>
        <w:rPr>
          <w:rFonts w:hint="eastAsia" w:ascii="宋体" w:hAnsi="宋体" w:cs="宋体"/>
          <w:b/>
          <w:color w:val="auto"/>
          <w:szCs w:val="21"/>
          <w:u w:val="single"/>
        </w:rPr>
        <w:t>本工程因物价波动引起的价格变化不作调整。</w:t>
      </w:r>
    </w:p>
    <w:p w14:paraId="346DBE57">
      <w:pPr>
        <w:pStyle w:val="4"/>
        <w:spacing w:before="0" w:after="0" w:line="460" w:lineRule="exact"/>
        <w:rPr>
          <w:rFonts w:ascii="宋体" w:hAnsi="宋体" w:cs="宋体"/>
          <w:color w:val="auto"/>
          <w:sz w:val="21"/>
          <w:szCs w:val="21"/>
        </w:rPr>
      </w:pPr>
      <w:bookmarkStart w:id="2135" w:name="_Toc832"/>
      <w:bookmarkStart w:id="2136" w:name="_Toc15543"/>
      <w:r>
        <w:rPr>
          <w:rFonts w:hint="eastAsia" w:ascii="宋体" w:hAnsi="宋体" w:cs="宋体"/>
          <w:color w:val="auto"/>
          <w:sz w:val="21"/>
          <w:szCs w:val="21"/>
        </w:rPr>
        <w:t>17  计量与支付</w:t>
      </w:r>
      <w:bookmarkEnd w:id="2129"/>
      <w:bookmarkEnd w:id="2130"/>
      <w:bookmarkEnd w:id="2131"/>
      <w:bookmarkEnd w:id="2132"/>
      <w:bookmarkEnd w:id="2133"/>
      <w:bookmarkEnd w:id="2134"/>
      <w:bookmarkEnd w:id="2135"/>
      <w:bookmarkEnd w:id="2136"/>
    </w:p>
    <w:p w14:paraId="008A4F20">
      <w:pPr>
        <w:pStyle w:val="4"/>
        <w:spacing w:before="0" w:after="0" w:line="460" w:lineRule="exact"/>
        <w:rPr>
          <w:rFonts w:ascii="宋体" w:hAnsi="宋体" w:cs="宋体"/>
          <w:color w:val="auto"/>
          <w:sz w:val="21"/>
          <w:szCs w:val="21"/>
        </w:rPr>
      </w:pPr>
      <w:bookmarkStart w:id="2137" w:name="_Toc26634"/>
      <w:bookmarkStart w:id="2138" w:name="_Toc221951224"/>
      <w:bookmarkStart w:id="2139" w:name="_Toc31439"/>
      <w:r>
        <w:rPr>
          <w:rFonts w:hint="eastAsia" w:ascii="宋体" w:hAnsi="宋体" w:cs="宋体"/>
          <w:color w:val="auto"/>
          <w:sz w:val="21"/>
          <w:szCs w:val="21"/>
        </w:rPr>
        <w:t>17.2  预付款</w:t>
      </w:r>
      <w:bookmarkEnd w:id="2137"/>
      <w:bookmarkEnd w:id="2138"/>
      <w:bookmarkEnd w:id="2139"/>
    </w:p>
    <w:p w14:paraId="1CC782F1">
      <w:pPr>
        <w:spacing w:line="460" w:lineRule="exact"/>
        <w:ind w:right="248" w:firstLine="480"/>
        <w:rPr>
          <w:rFonts w:ascii="宋体" w:hAnsi="宋体" w:cs="宋体"/>
          <w:color w:val="auto"/>
          <w:szCs w:val="21"/>
        </w:rPr>
      </w:pPr>
      <w:bookmarkStart w:id="2140" w:name="_Toc221951260"/>
      <w:r>
        <w:rPr>
          <w:rFonts w:hint="eastAsia" w:ascii="宋体" w:hAnsi="宋体" w:cs="宋体"/>
          <w:b/>
          <w:color w:val="auto"/>
          <w:szCs w:val="21"/>
        </w:rPr>
        <w:t>17.2.1</w:t>
      </w:r>
      <w:r>
        <w:rPr>
          <w:rFonts w:hint="eastAsia" w:ascii="宋体" w:hAnsi="宋体" w:cs="宋体"/>
          <w:b/>
          <w:bCs/>
          <w:color w:val="auto"/>
          <w:szCs w:val="21"/>
        </w:rPr>
        <w:t>预付款</w:t>
      </w:r>
    </w:p>
    <w:p w14:paraId="0581D402">
      <w:pPr>
        <w:spacing w:line="360" w:lineRule="auto"/>
        <w:ind w:left="25" w:firstLine="429"/>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工程预付款的总金额为签约合同价的</w:t>
      </w:r>
      <w:r>
        <w:rPr>
          <w:rFonts w:hint="eastAsia" w:ascii="宋体" w:hAnsi="宋体" w:cs="宋体"/>
          <w:color w:val="auto"/>
          <w:szCs w:val="21"/>
        </w:rPr>
        <w:t>30%，</w:t>
      </w:r>
      <w:r>
        <w:rPr>
          <w:rFonts w:ascii="宋体" w:hAnsi="宋体" w:cs="宋体"/>
          <w:color w:val="auto"/>
          <w:szCs w:val="21"/>
        </w:rPr>
        <w:t>付款时间应在合同协议书签订后14天内，由承包人向发包人</w:t>
      </w:r>
      <w:r>
        <w:rPr>
          <w:rFonts w:hint="eastAsia" w:ascii="宋体" w:hAnsi="宋体" w:cs="宋体"/>
          <w:color w:val="auto"/>
          <w:szCs w:val="21"/>
        </w:rPr>
        <w:t>按规定提交了相应的担保手续</w:t>
      </w:r>
      <w:r>
        <w:rPr>
          <w:rFonts w:ascii="宋体" w:hAnsi="宋体" w:cs="宋体"/>
          <w:color w:val="auto"/>
          <w:szCs w:val="21"/>
        </w:rPr>
        <w:t>，并经监理人出具付款证书报送发包人批准，由发包人报财政局审批通过后14天内国库集中支付</w:t>
      </w:r>
    </w:p>
    <w:p w14:paraId="59D333A6">
      <w:pPr>
        <w:pStyle w:val="95"/>
        <w:ind w:firstLine="420"/>
        <w:rPr>
          <w:color w:val="auto"/>
          <w:sz w:val="21"/>
          <w:szCs w:val="21"/>
          <w:u w:val="single"/>
        </w:rPr>
      </w:pPr>
      <w:r>
        <w:rPr>
          <w:color w:val="auto"/>
          <w:sz w:val="21"/>
          <w:szCs w:val="21"/>
        </w:rPr>
        <w:t>(2)工程材料预付款的额度和预付办法约定为：</w:t>
      </w:r>
      <w:r>
        <w:rPr>
          <w:color w:val="auto"/>
          <w:sz w:val="21"/>
          <w:szCs w:val="21"/>
          <w:u w:val="single"/>
        </w:rPr>
        <w:t xml:space="preserve"> 本工程无材料预付款</w:t>
      </w:r>
    </w:p>
    <w:p w14:paraId="7E1373A0">
      <w:pPr>
        <w:pStyle w:val="95"/>
        <w:ind w:firstLine="420"/>
        <w:rPr>
          <w:rFonts w:ascii="Times New Roman" w:hAnsi="Times New Roman" w:cs="Times New Roman"/>
          <w:color w:val="auto"/>
          <w:sz w:val="21"/>
          <w:szCs w:val="21"/>
        </w:rPr>
      </w:pPr>
      <w:r>
        <w:rPr>
          <w:rFonts w:ascii="Times New Roman" w:hAnsi="Times New Roman" w:eastAsia="Times New Roman" w:cs="Times New Roman"/>
          <w:color w:val="auto"/>
          <w:sz w:val="21"/>
          <w:szCs w:val="21"/>
          <w:lang w:val="en-US" w:bidi="en-US"/>
        </w:rPr>
        <w:t>17.2.2</w:t>
      </w:r>
      <w:r>
        <w:rPr>
          <w:rFonts w:ascii="Times New Roman" w:hAnsi="Times New Roman" w:cs="Times New Roman"/>
          <w:color w:val="auto"/>
          <w:sz w:val="21"/>
          <w:szCs w:val="21"/>
        </w:rPr>
        <w:t>预付款</w:t>
      </w:r>
      <w:r>
        <w:rPr>
          <w:rFonts w:hint="eastAsia"/>
          <w:color w:val="auto"/>
          <w:sz w:val="21"/>
          <w:szCs w:val="21"/>
        </w:rPr>
        <w:t>保函(担保)</w:t>
      </w:r>
    </w:p>
    <w:p w14:paraId="3F7AB64B">
      <w:pPr>
        <w:pStyle w:val="95"/>
        <w:tabs>
          <w:tab w:val="left" w:pos="5657"/>
        </w:tabs>
        <w:ind w:firstLine="420"/>
        <w:rPr>
          <w:rFonts w:ascii="Times New Roman" w:hAnsi="Times New Roman" w:cs="Times New Roman"/>
          <w:color w:val="auto"/>
          <w:sz w:val="21"/>
          <w:szCs w:val="21"/>
        </w:rPr>
      </w:pPr>
      <w:r>
        <w:rPr>
          <w:rFonts w:ascii="Times New Roman" w:hAnsi="Times New Roman" w:eastAsia="Times New Roman" w:cs="Times New Roman"/>
          <w:color w:val="auto"/>
          <w:sz w:val="21"/>
          <w:szCs w:val="21"/>
        </w:rPr>
        <w:t>(2)</w:t>
      </w:r>
      <w:r>
        <w:rPr>
          <w:rFonts w:ascii="Times New Roman" w:hAnsi="Times New Roman" w:cs="Times New Roman"/>
          <w:color w:val="auto"/>
          <w:sz w:val="21"/>
          <w:szCs w:val="21"/>
        </w:rPr>
        <w:t>工程材料预付款的担保约定为：</w:t>
      </w:r>
      <w:r>
        <w:rPr>
          <w:rFonts w:hint="eastAsia" w:ascii="Times New Roman" w:hAnsi="Times New Roman" w:cs="Times New Roman"/>
          <w:color w:val="auto"/>
          <w:sz w:val="21"/>
          <w:szCs w:val="21"/>
          <w:u w:val="single"/>
        </w:rPr>
        <w:t>无</w:t>
      </w:r>
      <w:r>
        <w:rPr>
          <w:rFonts w:hint="eastAsia" w:ascii="Times New Roman" w:hAnsi="Times New Roman" w:cs="Times New Roman"/>
          <w:color w:val="auto"/>
          <w:sz w:val="21"/>
          <w:szCs w:val="21"/>
          <w:lang w:val="en-US" w:bidi="en-US"/>
        </w:rPr>
        <w:t>。</w:t>
      </w:r>
    </w:p>
    <w:p w14:paraId="3BC54E25">
      <w:pPr>
        <w:pStyle w:val="95"/>
        <w:ind w:firstLine="420"/>
        <w:rPr>
          <w:rFonts w:ascii="Times New Roman" w:hAnsi="Times New Roman" w:cs="Times New Roman"/>
          <w:color w:val="auto"/>
          <w:sz w:val="21"/>
          <w:szCs w:val="21"/>
        </w:rPr>
      </w:pPr>
      <w:r>
        <w:rPr>
          <w:rFonts w:ascii="Times New Roman" w:hAnsi="Times New Roman" w:eastAsia="Times New Roman" w:cs="Times New Roman"/>
          <w:color w:val="auto"/>
          <w:sz w:val="21"/>
          <w:szCs w:val="21"/>
          <w:lang w:val="en-US" w:bidi="en-US"/>
        </w:rPr>
        <w:t>17.2.3</w:t>
      </w:r>
      <w:r>
        <w:rPr>
          <w:rFonts w:ascii="Times New Roman" w:hAnsi="Times New Roman" w:cs="Times New Roman"/>
          <w:color w:val="auto"/>
          <w:sz w:val="21"/>
          <w:szCs w:val="21"/>
        </w:rPr>
        <w:t>预付款的扣回与还清</w:t>
      </w:r>
    </w:p>
    <w:p w14:paraId="2379E71D">
      <w:pPr>
        <w:pStyle w:val="95"/>
        <w:ind w:firstLine="420"/>
        <w:rPr>
          <w:color w:val="auto"/>
          <w:sz w:val="21"/>
          <w:szCs w:val="21"/>
        </w:rPr>
      </w:pPr>
      <w:r>
        <w:rPr>
          <w:color w:val="auto"/>
          <w:sz w:val="21"/>
          <w:szCs w:val="21"/>
        </w:rPr>
        <w:t>完成工程量达到合同价的</w:t>
      </w:r>
      <w:r>
        <w:rPr>
          <w:color w:val="auto"/>
          <w:sz w:val="21"/>
          <w:szCs w:val="21"/>
          <w:u w:val="single"/>
        </w:rPr>
        <w:t xml:space="preserve"> </w:t>
      </w:r>
      <w:r>
        <w:rPr>
          <w:rFonts w:hint="eastAsia"/>
          <w:color w:val="auto"/>
          <w:sz w:val="21"/>
          <w:szCs w:val="21"/>
          <w:u w:val="single"/>
          <w:lang w:val="en-US"/>
        </w:rPr>
        <w:t>30</w:t>
      </w:r>
      <w:r>
        <w:rPr>
          <w:color w:val="auto"/>
          <w:sz w:val="21"/>
          <w:szCs w:val="21"/>
          <w:u w:val="single"/>
        </w:rPr>
        <w:t xml:space="preserve">% </w:t>
      </w:r>
      <w:r>
        <w:rPr>
          <w:color w:val="auto"/>
          <w:sz w:val="21"/>
          <w:szCs w:val="21"/>
        </w:rPr>
        <w:t>全额抵扣预付款。</w:t>
      </w:r>
    </w:p>
    <w:p w14:paraId="75864525">
      <w:pPr>
        <w:spacing w:line="460" w:lineRule="exact"/>
        <w:ind w:right="248" w:firstLine="480"/>
        <w:rPr>
          <w:rFonts w:ascii="宋体" w:hAnsi="宋体" w:cs="宋体"/>
          <w:color w:val="auto"/>
          <w:szCs w:val="21"/>
        </w:rPr>
      </w:pPr>
      <w:r>
        <w:rPr>
          <w:rFonts w:eastAsia="Times New Roman"/>
          <w:color w:val="auto"/>
          <w:szCs w:val="21"/>
        </w:rPr>
        <w:t>(2)</w:t>
      </w:r>
      <w:r>
        <w:rPr>
          <w:color w:val="auto"/>
          <w:szCs w:val="21"/>
        </w:rPr>
        <w:t>工程材料预付款的扣回与还清约定为：</w:t>
      </w:r>
      <w:r>
        <w:rPr>
          <w:rFonts w:hint="eastAsia"/>
          <w:color w:val="auto"/>
          <w:szCs w:val="21"/>
          <w:u w:val="single"/>
        </w:rPr>
        <w:t>无</w:t>
      </w:r>
      <w:r>
        <w:rPr>
          <w:rFonts w:hint="eastAsia" w:ascii="宋体" w:hAnsi="宋体" w:cs="宋体"/>
          <w:color w:val="auto"/>
          <w:szCs w:val="21"/>
        </w:rPr>
        <w:t>。</w:t>
      </w:r>
    </w:p>
    <w:p w14:paraId="1D009C79">
      <w:pPr>
        <w:spacing w:line="460" w:lineRule="exact"/>
        <w:ind w:right="248" w:firstLine="480"/>
        <w:rPr>
          <w:rFonts w:ascii="宋体" w:hAnsi="宋体" w:cs="宋体"/>
          <w:color w:val="auto"/>
          <w:szCs w:val="21"/>
        </w:rPr>
      </w:pPr>
      <w:r>
        <w:rPr>
          <w:rFonts w:hint="eastAsia" w:ascii="宋体" w:hAnsi="宋体" w:cs="宋体"/>
          <w:b/>
          <w:color w:val="auto"/>
          <w:szCs w:val="21"/>
        </w:rPr>
        <w:t>17.3.3</w:t>
      </w:r>
      <w:r>
        <w:rPr>
          <w:rFonts w:hint="eastAsia" w:ascii="宋体" w:hAnsi="宋体" w:cs="宋体"/>
          <w:b/>
          <w:bCs/>
          <w:color w:val="auto"/>
          <w:szCs w:val="21"/>
        </w:rPr>
        <w:t>进度付款证书和支付时间</w:t>
      </w:r>
    </w:p>
    <w:p w14:paraId="5C7837C6">
      <w:pPr>
        <w:spacing w:line="460" w:lineRule="exact"/>
        <w:ind w:right="248" w:firstLine="480"/>
        <w:rPr>
          <w:rFonts w:ascii="宋体" w:hAnsi="宋体" w:cs="宋体"/>
          <w:color w:val="auto"/>
          <w:szCs w:val="21"/>
        </w:rPr>
      </w:pPr>
      <w:r>
        <w:rPr>
          <w:rFonts w:hint="eastAsia" w:ascii="宋体" w:hAnsi="宋体" w:cs="宋体"/>
          <w:color w:val="auto"/>
          <w:szCs w:val="21"/>
        </w:rPr>
        <w:t>（2）每期进度款经监理人核实后出具付款证书报送发包人批准，由发包人报财政局审批通过后14天内国库集中支付。本款“专用合同条款的约定支付逾期付款违约金”为按中国人民银行规定的同期贷款最高利率计算的逾期付款金额的利息。</w:t>
      </w:r>
    </w:p>
    <w:p w14:paraId="5FDDD914">
      <w:pPr>
        <w:spacing w:line="460" w:lineRule="exact"/>
        <w:ind w:right="248" w:firstLine="480"/>
        <w:rPr>
          <w:rFonts w:ascii="宋体" w:hAnsi="宋体" w:cs="宋体"/>
          <w:color w:val="auto"/>
          <w:szCs w:val="21"/>
        </w:rPr>
      </w:pPr>
      <w:r>
        <w:rPr>
          <w:rFonts w:hint="eastAsia" w:ascii="宋体" w:hAnsi="宋体" w:cs="宋体"/>
          <w:b/>
          <w:color w:val="auto"/>
          <w:szCs w:val="21"/>
        </w:rPr>
        <w:t>17.3.5</w:t>
      </w:r>
      <w:r>
        <w:rPr>
          <w:rFonts w:hint="eastAsia" w:ascii="宋体" w:hAnsi="宋体" w:cs="宋体"/>
          <w:b/>
          <w:bCs/>
          <w:color w:val="auto"/>
          <w:szCs w:val="21"/>
        </w:rPr>
        <w:t>工程进度付款的支付比例</w:t>
      </w:r>
    </w:p>
    <w:p w14:paraId="320F39DC">
      <w:pPr>
        <w:tabs>
          <w:tab w:val="left" w:pos="130"/>
        </w:tabs>
        <w:spacing w:line="360" w:lineRule="auto"/>
        <w:ind w:left="27" w:right="65" w:firstLine="439"/>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完成工程量达到合同价的</w:t>
      </w:r>
      <w:r>
        <w:rPr>
          <w:rFonts w:hint="eastAsia" w:ascii="宋体" w:hAnsi="宋体" w:cs="宋体"/>
          <w:color w:val="auto"/>
          <w:szCs w:val="21"/>
        </w:rPr>
        <w:t>30</w:t>
      </w:r>
      <w:r>
        <w:rPr>
          <w:rFonts w:ascii="宋体" w:hAnsi="宋体" w:cs="宋体"/>
          <w:color w:val="auto"/>
          <w:szCs w:val="21"/>
        </w:rPr>
        <w:t>%全额抵扣预付款， 从完成工程量约达到合同价的</w:t>
      </w:r>
      <w:r>
        <w:rPr>
          <w:rFonts w:hint="eastAsia" w:ascii="宋体" w:hAnsi="宋体" w:cs="宋体"/>
          <w:color w:val="auto"/>
          <w:szCs w:val="21"/>
        </w:rPr>
        <w:t>30</w:t>
      </w:r>
      <w:r>
        <w:rPr>
          <w:rFonts w:ascii="宋体" w:hAnsi="宋体" w:cs="宋体"/>
          <w:color w:val="auto"/>
          <w:szCs w:val="21"/>
        </w:rPr>
        <w:t>% (签合同时明确)开始计算和支付工程进度款。从完成工程量达到合同价的</w:t>
      </w:r>
      <w:r>
        <w:rPr>
          <w:rFonts w:hint="eastAsia" w:ascii="宋体" w:hAnsi="宋体" w:cs="宋体"/>
          <w:color w:val="auto"/>
          <w:szCs w:val="21"/>
        </w:rPr>
        <w:t>30</w:t>
      </w:r>
      <w:r>
        <w:rPr>
          <w:rFonts w:ascii="宋体" w:hAnsi="宋体" w:cs="宋体"/>
          <w:color w:val="auto"/>
          <w:szCs w:val="21"/>
        </w:rPr>
        <w:t>%开始，按每月完成工程量的90%支付工程进度款(每月工程进度款＝合同累计完成金额×90%-工程预付款总金额-累计已支付工程进度款)。</w:t>
      </w:r>
      <w:r>
        <w:rPr>
          <w:rFonts w:hint="eastAsia" w:ascii="宋体" w:hAnsi="宋体" w:cs="宋体"/>
          <w:color w:val="auto"/>
          <w:szCs w:val="21"/>
        </w:rPr>
        <w:t>工程完工验收合格及办理结算后支付至结算总价的95%，</w:t>
      </w:r>
      <w:r>
        <w:rPr>
          <w:rFonts w:ascii="宋体" w:hAnsi="宋体" w:cs="宋体"/>
          <w:color w:val="auto"/>
          <w:szCs w:val="21"/>
        </w:rPr>
        <w:t>按政府制定的结算审计办法完成第三方结算审计后，工程款支付至审计结算总价</w:t>
      </w:r>
      <w:r>
        <w:rPr>
          <w:rFonts w:hint="eastAsia" w:ascii="宋体" w:hAnsi="宋体" w:cs="宋体"/>
          <w:color w:val="auto"/>
          <w:szCs w:val="21"/>
        </w:rPr>
        <w:t>的</w:t>
      </w:r>
      <w:r>
        <w:rPr>
          <w:rFonts w:ascii="宋体" w:hAnsi="宋体" w:cs="宋体"/>
          <w:color w:val="auto"/>
          <w:szCs w:val="21"/>
        </w:rPr>
        <w:t>97%。上述款项的支付时间为资金申请经</w:t>
      </w:r>
      <w:r>
        <w:rPr>
          <w:rFonts w:hint="eastAsia" w:ascii="宋体" w:hAnsi="宋体" w:cs="宋体"/>
          <w:color w:val="auto"/>
          <w:szCs w:val="21"/>
        </w:rPr>
        <w:t>财政局</w:t>
      </w:r>
      <w:r>
        <w:rPr>
          <w:rFonts w:ascii="宋体" w:hAnsi="宋体" w:cs="宋体"/>
          <w:color w:val="auto"/>
          <w:szCs w:val="21"/>
        </w:rPr>
        <w:t>审批通过后14天内。</w:t>
      </w:r>
    </w:p>
    <w:p w14:paraId="0ABD315E">
      <w:pPr>
        <w:tabs>
          <w:tab w:val="left" w:pos="130"/>
        </w:tabs>
        <w:spacing w:line="360" w:lineRule="auto"/>
        <w:ind w:left="27" w:right="65" w:firstLine="439"/>
        <w:rPr>
          <w:rFonts w:ascii="宋体" w:hAnsi="宋体" w:cs="宋体"/>
          <w:color w:val="auto"/>
          <w:szCs w:val="21"/>
        </w:rPr>
      </w:pPr>
      <w:r>
        <w:rPr>
          <w:rFonts w:hint="eastAsia" w:ascii="宋体" w:hAnsi="宋体" w:cs="宋体"/>
          <w:color w:val="auto"/>
          <w:szCs w:val="21"/>
        </w:rPr>
        <w:t xml:space="preserve">（2）本工程最终付款以规定的第三方审计结算总价为依据，工程未完成质保期验收且工程进度款支付超出审计结算总价80%的或工程完成质保期验收但工程进度款支付超出审计结算总价的，承包人必须在规定的第三方出具审计结果后20天内返还超出金额给发包人（返还方式由发包人指定）。逾期未返还的视为承包人违约，违约金按人民币壹仟元/天计算，同时承包人应承诺放弃在广西水利系统一年的投标资格，发包人有权向有关部门申报将承包人纳入不良记录或失信记录。 </w:t>
      </w:r>
    </w:p>
    <w:p w14:paraId="64F9A974">
      <w:pPr>
        <w:tabs>
          <w:tab w:val="left" w:pos="130"/>
        </w:tabs>
        <w:spacing w:line="360" w:lineRule="auto"/>
        <w:ind w:left="27" w:right="65" w:firstLine="439"/>
        <w:rPr>
          <w:rFonts w:ascii="宋体" w:hAnsi="宋体" w:cs="宋体"/>
          <w:b/>
          <w:color w:val="auto"/>
          <w:szCs w:val="21"/>
        </w:rPr>
      </w:pPr>
      <w:r>
        <w:rPr>
          <w:rFonts w:hint="eastAsia" w:ascii="宋体" w:hAnsi="宋体" w:cs="宋体"/>
          <w:color w:val="auto"/>
          <w:szCs w:val="21"/>
        </w:rPr>
        <w:t>17.3.6 发包人所有付款</w:t>
      </w:r>
      <w:r>
        <w:rPr>
          <w:rFonts w:ascii="宋体" w:hAnsi="宋体" w:cs="宋体"/>
          <w:color w:val="auto"/>
          <w:szCs w:val="21"/>
        </w:rPr>
        <w:t>(含预付款) 均转入如下承包人单位基本账户及农民工工资专用账户(签订施工合同时标明，其中80%转入单位基本账户，20%属于农民工工资的部分需转入农民工工资专用账户) ，承包人单位基本账户及农民工工资专用账户发生改变时，承包人应书面通知(法定代表人签字并加盖单位公章)发包人</w:t>
      </w:r>
      <w:r>
        <w:rPr>
          <w:rFonts w:hint="eastAsia" w:ascii="宋体" w:hAnsi="宋体" w:cs="宋体"/>
          <w:color w:val="auto"/>
          <w:szCs w:val="21"/>
        </w:rPr>
        <w:t xml:space="preserve">。  </w:t>
      </w:r>
    </w:p>
    <w:p w14:paraId="5FBF3D9D">
      <w:pPr>
        <w:pStyle w:val="4"/>
        <w:spacing w:before="0" w:after="0" w:line="460" w:lineRule="exact"/>
        <w:rPr>
          <w:rFonts w:ascii="宋体" w:hAnsi="宋体" w:cs="宋体"/>
          <w:color w:val="auto"/>
          <w:sz w:val="21"/>
          <w:szCs w:val="21"/>
        </w:rPr>
      </w:pPr>
      <w:bookmarkStart w:id="2141" w:name="_Toc1917"/>
      <w:bookmarkStart w:id="2142" w:name="_Toc14110"/>
      <w:r>
        <w:rPr>
          <w:rFonts w:hint="eastAsia" w:ascii="宋体" w:hAnsi="宋体" w:cs="宋体"/>
          <w:color w:val="auto"/>
          <w:sz w:val="21"/>
          <w:szCs w:val="21"/>
        </w:rPr>
        <w:t>17.4  质量保证金</w:t>
      </w:r>
      <w:bookmarkEnd w:id="2141"/>
      <w:bookmarkEnd w:id="2142"/>
    </w:p>
    <w:p w14:paraId="56020176">
      <w:pPr>
        <w:spacing w:line="460" w:lineRule="exact"/>
        <w:ind w:right="248" w:firstLine="480"/>
        <w:rPr>
          <w:rFonts w:ascii="宋体" w:hAnsi="宋体" w:cs="宋体"/>
          <w:color w:val="auto"/>
          <w:szCs w:val="21"/>
        </w:rPr>
      </w:pPr>
      <w:r>
        <w:rPr>
          <w:rFonts w:ascii="宋体" w:hAnsi="宋体" w:cs="宋体"/>
          <w:color w:val="auto"/>
          <w:szCs w:val="21"/>
        </w:rPr>
        <w:t>17.4.1 审计结算总价的 3%作为工程质量保证金，工程质量保修期满，经发包人、承包人、 监理人三方检查无质量缺陷责任后，承包人提出质量保证金支付申请并经</w:t>
      </w:r>
      <w:r>
        <w:rPr>
          <w:rFonts w:hint="eastAsia" w:ascii="宋体" w:hAnsi="宋体" w:cs="宋体"/>
          <w:color w:val="auto"/>
          <w:szCs w:val="21"/>
        </w:rPr>
        <w:t>财政局</w:t>
      </w:r>
      <w:r>
        <w:rPr>
          <w:rFonts w:ascii="宋体" w:hAnsi="宋体" w:cs="宋体"/>
          <w:color w:val="auto"/>
          <w:szCs w:val="21"/>
        </w:rPr>
        <w:t>审批通过后 14 天内付清。为提高财政资金使用效率，如承包人能提供工程质量保证金保函等担保手续，发包人可在收到对应担保手续后提前向承包支付工程质量保证金，质保期满后再按规定程序办理担保退还手续</w:t>
      </w:r>
      <w:r>
        <w:rPr>
          <w:rFonts w:hint="eastAsia" w:ascii="宋体" w:hAnsi="宋体" w:cs="宋体"/>
          <w:color w:val="auto"/>
          <w:szCs w:val="21"/>
        </w:rPr>
        <w:t>。</w:t>
      </w:r>
    </w:p>
    <w:bookmarkEnd w:id="2140"/>
    <w:p w14:paraId="6B9F4399">
      <w:pPr>
        <w:pStyle w:val="4"/>
        <w:spacing w:before="0" w:after="0" w:line="460" w:lineRule="exact"/>
        <w:rPr>
          <w:rFonts w:ascii="宋体" w:hAnsi="宋体" w:cs="宋体"/>
          <w:color w:val="auto"/>
          <w:sz w:val="21"/>
          <w:szCs w:val="21"/>
        </w:rPr>
      </w:pPr>
      <w:bookmarkStart w:id="2143" w:name="_Toc4638"/>
      <w:bookmarkStart w:id="2144" w:name="_Toc6938"/>
      <w:bookmarkStart w:id="2145" w:name="_Toc221951265"/>
      <w:r>
        <w:rPr>
          <w:rFonts w:hint="eastAsia" w:ascii="宋体" w:hAnsi="宋体" w:cs="宋体"/>
          <w:color w:val="auto"/>
          <w:sz w:val="21"/>
          <w:szCs w:val="21"/>
        </w:rPr>
        <w:t>17.5  竣工（完工）结算</w:t>
      </w:r>
      <w:bookmarkEnd w:id="2143"/>
      <w:bookmarkEnd w:id="2144"/>
      <w:bookmarkEnd w:id="2145"/>
    </w:p>
    <w:p w14:paraId="294116D8">
      <w:pPr>
        <w:spacing w:line="460" w:lineRule="exact"/>
        <w:ind w:right="248" w:firstLine="480"/>
        <w:rPr>
          <w:rFonts w:ascii="宋体" w:hAnsi="宋体" w:cs="宋体"/>
          <w:color w:val="auto"/>
          <w:szCs w:val="21"/>
        </w:rPr>
      </w:pPr>
      <w:bookmarkStart w:id="2146" w:name="_Toc221951266"/>
      <w:r>
        <w:rPr>
          <w:rFonts w:hint="eastAsia" w:ascii="宋体" w:hAnsi="宋体" w:cs="宋体"/>
          <w:b/>
          <w:color w:val="auto"/>
          <w:szCs w:val="21"/>
        </w:rPr>
        <w:t xml:space="preserve">17.5.1  </w:t>
      </w:r>
      <w:r>
        <w:rPr>
          <w:rFonts w:hint="eastAsia" w:ascii="宋体" w:hAnsi="宋体" w:cs="宋体"/>
          <w:color w:val="auto"/>
          <w:szCs w:val="21"/>
        </w:rPr>
        <w:t>竣工（完工）付款申请单</w:t>
      </w:r>
      <w:bookmarkEnd w:id="2146"/>
      <w:r>
        <w:rPr>
          <w:rFonts w:hint="eastAsia" w:ascii="宋体" w:hAnsi="宋体" w:cs="宋体"/>
          <w:color w:val="auto"/>
          <w:szCs w:val="21"/>
        </w:rPr>
        <w:t xml:space="preserve"> </w:t>
      </w:r>
    </w:p>
    <w:p w14:paraId="2069C3E6">
      <w:pPr>
        <w:spacing w:line="460" w:lineRule="exact"/>
        <w:ind w:right="248" w:firstLine="480"/>
        <w:rPr>
          <w:rFonts w:ascii="宋体" w:hAnsi="宋体" w:cs="宋体"/>
          <w:color w:val="auto"/>
          <w:szCs w:val="21"/>
          <w:u w:val="single"/>
        </w:rPr>
      </w:pPr>
      <w:bookmarkStart w:id="2147" w:name="_Toc221951267"/>
      <w:r>
        <w:rPr>
          <w:rFonts w:hint="eastAsia" w:ascii="宋体" w:hAnsi="宋体" w:cs="宋体"/>
          <w:color w:val="auto"/>
          <w:szCs w:val="21"/>
        </w:rPr>
        <w:t>（1）承包人应提交竣工付款申请单份数：</w:t>
      </w:r>
      <w:bookmarkEnd w:id="2147"/>
      <w:r>
        <w:rPr>
          <w:rFonts w:hint="eastAsia" w:ascii="宋体" w:hAnsi="宋体" w:cs="宋体"/>
          <w:color w:val="auto"/>
          <w:szCs w:val="21"/>
          <w:u w:val="single"/>
        </w:rPr>
        <w:t xml:space="preserve">  一式五份   。</w:t>
      </w:r>
    </w:p>
    <w:p w14:paraId="3FC230CE">
      <w:pPr>
        <w:spacing w:line="460" w:lineRule="exact"/>
        <w:ind w:right="248" w:firstLine="480"/>
        <w:rPr>
          <w:rFonts w:ascii="宋体" w:hAnsi="宋体" w:cs="宋体"/>
          <w:color w:val="auto"/>
          <w:szCs w:val="21"/>
        </w:rPr>
      </w:pPr>
      <w:r>
        <w:rPr>
          <w:rFonts w:hint="eastAsia" w:ascii="宋体" w:hAnsi="宋体" w:cs="宋体"/>
          <w:b/>
          <w:color w:val="auto"/>
          <w:szCs w:val="21"/>
        </w:rPr>
        <w:t xml:space="preserve"> 17.5.3</w:t>
      </w:r>
      <w:r>
        <w:rPr>
          <w:rFonts w:hint="eastAsia" w:ascii="宋体" w:hAnsi="宋体" w:cs="宋体"/>
          <w:color w:val="auto"/>
          <w:szCs w:val="21"/>
        </w:rPr>
        <w:t>除按通用合同条款所说的内容外，增加以下内容：最终结算以财政评审结果或审计部门审计结果为准。</w:t>
      </w:r>
    </w:p>
    <w:p w14:paraId="0514AA40">
      <w:pPr>
        <w:pStyle w:val="4"/>
        <w:spacing w:before="0" w:after="0" w:line="460" w:lineRule="exact"/>
        <w:rPr>
          <w:rFonts w:ascii="宋体" w:hAnsi="宋体" w:cs="宋体"/>
          <w:color w:val="auto"/>
          <w:sz w:val="21"/>
          <w:szCs w:val="21"/>
        </w:rPr>
      </w:pPr>
      <w:bookmarkStart w:id="2148" w:name="_Toc221951271"/>
      <w:bookmarkStart w:id="2149" w:name="_Toc229305399"/>
      <w:bookmarkStart w:id="2150" w:name="_Toc222029541"/>
      <w:bookmarkStart w:id="2151" w:name="_Toc222031043"/>
      <w:bookmarkStart w:id="2152" w:name="_Toc222033892"/>
      <w:bookmarkStart w:id="2153" w:name="_Toc222032710"/>
      <w:bookmarkStart w:id="2154" w:name="_Toc28250"/>
      <w:bookmarkStart w:id="2155" w:name="_Toc32765"/>
      <w:r>
        <w:rPr>
          <w:rFonts w:hint="eastAsia" w:ascii="宋体" w:hAnsi="宋体" w:cs="宋体"/>
          <w:color w:val="auto"/>
          <w:sz w:val="21"/>
          <w:szCs w:val="21"/>
        </w:rPr>
        <w:t>18  竣工验收</w:t>
      </w:r>
      <w:bookmarkEnd w:id="2148"/>
      <w:bookmarkEnd w:id="2149"/>
      <w:bookmarkEnd w:id="2150"/>
      <w:bookmarkEnd w:id="2151"/>
      <w:bookmarkEnd w:id="2152"/>
      <w:bookmarkEnd w:id="2153"/>
      <w:r>
        <w:rPr>
          <w:rFonts w:hint="eastAsia" w:ascii="宋体" w:hAnsi="宋体" w:cs="宋体"/>
          <w:color w:val="auto"/>
          <w:sz w:val="21"/>
          <w:szCs w:val="21"/>
        </w:rPr>
        <w:t>（验收）</w:t>
      </w:r>
      <w:bookmarkEnd w:id="2154"/>
      <w:bookmarkEnd w:id="2155"/>
    </w:p>
    <w:p w14:paraId="62FCFF7E">
      <w:pPr>
        <w:pStyle w:val="4"/>
        <w:spacing w:before="0" w:after="0" w:line="460" w:lineRule="exact"/>
        <w:rPr>
          <w:rFonts w:ascii="宋体" w:hAnsi="宋体" w:cs="宋体"/>
          <w:color w:val="auto"/>
          <w:sz w:val="21"/>
          <w:szCs w:val="21"/>
        </w:rPr>
      </w:pPr>
      <w:bookmarkStart w:id="2156" w:name="_Toc221951272"/>
      <w:bookmarkStart w:id="2157" w:name="_Toc22834"/>
      <w:bookmarkStart w:id="2158" w:name="_Toc29454"/>
      <w:r>
        <w:rPr>
          <w:rFonts w:hint="eastAsia" w:ascii="宋体" w:hAnsi="宋体" w:cs="宋体"/>
          <w:color w:val="auto"/>
          <w:sz w:val="21"/>
          <w:szCs w:val="21"/>
        </w:rPr>
        <w:t xml:space="preserve">18.1 </w:t>
      </w:r>
      <w:bookmarkEnd w:id="2156"/>
      <w:r>
        <w:rPr>
          <w:rFonts w:hint="eastAsia" w:ascii="宋体" w:hAnsi="宋体" w:cs="宋体"/>
          <w:color w:val="auto"/>
          <w:sz w:val="21"/>
          <w:szCs w:val="21"/>
        </w:rPr>
        <w:t>验收工作分类</w:t>
      </w:r>
      <w:bookmarkEnd w:id="2157"/>
      <w:bookmarkEnd w:id="2158"/>
    </w:p>
    <w:p w14:paraId="4905E8A7">
      <w:pPr>
        <w:spacing w:line="460" w:lineRule="exact"/>
        <w:ind w:right="248" w:firstLine="480"/>
        <w:rPr>
          <w:rFonts w:ascii="宋体" w:hAnsi="宋体" w:cs="宋体"/>
          <w:color w:val="auto"/>
          <w:szCs w:val="21"/>
        </w:rPr>
      </w:pPr>
      <w:bookmarkStart w:id="2159" w:name="_Toc221951274"/>
      <w:r>
        <w:rPr>
          <w:rFonts w:hint="eastAsia" w:ascii="宋体" w:hAnsi="宋体" w:cs="宋体"/>
          <w:color w:val="auto"/>
          <w:szCs w:val="21"/>
        </w:rPr>
        <w:t>根据《水利工程建设项目验收管理规定》(水利部令第30号)和《水利水电建设工程验收规程》（SL223-2008）的相关规定执行。</w:t>
      </w:r>
    </w:p>
    <w:bookmarkEnd w:id="2159"/>
    <w:p w14:paraId="2000D943">
      <w:pPr>
        <w:pStyle w:val="4"/>
        <w:spacing w:before="0" w:after="0" w:line="460" w:lineRule="exact"/>
        <w:rPr>
          <w:rFonts w:ascii="宋体" w:hAnsi="宋体" w:cs="宋体"/>
          <w:color w:val="auto"/>
          <w:sz w:val="21"/>
          <w:szCs w:val="21"/>
        </w:rPr>
      </w:pPr>
      <w:bookmarkStart w:id="2160" w:name="_Toc29185"/>
      <w:bookmarkStart w:id="2161" w:name="_Toc1106"/>
      <w:r>
        <w:rPr>
          <w:rFonts w:hint="eastAsia" w:ascii="宋体" w:hAnsi="宋体" w:cs="宋体"/>
          <w:color w:val="auto"/>
          <w:sz w:val="21"/>
          <w:szCs w:val="21"/>
        </w:rPr>
        <w:t>19  缺陷责任与保修责任</w:t>
      </w:r>
      <w:bookmarkEnd w:id="2160"/>
      <w:bookmarkEnd w:id="2161"/>
    </w:p>
    <w:p w14:paraId="66EDD058">
      <w:pPr>
        <w:pStyle w:val="4"/>
        <w:spacing w:before="0" w:after="0" w:line="460" w:lineRule="exact"/>
        <w:rPr>
          <w:rFonts w:ascii="宋体" w:hAnsi="宋体" w:cs="宋体"/>
          <w:color w:val="auto"/>
          <w:sz w:val="21"/>
          <w:szCs w:val="21"/>
        </w:rPr>
      </w:pPr>
      <w:bookmarkStart w:id="2162" w:name="_Toc13224"/>
      <w:r>
        <w:rPr>
          <w:rFonts w:hint="eastAsia" w:ascii="宋体" w:hAnsi="宋体" w:cs="宋体"/>
          <w:color w:val="auto"/>
          <w:sz w:val="21"/>
          <w:szCs w:val="21"/>
        </w:rPr>
        <w:t>19.1 缺陷责任期（工程质量保修期）的起算时间</w:t>
      </w:r>
      <w:bookmarkEnd w:id="2162"/>
    </w:p>
    <w:p w14:paraId="274185F4">
      <w:pPr>
        <w:spacing w:line="460" w:lineRule="exact"/>
        <w:rPr>
          <w:rFonts w:ascii="宋体" w:hAnsi="宋体" w:cs="宋体"/>
          <w:color w:val="auto"/>
          <w:szCs w:val="21"/>
        </w:rPr>
      </w:pPr>
      <w:r>
        <w:rPr>
          <w:rFonts w:hint="eastAsia" w:ascii="宋体" w:hAnsi="宋体" w:cs="宋体"/>
          <w:color w:val="auto"/>
          <w:szCs w:val="21"/>
        </w:rPr>
        <w:t xml:space="preserve">     从合同工程完工验收合格后开始计算。</w:t>
      </w:r>
    </w:p>
    <w:p w14:paraId="67D1000E">
      <w:pPr>
        <w:pStyle w:val="4"/>
        <w:spacing w:before="0" w:after="0" w:line="460" w:lineRule="exact"/>
        <w:rPr>
          <w:rFonts w:ascii="宋体" w:hAnsi="宋体" w:cs="宋体"/>
          <w:color w:val="auto"/>
          <w:sz w:val="21"/>
          <w:szCs w:val="21"/>
        </w:rPr>
      </w:pPr>
      <w:bookmarkStart w:id="2163" w:name="_Toc222032711"/>
      <w:bookmarkStart w:id="2164" w:name="_Toc221951299"/>
      <w:bookmarkStart w:id="2165" w:name="_Toc222031044"/>
      <w:bookmarkStart w:id="2166" w:name="_Toc30839"/>
      <w:bookmarkStart w:id="2167" w:name="_Toc222029542"/>
      <w:bookmarkStart w:id="2168" w:name="_Toc222033893"/>
      <w:bookmarkStart w:id="2169" w:name="_Toc10869"/>
      <w:bookmarkStart w:id="2170" w:name="_Toc229305400"/>
      <w:r>
        <w:rPr>
          <w:rFonts w:hint="eastAsia" w:ascii="宋体" w:hAnsi="宋体" w:cs="宋体"/>
          <w:color w:val="auto"/>
          <w:sz w:val="21"/>
          <w:szCs w:val="21"/>
        </w:rPr>
        <w:t>20  保险</w:t>
      </w:r>
      <w:bookmarkEnd w:id="2163"/>
      <w:bookmarkEnd w:id="2164"/>
      <w:bookmarkEnd w:id="2165"/>
      <w:bookmarkEnd w:id="2166"/>
      <w:bookmarkEnd w:id="2167"/>
      <w:bookmarkEnd w:id="2168"/>
      <w:bookmarkEnd w:id="2169"/>
      <w:bookmarkEnd w:id="2170"/>
    </w:p>
    <w:p w14:paraId="413154FE">
      <w:pPr>
        <w:spacing w:line="460" w:lineRule="exact"/>
        <w:ind w:firstLine="422" w:firstLineChars="200"/>
        <w:rPr>
          <w:rFonts w:ascii="宋体" w:hAnsi="宋体" w:cs="宋体"/>
          <w:b/>
          <w:color w:val="auto"/>
          <w:szCs w:val="21"/>
        </w:rPr>
      </w:pPr>
      <w:bookmarkStart w:id="2171" w:name="_Toc221951321"/>
      <w:r>
        <w:rPr>
          <w:rFonts w:hint="eastAsia" w:ascii="宋体" w:hAnsi="宋体" w:cs="宋体"/>
          <w:b/>
          <w:color w:val="auto"/>
          <w:szCs w:val="21"/>
        </w:rPr>
        <w:t>20.1  工程保险</w:t>
      </w:r>
      <w:bookmarkEnd w:id="2171"/>
    </w:p>
    <w:p w14:paraId="7442FE2B">
      <w:pPr>
        <w:spacing w:line="460" w:lineRule="exact"/>
        <w:ind w:right="248" w:firstLine="420" w:firstLineChars="200"/>
        <w:rPr>
          <w:rFonts w:ascii="宋体" w:hAnsi="宋体" w:cs="宋体"/>
          <w:color w:val="auto"/>
          <w:szCs w:val="21"/>
        </w:rPr>
      </w:pPr>
      <w:r>
        <w:rPr>
          <w:rFonts w:hint="eastAsia" w:ascii="宋体" w:hAnsi="宋体" w:cs="宋体"/>
          <w:color w:val="auto"/>
          <w:szCs w:val="21"/>
        </w:rPr>
        <w:t>承包人依照有关法律规定参加工伤保险、人身意外保险、第三者责任险等，并负责缴纳保险费。本合同签订之日起7个工作日内，承包人将购买保险的合同、发票等复印件交发包人备案。</w:t>
      </w:r>
    </w:p>
    <w:p w14:paraId="7ADAA081">
      <w:pPr>
        <w:pStyle w:val="4"/>
        <w:spacing w:before="0" w:after="0" w:line="460" w:lineRule="exact"/>
        <w:rPr>
          <w:rFonts w:ascii="宋体" w:hAnsi="宋体" w:cs="宋体"/>
          <w:color w:val="auto"/>
          <w:sz w:val="21"/>
          <w:szCs w:val="21"/>
        </w:rPr>
      </w:pPr>
      <w:bookmarkStart w:id="2172" w:name="_Toc216003201"/>
      <w:bookmarkStart w:id="2173" w:name="_Toc241491287"/>
      <w:bookmarkStart w:id="2174" w:name="_Toc17091"/>
      <w:bookmarkStart w:id="2175" w:name="_Toc229593394"/>
      <w:bookmarkStart w:id="2176" w:name="_Toc26689"/>
      <w:r>
        <w:rPr>
          <w:rFonts w:hint="eastAsia" w:ascii="宋体" w:hAnsi="宋体" w:cs="宋体"/>
          <w:color w:val="auto"/>
          <w:sz w:val="21"/>
          <w:szCs w:val="21"/>
        </w:rPr>
        <w:t>21. 不可抗力</w:t>
      </w:r>
      <w:bookmarkEnd w:id="2172"/>
      <w:bookmarkEnd w:id="2173"/>
      <w:bookmarkEnd w:id="2174"/>
      <w:bookmarkEnd w:id="2175"/>
      <w:bookmarkEnd w:id="2176"/>
    </w:p>
    <w:p w14:paraId="39F836D3">
      <w:pPr>
        <w:pStyle w:val="4"/>
        <w:spacing w:before="0" w:after="0" w:line="460" w:lineRule="exact"/>
        <w:rPr>
          <w:rFonts w:ascii="宋体" w:hAnsi="宋体" w:cs="宋体"/>
          <w:color w:val="auto"/>
          <w:sz w:val="21"/>
          <w:szCs w:val="21"/>
        </w:rPr>
      </w:pPr>
      <w:bookmarkStart w:id="2177" w:name="_Toc2005"/>
      <w:bookmarkStart w:id="2178" w:name="_Toc229593395"/>
      <w:bookmarkStart w:id="2179" w:name="_Toc9766"/>
      <w:bookmarkStart w:id="2180" w:name="_Toc216003202"/>
      <w:r>
        <w:rPr>
          <w:rFonts w:hint="eastAsia" w:ascii="宋体" w:hAnsi="宋体" w:cs="宋体"/>
          <w:color w:val="auto"/>
          <w:sz w:val="21"/>
          <w:szCs w:val="21"/>
        </w:rPr>
        <w:t>21.1 不可抗力的确认</w:t>
      </w:r>
      <w:bookmarkEnd w:id="2177"/>
      <w:bookmarkEnd w:id="2178"/>
      <w:bookmarkEnd w:id="2179"/>
      <w:bookmarkEnd w:id="2180"/>
    </w:p>
    <w:p w14:paraId="2FBDB730">
      <w:pPr>
        <w:spacing w:line="460" w:lineRule="exact"/>
        <w:ind w:right="248" w:firstLine="422" w:firstLineChars="200"/>
        <w:rPr>
          <w:rFonts w:ascii="宋体" w:hAnsi="宋体" w:cs="宋体"/>
          <w:color w:val="auto"/>
          <w:szCs w:val="21"/>
        </w:rPr>
      </w:pPr>
      <w:r>
        <w:rPr>
          <w:rFonts w:hint="eastAsia" w:ascii="宋体" w:hAnsi="宋体" w:cs="宋体"/>
          <w:b/>
          <w:color w:val="auto"/>
          <w:szCs w:val="21"/>
        </w:rPr>
        <w:t xml:space="preserve">21.1.1 </w:t>
      </w:r>
      <w:r>
        <w:rPr>
          <w:rFonts w:hint="eastAsia" w:ascii="宋体" w:hAnsi="宋体" w:cs="宋体"/>
          <w:color w:val="auto"/>
          <w:szCs w:val="21"/>
        </w:rPr>
        <w:t xml:space="preserve">不可抗力是指承包人和发包人在订立合同时不可预见，在工程施工过程中不可避免发生并不能克服的自然灾害和社会性突发事件，如地震、海啸、瘟疫、水灾、骚乱、暴动、战争和本合同专用合同条款第11.4款的约定。   </w:t>
      </w:r>
    </w:p>
    <w:p w14:paraId="1B6FE8F9">
      <w:pPr>
        <w:spacing w:line="460" w:lineRule="exact"/>
        <w:ind w:right="248" w:firstLine="422" w:firstLineChars="200"/>
        <w:rPr>
          <w:rFonts w:ascii="宋体" w:hAnsi="宋体" w:cs="宋体"/>
          <w:b/>
          <w:color w:val="auto"/>
          <w:szCs w:val="21"/>
        </w:rPr>
      </w:pPr>
      <w:r>
        <w:rPr>
          <w:rFonts w:hint="eastAsia" w:ascii="宋体" w:hAnsi="宋体" w:cs="宋体"/>
          <w:b/>
          <w:color w:val="auto"/>
          <w:szCs w:val="21"/>
        </w:rPr>
        <w:t>24. 争议的解决</w:t>
      </w:r>
    </w:p>
    <w:p w14:paraId="7109A05D">
      <w:pPr>
        <w:spacing w:line="460" w:lineRule="exact"/>
        <w:ind w:right="248" w:firstLine="422" w:firstLineChars="200"/>
        <w:rPr>
          <w:rFonts w:ascii="宋体" w:hAnsi="宋体" w:cs="宋体"/>
          <w:b/>
          <w:color w:val="auto"/>
          <w:szCs w:val="21"/>
        </w:rPr>
      </w:pPr>
      <w:r>
        <w:rPr>
          <w:rFonts w:hint="eastAsia" w:ascii="宋体" w:hAnsi="宋体" w:cs="宋体"/>
          <w:b/>
          <w:color w:val="auto"/>
          <w:szCs w:val="21"/>
        </w:rPr>
        <w:t>24.1 解决的解决方式</w:t>
      </w:r>
    </w:p>
    <w:p w14:paraId="4BE76585">
      <w:pPr>
        <w:spacing w:line="460" w:lineRule="exact"/>
        <w:ind w:right="248" w:firstLine="420" w:firstLineChars="200"/>
        <w:rPr>
          <w:rFonts w:ascii="宋体" w:hAnsi="宋体" w:cs="宋体"/>
          <w:color w:val="auto"/>
          <w:szCs w:val="21"/>
        </w:rPr>
      </w:pPr>
      <w:r>
        <w:rPr>
          <w:rFonts w:hint="eastAsia" w:ascii="宋体" w:hAnsi="宋体" w:cs="宋体"/>
          <w:color w:val="auto"/>
          <w:szCs w:val="21"/>
        </w:rPr>
        <w:t>合同当事人友好协商解决不成、不原提请争议评审或不接受争议评审组意见的，约定的合同争议解决方式为：</w:t>
      </w:r>
      <w:r>
        <w:rPr>
          <w:rFonts w:hint="eastAsia" w:ascii="宋体" w:hAnsi="宋体" w:cs="宋体"/>
          <w:b/>
          <w:color w:val="auto"/>
          <w:szCs w:val="21"/>
          <w:u w:val="single"/>
        </w:rPr>
        <w:t>向发包人所在地的人民法院诉讼。</w:t>
      </w:r>
      <w:r>
        <w:rPr>
          <w:rFonts w:hint="eastAsia" w:ascii="宋体" w:hAnsi="宋体" w:cs="宋体"/>
          <w:color w:val="auto"/>
          <w:szCs w:val="21"/>
        </w:rPr>
        <w:t xml:space="preserve">                                                                                                                                                                                                                                                                                                                                                                                                                                                                                                                                                                                                                                                                                                                                                                                                                                                                                                                                                                                                                                                                                                                                                                                                                                                                                                                                                                                                                                                                                                                                                                                                                                                                                                                                                                                                                                                                                                                                                                                                                                       </w:t>
      </w:r>
      <w:r>
        <w:rPr>
          <w:rFonts w:hint="eastAsia" w:ascii="宋体" w:hAnsi="宋体" w:cs="宋体"/>
          <w:b/>
          <w:color w:val="auto"/>
          <w:szCs w:val="21"/>
        </w:rPr>
        <w:t xml:space="preserve"> </w:t>
      </w:r>
    </w:p>
    <w:p w14:paraId="36513588">
      <w:pPr>
        <w:pStyle w:val="4"/>
        <w:spacing w:before="0" w:after="0" w:line="460" w:lineRule="exact"/>
        <w:rPr>
          <w:rFonts w:ascii="宋体" w:hAnsi="宋体" w:cs="宋体"/>
          <w:color w:val="auto"/>
          <w:sz w:val="21"/>
          <w:szCs w:val="21"/>
        </w:rPr>
      </w:pPr>
      <w:bookmarkStart w:id="2181" w:name="_Toc20442"/>
      <w:bookmarkStart w:id="2182" w:name="_Toc26274"/>
      <w:r>
        <w:rPr>
          <w:rFonts w:hint="eastAsia" w:ascii="宋体" w:hAnsi="宋体" w:cs="宋体"/>
          <w:color w:val="auto"/>
          <w:sz w:val="21"/>
          <w:szCs w:val="21"/>
        </w:rPr>
        <w:t>25.附加条款</w:t>
      </w:r>
      <w:bookmarkEnd w:id="2181"/>
      <w:bookmarkEnd w:id="2182"/>
    </w:p>
    <w:p w14:paraId="4F118016">
      <w:pPr>
        <w:spacing w:line="460" w:lineRule="exact"/>
        <w:ind w:firstLine="422" w:firstLineChars="200"/>
        <w:rPr>
          <w:rFonts w:ascii="宋体" w:hAnsi="宋体" w:cs="宋体"/>
          <w:b/>
          <w:bCs/>
          <w:color w:val="auto"/>
          <w:kern w:val="0"/>
          <w:szCs w:val="21"/>
        </w:rPr>
      </w:pPr>
      <w:r>
        <w:rPr>
          <w:rFonts w:hint="eastAsia" w:ascii="宋体" w:hAnsi="宋体" w:cs="宋体"/>
          <w:b/>
          <w:color w:val="auto"/>
          <w:kern w:val="0"/>
          <w:szCs w:val="21"/>
        </w:rPr>
        <w:t>25.1</w:t>
      </w:r>
      <w:r>
        <w:rPr>
          <w:rFonts w:hint="eastAsia" w:ascii="宋体" w:hAnsi="宋体" w:cs="宋体"/>
          <w:b/>
          <w:bCs/>
          <w:color w:val="auto"/>
          <w:kern w:val="0"/>
          <w:szCs w:val="21"/>
        </w:rPr>
        <w:t>对承包人的要求</w:t>
      </w:r>
    </w:p>
    <w:p w14:paraId="3EA2A9E0">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1、</w:t>
      </w:r>
      <w:r>
        <w:rPr>
          <w:rFonts w:hint="eastAsia" w:ascii="宋体" w:hAnsi="宋体" w:cs="宋体"/>
          <w:bCs/>
          <w:color w:val="auto"/>
          <w:kern w:val="0"/>
          <w:szCs w:val="21"/>
        </w:rPr>
        <w:t>因承包人的原因造成施工进度计划拖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3101961">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2、</w:t>
      </w:r>
      <w:r>
        <w:rPr>
          <w:rFonts w:hint="eastAsia" w:ascii="宋体" w:hAnsi="宋体" w:cs="宋体"/>
          <w:bCs/>
          <w:color w:val="auto"/>
          <w:kern w:val="0"/>
          <w:szCs w:val="21"/>
        </w:rPr>
        <w:t>遵守国务院《建设工程质量管理条例》，根据水利部、自治区和水利厅的有关质量管理规定，建立健全质量管理机构，结合工程实际制定完善的可操作性强的质量管理制度，施工质量等级达到合同约定等级。</w:t>
      </w:r>
    </w:p>
    <w:p w14:paraId="4B7353B4">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3</w:t>
      </w:r>
      <w:r>
        <w:rPr>
          <w:rFonts w:hint="eastAsia" w:ascii="宋体" w:hAnsi="宋体" w:cs="宋体"/>
          <w:bCs/>
          <w:color w:val="auto"/>
          <w:kern w:val="0"/>
          <w:szCs w:val="21"/>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03AF6F6A">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4、</w:t>
      </w:r>
      <w:r>
        <w:rPr>
          <w:rFonts w:hint="eastAsia" w:ascii="宋体" w:hAnsi="宋体" w:cs="宋体"/>
          <w:bCs/>
          <w:color w:val="auto"/>
          <w:kern w:val="0"/>
          <w:szCs w:val="21"/>
        </w:rPr>
        <w:t>按有关施工规程规范及本招标文件技术条款进行组织施工并实施施工过程和移交前工程保护措施。</w:t>
      </w:r>
    </w:p>
    <w:p w14:paraId="354DF6AF">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5、</w:t>
      </w:r>
      <w:r>
        <w:rPr>
          <w:rFonts w:hint="eastAsia" w:ascii="宋体" w:hAnsi="宋体" w:cs="宋体"/>
          <w:bCs/>
          <w:color w:val="auto"/>
          <w:kern w:val="0"/>
          <w:szCs w:val="21"/>
        </w:rPr>
        <w:t>按水利部《水利系统文明建设工地评审管理办法》创建文明建设工地。</w:t>
      </w:r>
    </w:p>
    <w:p w14:paraId="6585B794">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6、</w:t>
      </w:r>
      <w:r>
        <w:rPr>
          <w:rFonts w:hint="eastAsia" w:ascii="宋体" w:hAnsi="宋体" w:cs="宋体"/>
          <w:bCs/>
          <w:color w:val="auto"/>
          <w:kern w:val="0"/>
          <w:szCs w:val="21"/>
        </w:rPr>
        <w:t>承包人违约有以下情况之一者，发包人有权采取合同规定的以下措施处理，并视情节轻重处予违约金。</w:t>
      </w:r>
    </w:p>
    <w:p w14:paraId="30DABA62">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（1）未经发包人批准，施工期内承包人调走主要施工技术人员（包括建造师、专业工程师），经发现不及时调回的，违约金额为履约保证金金额的5%～20%（视情节严重而定）。</w:t>
      </w:r>
    </w:p>
    <w:p w14:paraId="1E77F314">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（2）未经发包人批准，施工期内自行调走主要施工机械，经发现不及时调回的，违约金额为履约保证金金额的5%～20%（视情节严重而定）。</w:t>
      </w:r>
    </w:p>
    <w:p w14:paraId="6298C39C">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（3）所有以上违约金额均在承包人的履约保证金（包括银行利息）及计量支付款内扣除，承包人履约保证金被扣除后，由发包人从最后一次计量支付时扣相应金额补足履约保证金。</w:t>
      </w:r>
    </w:p>
    <w:p w14:paraId="1F583A6B">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4）承包人的人员机械进场必须按照合同书附件或根据工程实际经调整后的人员和机械进场时间表进场，承包人不得任意拖延、调换或减少。主要机械的数量、型号和劳动力、材料的投入，应与合同相符，若发包人认为合同规定的进场机械、材料和劳动力不能满足施工进度要求，有权指令承包人增加机械、材料和劳动力投入，承包人不得拒绝。</w:t>
      </w:r>
    </w:p>
    <w:p w14:paraId="49C515FC">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（5）合同签订之日起15日内，承包人无法按合同规定进场全部人员和机械时，作为乙方违约，业主有权解除合同，没收其全部履约保证金，另行发包工程。</w:t>
      </w:r>
    </w:p>
    <w:p w14:paraId="1840589F">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7、</w:t>
      </w:r>
      <w:r>
        <w:rPr>
          <w:rFonts w:hint="eastAsia" w:ascii="宋体" w:hAnsi="宋体" w:cs="宋体"/>
          <w:bCs/>
          <w:color w:val="auto"/>
          <w:kern w:val="0"/>
          <w:szCs w:val="21"/>
        </w:rPr>
        <w:t>承包人生活设施及施工场地，应自费配备消防设备，防止火灾发生。</w:t>
      </w:r>
    </w:p>
    <w:p w14:paraId="3C06E480">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8、</w:t>
      </w:r>
      <w:r>
        <w:rPr>
          <w:rFonts w:hint="eastAsia" w:ascii="宋体" w:hAnsi="宋体" w:cs="宋体"/>
          <w:bCs/>
          <w:color w:val="auto"/>
          <w:kern w:val="0"/>
          <w:szCs w:val="21"/>
        </w:rPr>
        <w:t>承包人使用的劳动力均应进行保险，否则不准安排工作，禁止使用童工。</w:t>
      </w:r>
    </w:p>
    <w:p w14:paraId="09019774">
      <w:pPr>
        <w:spacing w:line="460" w:lineRule="exact"/>
        <w:ind w:firstLine="420" w:firstLineChars="200"/>
        <w:rPr>
          <w:rFonts w:ascii="宋体" w:hAnsi="宋体" w:cs="宋体"/>
          <w:bCs/>
          <w:color w:val="auto"/>
          <w:kern w:val="0"/>
          <w:szCs w:val="21"/>
        </w:rPr>
      </w:pPr>
      <w:r>
        <w:rPr>
          <w:rFonts w:hint="eastAsia" w:ascii="宋体" w:hAnsi="宋体" w:cs="宋体"/>
          <w:color w:val="auto"/>
          <w:kern w:val="0"/>
          <w:szCs w:val="21"/>
        </w:rPr>
        <w:t>9、</w:t>
      </w:r>
      <w:r>
        <w:rPr>
          <w:rFonts w:hint="eastAsia" w:ascii="宋体" w:hAnsi="宋体" w:cs="宋体"/>
          <w:bCs/>
          <w:color w:val="auto"/>
          <w:kern w:val="0"/>
          <w:szCs w:val="21"/>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31A072B">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77DA13A0">
      <w:pPr>
        <w:spacing w:line="4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6001DE1F">
      <w:pPr>
        <w:pStyle w:val="24"/>
        <w:spacing w:line="460" w:lineRule="exact"/>
        <w:ind w:firstLine="420" w:firstLineChars="200"/>
        <w:rPr>
          <w:rFonts w:ascii="宋体" w:hAnsi="宋体" w:cs="宋体"/>
          <w:color w:val="auto"/>
          <w:sz w:val="21"/>
          <w:szCs w:val="21"/>
        </w:rPr>
      </w:pPr>
      <w:r>
        <w:rPr>
          <w:rFonts w:hint="eastAsia" w:ascii="宋体" w:hAnsi="宋体" w:cs="宋体"/>
          <w:bCs/>
          <w:color w:val="auto"/>
          <w:kern w:val="0"/>
          <w:sz w:val="21"/>
          <w:szCs w:val="21"/>
        </w:rPr>
        <w:t>12、</w:t>
      </w:r>
      <w:r>
        <w:rPr>
          <w:rFonts w:hint="eastAsia" w:ascii="宋体" w:hAnsi="宋体" w:cs="宋体"/>
          <w:color w:val="auto"/>
          <w:sz w:val="21"/>
          <w:szCs w:val="21"/>
        </w:rPr>
        <w:t>承诺若出现以下情况，愿意放弃在广西水利系统一年的投标资格：</w:t>
      </w:r>
    </w:p>
    <w:p w14:paraId="223C8181">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A、在竞标文件中故意改变工程量的；</w:t>
      </w:r>
    </w:p>
    <w:p w14:paraId="5D2B9541">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B、两个投标人报价完全一致的； </w:t>
      </w:r>
    </w:p>
    <w:p w14:paraId="66F65C55">
      <w:pPr>
        <w:pStyle w:val="24"/>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C、成交后无正当理由不能按合同工期完工的。</w:t>
      </w:r>
    </w:p>
    <w:p w14:paraId="6A41BD60">
      <w:pPr>
        <w:spacing w:line="460" w:lineRule="exact"/>
        <w:ind w:firstLine="405" w:firstLineChars="193"/>
        <w:rPr>
          <w:rFonts w:ascii="宋体" w:hAnsi="宋体" w:cs="宋体"/>
          <w:color w:val="auto"/>
          <w:kern w:val="0"/>
          <w:szCs w:val="21"/>
        </w:rPr>
      </w:pPr>
      <w:r>
        <w:rPr>
          <w:rFonts w:hint="eastAsia" w:ascii="宋体" w:hAnsi="宋体" w:cs="宋体"/>
          <w:bCs/>
          <w:color w:val="auto"/>
          <w:kern w:val="0"/>
          <w:szCs w:val="21"/>
        </w:rPr>
        <w:t>D、</w:t>
      </w:r>
      <w:r>
        <w:rPr>
          <w:rFonts w:hint="eastAsia" w:ascii="宋体" w:hAnsi="宋体" w:cs="宋体"/>
          <w:color w:val="auto"/>
          <w:kern w:val="0"/>
          <w:szCs w:val="21"/>
        </w:rPr>
        <w:t>项目经理、技术负责人、质量检查员、安全员和主要机械设备不符合合同承诺的；</w:t>
      </w:r>
    </w:p>
    <w:p w14:paraId="71E78B3B">
      <w:pPr>
        <w:spacing w:line="460" w:lineRule="exact"/>
        <w:ind w:right="248" w:firstLine="420" w:firstLineChars="200"/>
        <w:rPr>
          <w:rFonts w:ascii="宋体" w:hAnsi="宋体" w:cs="宋体"/>
          <w:color w:val="auto"/>
          <w:kern w:val="0"/>
          <w:szCs w:val="21"/>
        </w:rPr>
      </w:pPr>
      <w:r>
        <w:rPr>
          <w:rFonts w:hint="eastAsia" w:ascii="宋体" w:hAnsi="宋体" w:cs="宋体"/>
          <w:bCs/>
          <w:color w:val="auto"/>
          <w:kern w:val="0"/>
          <w:szCs w:val="21"/>
        </w:rPr>
        <w:t>E、</w:t>
      </w:r>
      <w:r>
        <w:rPr>
          <w:rFonts w:hint="eastAsia" w:ascii="宋体" w:hAnsi="宋体" w:cs="宋体"/>
          <w:color w:val="auto"/>
          <w:kern w:val="0"/>
          <w:szCs w:val="21"/>
        </w:rPr>
        <w:t>未履行规定手续，擅自变更项目部主要管理人员的；</w:t>
      </w:r>
    </w:p>
    <w:p w14:paraId="0E8846EA">
      <w:pPr>
        <w:spacing w:line="460" w:lineRule="exact"/>
        <w:ind w:firstLine="405" w:firstLineChars="193"/>
        <w:rPr>
          <w:rFonts w:ascii="宋体" w:hAnsi="宋体" w:cs="宋体"/>
          <w:color w:val="auto"/>
          <w:kern w:val="0"/>
          <w:szCs w:val="21"/>
        </w:rPr>
      </w:pPr>
      <w:r>
        <w:rPr>
          <w:rFonts w:hint="eastAsia" w:ascii="宋体" w:hAnsi="宋体" w:cs="宋体"/>
          <w:color w:val="auto"/>
          <w:kern w:val="0"/>
          <w:szCs w:val="21"/>
        </w:rPr>
        <w:t>F、项目经理无故脱岗，或离岗超过3天未报项目法人批准的，或不能正常履行岗位职责的；</w:t>
      </w:r>
    </w:p>
    <w:p w14:paraId="3F780DAC">
      <w:pPr>
        <w:spacing w:line="460" w:lineRule="exact"/>
        <w:ind w:firstLine="405" w:firstLineChars="193"/>
        <w:rPr>
          <w:rFonts w:ascii="宋体" w:hAnsi="宋体" w:cs="宋体"/>
          <w:color w:val="auto"/>
          <w:kern w:val="0"/>
          <w:szCs w:val="21"/>
        </w:rPr>
      </w:pPr>
      <w:r>
        <w:rPr>
          <w:rFonts w:hint="eastAsia" w:ascii="宋体" w:hAnsi="宋体" w:cs="宋体"/>
          <w:bCs/>
          <w:color w:val="auto"/>
          <w:kern w:val="0"/>
          <w:szCs w:val="21"/>
        </w:rPr>
        <w:t>G、</w:t>
      </w:r>
      <w:r>
        <w:rPr>
          <w:rFonts w:hint="eastAsia" w:ascii="宋体" w:hAnsi="宋体" w:cs="宋体"/>
          <w:color w:val="auto"/>
          <w:kern w:val="0"/>
          <w:szCs w:val="21"/>
        </w:rPr>
        <w:t>不按监理单位要求整改，导致不能及时消除安全事故隐患的；</w:t>
      </w:r>
    </w:p>
    <w:p w14:paraId="4DE8BA18">
      <w:pPr>
        <w:spacing w:line="460" w:lineRule="exact"/>
        <w:ind w:right="248" w:firstLine="420" w:firstLineChars="200"/>
        <w:rPr>
          <w:rFonts w:ascii="宋体" w:hAnsi="宋体" w:cs="宋体"/>
          <w:bCs/>
          <w:color w:val="auto"/>
          <w:kern w:val="0"/>
          <w:szCs w:val="21"/>
        </w:rPr>
      </w:pPr>
      <w:r>
        <w:rPr>
          <w:rFonts w:hint="eastAsia" w:ascii="宋体" w:hAnsi="宋体" w:cs="宋体"/>
          <w:bCs/>
          <w:color w:val="auto"/>
          <w:kern w:val="0"/>
          <w:szCs w:val="21"/>
        </w:rPr>
        <w:t>L、</w:t>
      </w:r>
      <w:r>
        <w:rPr>
          <w:rFonts w:hint="eastAsia" w:ascii="宋体" w:hAnsi="宋体" w:cs="宋体"/>
          <w:color w:val="auto"/>
          <w:kern w:val="0"/>
          <w:szCs w:val="21"/>
        </w:rPr>
        <w:t>重要隐蔽工程未经联检就擅自施工的。</w:t>
      </w:r>
    </w:p>
    <w:p w14:paraId="2221371E">
      <w:pPr>
        <w:spacing w:line="460" w:lineRule="exact"/>
        <w:ind w:firstLine="420" w:firstLineChars="200"/>
        <w:rPr>
          <w:rFonts w:ascii="宋体" w:hAnsi="宋体" w:cs="宋体"/>
          <w:color w:val="auto"/>
          <w:szCs w:val="21"/>
        </w:rPr>
      </w:pPr>
      <w:r>
        <w:rPr>
          <w:rFonts w:hint="eastAsia" w:ascii="宋体" w:hAnsi="宋体" w:cs="宋体"/>
          <w:color w:val="auto"/>
          <w:szCs w:val="21"/>
        </w:rPr>
        <w:t>I、发生重大工程质量或重大安全责任事故的</w:t>
      </w:r>
    </w:p>
    <w:p w14:paraId="2BA33711">
      <w:pPr>
        <w:spacing w:line="460" w:lineRule="exact"/>
        <w:ind w:right="248" w:firstLine="420" w:firstLineChars="200"/>
        <w:rPr>
          <w:rFonts w:ascii="宋体" w:hAnsi="宋体" w:cs="宋体"/>
          <w:bCs/>
          <w:color w:val="auto"/>
          <w:kern w:val="0"/>
          <w:szCs w:val="21"/>
        </w:rPr>
      </w:pPr>
      <w:r>
        <w:rPr>
          <w:rFonts w:hint="eastAsia" w:ascii="宋体" w:hAnsi="宋体" w:cs="宋体"/>
          <w:bCs/>
          <w:color w:val="auto"/>
          <w:kern w:val="0"/>
          <w:szCs w:val="21"/>
        </w:rPr>
        <w:t>13、承包人在签订施工合同时，项目经理、技术负责人必须出席签订合同地点，否则发包人有权取消承包人承包资格。</w:t>
      </w:r>
    </w:p>
    <w:p w14:paraId="5C065471">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25.2</w:t>
      </w:r>
      <w:r>
        <w:rPr>
          <w:rFonts w:hint="eastAsia" w:ascii="宋体" w:hAnsi="宋体" w:cs="宋体"/>
          <w:bCs/>
          <w:color w:val="auto"/>
          <w:kern w:val="0"/>
          <w:szCs w:val="21"/>
        </w:rPr>
        <w:t> 发包人所有付款(含预付款)均转入如下承包人单位基本账户(签订施工合同时标明)，承包人单位基本账户发生改变时，承包人应书面通知（法定代表人签名并加盖单位公章）发包人。</w:t>
      </w:r>
    </w:p>
    <w:p w14:paraId="55F3CC76">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25.3</w:t>
      </w:r>
      <w:r>
        <w:rPr>
          <w:rFonts w:hint="eastAsia" w:ascii="宋体" w:hAnsi="宋体" w:cs="宋体"/>
          <w:bCs/>
          <w:color w:val="auto"/>
          <w:kern w:val="0"/>
          <w:szCs w:val="21"/>
        </w:rPr>
        <w:t>根据发包人相关部门的档案管理要求提供施工竣工和结算资料，其中竣工资料5份，结算资料3份，所有资料提供电子档1份。</w:t>
      </w:r>
    </w:p>
    <w:p w14:paraId="08BFAE75">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25.4</w:t>
      </w:r>
      <w:r>
        <w:rPr>
          <w:rFonts w:hint="eastAsia" w:ascii="宋体" w:hAnsi="宋体" w:cs="宋体"/>
          <w:bCs/>
          <w:color w:val="auto"/>
          <w:kern w:val="0"/>
          <w:szCs w:val="21"/>
        </w:rPr>
        <w:t>承包方应在开工前提交所有工程报建报监资料，并按要求办理开工前相应手续，且所有施工签证等相关手续符合当地规范规定；工程过程中涉及的办证由承包方负责并承担相关费用，发包人协助承包人办理。</w:t>
      </w:r>
    </w:p>
    <w:p w14:paraId="24DFCFCD">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25.5</w:t>
      </w:r>
      <w:r>
        <w:rPr>
          <w:rFonts w:hint="eastAsia" w:ascii="宋体" w:hAnsi="宋体" w:cs="宋体"/>
          <w:bCs/>
          <w:color w:val="auto"/>
          <w:kern w:val="0"/>
          <w:szCs w:val="21"/>
        </w:rPr>
        <w:t>承包人须按时参加本工程水土保持和环境保护工程验收，提交本工程工作报告和施工管理报告。</w:t>
      </w:r>
    </w:p>
    <w:p w14:paraId="0D1389CD">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25.6</w:t>
      </w:r>
      <w:r>
        <w:rPr>
          <w:rFonts w:hint="eastAsia" w:ascii="宋体" w:hAnsi="宋体" w:cs="宋体"/>
          <w:bCs/>
          <w:color w:val="auto"/>
          <w:kern w:val="0"/>
          <w:szCs w:val="21"/>
        </w:rPr>
        <w:t>工程建设中承包人采购的建筑装修材料需向发包人提供采购品牌、型号及样品等参数，经发包人同意后才可采购，结算费用按投标单价结算。</w:t>
      </w:r>
    </w:p>
    <w:p w14:paraId="262C7171">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25.7</w:t>
      </w:r>
      <w:r>
        <w:rPr>
          <w:rFonts w:hint="eastAsia" w:ascii="宋体" w:hAnsi="宋体" w:cs="宋体"/>
          <w:bCs/>
          <w:color w:val="auto"/>
          <w:kern w:val="0"/>
          <w:szCs w:val="21"/>
        </w:rPr>
        <w:t>履约保证金退还时间为工程完工验收合格且工程结算资料通过财政或审计部门审核后30天内。</w:t>
      </w:r>
    </w:p>
    <w:p w14:paraId="11369573">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25.8</w:t>
      </w:r>
      <w:r>
        <w:rPr>
          <w:rFonts w:hint="eastAsia" w:ascii="宋体" w:hAnsi="宋体" w:cs="宋体"/>
          <w:bCs/>
          <w:color w:val="auto"/>
          <w:kern w:val="0"/>
          <w:szCs w:val="21"/>
        </w:rPr>
        <w:t>本工程取（弃）土运距费用包含办证费、加盖费、取土费、弃土费、处置费等一切相关费用，综合单价包干使用不作调整。</w:t>
      </w:r>
    </w:p>
    <w:p w14:paraId="2E89005F">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25.9</w:t>
      </w:r>
      <w:r>
        <w:rPr>
          <w:rFonts w:hint="eastAsia" w:ascii="宋体" w:hAnsi="宋体" w:cs="宋体"/>
          <w:bCs/>
          <w:color w:val="auto"/>
          <w:kern w:val="0"/>
          <w:szCs w:val="21"/>
        </w:rPr>
        <w:t>本工程土方开挖已综合考虑施工条件，如承包人施工过程额外增加人工开挖比例，增加的费用由承包人负责，发包人不再另行支付。</w:t>
      </w:r>
    </w:p>
    <w:p w14:paraId="2340B01A">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25.10</w:t>
      </w:r>
      <w:r>
        <w:rPr>
          <w:rFonts w:hint="eastAsia" w:ascii="宋体" w:hAnsi="宋体" w:cs="宋体"/>
          <w:bCs/>
          <w:color w:val="auto"/>
          <w:kern w:val="0"/>
          <w:szCs w:val="21"/>
        </w:rPr>
        <w:t>本工程进场及场内道路维修按项计，总价包干不作调整。</w:t>
      </w:r>
    </w:p>
    <w:p w14:paraId="01E077FF">
      <w:pPr>
        <w:spacing w:line="460" w:lineRule="exact"/>
        <w:ind w:right="248" w:firstLine="422" w:firstLineChars="200"/>
        <w:rPr>
          <w:rFonts w:ascii="宋体" w:hAnsi="宋体" w:cs="宋体"/>
          <w:bCs/>
          <w:color w:val="auto"/>
          <w:kern w:val="0"/>
          <w:szCs w:val="21"/>
        </w:rPr>
      </w:pPr>
      <w:r>
        <w:rPr>
          <w:rFonts w:hint="eastAsia" w:ascii="宋体" w:hAnsi="宋体" w:cs="宋体"/>
          <w:b/>
          <w:bCs/>
          <w:color w:val="auto"/>
          <w:kern w:val="0"/>
          <w:szCs w:val="21"/>
        </w:rPr>
        <w:t>25.11</w:t>
      </w:r>
      <w:r>
        <w:rPr>
          <w:rFonts w:hint="eastAsia" w:ascii="宋体" w:hAnsi="宋体" w:cs="宋体"/>
          <w:bCs/>
          <w:color w:val="auto"/>
          <w:kern w:val="0"/>
          <w:szCs w:val="21"/>
        </w:rPr>
        <w:t>本工程专用条款中所指的招标期《北海市建设工程造价信息》为招标控制价采用的《北海市建设工程造价信息》发布信息价。</w:t>
      </w:r>
    </w:p>
    <w:p w14:paraId="2A651255">
      <w:pPr>
        <w:spacing w:line="460" w:lineRule="exact"/>
        <w:ind w:right="248" w:firstLine="422" w:firstLineChars="200"/>
        <w:rPr>
          <w:color w:val="auto"/>
          <w:kern w:val="0"/>
          <w:szCs w:val="21"/>
        </w:rPr>
      </w:pPr>
      <w:r>
        <w:rPr>
          <w:rFonts w:hint="eastAsia" w:ascii="宋体" w:hAnsi="宋体" w:cs="宋体"/>
          <w:b/>
          <w:bCs/>
          <w:color w:val="auto"/>
          <w:kern w:val="0"/>
          <w:szCs w:val="21"/>
        </w:rPr>
        <w:t xml:space="preserve">25.12 </w:t>
      </w:r>
      <w:r>
        <w:rPr>
          <w:rFonts w:hint="eastAsia" w:ascii="宋体" w:hAnsi="宋体" w:cs="宋体"/>
          <w:bCs/>
          <w:color w:val="auto"/>
          <w:kern w:val="0"/>
          <w:szCs w:val="21"/>
        </w:rPr>
        <w:t>本工程招标代理服务费，完工或竣工验收结算审计所发生的正常费用，已包含在投标报价的单价与总价中，由承包人承担。</w:t>
      </w:r>
    </w:p>
    <w:p w14:paraId="5DDAB9CE">
      <w:pPr>
        <w:spacing w:line="360" w:lineRule="auto"/>
        <w:ind w:left="428"/>
        <w:rPr>
          <w:rFonts w:ascii="宋体" w:hAnsi="宋体" w:cs="宋体"/>
          <w:color w:val="auto"/>
          <w:szCs w:val="21"/>
        </w:rPr>
      </w:pPr>
    </w:p>
    <w:p w14:paraId="380DAFE6">
      <w:pPr>
        <w:spacing w:line="360" w:lineRule="auto"/>
        <w:rPr>
          <w:rFonts w:ascii="宋体" w:hAnsi="宋体" w:cs="宋体"/>
          <w:color w:val="auto"/>
          <w:szCs w:val="21"/>
        </w:rPr>
        <w:sectPr>
          <w:footerReference r:id="rId9" w:type="default"/>
          <w:pgSz w:w="11911" w:h="16838"/>
          <w:pgMar w:top="1417" w:right="1417" w:bottom="1417" w:left="1417" w:header="720" w:footer="720" w:gutter="0"/>
          <w:cols w:space="720" w:num="1"/>
          <w:docGrid w:linePitch="1" w:charSpace="0"/>
        </w:sectPr>
      </w:pPr>
    </w:p>
    <w:p w14:paraId="788D2259">
      <w:pPr>
        <w:pStyle w:val="100"/>
        <w:spacing w:before="0" w:after="0"/>
        <w:rPr>
          <w:rFonts w:eastAsia="宋体"/>
          <w:color w:val="auto"/>
          <w:sz w:val="32"/>
          <w:szCs w:val="32"/>
          <w:lang w:eastAsia="zh-CN"/>
        </w:rPr>
      </w:pPr>
      <w:bookmarkStart w:id="2183" w:name="_Toc31405"/>
      <w:bookmarkStart w:id="2184" w:name="_Toc18204"/>
      <w:bookmarkStart w:id="2185" w:name="_Toc16059"/>
      <w:bookmarkStart w:id="2186" w:name="_Toc2074"/>
      <w:bookmarkStart w:id="2187" w:name="_Toc24504"/>
      <w:r>
        <w:rPr>
          <w:rFonts w:hint="eastAsia" w:eastAsia="宋体"/>
          <w:color w:val="auto"/>
          <w:sz w:val="32"/>
          <w:szCs w:val="32"/>
          <w:lang w:eastAsia="zh-CN"/>
        </w:rPr>
        <w:t>第三节  合同附件格式</w:t>
      </w:r>
      <w:bookmarkEnd w:id="2183"/>
      <w:bookmarkEnd w:id="2184"/>
      <w:bookmarkEnd w:id="2185"/>
      <w:bookmarkEnd w:id="2186"/>
      <w:bookmarkEnd w:id="2187"/>
    </w:p>
    <w:p w14:paraId="6D97CE54">
      <w:pPr>
        <w:pStyle w:val="96"/>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附件一：合同协议书</w:t>
      </w:r>
      <w:bookmarkEnd w:id="1956"/>
      <w:bookmarkEnd w:id="1957"/>
      <w:bookmarkEnd w:id="1958"/>
      <w:bookmarkEnd w:id="1959"/>
      <w:bookmarkEnd w:id="1960"/>
      <w:bookmarkEnd w:id="1961"/>
    </w:p>
    <w:p w14:paraId="7D34033E">
      <w:pPr>
        <w:pStyle w:val="96"/>
        <w:jc w:val="center"/>
        <w:rPr>
          <w:rFonts w:ascii="宋体" w:hAnsi="宋体" w:eastAsia="宋体" w:cs="宋体"/>
          <w:b/>
          <w:color w:val="auto"/>
          <w:lang w:eastAsia="zh-CN"/>
        </w:rPr>
      </w:pPr>
      <w:bookmarkStart w:id="2188" w:name="bookmark1896"/>
      <w:bookmarkStart w:id="2189" w:name="bookmark1895"/>
      <w:bookmarkStart w:id="2190" w:name="bookmark1894"/>
    </w:p>
    <w:p w14:paraId="58E75053">
      <w:pPr>
        <w:pStyle w:val="96"/>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合同协议书</w:t>
      </w:r>
      <w:bookmarkEnd w:id="2188"/>
      <w:bookmarkEnd w:id="2189"/>
      <w:bookmarkEnd w:id="2190"/>
    </w:p>
    <w:p w14:paraId="27E259C5">
      <w:pPr>
        <w:pStyle w:val="96"/>
        <w:jc w:val="center"/>
        <w:rPr>
          <w:rFonts w:ascii="宋体" w:hAnsi="宋体" w:eastAsia="宋体" w:cs="宋体"/>
          <w:b/>
          <w:color w:val="auto"/>
          <w:sz w:val="21"/>
          <w:szCs w:val="21"/>
          <w:lang w:eastAsia="zh-CN"/>
        </w:rPr>
      </w:pPr>
    </w:p>
    <w:p w14:paraId="6E1CD420">
      <w:pPr>
        <w:pStyle w:val="96"/>
        <w:jc w:val="center"/>
        <w:rPr>
          <w:rFonts w:ascii="宋体" w:hAnsi="宋体" w:eastAsia="宋体" w:cs="宋体"/>
          <w:b/>
          <w:color w:val="auto"/>
          <w:sz w:val="21"/>
          <w:szCs w:val="21"/>
          <w:lang w:eastAsia="zh-CN"/>
        </w:rPr>
      </w:pPr>
    </w:p>
    <w:p w14:paraId="14A01ADE">
      <w:pPr>
        <w:pStyle w:val="96"/>
        <w:spacing w:line="360" w:lineRule="auto"/>
        <w:rPr>
          <w:rFonts w:ascii="宋体" w:hAnsi="宋体" w:eastAsia="宋体" w:cs="宋体"/>
          <w:color w:val="auto"/>
          <w:sz w:val="21"/>
          <w:szCs w:val="21"/>
        </w:rPr>
      </w:pP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（发包人名称，以下简称“发包人”）为实施</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（项目名称），已接受</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（承包人名称，以下简称“承包人”）对该项目</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（项目名称）</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（标段名称）的投标，并确定其为中标人。</w:t>
      </w:r>
      <w:r>
        <w:rPr>
          <w:rFonts w:hint="eastAsia" w:ascii="宋体" w:hAnsi="宋体" w:eastAsia="宋体" w:cs="宋体"/>
          <w:color w:val="auto"/>
          <w:sz w:val="21"/>
          <w:szCs w:val="21"/>
        </w:rPr>
        <w:t>发包人和承包人共同达成如下协议。</w:t>
      </w:r>
    </w:p>
    <w:p w14:paraId="4FCE3248">
      <w:pPr>
        <w:pStyle w:val="95"/>
        <w:numPr>
          <w:ilvl w:val="0"/>
          <w:numId w:val="37"/>
        </w:numPr>
        <w:tabs>
          <w:tab w:val="left" w:pos="764"/>
        </w:tabs>
        <w:ind w:firstLine="420"/>
        <w:jc w:val="both"/>
        <w:rPr>
          <w:color w:val="auto"/>
          <w:sz w:val="21"/>
          <w:szCs w:val="21"/>
        </w:rPr>
      </w:pPr>
      <w:bookmarkStart w:id="2191" w:name="bookmark1897"/>
      <w:bookmarkEnd w:id="2191"/>
      <w:r>
        <w:rPr>
          <w:rFonts w:hint="eastAsia"/>
          <w:color w:val="auto"/>
          <w:sz w:val="21"/>
          <w:szCs w:val="21"/>
        </w:rPr>
        <w:t>本协议书与下列文件一起构成合同文件：</w:t>
      </w:r>
    </w:p>
    <w:p w14:paraId="79E56694">
      <w:pPr>
        <w:pStyle w:val="95"/>
        <w:tabs>
          <w:tab w:val="left" w:pos="903"/>
        </w:tabs>
        <w:ind w:firstLine="420"/>
        <w:jc w:val="both"/>
        <w:rPr>
          <w:color w:val="auto"/>
          <w:sz w:val="21"/>
          <w:szCs w:val="21"/>
        </w:rPr>
      </w:pPr>
      <w:bookmarkStart w:id="2192" w:name="bookmark1898"/>
      <w:r>
        <w:rPr>
          <w:rFonts w:hint="eastAsia"/>
          <w:color w:val="auto"/>
          <w:sz w:val="21"/>
          <w:szCs w:val="21"/>
        </w:rPr>
        <w:t>（</w:t>
      </w:r>
      <w:bookmarkEnd w:id="2192"/>
      <w:r>
        <w:rPr>
          <w:rFonts w:hint="eastAsia"/>
          <w:color w:val="auto"/>
          <w:sz w:val="21"/>
          <w:szCs w:val="21"/>
        </w:rPr>
        <w:t>1）</w:t>
      </w:r>
      <w:r>
        <w:rPr>
          <w:rFonts w:hint="eastAsia"/>
          <w:color w:val="auto"/>
          <w:sz w:val="21"/>
          <w:szCs w:val="21"/>
          <w:lang w:val="en-US"/>
        </w:rPr>
        <w:t>成交</w:t>
      </w:r>
      <w:r>
        <w:rPr>
          <w:rFonts w:hint="eastAsia"/>
          <w:color w:val="auto"/>
          <w:sz w:val="21"/>
          <w:szCs w:val="21"/>
        </w:rPr>
        <w:t>通知书；</w:t>
      </w:r>
    </w:p>
    <w:p w14:paraId="539EC36B">
      <w:pPr>
        <w:pStyle w:val="95"/>
        <w:tabs>
          <w:tab w:val="left" w:pos="903"/>
        </w:tabs>
        <w:ind w:firstLine="420"/>
        <w:jc w:val="both"/>
        <w:rPr>
          <w:color w:val="auto"/>
          <w:sz w:val="21"/>
          <w:szCs w:val="21"/>
        </w:rPr>
      </w:pPr>
      <w:bookmarkStart w:id="2193" w:name="bookmark1899"/>
      <w:r>
        <w:rPr>
          <w:rFonts w:hint="eastAsia"/>
          <w:color w:val="auto"/>
          <w:sz w:val="21"/>
          <w:szCs w:val="21"/>
        </w:rPr>
        <w:t>（</w:t>
      </w:r>
      <w:bookmarkEnd w:id="2193"/>
      <w:r>
        <w:rPr>
          <w:rFonts w:hint="eastAsia"/>
          <w:color w:val="auto"/>
          <w:sz w:val="21"/>
          <w:szCs w:val="21"/>
        </w:rPr>
        <w:t>2）</w:t>
      </w:r>
      <w:r>
        <w:rPr>
          <w:rFonts w:hint="eastAsia"/>
          <w:color w:val="auto"/>
          <w:sz w:val="21"/>
          <w:szCs w:val="21"/>
          <w:lang w:val="en-US"/>
        </w:rPr>
        <w:t>磋商</w:t>
      </w:r>
      <w:r>
        <w:rPr>
          <w:rFonts w:hint="eastAsia"/>
          <w:color w:val="auto"/>
          <w:sz w:val="21"/>
          <w:szCs w:val="21"/>
        </w:rPr>
        <w:t>函；</w:t>
      </w:r>
    </w:p>
    <w:p w14:paraId="4EF05A4D">
      <w:pPr>
        <w:pStyle w:val="95"/>
        <w:tabs>
          <w:tab w:val="left" w:pos="903"/>
        </w:tabs>
        <w:ind w:firstLine="420"/>
        <w:jc w:val="both"/>
        <w:rPr>
          <w:color w:val="auto"/>
          <w:sz w:val="21"/>
          <w:szCs w:val="21"/>
        </w:rPr>
      </w:pPr>
      <w:bookmarkStart w:id="2194" w:name="bookmark1900"/>
      <w:r>
        <w:rPr>
          <w:rFonts w:hint="eastAsia"/>
          <w:color w:val="auto"/>
          <w:sz w:val="21"/>
          <w:szCs w:val="21"/>
        </w:rPr>
        <w:t>（</w:t>
      </w:r>
      <w:bookmarkEnd w:id="2194"/>
      <w:r>
        <w:rPr>
          <w:rFonts w:hint="eastAsia"/>
          <w:color w:val="auto"/>
          <w:sz w:val="21"/>
          <w:szCs w:val="21"/>
        </w:rPr>
        <w:t>3）专用合同条款（含附加条款）；</w:t>
      </w:r>
    </w:p>
    <w:p w14:paraId="38D13D0A">
      <w:pPr>
        <w:pStyle w:val="95"/>
        <w:tabs>
          <w:tab w:val="left" w:pos="903"/>
        </w:tabs>
        <w:ind w:firstLine="420"/>
        <w:jc w:val="both"/>
        <w:rPr>
          <w:color w:val="auto"/>
          <w:sz w:val="21"/>
          <w:szCs w:val="21"/>
        </w:rPr>
      </w:pPr>
      <w:bookmarkStart w:id="2195" w:name="bookmark1901"/>
      <w:r>
        <w:rPr>
          <w:rFonts w:hint="eastAsia"/>
          <w:color w:val="auto"/>
          <w:sz w:val="21"/>
          <w:szCs w:val="21"/>
        </w:rPr>
        <w:t>（</w:t>
      </w:r>
      <w:bookmarkEnd w:id="2195"/>
      <w:r>
        <w:rPr>
          <w:rFonts w:hint="eastAsia"/>
          <w:color w:val="auto"/>
          <w:sz w:val="21"/>
          <w:szCs w:val="21"/>
        </w:rPr>
        <w:t>4）通用合同条款；</w:t>
      </w:r>
    </w:p>
    <w:p w14:paraId="1ACA7D0C">
      <w:pPr>
        <w:pStyle w:val="95"/>
        <w:tabs>
          <w:tab w:val="left" w:pos="903"/>
        </w:tabs>
        <w:ind w:firstLine="420"/>
        <w:jc w:val="both"/>
        <w:rPr>
          <w:color w:val="auto"/>
          <w:sz w:val="21"/>
          <w:szCs w:val="21"/>
        </w:rPr>
      </w:pPr>
      <w:bookmarkStart w:id="2196" w:name="bookmark1902"/>
      <w:r>
        <w:rPr>
          <w:rFonts w:hint="eastAsia"/>
          <w:color w:val="auto"/>
          <w:sz w:val="21"/>
          <w:szCs w:val="21"/>
        </w:rPr>
        <w:t>（</w:t>
      </w:r>
      <w:bookmarkEnd w:id="2196"/>
      <w:r>
        <w:rPr>
          <w:rFonts w:hint="eastAsia"/>
          <w:color w:val="auto"/>
          <w:sz w:val="21"/>
          <w:szCs w:val="21"/>
        </w:rPr>
        <w:t>5）技术标准和要求（合同技术条款）；</w:t>
      </w:r>
    </w:p>
    <w:p w14:paraId="5B6E0ED5">
      <w:pPr>
        <w:pStyle w:val="95"/>
        <w:tabs>
          <w:tab w:val="left" w:pos="903"/>
        </w:tabs>
        <w:ind w:firstLine="420"/>
        <w:jc w:val="both"/>
        <w:rPr>
          <w:color w:val="auto"/>
          <w:sz w:val="21"/>
          <w:szCs w:val="21"/>
        </w:rPr>
      </w:pPr>
      <w:bookmarkStart w:id="2197" w:name="bookmark1903"/>
      <w:r>
        <w:rPr>
          <w:rFonts w:hint="eastAsia"/>
          <w:color w:val="auto"/>
          <w:sz w:val="21"/>
          <w:szCs w:val="21"/>
        </w:rPr>
        <w:t>（</w:t>
      </w:r>
      <w:bookmarkEnd w:id="2197"/>
      <w:r>
        <w:rPr>
          <w:rFonts w:hint="eastAsia"/>
          <w:color w:val="auto"/>
          <w:sz w:val="21"/>
          <w:szCs w:val="21"/>
        </w:rPr>
        <w:t>6）图纸；</w:t>
      </w:r>
    </w:p>
    <w:p w14:paraId="3B39DE34">
      <w:pPr>
        <w:pStyle w:val="95"/>
        <w:tabs>
          <w:tab w:val="left" w:pos="903"/>
        </w:tabs>
        <w:ind w:firstLine="420"/>
        <w:jc w:val="both"/>
        <w:rPr>
          <w:color w:val="auto"/>
          <w:sz w:val="21"/>
          <w:szCs w:val="21"/>
        </w:rPr>
      </w:pPr>
      <w:bookmarkStart w:id="2198" w:name="bookmark1904"/>
      <w:r>
        <w:rPr>
          <w:rFonts w:hint="eastAsia"/>
          <w:color w:val="auto"/>
          <w:sz w:val="21"/>
          <w:szCs w:val="21"/>
        </w:rPr>
        <w:t>（</w:t>
      </w:r>
      <w:bookmarkEnd w:id="2198"/>
      <w:r>
        <w:rPr>
          <w:rFonts w:hint="eastAsia"/>
          <w:color w:val="auto"/>
          <w:sz w:val="21"/>
          <w:szCs w:val="21"/>
        </w:rPr>
        <w:t>7）已标价工程量清单；</w:t>
      </w:r>
    </w:p>
    <w:p w14:paraId="2CCEE11A">
      <w:pPr>
        <w:pStyle w:val="95"/>
        <w:tabs>
          <w:tab w:val="left" w:pos="903"/>
        </w:tabs>
        <w:ind w:firstLine="420"/>
        <w:jc w:val="both"/>
        <w:rPr>
          <w:color w:val="auto"/>
          <w:sz w:val="21"/>
          <w:szCs w:val="21"/>
        </w:rPr>
      </w:pPr>
      <w:bookmarkStart w:id="2199" w:name="bookmark1905"/>
      <w:r>
        <w:rPr>
          <w:rFonts w:hint="eastAsia"/>
          <w:color w:val="auto"/>
          <w:sz w:val="21"/>
          <w:szCs w:val="21"/>
        </w:rPr>
        <w:t>（</w:t>
      </w:r>
      <w:bookmarkEnd w:id="2199"/>
      <w:r>
        <w:rPr>
          <w:rFonts w:hint="eastAsia"/>
          <w:color w:val="auto"/>
          <w:sz w:val="21"/>
          <w:szCs w:val="21"/>
        </w:rPr>
        <w:t>8）其他合同文件。</w:t>
      </w:r>
    </w:p>
    <w:p w14:paraId="5B59C340">
      <w:pPr>
        <w:pStyle w:val="95"/>
        <w:numPr>
          <w:ilvl w:val="0"/>
          <w:numId w:val="37"/>
        </w:numPr>
        <w:tabs>
          <w:tab w:val="left" w:pos="764"/>
        </w:tabs>
        <w:ind w:firstLine="420"/>
        <w:jc w:val="both"/>
        <w:rPr>
          <w:color w:val="auto"/>
          <w:sz w:val="21"/>
          <w:szCs w:val="21"/>
        </w:rPr>
      </w:pPr>
      <w:bookmarkStart w:id="2200" w:name="bookmark1906"/>
      <w:bookmarkEnd w:id="2200"/>
      <w:r>
        <w:rPr>
          <w:rFonts w:hint="eastAsia"/>
          <w:color w:val="auto"/>
          <w:sz w:val="21"/>
          <w:szCs w:val="21"/>
        </w:rPr>
        <w:t>上述文件互相补充和解释，如有不明确或不一致之处，以合同约定次序在先者为准。</w:t>
      </w:r>
    </w:p>
    <w:p w14:paraId="4A0C44F1">
      <w:pPr>
        <w:pStyle w:val="95"/>
        <w:numPr>
          <w:ilvl w:val="0"/>
          <w:numId w:val="37"/>
        </w:numPr>
        <w:tabs>
          <w:tab w:val="left" w:pos="764"/>
          <w:tab w:val="left" w:pos="4291"/>
          <w:tab w:val="left" w:pos="5794"/>
        </w:tabs>
        <w:ind w:firstLine="420"/>
        <w:jc w:val="both"/>
        <w:rPr>
          <w:color w:val="auto"/>
          <w:sz w:val="21"/>
          <w:szCs w:val="21"/>
        </w:rPr>
      </w:pPr>
      <w:bookmarkStart w:id="2201" w:name="bookmark1907"/>
      <w:bookmarkEnd w:id="2201"/>
      <w:r>
        <w:rPr>
          <w:rFonts w:hint="eastAsia"/>
          <w:color w:val="auto"/>
          <w:sz w:val="21"/>
          <w:szCs w:val="21"/>
        </w:rPr>
        <w:t>签约合同价：人民币（大写）</w:t>
      </w:r>
      <w:r>
        <w:rPr>
          <w:rFonts w:hint="eastAsia"/>
          <w:color w:val="auto"/>
          <w:sz w:val="21"/>
          <w:szCs w:val="21"/>
          <w:u w:val="single"/>
        </w:rPr>
        <w:tab/>
      </w:r>
      <w:r>
        <w:rPr>
          <w:rFonts w:hint="eastAsia"/>
          <w:color w:val="auto"/>
          <w:sz w:val="21"/>
          <w:szCs w:val="21"/>
        </w:rPr>
        <w:t>元（¥</w:t>
      </w:r>
      <w:r>
        <w:rPr>
          <w:rFonts w:hint="eastAsia"/>
          <w:color w:val="auto"/>
          <w:sz w:val="21"/>
          <w:szCs w:val="21"/>
          <w:u w:val="single"/>
        </w:rPr>
        <w:tab/>
      </w:r>
      <w:r>
        <w:rPr>
          <w:rFonts w:hint="eastAsia"/>
          <w:color w:val="auto"/>
          <w:sz w:val="21"/>
          <w:szCs w:val="21"/>
          <w:lang w:val="en-US" w:bidi="en-US"/>
        </w:rPr>
        <w:t>）</w:t>
      </w:r>
      <w:r>
        <w:rPr>
          <w:rFonts w:hint="eastAsia"/>
          <w:color w:val="auto"/>
          <w:sz w:val="21"/>
          <w:szCs w:val="21"/>
          <w:vertAlign w:val="subscript"/>
          <w:lang w:val="en-US" w:bidi="en-US"/>
        </w:rPr>
        <w:t>o</w:t>
      </w:r>
    </w:p>
    <w:p w14:paraId="3366413D">
      <w:pPr>
        <w:pStyle w:val="95"/>
        <w:numPr>
          <w:ilvl w:val="0"/>
          <w:numId w:val="37"/>
        </w:numPr>
        <w:tabs>
          <w:tab w:val="left" w:pos="764"/>
          <w:tab w:val="left" w:pos="4234"/>
        </w:tabs>
        <w:ind w:firstLine="420"/>
        <w:jc w:val="both"/>
        <w:rPr>
          <w:color w:val="auto"/>
          <w:sz w:val="21"/>
          <w:szCs w:val="21"/>
        </w:rPr>
      </w:pPr>
      <w:bookmarkStart w:id="2202" w:name="bookmark1908"/>
      <w:bookmarkEnd w:id="2202"/>
      <w:r>
        <w:rPr>
          <w:rFonts w:hint="eastAsia"/>
          <w:color w:val="auto"/>
          <w:sz w:val="21"/>
          <w:szCs w:val="21"/>
        </w:rPr>
        <w:t>承包人项目经理：</w:t>
      </w:r>
      <w:r>
        <w:rPr>
          <w:rFonts w:hint="eastAsia"/>
          <w:color w:val="auto"/>
          <w:sz w:val="21"/>
          <w:szCs w:val="21"/>
          <w:u w:val="single"/>
        </w:rPr>
        <w:tab/>
      </w:r>
      <w:r>
        <w:rPr>
          <w:rFonts w:hint="eastAsia"/>
          <w:color w:val="auto"/>
          <w:sz w:val="21"/>
          <w:szCs w:val="21"/>
          <w:lang w:val="en-US" w:bidi="en-US"/>
        </w:rPr>
        <w:t>。</w:t>
      </w:r>
    </w:p>
    <w:p w14:paraId="0A145C5E">
      <w:pPr>
        <w:pStyle w:val="95"/>
        <w:numPr>
          <w:ilvl w:val="0"/>
          <w:numId w:val="37"/>
        </w:numPr>
        <w:tabs>
          <w:tab w:val="left" w:pos="764"/>
          <w:tab w:val="left" w:pos="3809"/>
        </w:tabs>
        <w:ind w:firstLine="420"/>
        <w:jc w:val="both"/>
        <w:rPr>
          <w:color w:val="auto"/>
          <w:sz w:val="21"/>
          <w:szCs w:val="21"/>
        </w:rPr>
      </w:pPr>
      <w:bookmarkStart w:id="2203" w:name="bookmark1909"/>
      <w:bookmarkEnd w:id="2203"/>
      <w:r>
        <w:rPr>
          <w:rFonts w:hint="eastAsia"/>
          <w:color w:val="auto"/>
          <w:sz w:val="21"/>
          <w:szCs w:val="21"/>
        </w:rPr>
        <w:t>工程质量符合</w:t>
      </w:r>
      <w:r>
        <w:rPr>
          <w:rFonts w:hint="eastAsia"/>
          <w:color w:val="auto"/>
          <w:sz w:val="21"/>
          <w:szCs w:val="21"/>
          <w:u w:val="single"/>
        </w:rPr>
        <w:tab/>
      </w:r>
      <w:r>
        <w:rPr>
          <w:rFonts w:hint="eastAsia"/>
          <w:color w:val="auto"/>
          <w:sz w:val="21"/>
          <w:szCs w:val="21"/>
        </w:rPr>
        <w:t>标准。</w:t>
      </w:r>
    </w:p>
    <w:p w14:paraId="521F3589">
      <w:pPr>
        <w:pStyle w:val="95"/>
        <w:numPr>
          <w:ilvl w:val="0"/>
          <w:numId w:val="37"/>
        </w:numPr>
        <w:tabs>
          <w:tab w:val="left" w:pos="764"/>
        </w:tabs>
        <w:ind w:firstLine="420"/>
        <w:jc w:val="both"/>
        <w:rPr>
          <w:color w:val="auto"/>
          <w:sz w:val="21"/>
          <w:szCs w:val="21"/>
        </w:rPr>
      </w:pPr>
      <w:bookmarkStart w:id="2204" w:name="bookmark1910"/>
      <w:bookmarkEnd w:id="2204"/>
      <w:r>
        <w:rPr>
          <w:rFonts w:hint="eastAsia"/>
          <w:color w:val="auto"/>
          <w:sz w:val="21"/>
          <w:szCs w:val="21"/>
        </w:rPr>
        <w:t>承包人承诺按合同约定承担工程的实施、完成及缺陷修复。</w:t>
      </w:r>
    </w:p>
    <w:p w14:paraId="1355AA80">
      <w:pPr>
        <w:pStyle w:val="95"/>
        <w:numPr>
          <w:ilvl w:val="0"/>
          <w:numId w:val="37"/>
        </w:numPr>
        <w:tabs>
          <w:tab w:val="left" w:pos="764"/>
        </w:tabs>
        <w:ind w:firstLine="420"/>
        <w:jc w:val="both"/>
        <w:rPr>
          <w:color w:val="auto"/>
          <w:sz w:val="21"/>
          <w:szCs w:val="21"/>
        </w:rPr>
      </w:pPr>
      <w:bookmarkStart w:id="2205" w:name="bookmark1911"/>
      <w:bookmarkEnd w:id="2205"/>
      <w:r>
        <w:rPr>
          <w:rFonts w:hint="eastAsia"/>
          <w:color w:val="auto"/>
          <w:sz w:val="21"/>
          <w:szCs w:val="21"/>
        </w:rPr>
        <w:t>发包人承诺按合同约定的条件、时间和方式向承包人支付合同价款。</w:t>
      </w:r>
    </w:p>
    <w:p w14:paraId="7F343A85">
      <w:pPr>
        <w:pStyle w:val="95"/>
        <w:numPr>
          <w:ilvl w:val="0"/>
          <w:numId w:val="37"/>
        </w:numPr>
        <w:tabs>
          <w:tab w:val="left" w:pos="764"/>
          <w:tab w:val="left" w:pos="5717"/>
        </w:tabs>
        <w:ind w:firstLine="420"/>
        <w:jc w:val="both"/>
        <w:rPr>
          <w:color w:val="auto"/>
          <w:sz w:val="21"/>
          <w:szCs w:val="21"/>
        </w:rPr>
      </w:pPr>
      <w:bookmarkStart w:id="2206" w:name="bookmark1912"/>
      <w:bookmarkEnd w:id="2206"/>
      <w:r>
        <w:rPr>
          <w:rFonts w:hint="eastAsia"/>
          <w:color w:val="auto"/>
          <w:sz w:val="21"/>
          <w:szCs w:val="21"/>
        </w:rPr>
        <w:t>承包人承诺执行监理人开工通知，计划工期为</w:t>
      </w:r>
      <w:r>
        <w:rPr>
          <w:rFonts w:hint="eastAsia"/>
          <w:color w:val="auto"/>
          <w:sz w:val="21"/>
          <w:szCs w:val="21"/>
          <w:u w:val="single"/>
        </w:rPr>
        <w:tab/>
      </w:r>
      <w:r>
        <w:rPr>
          <w:rFonts w:hint="eastAsia"/>
          <w:color w:val="auto"/>
          <w:sz w:val="21"/>
          <w:szCs w:val="21"/>
        </w:rPr>
        <w:t>天。</w:t>
      </w:r>
    </w:p>
    <w:p w14:paraId="6ADABD5C">
      <w:pPr>
        <w:pStyle w:val="95"/>
        <w:numPr>
          <w:ilvl w:val="0"/>
          <w:numId w:val="37"/>
        </w:numPr>
        <w:tabs>
          <w:tab w:val="left" w:pos="764"/>
          <w:tab w:val="left" w:pos="2789"/>
        </w:tabs>
        <w:ind w:firstLine="420"/>
        <w:jc w:val="both"/>
        <w:rPr>
          <w:color w:val="auto"/>
          <w:sz w:val="21"/>
          <w:szCs w:val="21"/>
        </w:rPr>
      </w:pPr>
      <w:bookmarkStart w:id="2207" w:name="bookmark1913"/>
      <w:bookmarkEnd w:id="2207"/>
      <w:r>
        <w:rPr>
          <w:rFonts w:hint="eastAsia"/>
          <w:color w:val="auto"/>
          <w:sz w:val="21"/>
          <w:szCs w:val="21"/>
        </w:rPr>
        <w:t>本协议书一式</w:t>
      </w:r>
      <w:r>
        <w:rPr>
          <w:rFonts w:hint="eastAsia"/>
          <w:color w:val="auto"/>
          <w:sz w:val="21"/>
          <w:szCs w:val="21"/>
          <w:u w:val="single"/>
        </w:rPr>
        <w:tab/>
      </w:r>
      <w:r>
        <w:rPr>
          <w:rFonts w:hint="eastAsia"/>
          <w:color w:val="auto"/>
          <w:sz w:val="21"/>
          <w:szCs w:val="21"/>
        </w:rPr>
        <w:t>份，合同双方各执</w:t>
      </w:r>
      <w:r>
        <w:rPr>
          <w:rFonts w:hint="eastAsia"/>
          <w:color w:val="auto"/>
          <w:sz w:val="21"/>
          <w:szCs w:val="21"/>
          <w:lang w:val="en-US"/>
        </w:rPr>
        <w:t xml:space="preserve"> </w:t>
      </w:r>
      <w:r>
        <w:rPr>
          <w:rFonts w:hint="eastAsia"/>
          <w:color w:val="auto"/>
          <w:sz w:val="21"/>
          <w:szCs w:val="21"/>
          <w:u w:val="single"/>
          <w:lang w:val="en-US"/>
        </w:rPr>
        <w:t xml:space="preserve">      </w:t>
      </w:r>
      <w:r>
        <w:rPr>
          <w:rFonts w:hint="eastAsia"/>
          <w:color w:val="auto"/>
          <w:sz w:val="21"/>
          <w:szCs w:val="21"/>
        </w:rPr>
        <w:t>份。</w:t>
      </w:r>
    </w:p>
    <w:p w14:paraId="514A96EC">
      <w:pPr>
        <w:pStyle w:val="95"/>
        <w:numPr>
          <w:ilvl w:val="0"/>
          <w:numId w:val="37"/>
        </w:numPr>
        <w:tabs>
          <w:tab w:val="left" w:pos="841"/>
        </w:tabs>
        <w:ind w:firstLine="420"/>
        <w:jc w:val="both"/>
        <w:rPr>
          <w:color w:val="auto"/>
          <w:sz w:val="21"/>
          <w:szCs w:val="21"/>
        </w:rPr>
      </w:pPr>
      <w:bookmarkStart w:id="2208" w:name="bookmark1914"/>
      <w:bookmarkEnd w:id="2208"/>
      <w:r>
        <w:rPr>
          <w:rFonts w:hint="eastAsia"/>
          <w:color w:val="auto"/>
          <w:sz w:val="21"/>
          <w:szCs w:val="21"/>
        </w:rPr>
        <w:t>合同未尽事宜，双方另行签订补充协议。补充协议是合同的组成部分。</w:t>
      </w:r>
    </w:p>
    <w:p w14:paraId="51D2660A">
      <w:pPr>
        <w:pStyle w:val="95"/>
        <w:tabs>
          <w:tab w:val="left" w:pos="841"/>
        </w:tabs>
        <w:ind w:firstLine="0"/>
        <w:jc w:val="both"/>
        <w:rPr>
          <w:color w:val="auto"/>
          <w:sz w:val="21"/>
          <w:szCs w:val="21"/>
        </w:rPr>
      </w:pPr>
    </w:p>
    <w:p w14:paraId="181C593D">
      <w:pPr>
        <w:pStyle w:val="95"/>
        <w:tabs>
          <w:tab w:val="left" w:pos="2532"/>
          <w:tab w:val="left" w:pos="3132"/>
          <w:tab w:val="left" w:pos="6926"/>
        </w:tabs>
        <w:spacing w:line="355" w:lineRule="exact"/>
        <w:ind w:firstLine="0"/>
        <w:jc w:val="both"/>
        <w:rPr>
          <w:color w:val="auto"/>
          <w:sz w:val="21"/>
          <w:szCs w:val="21"/>
        </w:rPr>
      </w:pPr>
      <w:r>
        <w:rPr>
          <w:rFonts w:hint="eastAsia"/>
          <w:color w:val="auto"/>
          <w:sz w:val="21"/>
          <w:szCs w:val="21"/>
        </w:rPr>
        <w:t>发包人：</w:t>
      </w:r>
      <w:r>
        <w:rPr>
          <w:rFonts w:hint="eastAsia"/>
          <w:color w:val="auto"/>
          <w:sz w:val="21"/>
          <w:szCs w:val="21"/>
          <w:u w:val="single"/>
          <w:lang w:val="en-US"/>
        </w:rPr>
        <w:t xml:space="preserve">          </w:t>
      </w:r>
      <w:r>
        <w:rPr>
          <w:rFonts w:hint="eastAsia"/>
          <w:color w:val="auto"/>
          <w:sz w:val="21"/>
          <w:szCs w:val="21"/>
          <w:u w:val="single"/>
        </w:rPr>
        <w:t xml:space="preserve"> </w:t>
      </w:r>
      <w:r>
        <w:rPr>
          <w:rFonts w:hint="eastAsia"/>
          <w:color w:val="auto"/>
          <w:sz w:val="21"/>
          <w:szCs w:val="21"/>
        </w:rPr>
        <w:t>（盖单位公章）</w:t>
      </w:r>
      <w:r>
        <w:rPr>
          <w:rFonts w:hint="eastAsia"/>
          <w:color w:val="auto"/>
          <w:sz w:val="21"/>
          <w:szCs w:val="21"/>
          <w:lang w:val="en-US"/>
        </w:rPr>
        <w:t xml:space="preserve">       </w:t>
      </w:r>
      <w:r>
        <w:rPr>
          <w:rFonts w:hint="eastAsia"/>
          <w:color w:val="auto"/>
          <w:sz w:val="21"/>
          <w:szCs w:val="21"/>
        </w:rPr>
        <w:t xml:space="preserve">   承包人：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r>
        <w:rPr>
          <w:rFonts w:hint="eastAsia"/>
          <w:color w:val="auto"/>
          <w:sz w:val="21"/>
          <w:szCs w:val="21"/>
        </w:rPr>
        <w:t xml:space="preserve">（盖单位公章） </w:t>
      </w:r>
    </w:p>
    <w:p w14:paraId="15FE44AC">
      <w:pPr>
        <w:pStyle w:val="95"/>
        <w:tabs>
          <w:tab w:val="left" w:pos="2532"/>
          <w:tab w:val="left" w:pos="3132"/>
          <w:tab w:val="left" w:pos="6926"/>
        </w:tabs>
        <w:spacing w:line="355" w:lineRule="exact"/>
        <w:ind w:firstLine="0"/>
        <w:jc w:val="both"/>
        <w:rPr>
          <w:color w:val="auto"/>
          <w:sz w:val="21"/>
          <w:szCs w:val="21"/>
        </w:rPr>
      </w:pPr>
      <w:r>
        <w:rPr>
          <w:rFonts w:hint="eastAsia"/>
          <w:color w:val="auto"/>
          <w:sz w:val="21"/>
          <w:szCs w:val="21"/>
        </w:rPr>
        <w:t>法定代表人(或项目负责人)：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rPr>
        <w:t>（签字）</w:t>
      </w:r>
      <w:r>
        <w:rPr>
          <w:rFonts w:hint="eastAsia"/>
          <w:color w:val="auto"/>
          <w:sz w:val="21"/>
          <w:szCs w:val="21"/>
          <w:lang w:val="en-US"/>
        </w:rPr>
        <w:t xml:space="preserve">   </w:t>
      </w:r>
      <w:r>
        <w:rPr>
          <w:rFonts w:hint="eastAsia"/>
          <w:color w:val="auto"/>
          <w:sz w:val="21"/>
          <w:szCs w:val="21"/>
        </w:rPr>
        <w:t xml:space="preserve"> 法定代表人(或其委托代理人)：</w:t>
      </w:r>
      <w:r>
        <w:rPr>
          <w:rFonts w:hint="eastAsia"/>
          <w:color w:val="auto"/>
          <w:sz w:val="21"/>
          <w:szCs w:val="21"/>
          <w:u w:val="single"/>
        </w:rPr>
        <w:tab/>
      </w:r>
      <w:r>
        <w:rPr>
          <w:rFonts w:hint="eastAsia"/>
          <w:color w:val="auto"/>
          <w:sz w:val="21"/>
          <w:szCs w:val="21"/>
          <w:u w:val="single"/>
        </w:rPr>
        <w:t xml:space="preserve">  </w:t>
      </w:r>
      <w:r>
        <w:rPr>
          <w:rFonts w:hint="eastAsia"/>
          <w:color w:val="auto"/>
          <w:sz w:val="21"/>
          <w:szCs w:val="21"/>
        </w:rPr>
        <w:t>（签字）</w:t>
      </w:r>
    </w:p>
    <w:p w14:paraId="2E0B1F97">
      <w:pPr>
        <w:pStyle w:val="95"/>
        <w:tabs>
          <w:tab w:val="left" w:pos="1590"/>
          <w:tab w:val="left" w:pos="2648"/>
          <w:tab w:val="left" w:pos="3704"/>
          <w:tab w:val="left" w:pos="5089"/>
          <w:tab w:val="left" w:pos="6018"/>
          <w:tab w:val="left" w:pos="7074"/>
          <w:tab w:val="left" w:pos="8132"/>
        </w:tabs>
        <w:spacing w:line="355" w:lineRule="exact"/>
        <w:jc w:val="both"/>
        <w:rPr>
          <w:color w:val="auto"/>
          <w:sz w:val="21"/>
          <w:szCs w:val="21"/>
          <w:u w:val="single"/>
        </w:rPr>
      </w:pPr>
      <w:r>
        <w:rPr>
          <w:rFonts w:hint="eastAsia"/>
          <w:color w:val="auto"/>
          <w:sz w:val="21"/>
          <w:szCs w:val="21"/>
          <w:u w:val="single"/>
          <w:lang w:val="en-US"/>
        </w:rPr>
        <w:t xml:space="preserve">    </w:t>
      </w:r>
      <w:r>
        <w:rPr>
          <w:rFonts w:hint="eastAsia"/>
          <w:color w:val="auto"/>
          <w:sz w:val="21"/>
          <w:szCs w:val="21"/>
        </w:rPr>
        <w:t>年</w:t>
      </w:r>
      <w:r>
        <w:rPr>
          <w:rFonts w:hint="eastAsia"/>
          <w:color w:val="auto"/>
          <w:sz w:val="21"/>
          <w:szCs w:val="21"/>
          <w:u w:val="single"/>
        </w:rPr>
        <w:tab/>
      </w:r>
      <w:r>
        <w:rPr>
          <w:rFonts w:hint="eastAsia"/>
          <w:color w:val="auto"/>
          <w:sz w:val="21"/>
          <w:szCs w:val="21"/>
        </w:rPr>
        <w:t>月</w:t>
      </w:r>
      <w:r>
        <w:rPr>
          <w:rFonts w:hint="eastAsia"/>
          <w:color w:val="auto"/>
          <w:sz w:val="21"/>
          <w:szCs w:val="21"/>
          <w:u w:val="single"/>
          <w:lang w:val="en-US"/>
        </w:rPr>
        <w:t xml:space="preserve">    </w:t>
      </w:r>
      <w:r>
        <w:rPr>
          <w:rFonts w:hint="eastAsia"/>
          <w:color w:val="auto"/>
          <w:sz w:val="21"/>
          <w:szCs w:val="21"/>
        </w:rPr>
        <w:t>日</w:t>
      </w:r>
      <w:r>
        <w:rPr>
          <w:rFonts w:hint="eastAsia"/>
          <w:color w:val="auto"/>
          <w:sz w:val="21"/>
          <w:szCs w:val="21"/>
          <w:lang w:val="en-US"/>
        </w:rPr>
        <w:t xml:space="preserve">      </w:t>
      </w:r>
      <w:r>
        <w:rPr>
          <w:rFonts w:hint="eastAsia"/>
          <w:color w:val="auto"/>
          <w:sz w:val="21"/>
          <w:szCs w:val="21"/>
        </w:rPr>
        <w:tab/>
      </w:r>
      <w:r>
        <w:rPr>
          <w:rFonts w:hint="eastAsia"/>
          <w:color w:val="auto"/>
          <w:sz w:val="21"/>
          <w:szCs w:val="21"/>
          <w:lang w:val="en-US"/>
        </w:rPr>
        <w:t xml:space="preserve">                </w:t>
      </w:r>
      <w:r>
        <w:rPr>
          <w:rFonts w:hint="eastAsia"/>
          <w:color w:val="auto"/>
          <w:sz w:val="21"/>
          <w:szCs w:val="21"/>
          <w:u w:val="single"/>
          <w:lang w:val="en-US"/>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w:t>
      </w:r>
    </w:p>
    <w:p w14:paraId="334A0FDC">
      <w:pPr>
        <w:pStyle w:val="96"/>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r>
        <w:rPr>
          <w:rFonts w:hint="eastAsia" w:ascii="宋体" w:hAnsi="宋体" w:eastAsia="宋体" w:cs="宋体"/>
          <w:b/>
          <w:bCs/>
          <w:color w:val="auto"/>
          <w:sz w:val="28"/>
          <w:szCs w:val="28"/>
          <w:lang w:eastAsia="zh-CN"/>
        </w:rPr>
        <w:t>附件二：履约保函</w:t>
      </w:r>
    </w:p>
    <w:p w14:paraId="2948F23A">
      <w:pPr>
        <w:pStyle w:val="96"/>
        <w:jc w:val="center"/>
        <w:rPr>
          <w:rFonts w:ascii="宋体" w:hAnsi="宋体" w:eastAsia="宋体" w:cs="宋体"/>
          <w:b/>
          <w:color w:val="auto"/>
          <w:lang w:eastAsia="zh-CN"/>
        </w:rPr>
      </w:pPr>
      <w:bookmarkStart w:id="2209" w:name="bookmark1918"/>
      <w:bookmarkStart w:id="2210" w:name="bookmark1919"/>
      <w:bookmarkStart w:id="2211" w:name="bookmark1920"/>
    </w:p>
    <w:p w14:paraId="3139E8F7">
      <w:pPr>
        <w:pStyle w:val="96"/>
        <w:jc w:val="center"/>
        <w:rPr>
          <w:rFonts w:ascii="宋体" w:hAnsi="宋体" w:eastAsia="宋体" w:cs="宋体"/>
          <w:b/>
          <w:color w:val="auto"/>
          <w:lang w:eastAsia="zh-CN"/>
        </w:rPr>
      </w:pPr>
      <w:r>
        <w:rPr>
          <w:rFonts w:hint="eastAsia" w:ascii="宋体" w:hAnsi="宋体" w:eastAsia="宋体" w:cs="宋体"/>
          <w:b/>
          <w:color w:val="auto"/>
          <w:lang w:eastAsia="zh-CN"/>
        </w:rPr>
        <w:t>履约保函</w:t>
      </w:r>
      <w:bookmarkEnd w:id="2209"/>
      <w:bookmarkEnd w:id="2210"/>
      <w:bookmarkEnd w:id="2211"/>
    </w:p>
    <w:p w14:paraId="72CCAFBD">
      <w:pPr>
        <w:pStyle w:val="96"/>
        <w:jc w:val="center"/>
        <w:rPr>
          <w:rFonts w:ascii="宋体" w:hAnsi="宋体" w:eastAsia="宋体" w:cs="宋体"/>
          <w:b/>
          <w:color w:val="auto"/>
          <w:lang w:eastAsia="zh-CN"/>
        </w:rPr>
      </w:pPr>
    </w:p>
    <w:p w14:paraId="1C0C1D1E">
      <w:pPr>
        <w:pStyle w:val="96"/>
        <w:jc w:val="center"/>
        <w:rPr>
          <w:rFonts w:ascii="宋体" w:hAnsi="宋体" w:eastAsia="宋体" w:cs="宋体"/>
          <w:b/>
          <w:color w:val="auto"/>
          <w:lang w:eastAsia="zh-CN"/>
        </w:rPr>
      </w:pPr>
    </w:p>
    <w:p w14:paraId="6DC242F9">
      <w:pPr>
        <w:pStyle w:val="95"/>
        <w:tabs>
          <w:tab w:val="left" w:pos="1870"/>
        </w:tabs>
        <w:ind w:firstLine="0"/>
        <w:jc w:val="both"/>
        <w:rPr>
          <w:color w:val="auto"/>
          <w:sz w:val="21"/>
          <w:szCs w:val="21"/>
        </w:rPr>
      </w:pPr>
      <w:r>
        <w:rPr>
          <w:rFonts w:hint="eastAsia"/>
          <w:color w:val="auto"/>
          <w:sz w:val="21"/>
          <w:szCs w:val="21"/>
          <w:u w:val="single"/>
        </w:rPr>
        <w:tab/>
      </w:r>
      <w:r>
        <w:rPr>
          <w:rFonts w:hint="eastAsia"/>
          <w:color w:val="auto"/>
          <w:sz w:val="21"/>
          <w:szCs w:val="21"/>
        </w:rPr>
        <w:t>（发包人名称）：</w:t>
      </w:r>
    </w:p>
    <w:p w14:paraId="29C9F466">
      <w:pPr>
        <w:pStyle w:val="95"/>
        <w:tabs>
          <w:tab w:val="left" w:pos="847"/>
          <w:tab w:val="left" w:pos="1870"/>
          <w:tab w:val="left" w:pos="3485"/>
          <w:tab w:val="left" w:pos="3554"/>
          <w:tab w:val="left" w:pos="6878"/>
          <w:tab w:val="left" w:pos="8059"/>
        </w:tabs>
        <w:ind w:firstLine="420"/>
        <w:jc w:val="both"/>
        <w:rPr>
          <w:color w:val="auto"/>
          <w:sz w:val="21"/>
          <w:szCs w:val="21"/>
        </w:rPr>
      </w:pPr>
      <w:r>
        <w:rPr>
          <w:rFonts w:hint="eastAsia"/>
          <w:color w:val="auto"/>
          <w:sz w:val="21"/>
          <w:szCs w:val="21"/>
        </w:rPr>
        <w:t>鉴于</w:t>
      </w:r>
      <w:r>
        <w:rPr>
          <w:rFonts w:hint="eastAsia"/>
          <w:color w:val="auto"/>
          <w:sz w:val="21"/>
          <w:szCs w:val="21"/>
          <w:u w:val="single"/>
        </w:rPr>
        <w:tab/>
      </w:r>
      <w:r>
        <w:rPr>
          <w:rFonts w:hint="eastAsia"/>
          <w:color w:val="auto"/>
          <w:sz w:val="21"/>
          <w:szCs w:val="21"/>
        </w:rPr>
        <w:t xml:space="preserve">（发包人名称，以下简称“发包人”）接受 </w:t>
      </w:r>
      <w:r>
        <w:rPr>
          <w:rFonts w:hint="eastAsia"/>
          <w:color w:val="auto"/>
          <w:sz w:val="21"/>
          <w:szCs w:val="21"/>
          <w:u w:val="single"/>
        </w:rPr>
        <w:tab/>
      </w:r>
      <w:r>
        <w:rPr>
          <w:rFonts w:hint="eastAsia"/>
          <w:color w:val="auto"/>
          <w:sz w:val="21"/>
          <w:szCs w:val="21"/>
        </w:rPr>
        <w:t>（承包人名称，以下称“承包人”）于</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 xml:space="preserve">月 </w:t>
      </w:r>
      <w:r>
        <w:rPr>
          <w:rFonts w:hint="eastAsia"/>
          <w:color w:val="auto"/>
          <w:sz w:val="21"/>
          <w:szCs w:val="21"/>
          <w:u w:val="single"/>
        </w:rPr>
        <w:tab/>
      </w:r>
      <w:r>
        <w:rPr>
          <w:rFonts w:hint="eastAsia"/>
          <w:color w:val="auto"/>
          <w:sz w:val="21"/>
          <w:szCs w:val="21"/>
        </w:rPr>
        <w:t>日递交的（项目名称）</w:t>
      </w:r>
      <w:r>
        <w:rPr>
          <w:rFonts w:hint="eastAsia"/>
          <w:color w:val="auto"/>
          <w:sz w:val="21"/>
          <w:szCs w:val="21"/>
          <w:u w:val="single"/>
        </w:rPr>
        <w:t xml:space="preserve">             </w:t>
      </w:r>
      <w:r>
        <w:rPr>
          <w:rFonts w:hint="eastAsia"/>
          <w:color w:val="auto"/>
          <w:sz w:val="21"/>
          <w:szCs w:val="21"/>
        </w:rPr>
        <w:t>（标段名称）的投标文件。我方愿意无条件地、不可撤销地就承包人履行与你方订立的合同，向你方提供担保。</w:t>
      </w:r>
    </w:p>
    <w:p w14:paraId="08BADDC5">
      <w:pPr>
        <w:pStyle w:val="95"/>
        <w:numPr>
          <w:ilvl w:val="0"/>
          <w:numId w:val="38"/>
        </w:numPr>
        <w:tabs>
          <w:tab w:val="left" w:pos="733"/>
          <w:tab w:val="left" w:pos="4879"/>
          <w:tab w:val="left" w:pos="7402"/>
        </w:tabs>
        <w:ind w:firstLine="420"/>
        <w:jc w:val="both"/>
        <w:rPr>
          <w:color w:val="auto"/>
          <w:sz w:val="21"/>
          <w:szCs w:val="21"/>
        </w:rPr>
      </w:pPr>
      <w:bookmarkStart w:id="2212" w:name="bookmark1921"/>
      <w:bookmarkEnd w:id="2212"/>
      <w:r>
        <w:rPr>
          <w:rFonts w:hint="eastAsia"/>
          <w:color w:val="auto"/>
          <w:sz w:val="21"/>
          <w:szCs w:val="21"/>
        </w:rPr>
        <w:t>担保金额人民币（大写）</w:t>
      </w:r>
      <w:r>
        <w:rPr>
          <w:rFonts w:hint="eastAsia"/>
          <w:color w:val="auto"/>
          <w:sz w:val="21"/>
          <w:szCs w:val="21"/>
          <w:u w:val="single"/>
        </w:rPr>
        <w:tab/>
      </w:r>
      <w:r>
        <w:rPr>
          <w:rFonts w:hint="eastAsia"/>
          <w:color w:val="auto"/>
          <w:sz w:val="21"/>
          <w:szCs w:val="21"/>
        </w:rPr>
        <w:t>元（¥</w:t>
      </w:r>
      <w:r>
        <w:rPr>
          <w:rFonts w:hint="eastAsia"/>
          <w:color w:val="auto"/>
          <w:sz w:val="21"/>
          <w:szCs w:val="21"/>
          <w:u w:val="single"/>
        </w:rPr>
        <w:tab/>
      </w:r>
      <w:r>
        <w:rPr>
          <w:rFonts w:hint="eastAsia"/>
          <w:color w:val="auto"/>
          <w:sz w:val="21"/>
          <w:szCs w:val="21"/>
          <w:lang w:val="en-US" w:bidi="en-US"/>
        </w:rPr>
        <w:t>元）</w:t>
      </w:r>
      <w:r>
        <w:rPr>
          <w:rFonts w:hint="eastAsia"/>
          <w:color w:val="auto"/>
          <w:sz w:val="21"/>
          <w:szCs w:val="21"/>
          <w:vertAlign w:val="subscript"/>
          <w:lang w:val="en-US" w:bidi="en-US"/>
        </w:rPr>
        <w:t>o</w:t>
      </w:r>
    </w:p>
    <w:p w14:paraId="52B41BB1">
      <w:pPr>
        <w:pStyle w:val="95"/>
        <w:numPr>
          <w:ilvl w:val="0"/>
          <w:numId w:val="38"/>
        </w:numPr>
        <w:tabs>
          <w:tab w:val="left" w:pos="697"/>
        </w:tabs>
        <w:ind w:firstLine="420"/>
        <w:jc w:val="both"/>
        <w:rPr>
          <w:color w:val="auto"/>
          <w:sz w:val="21"/>
          <w:szCs w:val="21"/>
        </w:rPr>
      </w:pPr>
      <w:bookmarkStart w:id="2213" w:name="bookmark1922"/>
      <w:bookmarkEnd w:id="2213"/>
      <w:r>
        <w:rPr>
          <w:rFonts w:hint="eastAsia"/>
          <w:color w:val="auto"/>
          <w:sz w:val="21"/>
          <w:szCs w:val="21"/>
        </w:rPr>
        <w:t>担保有效期自发包人与承包人签订的合同生效之日起至发包人签发工程完工证书之日止。</w:t>
      </w:r>
    </w:p>
    <w:p w14:paraId="45615689">
      <w:pPr>
        <w:pStyle w:val="95"/>
        <w:numPr>
          <w:ilvl w:val="0"/>
          <w:numId w:val="38"/>
        </w:numPr>
        <w:tabs>
          <w:tab w:val="left" w:pos="736"/>
        </w:tabs>
        <w:ind w:firstLine="420"/>
        <w:jc w:val="both"/>
        <w:rPr>
          <w:color w:val="auto"/>
          <w:sz w:val="21"/>
          <w:szCs w:val="21"/>
        </w:rPr>
      </w:pPr>
      <w:bookmarkStart w:id="2214" w:name="bookmark1923"/>
      <w:bookmarkEnd w:id="2214"/>
      <w:r>
        <w:rPr>
          <w:rFonts w:hint="eastAsia"/>
          <w:color w:val="auto"/>
          <w:sz w:val="21"/>
          <w:szCs w:val="21"/>
        </w:rPr>
        <w:t>在本担保有效期内，因承包人违反合同约定的义务给你方造成经济损失时，我方在收到你方以书面形式提出的在担保金额内的赔偿要求后，无条件地在7天内予以支付。</w:t>
      </w:r>
    </w:p>
    <w:p w14:paraId="6822C675">
      <w:pPr>
        <w:pStyle w:val="95"/>
        <w:numPr>
          <w:ilvl w:val="0"/>
          <w:numId w:val="38"/>
        </w:numPr>
        <w:tabs>
          <w:tab w:val="left" w:pos="740"/>
        </w:tabs>
        <w:ind w:firstLine="420"/>
        <w:jc w:val="both"/>
        <w:rPr>
          <w:color w:val="auto"/>
          <w:sz w:val="21"/>
          <w:szCs w:val="21"/>
        </w:rPr>
      </w:pPr>
      <w:bookmarkStart w:id="2215" w:name="bookmark1924"/>
      <w:bookmarkEnd w:id="2215"/>
      <w:r>
        <w:rPr>
          <w:rFonts w:hint="eastAsia"/>
          <w:color w:val="auto"/>
          <w:sz w:val="21"/>
          <w:szCs w:val="21"/>
        </w:rPr>
        <w:t>发包人和承包人按《通用合同条款》第15条变更合同时，我方承担本担保规定的义务不变。</w:t>
      </w:r>
    </w:p>
    <w:p w14:paraId="195130B1">
      <w:pPr>
        <w:pStyle w:val="95"/>
        <w:tabs>
          <w:tab w:val="left" w:pos="740"/>
        </w:tabs>
        <w:ind w:firstLine="0"/>
        <w:jc w:val="both"/>
        <w:rPr>
          <w:color w:val="auto"/>
          <w:sz w:val="21"/>
          <w:szCs w:val="21"/>
        </w:rPr>
      </w:pPr>
    </w:p>
    <w:p w14:paraId="3DF9EFB0">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担  保 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（盖单位章） </w:t>
      </w:r>
    </w:p>
    <w:p w14:paraId="2CEAAAB3">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定代表人(或委托代理人)：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（签字）</w:t>
      </w:r>
    </w:p>
    <w:p w14:paraId="6D8F33B2">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地       址：</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3F8FA734">
      <w:pPr>
        <w:pStyle w:val="96"/>
        <w:spacing w:line="360" w:lineRule="auto"/>
        <w:jc w:val="center"/>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 xml:space="preserve">                                邮政编码：</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p>
    <w:p w14:paraId="147DA80A">
      <w:pPr>
        <w:pStyle w:val="96"/>
        <w:spacing w:line="360" w:lineRule="auto"/>
        <w:jc w:val="center"/>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 xml:space="preserve">                                电    话：</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p>
    <w:p w14:paraId="60384467">
      <w:pPr>
        <w:pStyle w:val="96"/>
        <w:spacing w:line="360" w:lineRule="auto"/>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传    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4F5368C6">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日     </w:t>
      </w:r>
    </w:p>
    <w:p w14:paraId="43EF12F8">
      <w:pPr>
        <w:pStyle w:val="96"/>
        <w:rPr>
          <w:rFonts w:ascii="宋体" w:hAnsi="宋体" w:eastAsia="宋体" w:cs="宋体"/>
          <w:color w:val="auto"/>
          <w:sz w:val="21"/>
          <w:szCs w:val="21"/>
          <w:lang w:val="zh-CN" w:eastAsia="zh-CN" w:bidi="zh-CN"/>
        </w:rPr>
      </w:pPr>
    </w:p>
    <w:p w14:paraId="4B4E6426">
      <w:pPr>
        <w:pStyle w:val="96"/>
        <w:rPr>
          <w:rFonts w:ascii="宋体" w:hAnsi="宋体" w:eastAsia="宋体" w:cs="宋体"/>
          <w:color w:val="auto"/>
          <w:sz w:val="21"/>
          <w:szCs w:val="21"/>
          <w:lang w:val="zh-CN" w:eastAsia="zh-CN" w:bidi="zh-CN"/>
        </w:rPr>
      </w:pPr>
    </w:p>
    <w:p w14:paraId="4115ACFE">
      <w:pPr>
        <w:pStyle w:val="96"/>
        <w:rPr>
          <w:rFonts w:ascii="宋体" w:hAnsi="宋体" w:eastAsia="宋体" w:cs="宋体"/>
          <w:color w:val="auto"/>
          <w:sz w:val="21"/>
          <w:szCs w:val="21"/>
          <w:lang w:val="zh-CN" w:eastAsia="zh-CN" w:bidi="zh-CN"/>
        </w:rPr>
      </w:pPr>
    </w:p>
    <w:p w14:paraId="3F08B8CA">
      <w:pPr>
        <w:pStyle w:val="96"/>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注：</w:t>
      </w:r>
    </w:p>
    <w:p w14:paraId="7177C03C">
      <w:pPr>
        <w:pStyle w:val="95"/>
        <w:numPr>
          <w:ilvl w:val="0"/>
          <w:numId w:val="39"/>
        </w:numPr>
        <w:tabs>
          <w:tab w:val="left" w:pos="733"/>
        </w:tabs>
        <w:spacing w:line="354" w:lineRule="exact"/>
        <w:ind w:firstLine="420"/>
        <w:jc w:val="both"/>
        <w:rPr>
          <w:color w:val="auto"/>
          <w:sz w:val="21"/>
          <w:szCs w:val="21"/>
        </w:rPr>
      </w:pPr>
      <w:bookmarkStart w:id="2216" w:name="bookmark1925"/>
      <w:bookmarkEnd w:id="2216"/>
      <w:r>
        <w:rPr>
          <w:rFonts w:hint="eastAsia"/>
          <w:color w:val="auto"/>
          <w:sz w:val="21"/>
          <w:szCs w:val="21"/>
        </w:rPr>
        <w:t>担保人必须是投标人单位基本账户的开户银行。</w:t>
      </w:r>
    </w:p>
    <w:p w14:paraId="74E0F188">
      <w:pPr>
        <w:pStyle w:val="95"/>
        <w:numPr>
          <w:ilvl w:val="0"/>
          <w:numId w:val="39"/>
        </w:numPr>
        <w:tabs>
          <w:tab w:val="left" w:pos="750"/>
        </w:tabs>
        <w:spacing w:line="354" w:lineRule="exact"/>
        <w:ind w:firstLine="420"/>
        <w:jc w:val="both"/>
        <w:rPr>
          <w:color w:val="auto"/>
          <w:sz w:val="21"/>
          <w:szCs w:val="21"/>
        </w:rPr>
      </w:pPr>
      <w:bookmarkStart w:id="2217" w:name="bookmark1926"/>
      <w:bookmarkEnd w:id="2217"/>
      <w:r>
        <w:rPr>
          <w:rFonts w:hint="eastAsia"/>
          <w:color w:val="auto"/>
          <w:sz w:val="21"/>
          <w:szCs w:val="21"/>
        </w:rPr>
        <w:t>委托代理人应附授权委托书。</w:t>
      </w:r>
      <w:bookmarkStart w:id="2218" w:name="bookmark1927"/>
      <w:bookmarkStart w:id="2219" w:name="bookmark1928"/>
      <w:bookmarkStart w:id="2220" w:name="_Toc4188"/>
      <w:bookmarkStart w:id="2221" w:name="bookmark1929"/>
      <w:bookmarkStart w:id="2222" w:name="_Toc21423"/>
    </w:p>
    <w:p w14:paraId="34AB43FB">
      <w:pPr>
        <w:pStyle w:val="96"/>
        <w:rPr>
          <w:rFonts w:ascii="宋体" w:hAnsi="宋体" w:eastAsia="宋体" w:cs="宋体"/>
          <w:b/>
          <w:bCs/>
          <w:color w:val="auto"/>
          <w:sz w:val="28"/>
          <w:szCs w:val="28"/>
          <w:lang w:eastAsia="zh-CN"/>
        </w:rPr>
      </w:pPr>
      <w:bookmarkStart w:id="2223" w:name="_Toc25045"/>
      <w:r>
        <w:rPr>
          <w:rFonts w:hint="eastAsia" w:ascii="宋体" w:hAnsi="宋体" w:eastAsia="宋体" w:cs="宋体"/>
          <w:b/>
          <w:bCs/>
          <w:color w:val="auto"/>
          <w:sz w:val="21"/>
          <w:szCs w:val="21"/>
          <w:lang w:eastAsia="zh-CN"/>
        </w:rPr>
        <w:br w:type="page"/>
      </w:r>
      <w:r>
        <w:rPr>
          <w:rFonts w:hint="eastAsia" w:ascii="宋体" w:hAnsi="宋体" w:eastAsia="宋体" w:cs="宋体"/>
          <w:b/>
          <w:bCs/>
          <w:color w:val="auto"/>
          <w:sz w:val="28"/>
          <w:szCs w:val="28"/>
          <w:lang w:eastAsia="zh-CN"/>
        </w:rPr>
        <w:t>附件三：预付款担保函</w:t>
      </w:r>
      <w:bookmarkEnd w:id="2218"/>
      <w:bookmarkEnd w:id="2219"/>
      <w:bookmarkEnd w:id="2220"/>
      <w:bookmarkEnd w:id="2221"/>
      <w:bookmarkEnd w:id="2222"/>
      <w:bookmarkEnd w:id="2223"/>
    </w:p>
    <w:p w14:paraId="3E452988">
      <w:pPr>
        <w:pStyle w:val="96"/>
        <w:rPr>
          <w:rFonts w:ascii="宋体" w:hAnsi="宋体" w:eastAsia="宋体" w:cs="宋体"/>
          <w:b/>
          <w:bCs/>
          <w:color w:val="auto"/>
          <w:sz w:val="28"/>
          <w:szCs w:val="28"/>
          <w:lang w:eastAsia="zh-CN"/>
        </w:rPr>
      </w:pPr>
    </w:p>
    <w:p w14:paraId="62E0EA3B">
      <w:pPr>
        <w:pStyle w:val="96"/>
        <w:jc w:val="center"/>
        <w:rPr>
          <w:rFonts w:ascii="宋体" w:hAnsi="宋体" w:eastAsia="宋体" w:cs="宋体"/>
          <w:b/>
          <w:color w:val="auto"/>
          <w:lang w:eastAsia="zh-CN"/>
        </w:rPr>
      </w:pPr>
      <w:bookmarkStart w:id="2224" w:name="bookmark1930"/>
      <w:bookmarkStart w:id="2225" w:name="bookmark1932"/>
      <w:bookmarkStart w:id="2226" w:name="bookmark1931"/>
      <w:r>
        <w:rPr>
          <w:rFonts w:hint="eastAsia" w:ascii="宋体" w:hAnsi="宋体" w:eastAsia="宋体" w:cs="宋体"/>
          <w:b/>
          <w:color w:val="auto"/>
          <w:lang w:eastAsia="zh-CN"/>
        </w:rPr>
        <w:t>预付款担保函</w:t>
      </w:r>
      <w:bookmarkEnd w:id="2224"/>
      <w:bookmarkEnd w:id="2225"/>
      <w:bookmarkEnd w:id="2226"/>
    </w:p>
    <w:p w14:paraId="5A3D278F">
      <w:pPr>
        <w:pStyle w:val="96"/>
        <w:jc w:val="center"/>
        <w:rPr>
          <w:rFonts w:ascii="宋体" w:hAnsi="宋体" w:eastAsia="宋体" w:cs="宋体"/>
          <w:b/>
          <w:color w:val="auto"/>
          <w:lang w:eastAsia="zh-CN"/>
        </w:rPr>
      </w:pPr>
    </w:p>
    <w:p w14:paraId="0CF7E0B9">
      <w:pPr>
        <w:pStyle w:val="96"/>
        <w:jc w:val="center"/>
        <w:rPr>
          <w:rFonts w:ascii="宋体" w:hAnsi="宋体" w:eastAsia="宋体" w:cs="宋体"/>
          <w:b/>
          <w:color w:val="auto"/>
          <w:lang w:eastAsia="zh-CN"/>
        </w:rPr>
      </w:pPr>
    </w:p>
    <w:p w14:paraId="5C6F0292">
      <w:pPr>
        <w:pStyle w:val="95"/>
        <w:tabs>
          <w:tab w:val="left" w:pos="1870"/>
        </w:tabs>
        <w:ind w:firstLine="0"/>
        <w:jc w:val="both"/>
        <w:rPr>
          <w:color w:val="auto"/>
          <w:sz w:val="21"/>
          <w:szCs w:val="21"/>
        </w:rPr>
      </w:pPr>
      <w:r>
        <w:rPr>
          <w:rFonts w:hint="eastAsia"/>
          <w:color w:val="auto"/>
          <w:sz w:val="21"/>
          <w:szCs w:val="21"/>
          <w:u w:val="single"/>
        </w:rPr>
        <w:tab/>
      </w:r>
      <w:r>
        <w:rPr>
          <w:rFonts w:hint="eastAsia"/>
          <w:color w:val="auto"/>
          <w:sz w:val="21"/>
          <w:szCs w:val="21"/>
        </w:rPr>
        <w:t>（发包人名称）:</w:t>
      </w:r>
    </w:p>
    <w:p w14:paraId="64B90EA0">
      <w:pPr>
        <w:pStyle w:val="95"/>
        <w:tabs>
          <w:tab w:val="left" w:pos="1870"/>
          <w:tab w:val="left" w:pos="2707"/>
          <w:tab w:val="left" w:pos="5004"/>
          <w:tab w:val="left" w:pos="5033"/>
          <w:tab w:val="left" w:pos="6163"/>
          <w:tab w:val="left" w:pos="7322"/>
          <w:tab w:val="left" w:pos="8333"/>
        </w:tabs>
        <w:ind w:firstLine="420"/>
        <w:jc w:val="both"/>
        <w:rPr>
          <w:color w:val="auto"/>
          <w:sz w:val="21"/>
          <w:szCs w:val="21"/>
        </w:rPr>
      </w:pPr>
      <w:r>
        <w:rPr>
          <w:rFonts w:hint="eastAsia"/>
          <w:color w:val="auto"/>
          <w:sz w:val="21"/>
          <w:szCs w:val="21"/>
        </w:rPr>
        <w:t>根据</w:t>
      </w:r>
      <w:r>
        <w:rPr>
          <w:rFonts w:hint="eastAsia"/>
          <w:color w:val="auto"/>
          <w:sz w:val="21"/>
          <w:szCs w:val="21"/>
          <w:u w:val="single"/>
        </w:rPr>
        <w:tab/>
      </w:r>
      <w:r>
        <w:rPr>
          <w:rFonts w:hint="eastAsia"/>
          <w:color w:val="auto"/>
          <w:sz w:val="21"/>
          <w:szCs w:val="21"/>
        </w:rPr>
        <w:t>（承包人名称，以下称“承包人”）与</w:t>
      </w:r>
      <w:r>
        <w:rPr>
          <w:rFonts w:hint="eastAsia"/>
          <w:color w:val="auto"/>
          <w:sz w:val="21"/>
          <w:szCs w:val="21"/>
          <w:u w:val="single"/>
        </w:rPr>
        <w:tab/>
      </w:r>
      <w:r>
        <w:rPr>
          <w:rFonts w:hint="eastAsia"/>
          <w:color w:val="auto"/>
          <w:sz w:val="21"/>
          <w:szCs w:val="21"/>
        </w:rPr>
        <w:t xml:space="preserve"> （发包人名称，以下简称“发包人”）于</w:t>
      </w:r>
      <w:r>
        <w:rPr>
          <w:rFonts w:hint="eastAsia"/>
          <w:color w:val="auto"/>
          <w:sz w:val="21"/>
          <w:szCs w:val="21"/>
          <w:u w:val="single"/>
        </w:rPr>
        <w:tab/>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 xml:space="preserve">日签订的 </w:t>
      </w:r>
      <w:r>
        <w:rPr>
          <w:rFonts w:hint="eastAsia"/>
          <w:color w:val="auto"/>
          <w:sz w:val="21"/>
          <w:szCs w:val="21"/>
          <w:u w:val="single"/>
        </w:rPr>
        <w:tab/>
      </w:r>
      <w:r>
        <w:rPr>
          <w:rFonts w:hint="eastAsia"/>
          <w:color w:val="auto"/>
          <w:sz w:val="21"/>
          <w:szCs w:val="21"/>
        </w:rPr>
        <w:t>（项目名称）</w:t>
      </w:r>
      <w:r>
        <w:rPr>
          <w:rFonts w:hint="eastAsia"/>
          <w:color w:val="auto"/>
          <w:sz w:val="21"/>
          <w:szCs w:val="21"/>
          <w:u w:val="single"/>
          <w:lang w:val="en-US"/>
        </w:rPr>
        <w:t xml:space="preserve">    </w:t>
      </w:r>
      <w:r>
        <w:rPr>
          <w:rFonts w:hint="eastAsia"/>
          <w:color w:val="auto"/>
          <w:sz w:val="21"/>
          <w:szCs w:val="21"/>
        </w:rPr>
        <w:t>（标段名称）合同协议书，承包人按约定的金额向发包人提交一份预付款担保，即有权得到发包人支付相等金额的预付款。 我方愿意就你方提供给承包人的预付款提供担保。</w:t>
      </w:r>
    </w:p>
    <w:p w14:paraId="31F7D3A9">
      <w:pPr>
        <w:pStyle w:val="95"/>
        <w:numPr>
          <w:ilvl w:val="0"/>
          <w:numId w:val="40"/>
        </w:numPr>
        <w:tabs>
          <w:tab w:val="left" w:pos="719"/>
          <w:tab w:val="left" w:pos="4879"/>
          <w:tab w:val="left" w:pos="7402"/>
        </w:tabs>
        <w:ind w:firstLine="420"/>
        <w:jc w:val="both"/>
        <w:rPr>
          <w:color w:val="auto"/>
          <w:sz w:val="21"/>
          <w:szCs w:val="21"/>
        </w:rPr>
      </w:pPr>
      <w:bookmarkStart w:id="2227" w:name="bookmark1933"/>
      <w:bookmarkEnd w:id="2227"/>
      <w:r>
        <w:rPr>
          <w:rFonts w:hint="eastAsia"/>
          <w:color w:val="auto"/>
          <w:sz w:val="21"/>
          <w:szCs w:val="21"/>
        </w:rPr>
        <w:t>担保金额人民币（大写）</w:t>
      </w:r>
      <w:r>
        <w:rPr>
          <w:rFonts w:hint="eastAsia"/>
          <w:color w:val="auto"/>
          <w:sz w:val="21"/>
          <w:szCs w:val="21"/>
          <w:u w:val="single"/>
        </w:rPr>
        <w:tab/>
      </w:r>
      <w:r>
        <w:rPr>
          <w:rFonts w:hint="eastAsia"/>
          <w:color w:val="auto"/>
          <w:sz w:val="21"/>
          <w:szCs w:val="21"/>
        </w:rPr>
        <w:t>元（¥</w:t>
      </w:r>
      <w:r>
        <w:rPr>
          <w:rFonts w:hint="eastAsia"/>
          <w:color w:val="auto"/>
          <w:sz w:val="21"/>
          <w:szCs w:val="21"/>
          <w:u w:val="single"/>
        </w:rPr>
        <w:tab/>
      </w:r>
      <w:r>
        <w:rPr>
          <w:rFonts w:hint="eastAsia"/>
          <w:color w:val="auto"/>
          <w:sz w:val="21"/>
          <w:szCs w:val="21"/>
          <w:lang w:val="en-US" w:bidi="en-US"/>
        </w:rPr>
        <w:t>）</w:t>
      </w:r>
      <w:r>
        <w:rPr>
          <w:rFonts w:hint="eastAsia"/>
          <w:color w:val="auto"/>
          <w:sz w:val="21"/>
          <w:szCs w:val="21"/>
          <w:vertAlign w:val="subscript"/>
          <w:lang w:val="en-US" w:bidi="en-US"/>
        </w:rPr>
        <w:t>o</w:t>
      </w:r>
    </w:p>
    <w:p w14:paraId="5BA985CD">
      <w:pPr>
        <w:pStyle w:val="95"/>
        <w:numPr>
          <w:ilvl w:val="0"/>
          <w:numId w:val="40"/>
        </w:numPr>
        <w:tabs>
          <w:tab w:val="left" w:pos="726"/>
        </w:tabs>
        <w:ind w:firstLine="420"/>
        <w:jc w:val="both"/>
        <w:rPr>
          <w:color w:val="auto"/>
          <w:sz w:val="21"/>
          <w:szCs w:val="21"/>
        </w:rPr>
      </w:pPr>
      <w:bookmarkStart w:id="2228" w:name="bookmark1934"/>
      <w:bookmarkEnd w:id="2228"/>
      <w:r>
        <w:rPr>
          <w:rFonts w:hint="eastAsia"/>
          <w:color w:val="auto"/>
          <w:sz w:val="21"/>
          <w:szCs w:val="21"/>
        </w:rPr>
        <w:t>担保有效期自预付款支付给承包人起生效，至发包人签发的进度付款证书说明已完全扣清止。</w:t>
      </w:r>
    </w:p>
    <w:p w14:paraId="565F35A8">
      <w:pPr>
        <w:pStyle w:val="95"/>
        <w:numPr>
          <w:ilvl w:val="0"/>
          <w:numId w:val="40"/>
        </w:numPr>
        <w:tabs>
          <w:tab w:val="left" w:pos="731"/>
        </w:tabs>
        <w:ind w:firstLine="420"/>
        <w:jc w:val="both"/>
        <w:rPr>
          <w:color w:val="auto"/>
          <w:sz w:val="21"/>
          <w:szCs w:val="21"/>
        </w:rPr>
      </w:pPr>
      <w:bookmarkStart w:id="2229" w:name="bookmark1935"/>
      <w:bookmarkEnd w:id="2229"/>
      <w:r>
        <w:rPr>
          <w:rFonts w:hint="eastAsia"/>
          <w:color w:val="auto"/>
          <w:sz w:val="21"/>
          <w:szCs w:val="21"/>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2230" w:name="bookmark1936"/>
      <w:bookmarkEnd w:id="2230"/>
    </w:p>
    <w:p w14:paraId="40316A07">
      <w:pPr>
        <w:pStyle w:val="95"/>
        <w:numPr>
          <w:ilvl w:val="0"/>
          <w:numId w:val="40"/>
        </w:numPr>
        <w:tabs>
          <w:tab w:val="left" w:pos="731"/>
        </w:tabs>
        <w:ind w:firstLine="420"/>
        <w:jc w:val="both"/>
        <w:rPr>
          <w:color w:val="auto"/>
          <w:sz w:val="21"/>
          <w:szCs w:val="21"/>
        </w:rPr>
      </w:pPr>
      <w:r>
        <w:rPr>
          <w:rFonts w:hint="eastAsia"/>
          <w:color w:val="auto"/>
          <w:sz w:val="21"/>
          <w:szCs w:val="21"/>
        </w:rPr>
        <w:t>发包人和承包人按《通用合同条款》第15条变更合同时，我方承担本担保规定的义务不变。</w:t>
      </w:r>
    </w:p>
    <w:p w14:paraId="046DB99A">
      <w:pPr>
        <w:pStyle w:val="95"/>
        <w:tabs>
          <w:tab w:val="left" w:pos="731"/>
        </w:tabs>
        <w:ind w:firstLine="0"/>
        <w:jc w:val="both"/>
        <w:rPr>
          <w:color w:val="auto"/>
          <w:sz w:val="21"/>
          <w:szCs w:val="21"/>
        </w:rPr>
      </w:pPr>
    </w:p>
    <w:p w14:paraId="00244F40">
      <w:pPr>
        <w:pStyle w:val="95"/>
        <w:tabs>
          <w:tab w:val="left" w:pos="731"/>
        </w:tabs>
        <w:ind w:left="420" w:firstLine="0"/>
        <w:jc w:val="both"/>
        <w:rPr>
          <w:color w:val="auto"/>
          <w:sz w:val="21"/>
          <w:szCs w:val="21"/>
        </w:rPr>
      </w:pPr>
    </w:p>
    <w:p w14:paraId="455D00C4">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担  保 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（盖单位公章） </w:t>
      </w:r>
    </w:p>
    <w:p w14:paraId="7EE6B63B">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法定代表人(或委托代理人)：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（签字）</w:t>
      </w:r>
    </w:p>
    <w:p w14:paraId="6738EA1E">
      <w:pPr>
        <w:pStyle w:val="96"/>
        <w:spacing w:line="360" w:lineRule="auto"/>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地址：</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6C495659">
      <w:pPr>
        <w:pStyle w:val="96"/>
        <w:spacing w:line="360" w:lineRule="auto"/>
        <w:ind w:firstLine="3360" w:firstLineChars="1600"/>
        <w:jc w:val="both"/>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52EDB9BA">
      <w:pPr>
        <w:pStyle w:val="96"/>
        <w:spacing w:line="360" w:lineRule="auto"/>
        <w:ind w:firstLine="3360" w:firstLineChars="160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电话：</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p>
    <w:p w14:paraId="1FD7B93A">
      <w:pPr>
        <w:pStyle w:val="96"/>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日     </w:t>
      </w:r>
    </w:p>
    <w:p w14:paraId="39FB983A">
      <w:pPr>
        <w:pStyle w:val="95"/>
        <w:tabs>
          <w:tab w:val="left" w:pos="726"/>
        </w:tabs>
        <w:spacing w:line="355" w:lineRule="exact"/>
        <w:ind w:firstLine="0"/>
        <w:jc w:val="both"/>
        <w:rPr>
          <w:color w:val="auto"/>
          <w:sz w:val="21"/>
          <w:szCs w:val="21"/>
        </w:rPr>
      </w:pPr>
    </w:p>
    <w:p w14:paraId="22156600">
      <w:pPr>
        <w:pStyle w:val="95"/>
        <w:numPr>
          <w:ilvl w:val="255"/>
          <w:numId w:val="0"/>
        </w:numPr>
        <w:tabs>
          <w:tab w:val="left" w:pos="726"/>
        </w:tabs>
        <w:spacing w:line="355" w:lineRule="exact"/>
        <w:jc w:val="both"/>
        <w:rPr>
          <w:color w:val="auto"/>
          <w:sz w:val="21"/>
          <w:szCs w:val="21"/>
        </w:rPr>
      </w:pPr>
      <w:r>
        <w:rPr>
          <w:rFonts w:hint="eastAsia"/>
          <w:color w:val="auto"/>
          <w:sz w:val="21"/>
          <w:szCs w:val="21"/>
        </w:rPr>
        <w:t>注：</w:t>
      </w:r>
      <w:bookmarkStart w:id="2231" w:name="bookmark1937"/>
      <w:bookmarkEnd w:id="2231"/>
      <w:r>
        <w:rPr>
          <w:rFonts w:hint="eastAsia"/>
          <w:color w:val="auto"/>
          <w:sz w:val="21"/>
          <w:szCs w:val="21"/>
        </w:rPr>
        <w:t>担保人必须是投标人单位基本账户的开户银行。</w:t>
      </w:r>
      <w:bookmarkStart w:id="2232" w:name="bookmark1938"/>
      <w:bookmarkEnd w:id="2232"/>
      <w:r>
        <w:rPr>
          <w:rFonts w:hint="eastAsia"/>
          <w:color w:val="auto"/>
          <w:sz w:val="21"/>
          <w:szCs w:val="21"/>
        </w:rPr>
        <w:t>委托代理人应附授权委托书。</w:t>
      </w:r>
    </w:p>
    <w:p w14:paraId="626EA488">
      <w:pPr>
        <w:pStyle w:val="96"/>
        <w:rPr>
          <w:rFonts w:ascii="宋体" w:hAnsi="宋体" w:eastAsia="宋体" w:cs="宋体"/>
          <w:b/>
          <w:bCs/>
          <w:color w:val="auto"/>
          <w:sz w:val="28"/>
          <w:szCs w:val="28"/>
          <w:lang w:eastAsia="zh-CN"/>
        </w:rPr>
      </w:pPr>
      <w:r>
        <w:rPr>
          <w:rFonts w:hint="eastAsia" w:ascii="宋体" w:hAnsi="宋体" w:eastAsia="宋体" w:cs="宋体"/>
          <w:color w:val="auto"/>
          <w:lang w:eastAsia="zh-CN"/>
        </w:rPr>
        <w:br w:type="page"/>
      </w:r>
      <w:r>
        <w:rPr>
          <w:rFonts w:hint="eastAsia" w:ascii="宋体" w:hAnsi="宋体" w:eastAsia="宋体" w:cs="宋体"/>
          <w:b/>
          <w:bCs/>
          <w:color w:val="auto"/>
          <w:sz w:val="28"/>
          <w:szCs w:val="28"/>
          <w:lang w:eastAsia="zh-CN"/>
        </w:rPr>
        <w:t>附件四：关于实行农民工工资支付专用账户管理的补充协议</w:t>
      </w:r>
    </w:p>
    <w:p w14:paraId="44AD78A8">
      <w:pPr>
        <w:pStyle w:val="96"/>
        <w:rPr>
          <w:rFonts w:ascii="宋体" w:hAnsi="宋体" w:eastAsia="宋体" w:cs="宋体"/>
          <w:color w:val="auto"/>
          <w:lang w:eastAsia="zh-CN"/>
        </w:rPr>
      </w:pPr>
    </w:p>
    <w:p w14:paraId="62EC6E58">
      <w:pPr>
        <w:pStyle w:val="96"/>
        <w:jc w:val="center"/>
        <w:rPr>
          <w:rFonts w:ascii="宋体" w:hAnsi="宋体" w:eastAsia="宋体" w:cs="宋体"/>
          <w:b/>
          <w:bCs/>
          <w:color w:val="auto"/>
          <w:lang w:eastAsia="zh-CN"/>
        </w:rPr>
      </w:pPr>
      <w:r>
        <w:rPr>
          <w:rFonts w:hint="eastAsia" w:ascii="宋体" w:hAnsi="宋体" w:eastAsia="宋体" w:cs="宋体"/>
          <w:b/>
          <w:bCs/>
          <w:color w:val="auto"/>
          <w:lang w:eastAsia="zh-CN"/>
        </w:rPr>
        <w:t>关于实行农民工工资支付专用账户管理的补充协议</w:t>
      </w:r>
    </w:p>
    <w:p w14:paraId="09FF11CB">
      <w:pPr>
        <w:pStyle w:val="105"/>
        <w:tabs>
          <w:tab w:val="left" w:pos="1590"/>
          <w:tab w:val="left" w:pos="2648"/>
          <w:tab w:val="left" w:pos="3704"/>
          <w:tab w:val="left" w:pos="5089"/>
          <w:tab w:val="left" w:pos="6018"/>
          <w:tab w:val="left" w:pos="7074"/>
          <w:tab w:val="left" w:pos="8132"/>
        </w:tabs>
        <w:rPr>
          <w:color w:val="auto"/>
          <w:sz w:val="21"/>
          <w:szCs w:val="21"/>
        </w:rPr>
      </w:pPr>
    </w:p>
    <w:p w14:paraId="0E6B40CC">
      <w:pPr>
        <w:pStyle w:val="105"/>
        <w:tabs>
          <w:tab w:val="left" w:pos="1590"/>
          <w:tab w:val="left" w:pos="2648"/>
          <w:tab w:val="left" w:pos="3704"/>
          <w:tab w:val="left" w:pos="5089"/>
          <w:tab w:val="left" w:pos="6018"/>
          <w:tab w:val="left" w:pos="7074"/>
          <w:tab w:val="left" w:pos="8132"/>
        </w:tabs>
        <w:ind w:firstLine="403"/>
        <w:jc w:val="left"/>
        <w:rPr>
          <w:color w:val="auto"/>
          <w:sz w:val="21"/>
          <w:szCs w:val="21"/>
        </w:rPr>
      </w:pPr>
      <w:r>
        <w:rPr>
          <w:rFonts w:hint="eastAsia"/>
          <w:color w:val="auto"/>
          <w:sz w:val="21"/>
          <w:szCs w:val="21"/>
        </w:rPr>
        <w:t xml:space="preserve">根据《国务院办公厅关于全面治理拖欠农民工工资问题的意见》（国办发【2016】1号）、《国务院办公厅关于印发保障农民工工资支付工作考核办法的通知》（国办发〔2017〕96 号）、《关于优先解决政府工程拖欠农民工工资问题的通知》（财建【2017】623号）、《广西壮族自治区财政厅关于印发加强政府工程农民工工资支付工作指导意见的通知》（桂财 社【2018】62号）、《关于全面治理拖欠农民工工资问题的实施意见》（桂政办发〔2016〕113号）和《关于印发广西壮族自治区工程建设领域工人工资支付专用账户管理办法的通知》（桂薪联发〔2016〕1号），为进一步明确双方的权利和义务，经双方协调，一致同意签订本补充协议。具体内容如下： </w:t>
      </w:r>
    </w:p>
    <w:p w14:paraId="027DAF6A">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一、加强农民工劳动合同管理 </w:t>
      </w:r>
    </w:p>
    <w:p w14:paraId="57051AB9">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承包人应与农民工签订劳动合同，实行先签订劳动合同后进场施工制度，建立职工名册并办理劳动用工备案。 </w:t>
      </w:r>
    </w:p>
    <w:p w14:paraId="4290AACC">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承包人与农民工终止或解除劳动关系时，要及时结清工资并出具证明。 </w:t>
      </w:r>
    </w:p>
    <w:p w14:paraId="677BFCD6">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承包人要按月将用工情况向用工项目所在地人力资源社会保障部门备案。相关劳动合同在合同终止或解除劳动关系后至少保存两年以上备查。 </w:t>
      </w:r>
    </w:p>
    <w:p w14:paraId="16684905">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发包人不定期对相关劳动合同及相关材料核查、监督，承包人要无条件配合核查、监督。 </w:t>
      </w:r>
    </w:p>
    <w:p w14:paraId="1C643957">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二、实行农民工实名制管理 </w:t>
      </w:r>
    </w:p>
    <w:p w14:paraId="1A9995E0">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承包人要实行农民工实名制管理，编制进场施工农民工用工手册，记录农民工身份、劳动考勤和工资支付等信息，相关材料、凭证至少保存两年以上备查。 </w:t>
      </w:r>
    </w:p>
    <w:p w14:paraId="69218F30">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发包人不定期对相关材料及凭证核查、监督，承包人要无条件配合核查、监督。</w:t>
      </w:r>
    </w:p>
    <w:p w14:paraId="490E71D1">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三、开立农民工工资专用账户 </w:t>
      </w:r>
    </w:p>
    <w:p w14:paraId="7E0DA2BE">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承包人要在本地银行开设农民工工资支付专用账户，实行工人工资和其他工程款分账户管理、拨付。在中间结算工程款时，承包人将人工费用数额单列，优先拨付农民工工 资，专用账户专门用于发放农民工工资。 </w:t>
      </w:r>
    </w:p>
    <w:p w14:paraId="2A2F4203">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专用账户开立后，承包人要向当地人力资源社会保障部门和发包人备案。 </w:t>
      </w:r>
    </w:p>
    <w:p w14:paraId="31DB314E">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因发包人未将农民工工资拨付到专用账户的，出现拖欠农民工工资问题时，由发包人承担农民工工资的连带清偿责任。 </w:t>
      </w:r>
    </w:p>
    <w:p w14:paraId="7F3B47AE">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因承包人未将农民工工资及时拨付的，出现拖欠农民工工资问题时，由承包人承担农民工工资清偿责任。 </w:t>
      </w:r>
    </w:p>
    <w:p w14:paraId="75540D0B">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四、推行银行代发工资制度 </w:t>
      </w:r>
    </w:p>
    <w:p w14:paraId="6F987EBF">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对具备代发工资条件的农民工，承包人需为农民工办理实名制工资支付银行卡，按月考核工作量并编制工资支付表，经农民工本人签字确认后委托银行将工资直接划入农民工个人工资账户。 </w:t>
      </w:r>
    </w:p>
    <w:p w14:paraId="4B84DE8B">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对不具备代发工资条件的农民工，承包人需按月考核工作量并编制工资支付表，并经农民工本人签字确认。严禁将工资通过不具备用工主体资格的组织和个人进行转发放。 </w:t>
      </w:r>
    </w:p>
    <w:p w14:paraId="28CD4658">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承包人按期将工人工资支付明细表报发包人和当地劳动保障监察部门备案，并将农民工签字确认的工资支付记录至少保存两年以上备查。 </w:t>
      </w:r>
    </w:p>
    <w:p w14:paraId="07F69183">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发包人不定期对相关材料及凭证核查、监督，承包人要无条件配合核查、监督。</w:t>
      </w:r>
    </w:p>
    <w:p w14:paraId="5F7F2172">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五、本补充协议与原合同具有同等法律效力。 </w:t>
      </w:r>
    </w:p>
    <w:p w14:paraId="0AE841C4">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六、本协议签字盖章后生效，共陆份，合同三方方各执两份。</w:t>
      </w:r>
    </w:p>
    <w:p w14:paraId="0B500443">
      <w:pPr>
        <w:pStyle w:val="105"/>
        <w:tabs>
          <w:tab w:val="left" w:pos="1590"/>
          <w:tab w:val="left" w:pos="2648"/>
          <w:tab w:val="left" w:pos="3704"/>
          <w:tab w:val="left" w:pos="5089"/>
          <w:tab w:val="left" w:pos="6018"/>
          <w:tab w:val="left" w:pos="7074"/>
          <w:tab w:val="left" w:pos="8132"/>
        </w:tabs>
        <w:ind w:firstLine="403"/>
        <w:rPr>
          <w:color w:val="auto"/>
          <w:sz w:val="21"/>
          <w:szCs w:val="21"/>
        </w:rPr>
      </w:pPr>
    </w:p>
    <w:p w14:paraId="3A712962">
      <w:pPr>
        <w:pStyle w:val="106"/>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val="zh-CN" w:eastAsia="zh-CN" w:bidi="zh-CN"/>
        </w:rPr>
        <w:t xml:space="preserve">发包人： （盖单位公章）   </w:t>
      </w:r>
      <w:r>
        <w:rPr>
          <w:rFonts w:hint="eastAsia" w:ascii="宋体" w:hAnsi="宋体" w:eastAsia="宋体" w:cs="宋体"/>
          <w:color w:val="auto"/>
          <w:sz w:val="21"/>
          <w:szCs w:val="21"/>
          <w:lang w:eastAsia="zh-CN"/>
        </w:rPr>
        <w:t xml:space="preserve">       </w:t>
      </w:r>
    </w:p>
    <w:p w14:paraId="10BE60AF">
      <w:pPr>
        <w:pStyle w:val="105"/>
        <w:tabs>
          <w:tab w:val="left" w:pos="1590"/>
          <w:tab w:val="left" w:pos="2648"/>
          <w:tab w:val="left" w:pos="3704"/>
          <w:tab w:val="left" w:pos="5089"/>
          <w:tab w:val="left" w:pos="6018"/>
          <w:tab w:val="left" w:pos="7074"/>
          <w:tab w:val="left" w:pos="8132"/>
        </w:tabs>
        <w:ind w:firstLine="420" w:firstLineChars="200"/>
        <w:rPr>
          <w:color w:val="auto"/>
          <w:sz w:val="21"/>
          <w:szCs w:val="21"/>
        </w:rPr>
      </w:pPr>
      <w:r>
        <w:rPr>
          <w:rFonts w:hint="eastAsia"/>
          <w:color w:val="auto"/>
          <w:sz w:val="21"/>
          <w:szCs w:val="21"/>
        </w:rPr>
        <w:t xml:space="preserve">法定代表人或其委托代理人：（签字） </w:t>
      </w:r>
    </w:p>
    <w:p w14:paraId="7426648E">
      <w:pPr>
        <w:pStyle w:val="105"/>
        <w:tabs>
          <w:tab w:val="left" w:pos="1590"/>
          <w:tab w:val="left" w:pos="2648"/>
          <w:tab w:val="left" w:pos="3704"/>
          <w:tab w:val="left" w:pos="5089"/>
          <w:tab w:val="left" w:pos="6018"/>
          <w:tab w:val="left" w:pos="7074"/>
          <w:tab w:val="left" w:pos="8132"/>
        </w:tabs>
        <w:ind w:firstLine="403"/>
        <w:rPr>
          <w:color w:val="auto"/>
          <w:sz w:val="21"/>
          <w:szCs w:val="21"/>
        </w:rPr>
      </w:pPr>
    </w:p>
    <w:p w14:paraId="14292EB7">
      <w:pPr>
        <w:pStyle w:val="106"/>
        <w:ind w:firstLine="420" w:firstLineChars="200"/>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 xml:space="preserve">承包人： （盖单位公章）   </w:t>
      </w:r>
    </w:p>
    <w:p w14:paraId="6E57151C">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法定代表人或其委托代理人：（签字） </w:t>
      </w:r>
    </w:p>
    <w:p w14:paraId="29DE31F5">
      <w:pPr>
        <w:pStyle w:val="105"/>
        <w:tabs>
          <w:tab w:val="left" w:pos="1590"/>
          <w:tab w:val="left" w:pos="2648"/>
          <w:tab w:val="left" w:pos="3704"/>
          <w:tab w:val="left" w:pos="5089"/>
          <w:tab w:val="left" w:pos="6018"/>
          <w:tab w:val="left" w:pos="7074"/>
          <w:tab w:val="left" w:pos="8132"/>
        </w:tabs>
        <w:ind w:firstLine="403"/>
        <w:rPr>
          <w:color w:val="auto"/>
          <w:sz w:val="21"/>
          <w:szCs w:val="21"/>
        </w:rPr>
      </w:pPr>
    </w:p>
    <w:p w14:paraId="1C720C50">
      <w:pPr>
        <w:pStyle w:val="105"/>
        <w:tabs>
          <w:tab w:val="left" w:pos="1590"/>
          <w:tab w:val="left" w:pos="2648"/>
          <w:tab w:val="left" w:pos="3704"/>
          <w:tab w:val="left" w:pos="5089"/>
          <w:tab w:val="left" w:pos="6018"/>
          <w:tab w:val="left" w:pos="7074"/>
          <w:tab w:val="left" w:pos="8132"/>
        </w:tabs>
        <w:ind w:firstLine="403"/>
        <w:rPr>
          <w:color w:val="auto"/>
          <w:sz w:val="21"/>
          <w:szCs w:val="21"/>
        </w:rPr>
      </w:pPr>
      <w:r>
        <w:rPr>
          <w:rFonts w:hint="eastAsia"/>
          <w:color w:val="auto"/>
          <w:sz w:val="21"/>
          <w:szCs w:val="21"/>
        </w:rPr>
        <w:t xml:space="preserve">合同签订时间： 合同签订地点： </w:t>
      </w:r>
    </w:p>
    <w:p w14:paraId="7AE35F25">
      <w:pPr>
        <w:pStyle w:val="105"/>
        <w:tabs>
          <w:tab w:val="left" w:pos="1590"/>
          <w:tab w:val="left" w:pos="2648"/>
          <w:tab w:val="left" w:pos="3704"/>
          <w:tab w:val="left" w:pos="5089"/>
          <w:tab w:val="left" w:pos="6018"/>
          <w:tab w:val="left" w:pos="7074"/>
          <w:tab w:val="left" w:pos="8132"/>
        </w:tabs>
        <w:ind w:firstLine="403"/>
        <w:rPr>
          <w:color w:val="auto"/>
          <w:sz w:val="21"/>
          <w:szCs w:val="21"/>
        </w:rPr>
      </w:pPr>
    </w:p>
    <w:p w14:paraId="0FDCFE2C">
      <w:pPr>
        <w:pStyle w:val="105"/>
        <w:tabs>
          <w:tab w:val="left" w:pos="1590"/>
          <w:tab w:val="left" w:pos="2648"/>
          <w:tab w:val="left" w:pos="3704"/>
          <w:tab w:val="left" w:pos="5089"/>
          <w:tab w:val="left" w:pos="6018"/>
          <w:tab w:val="left" w:pos="7074"/>
          <w:tab w:val="left" w:pos="8132"/>
        </w:tabs>
        <w:ind w:firstLine="403"/>
        <w:rPr>
          <w:color w:val="auto"/>
          <w:szCs w:val="21"/>
          <w:lang w:val="en-US"/>
        </w:rPr>
      </w:pPr>
      <w:r>
        <w:rPr>
          <w:rFonts w:hint="eastAsia"/>
          <w:color w:val="auto"/>
          <w:szCs w:val="21"/>
        </w:rPr>
        <w:t>备注：上述附件</w:t>
      </w:r>
      <w:r>
        <w:rPr>
          <w:rFonts w:hint="eastAsia"/>
          <w:color w:val="auto"/>
          <w:szCs w:val="21"/>
          <w:lang w:val="en-US"/>
        </w:rPr>
        <w:t>四</w:t>
      </w:r>
      <w:r>
        <w:rPr>
          <w:rFonts w:hint="eastAsia"/>
          <w:color w:val="auto"/>
          <w:szCs w:val="21"/>
        </w:rPr>
        <w:t>《关于实行农民工工资支付专用账户管理的补充协议》相关条款如与当地相关部门的规定有冲突时，以当地相关部门的规定为准，同时修改本协议相关条款。</w:t>
      </w:r>
    </w:p>
    <w:p w14:paraId="55FCC3E4">
      <w:pPr>
        <w:rPr>
          <w:color w:val="auto"/>
        </w:rPr>
      </w:pPr>
    </w:p>
    <w:p w14:paraId="1F08C433">
      <w:pPr>
        <w:spacing w:line="300" w:lineRule="auto"/>
        <w:ind w:left="420" w:hanging="420"/>
        <w:jc w:val="center"/>
        <w:rPr>
          <w:rFonts w:ascii="黑体" w:hAnsi="宋体" w:eastAsia="黑体"/>
          <w:b/>
          <w:color w:val="auto"/>
          <w:kern w:val="0"/>
          <w:sz w:val="32"/>
          <w:szCs w:val="32"/>
        </w:rPr>
      </w:pPr>
    </w:p>
    <w:p w14:paraId="09EC7EF9">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5FB83BD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7BEE90F9">
      <w:pPr>
        <w:autoSpaceDE w:val="0"/>
        <w:autoSpaceDN w:val="0"/>
        <w:adjustRightInd w:val="0"/>
        <w:snapToGrid w:val="0"/>
        <w:spacing w:line="300" w:lineRule="auto"/>
        <w:rPr>
          <w:rFonts w:ascii="仿宋_GB2312" w:hAnsi="宋体" w:eastAsia="仿宋_GB2312"/>
          <w:b/>
          <w:color w:val="auto"/>
          <w:kern w:val="0"/>
          <w:sz w:val="44"/>
          <w:szCs w:val="44"/>
        </w:rPr>
      </w:pPr>
    </w:p>
    <w:p w14:paraId="43CADC01">
      <w:pPr>
        <w:autoSpaceDE w:val="0"/>
        <w:autoSpaceDN w:val="0"/>
        <w:adjustRightInd w:val="0"/>
        <w:snapToGrid w:val="0"/>
        <w:spacing w:line="300" w:lineRule="auto"/>
        <w:rPr>
          <w:rFonts w:ascii="仿宋_GB2312" w:hAnsi="宋体" w:eastAsia="仿宋_GB2312"/>
          <w:b/>
          <w:color w:val="auto"/>
          <w:kern w:val="0"/>
          <w:sz w:val="44"/>
          <w:szCs w:val="44"/>
        </w:rPr>
      </w:pPr>
    </w:p>
    <w:p w14:paraId="458BBB76">
      <w:pPr>
        <w:autoSpaceDE w:val="0"/>
        <w:autoSpaceDN w:val="0"/>
        <w:adjustRightInd w:val="0"/>
        <w:snapToGrid w:val="0"/>
        <w:spacing w:line="300" w:lineRule="auto"/>
        <w:rPr>
          <w:rFonts w:ascii="仿宋_GB2312" w:hAnsi="宋体" w:eastAsia="仿宋_GB2312"/>
          <w:b/>
          <w:color w:val="auto"/>
          <w:kern w:val="0"/>
          <w:sz w:val="44"/>
          <w:szCs w:val="44"/>
        </w:rPr>
      </w:pPr>
    </w:p>
    <w:p w14:paraId="214BFC83">
      <w:pPr>
        <w:autoSpaceDE w:val="0"/>
        <w:autoSpaceDN w:val="0"/>
        <w:adjustRightInd w:val="0"/>
        <w:snapToGrid w:val="0"/>
        <w:spacing w:line="300" w:lineRule="auto"/>
        <w:rPr>
          <w:rFonts w:ascii="仿宋_GB2312" w:hAnsi="宋体" w:eastAsia="仿宋_GB2312"/>
          <w:b/>
          <w:color w:val="auto"/>
          <w:kern w:val="0"/>
          <w:sz w:val="44"/>
          <w:szCs w:val="44"/>
        </w:rPr>
      </w:pPr>
    </w:p>
    <w:p w14:paraId="2C322E71">
      <w:pPr>
        <w:autoSpaceDE w:val="0"/>
        <w:autoSpaceDN w:val="0"/>
        <w:adjustRightInd w:val="0"/>
        <w:snapToGrid w:val="0"/>
        <w:spacing w:line="300" w:lineRule="auto"/>
        <w:rPr>
          <w:rFonts w:ascii="仿宋_GB2312" w:hAnsi="宋体" w:eastAsia="仿宋_GB2312"/>
          <w:b/>
          <w:color w:val="auto"/>
          <w:kern w:val="0"/>
          <w:sz w:val="44"/>
          <w:szCs w:val="44"/>
        </w:rPr>
      </w:pPr>
    </w:p>
    <w:p w14:paraId="2CAB5368">
      <w:pPr>
        <w:autoSpaceDE w:val="0"/>
        <w:autoSpaceDN w:val="0"/>
        <w:adjustRightInd w:val="0"/>
        <w:snapToGrid w:val="0"/>
        <w:spacing w:line="300" w:lineRule="auto"/>
        <w:rPr>
          <w:rFonts w:ascii="仿宋_GB2312" w:hAnsi="宋体" w:eastAsia="仿宋_GB2312"/>
          <w:b/>
          <w:color w:val="auto"/>
          <w:kern w:val="0"/>
          <w:sz w:val="44"/>
          <w:szCs w:val="44"/>
        </w:rPr>
      </w:pPr>
    </w:p>
    <w:p w14:paraId="5172B140">
      <w:pPr>
        <w:autoSpaceDE w:val="0"/>
        <w:autoSpaceDN w:val="0"/>
        <w:adjustRightInd w:val="0"/>
        <w:snapToGrid w:val="0"/>
        <w:spacing w:line="300" w:lineRule="auto"/>
        <w:rPr>
          <w:rFonts w:ascii="仿宋_GB2312" w:hAnsi="宋体" w:eastAsia="仿宋_GB2312"/>
          <w:b/>
          <w:color w:val="auto"/>
          <w:kern w:val="0"/>
          <w:sz w:val="44"/>
          <w:szCs w:val="44"/>
        </w:rPr>
      </w:pPr>
    </w:p>
    <w:p w14:paraId="4FC4F15A">
      <w:pPr>
        <w:autoSpaceDE w:val="0"/>
        <w:autoSpaceDN w:val="0"/>
        <w:adjustRightInd w:val="0"/>
        <w:snapToGrid w:val="0"/>
        <w:spacing w:line="300" w:lineRule="auto"/>
        <w:rPr>
          <w:rFonts w:ascii="仿宋_GB2312" w:hAnsi="宋体" w:eastAsia="仿宋_GB2312"/>
          <w:b/>
          <w:color w:val="auto"/>
          <w:kern w:val="0"/>
          <w:sz w:val="44"/>
          <w:szCs w:val="44"/>
        </w:rPr>
      </w:pPr>
    </w:p>
    <w:p w14:paraId="1C3EBDDE">
      <w:pPr>
        <w:autoSpaceDE w:val="0"/>
        <w:autoSpaceDN w:val="0"/>
        <w:adjustRightInd w:val="0"/>
        <w:snapToGrid w:val="0"/>
        <w:spacing w:line="300" w:lineRule="auto"/>
        <w:rPr>
          <w:rFonts w:ascii="仿宋_GB2312" w:hAnsi="宋体" w:eastAsia="仿宋_GB2312"/>
          <w:b/>
          <w:color w:val="auto"/>
          <w:kern w:val="0"/>
          <w:sz w:val="44"/>
          <w:szCs w:val="44"/>
        </w:rPr>
      </w:pPr>
    </w:p>
    <w:p w14:paraId="4F5E2B3C">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39066ABB">
      <w:pPr>
        <w:autoSpaceDE w:val="0"/>
        <w:autoSpaceDN w:val="0"/>
        <w:adjustRightInd w:val="0"/>
        <w:snapToGrid w:val="0"/>
        <w:spacing w:line="300" w:lineRule="auto"/>
        <w:ind w:firstLine="3264" w:firstLineChars="739"/>
        <w:outlineLvl w:val="0"/>
        <w:rPr>
          <w:rFonts w:ascii="宋体" w:hAnsi="宋体"/>
          <w:b/>
          <w:color w:val="auto"/>
          <w:kern w:val="0"/>
          <w:sz w:val="44"/>
          <w:szCs w:val="44"/>
        </w:rPr>
      </w:pPr>
      <w:bookmarkStart w:id="2233" w:name="_Toc176861412"/>
      <w:bookmarkStart w:id="2234" w:name="_Toc3994508"/>
      <w:bookmarkStart w:id="2235" w:name="_Toc29416"/>
      <w:r>
        <w:rPr>
          <w:rFonts w:hint="eastAsia" w:ascii="宋体" w:hAnsi="宋体"/>
          <w:b/>
          <w:color w:val="auto"/>
          <w:kern w:val="0"/>
          <w:sz w:val="44"/>
          <w:szCs w:val="44"/>
        </w:rPr>
        <w:t>第七章  评定标准</w:t>
      </w:r>
      <w:bookmarkEnd w:id="2233"/>
      <w:bookmarkEnd w:id="2234"/>
      <w:bookmarkEnd w:id="2235"/>
    </w:p>
    <w:p w14:paraId="5FDCC7FA">
      <w:pPr>
        <w:pStyle w:val="22"/>
        <w:spacing w:line="440" w:lineRule="exact"/>
        <w:rPr>
          <w:rFonts w:ascii="黑体" w:hAnsi="宋体" w:eastAsia="黑体"/>
          <w:b/>
          <w:color w:val="auto"/>
          <w:kern w:val="0"/>
          <w:sz w:val="32"/>
          <w:szCs w:val="32"/>
        </w:rPr>
      </w:pPr>
    </w:p>
    <w:p w14:paraId="32445D8D">
      <w:pPr>
        <w:pStyle w:val="22"/>
        <w:spacing w:line="440" w:lineRule="exact"/>
        <w:rPr>
          <w:rFonts w:ascii="黑体" w:hAnsi="宋体" w:eastAsia="黑体"/>
          <w:b/>
          <w:color w:val="auto"/>
          <w:kern w:val="0"/>
          <w:sz w:val="32"/>
          <w:szCs w:val="32"/>
        </w:rPr>
      </w:pPr>
    </w:p>
    <w:p w14:paraId="053C5574">
      <w:pPr>
        <w:pStyle w:val="22"/>
        <w:spacing w:line="440" w:lineRule="exact"/>
        <w:rPr>
          <w:rFonts w:ascii="黑体" w:hAnsi="宋体" w:eastAsia="黑体"/>
          <w:b/>
          <w:color w:val="auto"/>
          <w:kern w:val="0"/>
          <w:sz w:val="32"/>
          <w:szCs w:val="32"/>
        </w:rPr>
      </w:pPr>
    </w:p>
    <w:p w14:paraId="4E8A2AAD">
      <w:pPr>
        <w:pStyle w:val="22"/>
        <w:spacing w:line="440" w:lineRule="exact"/>
        <w:rPr>
          <w:rFonts w:ascii="黑体" w:hAnsi="宋体" w:eastAsia="黑体"/>
          <w:b/>
          <w:color w:val="auto"/>
          <w:kern w:val="0"/>
          <w:sz w:val="32"/>
          <w:szCs w:val="32"/>
        </w:rPr>
      </w:pPr>
    </w:p>
    <w:p w14:paraId="716D4BD8">
      <w:pPr>
        <w:pStyle w:val="22"/>
        <w:spacing w:line="440" w:lineRule="exact"/>
        <w:rPr>
          <w:rFonts w:ascii="黑体" w:hAnsi="宋体" w:eastAsia="黑体"/>
          <w:b/>
          <w:color w:val="auto"/>
          <w:kern w:val="0"/>
          <w:sz w:val="32"/>
          <w:szCs w:val="32"/>
        </w:rPr>
      </w:pPr>
    </w:p>
    <w:p w14:paraId="4FA9594B">
      <w:pPr>
        <w:pStyle w:val="22"/>
        <w:spacing w:line="440" w:lineRule="exact"/>
        <w:rPr>
          <w:rFonts w:ascii="黑体" w:hAnsi="宋体" w:eastAsia="黑体"/>
          <w:b/>
          <w:color w:val="auto"/>
          <w:kern w:val="0"/>
          <w:sz w:val="32"/>
          <w:szCs w:val="32"/>
        </w:rPr>
      </w:pPr>
    </w:p>
    <w:p w14:paraId="71147677">
      <w:pPr>
        <w:pStyle w:val="22"/>
        <w:spacing w:line="440" w:lineRule="exact"/>
        <w:rPr>
          <w:rFonts w:ascii="黑体" w:hAnsi="宋体" w:eastAsia="黑体"/>
          <w:b/>
          <w:color w:val="auto"/>
          <w:kern w:val="0"/>
          <w:sz w:val="32"/>
          <w:szCs w:val="32"/>
        </w:rPr>
      </w:pPr>
    </w:p>
    <w:p w14:paraId="6683762B">
      <w:pPr>
        <w:pStyle w:val="22"/>
        <w:spacing w:line="440" w:lineRule="exact"/>
        <w:rPr>
          <w:rFonts w:ascii="黑体" w:hAnsi="宋体" w:eastAsia="黑体"/>
          <w:b/>
          <w:color w:val="auto"/>
          <w:kern w:val="0"/>
          <w:sz w:val="32"/>
          <w:szCs w:val="32"/>
        </w:rPr>
      </w:pPr>
    </w:p>
    <w:p w14:paraId="5EFA6C22">
      <w:pPr>
        <w:pStyle w:val="22"/>
        <w:spacing w:line="440" w:lineRule="exact"/>
        <w:rPr>
          <w:rFonts w:ascii="黑体" w:hAnsi="宋体" w:eastAsia="黑体"/>
          <w:b/>
          <w:color w:val="auto"/>
          <w:kern w:val="0"/>
          <w:sz w:val="32"/>
          <w:szCs w:val="32"/>
        </w:rPr>
      </w:pPr>
    </w:p>
    <w:p w14:paraId="62C8FB6F">
      <w:pPr>
        <w:pStyle w:val="22"/>
        <w:spacing w:line="440" w:lineRule="exact"/>
        <w:rPr>
          <w:rFonts w:ascii="黑体" w:hAnsi="宋体" w:eastAsia="黑体"/>
          <w:b/>
          <w:color w:val="auto"/>
          <w:kern w:val="0"/>
          <w:sz w:val="32"/>
          <w:szCs w:val="32"/>
        </w:rPr>
      </w:pPr>
    </w:p>
    <w:p w14:paraId="05134A48">
      <w:pPr>
        <w:pStyle w:val="22"/>
        <w:spacing w:line="440" w:lineRule="exact"/>
        <w:rPr>
          <w:rFonts w:ascii="黑体" w:hAnsi="宋体" w:eastAsia="黑体"/>
          <w:b/>
          <w:color w:val="auto"/>
          <w:kern w:val="0"/>
          <w:sz w:val="32"/>
          <w:szCs w:val="32"/>
        </w:rPr>
      </w:pPr>
    </w:p>
    <w:p w14:paraId="4A8A5C9A">
      <w:pPr>
        <w:pStyle w:val="22"/>
        <w:spacing w:line="440" w:lineRule="exact"/>
        <w:rPr>
          <w:rFonts w:ascii="黑体" w:hAnsi="宋体" w:eastAsia="黑体"/>
          <w:b/>
          <w:color w:val="auto"/>
          <w:kern w:val="0"/>
          <w:sz w:val="32"/>
          <w:szCs w:val="32"/>
        </w:rPr>
      </w:pPr>
    </w:p>
    <w:p w14:paraId="724A9B05">
      <w:pPr>
        <w:pStyle w:val="22"/>
        <w:spacing w:line="440" w:lineRule="exact"/>
        <w:rPr>
          <w:rFonts w:ascii="黑体" w:hAnsi="宋体" w:eastAsia="黑体"/>
          <w:b/>
          <w:color w:val="auto"/>
          <w:kern w:val="0"/>
          <w:sz w:val="32"/>
          <w:szCs w:val="32"/>
        </w:rPr>
      </w:pPr>
    </w:p>
    <w:p w14:paraId="22C76CFB">
      <w:pPr>
        <w:pStyle w:val="22"/>
        <w:spacing w:line="440" w:lineRule="exact"/>
        <w:jc w:val="center"/>
        <w:rPr>
          <w:rFonts w:hAnsi="宋体"/>
          <w:color w:val="auto"/>
          <w:sz w:val="30"/>
          <w:szCs w:val="30"/>
        </w:rPr>
      </w:pPr>
      <w:r>
        <w:rPr>
          <w:rFonts w:ascii="仿宋_GB2312" w:hAnsi="宋体" w:eastAsia="仿宋_GB2312"/>
          <w:b/>
          <w:color w:val="auto"/>
          <w:kern w:val="0"/>
          <w:sz w:val="32"/>
          <w:szCs w:val="32"/>
        </w:rPr>
        <w:br w:type="page"/>
      </w:r>
      <w:r>
        <w:rPr>
          <w:rFonts w:hint="eastAsia" w:hAnsi="宋体"/>
          <w:b/>
          <w:color w:val="auto"/>
          <w:kern w:val="0"/>
          <w:sz w:val="30"/>
          <w:szCs w:val="30"/>
        </w:rPr>
        <w:t>评定标准</w:t>
      </w:r>
    </w:p>
    <w:p w14:paraId="39A2D69E">
      <w:pPr>
        <w:pStyle w:val="22"/>
        <w:numPr>
          <w:ilvl w:val="0"/>
          <w:numId w:val="41"/>
        </w:numPr>
        <w:adjustRightInd w:val="0"/>
        <w:spacing w:line="360" w:lineRule="auto"/>
        <w:ind w:firstLine="482" w:firstLineChars="200"/>
        <w:contextualSpacing/>
        <w:rPr>
          <w:rFonts w:hAnsi="宋体"/>
          <w:b/>
          <w:bCs/>
          <w:color w:val="auto"/>
          <w:sz w:val="24"/>
          <w:szCs w:val="24"/>
        </w:rPr>
      </w:pPr>
      <w:r>
        <w:rPr>
          <w:rFonts w:hAnsi="宋体"/>
          <w:b/>
          <w:bCs/>
          <w:color w:val="auto"/>
          <w:sz w:val="24"/>
          <w:szCs w:val="24"/>
        </w:rPr>
        <w:t>评标原则</w:t>
      </w:r>
    </w:p>
    <w:p w14:paraId="707F4995">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(一)磋商小组组成：本磋商采购项目的磋商小组由采购人代表、技术和经济等方面的专家共3人以上单数组成。其中，专家磋商小组成员不得少于成员总数的三分之二。</w:t>
      </w:r>
    </w:p>
    <w:p w14:paraId="4F571007">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(二)评审依据：磋商小组成员将以采购文件为评审依据，对供应商的最终报价、技术性能、实施方案、信誉业绩、售后服务、政策优惠等方面内容按百分制打分。</w:t>
      </w:r>
    </w:p>
    <w:p w14:paraId="4EB31EA5">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(三)评审方式：以封闭方式进行。</w:t>
      </w:r>
    </w:p>
    <w:p w14:paraId="01C658BC">
      <w:pPr>
        <w:spacing w:line="360" w:lineRule="auto"/>
        <w:ind w:firstLine="472" w:firstLineChars="196"/>
        <w:rPr>
          <w:rFonts w:ascii="宋体" w:hAnsi="宋体" w:cs="Courier New"/>
          <w:b/>
          <w:color w:val="auto"/>
          <w:sz w:val="24"/>
        </w:rPr>
      </w:pPr>
      <w:r>
        <w:rPr>
          <w:rFonts w:hint="eastAsia" w:ascii="宋体" w:hAnsi="宋体" w:cs="Courier New"/>
          <w:b/>
          <w:color w:val="auto"/>
          <w:sz w:val="24"/>
        </w:rPr>
        <w:t>二、评标方法</w:t>
      </w:r>
    </w:p>
    <w:tbl>
      <w:tblPr>
        <w:tblStyle w:val="37"/>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9"/>
        <w:gridCol w:w="6717"/>
        <w:gridCol w:w="1281"/>
      </w:tblGrid>
      <w:tr w14:paraId="7E69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4" w:type="dxa"/>
            <w:vAlign w:val="center"/>
          </w:tcPr>
          <w:p w14:paraId="07937290">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1359" w:type="dxa"/>
            <w:vAlign w:val="center"/>
          </w:tcPr>
          <w:p w14:paraId="107FEA01">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评审因素</w:t>
            </w:r>
          </w:p>
        </w:tc>
        <w:tc>
          <w:tcPr>
            <w:tcW w:w="6717" w:type="dxa"/>
            <w:vAlign w:val="center"/>
          </w:tcPr>
          <w:p w14:paraId="1A0839B9">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评审因素具体内容</w:t>
            </w:r>
          </w:p>
        </w:tc>
        <w:tc>
          <w:tcPr>
            <w:tcW w:w="1281" w:type="dxa"/>
            <w:vAlign w:val="center"/>
          </w:tcPr>
          <w:p w14:paraId="18593BFA">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分值</w:t>
            </w:r>
          </w:p>
        </w:tc>
      </w:tr>
      <w:tr w14:paraId="6E35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4" w:type="dxa"/>
            <w:vAlign w:val="center"/>
          </w:tcPr>
          <w:p w14:paraId="45314422">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359" w:type="dxa"/>
            <w:vAlign w:val="center"/>
          </w:tcPr>
          <w:p w14:paraId="5ACB72E5">
            <w:pPr>
              <w:widowControl/>
              <w:spacing w:line="400" w:lineRule="exact"/>
              <w:jc w:val="center"/>
              <w:rPr>
                <w:rFonts w:ascii="宋体" w:hAnsi="宋体" w:cs="宋体"/>
                <w:color w:val="auto"/>
                <w:kern w:val="0"/>
                <w:sz w:val="24"/>
              </w:rPr>
            </w:pPr>
            <w:r>
              <w:rPr>
                <w:rFonts w:hint="eastAsia" w:ascii="宋体" w:hAnsi="宋体" w:cs="宋体"/>
                <w:color w:val="auto"/>
                <w:kern w:val="0"/>
                <w:sz w:val="24"/>
              </w:rPr>
              <w:t>价格分（满分30分）</w:t>
            </w:r>
          </w:p>
        </w:tc>
        <w:tc>
          <w:tcPr>
            <w:tcW w:w="6717" w:type="dxa"/>
          </w:tcPr>
          <w:p w14:paraId="6A53D5E3">
            <w:pPr>
              <w:spacing w:line="400" w:lineRule="exact"/>
              <w:ind w:firstLine="480" w:firstLineChars="200"/>
              <w:rPr>
                <w:rFonts w:ascii="宋体" w:hAnsi="宋体" w:cs="宋体"/>
                <w:bCs/>
                <w:color w:val="auto"/>
                <w:sz w:val="24"/>
              </w:rPr>
            </w:pPr>
            <w:r>
              <w:rPr>
                <w:rFonts w:hint="eastAsia" w:ascii="宋体" w:hAnsi="宋体" w:cs="宋体"/>
                <w:bCs/>
                <w:color w:val="auto"/>
                <w:sz w:val="24"/>
              </w:rPr>
              <w:t>1.</w:t>
            </w:r>
            <w:r>
              <w:rPr>
                <w:rFonts w:hint="eastAsia" w:ascii="宋体" w:hAnsi="宋体" w:cs="宋体"/>
                <w:color w:val="auto"/>
                <w:sz w:val="24"/>
              </w:rPr>
              <w:t>本项目为专门面向中小企业采购项目，通过资格审查、符合性审查，提交最后报价的有效供应商报价为评审价，评审价=最后报价。</w:t>
            </w:r>
          </w:p>
          <w:p w14:paraId="2241E599">
            <w:pPr>
              <w:spacing w:line="400" w:lineRule="exact"/>
              <w:ind w:firstLine="480" w:firstLineChars="200"/>
              <w:rPr>
                <w:rFonts w:ascii="宋体" w:hAnsi="宋体"/>
                <w:color w:val="auto"/>
                <w:sz w:val="24"/>
              </w:rPr>
            </w:pPr>
            <w:r>
              <w:rPr>
                <w:rFonts w:hint="eastAsia" w:ascii="宋体" w:hAnsi="宋体" w:cs="宋体"/>
                <w:bCs/>
                <w:color w:val="auto"/>
                <w:sz w:val="24"/>
              </w:rPr>
              <w:t>2.</w:t>
            </w:r>
            <w:r>
              <w:rPr>
                <w:rFonts w:hint="eastAsia" w:ascii="宋体" w:hAnsi="宋体"/>
                <w:color w:val="auto"/>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E3E5E04">
            <w:pPr>
              <w:spacing w:line="400" w:lineRule="exact"/>
              <w:ind w:firstLine="480" w:firstLineChars="200"/>
              <w:rPr>
                <w:rFonts w:ascii="宋体" w:hAnsi="宋体"/>
                <w:color w:val="auto"/>
                <w:sz w:val="24"/>
              </w:rPr>
            </w:pPr>
            <w:r>
              <w:rPr>
                <w:rFonts w:hint="eastAsia" w:ascii="宋体" w:hAnsi="宋体" w:cs="宋体"/>
                <w:bCs/>
                <w:color w:val="auto"/>
                <w:sz w:val="24"/>
              </w:rPr>
              <w:t>3.</w:t>
            </w:r>
            <w:r>
              <w:rPr>
                <w:rFonts w:hint="eastAsia" w:ascii="宋体" w:hAnsi="宋体"/>
                <w:color w:val="auto"/>
                <w:sz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8D1B281">
            <w:pPr>
              <w:spacing w:line="400" w:lineRule="exact"/>
              <w:ind w:firstLine="480" w:firstLineChars="200"/>
              <w:rPr>
                <w:rFonts w:ascii="宋体" w:hAnsi="宋体" w:cs="宋体"/>
                <w:bCs/>
                <w:color w:val="auto"/>
                <w:sz w:val="24"/>
              </w:rPr>
            </w:pPr>
            <w:r>
              <w:rPr>
                <w:rFonts w:hint="eastAsia" w:ascii="宋体" w:hAnsi="宋体" w:cs="宋体"/>
                <w:bCs/>
                <w:color w:val="auto"/>
                <w:sz w:val="24"/>
              </w:rPr>
              <w:t>4.以进入比较与评价环节的最低的评审价为基准价，基准价得分为30分。</w:t>
            </w:r>
          </w:p>
          <w:p w14:paraId="6DCA0863">
            <w:pPr>
              <w:spacing w:line="400" w:lineRule="exact"/>
              <w:ind w:firstLine="480" w:firstLineChars="200"/>
              <w:rPr>
                <w:rFonts w:hAnsi="宋体" w:cs="Courier New"/>
                <w:bCs/>
                <w:color w:val="auto"/>
                <w:sz w:val="24"/>
              </w:rPr>
            </w:pPr>
            <w:r>
              <w:rPr>
                <w:rFonts w:hint="eastAsia" w:ascii="宋体" w:hAnsi="宋体" w:cs="宋体"/>
                <w:bCs/>
                <w:color w:val="auto"/>
                <w:sz w:val="24"/>
              </w:rPr>
              <w:t>5.</w:t>
            </w:r>
            <w:r>
              <w:rPr>
                <w:rFonts w:hint="eastAsia" w:hAnsi="宋体" w:cs="Courier New"/>
                <w:bCs/>
                <w:color w:val="auto"/>
                <w:sz w:val="24"/>
              </w:rPr>
              <w:t>价格分计算公式：</w:t>
            </w:r>
          </w:p>
          <w:p w14:paraId="37165544">
            <w:pPr>
              <w:spacing w:line="400" w:lineRule="exact"/>
              <w:ind w:firstLine="480" w:firstLineChars="200"/>
              <w:rPr>
                <w:rFonts w:ascii="宋体" w:hAnsi="宋体" w:cs="宋体"/>
                <w:bCs/>
                <w:color w:val="auto"/>
                <w:sz w:val="24"/>
              </w:rPr>
            </w:pPr>
            <w:r>
              <w:rPr>
                <w:rFonts w:hint="eastAsia" w:hAnsi="宋体" w:cs="Courier New"/>
                <w:bCs/>
                <w:color w:val="auto"/>
                <w:sz w:val="24"/>
              </w:rPr>
              <w:t>某供应商报价得分=（基准价/某供应商最后报价）×30分</w:t>
            </w:r>
          </w:p>
        </w:tc>
        <w:tc>
          <w:tcPr>
            <w:tcW w:w="1281" w:type="dxa"/>
            <w:vAlign w:val="center"/>
          </w:tcPr>
          <w:p w14:paraId="265FA14E">
            <w:pPr>
              <w:widowControl/>
              <w:spacing w:line="400" w:lineRule="exact"/>
              <w:jc w:val="center"/>
              <w:rPr>
                <w:rFonts w:ascii="宋体" w:hAnsi="宋体" w:cs="宋体"/>
                <w:color w:val="auto"/>
                <w:kern w:val="0"/>
                <w:sz w:val="24"/>
              </w:rPr>
            </w:pPr>
            <w:r>
              <w:rPr>
                <w:rFonts w:hint="eastAsia" w:ascii="宋体" w:hAnsi="宋体" w:cs="宋体"/>
                <w:color w:val="auto"/>
                <w:kern w:val="0"/>
                <w:sz w:val="24"/>
              </w:rPr>
              <w:t xml:space="preserve"> 30 分</w:t>
            </w:r>
          </w:p>
        </w:tc>
      </w:tr>
      <w:tr w14:paraId="7747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4" w:type="dxa"/>
            <w:vAlign w:val="center"/>
          </w:tcPr>
          <w:p w14:paraId="03B35B0C">
            <w:pPr>
              <w:widowControl/>
              <w:spacing w:line="400" w:lineRule="exact"/>
              <w:jc w:val="center"/>
              <w:rPr>
                <w:rFonts w:ascii="宋体" w:hAnsi="宋体" w:cs="宋体"/>
                <w:color w:val="auto"/>
                <w:kern w:val="0"/>
                <w:sz w:val="24"/>
              </w:rPr>
            </w:pPr>
            <w:r>
              <w:rPr>
                <w:rFonts w:hint="eastAsia" w:ascii="宋体" w:hAnsi="宋体" w:cs="宋体"/>
                <w:bCs/>
                <w:color w:val="auto"/>
                <w:kern w:val="0"/>
                <w:sz w:val="24"/>
              </w:rPr>
              <w:t>2</w:t>
            </w:r>
          </w:p>
        </w:tc>
        <w:tc>
          <w:tcPr>
            <w:tcW w:w="1359" w:type="dxa"/>
            <w:vAlign w:val="center"/>
          </w:tcPr>
          <w:p w14:paraId="00DBA9FC">
            <w:pPr>
              <w:widowControl/>
              <w:spacing w:line="400" w:lineRule="exact"/>
              <w:jc w:val="center"/>
              <w:rPr>
                <w:rFonts w:ascii="宋体" w:hAnsi="宋体" w:cs="宋体"/>
                <w:color w:val="auto"/>
                <w:kern w:val="0"/>
                <w:sz w:val="24"/>
              </w:rPr>
            </w:pPr>
            <w:r>
              <w:rPr>
                <w:rFonts w:hint="eastAsia" w:ascii="宋体" w:hAnsi="宋体" w:cs="宋体"/>
                <w:bCs/>
                <w:color w:val="auto"/>
                <w:kern w:val="0"/>
                <w:sz w:val="24"/>
              </w:rPr>
              <w:t>技术分（满分65分）</w:t>
            </w:r>
          </w:p>
        </w:tc>
        <w:tc>
          <w:tcPr>
            <w:tcW w:w="7998" w:type="dxa"/>
            <w:gridSpan w:val="2"/>
            <w:vAlign w:val="center"/>
          </w:tcPr>
          <w:p w14:paraId="3A20706C">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评审因素</w:t>
            </w:r>
          </w:p>
        </w:tc>
      </w:tr>
      <w:tr w14:paraId="3F38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4" w:type="dxa"/>
            <w:vAlign w:val="center"/>
          </w:tcPr>
          <w:p w14:paraId="21A9A554">
            <w:pPr>
              <w:spacing w:line="400" w:lineRule="exact"/>
              <w:ind w:left="-105" w:leftChars="-50" w:right="-105" w:rightChars="-50"/>
              <w:jc w:val="center"/>
              <w:rPr>
                <w:rFonts w:ascii="宋体" w:hAnsi="宋体" w:cs="宋体"/>
                <w:bCs/>
                <w:color w:val="auto"/>
                <w:kern w:val="0"/>
                <w:sz w:val="24"/>
              </w:rPr>
            </w:pPr>
            <w:r>
              <w:rPr>
                <w:rFonts w:hint="eastAsia" w:ascii="宋体" w:hAnsi="宋体" w:cs="宋体"/>
                <w:bCs/>
                <w:color w:val="auto"/>
                <w:kern w:val="0"/>
                <w:sz w:val="24"/>
              </w:rPr>
              <w:t>2.1</w:t>
            </w:r>
          </w:p>
        </w:tc>
        <w:tc>
          <w:tcPr>
            <w:tcW w:w="1359" w:type="dxa"/>
            <w:vAlign w:val="center"/>
          </w:tcPr>
          <w:p w14:paraId="748CE220">
            <w:pPr>
              <w:spacing w:line="400" w:lineRule="exact"/>
              <w:jc w:val="center"/>
              <w:rPr>
                <w:rFonts w:ascii="宋体" w:hAnsi="宋体" w:cs="宋体"/>
                <w:bCs/>
                <w:color w:val="auto"/>
                <w:kern w:val="0"/>
                <w:sz w:val="24"/>
              </w:rPr>
            </w:pPr>
            <w:r>
              <w:rPr>
                <w:rFonts w:hint="eastAsia" w:ascii="宋体" w:hAnsi="宋体" w:cs="宋体"/>
                <w:bCs/>
                <w:color w:val="auto"/>
                <w:kern w:val="0"/>
                <w:sz w:val="24"/>
              </w:rPr>
              <w:t>项目管理机构 (满分5分)</w:t>
            </w:r>
          </w:p>
        </w:tc>
        <w:tc>
          <w:tcPr>
            <w:tcW w:w="6717" w:type="dxa"/>
            <w:vAlign w:val="center"/>
          </w:tcPr>
          <w:p w14:paraId="02CE16F2">
            <w:pPr>
              <w:spacing w:line="400" w:lineRule="exact"/>
              <w:ind w:firstLine="480" w:firstLineChars="200"/>
              <w:rPr>
                <w:rFonts w:ascii="宋体" w:hAnsi="宋体" w:cs="宋体"/>
                <w:bCs/>
                <w:color w:val="auto"/>
                <w:sz w:val="24"/>
              </w:rPr>
            </w:pPr>
            <w:r>
              <w:rPr>
                <w:rFonts w:hint="eastAsia" w:ascii="宋体" w:hAnsi="宋体" w:cs="宋体"/>
                <w:bCs/>
                <w:color w:val="auto"/>
                <w:sz w:val="24"/>
              </w:rPr>
              <w:t>一档（5分）：</w:t>
            </w:r>
            <w:r>
              <w:rPr>
                <w:rFonts w:hAnsi="宋体" w:cs="宋体"/>
                <w:bCs/>
                <w:color w:val="auto"/>
                <w:sz w:val="24"/>
              </w:rPr>
              <w:t>项目经理</w:t>
            </w:r>
            <w:r>
              <w:rPr>
                <w:rFonts w:hint="eastAsia" w:hAnsi="宋体" w:cs="宋体"/>
                <w:bCs/>
                <w:color w:val="auto"/>
                <w:sz w:val="24"/>
              </w:rPr>
              <w:t>、技术负责人都具有工程类专业中级（含）以上技术职称，项目管理机构其他人员（指：除项目经理、技术负责人以外的其他人员）岗位配置合理，专业齐全，具有中级（含）以上技术职称2人及以上。</w:t>
            </w:r>
          </w:p>
          <w:p w14:paraId="76D80ACC">
            <w:pPr>
              <w:spacing w:line="400" w:lineRule="exact"/>
              <w:ind w:firstLine="480" w:firstLineChars="200"/>
              <w:rPr>
                <w:rFonts w:ascii="宋体" w:hAnsi="宋体" w:cs="宋体"/>
                <w:bCs/>
                <w:color w:val="auto"/>
                <w:sz w:val="24"/>
              </w:rPr>
            </w:pPr>
            <w:r>
              <w:rPr>
                <w:rFonts w:hint="eastAsia" w:ascii="宋体" w:hAnsi="宋体" w:cs="宋体"/>
                <w:bCs/>
                <w:color w:val="auto"/>
                <w:sz w:val="24"/>
              </w:rPr>
              <w:t>二档（4分）：</w:t>
            </w:r>
            <w:r>
              <w:rPr>
                <w:rFonts w:hAnsi="宋体" w:cs="宋体"/>
                <w:bCs/>
                <w:color w:val="auto"/>
                <w:sz w:val="24"/>
              </w:rPr>
              <w:t>项目经理</w:t>
            </w:r>
            <w:r>
              <w:rPr>
                <w:rFonts w:hint="eastAsia" w:hAnsi="宋体" w:cs="宋体"/>
                <w:bCs/>
                <w:color w:val="auto"/>
                <w:sz w:val="24"/>
              </w:rPr>
              <w:t>或技术负责人1人具有工程类专业中级（含）以上技术职称，项目管理机构其他人员（指：除项目经理、技术负责人以外的其他人员）岗位配置基本合理，专业基本齐全，具有中级（含）以上技术职称2人及以上。</w:t>
            </w:r>
          </w:p>
          <w:p w14:paraId="731B0EE4">
            <w:pPr>
              <w:spacing w:line="400" w:lineRule="exact"/>
              <w:ind w:firstLine="480" w:firstLineChars="200"/>
              <w:rPr>
                <w:rFonts w:ascii="宋体" w:hAnsi="宋体" w:cs="宋体"/>
                <w:bCs/>
                <w:color w:val="auto"/>
                <w:sz w:val="24"/>
              </w:rPr>
            </w:pPr>
            <w:r>
              <w:rPr>
                <w:rFonts w:hint="eastAsia" w:ascii="宋体" w:hAnsi="宋体" w:cs="宋体"/>
                <w:bCs/>
                <w:color w:val="auto"/>
                <w:sz w:val="24"/>
              </w:rPr>
              <w:t>三档（3分）：</w:t>
            </w:r>
            <w:r>
              <w:rPr>
                <w:rFonts w:hAnsi="宋体" w:cs="宋体"/>
                <w:bCs/>
                <w:color w:val="auto"/>
                <w:sz w:val="24"/>
              </w:rPr>
              <w:t>项目经理</w:t>
            </w:r>
            <w:r>
              <w:rPr>
                <w:rFonts w:hint="eastAsia" w:hAnsi="宋体" w:cs="宋体"/>
                <w:bCs/>
                <w:color w:val="auto"/>
                <w:sz w:val="24"/>
              </w:rPr>
              <w:t>或技术负责人不具备有工程类专业中级（含）以上技术职称。项目或管理机构其他人员（指：除项目经理、技术负责人以外的其他人员）岗位配置不够合理，专业不够齐全，具有中级（含）以上技术职称不足2人。</w:t>
            </w:r>
          </w:p>
          <w:p w14:paraId="106727A4">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rPr>
              <w:t xml:space="preserve">    备注：需提供以上拟投入人员的身份证、资格证书（如有）、注册证书（如有）、职称证（如有），以及近三个月（</w:t>
            </w:r>
            <w:r>
              <w:rPr>
                <w:rFonts w:hint="eastAsia" w:hAnsi="宋体" w:cs="宋体"/>
                <w:bCs/>
                <w:color w:val="auto"/>
                <w:sz w:val="24"/>
                <w:szCs w:val="24"/>
                <w:lang w:eastAsia="zh-CN"/>
              </w:rPr>
              <w:t>2026年02月至2026年04月</w:t>
            </w:r>
            <w:r>
              <w:rPr>
                <w:rFonts w:hint="eastAsia" w:hAnsi="宋体" w:cs="宋体"/>
                <w:bCs/>
                <w:color w:val="auto"/>
                <w:sz w:val="24"/>
                <w:szCs w:val="24"/>
              </w:rPr>
              <w:t>）其中任何一个月在现任职单位依法缴纳社会保险证明材料（注：入职或转注本单位不足三个月的须提供最近一个月的参保缴费凭证）。</w:t>
            </w:r>
          </w:p>
        </w:tc>
        <w:tc>
          <w:tcPr>
            <w:tcW w:w="1281" w:type="dxa"/>
            <w:vAlign w:val="center"/>
          </w:tcPr>
          <w:p w14:paraId="5816C5CF">
            <w:pPr>
              <w:spacing w:line="400" w:lineRule="exact"/>
              <w:jc w:val="center"/>
              <w:rPr>
                <w:rFonts w:ascii="宋体" w:hAnsi="宋体" w:cs="宋体"/>
                <w:color w:val="auto"/>
                <w:kern w:val="0"/>
                <w:sz w:val="24"/>
              </w:rPr>
            </w:pPr>
            <w:r>
              <w:rPr>
                <w:rFonts w:hint="eastAsia" w:ascii="宋体" w:hAnsi="宋体" w:cs="宋体"/>
                <w:color w:val="auto"/>
                <w:kern w:val="0"/>
                <w:sz w:val="24"/>
              </w:rPr>
              <w:t xml:space="preserve"> 5分</w:t>
            </w:r>
          </w:p>
        </w:tc>
      </w:tr>
      <w:tr w14:paraId="7C7F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4" w:type="dxa"/>
            <w:vMerge w:val="restart"/>
            <w:vAlign w:val="center"/>
          </w:tcPr>
          <w:p w14:paraId="2AE9E2DD">
            <w:pPr>
              <w:spacing w:line="400" w:lineRule="exact"/>
              <w:ind w:left="-105" w:leftChars="-50" w:right="-105" w:rightChars="-50"/>
              <w:jc w:val="center"/>
              <w:rPr>
                <w:rFonts w:ascii="宋体" w:hAnsi="宋体" w:cs="宋体"/>
                <w:bCs/>
                <w:color w:val="auto"/>
                <w:kern w:val="0"/>
                <w:sz w:val="24"/>
              </w:rPr>
            </w:pPr>
            <w:r>
              <w:rPr>
                <w:rFonts w:hint="eastAsia" w:ascii="宋体" w:hAnsi="宋体" w:cs="宋体"/>
                <w:bCs/>
                <w:color w:val="auto"/>
                <w:kern w:val="0"/>
                <w:sz w:val="24"/>
              </w:rPr>
              <w:t>2.2</w:t>
            </w:r>
          </w:p>
        </w:tc>
        <w:tc>
          <w:tcPr>
            <w:tcW w:w="1359" w:type="dxa"/>
            <w:vMerge w:val="restart"/>
            <w:vAlign w:val="center"/>
          </w:tcPr>
          <w:p w14:paraId="201E6241">
            <w:pPr>
              <w:spacing w:line="400" w:lineRule="exact"/>
              <w:jc w:val="center"/>
              <w:rPr>
                <w:rFonts w:ascii="宋体" w:hAnsi="宋体" w:cs="宋体"/>
                <w:color w:val="auto"/>
                <w:sz w:val="24"/>
                <w:u w:val="single"/>
              </w:rPr>
            </w:pPr>
            <w:r>
              <w:rPr>
                <w:rFonts w:hint="eastAsia" w:ascii="宋体" w:hAnsi="宋体" w:cs="宋体"/>
                <w:color w:val="auto"/>
                <w:kern w:val="0"/>
                <w:sz w:val="24"/>
              </w:rPr>
              <w:t>施工组织设计</w:t>
            </w:r>
            <w:r>
              <w:rPr>
                <w:rFonts w:hint="eastAsia" w:ascii="宋体" w:hAnsi="宋体" w:cs="宋体"/>
                <w:color w:val="auto"/>
                <w:sz w:val="24"/>
              </w:rPr>
              <w:t>（满分60分）</w:t>
            </w:r>
          </w:p>
        </w:tc>
        <w:tc>
          <w:tcPr>
            <w:tcW w:w="6717" w:type="dxa"/>
            <w:vAlign w:val="center"/>
          </w:tcPr>
          <w:p w14:paraId="31B4BC25">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rPr>
              <w:t>1.主要施工方法</w:t>
            </w:r>
            <w:r>
              <w:rPr>
                <w:rFonts w:hint="eastAsia" w:cs="宋体"/>
                <w:color w:val="auto"/>
                <w:sz w:val="24"/>
                <w:szCs w:val="24"/>
              </w:rPr>
              <w:t>与技术措施</w:t>
            </w:r>
            <w:r>
              <w:rPr>
                <w:rFonts w:hint="eastAsia" w:hAnsi="宋体" w:cs="宋体"/>
                <w:bCs/>
                <w:color w:val="auto"/>
                <w:sz w:val="24"/>
                <w:szCs w:val="24"/>
              </w:rPr>
              <w:t>（满分10分）</w:t>
            </w:r>
          </w:p>
          <w:p w14:paraId="3D3E5E96">
            <w:pPr>
              <w:spacing w:line="400" w:lineRule="exact"/>
              <w:ind w:firstLine="480" w:firstLineChars="200"/>
              <w:rPr>
                <w:rFonts w:ascii="宋体" w:hAnsi="宋体" w:cs="宋体"/>
                <w:bCs/>
                <w:color w:val="auto"/>
                <w:sz w:val="24"/>
              </w:rPr>
            </w:pPr>
            <w:r>
              <w:rPr>
                <w:rFonts w:hint="eastAsia" w:ascii="宋体" w:hAnsi="宋体" w:cs="宋体"/>
                <w:bCs/>
                <w:color w:val="auto"/>
                <w:sz w:val="24"/>
              </w:rPr>
              <w:t>一档（10分）：对项目的施工总体条件有全面认识，施工技术方案详细、具体，施工段划分呼应总体表述，划分清晰、合理、切合本工程实际，，施工方法合理，技术措施具体、先进、有效。</w:t>
            </w:r>
          </w:p>
          <w:p w14:paraId="32F1A187">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二档（6分）：对项目的施工总体条件有认识，施工技术方案可行，施工段划分可行、切合实际可行，施工方法简单合理，施工技术措施具体，但不详细、不清晰。</w:t>
            </w:r>
          </w:p>
          <w:p w14:paraId="0CDB7549">
            <w:pPr>
              <w:pStyle w:val="22"/>
              <w:numPr>
                <w:ilvl w:val="255"/>
                <w:numId w:val="0"/>
              </w:numPr>
              <w:spacing w:line="400" w:lineRule="exact"/>
              <w:ind w:firstLine="480" w:firstLineChars="200"/>
              <w:rPr>
                <w:color w:val="auto"/>
                <w:sz w:val="24"/>
                <w:szCs w:val="24"/>
              </w:rPr>
            </w:pPr>
            <w:r>
              <w:rPr>
                <w:rFonts w:hint="eastAsia" w:hAnsi="宋体" w:cs="宋体"/>
                <w:bCs/>
                <w:color w:val="auto"/>
                <w:sz w:val="24"/>
                <w:szCs w:val="24"/>
              </w:rPr>
              <w:t>三档（3分）：对项目的施工总体条件简单的认识，施工技术方案一般，施工段划分一般、基本切合实际，施工方法一般，施工技术措施不够具体。</w:t>
            </w:r>
          </w:p>
        </w:tc>
        <w:tc>
          <w:tcPr>
            <w:tcW w:w="1281" w:type="dxa"/>
            <w:vAlign w:val="center"/>
          </w:tcPr>
          <w:p w14:paraId="1341A6AF">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6FFC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74" w:type="dxa"/>
            <w:vMerge w:val="continue"/>
            <w:vAlign w:val="center"/>
          </w:tcPr>
          <w:p w14:paraId="3443F886">
            <w:pPr>
              <w:spacing w:line="400" w:lineRule="exact"/>
              <w:ind w:left="-105" w:leftChars="-50" w:right="-105" w:rightChars="-50"/>
              <w:jc w:val="center"/>
              <w:rPr>
                <w:rFonts w:ascii="宋体" w:hAnsi="宋体" w:cs="宋体"/>
                <w:bCs/>
                <w:color w:val="auto"/>
                <w:kern w:val="0"/>
                <w:sz w:val="24"/>
              </w:rPr>
            </w:pPr>
          </w:p>
        </w:tc>
        <w:tc>
          <w:tcPr>
            <w:tcW w:w="1359" w:type="dxa"/>
            <w:vMerge w:val="continue"/>
            <w:vAlign w:val="center"/>
          </w:tcPr>
          <w:p w14:paraId="5B925DC9">
            <w:pPr>
              <w:spacing w:line="400" w:lineRule="exact"/>
              <w:jc w:val="center"/>
              <w:rPr>
                <w:rFonts w:ascii="宋体" w:hAnsi="宋体" w:cs="宋体"/>
                <w:color w:val="auto"/>
                <w:kern w:val="0"/>
                <w:sz w:val="24"/>
              </w:rPr>
            </w:pPr>
          </w:p>
        </w:tc>
        <w:tc>
          <w:tcPr>
            <w:tcW w:w="6717" w:type="dxa"/>
            <w:vAlign w:val="center"/>
          </w:tcPr>
          <w:p w14:paraId="320F6484">
            <w:pPr>
              <w:pStyle w:val="22"/>
              <w:numPr>
                <w:ilvl w:val="255"/>
                <w:numId w:val="0"/>
              </w:numPr>
              <w:spacing w:line="400" w:lineRule="exact"/>
              <w:rPr>
                <w:rFonts w:hAnsi="宋体" w:cs="宋体"/>
                <w:bCs/>
                <w:color w:val="auto"/>
                <w:kern w:val="0"/>
                <w:sz w:val="24"/>
                <w:szCs w:val="24"/>
              </w:rPr>
            </w:pPr>
            <w:r>
              <w:rPr>
                <w:rFonts w:hint="eastAsia" w:hAnsi="宋体" w:cs="宋体"/>
                <w:bCs/>
                <w:color w:val="auto"/>
                <w:kern w:val="0"/>
                <w:sz w:val="24"/>
                <w:szCs w:val="24"/>
              </w:rPr>
              <w:t>2.拟投入的资源配置计划 (满分10分)</w:t>
            </w:r>
          </w:p>
          <w:p w14:paraId="045653D2">
            <w:pPr>
              <w:pStyle w:val="22"/>
              <w:numPr>
                <w:ilvl w:val="255"/>
                <w:numId w:val="0"/>
              </w:numPr>
              <w:spacing w:line="400" w:lineRule="exact"/>
              <w:ind w:firstLine="480" w:firstLineChars="200"/>
              <w:rPr>
                <w:rFonts w:hAnsi="宋体" w:cs="宋体"/>
                <w:bCs/>
                <w:color w:val="auto"/>
                <w:kern w:val="0"/>
                <w:sz w:val="24"/>
                <w:szCs w:val="24"/>
              </w:rPr>
            </w:pPr>
            <w:r>
              <w:rPr>
                <w:rFonts w:hint="eastAsia" w:hAnsi="宋体" w:cs="宋体"/>
                <w:bCs/>
                <w:color w:val="auto"/>
                <w:kern w:val="0"/>
                <w:sz w:val="24"/>
                <w:szCs w:val="24"/>
              </w:rPr>
              <w:t>一档（10分）：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6C11FF16">
            <w:pPr>
              <w:pStyle w:val="22"/>
              <w:numPr>
                <w:ilvl w:val="255"/>
                <w:numId w:val="0"/>
              </w:numPr>
              <w:spacing w:line="400" w:lineRule="exact"/>
              <w:ind w:firstLine="480" w:firstLineChars="200"/>
              <w:rPr>
                <w:rFonts w:hAnsi="宋体" w:cs="宋体"/>
                <w:bCs/>
                <w:color w:val="auto"/>
                <w:kern w:val="0"/>
                <w:sz w:val="24"/>
                <w:szCs w:val="24"/>
              </w:rPr>
            </w:pPr>
            <w:r>
              <w:rPr>
                <w:rFonts w:hint="eastAsia" w:hAnsi="宋体" w:cs="宋体"/>
                <w:bCs/>
                <w:color w:val="auto"/>
                <w:kern w:val="0"/>
                <w:sz w:val="24"/>
                <w:szCs w:val="24"/>
              </w:rPr>
              <w:t>二档（6分）：各类施工及试验设备的配备类型、进场时间与施工组织设计相符，设备数量合理、类型齐全，满足施工需要。各类人员配备专业、进场时间与施工组织设计相符，人员数量、专业技能满足施工要求；</w:t>
            </w:r>
          </w:p>
          <w:p w14:paraId="59EAEC3A">
            <w:pPr>
              <w:pStyle w:val="22"/>
              <w:numPr>
                <w:ilvl w:val="255"/>
                <w:numId w:val="0"/>
              </w:numPr>
              <w:spacing w:line="400" w:lineRule="exact"/>
              <w:ind w:firstLine="480" w:firstLineChars="200"/>
              <w:rPr>
                <w:color w:val="auto"/>
                <w:sz w:val="24"/>
                <w:szCs w:val="24"/>
              </w:rPr>
            </w:pPr>
            <w:r>
              <w:rPr>
                <w:rFonts w:hint="eastAsia" w:hAnsi="宋体" w:cs="宋体"/>
                <w:bCs/>
                <w:color w:val="auto"/>
                <w:kern w:val="0"/>
                <w:sz w:val="24"/>
                <w:szCs w:val="24"/>
              </w:rPr>
              <w:t>三档（3分）：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tc>
        <w:tc>
          <w:tcPr>
            <w:tcW w:w="1281" w:type="dxa"/>
            <w:vAlign w:val="center"/>
          </w:tcPr>
          <w:p w14:paraId="1753B582">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595D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774" w:type="dxa"/>
            <w:vMerge w:val="continue"/>
            <w:vAlign w:val="center"/>
          </w:tcPr>
          <w:p w14:paraId="5CABBC2A">
            <w:pPr>
              <w:spacing w:line="400" w:lineRule="exact"/>
              <w:ind w:left="-105" w:leftChars="-50" w:right="-105" w:rightChars="-50"/>
              <w:jc w:val="center"/>
              <w:rPr>
                <w:rFonts w:ascii="宋体" w:hAnsi="宋体" w:cs="宋体"/>
                <w:bCs/>
                <w:color w:val="auto"/>
                <w:kern w:val="0"/>
                <w:sz w:val="24"/>
              </w:rPr>
            </w:pPr>
          </w:p>
        </w:tc>
        <w:tc>
          <w:tcPr>
            <w:tcW w:w="1359" w:type="dxa"/>
            <w:vMerge w:val="continue"/>
            <w:vAlign w:val="center"/>
          </w:tcPr>
          <w:p w14:paraId="096CA98C">
            <w:pPr>
              <w:spacing w:line="400" w:lineRule="exact"/>
              <w:jc w:val="center"/>
              <w:rPr>
                <w:rFonts w:ascii="宋体" w:hAnsi="宋体" w:cs="宋体"/>
                <w:color w:val="auto"/>
                <w:kern w:val="0"/>
                <w:sz w:val="24"/>
              </w:rPr>
            </w:pPr>
          </w:p>
        </w:tc>
        <w:tc>
          <w:tcPr>
            <w:tcW w:w="6717" w:type="dxa"/>
            <w:vAlign w:val="center"/>
          </w:tcPr>
          <w:p w14:paraId="77791971">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rPr>
              <w:t>3.确保工程质量的技术组织措施(满分10分)</w:t>
            </w:r>
          </w:p>
          <w:p w14:paraId="58A85FCF">
            <w:pPr>
              <w:spacing w:line="400" w:lineRule="exact"/>
              <w:ind w:firstLine="480" w:firstLineChars="200"/>
              <w:rPr>
                <w:rFonts w:ascii="宋体" w:hAnsi="宋体" w:cs="宋体"/>
                <w:bCs/>
                <w:color w:val="auto"/>
                <w:sz w:val="24"/>
              </w:rPr>
            </w:pPr>
            <w:r>
              <w:rPr>
                <w:rFonts w:hint="eastAsia" w:ascii="宋体" w:hAnsi="宋体" w:cs="宋体"/>
                <w:bCs/>
                <w:color w:val="auto"/>
                <w:sz w:val="24"/>
              </w:rPr>
              <w:t xml:space="preserve">一档（10分）：质量目标明确，质量管控体系制度健全（包括组织结构、人员分工、施工现场质量控制的措施和手段、原材料质量检测、单元工程验收和质量评定、质量控制奖罚机制等）质量事件（缺陷、事故）应急措施得当、可行。 </w:t>
            </w:r>
          </w:p>
          <w:p w14:paraId="5875DA2F">
            <w:pPr>
              <w:spacing w:line="400" w:lineRule="exact"/>
              <w:ind w:firstLine="480" w:firstLineChars="200"/>
              <w:rPr>
                <w:rFonts w:ascii="宋体" w:hAnsi="宋体" w:cs="宋体"/>
                <w:bCs/>
                <w:color w:val="auto"/>
                <w:sz w:val="24"/>
              </w:rPr>
            </w:pPr>
            <w:r>
              <w:rPr>
                <w:rFonts w:hint="eastAsia" w:ascii="宋体" w:hAnsi="宋体" w:cs="宋体"/>
                <w:bCs/>
                <w:color w:val="auto"/>
                <w:sz w:val="24"/>
              </w:rPr>
              <w:t xml:space="preserve">二档（6分）：质量目标较明确，质量管控体系制度基本健全（包括组织结构、人员分工、施工现场质量控制的措施和手段、原材料质量检测、单元工程验收和质量评定、质量控制奖罚机制等）质量事件（缺陷、事故）应急措施基本得当、可行。 </w:t>
            </w:r>
          </w:p>
          <w:p w14:paraId="4F222762">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 xml:space="preserve">三档（3分）：质量目标不明确，质量管控体系制度基本或不健全（包括组织结构、人员分工、施工现场质量控制的措施和手段、原材料质量检测、单元工程验收和质量评定、质量控制奖罚机制等）质量事件（缺陷、事故）应急措施一般。 </w:t>
            </w:r>
          </w:p>
        </w:tc>
        <w:tc>
          <w:tcPr>
            <w:tcW w:w="1281" w:type="dxa"/>
            <w:vAlign w:val="center"/>
          </w:tcPr>
          <w:p w14:paraId="089470DA">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365E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4" w:type="dxa"/>
            <w:vMerge w:val="continue"/>
            <w:vAlign w:val="center"/>
          </w:tcPr>
          <w:p w14:paraId="7E34FCD1">
            <w:pPr>
              <w:spacing w:line="400" w:lineRule="exact"/>
              <w:ind w:left="-105" w:leftChars="-50" w:right="-105" w:rightChars="-50"/>
              <w:jc w:val="center"/>
              <w:rPr>
                <w:rFonts w:ascii="宋体" w:hAnsi="宋体" w:cs="宋体"/>
                <w:bCs/>
                <w:color w:val="auto"/>
                <w:kern w:val="0"/>
                <w:sz w:val="24"/>
              </w:rPr>
            </w:pPr>
          </w:p>
        </w:tc>
        <w:tc>
          <w:tcPr>
            <w:tcW w:w="1359" w:type="dxa"/>
            <w:vMerge w:val="continue"/>
            <w:vAlign w:val="center"/>
          </w:tcPr>
          <w:p w14:paraId="32F8277A">
            <w:pPr>
              <w:spacing w:line="400" w:lineRule="exact"/>
              <w:jc w:val="center"/>
              <w:rPr>
                <w:rFonts w:ascii="宋体" w:hAnsi="宋体" w:cs="宋体"/>
                <w:color w:val="auto"/>
                <w:kern w:val="0"/>
                <w:sz w:val="24"/>
              </w:rPr>
            </w:pPr>
          </w:p>
        </w:tc>
        <w:tc>
          <w:tcPr>
            <w:tcW w:w="6717" w:type="dxa"/>
            <w:vAlign w:val="center"/>
          </w:tcPr>
          <w:p w14:paraId="16F69D7F">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rPr>
              <w:t>4.施工进度计划和各阶段进度的保证措施（满分10分）</w:t>
            </w:r>
          </w:p>
          <w:p w14:paraId="449289C6">
            <w:pPr>
              <w:spacing w:line="400" w:lineRule="exact"/>
              <w:ind w:firstLine="480" w:firstLineChars="200"/>
              <w:rPr>
                <w:rFonts w:ascii="宋体" w:hAnsi="宋体" w:cs="宋体"/>
                <w:bCs/>
                <w:color w:val="auto"/>
                <w:sz w:val="24"/>
              </w:rPr>
            </w:pPr>
            <w:r>
              <w:rPr>
                <w:rFonts w:hint="eastAsia" w:ascii="宋体" w:hAnsi="宋体" w:cs="宋体"/>
                <w:bCs/>
                <w:color w:val="auto"/>
                <w:sz w:val="24"/>
              </w:rPr>
              <w:t xml:space="preserve">一档（10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67F68AD9">
            <w:pPr>
              <w:spacing w:line="400" w:lineRule="exact"/>
              <w:ind w:firstLine="480" w:firstLineChars="200"/>
              <w:rPr>
                <w:rFonts w:ascii="宋体" w:hAnsi="宋体" w:cs="宋体"/>
                <w:bCs/>
                <w:color w:val="auto"/>
                <w:sz w:val="24"/>
              </w:rPr>
            </w:pPr>
            <w:r>
              <w:rPr>
                <w:rFonts w:hint="eastAsia" w:ascii="宋体" w:hAnsi="宋体" w:cs="宋体"/>
                <w:bCs/>
                <w:color w:val="auto"/>
                <w:sz w:val="24"/>
              </w:rPr>
              <w:t xml:space="preserve">二档（7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372635C2">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三档（</w:t>
            </w:r>
            <w:r>
              <w:rPr>
                <w:rFonts w:hint="eastAsia" w:hAnsi="宋体" w:cs="宋体"/>
                <w:bCs/>
                <w:color w:val="auto"/>
                <w:sz w:val="24"/>
                <w:szCs w:val="24"/>
                <w:lang w:val="en-US" w:eastAsia="zh-CN"/>
              </w:rPr>
              <w:t>3</w:t>
            </w:r>
            <w:r>
              <w:rPr>
                <w:rFonts w:hint="eastAsia" w:hAnsi="宋体" w:cs="宋体"/>
                <w:bCs/>
                <w:color w:val="auto"/>
                <w:sz w:val="24"/>
                <w:szCs w:val="24"/>
              </w:rPr>
              <w:t xml:space="preserve">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1281" w:type="dxa"/>
            <w:vAlign w:val="center"/>
          </w:tcPr>
          <w:p w14:paraId="0C3B0658">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14D4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74" w:type="dxa"/>
            <w:vMerge w:val="continue"/>
            <w:vAlign w:val="center"/>
          </w:tcPr>
          <w:p w14:paraId="6555D6B1">
            <w:pPr>
              <w:spacing w:line="400" w:lineRule="exact"/>
              <w:ind w:left="-105" w:leftChars="-50" w:right="-105" w:rightChars="-50"/>
              <w:jc w:val="center"/>
              <w:rPr>
                <w:rFonts w:ascii="宋体" w:hAnsi="宋体" w:cs="宋体"/>
                <w:bCs/>
                <w:color w:val="auto"/>
                <w:kern w:val="0"/>
                <w:sz w:val="24"/>
              </w:rPr>
            </w:pPr>
          </w:p>
        </w:tc>
        <w:tc>
          <w:tcPr>
            <w:tcW w:w="1359" w:type="dxa"/>
            <w:vMerge w:val="continue"/>
            <w:vAlign w:val="center"/>
          </w:tcPr>
          <w:p w14:paraId="0943251E">
            <w:pPr>
              <w:spacing w:line="400" w:lineRule="exact"/>
              <w:jc w:val="center"/>
              <w:rPr>
                <w:rFonts w:ascii="宋体" w:hAnsi="宋体" w:cs="宋体"/>
                <w:color w:val="auto"/>
                <w:kern w:val="0"/>
                <w:sz w:val="24"/>
              </w:rPr>
            </w:pPr>
          </w:p>
        </w:tc>
        <w:tc>
          <w:tcPr>
            <w:tcW w:w="6717" w:type="dxa"/>
            <w:vAlign w:val="center"/>
          </w:tcPr>
          <w:p w14:paraId="0517BE15">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rPr>
              <w:t>5.确保安全生产的技术组织措施(满分10分)</w:t>
            </w:r>
          </w:p>
          <w:p w14:paraId="17CC57B5">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一档（10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A79F4DE">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 xml:space="preserve">二档（6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2C8FE6A4">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三档（</w:t>
            </w:r>
            <w:r>
              <w:rPr>
                <w:rFonts w:hint="eastAsia" w:hAnsi="宋体" w:cs="宋体"/>
                <w:bCs/>
                <w:color w:val="auto"/>
                <w:sz w:val="24"/>
                <w:szCs w:val="24"/>
                <w:lang w:val="en-US" w:eastAsia="zh-CN"/>
              </w:rPr>
              <w:t>3</w:t>
            </w:r>
            <w:r>
              <w:rPr>
                <w:rFonts w:hint="eastAsia" w:hAnsi="宋体" w:cs="宋体"/>
                <w:bCs/>
                <w:color w:val="auto"/>
                <w:sz w:val="24"/>
                <w:szCs w:val="24"/>
              </w:rPr>
              <w:t xml:space="preserve">分）：有专门的安全管理人员和制度，人员配备不合理，制度不健全，各道工序安全技术措施针无对性，不满足有关安全技术标准要求。现场防火、应急救援、社会治安安全措施不得力。 </w:t>
            </w:r>
          </w:p>
        </w:tc>
        <w:tc>
          <w:tcPr>
            <w:tcW w:w="1281" w:type="dxa"/>
            <w:vAlign w:val="center"/>
          </w:tcPr>
          <w:p w14:paraId="33F5ECF3">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53EE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74" w:type="dxa"/>
            <w:vMerge w:val="continue"/>
            <w:vAlign w:val="center"/>
          </w:tcPr>
          <w:p w14:paraId="0AE1CDA9">
            <w:pPr>
              <w:spacing w:line="400" w:lineRule="exact"/>
              <w:ind w:left="-105" w:leftChars="-50" w:right="-105" w:rightChars="-50"/>
              <w:jc w:val="center"/>
              <w:rPr>
                <w:rFonts w:ascii="宋体" w:hAnsi="宋体" w:cs="宋体"/>
                <w:bCs/>
                <w:color w:val="auto"/>
                <w:kern w:val="0"/>
                <w:sz w:val="24"/>
              </w:rPr>
            </w:pPr>
          </w:p>
        </w:tc>
        <w:tc>
          <w:tcPr>
            <w:tcW w:w="1359" w:type="dxa"/>
            <w:vMerge w:val="continue"/>
            <w:vAlign w:val="center"/>
          </w:tcPr>
          <w:p w14:paraId="57D2CEAA">
            <w:pPr>
              <w:spacing w:line="400" w:lineRule="exact"/>
              <w:jc w:val="center"/>
              <w:rPr>
                <w:rFonts w:ascii="宋体" w:hAnsi="宋体" w:cs="宋体"/>
                <w:color w:val="auto"/>
                <w:kern w:val="0"/>
                <w:sz w:val="24"/>
              </w:rPr>
            </w:pPr>
          </w:p>
        </w:tc>
        <w:tc>
          <w:tcPr>
            <w:tcW w:w="6717" w:type="dxa"/>
            <w:vAlign w:val="center"/>
          </w:tcPr>
          <w:p w14:paraId="235CE57C">
            <w:pPr>
              <w:pStyle w:val="22"/>
              <w:numPr>
                <w:ilvl w:val="255"/>
                <w:numId w:val="0"/>
              </w:numPr>
              <w:spacing w:line="400" w:lineRule="exact"/>
              <w:rPr>
                <w:rFonts w:hAnsi="宋体" w:cs="宋体"/>
                <w:bCs/>
                <w:color w:val="auto"/>
                <w:sz w:val="24"/>
                <w:szCs w:val="24"/>
              </w:rPr>
            </w:pPr>
            <w:r>
              <w:rPr>
                <w:rFonts w:hint="eastAsia" w:hAnsi="宋体" w:cs="宋体"/>
                <w:bCs/>
                <w:color w:val="auto"/>
                <w:kern w:val="0"/>
                <w:sz w:val="24"/>
                <w:szCs w:val="24"/>
              </w:rPr>
              <w:t>6.</w:t>
            </w:r>
            <w:r>
              <w:rPr>
                <w:rFonts w:hint="eastAsia" w:hAnsi="宋体" w:cs="宋体"/>
                <w:bCs/>
                <w:color w:val="auto"/>
                <w:sz w:val="24"/>
                <w:szCs w:val="24"/>
              </w:rPr>
              <w:t>环境保护管理体系与措施（满分 10 分）</w:t>
            </w:r>
          </w:p>
          <w:p w14:paraId="2ACF19DF">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一档</w:t>
            </w:r>
            <w:r>
              <w:rPr>
                <w:rFonts w:hAnsi="宋体" w:cs="宋体"/>
                <w:bCs/>
                <w:color w:val="auto"/>
                <w:sz w:val="24"/>
                <w:szCs w:val="24"/>
              </w:rPr>
              <w:t xml:space="preserve">（10分）：环境保护目标明确，环境保护管理体系健全，预防和控制（包括大气、水、噪声、固体废物、人群等环保工程）具有针对性、内容全面、可行。 </w:t>
            </w:r>
          </w:p>
          <w:p w14:paraId="0181BBAD">
            <w:pPr>
              <w:pStyle w:val="22"/>
              <w:numPr>
                <w:ilvl w:val="255"/>
                <w:numId w:val="0"/>
              </w:numPr>
              <w:spacing w:line="400" w:lineRule="exact"/>
              <w:ind w:firstLine="480" w:firstLineChars="200"/>
              <w:rPr>
                <w:rFonts w:hAnsi="宋体" w:cs="宋体"/>
                <w:bCs/>
                <w:color w:val="auto"/>
                <w:sz w:val="24"/>
                <w:szCs w:val="24"/>
              </w:rPr>
            </w:pPr>
            <w:r>
              <w:rPr>
                <w:rFonts w:hAnsi="宋体" w:cs="宋体"/>
                <w:bCs/>
                <w:color w:val="auto"/>
                <w:sz w:val="24"/>
                <w:szCs w:val="24"/>
              </w:rPr>
              <w:t xml:space="preserve">二档（6分）：环境保护目标较明确，环境保护管理体系较健全，预防和控制（包括大气、水、噪声、固体废物、人群等环保工程）具较有针对性，内容较全面、可行。 </w:t>
            </w:r>
          </w:p>
          <w:p w14:paraId="30367FF1">
            <w:pPr>
              <w:pStyle w:val="22"/>
              <w:numPr>
                <w:ilvl w:val="255"/>
                <w:numId w:val="0"/>
              </w:numPr>
              <w:spacing w:line="400" w:lineRule="exact"/>
              <w:ind w:firstLine="480" w:firstLineChars="200"/>
              <w:rPr>
                <w:rFonts w:hAnsi="宋体" w:cs="宋体"/>
                <w:bCs/>
                <w:color w:val="auto"/>
                <w:sz w:val="24"/>
                <w:szCs w:val="24"/>
              </w:rPr>
            </w:pPr>
            <w:r>
              <w:rPr>
                <w:rFonts w:hint="eastAsia" w:hAnsi="宋体" w:cs="宋体"/>
                <w:bCs/>
                <w:color w:val="auto"/>
                <w:sz w:val="24"/>
                <w:szCs w:val="24"/>
              </w:rPr>
              <w:t>三</w:t>
            </w:r>
            <w:r>
              <w:rPr>
                <w:rFonts w:hAnsi="宋体" w:cs="宋体"/>
                <w:bCs/>
                <w:color w:val="auto"/>
                <w:sz w:val="24"/>
                <w:szCs w:val="24"/>
              </w:rPr>
              <w:t xml:space="preserve">档（3分）：环境保护目标基本或不明确，环境保护管理体系基本健全，预防和控制（包括大气、水、噪声、固体废物、人群等环保工程）针对性一般，内容一般。 </w:t>
            </w:r>
          </w:p>
        </w:tc>
        <w:tc>
          <w:tcPr>
            <w:tcW w:w="1281" w:type="dxa"/>
            <w:vAlign w:val="center"/>
          </w:tcPr>
          <w:p w14:paraId="3F03E58F">
            <w:pPr>
              <w:spacing w:line="400" w:lineRule="exact"/>
              <w:jc w:val="center"/>
              <w:rPr>
                <w:rFonts w:ascii="宋体" w:hAnsi="宋体" w:cs="宋体"/>
                <w:color w:val="auto"/>
                <w:kern w:val="0"/>
                <w:sz w:val="24"/>
              </w:rPr>
            </w:pPr>
            <w:r>
              <w:rPr>
                <w:rFonts w:hint="eastAsia" w:ascii="宋体" w:hAnsi="宋体" w:cs="宋体"/>
                <w:color w:val="auto"/>
                <w:kern w:val="0"/>
                <w:sz w:val="24"/>
              </w:rPr>
              <w:t>10分</w:t>
            </w:r>
          </w:p>
        </w:tc>
      </w:tr>
      <w:tr w14:paraId="4D1F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vAlign w:val="center"/>
          </w:tcPr>
          <w:p w14:paraId="6AF4F487">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359" w:type="dxa"/>
            <w:vAlign w:val="center"/>
          </w:tcPr>
          <w:p w14:paraId="43A583F9">
            <w:pPr>
              <w:widowControl/>
              <w:spacing w:line="400" w:lineRule="exact"/>
              <w:jc w:val="center"/>
              <w:rPr>
                <w:rFonts w:ascii="宋体" w:hAnsi="宋体" w:cs="宋体"/>
                <w:bCs/>
                <w:color w:val="auto"/>
                <w:sz w:val="24"/>
              </w:rPr>
            </w:pPr>
            <w:r>
              <w:rPr>
                <w:rFonts w:hint="eastAsia" w:ascii="宋体" w:hAnsi="宋体" w:cs="宋体"/>
                <w:bCs/>
                <w:color w:val="auto"/>
                <w:sz w:val="24"/>
              </w:rPr>
              <w:t>商务分（满分5分）</w:t>
            </w:r>
          </w:p>
        </w:tc>
        <w:tc>
          <w:tcPr>
            <w:tcW w:w="7998" w:type="dxa"/>
            <w:gridSpan w:val="2"/>
            <w:vAlign w:val="center"/>
          </w:tcPr>
          <w:p w14:paraId="58D33D54">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评审因素</w:t>
            </w:r>
          </w:p>
        </w:tc>
      </w:tr>
      <w:tr w14:paraId="211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74" w:type="dxa"/>
            <w:vAlign w:val="center"/>
          </w:tcPr>
          <w:p w14:paraId="05FDD5CE">
            <w:pPr>
              <w:spacing w:line="400" w:lineRule="exact"/>
              <w:jc w:val="center"/>
              <w:rPr>
                <w:rFonts w:ascii="宋体" w:hAnsi="宋体" w:cs="宋体"/>
                <w:color w:val="auto"/>
                <w:kern w:val="0"/>
                <w:sz w:val="24"/>
              </w:rPr>
            </w:pPr>
            <w:r>
              <w:rPr>
                <w:rFonts w:hint="eastAsia" w:ascii="宋体" w:hAnsi="宋体" w:cs="宋体"/>
                <w:color w:val="auto"/>
                <w:kern w:val="0"/>
                <w:sz w:val="24"/>
              </w:rPr>
              <w:t>3.1</w:t>
            </w:r>
          </w:p>
        </w:tc>
        <w:tc>
          <w:tcPr>
            <w:tcW w:w="1359" w:type="dxa"/>
            <w:vAlign w:val="center"/>
          </w:tcPr>
          <w:p w14:paraId="5300EF50">
            <w:pPr>
              <w:widowControl/>
              <w:spacing w:line="400" w:lineRule="exact"/>
              <w:jc w:val="center"/>
              <w:rPr>
                <w:rFonts w:ascii="宋体" w:hAnsi="宋体" w:cs="宋体"/>
                <w:color w:val="auto"/>
                <w:kern w:val="0"/>
                <w:sz w:val="24"/>
              </w:rPr>
            </w:pPr>
            <w:r>
              <w:rPr>
                <w:rFonts w:hint="eastAsia" w:ascii="宋体" w:hAnsi="宋体" w:cs="Courier New"/>
                <w:bCs/>
                <w:color w:val="auto"/>
                <w:sz w:val="24"/>
              </w:rPr>
              <w:t>项目业绩分（满分5分）</w:t>
            </w:r>
          </w:p>
        </w:tc>
        <w:tc>
          <w:tcPr>
            <w:tcW w:w="6717" w:type="dxa"/>
            <w:vAlign w:val="center"/>
          </w:tcPr>
          <w:p w14:paraId="389B393A">
            <w:pPr>
              <w:pStyle w:val="22"/>
              <w:numPr>
                <w:ilvl w:val="255"/>
                <w:numId w:val="0"/>
              </w:numPr>
              <w:spacing w:line="400" w:lineRule="exact"/>
              <w:rPr>
                <w:rFonts w:hAnsi="宋体" w:cs="宋体"/>
                <w:bCs/>
                <w:color w:val="auto"/>
                <w:sz w:val="24"/>
                <w:szCs w:val="24"/>
              </w:rPr>
            </w:pPr>
            <w:r>
              <w:rPr>
                <w:rFonts w:hint="eastAsia" w:hAnsi="宋体" w:cs="宋体"/>
                <w:bCs/>
                <w:color w:val="auto"/>
                <w:sz w:val="24"/>
                <w:szCs w:val="24"/>
                <w:highlight w:val="none"/>
              </w:rPr>
              <w:t>供应商近3年（指从工程完工验收或竣工验收鉴定书标明的验收日期起，至本工程开标之日止3年）已完成类似工程项目业绩每个得1分；本项满分5分。</w:t>
            </w:r>
            <w:r>
              <w:rPr>
                <w:rFonts w:hint="eastAsia" w:hAnsi="宋体" w:cs="宋体"/>
                <w:bCs/>
                <w:color w:val="auto"/>
                <w:sz w:val="24"/>
                <w:szCs w:val="24"/>
              </w:rPr>
              <w:t>需提供有中标（或成交）通知书或者合同复印件，并加盖供应商公章等证明材料</w:t>
            </w:r>
            <w:r>
              <w:rPr>
                <w:rFonts w:hAnsi="宋体" w:cs="宋体"/>
                <w:bCs/>
                <w:color w:val="auto"/>
                <w:sz w:val="24"/>
                <w:szCs w:val="24"/>
              </w:rPr>
              <w:t xml:space="preserve">。 </w:t>
            </w:r>
          </w:p>
        </w:tc>
        <w:tc>
          <w:tcPr>
            <w:tcW w:w="1281" w:type="dxa"/>
            <w:vAlign w:val="center"/>
          </w:tcPr>
          <w:p w14:paraId="5B35EBA5">
            <w:pPr>
              <w:widowControl/>
              <w:spacing w:line="400" w:lineRule="exact"/>
              <w:jc w:val="center"/>
              <w:rPr>
                <w:rFonts w:ascii="宋体" w:hAnsi="宋体" w:cs="宋体"/>
                <w:color w:val="auto"/>
                <w:kern w:val="0"/>
                <w:sz w:val="24"/>
              </w:rPr>
            </w:pPr>
            <w:r>
              <w:rPr>
                <w:rFonts w:hint="eastAsia" w:ascii="宋体" w:hAnsi="宋体" w:cs="Tahoma"/>
                <w:color w:val="auto"/>
                <w:kern w:val="0"/>
                <w:sz w:val="24"/>
              </w:rPr>
              <w:t>5分</w:t>
            </w:r>
          </w:p>
        </w:tc>
      </w:tr>
      <w:tr w14:paraId="44C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0" w:type="dxa"/>
            <w:gridSpan w:val="3"/>
          </w:tcPr>
          <w:p w14:paraId="67BDA0EB">
            <w:pPr>
              <w:pStyle w:val="22"/>
              <w:spacing w:line="400" w:lineRule="exact"/>
              <w:ind w:firstLine="480" w:firstLineChars="200"/>
              <w:rPr>
                <w:rFonts w:hAnsi="宋体" w:cs="宋体"/>
                <w:bCs/>
                <w:color w:val="auto"/>
                <w:sz w:val="24"/>
                <w:szCs w:val="24"/>
              </w:rPr>
            </w:pPr>
            <w:r>
              <w:rPr>
                <w:rFonts w:hint="eastAsia" w:hAnsi="宋体" w:cs="宋体"/>
                <w:bCs/>
                <w:color w:val="auto"/>
                <w:sz w:val="24"/>
                <w:szCs w:val="24"/>
              </w:rPr>
              <w:t>总得分＝价格分＋技术分＋商务分</w:t>
            </w:r>
          </w:p>
        </w:tc>
        <w:tc>
          <w:tcPr>
            <w:tcW w:w="1281" w:type="dxa"/>
            <w:vAlign w:val="center"/>
          </w:tcPr>
          <w:p w14:paraId="368DF049">
            <w:pPr>
              <w:widowControl/>
              <w:spacing w:line="400" w:lineRule="exact"/>
              <w:jc w:val="center"/>
              <w:rPr>
                <w:rFonts w:ascii="宋体" w:hAnsi="宋体" w:cs="宋体"/>
                <w:color w:val="auto"/>
                <w:kern w:val="0"/>
                <w:sz w:val="24"/>
              </w:rPr>
            </w:pPr>
          </w:p>
        </w:tc>
      </w:tr>
    </w:tbl>
    <w:p w14:paraId="7B92C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b/>
          <w:bCs/>
          <w:color w:val="auto"/>
          <w:sz w:val="24"/>
          <w:szCs w:val="24"/>
        </w:rPr>
      </w:pPr>
      <w:r>
        <w:rPr>
          <w:rFonts w:hint="eastAsia" w:ascii="宋体" w:hAnsi="宋体"/>
          <w:b/>
          <w:bCs/>
          <w:color w:val="auto"/>
          <w:sz w:val="24"/>
          <w:szCs w:val="24"/>
        </w:rPr>
        <w:t>三、推荐成交候选供应商原则</w:t>
      </w:r>
    </w:p>
    <w:p w14:paraId="0D8239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磋商小组根据评审结果按评审后得分由高到低顺序排列推荐3名成交候选人。总得分相同的，依次按最终报价低优先、技术分高优先、业绩分高优先的顺序排列。成交候选人并列的，由采购人采取随机抽取的方式确定成交人。</w:t>
      </w:r>
    </w:p>
    <w:p w14:paraId="2E00F7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szCs w:val="24"/>
        </w:rPr>
      </w:pPr>
      <w:r>
        <w:rPr>
          <w:rFonts w:hint="eastAsia" w:ascii="宋体" w:hAnsi="宋体" w:cs="宋体"/>
          <w:color w:val="auto"/>
          <w:sz w:val="24"/>
          <w:szCs w:val="24"/>
        </w:rPr>
        <w:t>（2）采购人应当确定磋商小组推荐排名第一的成交候选人为成交人。排名第一的成交候选人放弃成交、因不可抗力提出不能履行合同，或者磋商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4268331D">
      <w:pPr>
        <w:pStyle w:val="77"/>
        <w:widowControl/>
        <w:ind w:firstLine="480"/>
        <w:rPr>
          <w:rFonts w:ascii="宋体" w:hAnsi="宋体"/>
          <w:color w:val="auto"/>
          <w:sz w:val="24"/>
        </w:rPr>
      </w:pPr>
    </w:p>
    <w:sectPr>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panose1 w:val="03000509000000000000"/>
    <w:charset w:val="86"/>
    <w:family w:val="script"/>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C7D78">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A5824">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FA5824">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0D36">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134</w:t>
    </w:r>
    <w:r>
      <w:rPr>
        <w:rFonts w:hint="eastAsia" w:ascii="仿宋_GB2312" w:eastAsia="仿宋_GB2312"/>
        <w:kern w:val="0"/>
      </w:rPr>
      <w:fldChar w:fldCharType="end"/>
    </w:r>
    <w:r>
      <w:rPr>
        <w:rFonts w:hint="eastAsia" w:ascii="仿宋_GB2312" w:eastAsia="仿宋_GB2312"/>
        <w:kern w:val="0"/>
      </w:rPr>
      <w:t xml:space="preserve"> 页</w:t>
    </w:r>
  </w:p>
  <w:p w14:paraId="79C6F245">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C6B">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2D01">
                          <w:pPr>
                            <w:pStyle w:val="26"/>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782D01">
                    <w:pPr>
                      <w:pStyle w:val="26"/>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0B83">
    <w:pPr>
      <w:spacing w:line="178" w:lineRule="auto"/>
      <w:ind w:left="393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D674F">
                          <w:pPr>
                            <w:pStyle w:val="2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9D674F">
                    <w:pPr>
                      <w:pStyle w:val="2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535D">
    <w:pPr>
      <w:spacing w:line="178" w:lineRule="auto"/>
      <w:ind w:left="393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0893">
                          <w:pPr>
                            <w:pStyle w:val="26"/>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700893">
                    <w:pPr>
                      <w:pStyle w:val="26"/>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134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826C">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18031">
                          <w:pPr>
                            <w:pStyle w:val="26"/>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6618031">
                    <w:pPr>
                      <w:pStyle w:val="26"/>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4AB9">
    <w:pPr>
      <w:pStyle w:val="27"/>
    </w:pPr>
    <w:r>
      <w:rPr>
        <w:rFonts w:hint="eastAsia"/>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2E36">
    <w:pPr>
      <w:pStyle w:val="27"/>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5DA4A39"/>
    <w:multiLevelType w:val="singleLevel"/>
    <w:tmpl w:val="45DA4A39"/>
    <w:lvl w:ilvl="0" w:tentative="0">
      <w:start w:val="1"/>
      <w:numFmt w:val="decimal"/>
      <w:lvlText w:val="%1."/>
      <w:lvlJc w:val="left"/>
      <w:pPr>
        <w:tabs>
          <w:tab w:val="left" w:pos="312"/>
        </w:tabs>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4F7D1618"/>
    <w:multiLevelType w:val="singleLevel"/>
    <w:tmpl w:val="4F7D1618"/>
    <w:lvl w:ilvl="0" w:tentative="0">
      <w:start w:val="6"/>
      <w:numFmt w:val="decimal"/>
      <w:suff w:val="nothing"/>
      <w:lvlText w:val="（%1）"/>
      <w:lvlJc w:val="left"/>
    </w:lvl>
  </w:abstractNum>
  <w:abstractNum w:abstractNumId="4">
    <w:nsid w:val="5DF9E985"/>
    <w:multiLevelType w:val="singleLevel"/>
    <w:tmpl w:val="5DF9E985"/>
    <w:lvl w:ilvl="0" w:tentative="0">
      <w:start w:val="1"/>
      <w:numFmt w:val="chineseCounting"/>
      <w:suff w:val="nothing"/>
      <w:lvlText w:val="%1、"/>
      <w:lvlJc w:val="left"/>
      <w:rPr>
        <w:rFonts w:hint="eastAsia"/>
      </w:rPr>
    </w:lvl>
  </w:abstractNum>
  <w:abstractNum w:abstractNumId="5">
    <w:nsid w:val="77633218"/>
    <w:multiLevelType w:val="singleLevel"/>
    <w:tmpl w:val="7763321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7">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8">
    <w:nsid w:val="77633244"/>
    <w:multiLevelType w:val="singleLevel"/>
    <w:tmpl w:val="7763324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77633245"/>
    <w:multiLevelType w:val="singleLevel"/>
    <w:tmpl w:val="77633245"/>
    <w:lvl w:ilvl="0" w:tentative="0">
      <w:start w:val="2"/>
      <w:numFmt w:val="chineseCounting"/>
      <w:suff w:val="nothing"/>
      <w:lvlText w:val="（%1）"/>
      <w:lvlJc w:val="left"/>
      <w:rPr>
        <w:rFonts w:hint="eastAsia"/>
      </w:rPr>
    </w:lvl>
  </w:abstractNum>
  <w:abstractNum w:abstractNumId="40">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1377"/>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C7CAC"/>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9F7"/>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572"/>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9D4"/>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3B9"/>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940"/>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D92"/>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2A5"/>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2F7"/>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3FF"/>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6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B7D2A"/>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9A2"/>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B11044"/>
    <w:rsid w:val="02BB2E31"/>
    <w:rsid w:val="02C67B7D"/>
    <w:rsid w:val="04610B65"/>
    <w:rsid w:val="08345FF5"/>
    <w:rsid w:val="083A51B0"/>
    <w:rsid w:val="08A77585"/>
    <w:rsid w:val="08F00FB1"/>
    <w:rsid w:val="09A1314D"/>
    <w:rsid w:val="0A3A3F77"/>
    <w:rsid w:val="0A560D2F"/>
    <w:rsid w:val="0A571E72"/>
    <w:rsid w:val="0B875353"/>
    <w:rsid w:val="0C61389F"/>
    <w:rsid w:val="0CB541DF"/>
    <w:rsid w:val="0CC8768B"/>
    <w:rsid w:val="0D6D128A"/>
    <w:rsid w:val="0D6F089E"/>
    <w:rsid w:val="0ED143A4"/>
    <w:rsid w:val="0FBD6FC9"/>
    <w:rsid w:val="0FEB5787"/>
    <w:rsid w:val="100729BD"/>
    <w:rsid w:val="10192EC5"/>
    <w:rsid w:val="103241E5"/>
    <w:rsid w:val="10636B04"/>
    <w:rsid w:val="11CB65CE"/>
    <w:rsid w:val="12777691"/>
    <w:rsid w:val="151C5656"/>
    <w:rsid w:val="165322D8"/>
    <w:rsid w:val="16545A4F"/>
    <w:rsid w:val="1AA64042"/>
    <w:rsid w:val="1AE968D2"/>
    <w:rsid w:val="1C811B0F"/>
    <w:rsid w:val="1CA522C0"/>
    <w:rsid w:val="1CDB1E2E"/>
    <w:rsid w:val="1D8D218F"/>
    <w:rsid w:val="1DCC5F20"/>
    <w:rsid w:val="1F533349"/>
    <w:rsid w:val="20244E58"/>
    <w:rsid w:val="21132C91"/>
    <w:rsid w:val="212B7126"/>
    <w:rsid w:val="22B831B5"/>
    <w:rsid w:val="234436A4"/>
    <w:rsid w:val="237920D6"/>
    <w:rsid w:val="23931BFA"/>
    <w:rsid w:val="24730DB4"/>
    <w:rsid w:val="24786F1A"/>
    <w:rsid w:val="28A208BD"/>
    <w:rsid w:val="290B77F3"/>
    <w:rsid w:val="291A4434"/>
    <w:rsid w:val="291A7D1A"/>
    <w:rsid w:val="294F4568"/>
    <w:rsid w:val="295E61D7"/>
    <w:rsid w:val="29D2458B"/>
    <w:rsid w:val="2A0D657B"/>
    <w:rsid w:val="2B276439"/>
    <w:rsid w:val="2B333C36"/>
    <w:rsid w:val="2B6F18D5"/>
    <w:rsid w:val="2B7037C7"/>
    <w:rsid w:val="2BF51305"/>
    <w:rsid w:val="2D7D3FBE"/>
    <w:rsid w:val="2D8938CA"/>
    <w:rsid w:val="2DFE4872"/>
    <w:rsid w:val="2E3436CC"/>
    <w:rsid w:val="2E480416"/>
    <w:rsid w:val="2ECD4F05"/>
    <w:rsid w:val="2ED90815"/>
    <w:rsid w:val="2EE97857"/>
    <w:rsid w:val="2F2A6C72"/>
    <w:rsid w:val="300C0292"/>
    <w:rsid w:val="302A5A00"/>
    <w:rsid w:val="30CF0188"/>
    <w:rsid w:val="30ED5CCF"/>
    <w:rsid w:val="31692CF6"/>
    <w:rsid w:val="349C48BF"/>
    <w:rsid w:val="34EA24D1"/>
    <w:rsid w:val="350A761F"/>
    <w:rsid w:val="36096CDE"/>
    <w:rsid w:val="36F23DEC"/>
    <w:rsid w:val="376647E1"/>
    <w:rsid w:val="379E46E5"/>
    <w:rsid w:val="39011ED9"/>
    <w:rsid w:val="392C4AB5"/>
    <w:rsid w:val="39CC42E8"/>
    <w:rsid w:val="39D0586A"/>
    <w:rsid w:val="3A337E96"/>
    <w:rsid w:val="3B042080"/>
    <w:rsid w:val="3B1B038C"/>
    <w:rsid w:val="3B6A39B8"/>
    <w:rsid w:val="3BAC3511"/>
    <w:rsid w:val="3C120820"/>
    <w:rsid w:val="3D2D7451"/>
    <w:rsid w:val="3D65451B"/>
    <w:rsid w:val="3DCB1735"/>
    <w:rsid w:val="3EA35F56"/>
    <w:rsid w:val="3EAB33FE"/>
    <w:rsid w:val="401B184F"/>
    <w:rsid w:val="40A6476D"/>
    <w:rsid w:val="41200C5E"/>
    <w:rsid w:val="41A33677"/>
    <w:rsid w:val="424879BD"/>
    <w:rsid w:val="427261A5"/>
    <w:rsid w:val="42B43694"/>
    <w:rsid w:val="43EF4B3E"/>
    <w:rsid w:val="4402047A"/>
    <w:rsid w:val="465143D8"/>
    <w:rsid w:val="46F52E39"/>
    <w:rsid w:val="47846478"/>
    <w:rsid w:val="47BE388F"/>
    <w:rsid w:val="482F688A"/>
    <w:rsid w:val="49E705D6"/>
    <w:rsid w:val="4AF54CB9"/>
    <w:rsid w:val="4B4E06F9"/>
    <w:rsid w:val="4C985108"/>
    <w:rsid w:val="4D1B12FD"/>
    <w:rsid w:val="4D23359C"/>
    <w:rsid w:val="4D8E03AE"/>
    <w:rsid w:val="4DE66BE2"/>
    <w:rsid w:val="4E8938D8"/>
    <w:rsid w:val="4FAB0BD5"/>
    <w:rsid w:val="50311835"/>
    <w:rsid w:val="51C85281"/>
    <w:rsid w:val="528E426D"/>
    <w:rsid w:val="531401FE"/>
    <w:rsid w:val="54112C0C"/>
    <w:rsid w:val="54C76671"/>
    <w:rsid w:val="550270C7"/>
    <w:rsid w:val="55877BAA"/>
    <w:rsid w:val="560E03C2"/>
    <w:rsid w:val="563441A1"/>
    <w:rsid w:val="570003CC"/>
    <w:rsid w:val="58BD5BDC"/>
    <w:rsid w:val="58E95336"/>
    <w:rsid w:val="59B10753"/>
    <w:rsid w:val="5CB91D3D"/>
    <w:rsid w:val="5CEE7E81"/>
    <w:rsid w:val="5DDD54D0"/>
    <w:rsid w:val="5E3C1C92"/>
    <w:rsid w:val="5F522265"/>
    <w:rsid w:val="60E60B56"/>
    <w:rsid w:val="612D1C31"/>
    <w:rsid w:val="62755D04"/>
    <w:rsid w:val="636D06F5"/>
    <w:rsid w:val="63790315"/>
    <w:rsid w:val="63A848C4"/>
    <w:rsid w:val="63B27E06"/>
    <w:rsid w:val="640507C9"/>
    <w:rsid w:val="641F4158"/>
    <w:rsid w:val="646B26B9"/>
    <w:rsid w:val="64A60B9F"/>
    <w:rsid w:val="64A97E58"/>
    <w:rsid w:val="65470D3C"/>
    <w:rsid w:val="658832E0"/>
    <w:rsid w:val="66213C5D"/>
    <w:rsid w:val="66457A90"/>
    <w:rsid w:val="67944AE4"/>
    <w:rsid w:val="67A11B51"/>
    <w:rsid w:val="682A79D5"/>
    <w:rsid w:val="683D1CDF"/>
    <w:rsid w:val="692C3B2F"/>
    <w:rsid w:val="696F474E"/>
    <w:rsid w:val="69E35009"/>
    <w:rsid w:val="6A0D45D1"/>
    <w:rsid w:val="6A8E62F4"/>
    <w:rsid w:val="6AE723D6"/>
    <w:rsid w:val="6AF458A9"/>
    <w:rsid w:val="6B1031B7"/>
    <w:rsid w:val="6BAE7BA3"/>
    <w:rsid w:val="6C676C46"/>
    <w:rsid w:val="6CE46DB3"/>
    <w:rsid w:val="6D6A5AEC"/>
    <w:rsid w:val="6E213A2A"/>
    <w:rsid w:val="6E664AB3"/>
    <w:rsid w:val="6E9F158A"/>
    <w:rsid w:val="6EB575C2"/>
    <w:rsid w:val="6EEC6AC2"/>
    <w:rsid w:val="6F241583"/>
    <w:rsid w:val="6F6447C8"/>
    <w:rsid w:val="6F97125C"/>
    <w:rsid w:val="703E08EB"/>
    <w:rsid w:val="706978A3"/>
    <w:rsid w:val="70825BF9"/>
    <w:rsid w:val="70F745F5"/>
    <w:rsid w:val="71C53A8D"/>
    <w:rsid w:val="721C4A9F"/>
    <w:rsid w:val="72E27488"/>
    <w:rsid w:val="73595954"/>
    <w:rsid w:val="740551C4"/>
    <w:rsid w:val="740F250F"/>
    <w:rsid w:val="744C3F3F"/>
    <w:rsid w:val="74F3461E"/>
    <w:rsid w:val="75856CF0"/>
    <w:rsid w:val="75F20A95"/>
    <w:rsid w:val="761854BD"/>
    <w:rsid w:val="76BD3590"/>
    <w:rsid w:val="77E336A1"/>
    <w:rsid w:val="789E013A"/>
    <w:rsid w:val="78C30E55"/>
    <w:rsid w:val="79224DC2"/>
    <w:rsid w:val="79843D42"/>
    <w:rsid w:val="79CB1296"/>
    <w:rsid w:val="7A00361B"/>
    <w:rsid w:val="7A0667FB"/>
    <w:rsid w:val="7AF86D58"/>
    <w:rsid w:val="7B1D1075"/>
    <w:rsid w:val="7E1F5A45"/>
    <w:rsid w:val="7E706900"/>
    <w:rsid w:val="7F0030C0"/>
    <w:rsid w:val="7F9D4566"/>
    <w:rsid w:val="7FA14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6"/>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48"/>
    <w:qFormat/>
    <w:uiPriority w:val="0"/>
    <w:pPr>
      <w:spacing w:line="380" w:lineRule="exact"/>
    </w:pPr>
    <w:rPr>
      <w:sz w:val="24"/>
    </w:rPr>
  </w:style>
  <w:style w:type="paragraph" w:styleId="19">
    <w:name w:val="Body Text Indent"/>
    <w:basedOn w:val="1"/>
    <w:link w:val="49"/>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next w:val="5"/>
    <w:link w:val="50"/>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2"/>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3"/>
    <w:qFormat/>
    <w:uiPriority w:val="0"/>
    <w:pPr>
      <w:spacing w:after="120" w:line="240" w:lineRule="auto"/>
      <w:ind w:firstLine="420" w:firstLineChars="100"/>
    </w:pPr>
    <w:rPr>
      <w:sz w:val="21"/>
    </w:rPr>
  </w:style>
  <w:style w:type="paragraph" w:styleId="36">
    <w:name w:val="Body Text First Indent 2"/>
    <w:basedOn w:val="19"/>
    <w:link w:val="54"/>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customStyle="1" w:styleId="43">
    <w:name w:val="标题 1 字符"/>
    <w:link w:val="2"/>
    <w:qFormat/>
    <w:uiPriority w:val="0"/>
    <w:rPr>
      <w:rFonts w:eastAsia="宋体"/>
      <w:b/>
      <w:bCs/>
      <w:kern w:val="44"/>
      <w:sz w:val="44"/>
      <w:szCs w:val="44"/>
      <w:lang w:val="en-US" w:eastAsia="zh-CN" w:bidi="ar-SA"/>
    </w:rPr>
  </w:style>
  <w:style w:type="character" w:customStyle="1" w:styleId="44">
    <w:name w:val="标题 2 字符"/>
    <w:link w:val="3"/>
    <w:qFormat/>
    <w:uiPriority w:val="9"/>
    <w:rPr>
      <w:rFonts w:ascii="Arial" w:hAnsi="Arial" w:eastAsia="黑体"/>
      <w:b/>
      <w:bCs/>
      <w:kern w:val="2"/>
      <w:sz w:val="32"/>
      <w:szCs w:val="32"/>
    </w:rPr>
  </w:style>
  <w:style w:type="character" w:customStyle="1" w:styleId="45">
    <w:name w:val="标题 3 字符"/>
    <w:link w:val="4"/>
    <w:qFormat/>
    <w:uiPriority w:val="0"/>
    <w:rPr>
      <w:rFonts w:ascii="Calibri" w:hAnsi="Calibri" w:eastAsia="宋体"/>
      <w:b/>
      <w:bCs/>
      <w:kern w:val="2"/>
      <w:sz w:val="32"/>
      <w:szCs w:val="32"/>
      <w:lang w:val="en-US" w:eastAsia="zh-CN" w:bidi="ar-SA"/>
    </w:rPr>
  </w:style>
  <w:style w:type="character" w:customStyle="1" w:styleId="46">
    <w:name w:val="标题 4 字符"/>
    <w:link w:val="5"/>
    <w:qFormat/>
    <w:uiPriority w:val="0"/>
    <w:rPr>
      <w:rFonts w:ascii="黑体" w:hAnsi="黑体" w:eastAsia="黑体"/>
      <w:b/>
      <w:bCs/>
      <w:kern w:val="2"/>
      <w:sz w:val="24"/>
      <w:szCs w:val="24"/>
    </w:rPr>
  </w:style>
  <w:style w:type="character" w:customStyle="1" w:styleId="47">
    <w:name w:val="正文缩进 字符"/>
    <w:link w:val="7"/>
    <w:qFormat/>
    <w:locked/>
    <w:uiPriority w:val="0"/>
    <w:rPr>
      <w:kern w:val="2"/>
      <w:sz w:val="21"/>
    </w:rPr>
  </w:style>
  <w:style w:type="character" w:customStyle="1" w:styleId="48">
    <w:name w:val="正文文本 字符"/>
    <w:link w:val="18"/>
    <w:qFormat/>
    <w:uiPriority w:val="0"/>
    <w:rPr>
      <w:kern w:val="2"/>
      <w:sz w:val="24"/>
      <w:szCs w:val="24"/>
    </w:rPr>
  </w:style>
  <w:style w:type="character" w:customStyle="1" w:styleId="49">
    <w:name w:val="正文文本缩进 字符"/>
    <w:link w:val="19"/>
    <w:qFormat/>
    <w:uiPriority w:val="0"/>
    <w:rPr>
      <w:rFonts w:ascii="仿宋_GB2312" w:eastAsia="仿宋_GB2312"/>
      <w:kern w:val="2"/>
      <w:sz w:val="32"/>
    </w:rPr>
  </w:style>
  <w:style w:type="character" w:customStyle="1" w:styleId="50">
    <w:name w:val="纯文本 字符"/>
    <w:link w:val="22"/>
    <w:qFormat/>
    <w:uiPriority w:val="0"/>
    <w:rPr>
      <w:rFonts w:ascii="宋体" w:hAnsi="Courier New" w:eastAsia="宋体" w:cs="Courier New"/>
      <w:kern w:val="2"/>
      <w:sz w:val="21"/>
      <w:szCs w:val="21"/>
      <w:lang w:val="en-US" w:eastAsia="zh-CN" w:bidi="ar-SA"/>
    </w:rPr>
  </w:style>
  <w:style w:type="character" w:customStyle="1" w:styleId="51">
    <w:name w:val="正文文本缩进 2 字符"/>
    <w:link w:val="24"/>
    <w:qFormat/>
    <w:uiPriority w:val="0"/>
    <w:rPr>
      <w:kern w:val="2"/>
      <w:sz w:val="32"/>
    </w:rPr>
  </w:style>
  <w:style w:type="character" w:customStyle="1" w:styleId="52">
    <w:name w:val="页脚 字符"/>
    <w:link w:val="26"/>
    <w:qFormat/>
    <w:uiPriority w:val="0"/>
    <w:rPr>
      <w:kern w:val="2"/>
      <w:sz w:val="18"/>
      <w:szCs w:val="18"/>
    </w:rPr>
  </w:style>
  <w:style w:type="character" w:customStyle="1" w:styleId="53">
    <w:name w:val="正文首行缩进 字符"/>
    <w:link w:val="35"/>
    <w:qFormat/>
    <w:uiPriority w:val="0"/>
    <w:rPr>
      <w:kern w:val="2"/>
      <w:sz w:val="21"/>
      <w:szCs w:val="24"/>
    </w:rPr>
  </w:style>
  <w:style w:type="character" w:customStyle="1" w:styleId="54">
    <w:name w:val="正文首行缩进 2 字符"/>
    <w:link w:val="36"/>
    <w:qFormat/>
    <w:uiPriority w:val="0"/>
    <w:rPr>
      <w:rFonts w:ascii="仿宋_GB2312" w:eastAsia="仿宋_GB2312"/>
      <w:kern w:val="2"/>
      <w:sz w:val="21"/>
      <w:szCs w:val="24"/>
    </w:rPr>
  </w:style>
  <w:style w:type="character" w:customStyle="1" w:styleId="55">
    <w:name w:val="font21"/>
    <w:qFormat/>
    <w:uiPriority w:val="0"/>
    <w:rPr>
      <w:rFonts w:hint="default" w:ascii="仿宋_GB2312" w:eastAsia="仿宋_GB2312" w:cs="仿宋_GB2312"/>
      <w:b/>
      <w:color w:val="000000"/>
      <w:sz w:val="24"/>
      <w:szCs w:val="24"/>
      <w:u w:val="none"/>
    </w:rPr>
  </w:style>
  <w:style w:type="character" w:customStyle="1" w:styleId="56">
    <w:name w:val="纯文本 Char1"/>
    <w:qFormat/>
    <w:uiPriority w:val="0"/>
    <w:rPr>
      <w:rFonts w:ascii="宋体" w:hAnsi="Courier New" w:eastAsia="宋体" w:cs="Courier New"/>
      <w:szCs w:val="21"/>
    </w:rPr>
  </w:style>
  <w:style w:type="character" w:customStyle="1" w:styleId="57">
    <w:name w:val="param-name param-explain"/>
    <w:qFormat/>
    <w:uiPriority w:val="0"/>
  </w:style>
  <w:style w:type="character" w:customStyle="1" w:styleId="58">
    <w:name w:val="1ji Char"/>
    <w:link w:val="59"/>
    <w:qFormat/>
    <w:uiPriority w:val="0"/>
    <w:rPr>
      <w:rFonts w:ascii="宋体" w:hAnsi="宋体" w:eastAsia="宋体"/>
      <w:b/>
      <w:bCs/>
      <w:kern w:val="44"/>
      <w:sz w:val="36"/>
      <w:szCs w:val="44"/>
      <w:lang w:val="en-US" w:eastAsia="zh-CN" w:bidi="ar-SA"/>
    </w:rPr>
  </w:style>
  <w:style w:type="paragraph" w:customStyle="1" w:styleId="59">
    <w:name w:val="1ji"/>
    <w:basedOn w:val="2"/>
    <w:link w:val="58"/>
    <w:qFormat/>
    <w:uiPriority w:val="0"/>
    <w:pPr>
      <w:keepLines w:val="0"/>
      <w:widowControl/>
      <w:spacing w:before="0" w:after="0" w:line="240" w:lineRule="auto"/>
      <w:jc w:val="center"/>
    </w:pPr>
    <w:rPr>
      <w:rFonts w:ascii="宋体" w:hAnsi="宋体"/>
      <w:sz w:val="36"/>
    </w:rPr>
  </w:style>
  <w:style w:type="character" w:customStyle="1" w:styleId="60">
    <w:name w:val="普通文字 Char Char2"/>
    <w:qFormat/>
    <w:uiPriority w:val="0"/>
    <w:rPr>
      <w:rFonts w:ascii="宋体" w:hAnsi="Courier New" w:eastAsia="宋体"/>
      <w:kern w:val="2"/>
      <w:sz w:val="21"/>
      <w:lang w:val="en-US" w:eastAsia="zh-CN" w:bidi="ar-SA"/>
    </w:rPr>
  </w:style>
  <w:style w:type="character" w:customStyle="1" w:styleId="61">
    <w:name w:val="10"/>
    <w:qFormat/>
    <w:uiPriority w:val="0"/>
    <w:rPr>
      <w:rFonts w:hint="default" w:ascii="Times New Roman" w:hAnsi="Times New Roman" w:cs="Times New Roman"/>
    </w:rPr>
  </w:style>
  <w:style w:type="character" w:customStyle="1" w:styleId="62">
    <w:name w:val="font11"/>
    <w:qFormat/>
    <w:uiPriority w:val="0"/>
    <w:rPr>
      <w:rFonts w:hint="eastAsia" w:ascii="宋体" w:hAnsi="宋体" w:eastAsia="宋体" w:cs="宋体"/>
      <w:color w:val="000000"/>
      <w:sz w:val="20"/>
      <w:szCs w:val="20"/>
      <w:u w:val="none"/>
    </w:rPr>
  </w:style>
  <w:style w:type="character" w:customStyle="1" w:styleId="63">
    <w:name w:val="apple-converted-space"/>
    <w:qFormat/>
    <w:uiPriority w:val="0"/>
  </w:style>
  <w:style w:type="character" w:customStyle="1" w:styleId="64">
    <w:name w:val="mark"/>
    <w:qFormat/>
    <w:uiPriority w:val="0"/>
  </w:style>
  <w:style w:type="character" w:customStyle="1" w:styleId="65">
    <w:name w:val="15"/>
    <w:qFormat/>
    <w:uiPriority w:val="0"/>
    <w:rPr>
      <w:rFonts w:hint="default" w:ascii="Times New Roman" w:hAnsi="Times New Roman" w:cs="Times New Roman"/>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列出段落1"/>
    <w:basedOn w:val="1"/>
    <w:qFormat/>
    <w:uiPriority w:val="0"/>
    <w:pPr>
      <w:ind w:firstLine="420" w:firstLineChars="200"/>
    </w:pPr>
    <w:rPr>
      <w:szCs w:val="20"/>
    </w:rPr>
  </w:style>
  <w:style w:type="paragraph" w:customStyle="1" w:styleId="68">
    <w:name w:val="1"/>
    <w:basedOn w:val="1"/>
    <w:next w:val="22"/>
    <w:qFormat/>
    <w:uiPriority w:val="0"/>
    <w:rPr>
      <w:rFonts w:ascii="宋体" w:hAnsi="Courier New"/>
      <w:szCs w:val="20"/>
    </w:rPr>
  </w:style>
  <w:style w:type="paragraph" w:customStyle="1" w:styleId="69">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0">
    <w:name w:val="正文段"/>
    <w:basedOn w:val="1"/>
    <w:qFormat/>
    <w:uiPriority w:val="0"/>
    <w:pPr>
      <w:widowControl/>
      <w:snapToGrid w:val="0"/>
      <w:spacing w:after="50" w:afterLines="50"/>
      <w:ind w:firstLine="200" w:firstLineChars="200"/>
    </w:pPr>
    <w:rPr>
      <w:kern w:val="0"/>
      <w:sz w:val="24"/>
      <w:szCs w:val="20"/>
    </w:rPr>
  </w:style>
  <w:style w:type="paragraph" w:customStyle="1" w:styleId="7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_Style 34"/>
    <w:basedOn w:val="15"/>
    <w:qFormat/>
    <w:uiPriority w:val="0"/>
    <w:pPr>
      <w:widowControl/>
      <w:ind w:firstLine="454"/>
      <w:jc w:val="left"/>
    </w:pPr>
  </w:style>
  <w:style w:type="paragraph" w:customStyle="1" w:styleId="74">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5">
    <w:name w:val="_Style 5"/>
    <w:basedOn w:val="1"/>
    <w:qFormat/>
    <w:uiPriority w:val="0"/>
    <w:pPr>
      <w:spacing w:after="78" w:afterLines="25"/>
    </w:pPr>
    <w:rPr>
      <w:rFonts w:ascii="Arial" w:hAnsi="Arial"/>
    </w:rPr>
  </w:style>
  <w:style w:type="paragraph" w:customStyle="1" w:styleId="76">
    <w:name w:val="Char"/>
    <w:basedOn w:val="15"/>
    <w:qFormat/>
    <w:uiPriority w:val="0"/>
    <w:pPr>
      <w:widowControl/>
      <w:ind w:firstLine="454"/>
      <w:jc w:val="left"/>
    </w:pPr>
    <w:rPr>
      <w:rFonts w:ascii="Tahoma" w:hAnsi="Tahoma" w:cs="宋体"/>
      <w:kern w:val="0"/>
      <w:sz w:val="24"/>
      <w:szCs w:val="20"/>
    </w:rPr>
  </w:style>
  <w:style w:type="paragraph" w:customStyle="1" w:styleId="77">
    <w:name w:val="msolistparagraph"/>
    <w:basedOn w:val="1"/>
    <w:qFormat/>
    <w:uiPriority w:val="0"/>
    <w:pPr>
      <w:spacing w:line="360" w:lineRule="auto"/>
      <w:ind w:firstLine="420" w:firstLineChars="200"/>
    </w:pPr>
    <w:rPr>
      <w:sz w:val="28"/>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Char Char Char"/>
    <w:basedOn w:val="15"/>
    <w:qFormat/>
    <w:uiPriority w:val="0"/>
    <w:pPr>
      <w:snapToGrid w:val="0"/>
    </w:pPr>
    <w:rPr>
      <w:rFonts w:ascii="Calibri" w:hAnsi="Calibri"/>
      <w:sz w:val="28"/>
      <w:szCs w:val="20"/>
    </w:rPr>
  </w:style>
  <w:style w:type="paragraph" w:customStyle="1" w:styleId="80">
    <w:name w:val="_Style 341"/>
    <w:basedOn w:val="15"/>
    <w:qFormat/>
    <w:uiPriority w:val="0"/>
    <w:pPr>
      <w:widowControl/>
      <w:ind w:firstLine="454"/>
      <w:jc w:val="left"/>
    </w:pPr>
  </w:style>
  <w:style w:type="paragraph" w:customStyle="1" w:styleId="81">
    <w:name w:val="Char1"/>
    <w:basedOn w:val="15"/>
    <w:qFormat/>
    <w:uiPriority w:val="0"/>
    <w:pPr>
      <w:widowControl/>
      <w:ind w:firstLine="454"/>
      <w:jc w:val="left"/>
    </w:pPr>
    <w:rPr>
      <w:rFonts w:ascii="Tahoma" w:hAnsi="Tahoma" w:cs="宋体"/>
      <w:kern w:val="0"/>
      <w:sz w:val="24"/>
      <w:szCs w:val="20"/>
    </w:rPr>
  </w:style>
  <w:style w:type="paragraph" w:styleId="82">
    <w:name w:val="List Paragraph"/>
    <w:basedOn w:val="1"/>
    <w:qFormat/>
    <w:uiPriority w:val="34"/>
    <w:pPr>
      <w:ind w:firstLine="420" w:firstLineChars="200"/>
    </w:pPr>
    <w:rPr>
      <w:rFonts w:ascii="Book Antiqua" w:hAnsi="Book Antiqua" w:cs="Book Antiqua"/>
    </w:rPr>
  </w:style>
  <w:style w:type="paragraph" w:styleId="8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标题 2 + 宋体"/>
    <w:basedOn w:val="3"/>
    <w:qFormat/>
    <w:uiPriority w:val="0"/>
    <w:pPr>
      <w:tabs>
        <w:tab w:val="left" w:pos="360"/>
      </w:tabs>
    </w:pPr>
    <w:rPr>
      <w:rFonts w:ascii="宋体" w:hAnsi="宋体" w:eastAsia="宋体"/>
      <w:sz w:val="30"/>
    </w:rPr>
  </w:style>
  <w:style w:type="paragraph" w:customStyle="1" w:styleId="8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表格文字"/>
    <w:basedOn w:val="1"/>
    <w:qFormat/>
    <w:uiPriority w:val="99"/>
    <w:pPr>
      <w:spacing w:before="25" w:after="25"/>
    </w:pPr>
    <w:rPr>
      <w:rFonts w:ascii="Calibri" w:hAnsi="Calibri" w:eastAsia="Calibri"/>
      <w:bCs/>
      <w:spacing w:val="10"/>
      <w:kern w:val="0"/>
    </w:rPr>
  </w:style>
  <w:style w:type="paragraph" w:customStyle="1" w:styleId="89">
    <w:name w:val="正文2"/>
    <w:basedOn w:val="1"/>
    <w:link w:val="90"/>
    <w:qFormat/>
    <w:uiPriority w:val="0"/>
    <w:pPr>
      <w:adjustRightInd w:val="0"/>
      <w:spacing w:before="156" w:line="360" w:lineRule="auto"/>
      <w:ind w:firstLine="510" w:firstLineChars="200"/>
    </w:pPr>
    <w:rPr>
      <w:sz w:val="24"/>
      <w:szCs w:val="20"/>
    </w:rPr>
  </w:style>
  <w:style w:type="character" w:customStyle="1" w:styleId="90">
    <w:name w:val="正文2 Char Char"/>
    <w:link w:val="89"/>
    <w:qFormat/>
    <w:uiPriority w:val="0"/>
    <w:rPr>
      <w:kern w:val="2"/>
      <w:sz w:val="24"/>
    </w:rPr>
  </w:style>
  <w:style w:type="table" w:customStyle="1" w:styleId="91">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adjustRightInd w:val="0"/>
      <w:snapToGrid w:val="0"/>
      <w:spacing w:line="360" w:lineRule="auto"/>
      <w:ind w:firstLine="482"/>
      <w:jc w:val="left"/>
    </w:pPr>
    <w:rPr>
      <w:rFonts w:ascii="宋体" w:hAnsi="宋体"/>
      <w:kern w:val="0"/>
      <w:sz w:val="24"/>
      <w:szCs w:val="20"/>
    </w:rPr>
  </w:style>
  <w:style w:type="paragraph" w:customStyle="1" w:styleId="95">
    <w:name w:val="Body text|1_1"/>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96">
    <w:name w:val="正文_2"/>
    <w:next w:val="97"/>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97">
    <w:name w:val="页脚_2"/>
    <w:basedOn w:val="98"/>
    <w:unhideWhenUsed/>
    <w:qFormat/>
    <w:uiPriority w:val="99"/>
    <w:pPr>
      <w:tabs>
        <w:tab w:val="center" w:pos="4153"/>
        <w:tab w:val="right" w:pos="8306"/>
      </w:tabs>
      <w:snapToGrid w:val="0"/>
      <w:jc w:val="left"/>
    </w:pPr>
    <w:rPr>
      <w:sz w:val="18"/>
      <w:szCs w:val="18"/>
    </w:rPr>
  </w:style>
  <w:style w:type="paragraph" w:customStyle="1" w:styleId="98">
    <w:name w:val="正文_2_0"/>
    <w:next w:val="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页脚_1"/>
    <w:basedOn w:val="98"/>
    <w:unhideWhenUsed/>
    <w:qFormat/>
    <w:uiPriority w:val="99"/>
    <w:pPr>
      <w:tabs>
        <w:tab w:val="center" w:pos="4153"/>
        <w:tab w:val="right" w:pos="8306"/>
      </w:tabs>
      <w:snapToGrid w:val="0"/>
      <w:jc w:val="left"/>
    </w:pPr>
    <w:rPr>
      <w:sz w:val="18"/>
      <w:szCs w:val="18"/>
    </w:rPr>
  </w:style>
  <w:style w:type="paragraph" w:customStyle="1" w:styleId="100">
    <w:name w:val="标题 2_1"/>
    <w:basedOn w:val="96"/>
    <w:next w:val="96"/>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01">
    <w:name w:val="标题 3_1"/>
    <w:basedOn w:val="96"/>
    <w:next w:val="96"/>
    <w:qFormat/>
    <w:uiPriority w:val="0"/>
    <w:pPr>
      <w:keepNext/>
      <w:keepLines/>
      <w:spacing w:before="240" w:after="120"/>
      <w:outlineLvl w:val="2"/>
    </w:pPr>
    <w:rPr>
      <w:rFonts w:eastAsia="宋体"/>
      <w:b/>
      <w:color w:val="auto"/>
      <w:sz w:val="32"/>
      <w:szCs w:val="20"/>
      <w:lang w:bidi="ar-SA"/>
    </w:rPr>
  </w:style>
  <w:style w:type="paragraph" w:customStyle="1" w:styleId="102">
    <w:name w:val="Body text|2_0"/>
    <w:basedOn w:val="96"/>
    <w:qFormat/>
    <w:uiPriority w:val="0"/>
    <w:pPr>
      <w:spacing w:after="30"/>
      <w:ind w:firstLine="420"/>
    </w:pPr>
    <w:rPr>
      <w:rFonts w:eastAsia="宋体"/>
      <w:color w:val="auto"/>
      <w:sz w:val="20"/>
      <w:szCs w:val="20"/>
      <w:lang w:bidi="ar-SA"/>
    </w:rPr>
  </w:style>
  <w:style w:type="paragraph" w:customStyle="1" w:styleId="103">
    <w:name w:val="Other|1_1"/>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4">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105">
    <w:name w:val="Body text|1_0_0"/>
    <w:basedOn w:val="98"/>
    <w:qFormat/>
    <w:uiPriority w:val="0"/>
    <w:pPr>
      <w:spacing w:line="360" w:lineRule="auto"/>
      <w:ind w:firstLine="400"/>
    </w:pPr>
    <w:rPr>
      <w:rFonts w:ascii="宋体" w:hAnsi="宋体" w:cs="宋体"/>
      <w:sz w:val="20"/>
      <w:szCs w:val="20"/>
      <w:lang w:val="zh-CN" w:bidi="zh-CN"/>
    </w:rPr>
  </w:style>
  <w:style w:type="paragraph" w:customStyle="1" w:styleId="106">
    <w:name w:val="正文_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7">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96E78-A282-4AF5-ABC3-A9EB99BB0B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129</Pages>
  <Words>18367</Words>
  <Characters>19903</Characters>
  <Lines>749</Lines>
  <Paragraphs>210</Paragraphs>
  <TotalTime>392</TotalTime>
  <ScaleCrop>false</ScaleCrop>
  <LinksUpToDate>false</LinksUpToDate>
  <CharactersWithSpaces>20103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2026-04-29T02:01:00Z</dcterms:created>
  <dc:creator>北海市政府采购中心</dc:creator>
  <cp:lastModifiedBy>卜卜</cp:lastModifiedBy>
  <cp:lastPrinted>2026-05-27T08:02:20Z</cp:lastPrinted>
  <dcterms:modified xsi:type="dcterms:W3CDTF">2026-05-27T08:33:46Z</dcterms:modified>
  <dc:title>北海市政府采购中心;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F0BA802D9EC740B199065FBCAAC626FB_13</vt:lpwstr>
  </property>
  <property fmtid="{D5CDD505-2E9C-101B-9397-08002B2CF9AE}" pid="4" name="KSOTemplateDocerSaveRecord">
    <vt:lpwstr>eyJoZGlkIjoiYmUxNjY4MzkzZTJlNWJlNjdhMTY4NTdhYjY2OWNlZGQiLCJ1c2VySWQiOiIxMDE5MzE3NjI3In0=</vt:lpwstr>
  </property>
</Properties>
</file>