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0DE75">
      <w:pPr>
        <w:spacing w:line="360" w:lineRule="auto"/>
        <w:jc w:val="center"/>
        <w:rPr>
          <w:rFonts w:ascii="宋体" w:hAnsi="宋体" w:cs="宋体"/>
          <w:b/>
          <w:color w:val="000000" w:themeColor="text1"/>
          <w:sz w:val="24"/>
          <w14:textFill>
            <w14:solidFill>
              <w14:schemeClr w14:val="tx1"/>
            </w14:solidFill>
          </w14:textFill>
        </w:rPr>
      </w:pPr>
    </w:p>
    <w:p w14:paraId="6D46F60B">
      <w:pPr>
        <w:spacing w:line="360" w:lineRule="auto"/>
        <w:jc w:val="center"/>
        <w:rPr>
          <w:rFonts w:ascii="宋体" w:hAnsi="宋体" w:cs="宋体"/>
          <w:b/>
          <w:color w:val="000000" w:themeColor="text1"/>
          <w:sz w:val="24"/>
          <w14:textFill>
            <w14:solidFill>
              <w14:schemeClr w14:val="tx1"/>
            </w14:solidFill>
          </w14:textFill>
        </w:rPr>
      </w:pPr>
    </w:p>
    <w:p w14:paraId="4103F2BA">
      <w:pPr>
        <w:adjustRightInd/>
        <w:spacing w:line="360" w:lineRule="auto"/>
        <w:jc w:val="center"/>
        <w:rPr>
          <w:rFonts w:ascii="宋体" w:hAnsi="宋体" w:cs="宋体"/>
          <w:b/>
          <w:color w:val="000000" w:themeColor="text1"/>
          <w:sz w:val="44"/>
          <w:szCs w:val="44"/>
          <w14:textFill>
            <w14:solidFill>
              <w14:schemeClr w14:val="tx1"/>
            </w14:solidFill>
          </w14:textFill>
        </w:rPr>
      </w:pPr>
    </w:p>
    <w:p w14:paraId="5733E277">
      <w:pPr>
        <w:spacing w:line="360" w:lineRule="auto"/>
        <w:jc w:val="center"/>
        <w:rPr>
          <w:rFonts w:ascii="宋体" w:hAnsi="宋体" w:cs="宋体"/>
          <w:b/>
          <w:color w:val="000000" w:themeColor="text1"/>
          <w:sz w:val="44"/>
          <w:szCs w:val="44"/>
          <w14:textFill>
            <w14:solidFill>
              <w14:schemeClr w14:val="tx1"/>
            </w14:solidFill>
          </w14:textFill>
        </w:rPr>
      </w:pPr>
    </w:p>
    <w:p w14:paraId="2CF3A862">
      <w:pPr>
        <w:adjustRightInd/>
        <w:spacing w:line="360" w:lineRule="auto"/>
        <w:jc w:val="center"/>
        <w:rPr>
          <w:rFonts w:ascii="宋体" w:hAnsi="宋体" w:cs="宋体"/>
          <w:b/>
          <w:color w:val="000000" w:themeColor="text1"/>
          <w:sz w:val="48"/>
          <w:szCs w:val="48"/>
          <w14:textFill>
            <w14:solidFill>
              <w14:schemeClr w14:val="tx1"/>
            </w14:solidFill>
          </w14:textFill>
        </w:rPr>
      </w:pPr>
    </w:p>
    <w:p w14:paraId="4D169F05">
      <w:pPr>
        <w:adjustRightInd/>
        <w:spacing w:line="360" w:lineRule="auto"/>
        <w:jc w:val="center"/>
        <w:rPr>
          <w:rFonts w:hint="eastAsia" w:ascii="宋体" w:hAnsi="宋体" w:eastAsia="宋体" w:cs="宋体"/>
          <w:color w:val="000000" w:themeColor="text1"/>
          <w:sz w:val="44"/>
          <w:szCs w:val="44"/>
          <w:lang w:eastAsia="zh-CN"/>
          <w14:textFill>
            <w14:solidFill>
              <w14:schemeClr w14:val="tx1"/>
            </w14:solidFill>
          </w14:textFill>
        </w:rPr>
      </w:pPr>
      <w:r>
        <w:rPr>
          <w:rFonts w:hint="eastAsia" w:ascii="宋体" w:hAnsi="宋体" w:cs="宋体"/>
          <w:color w:val="000000" w:themeColor="text1"/>
          <w:sz w:val="44"/>
          <w:szCs w:val="44"/>
          <w:lang w:eastAsia="zh-CN"/>
          <w14:textFill>
            <w14:solidFill>
              <w14:schemeClr w14:val="tx1"/>
            </w14:solidFill>
          </w14:textFill>
        </w:rPr>
        <w:t>北海市两级法院集约送达服务</w:t>
      </w:r>
    </w:p>
    <w:p w14:paraId="3E068EF1">
      <w:pPr>
        <w:adjustRightInd/>
        <w:spacing w:line="360" w:lineRule="auto"/>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（电子招投标）</w:t>
      </w:r>
    </w:p>
    <w:p w14:paraId="421DDBB9">
      <w:pPr>
        <w:snapToGrid w:val="0"/>
        <w:spacing w:line="360" w:lineRule="auto"/>
        <w:jc w:val="center"/>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cs="宋体"/>
          <w:color w:val="000000" w:themeColor="text1"/>
          <w:sz w:val="30"/>
          <w:szCs w:val="30"/>
          <w:lang w:eastAsia="zh-CN"/>
          <w14:textFill>
            <w14:solidFill>
              <w14:schemeClr w14:val="tx1"/>
            </w14:solidFill>
          </w14:textFill>
        </w:rPr>
        <w:t>项目</w:t>
      </w:r>
      <w:r>
        <w:rPr>
          <w:rFonts w:hint="eastAsia" w:ascii="宋体" w:hAnsi="宋体" w:cs="宋体"/>
          <w:color w:val="000000" w:themeColor="text1"/>
          <w:sz w:val="30"/>
          <w:szCs w:val="30"/>
          <w14:textFill>
            <w14:solidFill>
              <w14:schemeClr w14:val="tx1"/>
            </w14:solidFill>
          </w14:textFill>
        </w:rPr>
        <w:t>编号</w:t>
      </w:r>
      <w:bookmarkStart w:id="0" w:name="OLE_LINK15"/>
      <w:r>
        <w:rPr>
          <w:rFonts w:hint="eastAsia" w:ascii="宋体" w:hAnsi="宋体" w:cs="宋体"/>
          <w:color w:val="000000" w:themeColor="text1"/>
          <w:sz w:val="30"/>
          <w:szCs w:val="30"/>
          <w:lang w:eastAsia="zh-CN"/>
          <w14:textFill>
            <w14:solidFill>
              <w14:schemeClr w14:val="tx1"/>
            </w14:solidFill>
          </w14:textFill>
        </w:rPr>
        <w:t>：BHZC2026-G3-990036-CGZX</w:t>
      </w:r>
    </w:p>
    <w:bookmarkEnd w:id="0"/>
    <w:p w14:paraId="2E47FAC8">
      <w:pPr>
        <w:adjustRightInd/>
        <w:spacing w:line="360" w:lineRule="auto"/>
        <w:rPr>
          <w:rFonts w:ascii="宋体" w:hAnsi="宋体" w:cs="宋体"/>
          <w:color w:val="000000" w:themeColor="text1"/>
          <w:sz w:val="28"/>
          <w:szCs w:val="20"/>
          <w14:textFill>
            <w14:solidFill>
              <w14:schemeClr w14:val="tx1"/>
            </w14:solidFill>
          </w14:textFill>
        </w:rPr>
      </w:pPr>
    </w:p>
    <w:p w14:paraId="24437653">
      <w:pPr>
        <w:spacing w:line="360" w:lineRule="auto"/>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 xml:space="preserve"> </w:t>
      </w:r>
    </w:p>
    <w:p w14:paraId="345D6FD4">
      <w:pPr>
        <w:spacing w:line="360" w:lineRule="auto"/>
        <w:jc w:val="center"/>
        <w:rPr>
          <w:rFonts w:ascii="宋体" w:hAnsi="宋体" w:cs="宋体"/>
          <w:b/>
          <w:color w:val="000000" w:themeColor="text1"/>
          <w:sz w:val="44"/>
          <w:szCs w:val="44"/>
          <w14:textFill>
            <w14:solidFill>
              <w14:schemeClr w14:val="tx1"/>
            </w14:solidFill>
          </w14:textFill>
        </w:rPr>
      </w:pPr>
    </w:p>
    <w:p w14:paraId="1B8FE3E8">
      <w:pPr>
        <w:spacing w:line="360" w:lineRule="auto"/>
        <w:jc w:val="center"/>
        <w:rPr>
          <w:rFonts w:ascii="宋体" w:hAnsi="宋体" w:cs="宋体"/>
          <w:color w:val="000000" w:themeColor="text1"/>
          <w:sz w:val="24"/>
          <w14:textFill>
            <w14:solidFill>
              <w14:schemeClr w14:val="tx1"/>
            </w14:solidFill>
          </w14:textFill>
        </w:rPr>
      </w:pPr>
    </w:p>
    <w:p w14:paraId="082A7A6D">
      <w:pPr>
        <w:spacing w:line="360" w:lineRule="auto"/>
        <w:jc w:val="center"/>
        <w:rPr>
          <w:rFonts w:ascii="宋体" w:hAnsi="宋体" w:cs="宋体"/>
          <w:color w:val="000000" w:themeColor="text1"/>
          <w:sz w:val="24"/>
          <w14:textFill>
            <w14:solidFill>
              <w14:schemeClr w14:val="tx1"/>
            </w14:solidFill>
          </w14:textFill>
        </w:rPr>
      </w:pPr>
    </w:p>
    <w:p w14:paraId="2D252A01">
      <w:pPr>
        <w:spacing w:line="360" w:lineRule="auto"/>
        <w:rPr>
          <w:rFonts w:ascii="宋体" w:hAnsi="宋体" w:cs="宋体"/>
          <w:color w:val="000000" w:themeColor="text1"/>
          <w:sz w:val="32"/>
          <w:szCs w:val="32"/>
          <w14:textFill>
            <w14:solidFill>
              <w14:schemeClr w14:val="tx1"/>
            </w14:solidFill>
          </w14:textFill>
        </w:rPr>
      </w:pPr>
    </w:p>
    <w:p w14:paraId="7E5F5CA7">
      <w:pPr>
        <w:snapToGrid w:val="0"/>
        <w:spacing w:line="360" w:lineRule="auto"/>
        <w:jc w:val="center"/>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cs="宋体"/>
          <w:color w:val="000000" w:themeColor="text1"/>
          <w:sz w:val="32"/>
          <w:szCs w:val="32"/>
          <w:lang w:eastAsia="zh-CN"/>
          <w14:textFill>
            <w14:solidFill>
              <w14:schemeClr w14:val="tx1"/>
            </w14:solidFill>
          </w14:textFill>
        </w:rPr>
        <w:t>广西壮族自治区北海市中级人民法院</w:t>
      </w:r>
    </w:p>
    <w:p w14:paraId="5D2B20DF">
      <w:pPr>
        <w:spacing w:line="360" w:lineRule="auto"/>
        <w:jc w:val="cente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北海市政府采购中心</w:t>
      </w:r>
    </w:p>
    <w:p w14:paraId="68B8EE84">
      <w:pPr>
        <w:snapToGrid w:val="0"/>
        <w:spacing w:line="360" w:lineRule="auto"/>
        <w:jc w:val="center"/>
        <w:rPr>
          <w:rFonts w:hint="eastAsia" w:ascii="宋体" w:hAnsi="宋体" w:eastAsia="宋体" w:cs="宋体"/>
          <w:bCs/>
          <w:color w:val="000000" w:themeColor="text1"/>
          <w:sz w:val="32"/>
          <w:szCs w:val="32"/>
          <w:lang w:eastAsia="zh-CN"/>
          <w14:textFill>
            <w14:solidFill>
              <w14:schemeClr w14:val="tx1"/>
            </w14:solidFill>
          </w14:textFill>
        </w:rPr>
      </w:pPr>
      <w:r>
        <w:rPr>
          <w:rFonts w:hint="eastAsia" w:ascii="宋体" w:hAnsi="宋体" w:cs="宋体"/>
          <w:bCs/>
          <w:color w:val="000000" w:themeColor="text1"/>
          <w:sz w:val="32"/>
          <w:szCs w:val="32"/>
          <w:lang w:eastAsia="zh-CN"/>
          <w14:textFill>
            <w14:solidFill>
              <w14:schemeClr w14:val="tx1"/>
            </w14:solidFill>
          </w14:textFill>
        </w:rPr>
        <w:t>2026年</w:t>
      </w:r>
      <w:r>
        <w:rPr>
          <w:rFonts w:hint="eastAsia" w:ascii="宋体" w:hAnsi="宋体" w:cs="宋体"/>
          <w:bCs/>
          <w:color w:val="000000" w:themeColor="text1"/>
          <w:sz w:val="32"/>
          <w:szCs w:val="32"/>
          <w:lang w:val="en-US" w:eastAsia="zh-CN"/>
          <w14:textFill>
            <w14:solidFill>
              <w14:schemeClr w14:val="tx1"/>
            </w14:solidFill>
          </w14:textFill>
        </w:rPr>
        <w:t>5</w:t>
      </w:r>
      <w:r>
        <w:rPr>
          <w:rFonts w:hint="eastAsia" w:ascii="宋体" w:hAnsi="宋体" w:cs="宋体"/>
          <w:bCs/>
          <w:color w:val="000000" w:themeColor="text1"/>
          <w:sz w:val="32"/>
          <w:szCs w:val="32"/>
          <w:lang w:eastAsia="zh-CN"/>
          <w14:textFill>
            <w14:solidFill>
              <w14:schemeClr w14:val="tx1"/>
            </w14:solidFill>
          </w14:textFill>
        </w:rPr>
        <w:t>月</w:t>
      </w:r>
      <w:r>
        <w:rPr>
          <w:rFonts w:hint="eastAsia" w:ascii="宋体" w:hAnsi="宋体" w:cs="宋体"/>
          <w:bCs/>
          <w:color w:val="000000" w:themeColor="text1"/>
          <w:sz w:val="32"/>
          <w:szCs w:val="32"/>
          <w:lang w:val="en-US" w:eastAsia="zh-CN"/>
          <w14:textFill>
            <w14:solidFill>
              <w14:schemeClr w14:val="tx1"/>
            </w14:solidFill>
          </w14:textFill>
        </w:rPr>
        <w:t>11</w:t>
      </w:r>
      <w:r>
        <w:rPr>
          <w:rFonts w:hint="eastAsia" w:ascii="宋体" w:hAnsi="宋体" w:cs="宋体"/>
          <w:bCs/>
          <w:color w:val="000000" w:themeColor="text1"/>
          <w:sz w:val="32"/>
          <w:szCs w:val="32"/>
          <w:lang w:eastAsia="zh-CN"/>
          <w14:textFill>
            <w14:solidFill>
              <w14:schemeClr w14:val="tx1"/>
            </w14:solidFill>
          </w14:textFill>
        </w:rPr>
        <w:t>日</w:t>
      </w:r>
    </w:p>
    <w:p w14:paraId="5B853BED">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1" w:name="_Hlt67893495"/>
      <w:bookmarkEnd w:id="1"/>
    </w:p>
    <w:p w14:paraId="533982A5">
      <w:pPr>
        <w:spacing w:line="360" w:lineRule="auto"/>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目  录</w:t>
      </w:r>
    </w:p>
    <w:p w14:paraId="1B7C0FD3">
      <w:pPr>
        <w:spacing w:line="360" w:lineRule="auto"/>
        <w:rPr>
          <w:rFonts w:ascii="宋体" w:hAnsi="宋体" w:cs="宋体"/>
          <w:color w:val="000000" w:themeColor="text1"/>
          <w:sz w:val="32"/>
          <w:szCs w:val="32"/>
          <w14:textFill>
            <w14:solidFill>
              <w14:schemeClr w14:val="tx1"/>
            </w14:solidFill>
          </w14:textFill>
        </w:rPr>
      </w:pPr>
    </w:p>
    <w:p w14:paraId="7278E640">
      <w:pPr>
        <w:pStyle w:val="42"/>
        <w:tabs>
          <w:tab w:val="right" w:leader="dot" w:pos="9629"/>
        </w:tabs>
        <w:rPr>
          <w:rFonts w:asciiTheme="minorHAnsi" w:hAnsiTheme="minorHAnsi" w:eastAsiaTheme="minorEastAsia" w:cstheme="minorBidi"/>
          <w:sz w:val="24"/>
        </w:rPr>
      </w:pPr>
      <w:bookmarkStart w:id="2" w:name="_Hlt91233176"/>
      <w:bookmarkEnd w:id="2"/>
      <w:bookmarkStart w:id="3" w:name="_Toc91899869"/>
      <w:r>
        <w:rPr>
          <w:rFonts w:ascii="宋体" w:hAnsi="宋体" w:cs="宋体"/>
          <w:b/>
          <w:color w:val="000000" w:themeColor="text1"/>
          <w:sz w:val="40"/>
          <w:szCs w:val="30"/>
          <w14:textFill>
            <w14:solidFill>
              <w14:schemeClr w14:val="tx1"/>
            </w14:solidFill>
          </w14:textFill>
        </w:rPr>
        <w:fldChar w:fldCharType="begin"/>
      </w:r>
      <w:r>
        <w:rPr>
          <w:rFonts w:ascii="宋体" w:hAnsi="宋体" w:cs="宋体"/>
          <w:b/>
          <w:color w:val="000000" w:themeColor="text1"/>
          <w:sz w:val="40"/>
          <w:szCs w:val="30"/>
          <w14:textFill>
            <w14:solidFill>
              <w14:schemeClr w14:val="tx1"/>
            </w14:solidFill>
          </w14:textFill>
        </w:rPr>
        <w:instrText xml:space="preserve"> TOC \o "1-1" \h \z \u </w:instrText>
      </w:r>
      <w:r>
        <w:rPr>
          <w:rFonts w:ascii="宋体" w:hAnsi="宋体" w:cs="宋体"/>
          <w:b/>
          <w:color w:val="000000" w:themeColor="text1"/>
          <w:sz w:val="40"/>
          <w:szCs w:val="30"/>
          <w14:textFill>
            <w14:solidFill>
              <w14:schemeClr w14:val="tx1"/>
            </w14:solidFill>
          </w14:textFill>
        </w:rPr>
        <w:fldChar w:fldCharType="separate"/>
      </w:r>
      <w:r>
        <w:fldChar w:fldCharType="begin"/>
      </w:r>
      <w:r>
        <w:instrText xml:space="preserve"> HYPERLINK \l "_Toc211352595" </w:instrText>
      </w:r>
      <w:r>
        <w:fldChar w:fldCharType="separate"/>
      </w:r>
      <w:r>
        <w:rPr>
          <w:rStyle w:val="76"/>
          <w:rFonts w:ascii="宋体" w:hAnsi="宋体" w:cs="宋体"/>
          <w:b/>
          <w:sz w:val="24"/>
          <w:szCs w:val="24"/>
        </w:rPr>
        <w:t>第一部分 招标公告</w:t>
      </w:r>
      <w:r>
        <w:rPr>
          <w:sz w:val="24"/>
        </w:rPr>
        <w:tab/>
      </w:r>
      <w:r>
        <w:rPr>
          <w:sz w:val="24"/>
        </w:rPr>
        <w:fldChar w:fldCharType="begin"/>
      </w:r>
      <w:r>
        <w:rPr>
          <w:sz w:val="24"/>
        </w:rPr>
        <w:instrText xml:space="preserve"> PAGEREF _Toc211352595 \h </w:instrText>
      </w:r>
      <w:r>
        <w:rPr>
          <w:sz w:val="24"/>
        </w:rPr>
        <w:fldChar w:fldCharType="separate"/>
      </w:r>
      <w:r>
        <w:rPr>
          <w:sz w:val="24"/>
        </w:rPr>
        <w:t>3</w:t>
      </w:r>
      <w:r>
        <w:rPr>
          <w:sz w:val="24"/>
        </w:rPr>
        <w:fldChar w:fldCharType="end"/>
      </w:r>
      <w:r>
        <w:rPr>
          <w:sz w:val="24"/>
        </w:rPr>
        <w:fldChar w:fldCharType="end"/>
      </w:r>
    </w:p>
    <w:p w14:paraId="3A3AAC98">
      <w:pPr>
        <w:pStyle w:val="42"/>
        <w:tabs>
          <w:tab w:val="right" w:leader="dot" w:pos="9629"/>
        </w:tabs>
        <w:rPr>
          <w:rFonts w:asciiTheme="minorHAnsi" w:hAnsiTheme="minorHAnsi" w:eastAsiaTheme="minorEastAsia" w:cstheme="minorBidi"/>
          <w:sz w:val="24"/>
        </w:rPr>
      </w:pPr>
      <w:r>
        <w:fldChar w:fldCharType="begin"/>
      </w:r>
      <w:r>
        <w:instrText xml:space="preserve"> HYPERLINK \l "_Toc211352596" </w:instrText>
      </w:r>
      <w:r>
        <w:fldChar w:fldCharType="separate"/>
      </w:r>
      <w:r>
        <w:rPr>
          <w:rStyle w:val="76"/>
          <w:rFonts w:ascii="宋体" w:hAnsi="宋体" w:cs="宋体"/>
          <w:b/>
          <w:sz w:val="24"/>
          <w:szCs w:val="24"/>
        </w:rPr>
        <w:t>第二部分 投标人须知</w:t>
      </w:r>
      <w:r>
        <w:rPr>
          <w:sz w:val="24"/>
        </w:rPr>
        <w:tab/>
      </w:r>
      <w:r>
        <w:rPr>
          <w:sz w:val="24"/>
        </w:rPr>
        <w:fldChar w:fldCharType="begin"/>
      </w:r>
      <w:r>
        <w:rPr>
          <w:sz w:val="24"/>
        </w:rPr>
        <w:instrText xml:space="preserve"> PAGEREF _Toc211352596 \h </w:instrText>
      </w:r>
      <w:r>
        <w:rPr>
          <w:sz w:val="24"/>
        </w:rPr>
        <w:fldChar w:fldCharType="separate"/>
      </w:r>
      <w:r>
        <w:rPr>
          <w:sz w:val="24"/>
        </w:rPr>
        <w:t>7</w:t>
      </w:r>
      <w:r>
        <w:rPr>
          <w:sz w:val="24"/>
        </w:rPr>
        <w:fldChar w:fldCharType="end"/>
      </w:r>
      <w:r>
        <w:rPr>
          <w:sz w:val="24"/>
        </w:rPr>
        <w:fldChar w:fldCharType="end"/>
      </w:r>
    </w:p>
    <w:p w14:paraId="46E39FC4">
      <w:pPr>
        <w:pStyle w:val="42"/>
        <w:tabs>
          <w:tab w:val="right" w:leader="dot" w:pos="9629"/>
        </w:tabs>
        <w:rPr>
          <w:rFonts w:asciiTheme="minorHAnsi" w:hAnsiTheme="minorHAnsi" w:eastAsiaTheme="minorEastAsia" w:cstheme="minorBidi"/>
          <w:sz w:val="24"/>
        </w:rPr>
      </w:pPr>
      <w:r>
        <w:fldChar w:fldCharType="begin"/>
      </w:r>
      <w:r>
        <w:instrText xml:space="preserve"> HYPERLINK \l "_Toc211352597" </w:instrText>
      </w:r>
      <w:r>
        <w:fldChar w:fldCharType="separate"/>
      </w:r>
      <w:r>
        <w:rPr>
          <w:rStyle w:val="76"/>
          <w:rFonts w:ascii="宋体" w:hAnsi="宋体" w:cs="宋体"/>
          <w:b/>
          <w:sz w:val="24"/>
          <w:szCs w:val="24"/>
        </w:rPr>
        <w:t>第三部分 采购需求</w:t>
      </w:r>
      <w:r>
        <w:rPr>
          <w:sz w:val="24"/>
        </w:rPr>
        <w:tab/>
      </w:r>
      <w:r>
        <w:rPr>
          <w:sz w:val="24"/>
        </w:rPr>
        <w:fldChar w:fldCharType="begin"/>
      </w:r>
      <w:r>
        <w:rPr>
          <w:sz w:val="24"/>
        </w:rPr>
        <w:instrText xml:space="preserve"> PAGEREF _Toc211352597 \h </w:instrText>
      </w:r>
      <w:r>
        <w:rPr>
          <w:sz w:val="24"/>
        </w:rPr>
        <w:fldChar w:fldCharType="separate"/>
      </w:r>
      <w:r>
        <w:rPr>
          <w:sz w:val="24"/>
        </w:rPr>
        <w:t>24</w:t>
      </w:r>
      <w:r>
        <w:rPr>
          <w:sz w:val="24"/>
        </w:rPr>
        <w:fldChar w:fldCharType="end"/>
      </w:r>
      <w:r>
        <w:rPr>
          <w:sz w:val="24"/>
        </w:rPr>
        <w:fldChar w:fldCharType="end"/>
      </w:r>
    </w:p>
    <w:p w14:paraId="37362CCB">
      <w:pPr>
        <w:pStyle w:val="42"/>
        <w:tabs>
          <w:tab w:val="right" w:leader="dot" w:pos="9629"/>
        </w:tabs>
        <w:rPr>
          <w:rFonts w:hint="eastAsia" w:eastAsia="宋体" w:asciiTheme="minorHAnsi" w:hAnsiTheme="minorHAnsi" w:cstheme="minorBidi"/>
          <w:sz w:val="24"/>
          <w:lang w:val="en-US" w:eastAsia="zh-CN"/>
        </w:rPr>
      </w:pPr>
      <w:r>
        <w:fldChar w:fldCharType="begin"/>
      </w:r>
      <w:r>
        <w:instrText xml:space="preserve"> HYPERLINK \l "_Toc211352598" </w:instrText>
      </w:r>
      <w:r>
        <w:fldChar w:fldCharType="separate"/>
      </w:r>
      <w:r>
        <w:rPr>
          <w:rStyle w:val="76"/>
          <w:rFonts w:ascii="宋体" w:hAnsi="宋体" w:cs="宋体"/>
          <w:b/>
          <w:sz w:val="24"/>
          <w:szCs w:val="24"/>
        </w:rPr>
        <w:t>第四部分 评标办法</w:t>
      </w:r>
      <w:r>
        <w:rPr>
          <w:sz w:val="24"/>
        </w:rPr>
        <w:tab/>
      </w:r>
      <w:r>
        <w:rPr>
          <w:rFonts w:hint="eastAsia"/>
          <w:sz w:val="24"/>
          <w:lang w:val="en-US" w:eastAsia="zh-CN"/>
        </w:rPr>
        <w:t>3</w:t>
      </w:r>
      <w:r>
        <w:rPr>
          <w:sz w:val="24"/>
        </w:rPr>
        <w:fldChar w:fldCharType="end"/>
      </w:r>
      <w:r>
        <w:rPr>
          <w:rFonts w:hint="eastAsia"/>
          <w:sz w:val="24"/>
          <w:lang w:val="en-US" w:eastAsia="zh-CN"/>
        </w:rPr>
        <w:t>3</w:t>
      </w:r>
    </w:p>
    <w:p w14:paraId="0DF26479">
      <w:pPr>
        <w:pStyle w:val="42"/>
        <w:tabs>
          <w:tab w:val="right" w:leader="dot" w:pos="9629"/>
        </w:tabs>
        <w:rPr>
          <w:rFonts w:hint="eastAsia" w:eastAsia="宋体"/>
          <w:sz w:val="24"/>
          <w:lang w:val="en-US" w:eastAsia="zh-CN"/>
        </w:rPr>
      </w:pPr>
      <w:r>
        <w:fldChar w:fldCharType="begin"/>
      </w:r>
      <w:r>
        <w:instrText xml:space="preserve"> HYPERLINK \l "_Toc211352597" </w:instrText>
      </w:r>
      <w:r>
        <w:fldChar w:fldCharType="separate"/>
      </w:r>
      <w:r>
        <w:rPr>
          <w:rStyle w:val="76"/>
          <w:rFonts w:ascii="宋体" w:hAnsi="宋体" w:cs="宋体"/>
          <w:b/>
          <w:sz w:val="24"/>
          <w:szCs w:val="24"/>
        </w:rPr>
        <w:t>第</w:t>
      </w:r>
      <w:r>
        <w:rPr>
          <w:rStyle w:val="76"/>
          <w:rFonts w:hint="eastAsia" w:ascii="宋体" w:hAnsi="宋体" w:eastAsia="黑体" w:cs="宋体"/>
          <w:b/>
          <w:sz w:val="24"/>
          <w:szCs w:val="24"/>
          <w:lang w:eastAsia="zh-CN"/>
        </w:rPr>
        <w:t>五</w:t>
      </w:r>
      <w:r>
        <w:rPr>
          <w:rStyle w:val="76"/>
          <w:rFonts w:ascii="宋体" w:hAnsi="宋体" w:cs="宋体"/>
          <w:b/>
          <w:sz w:val="24"/>
          <w:szCs w:val="24"/>
        </w:rPr>
        <w:t>部分</w:t>
      </w:r>
      <w:r>
        <w:rPr>
          <w:rStyle w:val="76"/>
          <w:rFonts w:hint="eastAsia" w:ascii="宋体" w:hAnsi="宋体" w:eastAsia="黑体" w:cs="宋体"/>
          <w:b/>
          <w:sz w:val="24"/>
          <w:szCs w:val="24"/>
          <w:lang w:val="en-US" w:eastAsia="zh-CN"/>
        </w:rPr>
        <w:t xml:space="preserve"> </w:t>
      </w:r>
      <w:r>
        <w:rPr>
          <w:rStyle w:val="76"/>
          <w:rFonts w:hint="eastAsia" w:ascii="宋体" w:hAnsi="宋体" w:eastAsia="黑体" w:cs="宋体"/>
          <w:b/>
          <w:sz w:val="24"/>
          <w:szCs w:val="24"/>
          <w:lang w:eastAsia="zh-CN"/>
        </w:rPr>
        <w:t>拟签订的合同文本</w:t>
      </w:r>
      <w:r>
        <w:rPr>
          <w:sz w:val="24"/>
        </w:rPr>
        <w:tab/>
      </w:r>
      <w:r>
        <w:rPr>
          <w:rFonts w:hint="eastAsia"/>
          <w:sz w:val="24"/>
          <w:lang w:val="en-US" w:eastAsia="zh-CN"/>
        </w:rPr>
        <w:t>4</w:t>
      </w:r>
      <w:r>
        <w:rPr>
          <w:sz w:val="24"/>
        </w:rPr>
        <w:fldChar w:fldCharType="end"/>
      </w:r>
      <w:r>
        <w:rPr>
          <w:rFonts w:hint="eastAsia"/>
          <w:sz w:val="24"/>
          <w:lang w:val="en-US" w:eastAsia="zh-CN"/>
        </w:rPr>
        <w:t>1</w:t>
      </w:r>
    </w:p>
    <w:p w14:paraId="3B64DDD2">
      <w:pPr>
        <w:pStyle w:val="42"/>
        <w:tabs>
          <w:tab w:val="right" w:leader="dot" w:pos="9629"/>
        </w:tabs>
        <w:rPr>
          <w:rFonts w:hint="eastAsia" w:eastAsia="宋体" w:asciiTheme="minorHAnsi" w:hAnsiTheme="minorHAnsi" w:cstheme="minorBidi"/>
          <w:sz w:val="28"/>
          <w:szCs w:val="22"/>
          <w:lang w:val="en-US" w:eastAsia="zh-CN"/>
        </w:rPr>
      </w:pPr>
      <w:r>
        <w:fldChar w:fldCharType="begin"/>
      </w:r>
      <w:r>
        <w:instrText xml:space="preserve"> HYPERLINK \l "_Toc211352599" </w:instrText>
      </w:r>
      <w:r>
        <w:fldChar w:fldCharType="separate"/>
      </w:r>
      <w:r>
        <w:rPr>
          <w:rStyle w:val="76"/>
          <w:rFonts w:ascii="宋体" w:hAnsi="宋体" w:cs="宋体"/>
          <w:b/>
          <w:sz w:val="24"/>
          <w:szCs w:val="24"/>
        </w:rPr>
        <w:t>第六部分 应提交的有关格式范例</w:t>
      </w:r>
      <w:r>
        <w:rPr>
          <w:sz w:val="24"/>
        </w:rPr>
        <w:tab/>
      </w:r>
      <w:r>
        <w:rPr>
          <w:rFonts w:hint="eastAsia"/>
          <w:sz w:val="24"/>
          <w:lang w:val="en-US" w:eastAsia="zh-CN"/>
        </w:rPr>
        <w:t>5</w:t>
      </w:r>
      <w:r>
        <w:rPr>
          <w:sz w:val="24"/>
        </w:rPr>
        <w:fldChar w:fldCharType="end"/>
      </w:r>
      <w:r>
        <w:rPr>
          <w:rFonts w:hint="eastAsia"/>
          <w:sz w:val="24"/>
          <w:lang w:val="en-US" w:eastAsia="zh-CN"/>
        </w:rPr>
        <w:t>2</w:t>
      </w:r>
    </w:p>
    <w:p w14:paraId="3826969E">
      <w:pPr>
        <w:spacing w:line="360" w:lineRule="auto"/>
        <w:ind w:firstLine="920" w:firstLineChars="229"/>
        <w:rPr>
          <w:rFonts w:ascii="宋体" w:hAnsi="宋体" w:cs="宋体"/>
          <w:b/>
          <w:color w:val="000000" w:themeColor="text1"/>
          <w:sz w:val="40"/>
          <w:szCs w:val="30"/>
          <w14:textFill>
            <w14:solidFill>
              <w14:schemeClr w14:val="tx1"/>
            </w14:solidFill>
          </w14:textFill>
        </w:rPr>
      </w:pPr>
      <w:r>
        <w:rPr>
          <w:rFonts w:ascii="宋体" w:hAnsi="宋体" w:cs="宋体"/>
          <w:b/>
          <w:color w:val="000000" w:themeColor="text1"/>
          <w:sz w:val="40"/>
          <w:szCs w:val="30"/>
          <w14:textFill>
            <w14:solidFill>
              <w14:schemeClr w14:val="tx1"/>
            </w14:solidFill>
          </w14:textFill>
        </w:rPr>
        <w:fldChar w:fldCharType="end"/>
      </w:r>
    </w:p>
    <w:p w14:paraId="7CC3C181">
      <w:pPr>
        <w:spacing w:line="360" w:lineRule="auto"/>
        <w:ind w:firstLine="549" w:firstLineChars="229"/>
        <w:rPr>
          <w:rFonts w:ascii="宋体" w:hAnsi="宋体" w:cs="宋体"/>
          <w:color w:val="000000" w:themeColor="text1"/>
          <w:sz w:val="24"/>
          <w14:textFill>
            <w14:solidFill>
              <w14:schemeClr w14:val="tx1"/>
            </w14:solidFill>
          </w14:textFill>
        </w:rPr>
      </w:pPr>
    </w:p>
    <w:p w14:paraId="31F37A30">
      <w:pPr>
        <w:spacing w:line="360" w:lineRule="auto"/>
        <w:ind w:firstLine="549" w:firstLineChars="229"/>
        <w:rPr>
          <w:rFonts w:ascii="宋体" w:hAnsi="宋体" w:cs="宋体"/>
          <w:color w:val="000000" w:themeColor="text1"/>
          <w:sz w:val="24"/>
          <w14:textFill>
            <w14:solidFill>
              <w14:schemeClr w14:val="tx1"/>
            </w14:solidFill>
          </w14:textFill>
        </w:rPr>
      </w:pPr>
    </w:p>
    <w:p w14:paraId="1B4400A2">
      <w:pPr>
        <w:spacing w:line="360" w:lineRule="auto"/>
        <w:ind w:firstLine="549" w:firstLineChars="229"/>
        <w:rPr>
          <w:rFonts w:ascii="宋体" w:hAnsi="宋体" w:cs="宋体"/>
          <w:color w:val="000000" w:themeColor="text1"/>
          <w:sz w:val="24"/>
          <w14:textFill>
            <w14:solidFill>
              <w14:schemeClr w14:val="tx1"/>
            </w14:solidFill>
          </w14:textFill>
        </w:rPr>
      </w:pPr>
    </w:p>
    <w:p w14:paraId="4CEFDDCE">
      <w:pPr>
        <w:spacing w:line="360" w:lineRule="auto"/>
        <w:ind w:firstLine="549" w:firstLineChars="229"/>
        <w:rPr>
          <w:rFonts w:ascii="宋体" w:hAnsi="宋体" w:cs="宋体"/>
          <w:color w:val="000000" w:themeColor="text1"/>
          <w:sz w:val="24"/>
          <w14:textFill>
            <w14:solidFill>
              <w14:schemeClr w14:val="tx1"/>
            </w14:solidFill>
          </w14:textFill>
        </w:rPr>
      </w:pPr>
    </w:p>
    <w:p w14:paraId="029EDB27">
      <w:pPr>
        <w:spacing w:line="360" w:lineRule="auto"/>
        <w:ind w:firstLine="549" w:firstLineChars="229"/>
        <w:rPr>
          <w:rFonts w:ascii="宋体" w:hAnsi="宋体" w:cs="宋体"/>
          <w:color w:val="000000" w:themeColor="text1"/>
          <w:sz w:val="24"/>
          <w14:textFill>
            <w14:solidFill>
              <w14:schemeClr w14:val="tx1"/>
            </w14:solidFill>
          </w14:textFill>
        </w:rPr>
      </w:pPr>
    </w:p>
    <w:p w14:paraId="527ED1D6">
      <w:pPr>
        <w:spacing w:line="360" w:lineRule="auto"/>
        <w:ind w:firstLine="549" w:firstLineChars="229"/>
        <w:rPr>
          <w:rFonts w:ascii="宋体" w:hAnsi="宋体" w:cs="宋体"/>
          <w:color w:val="000000" w:themeColor="text1"/>
          <w:sz w:val="24"/>
          <w14:textFill>
            <w14:solidFill>
              <w14:schemeClr w14:val="tx1"/>
            </w14:solidFill>
          </w14:textFill>
        </w:rPr>
      </w:pPr>
    </w:p>
    <w:p w14:paraId="549D8ABD">
      <w:pPr>
        <w:spacing w:line="360" w:lineRule="auto"/>
        <w:ind w:firstLine="549" w:firstLineChars="229"/>
        <w:rPr>
          <w:rFonts w:ascii="宋体" w:hAnsi="宋体" w:cs="宋体"/>
          <w:color w:val="000000" w:themeColor="text1"/>
          <w:sz w:val="24"/>
          <w14:textFill>
            <w14:solidFill>
              <w14:schemeClr w14:val="tx1"/>
            </w14:solidFill>
          </w14:textFill>
        </w:rPr>
      </w:pPr>
    </w:p>
    <w:p w14:paraId="04D2FD15">
      <w:pPr>
        <w:spacing w:line="360" w:lineRule="auto"/>
        <w:ind w:firstLine="549" w:firstLineChars="229"/>
        <w:rPr>
          <w:rFonts w:ascii="宋体" w:hAnsi="宋体" w:cs="宋体"/>
          <w:color w:val="000000" w:themeColor="text1"/>
          <w:sz w:val="24"/>
          <w14:textFill>
            <w14:solidFill>
              <w14:schemeClr w14:val="tx1"/>
            </w14:solidFill>
          </w14:textFill>
        </w:rPr>
      </w:pPr>
    </w:p>
    <w:p w14:paraId="33F47EA4">
      <w:pPr>
        <w:spacing w:line="360" w:lineRule="auto"/>
        <w:ind w:firstLine="549" w:firstLineChars="229"/>
        <w:rPr>
          <w:rFonts w:ascii="宋体" w:hAnsi="宋体" w:cs="宋体"/>
          <w:color w:val="000000" w:themeColor="text1"/>
          <w:sz w:val="24"/>
          <w14:textFill>
            <w14:solidFill>
              <w14:schemeClr w14:val="tx1"/>
            </w14:solidFill>
          </w14:textFill>
        </w:rPr>
      </w:pPr>
    </w:p>
    <w:p w14:paraId="5508A8CC">
      <w:pPr>
        <w:spacing w:line="360" w:lineRule="auto"/>
        <w:ind w:firstLine="549" w:firstLineChars="229"/>
        <w:rPr>
          <w:rFonts w:ascii="宋体" w:hAnsi="宋体" w:cs="宋体"/>
          <w:color w:val="000000" w:themeColor="text1"/>
          <w:sz w:val="24"/>
          <w14:textFill>
            <w14:solidFill>
              <w14:schemeClr w14:val="tx1"/>
            </w14:solidFill>
          </w14:textFill>
        </w:rPr>
      </w:pPr>
    </w:p>
    <w:p w14:paraId="02BA33A1">
      <w:pPr>
        <w:spacing w:line="360" w:lineRule="auto"/>
        <w:ind w:firstLine="549" w:firstLineChars="229"/>
        <w:rPr>
          <w:rFonts w:ascii="宋体" w:hAnsi="宋体" w:cs="宋体"/>
          <w:color w:val="000000" w:themeColor="text1"/>
          <w:sz w:val="24"/>
          <w14:textFill>
            <w14:solidFill>
              <w14:schemeClr w14:val="tx1"/>
            </w14:solidFill>
          </w14:textFill>
        </w:rPr>
      </w:pPr>
    </w:p>
    <w:p w14:paraId="52451FF4">
      <w:pPr>
        <w:spacing w:line="360" w:lineRule="auto"/>
        <w:ind w:firstLine="549" w:firstLineChars="229"/>
        <w:rPr>
          <w:rFonts w:ascii="宋体" w:hAnsi="宋体" w:cs="宋体"/>
          <w:color w:val="000000" w:themeColor="text1"/>
          <w:sz w:val="24"/>
          <w14:textFill>
            <w14:solidFill>
              <w14:schemeClr w14:val="tx1"/>
            </w14:solidFill>
          </w14:textFill>
        </w:rPr>
      </w:pPr>
    </w:p>
    <w:p w14:paraId="67176230">
      <w:pPr>
        <w:spacing w:line="360" w:lineRule="auto"/>
        <w:rPr>
          <w:rFonts w:ascii="宋体" w:hAnsi="宋体" w:cs="宋体"/>
          <w:color w:val="000000" w:themeColor="text1"/>
          <w:sz w:val="24"/>
          <w14:textFill>
            <w14:solidFill>
              <w14:schemeClr w14:val="tx1"/>
            </w14:solidFill>
          </w14:textFill>
        </w:rPr>
      </w:pPr>
    </w:p>
    <w:p w14:paraId="23AB27CA">
      <w:pPr>
        <w:numPr>
          <w:ilvl w:val="0"/>
          <w:numId w:val="1"/>
        </w:numPr>
        <w:adjustRightInd/>
        <w:spacing w:line="360" w:lineRule="auto"/>
        <w:jc w:val="center"/>
        <w:outlineLvl w:val="0"/>
        <w:rPr>
          <w:rFonts w:hint="eastAsia" w:ascii="宋体" w:hAnsi="宋体" w:cs="宋体"/>
          <w:b/>
          <w:color w:val="000000" w:themeColor="text1"/>
          <w:sz w:val="36"/>
          <w:szCs w:val="20"/>
          <w14:textFill>
            <w14:solidFill>
              <w14:schemeClr w14:val="tx1"/>
            </w14:solidFill>
          </w14:textFill>
        </w:rPr>
      </w:pPr>
      <w:bookmarkStart w:id="4" w:name="第一部分"/>
      <w:r>
        <w:rPr>
          <w:rFonts w:hint="eastAsia" w:ascii="宋体" w:hAnsi="宋体" w:cs="宋体"/>
          <w:b/>
          <w:color w:val="000000" w:themeColor="text1"/>
          <w:sz w:val="36"/>
          <w:szCs w:val="36"/>
          <w14:textFill>
            <w14:solidFill>
              <w14:schemeClr w14:val="tx1"/>
            </w14:solidFill>
          </w14:textFill>
        </w:rPr>
        <w:br w:type="page"/>
      </w:r>
      <w:bookmarkEnd w:id="3"/>
      <w:bookmarkEnd w:id="4"/>
      <w:bookmarkStart w:id="5" w:name="_Hlt74707423"/>
      <w:bookmarkEnd w:id="5"/>
      <w:bookmarkStart w:id="6" w:name="_Hlt74728647"/>
      <w:bookmarkEnd w:id="6"/>
      <w:bookmarkStart w:id="7" w:name="_Hlt74649545"/>
      <w:bookmarkEnd w:id="7"/>
      <w:bookmarkStart w:id="8" w:name="_Hlt74729822"/>
      <w:bookmarkEnd w:id="8"/>
      <w:bookmarkStart w:id="9" w:name="_Toc211352595"/>
      <w:bookmarkStart w:id="10" w:name="第二部分"/>
      <w:bookmarkStart w:id="11" w:name="_Toc91899870"/>
      <w:bookmarkStart w:id="12" w:name="_Toc91899871"/>
      <w:r>
        <w:rPr>
          <w:rFonts w:hint="eastAsia" w:ascii="宋体" w:hAnsi="宋体" w:cs="宋体"/>
          <w:b/>
          <w:color w:val="000000" w:themeColor="text1"/>
          <w:sz w:val="36"/>
          <w:szCs w:val="20"/>
          <w14:textFill>
            <w14:solidFill>
              <w14:schemeClr w14:val="tx1"/>
            </w14:solidFill>
          </w14:textFill>
        </w:rPr>
        <w:t>招标公告</w:t>
      </w:r>
      <w:bookmarkEnd w:id="9"/>
      <w:bookmarkStart w:id="13" w:name="OLE_LINK1"/>
    </w:p>
    <w:bookmarkEnd w:id="13"/>
    <w:p w14:paraId="3818A3C5">
      <w:pPr>
        <w:adjustRightInd/>
        <w:spacing w:line="360" w:lineRule="auto"/>
        <w:jc w:val="center"/>
        <w:rPr>
          <w:sz w:val="20"/>
          <w:szCs w:val="22"/>
        </w:rPr>
      </w:pPr>
      <w:r>
        <w:rPr>
          <w:rFonts w:hint="eastAsia" w:cs="仿宋_GB2312" w:asciiTheme="minorEastAsia" w:hAnsiTheme="minorEastAsia" w:eastAsiaTheme="minorEastAsia"/>
          <w:b/>
          <w:color w:val="auto"/>
          <w:sz w:val="32"/>
          <w:szCs w:val="18"/>
        </w:rPr>
        <w:t>北海市政府采购中心关于</w:t>
      </w:r>
      <w:r>
        <w:rPr>
          <w:rFonts w:hint="eastAsia" w:cs="仿宋_GB2312" w:asciiTheme="minorEastAsia" w:hAnsiTheme="minorEastAsia" w:eastAsiaTheme="minorEastAsia"/>
          <w:b/>
          <w:color w:val="auto"/>
          <w:sz w:val="32"/>
          <w:szCs w:val="18"/>
          <w:lang w:eastAsia="zh-CN"/>
        </w:rPr>
        <w:t>广西壮族自治区北海市中级人民法院北海市两级法院集约送达服务</w:t>
      </w:r>
      <w:r>
        <w:rPr>
          <w:rFonts w:hint="eastAsia" w:cs="仿宋_GB2312" w:asciiTheme="minorEastAsia" w:hAnsiTheme="minorEastAsia" w:eastAsiaTheme="minorEastAsia"/>
          <w:b/>
          <w:color w:val="auto"/>
          <w:sz w:val="32"/>
          <w:szCs w:val="18"/>
        </w:rPr>
        <w:t>(</w:t>
      </w:r>
      <w:r>
        <w:rPr>
          <w:rFonts w:hint="eastAsia" w:cs="仿宋_GB2312" w:asciiTheme="minorEastAsia" w:hAnsiTheme="minorEastAsia" w:eastAsiaTheme="minorEastAsia"/>
          <w:b/>
          <w:color w:val="auto"/>
          <w:sz w:val="32"/>
          <w:szCs w:val="18"/>
          <w:lang w:eastAsia="zh-CN"/>
        </w:rPr>
        <w:t>BHZC2026-G3-990036-CGZX</w:t>
      </w:r>
      <w:r>
        <w:rPr>
          <w:rFonts w:hint="eastAsia" w:cs="仿宋_GB2312" w:asciiTheme="minorEastAsia" w:hAnsiTheme="minorEastAsia" w:eastAsiaTheme="minorEastAsia"/>
          <w:b/>
          <w:color w:val="auto"/>
          <w:sz w:val="32"/>
          <w:szCs w:val="18"/>
        </w:rPr>
        <w:t>)</w:t>
      </w:r>
      <w:r>
        <w:rPr>
          <w:rFonts w:hint="eastAsia" w:cs="仿宋_GB2312" w:asciiTheme="minorEastAsia" w:hAnsiTheme="minorEastAsia" w:eastAsiaTheme="minorEastAsia"/>
          <w:b/>
          <w:color w:val="auto"/>
          <w:sz w:val="32"/>
          <w:szCs w:val="18"/>
          <w:lang w:eastAsia="zh-CN"/>
        </w:rPr>
        <w:t>招标</w:t>
      </w:r>
      <w:r>
        <w:rPr>
          <w:rFonts w:hint="eastAsia" w:cs="仿宋_GB2312" w:asciiTheme="minorEastAsia" w:hAnsiTheme="minorEastAsia" w:eastAsiaTheme="minorEastAsia"/>
          <w:b/>
          <w:color w:val="auto"/>
          <w:sz w:val="32"/>
          <w:szCs w:val="18"/>
        </w:rPr>
        <w:t>公告</w:t>
      </w:r>
    </w:p>
    <w:p w14:paraId="7AEA71BE">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14:textFill>
            <w14:solidFill>
              <w14:schemeClr w14:val="tx1"/>
            </w14:solidFill>
          </w14:textFill>
        </w:rPr>
      </w:pPr>
      <w:bookmarkStart w:id="14" w:name="OLE_LINK27"/>
      <w:r>
        <w:rPr>
          <w:rFonts w:hint="eastAsia" w:ascii="宋体" w:hAnsi="宋体" w:cs="宋体"/>
          <w:color w:val="000000" w:themeColor="text1"/>
          <w:sz w:val="24"/>
          <w14:textFill>
            <w14:solidFill>
              <w14:schemeClr w14:val="tx1"/>
            </w14:solidFill>
          </w14:textFill>
        </w:rPr>
        <w:t>项目概况</w:t>
      </w:r>
    </w:p>
    <w:p w14:paraId="4A5E7B04">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北海市两级法院集约送达服务</w:t>
      </w:r>
      <w:r>
        <w:rPr>
          <w:rFonts w:hint="eastAsia" w:ascii="宋体" w:hAnsi="宋体" w:cs="宋体"/>
          <w:color w:val="000000" w:themeColor="text1"/>
          <w:sz w:val="24"/>
          <w14:textFill>
            <w14:solidFill>
              <w14:schemeClr w14:val="tx1"/>
            </w14:solidFill>
          </w14:textFill>
        </w:rPr>
        <w:t>的潜在投标人应在广西政府采购云平台（https://www.gcy.zfcg.gxzf.gov.cn/）获取（下载）招标文件，并于</w:t>
      </w:r>
      <w:r>
        <w:rPr>
          <w:rFonts w:hint="eastAsia" w:ascii="宋体" w:hAnsi="宋体" w:cs="宋体"/>
          <w:color w:val="000000" w:themeColor="text1"/>
          <w:sz w:val="24"/>
          <w:lang w:eastAsia="zh-CN"/>
          <w14:textFill>
            <w14:solidFill>
              <w14:schemeClr w14:val="tx1"/>
            </w14:solidFill>
          </w14:textFill>
        </w:rPr>
        <w:t>2026年</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lang w:eastAsia="zh-CN"/>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日</w:t>
      </w:r>
      <w:r>
        <w:rPr>
          <w:rFonts w:hint="eastAsia" w:ascii="宋体" w:hAnsi="宋体" w:cs="宋体"/>
          <w:color w:val="000000" w:themeColor="text1"/>
          <w:sz w:val="24"/>
          <w14:textFill>
            <w14:solidFill>
              <w14:schemeClr w14:val="tx1"/>
            </w14:solidFill>
          </w14:textFill>
        </w:rPr>
        <w:t>9点00分00秒</w:t>
      </w:r>
      <w:r>
        <w:rPr>
          <w:rFonts w:hint="eastAsia" w:ascii="宋体" w:hAnsi="宋体" w:cs="宋体"/>
          <w:bCs/>
          <w:color w:val="000000" w:themeColor="text1"/>
          <w:sz w:val="24"/>
          <w14:textFill>
            <w14:solidFill>
              <w14:schemeClr w14:val="tx1"/>
            </w14:solidFill>
          </w14:textFill>
        </w:rPr>
        <w:t>（北京时间）前</w:t>
      </w:r>
      <w:r>
        <w:rPr>
          <w:rFonts w:hint="eastAsia" w:ascii="宋体" w:hAnsi="宋体" w:cs="宋体"/>
          <w:color w:val="000000" w:themeColor="text1"/>
          <w:sz w:val="24"/>
          <w14:textFill>
            <w14:solidFill>
              <w14:schemeClr w14:val="tx1"/>
            </w14:solidFill>
          </w14:textFill>
        </w:rPr>
        <w:t>递交（上传）投标文件。</w:t>
      </w:r>
    </w:p>
    <w:p w14:paraId="34ACC73F">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一、项目基本情况                                            </w:t>
      </w:r>
    </w:p>
    <w:p w14:paraId="265A183C">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项目编号：</w:t>
      </w:r>
      <w:bookmarkStart w:id="15" w:name="OLE_LINK16"/>
      <w:bookmarkStart w:id="16" w:name="OLE_LINK17"/>
      <w:r>
        <w:rPr>
          <w:rFonts w:hint="eastAsia" w:ascii="宋体" w:hAnsi="宋体" w:cs="宋体"/>
          <w:color w:val="000000" w:themeColor="text1"/>
          <w:sz w:val="24"/>
          <w:lang w:eastAsia="zh-CN"/>
          <w14:textFill>
            <w14:solidFill>
              <w14:schemeClr w14:val="tx1"/>
            </w14:solidFill>
          </w14:textFill>
        </w:rPr>
        <w:t>BHZC2026-G3-990036-CGZX</w:t>
      </w:r>
    </w:p>
    <w:bookmarkEnd w:id="15"/>
    <w:bookmarkEnd w:id="16"/>
    <w:p w14:paraId="6F1E4C63">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lang w:eastAsia="zh-CN"/>
          <w14:textFill>
            <w14:solidFill>
              <w14:schemeClr w14:val="tx1"/>
            </w14:solidFill>
          </w14:textFill>
        </w:rPr>
        <w:t>北海市两级法院集约送达服务</w:t>
      </w:r>
      <w:r>
        <w:rPr>
          <w:rFonts w:hint="eastAsia" w:ascii="宋体" w:hAnsi="宋体" w:cs="宋体"/>
          <w:color w:val="000000" w:themeColor="text1"/>
          <w:sz w:val="24"/>
          <w14:textFill>
            <w14:solidFill>
              <w14:schemeClr w14:val="tx1"/>
            </w14:solidFill>
          </w14:textFill>
        </w:rPr>
        <w:t xml:space="preserve">   </w:t>
      </w:r>
    </w:p>
    <w:p w14:paraId="2B3A6C55">
      <w:pPr>
        <w:snapToGrid w:val="0"/>
        <w:spacing w:line="360" w:lineRule="auto"/>
        <w:ind w:firstLine="48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预算金额（元）：7761600</w:t>
      </w:r>
      <w:r>
        <w:rPr>
          <w:rFonts w:hint="eastAsia" w:ascii="宋体" w:hAnsi="宋体" w:cs="宋体"/>
          <w:color w:val="000000" w:themeColor="text1"/>
          <w:sz w:val="24"/>
          <w:lang w:val="en-US" w:eastAsia="zh-CN"/>
          <w14:textFill>
            <w14:solidFill>
              <w14:schemeClr w14:val="tx1"/>
            </w14:solidFill>
          </w14:textFill>
        </w:rPr>
        <w:t>.00</w:t>
      </w:r>
    </w:p>
    <w:p w14:paraId="70D86B9F">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最高限价（元）：</w:t>
      </w:r>
    </w:p>
    <w:p w14:paraId="0F3C3F51">
      <w:pPr>
        <w:keepNext w:val="0"/>
        <w:keepLines w:val="0"/>
        <w:pageBreakBefore w:val="0"/>
        <w:widowControl w:val="0"/>
        <w:kinsoku/>
        <w:wordWrap/>
        <w:overflowPunct/>
        <w:topLinePunct w:val="0"/>
        <w:autoSpaceDE/>
        <w:autoSpaceDN/>
        <w:bidi w:val="0"/>
        <w:adjustRightInd w:val="0"/>
        <w:snapToGrid/>
        <w:spacing w:line="440" w:lineRule="atLeast"/>
        <w:ind w:firstLine="482" w:firstLineChars="200"/>
        <w:jc w:val="left"/>
        <w:textAlignment w:val="auto"/>
        <w:rPr>
          <w:rFonts w:ascii="宋体" w:hAnsi="宋体" w:cs="宋体"/>
          <w:b/>
          <w:sz w:val="24"/>
          <w:szCs w:val="21"/>
        </w:rPr>
      </w:pPr>
      <w:r>
        <w:rPr>
          <w:rFonts w:hint="eastAsia" w:ascii="宋体" w:hAnsi="宋体" w:cs="宋体"/>
          <w:b/>
          <w:sz w:val="24"/>
          <w:szCs w:val="21"/>
        </w:rPr>
        <w:t>标项一</w:t>
      </w:r>
    </w:p>
    <w:p w14:paraId="4A290CB4">
      <w:pPr>
        <w:keepNext w:val="0"/>
        <w:keepLines w:val="0"/>
        <w:pageBreakBefore w:val="0"/>
        <w:widowControl w:val="0"/>
        <w:kinsoku/>
        <w:wordWrap/>
        <w:overflowPunct/>
        <w:topLinePunct w:val="0"/>
        <w:autoSpaceDE/>
        <w:autoSpaceDN/>
        <w:bidi w:val="0"/>
        <w:adjustRightInd w:val="0"/>
        <w:snapToGrid/>
        <w:spacing w:line="440" w:lineRule="atLeast"/>
        <w:ind w:firstLine="480" w:firstLineChars="200"/>
        <w:jc w:val="left"/>
        <w:textAlignment w:val="auto"/>
        <w:rPr>
          <w:rFonts w:hint="eastAsia" w:ascii="宋体" w:hAnsi="宋体" w:eastAsia="宋体" w:cs="宋体"/>
          <w:sz w:val="24"/>
          <w:szCs w:val="21"/>
          <w:lang w:eastAsia="zh-CN"/>
        </w:rPr>
      </w:pPr>
      <w:r>
        <w:rPr>
          <w:rFonts w:hint="eastAsia" w:ascii="宋体" w:hAnsi="宋体" w:cs="宋体"/>
          <w:sz w:val="24"/>
          <w:szCs w:val="21"/>
        </w:rPr>
        <w:t>标项名称:</w:t>
      </w:r>
      <w:r>
        <w:rPr>
          <w:rFonts w:hint="eastAsia" w:ascii="宋体" w:hAnsi="宋体" w:cs="宋体"/>
          <w:sz w:val="24"/>
        </w:rPr>
        <w:t xml:space="preserve"> </w:t>
      </w:r>
      <w:r>
        <w:rPr>
          <w:rFonts w:hint="eastAsia" w:ascii="宋体" w:hAnsi="宋体" w:cs="宋体"/>
          <w:sz w:val="24"/>
          <w:lang w:eastAsia="zh-CN"/>
        </w:rPr>
        <w:t>北海市两级法院集约送达服务</w:t>
      </w:r>
    </w:p>
    <w:p w14:paraId="50F36B19">
      <w:pPr>
        <w:keepNext w:val="0"/>
        <w:keepLines w:val="0"/>
        <w:pageBreakBefore w:val="0"/>
        <w:widowControl w:val="0"/>
        <w:kinsoku/>
        <w:wordWrap/>
        <w:overflowPunct/>
        <w:topLinePunct w:val="0"/>
        <w:autoSpaceDE/>
        <w:autoSpaceDN/>
        <w:bidi w:val="0"/>
        <w:adjustRightInd w:val="0"/>
        <w:snapToGrid/>
        <w:spacing w:line="440" w:lineRule="atLeast"/>
        <w:ind w:firstLine="480" w:firstLineChars="200"/>
        <w:jc w:val="left"/>
        <w:textAlignment w:val="auto"/>
        <w:rPr>
          <w:rFonts w:ascii="宋体" w:hAnsi="宋体" w:cs="宋体"/>
          <w:sz w:val="24"/>
          <w:szCs w:val="21"/>
        </w:rPr>
      </w:pPr>
      <w:r>
        <w:rPr>
          <w:rFonts w:hint="eastAsia" w:ascii="宋体" w:hAnsi="宋体" w:cs="宋体"/>
          <w:sz w:val="24"/>
          <w:szCs w:val="21"/>
        </w:rPr>
        <w:t>数量:</w:t>
      </w:r>
      <w:r>
        <w:rPr>
          <w:rFonts w:hint="eastAsia" w:ascii="宋体" w:hAnsi="宋体" w:cs="宋体"/>
          <w:sz w:val="24"/>
        </w:rPr>
        <w:t>不限</w:t>
      </w:r>
    </w:p>
    <w:p w14:paraId="37CD08DD">
      <w:pPr>
        <w:snapToGrid w:val="0"/>
        <w:spacing w:line="360" w:lineRule="auto"/>
        <w:ind w:firstLine="480"/>
        <w:rPr>
          <w:rFonts w:ascii="宋体" w:hAnsi="宋体" w:cs="宋体"/>
          <w:sz w:val="24"/>
          <w:szCs w:val="21"/>
        </w:rPr>
      </w:pPr>
      <w:r>
        <w:rPr>
          <w:rFonts w:hint="eastAsia" w:ascii="宋体" w:hAnsi="宋体" w:cs="宋体"/>
          <w:sz w:val="24"/>
          <w:szCs w:val="21"/>
        </w:rPr>
        <w:t>预算金额（元）:</w:t>
      </w:r>
      <w:r>
        <w:rPr>
          <w:rFonts w:hint="eastAsia" w:ascii="宋体" w:hAnsi="宋体"/>
          <w:sz w:val="24"/>
          <w:szCs w:val="21"/>
        </w:rPr>
        <w:t xml:space="preserve"> </w:t>
      </w:r>
      <w:r>
        <w:rPr>
          <w:rFonts w:hint="eastAsia" w:ascii="宋体" w:hAnsi="宋体" w:cs="宋体"/>
          <w:color w:val="000000" w:themeColor="text1"/>
          <w:sz w:val="24"/>
          <w14:textFill>
            <w14:solidFill>
              <w14:schemeClr w14:val="tx1"/>
            </w14:solidFill>
          </w14:textFill>
        </w:rPr>
        <w:t>7761600</w:t>
      </w:r>
      <w:r>
        <w:rPr>
          <w:rFonts w:hint="eastAsia" w:ascii="宋体" w:hAnsi="宋体" w:cs="宋体"/>
          <w:color w:val="000000" w:themeColor="text1"/>
          <w:sz w:val="24"/>
          <w:lang w:val="en-US" w:eastAsia="zh-CN"/>
          <w14:textFill>
            <w14:solidFill>
              <w14:schemeClr w14:val="tx1"/>
            </w14:solidFill>
          </w14:textFill>
        </w:rPr>
        <w:t>.00</w:t>
      </w:r>
      <w:r>
        <w:rPr>
          <w:rFonts w:hint="eastAsia" w:ascii="宋体" w:hAnsi="宋体"/>
          <w:sz w:val="24"/>
          <w:szCs w:val="21"/>
        </w:rPr>
        <w:t>元</w:t>
      </w:r>
    </w:p>
    <w:p w14:paraId="25AD67E9">
      <w:pPr>
        <w:keepNext w:val="0"/>
        <w:keepLines w:val="0"/>
        <w:pageBreakBefore w:val="0"/>
        <w:widowControl w:val="0"/>
        <w:kinsoku/>
        <w:wordWrap/>
        <w:overflowPunct/>
        <w:topLinePunct w:val="0"/>
        <w:autoSpaceDE/>
        <w:autoSpaceDN/>
        <w:bidi w:val="0"/>
        <w:adjustRightInd w:val="0"/>
        <w:snapToGrid/>
        <w:spacing w:line="440" w:lineRule="atLeast"/>
        <w:ind w:firstLine="480" w:firstLineChars="200"/>
        <w:jc w:val="left"/>
        <w:textAlignment w:val="auto"/>
        <w:rPr>
          <w:rFonts w:ascii="宋体" w:hAnsi="宋体" w:cs="宋体"/>
          <w:sz w:val="24"/>
          <w:szCs w:val="21"/>
        </w:rPr>
      </w:pPr>
      <w:r>
        <w:rPr>
          <w:rFonts w:hint="eastAsia" w:ascii="宋体" w:hAnsi="宋体" w:cs="宋体"/>
          <w:sz w:val="24"/>
          <w:szCs w:val="21"/>
        </w:rPr>
        <w:t>简要规格描述或项目基本概况介绍、用途：</w:t>
      </w:r>
      <w:r>
        <w:rPr>
          <w:rFonts w:hint="eastAsia" w:ascii="宋体" w:hAnsi="宋体" w:cs="宋体"/>
          <w:sz w:val="24"/>
        </w:rPr>
        <w:t>采购两级法院集约送达辅助事务外包服务。</w:t>
      </w:r>
      <w:r>
        <w:rPr>
          <w:rFonts w:hint="eastAsia" w:ascii="宋体" w:hAnsi="宋体" w:cs="宋体"/>
          <w:sz w:val="24"/>
          <w:szCs w:val="21"/>
        </w:rPr>
        <w:t>如需进一步了解，详见招标文件。</w:t>
      </w:r>
    </w:p>
    <w:p w14:paraId="03E7E4C4">
      <w:pPr>
        <w:keepNext w:val="0"/>
        <w:keepLines w:val="0"/>
        <w:pageBreakBefore w:val="0"/>
        <w:widowControl w:val="0"/>
        <w:kinsoku/>
        <w:wordWrap/>
        <w:overflowPunct/>
        <w:topLinePunct w:val="0"/>
        <w:autoSpaceDE/>
        <w:autoSpaceDN/>
        <w:bidi w:val="0"/>
        <w:adjustRightInd w:val="0"/>
        <w:snapToGrid/>
        <w:spacing w:line="440" w:lineRule="atLeast"/>
        <w:ind w:firstLine="480" w:firstLineChars="200"/>
        <w:jc w:val="left"/>
        <w:textAlignment w:val="auto"/>
        <w:rPr>
          <w:rFonts w:ascii="宋体" w:hAnsi="宋体" w:cs="宋体"/>
          <w:sz w:val="24"/>
          <w:szCs w:val="21"/>
        </w:rPr>
      </w:pPr>
      <w:r>
        <w:rPr>
          <w:rFonts w:hint="eastAsia" w:ascii="宋体" w:hAnsi="宋体" w:cs="宋体"/>
          <w:sz w:val="24"/>
          <w:szCs w:val="21"/>
        </w:rPr>
        <w:t>最高限价（如有）：</w:t>
      </w:r>
      <w:r>
        <w:rPr>
          <w:rFonts w:hint="eastAsia" w:ascii="宋体" w:hAnsi="宋体"/>
          <w:sz w:val="24"/>
          <w:szCs w:val="21"/>
        </w:rPr>
        <w:t>/</w:t>
      </w:r>
    </w:p>
    <w:p w14:paraId="660816D1">
      <w:pPr>
        <w:keepNext w:val="0"/>
        <w:keepLines w:val="0"/>
        <w:pageBreakBefore w:val="0"/>
        <w:widowControl w:val="0"/>
        <w:kinsoku/>
        <w:wordWrap/>
        <w:overflowPunct/>
        <w:topLinePunct w:val="0"/>
        <w:autoSpaceDE/>
        <w:autoSpaceDN/>
        <w:bidi w:val="0"/>
        <w:adjustRightInd w:val="0"/>
        <w:snapToGrid/>
        <w:spacing w:line="440" w:lineRule="atLeast"/>
        <w:ind w:firstLine="480" w:firstLineChars="200"/>
        <w:jc w:val="left"/>
        <w:textAlignment w:val="auto"/>
        <w:rPr>
          <w:rFonts w:ascii="宋体" w:hAnsi="宋体" w:cs="宋体"/>
          <w:sz w:val="24"/>
          <w:szCs w:val="21"/>
        </w:rPr>
      </w:pPr>
      <w:r>
        <w:rPr>
          <w:rFonts w:hint="eastAsia" w:ascii="宋体" w:hAnsi="宋体" w:cs="宋体"/>
          <w:sz w:val="24"/>
          <w:szCs w:val="21"/>
        </w:rPr>
        <w:t>合同履约期限：自签订合同之日起 1 年（具体时间以合同签订时间为准），合同服务期到期或项目合同金额用尽任意一项先完成，合同即自动终止。</w:t>
      </w:r>
    </w:p>
    <w:p w14:paraId="59C0B5CD">
      <w:pPr>
        <w:keepNext w:val="0"/>
        <w:keepLines w:val="0"/>
        <w:pageBreakBefore w:val="0"/>
        <w:widowControl w:val="0"/>
        <w:kinsoku/>
        <w:wordWrap/>
        <w:overflowPunct/>
        <w:topLinePunct w:val="0"/>
        <w:autoSpaceDE/>
        <w:autoSpaceDN/>
        <w:bidi w:val="0"/>
        <w:adjustRightInd w:val="0"/>
        <w:snapToGrid/>
        <w:spacing w:line="440" w:lineRule="atLeast"/>
        <w:ind w:firstLine="480" w:firstLineChars="200"/>
        <w:jc w:val="left"/>
        <w:textAlignment w:val="auto"/>
        <w:rPr>
          <w:rFonts w:ascii="宋体" w:hAnsi="宋体" w:cs="宋体"/>
          <w:sz w:val="24"/>
          <w:szCs w:val="21"/>
        </w:rPr>
      </w:pPr>
      <w:r>
        <w:rPr>
          <w:rFonts w:hint="eastAsia" w:ascii="宋体" w:hAnsi="宋体" w:cs="宋体"/>
          <w:sz w:val="24"/>
          <w:szCs w:val="21"/>
        </w:rPr>
        <w:t>本标项不接受联合体投标。</w:t>
      </w:r>
    </w:p>
    <w:p w14:paraId="2097142C">
      <w:pPr>
        <w:keepNext w:val="0"/>
        <w:keepLines w:val="0"/>
        <w:pageBreakBefore w:val="0"/>
        <w:widowControl w:val="0"/>
        <w:kinsoku/>
        <w:wordWrap/>
        <w:overflowPunct/>
        <w:topLinePunct w:val="0"/>
        <w:autoSpaceDE/>
        <w:autoSpaceDN/>
        <w:bidi w:val="0"/>
        <w:adjustRightInd w:val="0"/>
        <w:snapToGrid/>
        <w:spacing w:line="440" w:lineRule="atLeast"/>
        <w:ind w:firstLine="480" w:firstLineChars="200"/>
        <w:jc w:val="left"/>
        <w:textAlignment w:val="auto"/>
        <w:rPr>
          <w:rFonts w:ascii="宋体" w:hAnsi="宋体" w:cs="宋体"/>
          <w:sz w:val="24"/>
          <w:szCs w:val="21"/>
        </w:rPr>
      </w:pPr>
      <w:r>
        <w:rPr>
          <w:rFonts w:hint="eastAsia" w:ascii="宋体" w:hAnsi="宋体" w:cs="宋体"/>
          <w:sz w:val="24"/>
          <w:szCs w:val="21"/>
        </w:rPr>
        <w:t>备注：/</w:t>
      </w:r>
    </w:p>
    <w:p w14:paraId="66D8318B">
      <w:pPr>
        <w:spacing w:line="320" w:lineRule="exact"/>
        <w:ind w:firstLine="482" w:firstLineChars="200"/>
        <w:jc w:val="left"/>
        <w:rPr>
          <w:rFonts w:ascii="宋体" w:hAnsi="宋体" w:cs="宋体"/>
          <w:b/>
          <w:sz w:val="24"/>
          <w:szCs w:val="21"/>
        </w:rPr>
      </w:pPr>
    </w:p>
    <w:p w14:paraId="59D3E0D3">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二、申请人的资格要求：</w:t>
      </w:r>
    </w:p>
    <w:p w14:paraId="08EC68AB">
      <w:pPr>
        <w:spacing w:line="360" w:lineRule="auto"/>
        <w:ind w:firstLine="480"/>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1. 满足《中华人民共和国政府采购法》第二十二条规定；未被“信用中国”（www.creditchina.gov.cn)、中国政府采购网（www.ccgp.gov.cn）列入失信被执行人、重大税收违法案件当事人名单、政府采购严重违法失信行为记录名单；</w:t>
      </w:r>
    </w:p>
    <w:p w14:paraId="69020FF9">
      <w:pPr>
        <w:spacing w:line="360" w:lineRule="auto"/>
        <w:ind w:firstLine="480"/>
        <w:rPr>
          <w:rFonts w:hint="eastAsia" w:ascii="宋体" w:hAnsi="宋体" w:eastAsia="宋体" w:cs="宋体"/>
          <w:snapToGrid w:val="0"/>
          <w:color w:val="000000" w:themeColor="text1"/>
          <w:kern w:val="28"/>
          <w:sz w:val="24"/>
          <w:szCs w:val="20"/>
          <w:lang w:val="en-US" w:eastAsia="zh-CN"/>
          <w14:textFill>
            <w14:solidFill>
              <w14:schemeClr w14:val="tx1"/>
            </w14:solidFill>
          </w14:textFill>
        </w:rPr>
      </w:pPr>
      <w:r>
        <w:rPr>
          <w:rFonts w:hint="eastAsia" w:ascii="宋体" w:hAnsi="宋体" w:eastAsia="宋体" w:cs="宋体"/>
          <w:snapToGrid w:val="0"/>
          <w:color w:val="000000" w:themeColor="text1"/>
          <w:kern w:val="28"/>
          <w:sz w:val="24"/>
          <w:szCs w:val="20"/>
          <w14:textFill>
            <w14:solidFill>
              <w14:schemeClr w14:val="tx1"/>
            </w14:solidFill>
          </w14:textFill>
        </w:rPr>
        <w:t>2.落实政府采购政策需满足的资格要求：</w:t>
      </w:r>
      <w:r>
        <w:rPr>
          <w:rFonts w:hint="eastAsia" w:ascii="宋体" w:hAnsi="宋体" w:eastAsia="宋体" w:cs="宋体"/>
          <w:snapToGrid w:val="0"/>
          <w:color w:val="000000" w:themeColor="text1"/>
          <w:kern w:val="28"/>
          <w:sz w:val="24"/>
          <w:szCs w:val="20"/>
          <w:lang w:eastAsia="zh-CN"/>
          <w14:textFill>
            <w14:solidFill>
              <w14:schemeClr w14:val="tx1"/>
            </w14:solidFill>
          </w14:textFill>
        </w:rPr>
        <w:t>无</w:t>
      </w:r>
    </w:p>
    <w:p w14:paraId="04598E9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sz w:val="24"/>
        </w:rPr>
        <w:t>本项目的特定资格要求：</w:t>
      </w:r>
      <w:r>
        <w:rPr>
          <w:rFonts w:hint="eastAsia" w:ascii="宋体" w:hAnsi="宋体" w:cs="宋体"/>
          <w:b/>
          <w:sz w:val="24"/>
        </w:rPr>
        <w:t>无</w:t>
      </w:r>
      <w:r>
        <w:rPr>
          <w:rFonts w:hint="eastAsia" w:ascii="宋体" w:hAnsi="宋体" w:cs="宋体"/>
          <w:b/>
          <w:color w:val="000000" w:themeColor="text1"/>
          <w:sz w:val="24"/>
          <w14:textFill>
            <w14:solidFill>
              <w14:schemeClr w14:val="tx1"/>
            </w14:solidFill>
          </w14:textFill>
        </w:rPr>
        <w:t>；</w:t>
      </w:r>
    </w:p>
    <w:p w14:paraId="6ED8EA34">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070BDFA">
      <w:pPr>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三、获取招标文件 </w:t>
      </w:r>
    </w:p>
    <w:p w14:paraId="32A39914">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w:t>
      </w:r>
      <w:r>
        <w:rPr>
          <w:rFonts w:hint="eastAsia" w:ascii="宋体" w:hAnsi="宋体" w:cs="宋体"/>
          <w:color w:val="000000" w:themeColor="text1"/>
          <w:sz w:val="24"/>
          <w:u w:val="single"/>
          <w14:textFill>
            <w14:solidFill>
              <w14:schemeClr w14:val="tx1"/>
            </w14:solidFill>
          </w14:textFill>
        </w:rPr>
        <w:t>202</w:t>
      </w:r>
      <w:r>
        <w:rPr>
          <w:rFonts w:hint="eastAsia" w:ascii="宋体" w:hAnsi="宋体" w:cs="宋体"/>
          <w:color w:val="000000" w:themeColor="text1"/>
          <w:sz w:val="24"/>
          <w:u w:val="single"/>
          <w:lang w:val="en-US" w:eastAsia="zh-CN"/>
          <w14:textFill>
            <w14:solidFill>
              <w14:schemeClr w14:val="tx1"/>
            </w14:solidFill>
          </w14:textFill>
        </w:rPr>
        <w:t>6</w:t>
      </w:r>
      <w:r>
        <w:rPr>
          <w:rFonts w:hint="eastAsia" w:ascii="宋体" w:hAnsi="宋体" w:cs="宋体"/>
          <w:color w:val="000000" w:themeColor="text1"/>
          <w:sz w:val="24"/>
          <w:u w:val="single"/>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5</w:t>
      </w:r>
      <w:r>
        <w:rPr>
          <w:rFonts w:hint="eastAsia" w:ascii="宋体" w:hAnsi="宋体" w:cs="宋体"/>
          <w:color w:val="000000" w:themeColor="text1"/>
          <w:sz w:val="24"/>
          <w:u w:val="single"/>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12</w:t>
      </w:r>
      <w:r>
        <w:rPr>
          <w:rFonts w:hint="eastAsia" w:ascii="宋体" w:hAnsi="宋体" w:cs="宋体"/>
          <w:color w:val="000000" w:themeColor="text1"/>
          <w:sz w:val="24"/>
          <w:u w:val="single"/>
          <w14:textFill>
            <w14:solidFill>
              <w14:schemeClr w14:val="tx1"/>
            </w14:solidFill>
          </w14:textFill>
        </w:rPr>
        <w:t>日至202</w:t>
      </w:r>
      <w:r>
        <w:rPr>
          <w:rFonts w:hint="eastAsia" w:ascii="宋体" w:hAnsi="宋体" w:cs="宋体"/>
          <w:color w:val="000000" w:themeColor="text1"/>
          <w:sz w:val="24"/>
          <w:u w:val="single"/>
          <w:lang w:val="en-US" w:eastAsia="zh-CN"/>
          <w14:textFill>
            <w14:solidFill>
              <w14:schemeClr w14:val="tx1"/>
            </w14:solidFill>
          </w14:textFill>
        </w:rPr>
        <w:t>6</w:t>
      </w:r>
      <w:r>
        <w:rPr>
          <w:rFonts w:hint="eastAsia" w:ascii="宋体" w:hAnsi="宋体" w:cs="宋体"/>
          <w:color w:val="000000" w:themeColor="text1"/>
          <w:sz w:val="24"/>
          <w:u w:val="single"/>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5</w:t>
      </w:r>
      <w:r>
        <w:rPr>
          <w:rFonts w:hint="eastAsia" w:ascii="宋体" w:hAnsi="宋体" w:cs="宋体"/>
          <w:color w:val="000000" w:themeColor="text1"/>
          <w:sz w:val="24"/>
          <w:u w:val="single"/>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26</w:t>
      </w:r>
      <w:r>
        <w:rPr>
          <w:rFonts w:hint="eastAsia" w:ascii="宋体" w:hAnsi="宋体" w:cs="宋体"/>
          <w:color w:val="000000" w:themeColor="text1"/>
          <w:sz w:val="24"/>
          <w:u w:val="single"/>
          <w14:textFill>
            <w14:solidFill>
              <w14:schemeClr w14:val="tx1"/>
            </w14:solidFill>
          </w14:textFill>
        </w:rPr>
        <w:t>日</w:t>
      </w:r>
      <w:r>
        <w:rPr>
          <w:rFonts w:hint="eastAsia" w:ascii="宋体" w:hAnsi="宋体" w:cs="宋体"/>
          <w:color w:val="000000" w:themeColor="text1"/>
          <w:sz w:val="24"/>
          <w14:textFill>
            <w14:solidFill>
              <w14:schemeClr w14:val="tx1"/>
            </w14:solidFill>
          </w14:textFill>
        </w:rPr>
        <w:t>，每天上午00:00至12:00 ，下午12:00至23:59（北京时间，法定节假日除外）</w:t>
      </w:r>
    </w:p>
    <w:p w14:paraId="48A55074">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地点（网址）：广西政府采购云平台（https://www.gcy.zfcg.gxzf.gov.cn/） </w:t>
      </w:r>
    </w:p>
    <w:p w14:paraId="57F90731">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方式：供应商登录广西政府采购云平台（https://www.gcy.zfcg.gxzf.gov.cn/）在线申请获取采购文件（进入“项目采购”应用，在获取采购文件菜单中选择项目，申请获取采购文件）。 </w:t>
      </w:r>
    </w:p>
    <w:p w14:paraId="42114BB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售价（元）：0</w:t>
      </w:r>
      <w:r>
        <w:rPr>
          <w:rFonts w:hint="eastAsia" w:ascii="宋体" w:hAnsi="宋体" w:cs="宋体"/>
          <w:color w:val="000000" w:themeColor="text1"/>
          <w:sz w:val="24"/>
          <w14:textFill>
            <w14:solidFill>
              <w14:schemeClr w14:val="tx1"/>
            </w14:solidFill>
          </w14:textFill>
        </w:rPr>
        <w:tab/>
      </w:r>
    </w:p>
    <w:p w14:paraId="186765C1">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四、提交投标文件截止时间、开标时间和地点</w:t>
      </w:r>
    </w:p>
    <w:p w14:paraId="046F4EC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提交投标文件截止时间：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eastAsia="zh-CN"/>
          <w14:textFill>
            <w14:solidFill>
              <w14:schemeClr w14:val="tx1"/>
            </w14:solidFill>
          </w14:textFill>
        </w:rPr>
        <w:t>202</w:t>
      </w:r>
      <w:r>
        <w:rPr>
          <w:rFonts w:hint="eastAsia" w:ascii="宋体" w:hAnsi="宋体" w:cs="宋体"/>
          <w:color w:val="000000" w:themeColor="text1"/>
          <w:sz w:val="24"/>
          <w:u w:val="single"/>
          <w:lang w:val="en-US" w:eastAsia="zh-CN"/>
          <w14:textFill>
            <w14:solidFill>
              <w14:schemeClr w14:val="tx1"/>
            </w14:solidFill>
          </w14:textFill>
        </w:rPr>
        <w:t>6</w:t>
      </w:r>
      <w:r>
        <w:rPr>
          <w:rFonts w:hint="eastAsia" w:ascii="宋体" w:hAnsi="宋体" w:cs="宋体"/>
          <w:color w:val="000000" w:themeColor="text1"/>
          <w:sz w:val="24"/>
          <w:u w:val="single"/>
          <w:lang w:eastAsia="zh-CN"/>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6</w:t>
      </w:r>
      <w:r>
        <w:rPr>
          <w:rFonts w:hint="eastAsia" w:ascii="宋体" w:hAnsi="宋体" w:cs="宋体"/>
          <w:color w:val="000000" w:themeColor="text1"/>
          <w:sz w:val="24"/>
          <w:u w:val="single"/>
          <w:lang w:eastAsia="zh-CN"/>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2</w:t>
      </w:r>
      <w:r>
        <w:rPr>
          <w:rFonts w:hint="eastAsia" w:ascii="宋体" w:hAnsi="宋体" w:cs="宋体"/>
          <w:color w:val="000000" w:themeColor="text1"/>
          <w:sz w:val="24"/>
          <w:u w:val="single"/>
          <w:lang w:eastAsia="zh-CN"/>
          <w14:textFill>
            <w14:solidFill>
              <w14:schemeClr w14:val="tx1"/>
            </w14:solidFill>
          </w14:textFill>
        </w:rPr>
        <w:t>日</w:t>
      </w:r>
      <w:r>
        <w:rPr>
          <w:rFonts w:hint="eastAsia" w:ascii="宋体" w:hAnsi="宋体" w:cs="宋体"/>
          <w:color w:val="000000" w:themeColor="text1"/>
          <w:sz w:val="24"/>
          <w:u w:val="single"/>
          <w14:textFill>
            <w14:solidFill>
              <w14:schemeClr w14:val="tx1"/>
            </w14:solidFill>
          </w14:textFill>
        </w:rPr>
        <w:t>9点00分00秒</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（北京时间）</w:t>
      </w:r>
    </w:p>
    <w:p w14:paraId="4047FDF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投标地点（网址）：广西政府采购云平台（https://www.gcy.zfcg.gxzf.gov.cn/） </w:t>
      </w:r>
    </w:p>
    <w:p w14:paraId="26B5F3F7">
      <w:pPr>
        <w:spacing w:line="360" w:lineRule="auto"/>
        <w:ind w:firstLine="480" w:firstLineChars="200"/>
        <w:rPr>
          <w:rFonts w:ascii="宋体" w:hAnsi="宋体" w:cs="宋体"/>
          <w:b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开标时间：</w:t>
      </w:r>
      <w:r>
        <w:rPr>
          <w:rFonts w:hint="eastAsia" w:ascii="宋体" w:hAnsi="宋体" w:cs="宋体"/>
          <w:color w:val="000000" w:themeColor="text1"/>
          <w:sz w:val="24"/>
          <w:u w:val="single"/>
          <w:lang w:eastAsia="zh-CN"/>
          <w14:textFill>
            <w14:solidFill>
              <w14:schemeClr w14:val="tx1"/>
            </w14:solidFill>
          </w14:textFill>
        </w:rPr>
        <w:t>202</w:t>
      </w:r>
      <w:r>
        <w:rPr>
          <w:rFonts w:hint="eastAsia" w:ascii="宋体" w:hAnsi="宋体" w:cs="宋体"/>
          <w:color w:val="000000" w:themeColor="text1"/>
          <w:sz w:val="24"/>
          <w:u w:val="single"/>
          <w:lang w:val="en-US" w:eastAsia="zh-CN"/>
          <w14:textFill>
            <w14:solidFill>
              <w14:schemeClr w14:val="tx1"/>
            </w14:solidFill>
          </w14:textFill>
        </w:rPr>
        <w:t>6</w:t>
      </w:r>
      <w:r>
        <w:rPr>
          <w:rFonts w:hint="eastAsia" w:ascii="宋体" w:hAnsi="宋体" w:cs="宋体"/>
          <w:color w:val="000000" w:themeColor="text1"/>
          <w:sz w:val="24"/>
          <w:u w:val="single"/>
          <w:lang w:eastAsia="zh-CN"/>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6</w:t>
      </w:r>
      <w:r>
        <w:rPr>
          <w:rFonts w:hint="eastAsia" w:ascii="宋体" w:hAnsi="宋体" w:cs="宋体"/>
          <w:color w:val="000000" w:themeColor="text1"/>
          <w:sz w:val="24"/>
          <w:u w:val="single"/>
          <w:lang w:eastAsia="zh-CN"/>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2</w:t>
      </w:r>
      <w:r>
        <w:rPr>
          <w:rFonts w:hint="eastAsia" w:ascii="宋体" w:hAnsi="宋体" w:cs="宋体"/>
          <w:color w:val="000000" w:themeColor="text1"/>
          <w:sz w:val="24"/>
          <w:u w:val="single"/>
          <w:lang w:eastAsia="zh-CN"/>
          <w14:textFill>
            <w14:solidFill>
              <w14:schemeClr w14:val="tx1"/>
            </w14:solidFill>
          </w14:textFill>
        </w:rPr>
        <w:t>日</w:t>
      </w:r>
      <w:r>
        <w:rPr>
          <w:rFonts w:hint="eastAsia" w:ascii="宋体" w:hAnsi="宋体" w:cs="宋体"/>
          <w:color w:val="000000" w:themeColor="text1"/>
          <w:sz w:val="24"/>
          <w:u w:val="single"/>
          <w14:textFill>
            <w14:solidFill>
              <w14:schemeClr w14:val="tx1"/>
            </w14:solidFill>
          </w14:textFill>
        </w:rPr>
        <w:t>9点00分00秒</w:t>
      </w:r>
      <w:r>
        <w:rPr>
          <w:rFonts w:hint="eastAsia" w:ascii="宋体" w:hAnsi="宋体" w:cs="宋体"/>
          <w:bCs/>
          <w:color w:val="000000" w:themeColor="text1"/>
          <w:sz w:val="24"/>
          <w:u w:val="single"/>
          <w14:textFill>
            <w14:solidFill>
              <w14:schemeClr w14:val="tx1"/>
            </w14:solidFill>
          </w14:textFill>
        </w:rPr>
        <w:t xml:space="preserve">  </w:t>
      </w:r>
    </w:p>
    <w:p w14:paraId="0BE2FBF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开标地点（网址）：广西政府采购云平台（https://www.gcy.zfcg.gxzf.gov.cn/）</w:t>
      </w:r>
    </w:p>
    <w:p w14:paraId="3D890A0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五、公告期限 </w:t>
      </w:r>
    </w:p>
    <w:p w14:paraId="19930FCD">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自本公告发布之日起5个工作日。</w:t>
      </w:r>
    </w:p>
    <w:p w14:paraId="16E63CC4">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六、其他补充事宜</w:t>
      </w:r>
    </w:p>
    <w:p w14:paraId="7353F2BB">
      <w:pPr>
        <w:spacing w:line="360" w:lineRule="auto"/>
        <w:ind w:firstLine="480" w:firstLineChars="200"/>
        <w:rPr>
          <w:rFonts w:ascii="宋体" w:hAnsi="宋体" w:cs="宋体"/>
          <w:color w:val="000000" w:themeColor="text1"/>
          <w:sz w:val="24"/>
          <w14:textFill>
            <w14:solidFill>
              <w14:schemeClr w14:val="tx1"/>
            </w14:solidFill>
          </w14:textFill>
        </w:rPr>
      </w:pPr>
      <w:bookmarkStart w:id="17" w:name="OLE_LINK10"/>
      <w:r>
        <w:rPr>
          <w:rFonts w:hint="eastAsia" w:ascii="宋体" w:hAnsi="宋体" w:cs="宋体"/>
          <w:color w:val="000000" w:themeColor="text1"/>
          <w:sz w:val="24"/>
          <w14:textFill>
            <w14:solidFill>
              <w14:schemeClr w14:val="tx1"/>
            </w14:solidFill>
          </w14:textFill>
        </w:rPr>
        <w:t>1.</w:t>
      </w:r>
      <w:bookmarkEnd w:id="17"/>
      <w:r>
        <w:rPr>
          <w:rFonts w:hint="eastAsia" w:ascii="宋体" w:hAnsi="宋体" w:cs="宋体"/>
          <w:color w:val="000000" w:themeColor="text1"/>
          <w:sz w:val="24"/>
          <w14:textFill>
            <w14:solidFill>
              <w14:schemeClr w14:val="tx1"/>
            </w14:solidFill>
          </w14:textFill>
        </w:rPr>
        <w:t>投标保证金：不收取投标保证金。</w:t>
      </w:r>
    </w:p>
    <w:p w14:paraId="30486C9D">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平等对待内外资企业和符合条件的破产重整企业。4.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7AABEF3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744715C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.网上公告媒体查询：</w:t>
      </w:r>
      <w:r>
        <w:rPr>
          <w:rFonts w:hint="eastAsia" w:ascii="宋体" w:hAnsi="宋体" w:cs="宋体"/>
          <w:sz w:val="24"/>
          <w:szCs w:val="21"/>
        </w:rPr>
        <w:t>中国政府采购网、广西政府采购网、北海市政府采购监管网、北海市政府采购中心 - 北海市人民政府网、全国公共资源交易平台（广西·北海）</w:t>
      </w:r>
      <w:r>
        <w:rPr>
          <w:rFonts w:hint="eastAsia" w:ascii="宋体" w:hAnsi="宋体" w:cs="宋体"/>
          <w:color w:val="000000" w:themeColor="text1"/>
          <w:sz w:val="24"/>
          <w14:textFill>
            <w14:solidFill>
              <w14:schemeClr w14:val="tx1"/>
            </w14:solidFill>
          </w14:textFill>
        </w:rPr>
        <w:t>。</w:t>
      </w:r>
    </w:p>
    <w:p w14:paraId="6ACC9E8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本项目通过广西政府采购云平台实行在线投标响应（电子投标），为确保网上操作合法、有效和安全，投标供应商应当在投标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4473275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r>
        <w:rPr>
          <w:rFonts w:ascii="宋体" w:hAnsi="宋体" w:cs="宋体"/>
          <w:color w:val="000000" w:themeColor="text1"/>
          <w:sz w:val="24"/>
          <w14:textFill>
            <w14:solidFill>
              <w14:schemeClr w14:val="tx1"/>
            </w14:solidFill>
          </w14:textFill>
        </w:rPr>
        <w:cr/>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.本项目为</w:t>
      </w:r>
      <w:r>
        <w:rPr>
          <w:rFonts w:hint="eastAsia" w:ascii="宋体" w:hAnsi="宋体" w:cs="宋体"/>
          <w:color w:val="000000" w:themeColor="text1"/>
          <w:sz w:val="24"/>
          <w:lang w:eastAsia="zh-CN"/>
          <w14:textFill>
            <w14:solidFill>
              <w14:schemeClr w14:val="tx1"/>
            </w14:solidFill>
          </w14:textFill>
        </w:rPr>
        <w:t>远程异地评标</w:t>
      </w:r>
      <w:r>
        <w:rPr>
          <w:rFonts w:hint="eastAsia" w:ascii="宋体" w:hAnsi="宋体" w:cs="宋体"/>
          <w:color w:val="000000" w:themeColor="text1"/>
          <w:sz w:val="24"/>
          <w14:textFill>
            <w14:solidFill>
              <w14:schemeClr w14:val="tx1"/>
            </w14:solidFill>
          </w14:textFill>
        </w:rPr>
        <w:t>项目。</w:t>
      </w:r>
    </w:p>
    <w:p w14:paraId="2CC50E1F">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七、对本次采购提出询问、质疑、投诉，请按以下方式联系</w:t>
      </w:r>
    </w:p>
    <w:p w14:paraId="6EEF9023">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1.采购人信息</w:t>
      </w:r>
    </w:p>
    <w:p w14:paraId="7D411E5E">
      <w:pPr>
        <w:spacing w:line="360" w:lineRule="auto"/>
        <w:ind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w:t>
      </w:r>
      <w:r>
        <w:rPr>
          <w:rFonts w:hint="eastAsia" w:ascii="宋体" w:hAnsi="宋体" w:cs="宋体"/>
          <w:color w:val="000000" w:themeColor="text1"/>
          <w:sz w:val="24"/>
          <w:lang w:eastAsia="zh-CN"/>
          <w14:textFill>
            <w14:solidFill>
              <w14:schemeClr w14:val="tx1"/>
            </w14:solidFill>
          </w14:textFill>
        </w:rPr>
        <w:t>广西壮族自治区北海市中级人民法院</w:t>
      </w:r>
    </w:p>
    <w:p w14:paraId="7500286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地    址：北海市海城区广东路 135 号</w:t>
      </w:r>
    </w:p>
    <w:p w14:paraId="7F7C9118">
      <w:pPr>
        <w:spacing w:line="360" w:lineRule="auto"/>
        <w:ind w:firstLine="480"/>
        <w:rPr>
          <w:rFonts w:hint="eastAsia" w:ascii="宋体" w:hAnsi="宋体" w:eastAsia="宋体" w:cs="宋体"/>
          <w:color w:val="000000" w:themeColor="text1"/>
          <w:sz w:val="24"/>
          <w:lang w:val="en-US" w:eastAsia="zh-CN"/>
          <w14:textFill>
            <w14:solidFill>
              <w14:schemeClr w14:val="tx1"/>
            </w14:solidFill>
          </w14:textFill>
        </w:rPr>
      </w:pPr>
      <w:r>
        <w:rPr>
          <w:rFonts w:ascii="宋体" w:hAnsi="宋体" w:cs="宋体"/>
          <w:color w:val="000000" w:themeColor="text1"/>
          <w:sz w:val="24"/>
          <w14:textFill>
            <w14:solidFill>
              <w14:schemeClr w14:val="tx1"/>
            </w14:solidFill>
          </w14:textFill>
        </w:rPr>
        <w:t>项目联系人：</w:t>
      </w:r>
      <w:bookmarkStart w:id="18" w:name="OLE_LINK12"/>
      <w:r>
        <w:rPr>
          <w:rFonts w:hint="eastAsia" w:ascii="宋体" w:hAnsi="宋体" w:cs="宋体"/>
          <w:color w:val="000000" w:themeColor="text1"/>
          <w:sz w:val="24"/>
          <w:lang w:eastAsia="zh-CN"/>
          <w14:textFill>
            <w14:solidFill>
              <w14:schemeClr w14:val="tx1"/>
            </w14:solidFill>
          </w14:textFill>
        </w:rPr>
        <w:t>王可</w:t>
      </w:r>
    </w:p>
    <w:p w14:paraId="03361803">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项目联系方式：</w:t>
      </w:r>
      <w:bookmarkEnd w:id="18"/>
      <w:r>
        <w:rPr>
          <w:rFonts w:hint="eastAsia" w:ascii="宋体" w:hAnsi="宋体" w:cs="宋体"/>
          <w:color w:val="000000" w:themeColor="text1"/>
          <w:sz w:val="24"/>
          <w:lang w:val="en-US" w:eastAsia="zh-CN"/>
          <w14:textFill>
            <w14:solidFill>
              <w14:schemeClr w14:val="tx1"/>
            </w14:solidFill>
          </w14:textFill>
        </w:rPr>
        <w:t>0779-3963366</w:t>
      </w:r>
      <w:r>
        <w:rPr>
          <w:rFonts w:hint="eastAsia" w:ascii="宋体" w:hAnsi="宋体" w:cs="宋体"/>
          <w:color w:val="000000" w:themeColor="text1"/>
          <w:sz w:val="24"/>
          <w14:textFill>
            <w14:solidFill>
              <w14:schemeClr w14:val="tx1"/>
            </w14:solidFill>
          </w14:textFill>
        </w:rPr>
        <w:t xml:space="preserve"> </w:t>
      </w:r>
    </w:p>
    <w:p w14:paraId="48D61F3E">
      <w:pPr>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2.采购代理机构信息            </w:t>
      </w:r>
    </w:p>
    <w:p w14:paraId="083FA96C">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称：北海市政府采购中心</w:t>
      </w:r>
    </w:p>
    <w:p w14:paraId="08F522B6">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址：北海市海城区陈文村北路7号市直机关第三办公区2号楼一层</w:t>
      </w:r>
    </w:p>
    <w:p w14:paraId="25AB6427">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项目联系人（询问）： </w:t>
      </w:r>
      <w:r>
        <w:rPr>
          <w:rFonts w:hint="eastAsia" w:ascii="宋体" w:hAnsi="宋体" w:cs="宋体"/>
          <w:color w:val="000000" w:themeColor="text1"/>
          <w:sz w:val="24"/>
          <w:lang w:eastAsia="zh-CN"/>
          <w14:textFill>
            <w14:solidFill>
              <w14:schemeClr w14:val="tx1"/>
            </w14:solidFill>
          </w14:textFill>
        </w:rPr>
        <w:t>叶紫涵</w:t>
      </w:r>
    </w:p>
    <w:p w14:paraId="63D66612">
      <w:pPr>
        <w:spacing w:line="360" w:lineRule="auto"/>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项目联系方式（询问）：0779-3038787</w:t>
      </w:r>
    </w:p>
    <w:p w14:paraId="4681F04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对项目采购电子交易系统操作有疑问，可登录广西政府采购云平台（https://www.gcy.zfcg.gxzf.gov.cn/），点击右侧咨询小采，获取采小蜜智能服务管家帮助，或拨打广西政府采购云平台服务热线95763获取热线服务帮助。</w:t>
      </w:r>
    </w:p>
    <w:bookmarkEnd w:id="14"/>
    <w:p w14:paraId="0AAC08A7">
      <w:pPr>
        <w:widowControl/>
        <w:adjustRightInd/>
        <w:jc w:val="left"/>
        <w:rPr>
          <w:rFonts w:ascii="宋体" w:hAnsi="宋体" w:cs="宋体"/>
          <w:b/>
          <w:color w:val="000000" w:themeColor="text1"/>
          <w:sz w:val="36"/>
          <w:szCs w:val="20"/>
          <w14:textFill>
            <w14:solidFill>
              <w14:schemeClr w14:val="tx1"/>
            </w14:solidFill>
          </w14:textFill>
        </w:rPr>
      </w:pPr>
      <w:r>
        <w:rPr>
          <w:rFonts w:ascii="宋体" w:hAnsi="宋体" w:cs="宋体"/>
          <w:b/>
          <w:color w:val="000000" w:themeColor="text1"/>
          <w:sz w:val="36"/>
          <w:szCs w:val="20"/>
          <w14:textFill>
            <w14:solidFill>
              <w14:schemeClr w14:val="tx1"/>
            </w14:solidFill>
          </w14:textFill>
        </w:rPr>
        <w:br w:type="page"/>
      </w:r>
      <w:bookmarkEnd w:id="10"/>
      <w:bookmarkEnd w:id="11"/>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520"/>
      </w:tblGrid>
      <w:tr w14:paraId="17369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8992" w:type="dxa"/>
            <w:gridSpan w:val="3"/>
            <w:tcBorders>
              <w:top w:val="nil"/>
              <w:left w:val="nil"/>
              <w:bottom w:val="single" w:color="auto" w:sz="4" w:space="0"/>
              <w:right w:val="nil"/>
            </w:tcBorders>
          </w:tcPr>
          <w:p w14:paraId="601A91D8">
            <w:pPr>
              <w:adjustRightInd/>
              <w:spacing w:line="360" w:lineRule="auto"/>
              <w:jc w:val="center"/>
              <w:outlineLvl w:val="0"/>
              <w:rPr>
                <w:rFonts w:ascii="宋体" w:hAnsi="宋体" w:cs="宋体"/>
                <w:b/>
                <w:color w:val="000000" w:themeColor="text1"/>
                <w:sz w:val="36"/>
                <w:szCs w:val="20"/>
                <w14:textFill>
                  <w14:solidFill>
                    <w14:schemeClr w14:val="tx1"/>
                  </w14:solidFill>
                </w14:textFill>
              </w:rPr>
            </w:pPr>
            <w:bookmarkStart w:id="19" w:name="_Toc211352596"/>
            <w:r>
              <w:rPr>
                <w:rFonts w:hint="eastAsia" w:ascii="宋体" w:hAnsi="宋体" w:cs="宋体"/>
                <w:b/>
                <w:color w:val="000000" w:themeColor="text1"/>
                <w:sz w:val="36"/>
                <w:szCs w:val="20"/>
                <w14:textFill>
                  <w14:solidFill>
                    <w14:schemeClr w14:val="tx1"/>
                  </w14:solidFill>
                </w14:textFill>
              </w:rPr>
              <w:t>第二部分 投标人须知</w:t>
            </w:r>
            <w:bookmarkEnd w:id="19"/>
          </w:p>
          <w:p w14:paraId="2494C30E">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前附表</w:t>
            </w:r>
          </w:p>
        </w:tc>
      </w:tr>
      <w:tr w14:paraId="3574B9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4B85BBA0">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27EFD797">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事项</w:t>
            </w:r>
          </w:p>
        </w:tc>
        <w:tc>
          <w:tcPr>
            <w:tcW w:w="6520" w:type="dxa"/>
            <w:tcBorders>
              <w:top w:val="single" w:color="auto" w:sz="4" w:space="0"/>
              <w:left w:val="single" w:color="auto" w:sz="4" w:space="0"/>
              <w:bottom w:val="single" w:color="auto" w:sz="4" w:space="0"/>
              <w:right w:val="single" w:color="auto" w:sz="4" w:space="0"/>
            </w:tcBorders>
            <w:vAlign w:val="center"/>
          </w:tcPr>
          <w:p w14:paraId="4C99BFEF">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本项目的特别规定</w:t>
            </w:r>
          </w:p>
        </w:tc>
      </w:tr>
      <w:tr w14:paraId="0E04A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61"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494548F">
            <w:pPr>
              <w:snapToGrid w:val="0"/>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843" w:type="dxa"/>
            <w:tcBorders>
              <w:top w:val="single" w:color="auto" w:sz="4" w:space="0"/>
              <w:left w:val="single" w:color="auto" w:sz="4" w:space="0"/>
              <w:bottom w:val="single" w:color="000000" w:sz="8" w:space="0"/>
              <w:right w:val="single" w:color="000000" w:sz="8" w:space="0"/>
            </w:tcBorders>
            <w:vAlign w:val="center"/>
          </w:tcPr>
          <w:p w14:paraId="6D692E89">
            <w:pPr>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项目属性</w:t>
            </w:r>
          </w:p>
        </w:tc>
        <w:tc>
          <w:tcPr>
            <w:tcW w:w="6520" w:type="dxa"/>
            <w:tcBorders>
              <w:top w:val="single" w:color="auto" w:sz="4" w:space="0"/>
              <w:left w:val="single" w:color="000000" w:sz="2" w:space="0"/>
              <w:bottom w:val="single" w:color="000000" w:sz="8" w:space="0"/>
              <w:right w:val="single" w:color="000000" w:sz="8" w:space="0"/>
            </w:tcBorders>
            <w:vAlign w:val="center"/>
          </w:tcPr>
          <w:p w14:paraId="696A069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服务类。</w:t>
            </w:r>
          </w:p>
        </w:tc>
      </w:tr>
      <w:tr w14:paraId="16ADF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40" w:hRule="atLeast"/>
          <w:tblHeader/>
        </w:trPr>
        <w:tc>
          <w:tcPr>
            <w:tcW w:w="629" w:type="dxa"/>
            <w:tcBorders>
              <w:top w:val="single" w:color="auto" w:sz="4" w:space="0"/>
              <w:left w:val="single" w:color="auto" w:sz="4" w:space="0"/>
              <w:bottom w:val="single" w:color="auto" w:sz="4" w:space="0"/>
              <w:right w:val="single" w:color="auto" w:sz="4" w:space="0"/>
            </w:tcBorders>
          </w:tcPr>
          <w:p w14:paraId="3500BAD1">
            <w:pPr>
              <w:snapToGrid w:val="0"/>
              <w:spacing w:line="360" w:lineRule="auto"/>
              <w:jc w:val="center"/>
              <w:rPr>
                <w:rFonts w:ascii="宋体" w:hAnsi="宋体" w:cs="宋体"/>
                <w:color w:val="000000" w:themeColor="text1"/>
                <w:sz w:val="24"/>
                <w14:textFill>
                  <w14:solidFill>
                    <w14:schemeClr w14:val="tx1"/>
                  </w14:solidFill>
                </w14:textFill>
              </w:rPr>
            </w:pPr>
          </w:p>
          <w:p w14:paraId="65AE33D8">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3F4B7BD">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采购标的及其对应的中小企业划分标准所属行业</w:t>
            </w:r>
          </w:p>
        </w:tc>
        <w:tc>
          <w:tcPr>
            <w:tcW w:w="6520" w:type="dxa"/>
            <w:tcBorders>
              <w:top w:val="single" w:color="000000" w:sz="8" w:space="0"/>
              <w:left w:val="single" w:color="000000" w:sz="2" w:space="0"/>
              <w:bottom w:val="single" w:color="000000" w:sz="8" w:space="0"/>
              <w:right w:val="single" w:color="000000" w:sz="8" w:space="0"/>
            </w:tcBorders>
            <w:vAlign w:val="center"/>
          </w:tcPr>
          <w:p w14:paraId="6A9FAE67">
            <w:pPr>
              <w:snapToGrid w:val="0"/>
              <w:spacing w:line="360" w:lineRule="auto"/>
              <w:rPr>
                <w:rFonts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（1）标的：</w:t>
            </w:r>
            <w:r>
              <w:rPr>
                <w:rFonts w:hint="eastAsia" w:ascii="宋体" w:hAnsi="宋体" w:cs="宋体"/>
                <w:color w:val="000000" w:themeColor="text1"/>
                <w:kern w:val="0"/>
                <w:sz w:val="24"/>
                <w:u w:val="single"/>
                <w:lang w:eastAsia="zh-CN"/>
                <w14:textFill>
                  <w14:solidFill>
                    <w14:schemeClr w14:val="tx1"/>
                  </w14:solidFill>
                </w14:textFill>
              </w:rPr>
              <w:t>北海市两级法院集约送达服务</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，属于</w:t>
            </w:r>
            <w:r>
              <w:rPr>
                <w:rFonts w:hint="eastAsia" w:ascii="宋体" w:hAnsi="宋体" w:cs="宋体"/>
                <w:color w:val="000000" w:themeColor="text1"/>
                <w:kern w:val="0"/>
                <w:sz w:val="24"/>
                <w:u w:val="single"/>
                <w14:textFill>
                  <w14:solidFill>
                    <w14:schemeClr w14:val="tx1"/>
                  </w14:solidFill>
                </w14:textFill>
              </w:rPr>
              <w:t xml:space="preserve">  其他未列明行业  行业；</w:t>
            </w:r>
          </w:p>
        </w:tc>
      </w:tr>
      <w:tr w14:paraId="2B204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51"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0C1C425">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7AD8ED31">
            <w:pPr>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分包</w:t>
            </w:r>
          </w:p>
        </w:tc>
        <w:tc>
          <w:tcPr>
            <w:tcW w:w="6520" w:type="dxa"/>
            <w:tcBorders>
              <w:top w:val="single" w:color="000000" w:sz="8" w:space="0"/>
              <w:left w:val="single" w:color="000000" w:sz="2" w:space="0"/>
              <w:bottom w:val="single" w:color="000000" w:sz="8" w:space="0"/>
              <w:right w:val="single" w:color="000000" w:sz="8" w:space="0"/>
            </w:tcBorders>
            <w:vAlign w:val="center"/>
          </w:tcPr>
          <w:p w14:paraId="55636D4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不同意分包。</w:t>
            </w:r>
          </w:p>
        </w:tc>
      </w:tr>
      <w:tr w14:paraId="0E133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4CA000B6">
            <w:pPr>
              <w:snapToGrid w:val="0"/>
              <w:spacing w:line="360" w:lineRule="auto"/>
              <w:jc w:val="center"/>
              <w:rPr>
                <w:rFonts w:ascii="宋体" w:hAnsi="宋体" w:cs="宋体"/>
                <w:color w:val="000000" w:themeColor="text1"/>
                <w:sz w:val="24"/>
                <w14:textFill>
                  <w14:solidFill>
                    <w14:schemeClr w14:val="tx1"/>
                  </w14:solidFill>
                </w14:textFill>
              </w:rPr>
            </w:pPr>
          </w:p>
          <w:p w14:paraId="5F4862D2">
            <w:pPr>
              <w:snapToGrid w:val="0"/>
              <w:spacing w:line="360" w:lineRule="auto"/>
              <w:jc w:val="center"/>
              <w:rPr>
                <w:rFonts w:ascii="宋体" w:hAnsi="宋体" w:cs="宋体"/>
                <w:color w:val="000000" w:themeColor="text1"/>
                <w:sz w:val="24"/>
                <w14:textFill>
                  <w14:solidFill>
                    <w14:schemeClr w14:val="tx1"/>
                  </w14:solidFill>
                </w14:textFill>
              </w:rPr>
            </w:pPr>
          </w:p>
          <w:p w14:paraId="35A0BF13">
            <w:pPr>
              <w:snapToGrid w:val="0"/>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p>
        </w:tc>
        <w:tc>
          <w:tcPr>
            <w:tcW w:w="1843" w:type="dxa"/>
            <w:vMerge w:val="restart"/>
            <w:tcBorders>
              <w:top w:val="single" w:color="000000" w:sz="8" w:space="0"/>
              <w:left w:val="single" w:color="auto" w:sz="4" w:space="0"/>
              <w:right w:val="single" w:color="000000" w:sz="8" w:space="0"/>
            </w:tcBorders>
            <w:vAlign w:val="center"/>
          </w:tcPr>
          <w:p w14:paraId="56C181A6">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投标人应当提供的资格、资信证明文件</w:t>
            </w:r>
          </w:p>
        </w:tc>
        <w:tc>
          <w:tcPr>
            <w:tcW w:w="6520" w:type="dxa"/>
            <w:tcBorders>
              <w:top w:val="single" w:color="000000" w:sz="8" w:space="0"/>
              <w:left w:val="single" w:color="000000" w:sz="2" w:space="0"/>
              <w:bottom w:val="single" w:color="auto" w:sz="4" w:space="0"/>
              <w:right w:val="single" w:color="000000" w:sz="8" w:space="0"/>
            </w:tcBorders>
            <w:vAlign w:val="center"/>
          </w:tcPr>
          <w:p w14:paraId="088DE9A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（1）资格证明文件：见招标文件第二部分11.1。</w:t>
            </w:r>
          </w:p>
          <w:p w14:paraId="003215B8">
            <w:pPr>
              <w:spacing w:line="360" w:lineRule="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投标人未提供有效的资格证明文件的，视为投标人不具备招标文件中规定的资格要求，投标无效。</w:t>
            </w:r>
          </w:p>
        </w:tc>
      </w:tr>
      <w:tr w14:paraId="6EE8E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4" w:hRule="atLeast"/>
          <w:tblHeader/>
        </w:trPr>
        <w:tc>
          <w:tcPr>
            <w:tcW w:w="629" w:type="dxa"/>
            <w:vMerge w:val="continue"/>
            <w:tcBorders>
              <w:left w:val="single" w:color="auto" w:sz="4" w:space="0"/>
              <w:bottom w:val="single" w:color="auto" w:sz="4" w:space="0"/>
              <w:right w:val="single" w:color="auto" w:sz="4" w:space="0"/>
            </w:tcBorders>
          </w:tcPr>
          <w:p w14:paraId="26C6B62E">
            <w:pPr>
              <w:snapToGrid w:val="0"/>
              <w:spacing w:line="360" w:lineRule="auto"/>
              <w:jc w:val="center"/>
              <w:rPr>
                <w:rFonts w:ascii="宋体" w:hAnsi="宋体" w:cs="宋体"/>
                <w:color w:val="000000" w:themeColor="text1"/>
                <w:sz w:val="24"/>
                <w14:textFill>
                  <w14:solidFill>
                    <w14:schemeClr w14:val="tx1"/>
                  </w14:solidFill>
                </w14:textFill>
              </w:rPr>
            </w:pPr>
          </w:p>
        </w:tc>
        <w:tc>
          <w:tcPr>
            <w:tcW w:w="1843" w:type="dxa"/>
            <w:vMerge w:val="continue"/>
            <w:tcBorders>
              <w:left w:val="single" w:color="auto" w:sz="4" w:space="0"/>
              <w:bottom w:val="single" w:color="000000" w:sz="8" w:space="0"/>
              <w:right w:val="single" w:color="000000" w:sz="8" w:space="0"/>
            </w:tcBorders>
            <w:vAlign w:val="center"/>
          </w:tcPr>
          <w:p w14:paraId="5FAB6FC1">
            <w:pPr>
              <w:snapToGrid w:val="0"/>
              <w:spacing w:line="360" w:lineRule="auto"/>
              <w:jc w:val="center"/>
              <w:rPr>
                <w:rFonts w:ascii="宋体" w:hAnsi="宋体" w:cs="宋体"/>
                <w:b/>
                <w:color w:val="000000" w:themeColor="text1"/>
                <w:sz w:val="24"/>
                <w14:textFill>
                  <w14:solidFill>
                    <w14:schemeClr w14:val="tx1"/>
                  </w14:solidFill>
                </w14:textFill>
              </w:rPr>
            </w:pPr>
          </w:p>
        </w:tc>
        <w:tc>
          <w:tcPr>
            <w:tcW w:w="6520" w:type="dxa"/>
            <w:tcBorders>
              <w:top w:val="single" w:color="auto" w:sz="4" w:space="0"/>
              <w:left w:val="single" w:color="000000" w:sz="2" w:space="0"/>
              <w:bottom w:val="single" w:color="000000" w:sz="8" w:space="0"/>
              <w:right w:val="single" w:color="000000" w:sz="8" w:space="0"/>
            </w:tcBorders>
            <w:vAlign w:val="center"/>
          </w:tcPr>
          <w:p w14:paraId="7039AE3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（2）资信证明文件：根据招标文件第四部分评标标准提供。</w:t>
            </w:r>
          </w:p>
        </w:tc>
      </w:tr>
      <w:tr w14:paraId="2F0AA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0B0764FD">
            <w:pPr>
              <w:snapToGrid w:val="0"/>
              <w:spacing w:line="360" w:lineRule="auto"/>
              <w:jc w:val="center"/>
              <w:rPr>
                <w:rFonts w:ascii="宋体" w:hAnsi="宋体" w:cs="宋体"/>
                <w:color w:val="000000" w:themeColor="text1"/>
                <w:sz w:val="24"/>
                <w14:textFill>
                  <w14:solidFill>
                    <w14:schemeClr w14:val="tx1"/>
                  </w14:solidFill>
                </w14:textFill>
              </w:rPr>
            </w:pPr>
          </w:p>
          <w:p w14:paraId="27FDBBBB">
            <w:pPr>
              <w:snapToGrid w:val="0"/>
              <w:spacing w:line="360" w:lineRule="auto"/>
              <w:jc w:val="center"/>
              <w:rPr>
                <w:rFonts w:ascii="宋体" w:hAnsi="宋体" w:cs="宋体"/>
                <w:color w:val="000000" w:themeColor="text1"/>
                <w:sz w:val="24"/>
                <w14:textFill>
                  <w14:solidFill>
                    <w14:schemeClr w14:val="tx1"/>
                  </w14:solidFill>
                </w14:textFill>
              </w:rPr>
            </w:pPr>
          </w:p>
          <w:p w14:paraId="6A347391">
            <w:pPr>
              <w:snapToGrid w:val="0"/>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p>
        </w:tc>
        <w:tc>
          <w:tcPr>
            <w:tcW w:w="1843" w:type="dxa"/>
            <w:tcBorders>
              <w:top w:val="single" w:color="000000" w:sz="8" w:space="0"/>
              <w:left w:val="single" w:color="000000" w:sz="2" w:space="0"/>
              <w:bottom w:val="single" w:color="000000" w:sz="8" w:space="0"/>
              <w:right w:val="single" w:color="000000" w:sz="8" w:space="0"/>
            </w:tcBorders>
            <w:vAlign w:val="center"/>
          </w:tcPr>
          <w:p w14:paraId="0F8BED8C">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节能产品、环境标志产品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4AB7389E">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6C2E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46ADB78A">
            <w:pPr>
              <w:snapToGrid w:val="0"/>
              <w:spacing w:line="360" w:lineRule="auto"/>
              <w:jc w:val="center"/>
              <w:rPr>
                <w:rFonts w:ascii="宋体" w:hAnsi="宋体" w:cs="宋体"/>
                <w:color w:val="000000" w:themeColor="text1"/>
                <w:sz w:val="24"/>
                <w14:textFill>
                  <w14:solidFill>
                    <w14:schemeClr w14:val="tx1"/>
                  </w14:solidFill>
                </w14:textFill>
              </w:rPr>
            </w:pPr>
          </w:p>
          <w:p w14:paraId="25E5CD2B">
            <w:pPr>
              <w:snapToGrid w:val="0"/>
              <w:spacing w:line="360" w:lineRule="auto"/>
              <w:jc w:val="center"/>
              <w:rPr>
                <w:rFonts w:ascii="宋体" w:hAnsi="宋体" w:cs="宋体"/>
                <w:color w:val="000000" w:themeColor="text1"/>
                <w:sz w:val="24"/>
                <w14:textFill>
                  <w14:solidFill>
                    <w14:schemeClr w14:val="tx1"/>
                  </w14:solidFill>
                </w14:textFill>
              </w:rPr>
            </w:pPr>
          </w:p>
          <w:p w14:paraId="44DB1994">
            <w:pPr>
              <w:snapToGrid w:val="0"/>
              <w:spacing w:line="360" w:lineRule="auto"/>
              <w:jc w:val="center"/>
              <w:rPr>
                <w:rFonts w:ascii="宋体" w:hAnsi="宋体" w:cs="宋体"/>
                <w:color w:val="000000" w:themeColor="text1"/>
                <w:sz w:val="24"/>
                <w14:textFill>
                  <w14:solidFill>
                    <w14:schemeClr w14:val="tx1"/>
                  </w14:solidFill>
                </w14:textFill>
              </w:rPr>
            </w:pPr>
          </w:p>
          <w:p w14:paraId="31B0CA6E">
            <w:pPr>
              <w:snapToGrid w:val="0"/>
              <w:spacing w:line="360" w:lineRule="auto"/>
              <w:jc w:val="center"/>
              <w:rPr>
                <w:rFonts w:ascii="宋体" w:hAnsi="宋体" w:cs="宋体"/>
                <w:color w:val="000000" w:themeColor="text1"/>
                <w:sz w:val="24"/>
                <w14:textFill>
                  <w14:solidFill>
                    <w14:schemeClr w14:val="tx1"/>
                  </w14:solidFill>
                </w14:textFill>
              </w:rPr>
            </w:pPr>
          </w:p>
          <w:p w14:paraId="72DD9EA2">
            <w:pPr>
              <w:snapToGrid w:val="0"/>
              <w:spacing w:line="360" w:lineRule="auto"/>
              <w:jc w:val="center"/>
              <w:rPr>
                <w:rFonts w:ascii="宋体" w:hAnsi="宋体" w:cs="宋体"/>
                <w:color w:val="000000" w:themeColor="text1"/>
                <w:sz w:val="24"/>
                <w14:textFill>
                  <w14:solidFill>
                    <w14:schemeClr w14:val="tx1"/>
                  </w14:solidFill>
                </w14:textFill>
              </w:rPr>
            </w:pPr>
          </w:p>
          <w:p w14:paraId="468FA76B">
            <w:pPr>
              <w:snapToGrid w:val="0"/>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p>
        </w:tc>
        <w:tc>
          <w:tcPr>
            <w:tcW w:w="1843" w:type="dxa"/>
            <w:tcBorders>
              <w:top w:val="single" w:color="000000" w:sz="8" w:space="0"/>
              <w:left w:val="single" w:color="000000" w:sz="2" w:space="0"/>
              <w:bottom w:val="single" w:color="000000" w:sz="8" w:space="0"/>
              <w:right w:val="single" w:color="000000" w:sz="8" w:space="0"/>
            </w:tcBorders>
            <w:vAlign w:val="center"/>
          </w:tcPr>
          <w:p w14:paraId="6AC72B9B">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报价要求</w:t>
            </w:r>
          </w:p>
        </w:tc>
        <w:tc>
          <w:tcPr>
            <w:tcW w:w="6520" w:type="dxa"/>
            <w:tcBorders>
              <w:top w:val="single" w:color="000000" w:sz="8" w:space="0"/>
              <w:left w:val="single" w:color="000000" w:sz="2" w:space="0"/>
              <w:bottom w:val="single" w:color="000000" w:sz="8" w:space="0"/>
              <w:right w:val="single" w:color="000000" w:sz="8" w:space="0"/>
            </w:tcBorders>
            <w:vAlign w:val="center"/>
          </w:tcPr>
          <w:p w14:paraId="50ED6341">
            <w:pPr>
              <w:snapToGrid w:val="0"/>
              <w:spacing w:line="360" w:lineRule="auto"/>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有关本项目实施所需的所有费用（含税费）均计入报价。</w:t>
            </w:r>
            <w:r>
              <w:rPr>
                <w:rFonts w:hint="eastAsia" w:ascii="宋体" w:hAnsi="宋体" w:cs="宋体"/>
                <w:bCs/>
                <w:color w:val="000000" w:themeColor="text1"/>
                <w:kern w:val="0"/>
                <w:sz w:val="24"/>
                <w:lang w:val="zh-CN"/>
                <w14:textFill>
                  <w14:solidFill>
                    <w14:schemeClr w14:val="tx1"/>
                  </w14:solidFill>
                </w14:textFill>
              </w:rPr>
              <w:t>投标文件</w:t>
            </w:r>
            <w:r>
              <w:rPr>
                <w:rFonts w:hint="eastAsia" w:ascii="宋体" w:hAnsi="宋体" w:cs="宋体"/>
                <w:bCs/>
                <w:color w:val="000000" w:themeColor="text1"/>
                <w:sz w:val="24"/>
                <w14:textFill>
                  <w14:solidFill>
                    <w14:schemeClr w14:val="tx1"/>
                  </w14:solidFill>
                </w14:textFill>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000000" w:themeColor="text1"/>
                <w:kern w:val="0"/>
                <w:sz w:val="24"/>
                <w:lang w:val="zh-CN"/>
                <w14:textFill>
                  <w14:solidFill>
                    <w14:schemeClr w14:val="tx1"/>
                  </w14:solidFill>
                </w14:textFill>
              </w:rPr>
              <w:t>投标文件中价格全部采用人民币报价。招标文件未列明，而投标人认为必需的费用也需列入报价。</w:t>
            </w:r>
          </w:p>
          <w:p w14:paraId="588D0736">
            <w:pPr>
              <w:snapToGrid w:val="0"/>
              <w:spacing w:line="360" w:lineRule="auto"/>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投标报价出现下列情形的，投标无效：</w:t>
            </w:r>
          </w:p>
          <w:p w14:paraId="55DD274D">
            <w:pPr>
              <w:snapToGrid w:val="0"/>
              <w:spacing w:line="360" w:lineRule="auto"/>
              <w:ind w:firstLine="240" w:firstLineChars="1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投标文件出现不是唯一的、有选择性投标报价的；</w:t>
            </w:r>
          </w:p>
          <w:p w14:paraId="1E2BC772">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报价属于采购文件规定的异常低价情形之一，且未能按要求提供书面说明或者提交相关证明材料证明其报价合理性的。</w:t>
            </w:r>
          </w:p>
          <w:p w14:paraId="60B58008">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投标人对根据修正原则修正后的报价不确认的</w:t>
            </w:r>
            <w:r>
              <w:rPr>
                <w:rFonts w:hint="eastAsia" w:ascii="宋体" w:hAnsi="宋体" w:cs="宋体"/>
                <w:color w:val="000000" w:themeColor="text1"/>
                <w:sz w:val="24"/>
                <w14:textFill>
                  <w14:solidFill>
                    <w14:schemeClr w14:val="tx1"/>
                  </w14:solidFill>
                </w14:textFill>
              </w:rPr>
              <w:t>。</w:t>
            </w:r>
          </w:p>
        </w:tc>
      </w:tr>
      <w:tr w14:paraId="7B9A8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tcPr>
          <w:p w14:paraId="5E4DE3E1">
            <w:pPr>
              <w:snapToGrid w:val="0"/>
              <w:spacing w:line="360" w:lineRule="auto"/>
              <w:jc w:val="center"/>
              <w:rPr>
                <w:rFonts w:ascii="宋体" w:hAnsi="宋体" w:cs="宋体"/>
                <w:color w:val="000000" w:themeColor="text1"/>
                <w:sz w:val="24"/>
                <w14:textFill>
                  <w14:solidFill>
                    <w14:schemeClr w14:val="tx1"/>
                  </w14:solidFill>
                </w14:textFill>
              </w:rPr>
            </w:pPr>
          </w:p>
          <w:p w14:paraId="7A477B96">
            <w:pPr>
              <w:snapToGrid w:val="0"/>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7</w:t>
            </w:r>
          </w:p>
        </w:tc>
        <w:tc>
          <w:tcPr>
            <w:tcW w:w="1843" w:type="dxa"/>
            <w:tcBorders>
              <w:top w:val="single" w:color="000000" w:sz="8" w:space="0"/>
              <w:left w:val="single" w:color="000000" w:sz="2" w:space="0"/>
              <w:right w:val="single" w:color="000000" w:sz="8" w:space="0"/>
            </w:tcBorders>
            <w:vAlign w:val="center"/>
          </w:tcPr>
          <w:p w14:paraId="5397DDCB">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中小企业信用融资</w:t>
            </w:r>
          </w:p>
        </w:tc>
        <w:tc>
          <w:tcPr>
            <w:tcW w:w="6520" w:type="dxa"/>
            <w:tcBorders>
              <w:top w:val="single" w:color="000000" w:sz="8" w:space="0"/>
              <w:left w:val="single" w:color="000000" w:sz="2" w:space="0"/>
              <w:right w:val="single" w:color="000000" w:sz="8" w:space="0"/>
            </w:tcBorders>
            <w:vAlign w:val="center"/>
          </w:tcPr>
          <w:p w14:paraId="69A1C6F1">
            <w:pPr>
              <w:spacing w:line="360" w:lineRule="auto"/>
              <w:ind w:firstLine="480" w:firstLineChars="200"/>
              <w:rPr>
                <w:rFonts w:ascii="宋体" w:hAnsi="宋体" w:cs="宋体"/>
                <w:snapToGrid w:val="0"/>
                <w:color w:val="000000" w:themeColor="text1"/>
                <w:kern w:val="28"/>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3CE541B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供应商中标后也可在“广西政府采购云”平台申请政采贷：操作路径：登录广西政府采购云平台-金融服务中心-【融资服务】，可在热门申请中选择产品直接申请。</w:t>
            </w:r>
          </w:p>
        </w:tc>
      </w:tr>
      <w:tr w14:paraId="4A07F6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1"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E20C9DE">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1843" w:type="dxa"/>
            <w:tcBorders>
              <w:top w:val="single" w:color="auto" w:sz="4" w:space="0"/>
              <w:left w:val="single" w:color="auto" w:sz="4" w:space="0"/>
              <w:bottom w:val="single" w:color="auto" w:sz="4" w:space="0"/>
              <w:right w:val="single" w:color="auto" w:sz="4" w:space="0"/>
            </w:tcBorders>
            <w:vAlign w:val="center"/>
          </w:tcPr>
          <w:p w14:paraId="4E47E5D2">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解释权</w:t>
            </w:r>
          </w:p>
        </w:tc>
        <w:tc>
          <w:tcPr>
            <w:tcW w:w="6520" w:type="dxa"/>
            <w:tcBorders>
              <w:top w:val="single" w:color="auto" w:sz="4" w:space="0"/>
              <w:left w:val="single" w:color="auto" w:sz="4" w:space="0"/>
              <w:bottom w:val="single" w:color="auto" w:sz="4" w:space="0"/>
              <w:right w:val="single" w:color="auto" w:sz="4" w:space="0"/>
            </w:tcBorders>
            <w:vAlign w:val="center"/>
          </w:tcPr>
          <w:p w14:paraId="60FF89F1">
            <w:pPr>
              <w:spacing w:line="360" w:lineRule="auto"/>
              <w:rPr>
                <w:rFonts w:cs="Arial" w:asciiTheme="minorEastAsia" w:hAnsiTheme="minorEastAsia" w:eastAsiaTheme="minorEastAsia"/>
                <w:color w:val="000000" w:themeColor="text1"/>
                <w:kern w:val="0"/>
                <w:sz w:val="24"/>
                <w14:textFill>
                  <w14:solidFill>
                    <w14:schemeClr w14:val="tx1"/>
                  </w14:solidFill>
                </w14:textFill>
              </w:rPr>
            </w:pPr>
            <w:r>
              <w:rPr>
                <w:rFonts w:hint="eastAsia" w:cs="Arial" w:asciiTheme="minorEastAsia" w:hAnsiTheme="minorEastAsia" w:eastAsiaTheme="minorEastAsia"/>
                <w:color w:val="000000" w:themeColor="text1"/>
                <w:kern w:val="0"/>
                <w:sz w:val="24"/>
                <w14:textFill>
                  <w14:solidFill>
                    <w14:schemeClr w14:val="tx1"/>
                  </w14:solidFill>
                </w14:textFill>
              </w:rPr>
              <w:t>本招标文件解释权属采购人及代理机构。</w:t>
            </w:r>
          </w:p>
        </w:tc>
      </w:tr>
    </w:tbl>
    <w:p w14:paraId="355C6003">
      <w:pPr>
        <w:snapToGrid w:val="0"/>
        <w:spacing w:line="360" w:lineRule="auto"/>
        <w:jc w:val="center"/>
        <w:rPr>
          <w:rFonts w:ascii="宋体" w:hAnsi="宋体" w:cs="宋体"/>
          <w:b/>
          <w:color w:val="000000" w:themeColor="text1"/>
          <w:sz w:val="32"/>
          <w:szCs w:val="20"/>
          <w14:textFill>
            <w14:solidFill>
              <w14:schemeClr w14:val="tx1"/>
            </w14:solidFill>
          </w14:textFill>
        </w:rPr>
      </w:pPr>
    </w:p>
    <w:p w14:paraId="168A79D5">
      <w:pPr>
        <w:pStyle w:val="2"/>
        <w:rPr>
          <w:lang w:val="en-US"/>
        </w:rPr>
      </w:pPr>
    </w:p>
    <w:p w14:paraId="17AE0E5E"/>
    <w:p w14:paraId="6DE8FCAF">
      <w:pPr>
        <w:pStyle w:val="2"/>
        <w:rPr>
          <w:lang w:val="en-US"/>
        </w:rPr>
      </w:pPr>
    </w:p>
    <w:p w14:paraId="371AC7AD"/>
    <w:p w14:paraId="1405A331">
      <w:pPr>
        <w:pStyle w:val="2"/>
        <w:rPr>
          <w:rFonts w:hint="eastAsia"/>
          <w:lang w:val="en-US"/>
        </w:rPr>
      </w:pPr>
    </w:p>
    <w:p w14:paraId="74DF0848"/>
    <w:bookmarkEnd w:id="12"/>
    <w:p w14:paraId="2A3669F8">
      <w:pPr>
        <w:adjustRightInd/>
        <w:spacing w:line="360" w:lineRule="auto"/>
        <w:ind w:firstLine="3845" w:firstLineChars="1197"/>
        <w:outlineLvl w:val="1"/>
        <w:rPr>
          <w:rFonts w:hint="eastAsia" w:ascii="宋体" w:hAnsi="宋体" w:cs="宋体"/>
          <w:b/>
          <w:color w:val="000000" w:themeColor="text1"/>
          <w:sz w:val="32"/>
          <w:szCs w:val="20"/>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247" w:right="849" w:bottom="1247" w:left="1418" w:header="851" w:footer="992" w:gutter="0"/>
          <w:cols w:space="720" w:num="1"/>
          <w:titlePg/>
          <w:docGrid w:type="lines" w:linePitch="312" w:charSpace="0"/>
        </w:sectPr>
      </w:pPr>
      <w:bookmarkStart w:id="20" w:name="_Toc164416483"/>
      <w:bookmarkStart w:id="21" w:name="第三部分"/>
    </w:p>
    <w:p w14:paraId="0991DB97">
      <w:pPr>
        <w:adjustRightInd/>
        <w:spacing w:line="360" w:lineRule="auto"/>
        <w:ind w:firstLine="3845" w:firstLineChars="1197"/>
        <w:outlineLvl w:val="1"/>
        <w:rPr>
          <w:rFonts w:ascii="宋体" w:hAnsi="宋体" w:cs="宋体"/>
          <w:b/>
          <w:color w:val="000000" w:themeColor="text1"/>
          <w:sz w:val="32"/>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一、总则</w:t>
      </w:r>
    </w:p>
    <w:p w14:paraId="59970784">
      <w:pPr>
        <w:snapToGrid w:val="0"/>
        <w:spacing w:line="360" w:lineRule="auto"/>
        <w:ind w:firstLine="361" w:firstLineChars="15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 适用范围</w:t>
      </w:r>
    </w:p>
    <w:p w14:paraId="644F0E75">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本招标文件适用于该项目的招标、投标、开标、资格审查及信用信息查询、评标、定标、合同、验收等行为（法律、法规另有规定的，从其规定）。</w:t>
      </w:r>
    </w:p>
    <w:p w14:paraId="528C25F0">
      <w:pPr>
        <w:adjustRightInd/>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2.定义</w:t>
      </w:r>
    </w:p>
    <w:p w14:paraId="3AD7CCA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“采购人”系指招标公告中载明的本项目的采购人。</w:t>
      </w:r>
    </w:p>
    <w:p w14:paraId="7D01DA9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“采购代理机构”系指招标公告中载明的本项目的采购代理机构。</w:t>
      </w:r>
    </w:p>
    <w:p w14:paraId="0C31B33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 “投标人”系指是指响应招标、参加投标竞争的法人、其他组织或者自然人。</w:t>
      </w:r>
    </w:p>
    <w:p w14:paraId="0A37E21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 “法定代表人（负责人）”系指法人企业的法定负责人，或其他组织为法律、行政法规规定代表单位行使职权的主要负责人，或自然人本人。</w:t>
      </w:r>
    </w:p>
    <w:p w14:paraId="56ECCBA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67F6D8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10B4CA2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2.6“电子交易平台”系指本项目政府采购活动所依托的广西政府采购云平台（https://www.gcy.zfcg.gxzf.gov.cn/）。</w:t>
      </w:r>
    </w:p>
    <w:p w14:paraId="672505C3">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2.7 “▲” 系指实质性要求条款，</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sym w:font="Wingdings" w:char="F0FE"/>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系指适用本项目的要求，“</w:t>
      </w:r>
      <w:r>
        <w:rPr>
          <w:rFonts w:hint="eastAsia" w:ascii="宋体" w:hAnsi="宋体" w:cs="宋体"/>
          <w:color w:val="000000" w:themeColor="text1"/>
          <w:kern w:val="0"/>
          <w:sz w:val="24"/>
          <w14:textFill>
            <w14:solidFill>
              <w14:schemeClr w14:val="tx1"/>
            </w14:solidFill>
          </w14:textFill>
        </w:rPr>
        <w:t>□</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系指不适用本项目的要求。</w:t>
      </w:r>
    </w:p>
    <w:p w14:paraId="6BE9AF57">
      <w:pPr>
        <w:spacing w:line="360" w:lineRule="auto"/>
        <w:ind w:firstLine="241" w:firstLineChars="1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w:t>
      </w:r>
      <w:r>
        <w:rPr>
          <w:rFonts w:hint="eastAsia" w:ascii="宋体" w:hAnsi="宋体" w:cs="宋体"/>
          <w:color w:val="000000" w:themeColor="text1"/>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采购项目需要落实的政府采购政策</w:t>
      </w:r>
    </w:p>
    <w:p w14:paraId="6178E2B2">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kern w:val="0"/>
          <w:sz w:val="24"/>
          <w14:textFill>
            <w14:solidFill>
              <w14:schemeClr w14:val="tx1"/>
            </w14:solidFill>
          </w14:textFill>
        </w:rPr>
        <w:t>优先采购向我国企业转让技术、与我国企业签订消化吸收再创新方案的供应商的进口产品</w:t>
      </w:r>
      <w:r>
        <w:rPr>
          <w:rFonts w:hint="eastAsia" w:ascii="宋体" w:hAnsi="宋体" w:cs="宋体"/>
          <w:color w:val="000000" w:themeColor="text1"/>
          <w:sz w:val="24"/>
          <w14:textFill>
            <w14:solidFill>
              <w14:schemeClr w14:val="tx1"/>
            </w14:solidFill>
          </w14:textFill>
        </w:rPr>
        <w:t>。</w:t>
      </w:r>
    </w:p>
    <w:p w14:paraId="23FB18D7">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 支持绿色发展</w:t>
      </w:r>
    </w:p>
    <w:p w14:paraId="655C5A6F">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000000" w:themeColor="text1"/>
          <w:sz w:val="24"/>
          <w14:textFill>
            <w14:solidFill>
              <w14:schemeClr w14:val="tx1"/>
            </w14:solidFill>
          </w14:textFill>
        </w:rPr>
        <w:t>▲采购人拟采购的产品属于政府强制采购的节能产品品目清单范围的，投标人相应的投标产品未获得国家确定的认证机构出具的、处于有效期之内的节能产品认证证书的，投标无效。</w:t>
      </w:r>
    </w:p>
    <w:p w14:paraId="461B905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3.2.2 修缮、装修类项目采购建材的，采购人应将绿色建筑和绿色建材性能、指标等作为实质性条件纳入招标文件和合同。</w:t>
      </w:r>
    </w:p>
    <w:p w14:paraId="427318D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EA11D66">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3.2.4 </w:t>
      </w:r>
      <w:r>
        <w:rPr>
          <w:rFonts w:hint="eastAsia" w:ascii="宋体" w:hAnsi="宋体" w:cs="宋体"/>
          <w:color w:val="000000" w:themeColor="text1"/>
          <w:sz w:val="24"/>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38628E6">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3.3支持中小企业发展</w:t>
      </w:r>
    </w:p>
    <w:p w14:paraId="068341A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FA9368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符合中小企业划分标准的个体工商户，在政府采购活动中视同中小企业。</w:t>
      </w:r>
    </w:p>
    <w:p w14:paraId="6DF3A4AD">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bCs/>
          <w:color w:val="000000" w:themeColor="text1"/>
          <w:sz w:val="24"/>
          <w14:textFill>
            <w14:solidFill>
              <w14:schemeClr w14:val="tx1"/>
            </w14:solidFill>
          </w14:textFill>
        </w:rPr>
        <w:t>3.3.2</w:t>
      </w:r>
      <w:r>
        <w:rPr>
          <w:rFonts w:hint="eastAsia" w:ascii="宋体" w:hAnsi="宋体" w:cs="宋体"/>
          <w:color w:val="000000" w:themeColor="text1"/>
          <w:kern w:val="0"/>
          <w:sz w:val="24"/>
          <w14:textFill>
            <w14:solidFill>
              <w14:schemeClr w14:val="tx1"/>
            </w14:solidFill>
          </w14:textFill>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160B27C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3.3.3对于未预留份额专门面向中小企业采购的政府采购项目，以及预留份额政府采购项目中的非预留部分标项，对小型和微型企业的投标报价给予</w:t>
      </w:r>
      <w:r>
        <w:rPr>
          <w:rFonts w:ascii="宋体" w:hAnsi="宋体" w:cs="宋体"/>
          <w:color w:val="000000" w:themeColor="text1"/>
          <w:sz w:val="24"/>
          <w14:textFill>
            <w14:solidFill>
              <w14:schemeClr w14:val="tx1"/>
            </w14:solidFill>
          </w14:textFill>
        </w:rPr>
        <w:t>20</w:t>
      </w:r>
      <w:r>
        <w:rPr>
          <w:rFonts w:hint="eastAsia" w:ascii="宋体" w:hAnsi="宋体" w:cs="宋体"/>
          <w:color w:val="000000" w:themeColor="text1"/>
          <w:sz w:val="24"/>
          <w14:textFill>
            <w14:solidFill>
              <w14:schemeClr w14:val="tx1"/>
            </w14:solidFill>
          </w14:textFill>
        </w:rPr>
        <w:t>%的扣除，用扣除后的价格参与评审。</w:t>
      </w:r>
    </w:p>
    <w:p w14:paraId="60E2EA1D">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3.3.4符合《关于促进残疾人就业政府采购政策的通知》（财库〔2017〕141号）规定的条件并提供《残疾人福利性单位声明函》（附件1）的残疾人福利性单位视同小型、微型企业；</w:t>
      </w:r>
    </w:p>
    <w:p w14:paraId="3256AEC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14E9B34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79F1D62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3.3.7中小企业享受扶持政策获得政府采购合同的，小微企业不得将合同分包给大中型企业，中型企业不得将合同分包给大型企业。</w:t>
      </w:r>
    </w:p>
    <w:p w14:paraId="196E240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平等对待内外资企业</w:t>
      </w:r>
    </w:p>
    <w:p w14:paraId="0F1B20B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4AD54168">
      <w:pPr>
        <w:pStyle w:val="82"/>
        <w:rPr>
          <w:bCs/>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平等对待符合条件的破产重整企业</w:t>
      </w:r>
    </w:p>
    <w:p w14:paraId="18AD049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平等对待符合条件的破产重整企业，切实保障企业公平竞争，平等维护企业的合法利益。</w:t>
      </w:r>
    </w:p>
    <w:p w14:paraId="70FE36E3">
      <w:pPr>
        <w:spacing w:line="360" w:lineRule="auto"/>
        <w:ind w:firstLine="241" w:firstLineChars="1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 询问、质疑、投诉</w:t>
      </w:r>
    </w:p>
    <w:p w14:paraId="6FD29B7F">
      <w:pPr>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4.1在线询问、质疑、投诉。</w:t>
      </w:r>
    </w:p>
    <w:p w14:paraId="6B38DF9D">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14:paraId="5D7CB9D6">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asciiTheme="minorEastAsia" w:hAnsiTheme="minorEastAsia" w:eastAsiaTheme="minorEastAsia"/>
          <w:color w:val="000000" w:themeColor="text1"/>
          <w:sz w:val="24"/>
          <w:lang w:val="zh-CN"/>
          <w14:textFill>
            <w14:solidFill>
              <w14:schemeClr w14:val="tx1"/>
            </w14:solidFill>
          </w14:textFill>
        </w:rPr>
        <w:fldChar w:fldCharType="begin"/>
      </w:r>
      <w:r>
        <w:rPr>
          <w:rFonts w:asciiTheme="minorEastAsia" w:hAnsiTheme="minorEastAsia" w:eastAsiaTheme="minorEastAsia"/>
          <w:color w:val="000000" w:themeColor="text1"/>
          <w:sz w:val="24"/>
          <w:lang w:val="zh-CN"/>
          <w14:textFill>
            <w14:solidFill>
              <w14:schemeClr w14:val="tx1"/>
            </w14:solidFill>
          </w14:textFill>
        </w:rPr>
        <w:instrText xml:space="preserve"> </w:instrText>
      </w:r>
      <w:r>
        <w:rPr>
          <w:rFonts w:hint="eastAsia" w:asciiTheme="minorEastAsia" w:hAnsiTheme="minorEastAsia" w:eastAsiaTheme="minorEastAsia"/>
          <w:color w:val="000000" w:themeColor="text1"/>
          <w:sz w:val="24"/>
          <w:lang w:val="zh-CN"/>
          <w14:textFill>
            <w14:solidFill>
              <w14:schemeClr w14:val="tx1"/>
            </w14:solidFill>
          </w14:textFill>
        </w:rPr>
        <w:instrText xml:space="preserve">= 1 \* GB3</w:instrText>
      </w:r>
      <w:r>
        <w:rPr>
          <w:rFonts w:asciiTheme="minorEastAsia" w:hAnsiTheme="minorEastAsia" w:eastAsiaTheme="minorEastAsia"/>
          <w:color w:val="000000" w:themeColor="text1"/>
          <w:sz w:val="24"/>
          <w:lang w:val="zh-CN"/>
          <w14:textFill>
            <w14:solidFill>
              <w14:schemeClr w14:val="tx1"/>
            </w14:solidFill>
          </w14:textFill>
        </w:rPr>
        <w:instrText xml:space="preserve"> </w:instrText>
      </w:r>
      <w:r>
        <w:rPr>
          <w:rFonts w:asciiTheme="minorEastAsia" w:hAnsiTheme="minorEastAsia" w:eastAsiaTheme="minorEastAsia"/>
          <w:color w:val="000000" w:themeColor="text1"/>
          <w:sz w:val="24"/>
          <w:lang w:val="zh-CN"/>
          <w14:textFill>
            <w14:solidFill>
              <w14:schemeClr w14:val="tx1"/>
            </w14:solidFill>
          </w14:textFill>
        </w:rPr>
        <w:fldChar w:fldCharType="separate"/>
      </w:r>
      <w:r>
        <w:rPr>
          <w:rFonts w:hint="eastAsia" w:asciiTheme="minorEastAsia" w:hAnsiTheme="minorEastAsia" w:eastAsiaTheme="minorEastAsia"/>
          <w:color w:val="000000" w:themeColor="text1"/>
          <w:sz w:val="24"/>
          <w:lang w:val="zh-CN"/>
          <w14:textFill>
            <w14:solidFill>
              <w14:schemeClr w14:val="tx1"/>
            </w14:solidFill>
          </w14:textFill>
        </w:rPr>
        <w:t>①</w:t>
      </w:r>
      <w:r>
        <w:rPr>
          <w:rFonts w:asciiTheme="minorEastAsia" w:hAnsiTheme="minorEastAsia" w:eastAsiaTheme="minorEastAsia"/>
          <w:color w:val="000000" w:themeColor="text1"/>
          <w:sz w:val="24"/>
          <w:lang w:val="zh-CN"/>
          <w14:textFill>
            <w14:solidFill>
              <w14:schemeClr w14:val="tx1"/>
            </w14:solidFill>
          </w14:textFill>
        </w:rPr>
        <w:fldChar w:fldCharType="end"/>
      </w:r>
      <w:r>
        <w:rPr>
          <w:rFonts w:hint="eastAsia" w:asciiTheme="minorEastAsia" w:hAnsiTheme="minorEastAsia" w:eastAsiaTheme="minorEastAsia"/>
          <w:color w:val="000000" w:themeColor="text1"/>
          <w:sz w:val="24"/>
          <w:lang w:val="zh-CN"/>
          <w14:textFill>
            <w14:solidFill>
              <w14:schemeClr w14:val="tx1"/>
            </w14:solidFill>
          </w14:textFill>
        </w:rPr>
        <w:t>询问联系部门：北海市政府采购中心采购三科；联系电话：0779-3038787；联系人：叶紫涵 ；地址：北海市海城区陈文村北路7号市直机关第三办公区。</w:t>
      </w:r>
    </w:p>
    <w:p w14:paraId="17D1E7A5">
      <w:pPr>
        <w:pStyle w:val="255"/>
        <w:numPr>
          <w:ilvl w:val="0"/>
          <w:numId w:val="2"/>
        </w:numPr>
        <w:ind w:left="851" w:firstLineChars="0"/>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质疑联系部门及电话：北海市政府采购中心监督科；联系电话：0779-3960826。</w:t>
      </w:r>
    </w:p>
    <w:p w14:paraId="7D6B3F2E">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asciiTheme="minorEastAsia" w:hAnsiTheme="minorEastAsia" w:eastAsiaTheme="minorEastAsia"/>
          <w:color w:val="000000" w:themeColor="text1"/>
          <w:sz w:val="24"/>
          <w:lang w:val="zh-CN"/>
          <w14:textFill>
            <w14:solidFill>
              <w14:schemeClr w14:val="tx1"/>
            </w14:solidFill>
          </w14:textFill>
        </w:rPr>
        <w:fldChar w:fldCharType="begin"/>
      </w:r>
      <w:r>
        <w:rPr>
          <w:rFonts w:asciiTheme="minorEastAsia" w:hAnsiTheme="minorEastAsia" w:eastAsiaTheme="minorEastAsia"/>
          <w:color w:val="000000" w:themeColor="text1"/>
          <w:sz w:val="24"/>
          <w:lang w:val="zh-CN"/>
          <w14:textFill>
            <w14:solidFill>
              <w14:schemeClr w14:val="tx1"/>
            </w14:solidFill>
          </w14:textFill>
        </w:rPr>
        <w:instrText xml:space="preserve"> </w:instrText>
      </w:r>
      <w:r>
        <w:rPr>
          <w:rFonts w:hint="eastAsia" w:asciiTheme="minorEastAsia" w:hAnsiTheme="minorEastAsia" w:eastAsiaTheme="minorEastAsia"/>
          <w:color w:val="000000" w:themeColor="text1"/>
          <w:sz w:val="24"/>
          <w:lang w:val="zh-CN"/>
          <w14:textFill>
            <w14:solidFill>
              <w14:schemeClr w14:val="tx1"/>
            </w14:solidFill>
          </w14:textFill>
        </w:rPr>
        <w:instrText xml:space="preserve">= 3 \* GB3</w:instrText>
      </w:r>
      <w:r>
        <w:rPr>
          <w:rFonts w:asciiTheme="minorEastAsia" w:hAnsiTheme="minorEastAsia" w:eastAsiaTheme="minorEastAsia"/>
          <w:color w:val="000000" w:themeColor="text1"/>
          <w:sz w:val="24"/>
          <w:lang w:val="zh-CN"/>
          <w14:textFill>
            <w14:solidFill>
              <w14:schemeClr w14:val="tx1"/>
            </w14:solidFill>
          </w14:textFill>
        </w:rPr>
        <w:instrText xml:space="preserve"> </w:instrText>
      </w:r>
      <w:r>
        <w:rPr>
          <w:rFonts w:asciiTheme="minorEastAsia" w:hAnsiTheme="minorEastAsia" w:eastAsiaTheme="minorEastAsia"/>
          <w:color w:val="000000" w:themeColor="text1"/>
          <w:sz w:val="24"/>
          <w:lang w:val="zh-CN"/>
          <w14:textFill>
            <w14:solidFill>
              <w14:schemeClr w14:val="tx1"/>
            </w14:solidFill>
          </w14:textFill>
        </w:rPr>
        <w:fldChar w:fldCharType="separate"/>
      </w:r>
      <w:r>
        <w:rPr>
          <w:rFonts w:hint="eastAsia" w:asciiTheme="minorEastAsia" w:hAnsiTheme="minorEastAsia" w:eastAsiaTheme="minorEastAsia"/>
          <w:color w:val="000000" w:themeColor="text1"/>
          <w:sz w:val="24"/>
          <w:lang w:val="zh-CN"/>
          <w14:textFill>
            <w14:solidFill>
              <w14:schemeClr w14:val="tx1"/>
            </w14:solidFill>
          </w14:textFill>
        </w:rPr>
        <w:t>③</w:t>
      </w:r>
      <w:r>
        <w:rPr>
          <w:rFonts w:asciiTheme="minorEastAsia" w:hAnsiTheme="minorEastAsia" w:eastAsiaTheme="minorEastAsia"/>
          <w:color w:val="000000" w:themeColor="text1"/>
          <w:sz w:val="24"/>
          <w:lang w:val="zh-CN"/>
          <w14:textFill>
            <w14:solidFill>
              <w14:schemeClr w14:val="tx1"/>
            </w14:solidFill>
          </w14:textFill>
        </w:rPr>
        <w:fldChar w:fldCharType="end"/>
      </w:r>
      <w:r>
        <w:rPr>
          <w:rFonts w:hint="eastAsia" w:asciiTheme="minorEastAsia" w:hAnsiTheme="minorEastAsia" w:eastAsiaTheme="minorEastAsia"/>
          <w:color w:val="000000" w:themeColor="text1"/>
          <w:sz w:val="24"/>
          <w:lang w:val="zh-CN"/>
          <w14:textFill>
            <w14:solidFill>
              <w14:schemeClr w14:val="tx1"/>
            </w14:solidFill>
          </w14:textFill>
        </w:rPr>
        <w:t>投诉联系部门及电话：北海</w:t>
      </w:r>
      <w:r>
        <w:rPr>
          <w:rFonts w:asciiTheme="minorEastAsia" w:hAnsiTheme="minorEastAsia" w:eastAsiaTheme="minorEastAsia"/>
          <w:color w:val="000000" w:themeColor="text1"/>
          <w:sz w:val="24"/>
          <w:lang w:val="zh-CN"/>
          <w14:textFill>
            <w14:solidFill>
              <w14:schemeClr w14:val="tx1"/>
            </w14:solidFill>
          </w14:textFill>
        </w:rPr>
        <w:t>市财政局</w:t>
      </w:r>
      <w:r>
        <w:rPr>
          <w:rFonts w:hint="eastAsia" w:asciiTheme="minorEastAsia" w:hAnsiTheme="minorEastAsia" w:eastAsiaTheme="minorEastAsia"/>
          <w:color w:val="000000" w:themeColor="text1"/>
          <w:sz w:val="24"/>
          <w:lang w:val="zh-CN"/>
          <w14:textFill>
            <w14:solidFill>
              <w14:schemeClr w14:val="tx1"/>
            </w14:solidFill>
          </w14:textFill>
        </w:rPr>
        <w:t xml:space="preserve">  0779-3063975。</w:t>
      </w:r>
    </w:p>
    <w:p w14:paraId="12BE1C28">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4.2供应商询问</w:t>
      </w:r>
    </w:p>
    <w:p w14:paraId="7AE82777">
      <w:pPr>
        <w:autoSpaceDE w:val="0"/>
        <w:autoSpaceDN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946480B">
      <w:pPr>
        <w:autoSpaceDE w:val="0"/>
        <w:autoSpaceDN w:val="0"/>
        <w:spacing w:line="360" w:lineRule="auto"/>
        <w:ind w:firstLine="240" w:firstLineChars="1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4.3供应商质疑</w:t>
      </w:r>
    </w:p>
    <w:p w14:paraId="12CFE373">
      <w:pPr>
        <w:pStyle w:val="32"/>
        <w:spacing w:line="360" w:lineRule="auto"/>
        <w:ind w:firstLine="480" w:firstLineChars="200"/>
        <w:rPr>
          <w:rFonts w:hAnsi="宋体" w:cs="宋体"/>
          <w:color w:val="000000" w:themeColor="text1"/>
          <w:sz w:val="24"/>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w:t>
      </w:r>
      <w:r>
        <w:rPr>
          <w:rFonts w:hint="eastAsia" w:hAnsi="宋体" w:cs="宋体"/>
          <w:color w:val="000000" w:themeColor="text1"/>
          <w:sz w:val="24"/>
          <w14:textFill>
            <w14:solidFill>
              <w14:schemeClr w14:val="tx1"/>
            </w14:solidFill>
          </w14:textFill>
        </w:rPr>
        <w:t>.1提出质疑的供应商应当是参与所质疑项目采购活动的供应商。潜在供应商已依法获取其可质疑的招标文件的，可以对该文件提出质疑。</w:t>
      </w:r>
    </w:p>
    <w:p w14:paraId="551490EE">
      <w:pPr>
        <w:pStyle w:val="32"/>
        <w:spacing w:line="360" w:lineRule="auto"/>
        <w:ind w:firstLine="480" w:firstLineChars="200"/>
        <w:rPr>
          <w:rFonts w:hAnsi="宋体" w:cs="宋体"/>
          <w:color w:val="000000" w:themeColor="text1"/>
          <w:sz w:val="24"/>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w:t>
      </w:r>
      <w:r>
        <w:rPr>
          <w:rFonts w:hint="eastAsia" w:hAnsi="宋体" w:cs="宋体"/>
          <w:color w:val="000000" w:themeColor="text1"/>
          <w:sz w:val="24"/>
          <w14:textFill>
            <w14:solidFill>
              <w14:schemeClr w14:val="tx1"/>
            </w14:solidFill>
          </w14:textFill>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1AFEA6A8">
      <w:pPr>
        <w:pStyle w:val="5"/>
        <w:spacing w:line="360" w:lineRule="auto"/>
        <w:ind w:firstLine="480" w:firstLineChars="200"/>
        <w:rPr>
          <w:rFonts w:hAnsi="宋体" w:cs="宋体"/>
          <w:snapToGrid/>
          <w:color w:val="000000" w:themeColor="text1"/>
          <w:kern w:val="2"/>
          <w:sz w:val="24"/>
          <w14:textFill>
            <w14:solidFill>
              <w14:schemeClr w14:val="tx1"/>
            </w14:solidFill>
          </w14:textFill>
        </w:rPr>
      </w:pPr>
      <w:r>
        <w:rPr>
          <w:rFonts w:hint="eastAsia" w:hAnsi="宋体" w:cs="宋体"/>
          <w:snapToGrid/>
          <w:color w:val="000000" w:themeColor="text1"/>
          <w:kern w:val="2"/>
          <w:sz w:val="24"/>
          <w14:textFill>
            <w14:solidFill>
              <w14:schemeClr w14:val="tx1"/>
            </w14:solidFill>
          </w14:textFill>
        </w:rPr>
        <w:t>4.3.2.1对招标文件提出质疑的，质疑期限为供应商获得招标文件之日或者招标文件公告期限届满之日起计算。</w:t>
      </w:r>
    </w:p>
    <w:p w14:paraId="6A2C5234">
      <w:pPr>
        <w:pStyle w:val="32"/>
        <w:spacing w:line="360" w:lineRule="auto"/>
        <w:ind w:left="479" w:leftChars="228"/>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4.3.2.2对采购过程提出质疑的，质疑期限为各采购程序环节结束之日起计算。4.3.2.3对采购结果提出质疑的，质疑期限自采购结果公告期限届满之日起计算。</w:t>
      </w:r>
    </w:p>
    <w:p w14:paraId="7714E84A">
      <w:pPr>
        <w:pStyle w:val="32"/>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4.3.3</w:t>
      </w:r>
      <w:r>
        <w:rPr>
          <w:rFonts w:hint="eastAsia" w:hAnsi="宋体" w:cs="宋体"/>
          <w:color w:val="000000" w:themeColor="text1"/>
          <w:sz w:val="24"/>
          <w14:textFill>
            <w14:solidFill>
              <w14:schemeClr w14:val="tx1"/>
            </w14:solidFill>
          </w14:textFill>
        </w:rPr>
        <w:t>供应商提出质疑应当提交质疑函和必要的证明材料。质疑函应当包括下列内容：</w:t>
      </w:r>
    </w:p>
    <w:p w14:paraId="31115D4F">
      <w:pPr>
        <w:pStyle w:val="32"/>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4.3.3.1供应商的姓名或者名称、地址、邮编、联系人及联系电话；</w:t>
      </w:r>
    </w:p>
    <w:p w14:paraId="5EF013F8">
      <w:pPr>
        <w:pStyle w:val="32"/>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4.3.3.2质疑项目的名称、编号；</w:t>
      </w:r>
    </w:p>
    <w:p w14:paraId="7F2C6D37">
      <w:pPr>
        <w:pStyle w:val="32"/>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4.3.3.3具体、明确的质疑事项和与质疑事项相关的请求；</w:t>
      </w:r>
    </w:p>
    <w:p w14:paraId="79EEADEF">
      <w:pPr>
        <w:pStyle w:val="32"/>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4.3.3.4事实依据；</w:t>
      </w:r>
    </w:p>
    <w:p w14:paraId="3BFA6EAC">
      <w:pPr>
        <w:pStyle w:val="32"/>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4.3.3.5必要的法律依据；</w:t>
      </w:r>
    </w:p>
    <w:p w14:paraId="6B60EB00">
      <w:pPr>
        <w:pStyle w:val="32"/>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4.3.3.6提出质疑的日期。</w:t>
      </w:r>
    </w:p>
    <w:p w14:paraId="48BF1EA8">
      <w:pPr>
        <w:pStyle w:val="886"/>
        <w:shd w:val="clear" w:color="auto" w:fill="FFFFFF"/>
        <w:snapToGrid w:val="0"/>
        <w:spacing w:after="240" w:afterAutospacing="0" w:line="360" w:lineRule="auto"/>
        <w:ind w:firstLine="480" w:firstLineChars="2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供应商提交的质疑函需一式三份。供应商为自然人的，应当由本人签字；供应商为法人或者其他组织的，应当由法定代表人、主要负责人，或者其授权代表签字或者盖章，并加盖公章。</w:t>
      </w:r>
    </w:p>
    <w:p w14:paraId="0A7E95ED">
      <w:pPr>
        <w:pStyle w:val="886"/>
        <w:shd w:val="clear" w:color="auto" w:fill="FFFFFF"/>
        <w:snapToGrid w:val="0"/>
        <w:spacing w:after="240" w:afterAutospacing="0" w:line="360" w:lineRule="auto"/>
        <w:ind w:firstLine="480" w:firstLineChars="2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质疑函范本及制作说明详见附件2。</w:t>
      </w:r>
    </w:p>
    <w:p w14:paraId="463849DD">
      <w:pPr>
        <w:pStyle w:val="886"/>
        <w:shd w:val="clear" w:color="auto" w:fill="FFFFFF"/>
        <w:snapToGrid w:val="0"/>
        <w:spacing w:after="240" w:afterAutospacing="0" w:line="360" w:lineRule="auto"/>
        <w:ind w:firstLine="480" w:firstLineChars="2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4.3.4对同一采购程序环节的质疑，供应商须在法定质疑期内一次性提出。</w:t>
      </w:r>
    </w:p>
    <w:p w14:paraId="7FC53412">
      <w:pPr>
        <w:pStyle w:val="886"/>
        <w:shd w:val="clear" w:color="auto" w:fill="FFFFFF"/>
        <w:snapToGrid w:val="0"/>
        <w:spacing w:before="0" w:beforeAutospacing="0" w:after="0" w:afterAutospacing="0" w:line="360" w:lineRule="auto"/>
        <w:ind w:firstLine="480" w:firstLineChars="200"/>
        <w:contextualSpacing/>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4.3</w:t>
      </w:r>
      <w:r>
        <w:rPr>
          <w:rFonts w:hint="eastAsia"/>
          <w:color w:val="000000" w:themeColor="text1"/>
          <w14:textFill>
            <w14:solidFill>
              <w14:schemeClr w14:val="tx1"/>
            </w14:solidFill>
          </w14:textFill>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2EB38BA3">
      <w:pPr>
        <w:pStyle w:val="32"/>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4.3.6根据采购人与采购代理机构签订的采购委托协议，质疑答复责任主体如下：</w:t>
      </w:r>
      <w:r>
        <w:rPr>
          <w:rFonts w:asciiTheme="minorEastAsia" w:hAnsiTheme="minorEastAsia" w:eastAsiaTheme="minorEastAsia"/>
          <w:color w:val="000000" w:themeColor="text1"/>
          <w:sz w:val="24"/>
          <w14:textFill>
            <w14:solidFill>
              <w14:schemeClr w14:val="tx1"/>
            </w14:solidFill>
          </w14:textFill>
        </w:rPr>
        <w:t xml:space="preserve"> </w:t>
      </w:r>
    </w:p>
    <w:p w14:paraId="25B6DE0A">
      <w:pPr>
        <w:widowControl/>
        <w:adjustRightInd/>
        <w:spacing w:line="360" w:lineRule="auto"/>
        <w:jc w:val="center"/>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质疑答复责任主体一览表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178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17294956">
            <w:pPr>
              <w:pStyle w:val="3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435812BD">
            <w:pPr>
              <w:pStyle w:val="3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质疑答复责任主体</w:t>
            </w:r>
          </w:p>
        </w:tc>
      </w:tr>
      <w:tr w14:paraId="7DC8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0C83A38A">
            <w:pPr>
              <w:pStyle w:val="3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270ECE94">
            <w:pPr>
              <w:pStyle w:val="32"/>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942404A">
            <w:pPr>
              <w:pStyle w:val="3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tc>
      </w:tr>
      <w:tr w14:paraId="4543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5C16A12">
            <w:pPr>
              <w:widowControl/>
              <w:adjustRightInd/>
              <w:spacing w:line="360" w:lineRule="auto"/>
              <w:jc w:val="left"/>
              <w:rPr>
                <w:rFonts w:asciiTheme="minorEastAsia" w:hAnsiTheme="minorEastAsia" w:eastAsiaTheme="minorEastAsia"/>
                <w:color w:val="000000" w:themeColor="text1"/>
                <w:sz w:val="24"/>
                <w:szCs w:val="20"/>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vAlign w:val="center"/>
          </w:tcPr>
          <w:p w14:paraId="1C90809A">
            <w:pPr>
              <w:pStyle w:val="32"/>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7CA257C7">
            <w:pPr>
              <w:pStyle w:val="3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r w14:paraId="572F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6AABBE59">
            <w:pPr>
              <w:pStyle w:val="3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461DB06F">
            <w:pPr>
              <w:pStyle w:val="32"/>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372F2C1A">
            <w:pPr>
              <w:pStyle w:val="3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tc>
      </w:tr>
      <w:tr w14:paraId="5A8D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C4CB7B9">
            <w:pPr>
              <w:widowControl/>
              <w:adjustRightInd/>
              <w:spacing w:line="360" w:lineRule="auto"/>
              <w:jc w:val="left"/>
              <w:rPr>
                <w:rFonts w:asciiTheme="minorEastAsia" w:hAnsiTheme="minorEastAsia" w:eastAsiaTheme="minorEastAsia"/>
                <w:color w:val="000000" w:themeColor="text1"/>
                <w:sz w:val="24"/>
                <w:szCs w:val="20"/>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vAlign w:val="center"/>
          </w:tcPr>
          <w:p w14:paraId="69E43C93">
            <w:pPr>
              <w:pStyle w:val="32"/>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A3FF72E">
            <w:pPr>
              <w:pStyle w:val="3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r w14:paraId="10B4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342F162E">
            <w:pPr>
              <w:pStyle w:val="3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43FC250E">
            <w:pPr>
              <w:pStyle w:val="32"/>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2A284AE">
            <w:pPr>
              <w:pStyle w:val="3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bl>
    <w:p w14:paraId="47729D6E">
      <w:pPr>
        <w:pStyle w:val="886"/>
        <w:shd w:val="clear" w:color="auto" w:fill="FFFFFF"/>
        <w:snapToGrid w:val="0"/>
        <w:spacing w:before="0" w:beforeAutospacing="0" w:after="0" w:afterAutospacing="0" w:line="360" w:lineRule="auto"/>
        <w:ind w:firstLine="480" w:firstLineChars="200"/>
        <w:contextualSpacing/>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注：</w:t>
      </w:r>
      <w:r>
        <w:rPr>
          <w:rFonts w:hint="eastAsia" w:asciiTheme="minorEastAsia" w:hAnsiTheme="minorEastAsia" w:eastAsiaTheme="minorEastAsia"/>
          <w:color w:val="000000" w:themeColor="text1"/>
          <w14:textFill>
            <w14:solidFill>
              <w14:schemeClr w14:val="tx1"/>
            </w14:solidFill>
          </w14:textFill>
        </w:rPr>
        <w:t>采购人或代理机构或应当协助质疑答复责任主体及时答复</w:t>
      </w:r>
      <w:r>
        <w:rPr>
          <w:rFonts w:hint="eastAsia"/>
          <w:color w:val="000000" w:themeColor="text1"/>
          <w14:textFill>
            <w14:solidFill>
              <w14:schemeClr w14:val="tx1"/>
            </w14:solidFill>
          </w14:textFill>
        </w:rPr>
        <w:t>供应商的书面质疑。</w:t>
      </w:r>
    </w:p>
    <w:p w14:paraId="2F77CF56">
      <w:pPr>
        <w:pStyle w:val="886"/>
        <w:shd w:val="clear" w:color="auto" w:fill="FFFFFF"/>
        <w:snapToGrid w:val="0"/>
        <w:spacing w:before="0" w:beforeAutospacing="0" w:after="0" w:afterAutospacing="0" w:line="360" w:lineRule="auto"/>
        <w:ind w:firstLine="480" w:firstLineChars="200"/>
        <w:contextualSpacing/>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4.3</w:t>
      </w:r>
      <w:r>
        <w:rPr>
          <w:rFonts w:hint="eastAsia"/>
          <w:color w:val="000000" w:themeColor="text1"/>
          <w14:textFill>
            <w14:solidFill>
              <w14:schemeClr w14:val="tx1"/>
            </w14:solidFill>
          </w14:textFill>
        </w:rPr>
        <w:t>.7询问或者质疑事项可能影响采购结果的，采购人应当暂停签订合同，已经签订合同的，应当中止履行合同。</w:t>
      </w:r>
    </w:p>
    <w:p w14:paraId="049AF99F">
      <w:pPr>
        <w:pStyle w:val="886"/>
        <w:shd w:val="clear" w:color="auto" w:fill="FFFFFF"/>
        <w:snapToGrid w:val="0"/>
        <w:spacing w:after="240" w:afterAutospacing="0" w:line="360" w:lineRule="auto"/>
        <w:ind w:firstLine="480" w:firstLineChars="200"/>
        <w:contextualSpacing/>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4.4供应商投诉</w:t>
      </w:r>
    </w:p>
    <w:p w14:paraId="5B1BA617">
      <w:pPr>
        <w:pStyle w:val="886"/>
        <w:shd w:val="clear" w:color="auto" w:fill="FFFFFF"/>
        <w:snapToGrid w:val="0"/>
        <w:spacing w:after="240" w:afterAutospacing="0" w:line="360" w:lineRule="auto"/>
        <w:ind w:firstLine="480" w:firstLineChars="2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4.4.1质疑供应商对采购人、采购代理机构的答复不满意或者采购人、采购代理机构未在规定的时间内作出答复的，可以在答复期满后十五个工作日内向同级政府采购监督管理部门提出投诉。</w:t>
      </w:r>
    </w:p>
    <w:p w14:paraId="1E7D494F">
      <w:pPr>
        <w:pStyle w:val="886"/>
        <w:shd w:val="clear" w:color="auto" w:fill="FFFFFF"/>
        <w:snapToGrid w:val="0"/>
        <w:spacing w:after="240" w:afterAutospacing="0" w:line="360" w:lineRule="auto"/>
        <w:ind w:firstLine="480" w:firstLineChars="2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4.4.</w:t>
      </w:r>
      <w:r>
        <w:rPr>
          <w:rFonts w:hint="eastAsia"/>
          <w:color w:val="000000" w:themeColor="text1"/>
          <w:lang w:val="zh-CN"/>
          <w14:textFill>
            <w14:solidFill>
              <w14:schemeClr w14:val="tx1"/>
            </w14:solidFill>
          </w14:textFill>
        </w:rPr>
        <w:t>2</w:t>
      </w:r>
      <w:r>
        <w:rPr>
          <w:rFonts w:hint="eastAsia"/>
          <w:color w:val="000000" w:themeColor="text1"/>
          <w14:textFill>
            <w14:solidFill>
              <w14:schemeClr w14:val="tx1"/>
            </w14:solidFill>
          </w14:textFill>
        </w:rPr>
        <w:t>供应商投诉的事项不得超出已质疑事项的范围，基于质疑答复内容提出的投诉事项除外。</w:t>
      </w:r>
    </w:p>
    <w:p w14:paraId="3D3EBE51">
      <w:pPr>
        <w:pStyle w:val="886"/>
        <w:shd w:val="clear" w:color="auto" w:fill="FFFFFF"/>
        <w:snapToGrid w:val="0"/>
        <w:spacing w:after="240" w:afterAutospacing="0" w:line="360" w:lineRule="auto"/>
        <w:ind w:firstLine="480" w:firstLineChars="2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4.4.3供应商投诉应当有明确的请求和必要的证明材料。</w:t>
      </w:r>
    </w:p>
    <w:p w14:paraId="6999C0B7">
      <w:pPr>
        <w:pStyle w:val="128"/>
        <w:snapToGrid w:val="0"/>
        <w:spacing w:before="0"/>
        <w:ind w:firstLine="360"/>
        <w:rPr>
          <w:rFonts w:ascii="宋体" w:hAnsi="宋体" w:cs="宋体"/>
          <w:color w:val="000000" w:themeColor="text1"/>
          <w:sz w:val="18"/>
          <w:szCs w:val="18"/>
          <w14:textFill>
            <w14:solidFill>
              <w14:schemeClr w14:val="tx1"/>
            </w14:solidFill>
          </w14:textFill>
        </w:rPr>
      </w:pPr>
    </w:p>
    <w:p w14:paraId="3DE41F6D">
      <w:pPr>
        <w:adjustRightInd/>
        <w:spacing w:line="360" w:lineRule="auto"/>
        <w:jc w:val="center"/>
        <w:outlineLvl w:val="1"/>
        <w:rPr>
          <w:rFonts w:ascii="宋体" w:hAnsi="宋体" w:cs="宋体"/>
          <w:b/>
          <w:color w:val="000000" w:themeColor="text1"/>
          <w:sz w:val="32"/>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二、招标文件的构成、澄清、修改</w:t>
      </w:r>
    </w:p>
    <w:p w14:paraId="1899C042">
      <w:pPr>
        <w:pStyle w:val="32"/>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5．招标文件的构成</w:t>
      </w:r>
    </w:p>
    <w:p w14:paraId="38F69611">
      <w:pPr>
        <w:pStyle w:val="32"/>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 招标文件包括下列文件及附件：</w:t>
      </w:r>
    </w:p>
    <w:p w14:paraId="2B81678B">
      <w:pPr>
        <w:pStyle w:val="32"/>
        <w:tabs>
          <w:tab w:val="left" w:pos="840"/>
        </w:tabs>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5.1.1招标公告；</w:t>
      </w:r>
    </w:p>
    <w:p w14:paraId="223B171C">
      <w:pPr>
        <w:pStyle w:val="32"/>
        <w:tabs>
          <w:tab w:val="left" w:pos="840"/>
        </w:tabs>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5.1.2投标人须知；</w:t>
      </w:r>
    </w:p>
    <w:p w14:paraId="317AC873">
      <w:pPr>
        <w:pStyle w:val="32"/>
        <w:tabs>
          <w:tab w:val="left" w:pos="840"/>
        </w:tabs>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5.1.3采购需求；</w:t>
      </w:r>
    </w:p>
    <w:p w14:paraId="4C8446F5">
      <w:pPr>
        <w:pStyle w:val="32"/>
        <w:tabs>
          <w:tab w:val="left" w:pos="840"/>
        </w:tabs>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5.1.4评标办法；</w:t>
      </w:r>
    </w:p>
    <w:p w14:paraId="698ABDD4">
      <w:pPr>
        <w:pStyle w:val="32"/>
        <w:tabs>
          <w:tab w:val="left" w:pos="840"/>
        </w:tabs>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5.1.5拟签订的合同文本；</w:t>
      </w:r>
    </w:p>
    <w:p w14:paraId="0438813A">
      <w:pPr>
        <w:pStyle w:val="32"/>
        <w:tabs>
          <w:tab w:val="left" w:pos="840"/>
        </w:tabs>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14:textFill>
            <w14:solidFill>
              <w14:schemeClr w14:val="tx1"/>
            </w14:solidFill>
          </w14:textFill>
        </w:rPr>
        <w:t>5.1.6</w:t>
      </w:r>
      <w:r>
        <w:rPr>
          <w:rFonts w:hint="eastAsia" w:hAnsi="宋体" w:cs="宋体"/>
          <w:color w:val="000000" w:themeColor="text1"/>
          <w:sz w:val="24"/>
          <w:szCs w:val="24"/>
          <w14:textFill>
            <w14:solidFill>
              <w14:schemeClr w14:val="tx1"/>
            </w14:solidFill>
          </w14:textFill>
        </w:rPr>
        <w:t>应提交的有关格式范例。</w:t>
      </w:r>
    </w:p>
    <w:p w14:paraId="7B21699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5.2与本项目有关的</w:t>
      </w:r>
      <w:r>
        <w:rPr>
          <w:rFonts w:hint="eastAsia" w:ascii="宋体" w:hAnsi="宋体" w:cs="宋体"/>
          <w:bCs/>
          <w:color w:val="000000" w:themeColor="text1"/>
          <w:sz w:val="24"/>
          <w14:textFill>
            <w14:solidFill>
              <w14:schemeClr w14:val="tx1"/>
            </w14:solidFill>
          </w14:textFill>
        </w:rPr>
        <w:t>澄清或者修改的内容为招标文件的组成部分</w:t>
      </w:r>
      <w:r>
        <w:rPr>
          <w:rFonts w:hint="eastAsia" w:ascii="宋体" w:hAnsi="宋体" w:cs="宋体"/>
          <w:color w:val="000000" w:themeColor="text1"/>
          <w:sz w:val="24"/>
          <w14:textFill>
            <w14:solidFill>
              <w14:schemeClr w14:val="tx1"/>
            </w14:solidFill>
          </w14:textFill>
        </w:rPr>
        <w:t>。</w:t>
      </w:r>
    </w:p>
    <w:p w14:paraId="2363B4BF">
      <w:pPr>
        <w:pStyle w:val="32"/>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6. 招标文件的澄清、修改</w:t>
      </w:r>
    </w:p>
    <w:p w14:paraId="2CE79FBF">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6.1已获取招标文件的潜在投标人，若有问题需要澄清，应于投标截止时间前，以书面形式向采购代理机构提出。</w:t>
      </w:r>
    </w:p>
    <w:p w14:paraId="1A10495B">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7CB64C8E">
      <w:pPr>
        <w:pStyle w:val="23"/>
        <w:rPr>
          <w:rFonts w:hAnsi="宋体" w:cs="宋体"/>
          <w:color w:val="000000" w:themeColor="text1"/>
          <w:sz w:val="18"/>
          <w:szCs w:val="18"/>
          <w:lang w:val="en-US"/>
          <w14:textFill>
            <w14:solidFill>
              <w14:schemeClr w14:val="tx1"/>
            </w14:solidFill>
          </w14:textFill>
        </w:rPr>
      </w:pPr>
      <w:r>
        <w:rPr>
          <w:rFonts w:hint="eastAsia" w:hAnsi="宋体" w:cs="宋体"/>
          <w:color w:val="000000" w:themeColor="text1"/>
          <w:szCs w:val="24"/>
          <w:lang w:val="en-US"/>
          <w14:textFill>
            <w14:solidFill>
              <w14:schemeClr w14:val="tx1"/>
            </w14:solidFill>
          </w14:textFill>
        </w:rPr>
        <w:t xml:space="preserve">    </w:t>
      </w:r>
    </w:p>
    <w:p w14:paraId="0267351D">
      <w:pPr>
        <w:adjustRightInd/>
        <w:spacing w:line="360" w:lineRule="auto"/>
        <w:jc w:val="center"/>
        <w:outlineLvl w:val="1"/>
        <w:rPr>
          <w:rFonts w:ascii="宋体" w:hAnsi="宋体" w:cs="宋体"/>
          <w:b/>
          <w:color w:val="000000" w:themeColor="text1"/>
          <w:sz w:val="30"/>
          <w:szCs w:val="20"/>
          <w14:textFill>
            <w14:solidFill>
              <w14:schemeClr w14:val="tx1"/>
            </w14:solidFill>
          </w14:textFill>
        </w:rPr>
      </w:pPr>
      <w:r>
        <w:rPr>
          <w:rFonts w:hint="eastAsia" w:ascii="宋体" w:hAnsi="宋体" w:cs="宋体"/>
          <w:b/>
          <w:color w:val="000000" w:themeColor="text1"/>
          <w:sz w:val="30"/>
          <w:szCs w:val="20"/>
          <w14:textFill>
            <w14:solidFill>
              <w14:schemeClr w14:val="tx1"/>
            </w14:solidFill>
          </w14:textFill>
        </w:rPr>
        <w:t>三、投标</w:t>
      </w:r>
    </w:p>
    <w:p w14:paraId="76FB9DB7">
      <w:pPr>
        <w:pStyle w:val="32"/>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7. 招标文件的获取</w:t>
      </w:r>
    </w:p>
    <w:p w14:paraId="70DFBCB2">
      <w:pPr>
        <w:spacing w:line="360" w:lineRule="auto"/>
        <w:ind w:firstLine="480" w:firstLineChars="200"/>
        <w:rPr>
          <w:rFonts w:ascii="宋体" w:hAnsi="宋体" w:cs="宋体"/>
          <w:snapToGrid w:val="0"/>
          <w:color w:val="000000" w:themeColor="text1"/>
          <w:kern w:val="28"/>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详见招标公告中获取招标文件的时间期限、地点、方式及招标文件售价。</w:t>
      </w:r>
    </w:p>
    <w:p w14:paraId="3BA6BE87">
      <w:pPr>
        <w:pStyle w:val="32"/>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8.开标前答疑会或现场考察</w:t>
      </w:r>
    </w:p>
    <w:p w14:paraId="134E6F20">
      <w:pPr>
        <w:pStyle w:val="32"/>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采购人组织潜在投标人现场考察或者召开开标前答疑会的，潜在投标人按第二部分投标人须知前附表的规定参加现场考察或者开标前答疑会。</w:t>
      </w:r>
    </w:p>
    <w:p w14:paraId="2341C376">
      <w:pPr>
        <w:pStyle w:val="32"/>
        <w:spacing w:line="360" w:lineRule="auto"/>
        <w:rPr>
          <w:rFonts w:hAnsi="宋体" w:cs="宋体"/>
          <w:b/>
          <w:color w:val="000000" w:themeColor="text1"/>
          <w:szCs w:val="24"/>
          <w14:textFill>
            <w14:solidFill>
              <w14:schemeClr w14:val="tx1"/>
            </w14:solidFill>
          </w14:textFill>
        </w:rPr>
      </w:pPr>
      <w:r>
        <w:rPr>
          <w:rFonts w:hint="eastAsia" w:hAnsi="宋体" w:cs="宋体"/>
          <w:b/>
          <w:color w:val="000000" w:themeColor="text1"/>
          <w:kern w:val="28"/>
          <w:sz w:val="24"/>
          <w:szCs w:val="24"/>
          <w14:textFill>
            <w14:solidFill>
              <w14:schemeClr w14:val="tx1"/>
            </w14:solidFill>
          </w14:textFill>
        </w:rPr>
        <w:t>9.投标保证金（本项目不收取）</w:t>
      </w:r>
    </w:p>
    <w:p w14:paraId="32C3C776">
      <w:pPr>
        <w:pStyle w:val="32"/>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10. 投标文件的语言</w:t>
      </w:r>
    </w:p>
    <w:p w14:paraId="634D4273">
      <w:pPr>
        <w:autoSpaceDE w:val="0"/>
        <w:autoSpaceDN w:val="0"/>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投标文件及投标人与采购有关的来往通知、函件和文件均应使用中文。</w:t>
      </w:r>
    </w:p>
    <w:p w14:paraId="3FD97CFC">
      <w:pPr>
        <w:pStyle w:val="32"/>
        <w:spacing w:line="360" w:lineRule="auto"/>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11. 投标文件的组成（标注“▲”为实质性要求，供应商必须提供，否则投标无效。相关格式见招标文件第六部分）</w:t>
      </w:r>
    </w:p>
    <w:p w14:paraId="2BA8089B">
      <w:pPr>
        <w:snapToGrid w:val="0"/>
        <w:spacing w:line="360" w:lineRule="auto"/>
        <w:ind w:firstLine="482" w:firstLineChars="200"/>
        <w:rPr>
          <w:rFonts w:hint="eastAsia" w:ascii="宋体" w:hAnsi="宋体" w:cs="宋体"/>
          <w:sz w:val="24"/>
        </w:rPr>
      </w:pPr>
      <w:r>
        <w:rPr>
          <w:rFonts w:hint="eastAsia" w:ascii="宋体" w:hAnsi="宋体" w:eastAsia="宋体" w:cs="宋体"/>
          <w:b/>
          <w:snapToGrid w:val="0"/>
          <w:color w:val="000000" w:themeColor="text1"/>
          <w:kern w:val="2"/>
          <w:sz w:val="24"/>
          <w:szCs w:val="24"/>
          <w:lang w:val="en-US" w:eastAsia="zh-CN" w:bidi="ar-SA"/>
          <w14:textFill>
            <w14:solidFill>
              <w14:schemeClr w14:val="tx1"/>
            </w14:solidFill>
          </w14:textFill>
        </w:rPr>
        <w:t>▲</w:t>
      </w: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685EFA92">
      <w:pPr>
        <w:snapToGrid w:val="0"/>
        <w:spacing w:line="360" w:lineRule="auto"/>
        <w:ind w:firstLine="482" w:firstLineChars="200"/>
        <w:rPr>
          <w:rFonts w:hint="eastAsia" w:ascii="宋体" w:hAnsi="宋体" w:cs="宋体"/>
          <w:sz w:val="24"/>
        </w:rPr>
      </w:pPr>
      <w:r>
        <w:rPr>
          <w:rFonts w:hint="eastAsia" w:ascii="宋体" w:hAnsi="宋体" w:eastAsia="宋体" w:cs="宋体"/>
          <w:b/>
          <w:snapToGrid w:val="0"/>
          <w:color w:val="000000" w:themeColor="text1"/>
          <w:kern w:val="2"/>
          <w:sz w:val="24"/>
          <w:szCs w:val="24"/>
          <w:lang w:val="en-US" w:eastAsia="zh-CN" w:bidi="ar-SA"/>
          <w14:textFill>
            <w14:solidFill>
              <w14:schemeClr w14:val="tx1"/>
            </w14:solidFill>
          </w14:textFill>
        </w:rPr>
        <w:t>▲</w:t>
      </w:r>
      <w:r>
        <w:rPr>
          <w:rFonts w:hint="eastAsia" w:ascii="宋体" w:hAnsi="宋体" w:cs="宋体"/>
          <w:sz w:val="24"/>
        </w:rPr>
        <w:t>11.1.1符合参加政府采购活动应当具备的一般条件的承诺函；</w:t>
      </w:r>
    </w:p>
    <w:p w14:paraId="1EBFB232">
      <w:pPr>
        <w:snapToGrid w:val="0"/>
        <w:spacing w:line="360" w:lineRule="auto"/>
        <w:ind w:firstLine="720" w:firstLineChars="300"/>
        <w:rPr>
          <w:rFonts w:hint="eastAsia" w:ascii="宋体" w:hAnsi="宋体" w:cs="宋体"/>
          <w:sz w:val="24"/>
        </w:rPr>
      </w:pPr>
      <w:r>
        <w:rPr>
          <w:rFonts w:hint="eastAsia" w:ascii="宋体" w:hAnsi="宋体" w:cs="宋体"/>
          <w:sz w:val="24"/>
        </w:rPr>
        <w:t>1</w:t>
      </w:r>
      <w:r>
        <w:rPr>
          <w:rFonts w:ascii="宋体" w:hAnsi="宋体" w:cs="宋体"/>
          <w:sz w:val="24"/>
        </w:rPr>
        <w:t>1.1.2</w:t>
      </w:r>
      <w:r>
        <w:rPr>
          <w:rFonts w:hint="eastAsia" w:ascii="宋体" w:hAnsi="宋体" w:cs="宋体"/>
          <w:snapToGrid w:val="0"/>
          <w:kern w:val="28"/>
          <w:sz w:val="24"/>
          <w:szCs w:val="20"/>
        </w:rPr>
        <w:t>联合协议：无</w:t>
      </w:r>
    </w:p>
    <w:p w14:paraId="3B23E502">
      <w:pPr>
        <w:snapToGrid w:val="0"/>
        <w:spacing w:line="360" w:lineRule="auto"/>
        <w:ind w:firstLine="480" w:firstLineChars="200"/>
        <w:rPr>
          <w:rFonts w:hint="eastAsia" w:ascii="宋体" w:hAnsi="宋体" w:eastAsia="宋体" w:cs="宋体"/>
          <w:b/>
          <w:snapToGrid w:val="0"/>
          <w:color w:val="000000" w:themeColor="text1"/>
          <w:kern w:val="2"/>
          <w:sz w:val="24"/>
          <w:szCs w:val="24"/>
          <w:lang w:val="en-US" w:eastAsia="zh-CN" w:bidi="ar-SA"/>
          <w14:textFill>
            <w14:solidFill>
              <w14:schemeClr w14:val="tx1"/>
            </w14:solidFill>
          </w14:textFill>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eastAsia="宋体" w:cs="宋体"/>
          <w:b/>
          <w:snapToGrid w:val="0"/>
          <w:color w:val="000000" w:themeColor="text1"/>
          <w:kern w:val="2"/>
          <w:sz w:val="24"/>
          <w:szCs w:val="24"/>
          <w:lang w:val="en-US" w:eastAsia="zh-CN" w:bidi="ar-SA"/>
          <w14:textFill>
            <w14:solidFill>
              <w14:schemeClr w14:val="tx1"/>
            </w14:solidFill>
          </w14:textFill>
        </w:rPr>
        <w:t>无</w:t>
      </w:r>
    </w:p>
    <w:p w14:paraId="6B154415">
      <w:pPr>
        <w:snapToGrid w:val="0"/>
        <w:spacing w:line="360" w:lineRule="auto"/>
        <w:ind w:firstLine="720" w:firstLineChars="300"/>
        <w:rPr>
          <w:rFonts w:hint="eastAsia"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本项目的特定资格要求：无</w:t>
      </w:r>
    </w:p>
    <w:p w14:paraId="54FD2A93">
      <w:pPr>
        <w:snapToGrid w:val="0"/>
        <w:spacing w:line="360" w:lineRule="auto"/>
        <w:ind w:firstLine="482" w:firstLineChars="200"/>
        <w:rPr>
          <w:rFonts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11.</w:t>
      </w:r>
      <w:r>
        <w:rPr>
          <w:rFonts w:hint="eastAsia" w:ascii="宋体" w:hAnsi="宋体" w:cs="宋体"/>
          <w:b/>
          <w:color w:val="000000" w:themeColor="text1"/>
          <w:sz w:val="24"/>
          <w14:textFill>
            <w14:solidFill>
              <w14:schemeClr w14:val="tx1"/>
            </w14:solidFill>
          </w14:textFill>
        </w:rPr>
        <w:t>2</w:t>
      </w:r>
      <w:r>
        <w:rPr>
          <w:rFonts w:hint="eastAsia" w:ascii="宋体" w:hAnsi="宋体" w:cs="宋体"/>
          <w:b/>
          <w:color w:val="000000" w:themeColor="text1"/>
          <w:sz w:val="24"/>
          <w:lang w:val="zh-CN"/>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商务技术</w:t>
      </w:r>
      <w:r>
        <w:rPr>
          <w:rFonts w:hint="eastAsia" w:ascii="宋体" w:hAnsi="宋体" w:cs="宋体"/>
          <w:b/>
          <w:color w:val="000000" w:themeColor="text1"/>
          <w:sz w:val="24"/>
          <w:lang w:val="zh-CN"/>
          <w14:textFill>
            <w14:solidFill>
              <w14:schemeClr w14:val="tx1"/>
            </w14:solidFill>
          </w14:textFill>
        </w:rPr>
        <w:t>文件：</w:t>
      </w:r>
    </w:p>
    <w:p w14:paraId="55E7CF4C">
      <w:pPr>
        <w:snapToGrid w:val="0"/>
        <w:spacing w:line="360" w:lineRule="auto"/>
        <w:ind w:firstLine="482" w:firstLineChars="200"/>
        <w:rPr>
          <w:rFonts w:hint="eastAsia" w:ascii="宋体" w:hAnsi="宋体" w:cs="宋体"/>
          <w:sz w:val="24"/>
        </w:rPr>
      </w:pPr>
      <w:r>
        <w:rPr>
          <w:rFonts w:hint="eastAsia" w:ascii="宋体" w:hAnsi="宋体" w:eastAsia="宋体" w:cs="宋体"/>
          <w:b/>
          <w:snapToGrid w:val="0"/>
          <w:color w:val="000000" w:themeColor="text1"/>
          <w:kern w:val="2"/>
          <w:sz w:val="24"/>
          <w:szCs w:val="24"/>
          <w:lang w:val="en-US" w:eastAsia="zh-CN" w:bidi="ar-SA"/>
          <w14:textFill>
            <w14:solidFill>
              <w14:schemeClr w14:val="tx1"/>
            </w14:solidFill>
          </w14:textFill>
        </w:rPr>
        <w:t>▲</w:t>
      </w:r>
      <w:r>
        <w:rPr>
          <w:rFonts w:hint="eastAsia" w:ascii="宋体" w:hAnsi="宋体" w:cs="宋体"/>
          <w:sz w:val="24"/>
        </w:rPr>
        <w:t>11.2.1投标函；</w:t>
      </w:r>
      <w:r>
        <w:rPr>
          <w:rFonts w:hint="eastAsia" w:ascii="宋体" w:hAnsi="宋体" w:cs="宋体"/>
          <w:sz w:val="24"/>
          <w:lang w:val="zh-CN"/>
        </w:rPr>
        <w:t xml:space="preserve"> </w:t>
      </w:r>
    </w:p>
    <w:p w14:paraId="39088474">
      <w:pPr>
        <w:snapToGrid w:val="0"/>
        <w:spacing w:line="360" w:lineRule="auto"/>
        <w:ind w:firstLine="482" w:firstLineChars="200"/>
        <w:rPr>
          <w:rFonts w:hint="eastAsia" w:ascii="宋体" w:hAnsi="宋体" w:cs="宋体"/>
          <w:sz w:val="24"/>
        </w:rPr>
      </w:pPr>
      <w:r>
        <w:rPr>
          <w:rFonts w:hint="eastAsia" w:ascii="宋体" w:hAnsi="宋体" w:eastAsia="宋体" w:cs="宋体"/>
          <w:b/>
          <w:snapToGrid w:val="0"/>
          <w:color w:val="000000" w:themeColor="text1"/>
          <w:kern w:val="2"/>
          <w:sz w:val="24"/>
          <w:szCs w:val="24"/>
          <w:lang w:val="en-US" w:eastAsia="zh-CN" w:bidi="ar-SA"/>
          <w14:textFill>
            <w14:solidFill>
              <w14:schemeClr w14:val="tx1"/>
            </w14:solidFill>
          </w14:textFill>
        </w:rPr>
        <w:t>▲</w:t>
      </w:r>
      <w:r>
        <w:rPr>
          <w:rFonts w:hint="eastAsia" w:ascii="宋体" w:hAnsi="宋体" w:cs="宋体"/>
          <w:sz w:val="24"/>
        </w:rPr>
        <w:t>11.2.2授权委托书或法定代表人（单位负责人、自然人本人）身份证明；</w:t>
      </w:r>
    </w:p>
    <w:p w14:paraId="16CE3AEC">
      <w:pPr>
        <w:snapToGrid w:val="0"/>
        <w:spacing w:line="360" w:lineRule="auto"/>
        <w:ind w:firstLine="480" w:firstLineChars="200"/>
        <w:rPr>
          <w:rFonts w:hint="eastAsia"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分包意向协议（如果有)；</w:t>
      </w:r>
    </w:p>
    <w:p w14:paraId="00B72EFA">
      <w:pPr>
        <w:snapToGrid w:val="0"/>
        <w:spacing w:line="360" w:lineRule="auto"/>
        <w:ind w:firstLine="480" w:firstLineChars="200"/>
        <w:rPr>
          <w:rFonts w:hint="eastAsia"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符合性审查资料（如果有)；</w:t>
      </w:r>
    </w:p>
    <w:p w14:paraId="0E91EBFD">
      <w:pPr>
        <w:snapToGrid w:val="0"/>
        <w:spacing w:line="360" w:lineRule="auto"/>
        <w:ind w:firstLine="480" w:firstLineChars="200"/>
        <w:rPr>
          <w:rFonts w:hint="eastAsia" w:ascii="宋体" w:hAnsi="宋体" w:cs="宋体"/>
          <w:sz w:val="24"/>
        </w:rPr>
      </w:pPr>
      <w:r>
        <w:rPr>
          <w:rFonts w:hint="eastAsia" w:ascii="宋体" w:hAnsi="宋体" w:cs="宋体"/>
          <w:sz w:val="24"/>
        </w:rPr>
        <w:t>11.2.5评标标准相应的商务技术资料（如果有)；</w:t>
      </w:r>
    </w:p>
    <w:p w14:paraId="0F17011C">
      <w:pPr>
        <w:snapToGrid w:val="0"/>
        <w:spacing w:line="360" w:lineRule="auto"/>
        <w:ind w:firstLine="480" w:firstLineChars="200"/>
        <w:rPr>
          <w:rFonts w:hint="eastAsia"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投标标的清单（如果有)；</w:t>
      </w:r>
    </w:p>
    <w:p w14:paraId="009256FF">
      <w:pPr>
        <w:snapToGrid w:val="0"/>
        <w:spacing w:line="360" w:lineRule="auto"/>
        <w:ind w:firstLine="482" w:firstLineChars="200"/>
        <w:rPr>
          <w:rFonts w:hint="eastAsia" w:ascii="宋体" w:hAnsi="宋体" w:cs="宋体"/>
          <w:sz w:val="24"/>
        </w:rPr>
      </w:pPr>
      <w:r>
        <w:rPr>
          <w:rFonts w:hint="eastAsia" w:ascii="宋体" w:hAnsi="宋体" w:eastAsia="宋体" w:cs="宋体"/>
          <w:b/>
          <w:snapToGrid w:val="0"/>
          <w:color w:val="000000" w:themeColor="text1"/>
          <w:kern w:val="2"/>
          <w:sz w:val="24"/>
          <w:szCs w:val="24"/>
          <w:lang w:val="en-US" w:eastAsia="zh-CN" w:bidi="ar-SA"/>
          <w14:textFill>
            <w14:solidFill>
              <w14:schemeClr w14:val="tx1"/>
            </w14:solidFill>
          </w14:textFill>
        </w:rPr>
        <w:t>▲</w:t>
      </w:r>
      <w:r>
        <w:rPr>
          <w:rFonts w:hint="eastAsia" w:ascii="宋体" w:hAnsi="宋体" w:cs="宋体"/>
          <w:sz w:val="24"/>
        </w:rPr>
        <w:t>11.2.</w:t>
      </w:r>
      <w:r>
        <w:rPr>
          <w:rFonts w:ascii="宋体" w:hAnsi="宋体" w:cs="宋体"/>
          <w:sz w:val="24"/>
        </w:rPr>
        <w:t>7</w:t>
      </w:r>
      <w:r>
        <w:rPr>
          <w:rFonts w:hint="eastAsia" w:ascii="宋体" w:hAnsi="宋体" w:cs="宋体"/>
          <w:sz w:val="24"/>
        </w:rPr>
        <w:t>商务技术偏离表；</w:t>
      </w:r>
    </w:p>
    <w:p w14:paraId="092018DE">
      <w:pPr>
        <w:snapToGrid w:val="0"/>
        <w:spacing w:line="360" w:lineRule="auto"/>
        <w:ind w:firstLine="482" w:firstLineChars="200"/>
        <w:rPr>
          <w:rFonts w:hint="eastAsia" w:ascii="宋体" w:hAnsi="宋体" w:cs="宋体"/>
          <w:sz w:val="24"/>
          <w:lang w:val="zh-CN"/>
        </w:rPr>
      </w:pPr>
      <w:r>
        <w:rPr>
          <w:rFonts w:hint="eastAsia" w:ascii="宋体" w:hAnsi="宋体" w:eastAsia="宋体" w:cs="宋体"/>
          <w:b/>
          <w:snapToGrid w:val="0"/>
          <w:color w:val="000000" w:themeColor="text1"/>
          <w:kern w:val="2"/>
          <w:sz w:val="24"/>
          <w:szCs w:val="24"/>
          <w:lang w:val="en-US" w:eastAsia="zh-CN" w:bidi="ar-SA"/>
          <w14:textFill>
            <w14:solidFill>
              <w14:schemeClr w14:val="tx1"/>
            </w14:solidFill>
          </w14:textFill>
        </w:rPr>
        <w:t>▲</w:t>
      </w: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2F66BC87">
      <w:pPr>
        <w:pStyle w:val="82"/>
        <w:rPr>
          <w:rFonts w:hint="eastAsia"/>
        </w:rPr>
      </w:pPr>
      <w:r>
        <w:rPr>
          <w:rFonts w:hint="eastAsia" w:ascii="宋体" w:hAnsi="宋体" w:eastAsia="宋体" w:cs="宋体"/>
          <w:b/>
          <w:snapToGrid w:val="0"/>
          <w:color w:val="000000" w:themeColor="text1"/>
          <w:kern w:val="2"/>
          <w:sz w:val="24"/>
          <w:szCs w:val="24"/>
          <w:lang w:val="en-US" w:eastAsia="zh-CN" w:bidi="ar-SA"/>
          <w14:textFill>
            <w14:solidFill>
              <w14:schemeClr w14:val="tx1"/>
            </w14:solidFill>
          </w14:textFill>
        </w:rPr>
        <w:t>▲</w:t>
      </w:r>
      <w:r>
        <w:rPr>
          <w:rFonts w:hint="eastAsia"/>
        </w:rPr>
        <w:t>11.2.9承诺函；</w:t>
      </w:r>
    </w:p>
    <w:p w14:paraId="135B5366">
      <w:pPr>
        <w:pStyle w:val="82"/>
        <w:rPr>
          <w:rFonts w:hint="eastAsia" w:cs="Times New Roman"/>
        </w:rPr>
      </w:pPr>
      <w:r>
        <w:rPr>
          <w:rFonts w:hint="eastAsia" w:cs="Times New Roman"/>
        </w:rPr>
        <w:t>11.2.10技术解决方案（如果有)。可以是针对本项目的完整技术解决方案和实施方案；详细阐述项目方案的实现思路及关键技术；符合本项目对当前和未来发展的要求；以及对功能设计和实施计划的建议；</w:t>
      </w:r>
    </w:p>
    <w:p w14:paraId="319B270E">
      <w:pPr>
        <w:pStyle w:val="82"/>
        <w:rPr>
          <w:rFonts w:hint="eastAsia" w:cs="Times New Roman"/>
        </w:rPr>
      </w:pPr>
      <w:r>
        <w:rPr>
          <w:rFonts w:hint="eastAsia" w:ascii="宋体" w:hAnsi="宋体" w:eastAsia="宋体" w:cs="宋体"/>
          <w:b/>
          <w:snapToGrid w:val="0"/>
          <w:color w:val="000000" w:themeColor="text1"/>
          <w:kern w:val="2"/>
          <w:sz w:val="24"/>
          <w:szCs w:val="24"/>
          <w:lang w:val="en-US" w:eastAsia="zh-CN" w:bidi="ar-SA"/>
          <w14:textFill>
            <w14:solidFill>
              <w14:schemeClr w14:val="tx1"/>
            </w14:solidFill>
          </w14:textFill>
        </w:rPr>
        <w:t>▲</w:t>
      </w:r>
      <w:r>
        <w:rPr>
          <w:rFonts w:hint="eastAsia" w:cs="Times New Roman"/>
        </w:rPr>
        <w:t>11.2.11组织实施方案。可以是本项目详细工作实施组织方案，包括(但不限于)以下内容：组织机构、工作时间进度表、工作程序和步骤、管理和协调方法、关键步骤的思路和要点；</w:t>
      </w:r>
    </w:p>
    <w:p w14:paraId="28360400">
      <w:pPr>
        <w:pStyle w:val="82"/>
        <w:rPr>
          <w:rFonts w:hint="eastAsia" w:cs="Times New Roman"/>
        </w:rPr>
      </w:pPr>
      <w:r>
        <w:rPr>
          <w:rFonts w:hint="eastAsia" w:cs="Times New Roman"/>
        </w:rPr>
        <w:t>11.2.12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3B444B84">
      <w:pPr>
        <w:snapToGrid w:val="0"/>
        <w:spacing w:line="360" w:lineRule="auto"/>
        <w:ind w:firstLine="482" w:firstLineChars="200"/>
        <w:rPr>
          <w:rFonts w:hint="eastAsia" w:ascii="宋体" w:hAnsi="宋体" w:cs="宋体"/>
          <w:b/>
          <w:sz w:val="24"/>
          <w:u w:val="single"/>
          <w:lang w:val="zh-CN"/>
        </w:rPr>
      </w:pPr>
      <w:r>
        <w:rPr>
          <w:rFonts w:hint="eastAsia" w:ascii="宋体" w:hAnsi="宋体" w:cs="宋体"/>
          <w:b/>
          <w:kern w:val="0"/>
          <w:sz w:val="24"/>
          <w:lang w:val="zh-CN"/>
        </w:rPr>
        <w:t>11.</w:t>
      </w:r>
      <w:r>
        <w:rPr>
          <w:rFonts w:hint="eastAsia" w:ascii="宋体" w:hAnsi="宋体" w:cs="宋体"/>
          <w:b/>
          <w:kern w:val="0"/>
          <w:sz w:val="24"/>
        </w:rPr>
        <w:t>3</w:t>
      </w:r>
      <w:r>
        <w:rPr>
          <w:rFonts w:hint="eastAsia" w:ascii="宋体" w:hAnsi="宋体" w:cs="宋体"/>
          <w:b/>
          <w:sz w:val="24"/>
        </w:rPr>
        <w:t xml:space="preserve">报价文件： </w:t>
      </w:r>
    </w:p>
    <w:p w14:paraId="4611E6C9">
      <w:pPr>
        <w:snapToGrid w:val="0"/>
        <w:spacing w:line="360" w:lineRule="auto"/>
        <w:ind w:firstLine="482" w:firstLineChars="200"/>
        <w:rPr>
          <w:rFonts w:hint="eastAsia" w:ascii="宋体" w:hAnsi="宋体" w:cs="宋体"/>
          <w:sz w:val="24"/>
        </w:rPr>
      </w:pPr>
      <w:r>
        <w:rPr>
          <w:rFonts w:hint="eastAsia" w:ascii="宋体" w:hAnsi="宋体" w:eastAsia="宋体" w:cs="宋体"/>
          <w:b/>
          <w:snapToGrid w:val="0"/>
          <w:color w:val="000000" w:themeColor="text1"/>
          <w:kern w:val="2"/>
          <w:sz w:val="24"/>
          <w:szCs w:val="24"/>
          <w:lang w:val="en-US" w:eastAsia="zh-CN" w:bidi="ar-SA"/>
          <w14:textFill>
            <w14:solidFill>
              <w14:schemeClr w14:val="tx1"/>
            </w14:solidFill>
          </w14:textFill>
        </w:rPr>
        <w:t>▲</w:t>
      </w:r>
      <w:r>
        <w:rPr>
          <w:rFonts w:hint="eastAsia" w:ascii="宋体" w:hAnsi="宋体" w:cs="宋体"/>
          <w:sz w:val="24"/>
        </w:rPr>
        <w:t>11.3.1开标一览表（报价表）；</w:t>
      </w:r>
    </w:p>
    <w:p w14:paraId="37CF9313">
      <w:pPr>
        <w:snapToGrid w:val="0"/>
        <w:spacing w:line="360" w:lineRule="auto"/>
        <w:ind w:firstLine="720" w:firstLineChars="300"/>
        <w:rPr>
          <w:rFonts w:hint="eastAsia" w:ascii="宋体" w:hAnsi="宋体" w:cs="宋体"/>
          <w:sz w:val="24"/>
          <w:lang w:eastAsia="zh-CN"/>
        </w:rPr>
      </w:pPr>
      <w:r>
        <w:rPr>
          <w:rFonts w:hint="eastAsia" w:ascii="宋体" w:hAnsi="宋体" w:cs="宋体"/>
          <w:sz w:val="24"/>
        </w:rPr>
        <w:t>11.3.2中小企业声明函。</w:t>
      </w:r>
      <w:r>
        <w:rPr>
          <w:rFonts w:hint="eastAsia" w:ascii="宋体" w:hAnsi="宋体" w:cs="宋体"/>
          <w:sz w:val="24"/>
          <w:lang w:eastAsia="zh-CN"/>
        </w:rPr>
        <w:t>（如有）</w:t>
      </w:r>
    </w:p>
    <w:p w14:paraId="5935FE78">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投标文件含有采购人不能接受的附加条件的，投标无效；</w:t>
      </w:r>
    </w:p>
    <w:p w14:paraId="232E60E2">
      <w:pPr>
        <w:spacing w:line="360" w:lineRule="auto"/>
        <w:ind w:firstLine="482" w:firstLineChars="200"/>
        <w:rPr>
          <w:rFonts w:ascii="宋体" w:hAnsi="宋体" w:cs="宋体"/>
          <w:b/>
          <w:color w:val="000000" w:themeColor="text1"/>
          <w:sz w:val="24"/>
          <w:szCs w:val="21"/>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投标人提供虚假材料投标的，投标无效。</w:t>
      </w:r>
    </w:p>
    <w:p w14:paraId="7045887C">
      <w:pPr>
        <w:pStyle w:val="128"/>
        <w:snapToGrid w:val="0"/>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12</w:t>
      </w:r>
      <w:r>
        <w:rPr>
          <w:rFonts w:hint="eastAsia" w:ascii="宋体" w:hAnsi="宋体" w:cs="宋体"/>
          <w:b/>
          <w:color w:val="000000" w:themeColor="text1"/>
          <w:kern w:val="0"/>
          <w:szCs w:val="24"/>
          <w:lang w:val="zh-CN"/>
          <w14:textFill>
            <w14:solidFill>
              <w14:schemeClr w14:val="tx1"/>
            </w14:solidFill>
          </w14:textFill>
        </w:rPr>
        <w:t xml:space="preserve">. </w:t>
      </w:r>
      <w:r>
        <w:rPr>
          <w:rFonts w:hint="eastAsia" w:ascii="宋体" w:hAnsi="宋体" w:cs="宋体"/>
          <w:b/>
          <w:color w:val="000000" w:themeColor="text1"/>
          <w:szCs w:val="24"/>
          <w14:textFill>
            <w14:solidFill>
              <w14:schemeClr w14:val="tx1"/>
            </w14:solidFill>
          </w14:textFill>
        </w:rPr>
        <w:t>投标文件的编制</w:t>
      </w:r>
    </w:p>
    <w:p w14:paraId="6753282C">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66703A17">
      <w:pPr>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10871E26">
      <w:pPr>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12.3使用“广西政府采购云平台电子交易客户端”需要提前申领CA数字证书，申领流程请自行前往“</w:t>
      </w:r>
      <w:r>
        <w:rPr>
          <w:rFonts w:hint="eastAsia" w:ascii="宋体" w:hAnsi="宋体" w:cs="宋体"/>
          <w:color w:val="000000" w:themeColor="text1"/>
          <w:sz w:val="24"/>
          <w14:textFill>
            <w14:solidFill>
              <w14:schemeClr w14:val="tx1"/>
            </w14:solidFill>
          </w14:textFill>
        </w:rPr>
        <w:t>广西政府采购网（http://zfcg.gxzf.gov.cn/）—办事服务—下载专区</w:t>
      </w:r>
      <w:r>
        <w:rPr>
          <w:rFonts w:hint="eastAsia" w:ascii="宋体" w:hAnsi="宋体" w:cs="宋体"/>
          <w:color w:val="000000" w:themeColor="text1"/>
          <w:kern w:val="0"/>
          <w:sz w:val="24"/>
          <w:lang w:val="zh-CN"/>
          <w14:textFill>
            <w14:solidFill>
              <w14:schemeClr w14:val="tx1"/>
            </w14:solidFill>
          </w14:textFill>
        </w:rPr>
        <w:t>”进行查阅。</w:t>
      </w:r>
    </w:p>
    <w:p w14:paraId="3E65BA9F">
      <w:pPr>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13.投标文件的签署、盖章</w:t>
      </w:r>
    </w:p>
    <w:p w14:paraId="413ACA02">
      <w:pPr>
        <w:pStyle w:val="128"/>
        <w:snapToGrid w:val="0"/>
        <w:spacing w:before="0"/>
        <w:ind w:firstLine="480"/>
        <w:rPr>
          <w:rFonts w:ascii="宋体" w:hAnsi="宋体" w:cs="宋体"/>
          <w:b/>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13.1投标文件按照招标文件第六部分格式要</w:t>
      </w:r>
      <w:r>
        <w:rPr>
          <w:rFonts w:hint="eastAsia" w:ascii="宋体" w:hAnsi="宋体" w:cs="宋体"/>
          <w:color w:val="000000" w:themeColor="text1"/>
          <w14:textFill>
            <w14:solidFill>
              <w14:schemeClr w14:val="tx1"/>
            </w14:solidFill>
          </w14:textFill>
        </w:rPr>
        <w:t>求进行签署、盖章。</w:t>
      </w:r>
      <w:r>
        <w:rPr>
          <w:rFonts w:hint="eastAsia" w:ascii="宋体" w:hAnsi="宋体" w:cs="宋体"/>
          <w:b/>
          <w:color w:val="000000" w:themeColor="text1"/>
          <w14:textFill>
            <w14:solidFill>
              <w14:schemeClr w14:val="tx1"/>
            </w14:solidFill>
          </w14:textFill>
        </w:rPr>
        <w:t>▲投标人的投标文件未按照招标文件要求签署、盖章的，其投标无效</w:t>
      </w:r>
      <w:r>
        <w:rPr>
          <w:rFonts w:hint="eastAsia" w:ascii="宋体" w:hAnsi="宋体" w:cs="宋体"/>
          <w:color w:val="000000" w:themeColor="text1"/>
          <w:szCs w:val="24"/>
          <w14:textFill>
            <w14:solidFill>
              <w14:schemeClr w14:val="tx1"/>
            </w14:solidFill>
          </w14:textFill>
        </w:rPr>
        <w:t>。</w:t>
      </w:r>
    </w:p>
    <w:p w14:paraId="015E1B6F">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13.2为确保网上操作合法、有效和安全，投标人应当在投标截止时间前完成在“广西政府采购云平台”的身份认证，确保在电子投标过程中能够对相关数据电文进行加密和使用电子签名。</w:t>
      </w:r>
    </w:p>
    <w:p w14:paraId="3579F20F">
      <w:pPr>
        <w:pStyle w:val="128"/>
        <w:snapToGrid w:val="0"/>
        <w:spacing w:before="0"/>
        <w:ind w:firstLine="48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14:textFill>
            <w14:solidFill>
              <w14:schemeClr w14:val="tx1"/>
            </w14:solidFill>
          </w14:textFill>
        </w:rPr>
        <w:t>13.3招标文件对投标文件签署、盖章的要求适用于电子签名、CA签章以及招标文件明确允许的其他方式。</w:t>
      </w:r>
    </w:p>
    <w:p w14:paraId="27D07EA7">
      <w:pPr>
        <w:pStyle w:val="128"/>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14. 投标文件的提交、补充、修改、撤回</w:t>
      </w:r>
    </w:p>
    <w:p w14:paraId="44565A80">
      <w:pPr>
        <w:pStyle w:val="128"/>
        <w:spacing w:before="0"/>
        <w:ind w:firstLine="48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B176496">
      <w:pPr>
        <w:pStyle w:val="128"/>
        <w:spacing w:before="0"/>
        <w:ind w:firstLine="48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14.2电子交易平台收到投标文件，将妥善保存并即时向供应商发出确认回执通知。在投标截止时间前，除供应商补充、修改或者撤回投标文件外，任何单位和个人不得解密或提取投标文件。</w:t>
      </w:r>
    </w:p>
    <w:p w14:paraId="74FD678C">
      <w:pPr>
        <w:pStyle w:val="128"/>
        <w:spacing w:before="0"/>
        <w:ind w:firstLine="48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14.3采购人、采购代理机构可以视情况延长投标文件提交的截止时间。在上述情况下，采购代理机构与投标人以前在投标截止期方面的全部权利、责任和义务，将适用于延长至新的投标截止期。</w:t>
      </w:r>
    </w:p>
    <w:p w14:paraId="2B96EC13">
      <w:pPr>
        <w:pStyle w:val="32"/>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15.备份投标文件（不接受）</w:t>
      </w:r>
    </w:p>
    <w:p w14:paraId="530D5D1C">
      <w:pPr>
        <w:pStyle w:val="128"/>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16.投标文件的无效处理</w:t>
      </w:r>
    </w:p>
    <w:p w14:paraId="3C5DCCFD">
      <w:pPr>
        <w:pStyle w:val="24"/>
        <w:spacing w:line="360" w:lineRule="auto"/>
        <w:ind w:firstLine="360" w:firstLineChars="15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有招标文件第四部分</w:t>
      </w:r>
      <w:r>
        <w:rPr>
          <w:rFonts w:cs="宋体"/>
          <w:color w:val="000000" w:themeColor="text1"/>
          <w:szCs w:val="21"/>
          <w14:textFill>
            <w14:solidFill>
              <w14:schemeClr w14:val="tx1"/>
            </w14:solidFill>
          </w14:textFill>
        </w:rPr>
        <w:t>4.2规定</w:t>
      </w:r>
      <w:r>
        <w:rPr>
          <w:rFonts w:hint="eastAsia" w:cs="宋体"/>
          <w:color w:val="000000" w:themeColor="text1"/>
          <w:szCs w:val="21"/>
          <w14:textFill>
            <w14:solidFill>
              <w14:schemeClr w14:val="tx1"/>
            </w14:solidFill>
          </w14:textFill>
        </w:rPr>
        <w:t>的情形之一的，投标无效：</w:t>
      </w:r>
    </w:p>
    <w:p w14:paraId="7A0B492D">
      <w:pPr>
        <w:pStyle w:val="128"/>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17.投标有效期</w:t>
      </w:r>
    </w:p>
    <w:p w14:paraId="609CFFB9">
      <w:pPr>
        <w:spacing w:line="360" w:lineRule="auto"/>
        <w:ind w:firstLine="480" w:firstLineChars="200"/>
        <w:rPr>
          <w:rFonts w:ascii="宋体" w:hAnsi="宋体" w:cs="宋体"/>
          <w:b/>
          <w:color w:val="000000" w:themeColor="text1"/>
          <w:sz w:val="24"/>
          <w:szCs w:val="21"/>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17.1投标有效期为从提交投标文件的截止之日起60天。▲</w:t>
      </w:r>
      <w:r>
        <w:rPr>
          <w:rFonts w:hint="eastAsia" w:ascii="宋体" w:hAnsi="宋体" w:cs="宋体"/>
          <w:b/>
          <w:color w:val="000000" w:themeColor="text1"/>
          <w:sz w:val="24"/>
          <w:szCs w:val="20"/>
          <w14:textFill>
            <w14:solidFill>
              <w14:schemeClr w14:val="tx1"/>
            </w14:solidFill>
          </w14:textFill>
        </w:rPr>
        <w:t>投标人的投标文件中承</w:t>
      </w:r>
      <w:r>
        <w:rPr>
          <w:rFonts w:hint="eastAsia" w:ascii="宋体" w:hAnsi="宋体" w:cs="宋体"/>
          <w:b/>
          <w:color w:val="000000" w:themeColor="text1"/>
          <w:sz w:val="24"/>
          <w:szCs w:val="21"/>
          <w14:textFill>
            <w14:solidFill>
              <w14:schemeClr w14:val="tx1"/>
            </w14:solidFill>
          </w14:textFill>
        </w:rPr>
        <w:t>诺的投标有效期少于招标文件中载明的投标有效期的，投标无效。</w:t>
      </w:r>
    </w:p>
    <w:p w14:paraId="12B07243">
      <w:pPr>
        <w:pStyle w:val="128"/>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17.2投标文件合格投递后，自投标截止日期起，在投标有效期内有效。</w:t>
      </w:r>
    </w:p>
    <w:p w14:paraId="03ECA1F4">
      <w:pPr>
        <w:pStyle w:val="128"/>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17.3在原定投标有效期满之前，如果出现特殊情况，采购代理机构可以以书面形式通知投标人延长投标有效期。投标人同意延长的，不得要求或被允许修改其投标文件，投标人拒绝延长的，其投标无效。</w:t>
      </w:r>
    </w:p>
    <w:p w14:paraId="33E615C7">
      <w:pPr>
        <w:pStyle w:val="128"/>
        <w:spacing w:before="0"/>
        <w:ind w:firstLine="643"/>
        <w:rPr>
          <w:rFonts w:ascii="宋体" w:hAnsi="宋体" w:cs="宋体"/>
          <w:b/>
          <w:color w:val="000000" w:themeColor="text1"/>
          <w:sz w:val="32"/>
          <w14:textFill>
            <w14:solidFill>
              <w14:schemeClr w14:val="tx1"/>
            </w14:solidFill>
          </w14:textFill>
        </w:rPr>
      </w:pPr>
    </w:p>
    <w:p w14:paraId="7C215F92">
      <w:pPr>
        <w:pStyle w:val="128"/>
        <w:spacing w:before="0"/>
        <w:ind w:left="0" w:leftChars="0" w:firstLine="0" w:firstLineChars="0"/>
        <w:rPr>
          <w:rFonts w:ascii="宋体" w:hAnsi="宋体" w:cs="宋体"/>
          <w:b/>
          <w:color w:val="000000" w:themeColor="text1"/>
          <w:sz w:val="32"/>
          <w14:textFill>
            <w14:solidFill>
              <w14:schemeClr w14:val="tx1"/>
            </w14:solidFill>
          </w14:textFill>
        </w:rPr>
      </w:pPr>
    </w:p>
    <w:p w14:paraId="5E831A20">
      <w:pPr>
        <w:pStyle w:val="128"/>
        <w:spacing w:before="0"/>
        <w:ind w:firstLine="1928" w:firstLineChars="600"/>
        <w:outlineLvl w:val="1"/>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四、开标、资格审查与信用信息查询</w:t>
      </w:r>
    </w:p>
    <w:p w14:paraId="37825128">
      <w:pPr>
        <w:pStyle w:val="554"/>
        <w:spacing w:before="0" w:line="360" w:lineRule="auto"/>
        <w:ind w:left="0" w:firstLine="241" w:firstLineChars="100"/>
        <w:contextualSpacing/>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18.开标</w:t>
      </w:r>
      <w:r>
        <w:rPr>
          <w:rFonts w:hint="eastAsia" w:ascii="宋体" w:hAnsi="宋体" w:cs="宋体"/>
          <w:color w:val="000000" w:themeColor="text1"/>
          <w:sz w:val="24"/>
          <w14:textFill>
            <w14:solidFill>
              <w14:schemeClr w14:val="tx1"/>
            </w14:solidFill>
          </w14:textFill>
        </w:rPr>
        <w:t xml:space="preserve"> </w:t>
      </w:r>
    </w:p>
    <w:p w14:paraId="229FCDBB">
      <w:pPr>
        <w:pStyle w:val="554"/>
        <w:spacing w:before="0" w:line="360" w:lineRule="auto"/>
        <w:ind w:left="0"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18.1采购代理机构按照招标文件规定的时间通过电子交易平台组织开标，所有投标人均应当准时在线参加。投标人不足3家的，不得开标。</w:t>
      </w:r>
    </w:p>
    <w:p w14:paraId="7B19B9E3">
      <w:pPr>
        <w:pStyle w:val="554"/>
        <w:spacing w:before="0" w:line="360" w:lineRule="auto"/>
        <w:ind w:left="0" w:firstLine="240" w:firstLineChars="1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18.2开标时，电子交易平台按开标时间自动提取所有投标文件。采购代理机构依托电子交易平台发起开始解密指令，投标人按照平台提示和招标文件的规定在半小时内完成在线解密。</w:t>
      </w:r>
    </w:p>
    <w:p w14:paraId="0F203048">
      <w:pPr>
        <w:widowControl/>
        <w:spacing w:line="360" w:lineRule="auto"/>
        <w:jc w:val="left"/>
        <w:rPr>
          <w:rFonts w:ascii="宋体" w:hAnsi="宋体" w:cs="宋体"/>
          <w:b/>
          <w:color w:val="000000" w:themeColor="text1"/>
          <w:sz w:val="24"/>
          <w:szCs w:val="20"/>
          <w14:textFill>
            <w14:solidFill>
              <w14:schemeClr w14:val="tx1"/>
            </w14:solidFill>
          </w14:textFill>
        </w:rPr>
      </w:pPr>
      <w:r>
        <w:rPr>
          <w:rFonts w:hint="eastAsia" w:ascii="宋体" w:hAnsi="宋体" w:cs="宋体"/>
          <w:b/>
          <w:color w:val="000000" w:themeColor="text1"/>
          <w:sz w:val="24"/>
          <w:szCs w:val="20"/>
          <w14:textFill>
            <w14:solidFill>
              <w14:schemeClr w14:val="tx1"/>
            </w14:solidFill>
          </w14:textFill>
        </w:rPr>
        <w:t>　19、资格审查</w:t>
      </w:r>
    </w:p>
    <w:p w14:paraId="6A4923C8">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19.1</w:t>
      </w:r>
      <w:r>
        <w:rPr>
          <w:rFonts w:hint="eastAsia" w:ascii="宋体" w:hAnsi="宋体" w:cs="宋体"/>
          <w:color w:val="000000" w:themeColor="text1"/>
          <w:sz w:val="24"/>
          <w14:textFill>
            <w14:solidFill>
              <w14:schemeClr w14:val="tx1"/>
            </w14:solidFill>
          </w14:textFill>
        </w:rPr>
        <w:t>采购人或采购代理机构依据法律法规和招标文件的规定，对投标人的资格进行审查。</w:t>
      </w:r>
    </w:p>
    <w:p w14:paraId="7DF6C607">
      <w:pPr>
        <w:pStyle w:val="128"/>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19.2投标人未按照招标文件要求提供与</w:t>
      </w:r>
      <w:r>
        <w:rPr>
          <w:rFonts w:hint="eastAsia" w:ascii="宋体" w:hAnsi="宋体" w:cs="宋体"/>
          <w:color w:val="000000" w:themeColor="text1"/>
          <w14:textFill>
            <w14:solidFill>
              <w14:schemeClr w14:val="tx1"/>
            </w14:solidFill>
          </w14:textFill>
        </w:rPr>
        <w:t>资格条件相应的</w:t>
      </w:r>
      <w:r>
        <w:rPr>
          <w:rFonts w:hint="eastAsia" w:ascii="宋体" w:hAnsi="宋体" w:cs="宋体"/>
          <w:color w:val="000000" w:themeColor="text1"/>
          <w:kern w:val="0"/>
          <w:szCs w:val="24"/>
          <w14:textFill>
            <w14:solidFill>
              <w14:schemeClr w14:val="tx1"/>
            </w14:solidFill>
          </w14:textFill>
        </w:rPr>
        <w:t>有效资格证明材料的，视为</w:t>
      </w:r>
      <w:r>
        <w:rPr>
          <w:rFonts w:hint="eastAsia" w:ascii="宋体" w:hAnsi="宋体" w:cs="宋体"/>
          <w:color w:val="000000" w:themeColor="text1"/>
          <w14:textFill>
            <w14:solidFill>
              <w14:schemeClr w14:val="tx1"/>
            </w14:solidFill>
          </w14:textFill>
        </w:rPr>
        <w:t>投标人不具备招标文件中规定的资格要求，其投标无效。</w:t>
      </w:r>
    </w:p>
    <w:p w14:paraId="23BA5B78">
      <w:pPr>
        <w:pStyle w:val="128"/>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19.</w:t>
      </w:r>
      <w:r>
        <w:rPr>
          <w:rFonts w:hint="eastAsia" w:ascii="宋体" w:hAnsi="宋体" w:cs="宋体"/>
          <w:color w:val="000000" w:themeColor="text1"/>
          <w14:textFill>
            <w14:solidFill>
              <w14:schemeClr w14:val="tx1"/>
            </w14:solidFill>
          </w14:textFill>
        </w:rPr>
        <w:t>3对未通过资格审查的投标人，采购人或采购代理机构告知其未通过的原因。</w:t>
      </w:r>
    </w:p>
    <w:p w14:paraId="43E01441">
      <w:pPr>
        <w:pStyle w:val="128"/>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19.</w:t>
      </w:r>
      <w:r>
        <w:rPr>
          <w:rFonts w:hint="eastAsia" w:ascii="宋体" w:hAnsi="宋体" w:cs="宋体"/>
          <w:color w:val="000000" w:themeColor="text1"/>
          <w14:textFill>
            <w14:solidFill>
              <w14:schemeClr w14:val="tx1"/>
            </w14:solidFill>
          </w14:textFill>
        </w:rPr>
        <w:t>4合格投标人不足3家的，不再评标。</w:t>
      </w:r>
    </w:p>
    <w:p w14:paraId="4392DB67">
      <w:pPr>
        <w:pStyle w:val="128"/>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20、信用信息查询</w:t>
      </w:r>
    </w:p>
    <w:p w14:paraId="3AC61437">
      <w:pPr>
        <w:pStyle w:val="128"/>
        <w:spacing w:before="0"/>
        <w:ind w:firstLine="495" w:firstLineChars="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20.1信用信息查询渠道及截止时间：采购人或采购代理机构将在资格审查时通过“信用中国”网站(www.creditchina.gov.cn)、中国政府采购网(www.ccgp.gov.cn)渠道查询投标人接受资格时的信用记录。</w:t>
      </w:r>
    </w:p>
    <w:p w14:paraId="7958A137">
      <w:pPr>
        <w:pStyle w:val="128"/>
        <w:spacing w:before="0"/>
        <w:ind w:firstLine="495" w:firstLineChars="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20.2信用信息查询记录和证据留存的具体方式：现场查询的投标人的信用记录、查询结果经确认后将与采购文件一起存档。</w:t>
      </w:r>
    </w:p>
    <w:p w14:paraId="33523FCB">
      <w:pPr>
        <w:pStyle w:val="128"/>
        <w:spacing w:before="0"/>
        <w:ind w:firstLine="495" w:firstLineChars="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20.3信用信息的使用规则：经查询列入失信被执行人名单、重大税收违法案件当事人名单、政府采购严重违法失信行为记录名单的投标人将被拒绝参与政府采购活动。</w:t>
      </w:r>
    </w:p>
    <w:p w14:paraId="711833A3">
      <w:pPr>
        <w:pStyle w:val="128"/>
        <w:spacing w:before="0"/>
        <w:ind w:firstLine="0" w:firstLineChars="0"/>
        <w:rPr>
          <w:rFonts w:ascii="宋体" w:hAnsi="宋体" w:cs="宋体"/>
          <w:color w:val="000000" w:themeColor="text1"/>
          <w:kern w:val="0"/>
          <w:szCs w:val="24"/>
          <w14:textFill>
            <w14:solidFill>
              <w14:schemeClr w14:val="tx1"/>
            </w14:solidFill>
          </w14:textFill>
        </w:rPr>
      </w:pPr>
    </w:p>
    <w:p w14:paraId="58C20178">
      <w:pPr>
        <w:snapToGrid w:val="0"/>
        <w:spacing w:line="360" w:lineRule="auto"/>
        <w:jc w:val="center"/>
        <w:outlineLvl w:val="1"/>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五、评标</w:t>
      </w:r>
    </w:p>
    <w:p w14:paraId="547ED94E">
      <w:pPr>
        <w:spacing w:line="360" w:lineRule="auto"/>
        <w:rPr>
          <w:rFonts w:ascii="宋体" w:hAnsi="宋体" w:cs="宋体"/>
          <w:b/>
          <w:color w:val="000000" w:themeColor="text1"/>
          <w:sz w:val="24"/>
          <w14:textFill>
            <w14:solidFill>
              <w14:schemeClr w14:val="tx1"/>
            </w14:solidFill>
          </w14:textFill>
        </w:rPr>
      </w:pPr>
      <w:bookmarkStart w:id="22" w:name="_Toc91899903"/>
      <w:r>
        <w:rPr>
          <w:rFonts w:hint="eastAsia" w:ascii="宋体" w:hAnsi="宋体" w:cs="宋体"/>
          <w:b/>
          <w:color w:val="000000" w:themeColor="text1"/>
          <w:sz w:val="24"/>
          <w14:textFill>
            <w14:solidFill>
              <w14:schemeClr w14:val="tx1"/>
            </w14:solidFill>
          </w14:textFill>
        </w:rPr>
        <w:t>21.评标</w:t>
      </w:r>
    </w:p>
    <w:p w14:paraId="6A979DE5">
      <w:pPr>
        <w:pStyle w:val="82"/>
        <w:rPr>
          <w:color w:val="000000" w:themeColor="text1"/>
          <w14:textFill>
            <w14:solidFill>
              <w14:schemeClr w14:val="tx1"/>
            </w14:solidFill>
          </w14:textFill>
        </w:rPr>
      </w:pPr>
      <w:r>
        <w:rPr>
          <w:rFonts w:hint="eastAsia"/>
          <w:color w:val="000000" w:themeColor="text1"/>
          <w14:textFill>
            <w14:solidFill>
              <w14:schemeClr w14:val="tx1"/>
            </w14:solidFill>
          </w14:textFill>
        </w:rPr>
        <w:t>21.1本招标采购项目的评标委员会由采购人代表和评审专家组成，成员人数应当为5人以上单数，其中评审专家不得少于成员总数的三分之二。</w:t>
      </w:r>
    </w:p>
    <w:p w14:paraId="699E8575">
      <w:pPr>
        <w:spacing w:line="360" w:lineRule="auto"/>
        <w:ind w:firstLine="482" w:firstLineChars="200"/>
        <w:rPr>
          <w:rFonts w:hint="eastAsia" w:cs="宋体" w:asciiTheme="minorEastAsia" w:hAnsiTheme="minorEastAsia" w:eastAsiaTheme="minorEastAsia"/>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21.2</w:t>
      </w:r>
      <w:r>
        <w:rPr>
          <w:rFonts w:hint="eastAsia" w:cs="宋体" w:asciiTheme="minorEastAsia" w:hAnsiTheme="minorEastAsia" w:eastAsiaTheme="minorEastAsia"/>
          <w:color w:val="000000" w:themeColor="text1"/>
          <w:sz w:val="24"/>
          <w14:textFill>
            <w14:solidFill>
              <w14:schemeClr w14:val="tx1"/>
            </w14:solidFill>
          </w14:textFill>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color w:val="000000" w:themeColor="text1"/>
          <w:sz w:val="24"/>
          <w14:textFill>
            <w14:solidFill>
              <w14:schemeClr w14:val="tx1"/>
            </w14:solidFill>
          </w14:textFill>
        </w:rPr>
        <w:t>详见招标文件第四部分评标办法。</w:t>
      </w:r>
    </w:p>
    <w:p w14:paraId="6413318F">
      <w:pPr>
        <w:pStyle w:val="2"/>
        <w:rPr>
          <w:rFonts w:hint="default" w:eastAsiaTheme="minorEastAsia"/>
          <w:lang w:val="en-US" w:eastAsia="zh-CN"/>
        </w:rPr>
      </w:pPr>
    </w:p>
    <w:p w14:paraId="407715F0">
      <w:pPr>
        <w:spacing w:line="360" w:lineRule="auto"/>
        <w:rPr>
          <w:rFonts w:ascii="宋体" w:hAnsi="宋体" w:cs="宋体"/>
          <w:b/>
          <w:color w:val="000000" w:themeColor="text1"/>
          <w:sz w:val="24"/>
          <w14:textFill>
            <w14:solidFill>
              <w14:schemeClr w14:val="tx1"/>
            </w14:solidFill>
          </w14:textFill>
        </w:rPr>
      </w:pPr>
    </w:p>
    <w:p w14:paraId="4680D3CC">
      <w:pPr>
        <w:snapToGrid w:val="0"/>
        <w:spacing w:line="360" w:lineRule="auto"/>
        <w:jc w:val="center"/>
        <w:outlineLvl w:val="1"/>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六、定 标</w:t>
      </w:r>
    </w:p>
    <w:p w14:paraId="3668FD22">
      <w:pPr>
        <w:pStyle w:val="24"/>
        <w:spacing w:line="360" w:lineRule="auto"/>
        <w:ind w:left="479" w:hanging="479" w:hangingChars="199"/>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22. 确定中标供应商</w:t>
      </w:r>
    </w:p>
    <w:p w14:paraId="2192D7D8">
      <w:pPr>
        <w:pStyle w:val="128"/>
        <w:snapToGrid w:val="0"/>
        <w:spacing w:before="0"/>
        <w:ind w:firstLine="480"/>
        <w:rPr>
          <w:rFonts w:ascii="宋体" w:hAnsi="宋体" w:cs="宋体"/>
          <w:b/>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供应商。中标通知书和中标结果公告应当在规定时间内同时发出。</w:t>
      </w:r>
    </w:p>
    <w:p w14:paraId="584B791F">
      <w:pPr>
        <w:pStyle w:val="128"/>
        <w:snapToGrid w:val="0"/>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23. 中标通知与中标结果公告</w:t>
      </w:r>
    </w:p>
    <w:p w14:paraId="1EB2A276">
      <w:pPr>
        <w:widowControl/>
        <w:shd w:val="clear" w:color="auto" w:fill="FFFFFF"/>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23.1自中标人确定之日起2个工作日内，采购代理机构通过电子交易平台向中标人发出中标通知书，同时编制发布采购结果公告。采购代理机构也可以以纸质形式进行中标通知。</w:t>
      </w:r>
    </w:p>
    <w:p w14:paraId="463A2517">
      <w:pPr>
        <w:widowControl/>
        <w:shd w:val="clear" w:color="auto" w:fill="FFFFFF"/>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14:paraId="1386C628">
      <w:pPr>
        <w:widowControl/>
        <w:shd w:val="clear" w:color="auto" w:fill="FFFFFF"/>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23.3公告期限为1个工作日。</w:t>
      </w:r>
    </w:p>
    <w:p w14:paraId="2A5147C5">
      <w:pPr>
        <w:snapToGrid w:val="0"/>
        <w:spacing w:line="360" w:lineRule="auto"/>
        <w:ind w:left="120" w:leftChars="57" w:firstLine="482" w:firstLineChars="150"/>
        <w:jc w:val="center"/>
        <w:rPr>
          <w:rFonts w:ascii="宋体" w:hAnsi="宋体" w:cs="宋体"/>
          <w:b/>
          <w:color w:val="000000" w:themeColor="text1"/>
          <w:sz w:val="32"/>
          <w14:textFill>
            <w14:solidFill>
              <w14:schemeClr w14:val="tx1"/>
            </w14:solidFill>
          </w14:textFill>
        </w:rPr>
      </w:pPr>
    </w:p>
    <w:p w14:paraId="66B9B7F8">
      <w:pPr>
        <w:snapToGrid w:val="0"/>
        <w:spacing w:line="360" w:lineRule="auto"/>
        <w:ind w:left="120" w:leftChars="57" w:firstLine="482" w:firstLineChars="150"/>
        <w:jc w:val="center"/>
        <w:outlineLvl w:val="1"/>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七、合同授予</w:t>
      </w:r>
    </w:p>
    <w:p w14:paraId="0FF9431F">
      <w:pPr>
        <w:pStyle w:val="24"/>
        <w:spacing w:line="360" w:lineRule="auto"/>
        <w:ind w:left="479" w:hanging="479" w:hangingChars="199"/>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 xml:space="preserve">24. </w:t>
      </w:r>
      <w:r>
        <w:rPr>
          <w:rFonts w:hint="eastAsia" w:cs="宋体"/>
          <w:color w:val="000000" w:themeColor="text1"/>
          <w14:textFill>
            <w14:solidFill>
              <w14:schemeClr w14:val="tx1"/>
            </w14:solidFill>
          </w14:textFill>
        </w:rPr>
        <w:t>合同主要条款详见第五部分拟签订的合同文本。</w:t>
      </w:r>
    </w:p>
    <w:p w14:paraId="411FF54F">
      <w:pPr>
        <w:pStyle w:val="24"/>
        <w:spacing w:line="360" w:lineRule="auto"/>
        <w:ind w:left="479" w:hanging="479" w:hangingChars="199"/>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25. 合同的签订</w:t>
      </w:r>
    </w:p>
    <w:p w14:paraId="1B37944F">
      <w:pPr>
        <w:widowControl/>
        <w:shd w:val="clear" w:color="auto" w:fill="FFFFFF"/>
        <w:spacing w:line="360" w:lineRule="auto"/>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25.1</w:t>
      </w:r>
      <w:r>
        <w:rPr>
          <w:rFonts w:hint="eastAsia" w:ascii="宋体" w:hAnsi="宋体" w:cs="宋体"/>
          <w:color w:val="000000" w:themeColor="text1"/>
          <w:kern w:val="0"/>
          <w:sz w:val="24"/>
          <w14:textFill>
            <w14:solidFill>
              <w14:schemeClr w14:val="tx1"/>
            </w14:solidFill>
          </w14:textFill>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2E7B8381">
      <w:pPr>
        <w:pStyle w:val="128"/>
        <w:snapToGrid w:val="0"/>
        <w:spacing w:before="0"/>
        <w:ind w:firstLine="480"/>
        <w:rPr>
          <w:rFonts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25.2中标人按规定的日期、时间、地点，由法定代表人或其授权代表与采购人代表签订合同。</w:t>
      </w:r>
    </w:p>
    <w:p w14:paraId="129F72F2">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25.3如签订合同并生效后，供应商无故拒绝或延期，除按照合同条款处理外，列入不良行为记录一次，并给予通报。</w:t>
      </w:r>
    </w:p>
    <w:p w14:paraId="08D7973A">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25.4中标供应商拒绝与采购人签订合同的，采购人可以按照评审报告推荐的中标候选人名单排序，确定下一候选人为中标供应商，也可以重新开展政府采购活动。</w:t>
      </w:r>
    </w:p>
    <w:p w14:paraId="32E6F069">
      <w:pPr>
        <w:pStyle w:val="128"/>
        <w:snapToGrid w:val="0"/>
        <w:spacing w:before="0" w:after="12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25.5采购合同由采购人与中标供应商根据招标文件、投标文件等内容通过政府采购电子交易平台在线签订，自动备案。</w:t>
      </w:r>
    </w:p>
    <w:p w14:paraId="07511C33">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25.6政采贷</w:t>
      </w:r>
    </w:p>
    <w:p w14:paraId="16BBED95">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6C77770F">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14:paraId="0268289A">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5567C757">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5B4B197">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（四）贷款发放。贷款金融机构根据贷款协议向供应商发放贷款。</w:t>
      </w:r>
    </w:p>
    <w:p w14:paraId="39FE2485">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4276DD54">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（六）业务终止。贷款偿清后，贷款金融机构或北海市小微企业融资担保有限公司及时办理应收账款质押注销登记，业务终止。</w:t>
      </w:r>
    </w:p>
    <w:p w14:paraId="4FE0C916">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注：相关合作银行的具体操作流程详见北海市政府采购中心首页“政采贷”板块。</w:t>
      </w:r>
    </w:p>
    <w:p w14:paraId="6673F53B">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06DF64B0">
      <w:pPr>
        <w:autoSpaceDE w:val="0"/>
        <w:autoSpaceDN w:val="0"/>
        <w:adjustRightInd/>
        <w:snapToGrid w:val="0"/>
        <w:spacing w:line="360" w:lineRule="auto"/>
        <w:ind w:firstLine="480" w:firstLineChars="200"/>
        <w:textAlignment w:val="bottom"/>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供应商中标后可在“广西政府采购云”平台申请政采贷：操作路径：登录广西政府采购云平台-金融服务中心-【融资服务】，可在热门申请中选择产品直接申请。详见如下：</w:t>
      </w:r>
    </w:p>
    <w:p w14:paraId="3840C736">
      <w:pPr>
        <w:pStyle w:val="82"/>
        <w:rPr>
          <w:color w:val="000000" w:themeColor="text1"/>
          <w14:textFill>
            <w14:solidFill>
              <w14:schemeClr w14:val="tx1"/>
            </w14:solidFill>
          </w14:textFill>
        </w:rPr>
      </w:pPr>
      <w:r>
        <w:rPr>
          <w:rFonts w:hint="eastAsia"/>
          <w:color w:val="000000" w:themeColor="text1"/>
          <w14:textFill>
            <w14:solidFill>
              <w14:schemeClr w14:val="tx1"/>
            </w14:solidFill>
          </w14:textFill>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Style w:val="76"/>
          <w:rFonts w:ascii="宋体" w:hAnsi="宋体" w:eastAsia="宋体" w:cs="Times New Roman"/>
          <w:snapToGrid/>
          <w:color w:val="000000" w:themeColor="text1"/>
          <w:sz w:val="24"/>
          <w:szCs w:val="20"/>
          <w14:textFill>
            <w14:solidFill>
              <w14:schemeClr w14:val="tx1"/>
            </w14:solidFill>
          </w14:textFill>
        </w:rPr>
        <w:t>https://jinrong.gcy.zfcg.gxzf.gov.cn/finance/loan/gx</w:t>
      </w:r>
      <w:r>
        <w:rPr>
          <w:rStyle w:val="76"/>
          <w:rFonts w:ascii="宋体" w:hAnsi="宋体" w:eastAsia="宋体" w:cs="Times New Roman"/>
          <w:snapToGrid/>
          <w:color w:val="000000" w:themeColor="text1"/>
          <w:sz w:val="24"/>
          <w:szCs w:val="20"/>
          <w14:textFill>
            <w14:solidFill>
              <w14:schemeClr w14:val="tx1"/>
            </w14:solidFill>
          </w14:textFill>
        </w:rPr>
        <w:fldChar w:fldCharType="end"/>
      </w:r>
      <w:r>
        <w:rPr>
          <w:rFonts w:hint="eastAsia"/>
          <w:color w:val="000000" w:themeColor="text1"/>
          <w14:textFill>
            <w14:solidFill>
              <w14:schemeClr w14:val="tx1"/>
            </w14:solidFill>
          </w14:textFill>
        </w:rPr>
        <w:t>）</w:t>
      </w:r>
    </w:p>
    <w:p w14:paraId="51B92A91">
      <w:pPr>
        <w:pStyle w:val="82"/>
        <w:rPr>
          <w:color w:val="000000" w:themeColor="text1"/>
          <w14:textFill>
            <w14:solidFill>
              <w14:schemeClr w14:val="tx1"/>
            </w14:solidFill>
          </w14:textFill>
        </w:rPr>
      </w:pPr>
      <w:r>
        <w:rPr>
          <w:rFonts w:hint="eastAsia"/>
          <w:color w:val="000000" w:themeColor="text1"/>
          <w14:textFill>
            <w14:solidFill>
              <w14:schemeClr w14:val="tx1"/>
            </w14:solidFill>
          </w14:textFill>
        </w:rPr>
        <w:t>2.合作银行咨询办理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021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0E380C5">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银行名称</w:t>
            </w:r>
          </w:p>
        </w:tc>
        <w:tc>
          <w:tcPr>
            <w:tcW w:w="1134" w:type="dxa"/>
            <w:vAlign w:val="center"/>
          </w:tcPr>
          <w:p w14:paraId="130047F1">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联系电话</w:t>
            </w:r>
          </w:p>
        </w:tc>
        <w:tc>
          <w:tcPr>
            <w:tcW w:w="1701" w:type="dxa"/>
            <w:vAlign w:val="center"/>
          </w:tcPr>
          <w:p w14:paraId="5D8921DC">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最高授信金额</w:t>
            </w:r>
          </w:p>
        </w:tc>
        <w:tc>
          <w:tcPr>
            <w:tcW w:w="993" w:type="dxa"/>
            <w:vAlign w:val="center"/>
          </w:tcPr>
          <w:p w14:paraId="2B616A2D">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最长授信期限</w:t>
            </w:r>
          </w:p>
        </w:tc>
        <w:tc>
          <w:tcPr>
            <w:tcW w:w="850" w:type="dxa"/>
            <w:vAlign w:val="center"/>
          </w:tcPr>
          <w:p w14:paraId="64EEE773">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最低利率</w:t>
            </w:r>
          </w:p>
        </w:tc>
        <w:tc>
          <w:tcPr>
            <w:tcW w:w="3366" w:type="dxa"/>
            <w:vAlign w:val="center"/>
          </w:tcPr>
          <w:p w14:paraId="67D83FF9">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流程简介</w:t>
            </w:r>
          </w:p>
        </w:tc>
      </w:tr>
      <w:tr w14:paraId="66A9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E01028F">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建设银行</w:t>
            </w:r>
          </w:p>
        </w:tc>
        <w:tc>
          <w:tcPr>
            <w:tcW w:w="1134" w:type="dxa"/>
            <w:vAlign w:val="center"/>
          </w:tcPr>
          <w:p w14:paraId="006B2ADD">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13077729988</w:t>
            </w:r>
          </w:p>
        </w:tc>
        <w:tc>
          <w:tcPr>
            <w:tcW w:w="1701" w:type="dxa"/>
            <w:vAlign w:val="center"/>
          </w:tcPr>
          <w:p w14:paraId="4B72EDF2">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最高3千万</w:t>
            </w:r>
          </w:p>
        </w:tc>
        <w:tc>
          <w:tcPr>
            <w:tcW w:w="993" w:type="dxa"/>
            <w:vAlign w:val="center"/>
          </w:tcPr>
          <w:p w14:paraId="436821F9">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1年</w:t>
            </w:r>
          </w:p>
        </w:tc>
        <w:tc>
          <w:tcPr>
            <w:tcW w:w="850" w:type="dxa"/>
            <w:vAlign w:val="center"/>
          </w:tcPr>
          <w:p w14:paraId="25460C2D">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3366" w:type="dxa"/>
            <w:vAlign w:val="center"/>
          </w:tcPr>
          <w:p w14:paraId="474E9E89">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开设账号，线下提供申请材料，进入贷款审批流程，贷款审批通过后可自主用款，银行官方网银可自主还款。</w:t>
            </w:r>
          </w:p>
        </w:tc>
      </w:tr>
      <w:tr w14:paraId="5935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9F2D331">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中国银行</w:t>
            </w:r>
          </w:p>
        </w:tc>
        <w:tc>
          <w:tcPr>
            <w:tcW w:w="1134" w:type="dxa"/>
            <w:vAlign w:val="center"/>
          </w:tcPr>
          <w:p w14:paraId="5A0E3421">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0779-3997084</w:t>
            </w:r>
          </w:p>
        </w:tc>
        <w:tc>
          <w:tcPr>
            <w:tcW w:w="1701" w:type="dxa"/>
            <w:vAlign w:val="center"/>
          </w:tcPr>
          <w:p w14:paraId="7F0E8558">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最高1千万</w:t>
            </w:r>
          </w:p>
        </w:tc>
        <w:tc>
          <w:tcPr>
            <w:tcW w:w="993" w:type="dxa"/>
            <w:vAlign w:val="center"/>
          </w:tcPr>
          <w:p w14:paraId="3EB40DA7">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3年</w:t>
            </w:r>
          </w:p>
        </w:tc>
        <w:tc>
          <w:tcPr>
            <w:tcW w:w="850" w:type="dxa"/>
            <w:vAlign w:val="center"/>
          </w:tcPr>
          <w:p w14:paraId="35D6ECBE">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1.93%</w:t>
            </w:r>
          </w:p>
        </w:tc>
        <w:tc>
          <w:tcPr>
            <w:tcW w:w="3366" w:type="dxa"/>
            <w:vAlign w:val="center"/>
          </w:tcPr>
          <w:p w14:paraId="6E7E194D">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在银行开户，线上申请，上传所需材料，等待审批，审批通过后可直接在手机银行提款。</w:t>
            </w:r>
          </w:p>
        </w:tc>
      </w:tr>
      <w:tr w14:paraId="29B1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152CDB4">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兴业银行</w:t>
            </w:r>
          </w:p>
        </w:tc>
        <w:tc>
          <w:tcPr>
            <w:tcW w:w="1134" w:type="dxa"/>
            <w:vAlign w:val="center"/>
          </w:tcPr>
          <w:p w14:paraId="7B9C1040">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0779-3158330</w:t>
            </w:r>
          </w:p>
        </w:tc>
        <w:tc>
          <w:tcPr>
            <w:tcW w:w="1701" w:type="dxa"/>
            <w:vAlign w:val="center"/>
          </w:tcPr>
          <w:p w14:paraId="730D36C7">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最高1千万（单笔提款金额达合同金额70%）</w:t>
            </w:r>
          </w:p>
        </w:tc>
        <w:tc>
          <w:tcPr>
            <w:tcW w:w="993" w:type="dxa"/>
            <w:vAlign w:val="center"/>
          </w:tcPr>
          <w:p w14:paraId="2F08CBF7">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1年</w:t>
            </w:r>
          </w:p>
        </w:tc>
        <w:tc>
          <w:tcPr>
            <w:tcW w:w="850" w:type="dxa"/>
            <w:vAlign w:val="center"/>
          </w:tcPr>
          <w:p w14:paraId="3A1E5CBA">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3.70%</w:t>
            </w:r>
          </w:p>
        </w:tc>
        <w:tc>
          <w:tcPr>
            <w:tcW w:w="3366" w:type="dxa"/>
            <w:vAlign w:val="center"/>
          </w:tcPr>
          <w:p w14:paraId="2EC662D5">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全流程线上，初次申请开立账户，提供营业执照、采购合同、信用材料等，申请复审，签订合同，提交单笔贷款使用需求，贷款到账后受托使用。</w:t>
            </w:r>
          </w:p>
        </w:tc>
      </w:tr>
      <w:tr w14:paraId="1D5E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E9F2593">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工商银行</w:t>
            </w:r>
          </w:p>
        </w:tc>
        <w:tc>
          <w:tcPr>
            <w:tcW w:w="1134" w:type="dxa"/>
            <w:vAlign w:val="center"/>
          </w:tcPr>
          <w:p w14:paraId="31A0FF7C">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0779-3050645</w:t>
            </w:r>
          </w:p>
        </w:tc>
        <w:tc>
          <w:tcPr>
            <w:tcW w:w="1701" w:type="dxa"/>
            <w:vAlign w:val="center"/>
          </w:tcPr>
          <w:p w14:paraId="5625AAE8">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最高1千万且不超过合同金额70%</w:t>
            </w:r>
          </w:p>
        </w:tc>
        <w:tc>
          <w:tcPr>
            <w:tcW w:w="993" w:type="dxa"/>
            <w:vAlign w:val="center"/>
          </w:tcPr>
          <w:p w14:paraId="1C79DA7B">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货物类1年</w:t>
            </w:r>
          </w:p>
          <w:p w14:paraId="6F5EC0A7">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服务类3年</w:t>
            </w:r>
          </w:p>
          <w:p w14:paraId="395541F9">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工程类5年</w:t>
            </w:r>
          </w:p>
        </w:tc>
        <w:tc>
          <w:tcPr>
            <w:tcW w:w="850" w:type="dxa"/>
            <w:vAlign w:val="center"/>
          </w:tcPr>
          <w:p w14:paraId="3D9CBDBE">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3.45%</w:t>
            </w:r>
          </w:p>
        </w:tc>
        <w:tc>
          <w:tcPr>
            <w:tcW w:w="3366" w:type="dxa"/>
            <w:vAlign w:val="center"/>
          </w:tcPr>
          <w:p w14:paraId="1D120780">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为中征系统白名单企业，提供相关要求材料，内部审批后放款自主借还。</w:t>
            </w:r>
          </w:p>
        </w:tc>
      </w:tr>
      <w:tr w14:paraId="6940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DF62DB0">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国民村镇银行</w:t>
            </w:r>
          </w:p>
        </w:tc>
        <w:tc>
          <w:tcPr>
            <w:tcW w:w="1134" w:type="dxa"/>
            <w:vAlign w:val="center"/>
          </w:tcPr>
          <w:p w14:paraId="61112F3B">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0779-2668801</w:t>
            </w:r>
          </w:p>
        </w:tc>
        <w:tc>
          <w:tcPr>
            <w:tcW w:w="1701" w:type="dxa"/>
            <w:vAlign w:val="center"/>
          </w:tcPr>
          <w:p w14:paraId="494FF136">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最高500万</w:t>
            </w:r>
          </w:p>
        </w:tc>
        <w:tc>
          <w:tcPr>
            <w:tcW w:w="993" w:type="dxa"/>
            <w:vAlign w:val="center"/>
          </w:tcPr>
          <w:p w14:paraId="6D76B857">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5年</w:t>
            </w:r>
          </w:p>
        </w:tc>
        <w:tc>
          <w:tcPr>
            <w:tcW w:w="850" w:type="dxa"/>
            <w:vAlign w:val="center"/>
          </w:tcPr>
          <w:p w14:paraId="74B4C049">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2.80%</w:t>
            </w:r>
          </w:p>
        </w:tc>
        <w:tc>
          <w:tcPr>
            <w:tcW w:w="3366" w:type="dxa"/>
            <w:vAlign w:val="center"/>
          </w:tcPr>
          <w:p w14:paraId="43DB266F">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银行开户，线下申请并提供材料，信用良好企业最快1天获批即可提款</w:t>
            </w:r>
          </w:p>
        </w:tc>
      </w:tr>
      <w:tr w14:paraId="3E32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3A07E8D">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桂林银行</w:t>
            </w:r>
          </w:p>
        </w:tc>
        <w:tc>
          <w:tcPr>
            <w:tcW w:w="1134" w:type="dxa"/>
            <w:vAlign w:val="center"/>
          </w:tcPr>
          <w:p w14:paraId="6C0A97D2">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18577993959</w:t>
            </w:r>
          </w:p>
        </w:tc>
        <w:tc>
          <w:tcPr>
            <w:tcW w:w="1701" w:type="dxa"/>
            <w:vAlign w:val="center"/>
          </w:tcPr>
          <w:p w14:paraId="35681DED">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最高1千万</w:t>
            </w:r>
          </w:p>
        </w:tc>
        <w:tc>
          <w:tcPr>
            <w:tcW w:w="993" w:type="dxa"/>
            <w:vAlign w:val="center"/>
          </w:tcPr>
          <w:p w14:paraId="4C260F63">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1年</w:t>
            </w:r>
          </w:p>
        </w:tc>
        <w:tc>
          <w:tcPr>
            <w:tcW w:w="850" w:type="dxa"/>
            <w:vAlign w:val="center"/>
          </w:tcPr>
          <w:p w14:paraId="2F0DCAB5">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3.45%</w:t>
            </w:r>
          </w:p>
        </w:tc>
        <w:tc>
          <w:tcPr>
            <w:tcW w:w="3366" w:type="dxa"/>
            <w:vAlign w:val="center"/>
          </w:tcPr>
          <w:p w14:paraId="084B70D2">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线下申请，材料齐全最快1周内即可放款。</w:t>
            </w:r>
          </w:p>
        </w:tc>
      </w:tr>
      <w:tr w14:paraId="5F93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FA2E018">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中小微商务服务公司</w:t>
            </w:r>
          </w:p>
        </w:tc>
        <w:tc>
          <w:tcPr>
            <w:tcW w:w="1134" w:type="dxa"/>
            <w:vAlign w:val="center"/>
          </w:tcPr>
          <w:p w14:paraId="11A2500A">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19907799988</w:t>
            </w:r>
          </w:p>
        </w:tc>
        <w:tc>
          <w:tcPr>
            <w:tcW w:w="1701" w:type="dxa"/>
            <w:vAlign w:val="center"/>
          </w:tcPr>
          <w:p w14:paraId="4A6CF07B">
            <w:pPr>
              <w:pStyle w:val="82"/>
              <w:ind w:firstLine="0"/>
              <w:rPr>
                <w:color w:val="000000" w:themeColor="text1"/>
                <w14:textFill>
                  <w14:solidFill>
                    <w14:schemeClr w14:val="tx1"/>
                  </w14:solidFill>
                </w14:textFill>
              </w:rPr>
            </w:pPr>
          </w:p>
        </w:tc>
        <w:tc>
          <w:tcPr>
            <w:tcW w:w="993" w:type="dxa"/>
            <w:vAlign w:val="center"/>
          </w:tcPr>
          <w:p w14:paraId="132B23E7">
            <w:pPr>
              <w:pStyle w:val="82"/>
              <w:ind w:firstLine="0"/>
              <w:jc w:val="center"/>
              <w:rPr>
                <w:color w:val="000000" w:themeColor="text1"/>
                <w14:textFill>
                  <w14:solidFill>
                    <w14:schemeClr w14:val="tx1"/>
                  </w14:solidFill>
                </w14:textFill>
              </w:rPr>
            </w:pPr>
          </w:p>
        </w:tc>
        <w:tc>
          <w:tcPr>
            <w:tcW w:w="850" w:type="dxa"/>
            <w:vAlign w:val="center"/>
          </w:tcPr>
          <w:p w14:paraId="28D686C6">
            <w:pPr>
              <w:pStyle w:val="82"/>
              <w:ind w:firstLine="0"/>
              <w:jc w:val="center"/>
              <w:rPr>
                <w:color w:val="000000" w:themeColor="text1"/>
                <w14:textFill>
                  <w14:solidFill>
                    <w14:schemeClr w14:val="tx1"/>
                  </w14:solidFill>
                </w14:textFill>
              </w:rPr>
            </w:pPr>
          </w:p>
        </w:tc>
        <w:tc>
          <w:tcPr>
            <w:tcW w:w="3366" w:type="dxa"/>
            <w:vAlign w:val="center"/>
          </w:tcPr>
          <w:p w14:paraId="71510FD2">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具体业务可电话咨询。</w:t>
            </w:r>
          </w:p>
        </w:tc>
      </w:tr>
    </w:tbl>
    <w:p w14:paraId="38449E8E">
      <w:pPr>
        <w:pStyle w:val="82"/>
        <w:rPr>
          <w:color w:val="000000" w:themeColor="text1"/>
          <w14:textFill>
            <w14:solidFill>
              <w14:schemeClr w14:val="tx1"/>
            </w14:solidFill>
          </w14:textFill>
        </w:rPr>
      </w:pPr>
      <w:r>
        <w:rPr>
          <w:rFonts w:hint="eastAsia"/>
          <w:color w:val="000000" w:themeColor="text1"/>
          <w14:textFill>
            <w14:solidFill>
              <w14:schemeClr w14:val="tx1"/>
            </w14:solidFill>
          </w14:textFill>
        </w:rPr>
        <w:t>注：表中联系电话、授信金额、授信期限、最低利率等信息可能动态更新，仅供参考，具体以办理时相关银行公布的为准。</w:t>
      </w:r>
    </w:p>
    <w:p w14:paraId="38D4865A">
      <w:pPr>
        <w:pStyle w:val="128"/>
        <w:snapToGrid w:val="0"/>
        <w:spacing w:before="0"/>
        <w:ind w:firstLine="480"/>
        <w:rPr>
          <w:rFonts w:ascii="宋体" w:hAnsi="宋体" w:cs="宋体"/>
          <w:color w:val="000000" w:themeColor="text1"/>
          <w14:textFill>
            <w14:solidFill>
              <w14:schemeClr w14:val="tx1"/>
            </w14:solidFill>
          </w14:textFill>
        </w:rPr>
      </w:pPr>
    </w:p>
    <w:p w14:paraId="7C15ED22">
      <w:pPr>
        <w:pStyle w:val="24"/>
        <w:spacing w:line="360" w:lineRule="auto"/>
        <w:ind w:left="479" w:hanging="479" w:hangingChars="199"/>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26. 履约保证金（本项目不收取）</w:t>
      </w:r>
    </w:p>
    <w:p w14:paraId="020A3A06">
      <w:pPr>
        <w:tabs>
          <w:tab w:val="left" w:pos="0"/>
        </w:tabs>
        <w:spacing w:line="360" w:lineRule="auto"/>
        <w:ind w:firstLine="48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26.1拟签订的合同文本要求中标供应商提交履约保证金的，供应商应当以支票、汇票、本票或者金融机构、担保机构出具的保函等非现金形式提交</w:t>
      </w:r>
      <w:r>
        <w:rPr>
          <w:rFonts w:hint="eastAsia" w:ascii="宋体" w:hAnsi="宋体" w:cs="宋体"/>
          <w:color w:val="000000" w:themeColor="text1"/>
          <w:sz w:val="24"/>
          <w14:textFill>
            <w14:solidFill>
              <w14:schemeClr w14:val="tx1"/>
            </w14:solidFill>
          </w14:textFill>
        </w:rPr>
        <w:t>。履约保证金数额不得超过政府采购合同金额的5%；加大对中小企业发展的扶持力度，对中小企业收取的履约保证金数额不得超过政府采购合同金额的2%。中标供应商的投标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14:textFill>
            <w14:solidFill>
              <w14:schemeClr w14:val="tx1"/>
            </w14:solidFill>
          </w14:textFill>
        </w:rPr>
        <w:t>。</w:t>
      </w:r>
    </w:p>
    <w:p w14:paraId="37CB88F8">
      <w:pPr>
        <w:pStyle w:val="82"/>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14:textFill>
            <w14:solidFill>
              <w14:schemeClr w14:val="tx1"/>
            </w14:solidFill>
          </w14:textFill>
        </w:rPr>
        <w:t>履约保证金</w:t>
      </w:r>
      <w:r>
        <w:rPr>
          <w:rFonts w:hint="eastAsia" w:cs="宋体"/>
          <w:color w:val="000000" w:themeColor="text1"/>
          <w:kern w:val="2"/>
          <w:szCs w:val="24"/>
          <w14:textFill>
            <w14:solidFill>
              <w14:schemeClr w14:val="tx1"/>
            </w14:solidFill>
          </w14:textFill>
        </w:rPr>
        <w:t>收取银行账户</w:t>
      </w:r>
    </w:p>
    <w:p w14:paraId="2DD815B5">
      <w:pPr>
        <w:pStyle w:val="82"/>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 xml:space="preserve">开户名称： </w:t>
      </w:r>
    </w:p>
    <w:p w14:paraId="0BBCCA02">
      <w:pPr>
        <w:pStyle w:val="82"/>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 xml:space="preserve">开户银行： </w:t>
      </w:r>
    </w:p>
    <w:p w14:paraId="0F9B5972">
      <w:pPr>
        <w:pStyle w:val="82"/>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银行账号：</w:t>
      </w:r>
    </w:p>
    <w:p w14:paraId="51AFC09E">
      <w:pPr>
        <w:pStyle w:val="82"/>
        <w:ind w:firstLine="480" w:firstLineChars="200"/>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522390C2">
      <w:pPr>
        <w:pStyle w:val="82"/>
        <w:rPr>
          <w:color w:val="000000" w:themeColor="text1"/>
          <w14:textFill>
            <w14:solidFill>
              <w14:schemeClr w14:val="tx1"/>
            </w14:solidFill>
          </w14:textFill>
        </w:rPr>
      </w:pPr>
      <w:r>
        <w:rPr>
          <w:rFonts w:hint="eastAsia"/>
          <w:color w:val="000000" w:themeColor="text1"/>
          <w14:textFill>
            <w14:solidFill>
              <w14:schemeClr w14:val="tx1"/>
            </w14:solidFill>
          </w14:textFill>
        </w:rPr>
        <w:t>26.3履约保证金的退还。验收合格的政府采购项目，采购人应当按照合同约定的退还方式，在5个工作日内办理履约保证金退还手续。</w:t>
      </w:r>
    </w:p>
    <w:p w14:paraId="767C4638">
      <w:pPr>
        <w:pStyle w:val="82"/>
        <w:rPr>
          <w:color w:val="000000" w:themeColor="text1"/>
          <w14:textFill>
            <w14:solidFill>
              <w14:schemeClr w14:val="tx1"/>
            </w14:solidFill>
          </w14:textFill>
        </w:rPr>
      </w:pPr>
      <w:r>
        <w:rPr>
          <w:rFonts w:hint="eastAsia"/>
          <w:color w:val="000000" w:themeColor="text1"/>
          <w14:textFill>
            <w14:solidFill>
              <w14:schemeClr w14:val="tx1"/>
            </w14:solidFill>
          </w14:textFill>
        </w:rPr>
        <w:t>26.4履约保证金不予退还情形：（1）中标供应商未能全部履行政府采购合同的；（2）采购文件规定的其他情形。</w:t>
      </w:r>
    </w:p>
    <w:p w14:paraId="0B95EDE1">
      <w:pPr>
        <w:pStyle w:val="82"/>
        <w:numPr>
          <w:ilvl w:val="0"/>
          <w:numId w:val="3"/>
        </w:numPr>
        <w:rPr>
          <w:b/>
          <w:bCs/>
          <w:color w:val="000000" w:themeColor="text1"/>
          <w14:textFill>
            <w14:solidFill>
              <w14:schemeClr w14:val="tx1"/>
            </w14:solidFill>
          </w14:textFill>
        </w:rPr>
      </w:pPr>
      <w:r>
        <w:rPr>
          <w:b/>
          <w:bCs/>
          <w:color w:val="000000" w:themeColor="text1"/>
          <w14:textFill>
            <w14:solidFill>
              <w14:schemeClr w14:val="tx1"/>
            </w14:solidFill>
          </w14:textFill>
        </w:rPr>
        <w:t>预付款</w:t>
      </w:r>
      <w:r>
        <w:rPr>
          <w:rFonts w:hint="eastAsia"/>
          <w:b/>
          <w:bCs/>
          <w:color w:val="000000" w:themeColor="text1"/>
          <w14:textFill>
            <w14:solidFill>
              <w14:schemeClr w14:val="tx1"/>
            </w14:solidFill>
          </w14:textFill>
        </w:rPr>
        <w:t>详见第三部分采购需求</w:t>
      </w:r>
    </w:p>
    <w:p w14:paraId="1B2CD33A">
      <w:pPr>
        <w:pStyle w:val="82"/>
        <w:ind w:firstLine="0"/>
        <w:rPr>
          <w:color w:val="000000" w:themeColor="text1"/>
          <w14:textFill>
            <w14:solidFill>
              <w14:schemeClr w14:val="tx1"/>
            </w14:solidFill>
          </w14:textFill>
        </w:rPr>
      </w:pPr>
    </w:p>
    <w:p w14:paraId="2A360F6E">
      <w:pPr>
        <w:snapToGrid w:val="0"/>
        <w:spacing w:line="360" w:lineRule="auto"/>
        <w:ind w:firstLine="3357" w:firstLineChars="1045"/>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32"/>
          <w14:textFill>
            <w14:solidFill>
              <w14:schemeClr w14:val="tx1"/>
            </w14:solidFill>
          </w14:textFill>
        </w:rPr>
        <w:t>八、电子交易活动的中止</w:t>
      </w:r>
    </w:p>
    <w:p w14:paraId="6F508BF5">
      <w:pPr>
        <w:pStyle w:val="128"/>
        <w:snapToGrid w:val="0"/>
        <w:spacing w:before="0"/>
        <w:ind w:firstLine="0" w:firstLineChars="0"/>
        <w:rPr>
          <w:rFonts w:ascii="宋体" w:hAnsi="宋体" w:cs="宋体"/>
          <w:color w:val="000000" w:themeColor="text1"/>
          <w14:textFill>
            <w14:solidFill>
              <w14:schemeClr w14:val="tx1"/>
            </w14:solidFill>
          </w14:textFill>
        </w:rPr>
      </w:pPr>
      <w:r>
        <w:rPr>
          <w:rFonts w:ascii="宋体" w:hAnsi="宋体" w:cs="宋体"/>
          <w:b/>
          <w:bCs/>
          <w:color w:val="000000" w:themeColor="text1"/>
          <w14:textFill>
            <w14:solidFill>
              <w14:schemeClr w14:val="tx1"/>
            </w14:solidFill>
          </w14:textFill>
        </w:rPr>
        <w:t>2</w:t>
      </w:r>
      <w:r>
        <w:rPr>
          <w:rFonts w:ascii="宋体" w:hAnsi="宋体" w:cs="宋体"/>
          <w:b/>
          <w:bCs/>
          <w:color w:val="000000" w:themeColor="text1"/>
          <w:szCs w:val="24"/>
          <w14:textFill>
            <w14:solidFill>
              <w14:schemeClr w14:val="tx1"/>
            </w14:solidFill>
          </w14:textFill>
        </w:rPr>
        <w:t>8</w:t>
      </w:r>
      <w:r>
        <w:rPr>
          <w:rFonts w:hint="eastAsia" w:ascii="宋体" w:hAnsi="宋体" w:cs="宋体"/>
          <w:b/>
          <w:color w:val="000000" w:themeColor="text1"/>
          <w:szCs w:val="24"/>
          <w14:textFill>
            <w14:solidFill>
              <w14:schemeClr w14:val="tx1"/>
            </w14:solidFill>
          </w14:textFill>
        </w:rPr>
        <w:t>. 电子交易活动的中止。</w:t>
      </w:r>
      <w:r>
        <w:rPr>
          <w:rFonts w:hint="eastAsia" w:ascii="宋体" w:hAnsi="宋体" w:cs="宋体"/>
          <w:color w:val="000000" w:themeColor="text1"/>
          <w14:textFill>
            <w14:solidFill>
              <w14:schemeClr w14:val="tx1"/>
            </w14:solidFill>
          </w14:textFill>
        </w:rPr>
        <w:t>采购过程中出现以下情形，导致电子交易平台无法正常运行，或者无法保证电子交易的公平、公正和安全时，采购代理机构可中止电子交易活动：</w:t>
      </w:r>
    </w:p>
    <w:p w14:paraId="44124A59">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28.1电子交易平台发生故障而无法登录访问的； </w:t>
      </w:r>
    </w:p>
    <w:p w14:paraId="3B706753">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28.2电子交易平台应用或数据库出现错误，不能进行正常操作的；</w:t>
      </w:r>
    </w:p>
    <w:p w14:paraId="5A906289">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28.3电子交易平台发现严重安全漏洞，有潜在泄密危险的；</w:t>
      </w:r>
    </w:p>
    <w:p w14:paraId="08722A8D">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28.4病毒发作导致不能进行正常操作的； </w:t>
      </w:r>
    </w:p>
    <w:p w14:paraId="6B27D845">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28.5其他无法保证电子交易的公平、公正和安全的情况。</w:t>
      </w:r>
    </w:p>
    <w:p w14:paraId="286ED078">
      <w:pPr>
        <w:pStyle w:val="128"/>
        <w:snapToGrid w:val="0"/>
        <w:spacing w:before="0"/>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12FCA8D5">
      <w:pPr>
        <w:tabs>
          <w:tab w:val="left" w:pos="0"/>
        </w:tabs>
        <w:spacing w:line="360" w:lineRule="auto"/>
        <w:ind w:firstLine="480"/>
        <w:rPr>
          <w:rFonts w:ascii="宋体" w:hAnsi="宋体" w:cs="宋体"/>
          <w:color w:val="000000" w:themeColor="text1"/>
          <w:sz w:val="24"/>
          <w14:textFill>
            <w14:solidFill>
              <w14:schemeClr w14:val="tx1"/>
            </w14:solidFill>
          </w14:textFill>
        </w:rPr>
      </w:pPr>
    </w:p>
    <w:p w14:paraId="13532FB6">
      <w:pPr>
        <w:snapToGrid w:val="0"/>
        <w:spacing w:line="360" w:lineRule="auto"/>
        <w:ind w:left="120" w:leftChars="57" w:firstLine="482" w:firstLineChars="150"/>
        <w:jc w:val="center"/>
        <w:outlineLvl w:val="1"/>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九、验收</w:t>
      </w:r>
    </w:p>
    <w:p w14:paraId="686148B3">
      <w:pPr>
        <w:pStyle w:val="24"/>
        <w:spacing w:line="360" w:lineRule="auto"/>
        <w:ind w:firstLine="0" w:firstLineChars="0"/>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30.验收</w:t>
      </w:r>
    </w:p>
    <w:p w14:paraId="0089BC08">
      <w:pPr>
        <w:tabs>
          <w:tab w:val="left" w:pos="0"/>
        </w:tabs>
        <w:spacing w:line="360" w:lineRule="auto"/>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0A5B02D">
      <w:pPr>
        <w:tabs>
          <w:tab w:val="left" w:pos="0"/>
        </w:tabs>
        <w:spacing w:line="360" w:lineRule="auto"/>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30.2采购人可以邀请参加本项目的其他投标人或者第三方机构参与验收。参与验收的投标人或者第三方机构的意见作为验收书的参考资料一并存档。</w:t>
      </w:r>
    </w:p>
    <w:p w14:paraId="13B20F19">
      <w:pPr>
        <w:tabs>
          <w:tab w:val="left" w:pos="0"/>
        </w:tabs>
        <w:spacing w:line="360" w:lineRule="auto"/>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0C30AB3">
      <w:pPr>
        <w:tabs>
          <w:tab w:val="left" w:pos="0"/>
        </w:tabs>
        <w:spacing w:line="360" w:lineRule="auto"/>
        <w:ind w:firstLine="480"/>
        <w:rPr>
          <w:lang w:val="en-US"/>
        </w:rPr>
      </w:pPr>
      <w:r>
        <w:rPr>
          <w:rFonts w:hint="eastAsia" w:ascii="宋体" w:hAnsi="宋体" w:cs="宋体"/>
          <w:color w:val="000000" w:themeColor="text1"/>
          <w:kern w:val="0"/>
          <w:sz w:val="24"/>
          <w14:textFill>
            <w14:solidFill>
              <w14:schemeClr w14:val="tx1"/>
            </w14:solidFill>
          </w14:textFill>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20"/>
      <w:bookmarkEnd w:id="21"/>
      <w:bookmarkEnd w:id="22"/>
      <w:bookmarkStart w:id="23" w:name="第四部分"/>
    </w:p>
    <w:p w14:paraId="47F6A4DE">
      <w:pPr>
        <w:spacing w:line="360" w:lineRule="auto"/>
        <w:jc w:val="center"/>
        <w:outlineLvl w:val="0"/>
        <w:rPr>
          <w:rFonts w:hint="eastAsia" w:ascii="宋体" w:hAnsi="宋体" w:cs="宋体"/>
          <w:b/>
          <w:color w:val="000000" w:themeColor="text1"/>
          <w:sz w:val="36"/>
          <w:szCs w:val="36"/>
          <w14:textFill>
            <w14:solidFill>
              <w14:schemeClr w14:val="tx1"/>
            </w14:solidFill>
          </w14:textFill>
        </w:rPr>
        <w:sectPr>
          <w:pgSz w:w="11906" w:h="16838"/>
          <w:pgMar w:top="1247" w:right="849" w:bottom="1247" w:left="1418" w:header="851" w:footer="992" w:gutter="0"/>
          <w:cols w:space="720" w:num="1"/>
          <w:titlePg/>
          <w:docGrid w:type="lines" w:linePitch="312" w:charSpace="0"/>
        </w:sectPr>
      </w:pPr>
      <w:bookmarkStart w:id="24" w:name="_Toc211352597"/>
    </w:p>
    <w:p w14:paraId="76CFF2D9">
      <w:pPr>
        <w:spacing w:line="360" w:lineRule="auto"/>
        <w:jc w:val="center"/>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第三部分 采购需求</w:t>
      </w:r>
      <w:bookmarkEnd w:id="24"/>
    </w:p>
    <w:p w14:paraId="5810B2C2">
      <w:pPr>
        <w:widowControl/>
        <w:snapToGrid w:val="0"/>
        <w:spacing w:line="360" w:lineRule="auto"/>
        <w:jc w:val="center"/>
        <w:rPr>
          <w:rFonts w:ascii="宋体" w:hAnsi="宋体" w:cs="宋体"/>
          <w:b/>
          <w:bCs/>
          <w:spacing w:val="15"/>
          <w:kern w:val="0"/>
          <w:sz w:val="36"/>
          <w:szCs w:val="36"/>
        </w:rPr>
      </w:pPr>
      <w:r>
        <w:rPr>
          <w:rFonts w:hint="eastAsia" w:ascii="宋体" w:hAnsi="宋体" w:cs="宋体"/>
          <w:b/>
          <w:bCs/>
          <w:spacing w:val="15"/>
          <w:kern w:val="0"/>
          <w:sz w:val="36"/>
          <w:szCs w:val="36"/>
        </w:rPr>
        <w:t>项目采购需求</w:t>
      </w:r>
    </w:p>
    <w:p w14:paraId="53343E97">
      <w:pPr>
        <w:adjustRightInd/>
        <w:spacing w:before="25" w:after="25"/>
        <w:jc w:val="left"/>
        <w:rPr>
          <w:rFonts w:ascii="宋体" w:hAnsi="宋体" w:cs="宋体"/>
          <w:bCs/>
          <w:color w:val="000000" w:themeColor="text1"/>
          <w:spacing w:val="10"/>
          <w:kern w:val="0"/>
          <w:sz w:val="24"/>
          <w14:textFill>
            <w14:solidFill>
              <w14:schemeClr w14:val="tx1"/>
            </w14:solidFill>
          </w14:textFill>
        </w:rPr>
      </w:pPr>
    </w:p>
    <w:p w14:paraId="733CB652">
      <w:pPr>
        <w:pStyle w:val="23"/>
        <w:numPr>
          <w:ilvl w:val="0"/>
          <w:numId w:val="4"/>
        </w:numP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项目名称</w:t>
      </w:r>
    </w:p>
    <w:p w14:paraId="7643FA38">
      <w:pPr>
        <w:pStyle w:val="232"/>
        <w:keepNext w:val="0"/>
        <w:keepLines w:val="0"/>
        <w:pageBreakBefore w:val="0"/>
        <w:widowControl w:val="0"/>
        <w:numPr>
          <w:ilvl w:val="0"/>
          <w:numId w:val="0"/>
        </w:numPr>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8"/>
          <w:szCs w:val="28"/>
          <w:highlight w:val="none"/>
          <w:u w:val="none"/>
          <w:lang w:val="en-US" w:eastAsia="zh-CN" w:bidi="ar"/>
          <w14:textFill>
            <w14:solidFill>
              <w14:schemeClr w14:val="tx1"/>
            </w14:solidFill>
          </w14:textFill>
        </w:rPr>
        <w:t>北海市两级法院集约送达服务项目</w:t>
      </w:r>
    </w:p>
    <w:p w14:paraId="54C3BF64">
      <w:pPr>
        <w:pStyle w:val="23"/>
        <w:numPr>
          <w:ilvl w:val="0"/>
          <w:numId w:val="4"/>
        </w:numP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项目预算</w:t>
      </w:r>
    </w:p>
    <w:p w14:paraId="2B17B1E8">
      <w:pPr>
        <w:pStyle w:val="23"/>
        <w:ind w:firstLine="560" w:firstLineChars="200"/>
        <w:rPr>
          <w:rFonts w:hint="eastAsia" w:ascii="宋体" w:hAnsi="宋体" w:eastAsia="宋体" w:cs="宋体"/>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8"/>
          <w:szCs w:val="28"/>
          <w:highlight w:val="none"/>
          <w:u w:val="none"/>
          <w:lang w:val="en-US" w:eastAsia="zh-CN" w:bidi="ar"/>
          <w14:textFill>
            <w14:solidFill>
              <w14:schemeClr w14:val="tx1"/>
            </w14:solidFill>
          </w14:textFill>
        </w:rPr>
        <w:t>本项目共采购全市两级法院不低于79200件案件的送达服务，项目总预算7761600元。案件服务单价最高限价</w:t>
      </w:r>
      <w:r>
        <w:rPr>
          <w:rFonts w:hint="eastAsia" w:hAnsi="宋体" w:cs="宋体"/>
          <w:i w:val="0"/>
          <w:iCs w:val="0"/>
          <w:color w:val="000000" w:themeColor="text1"/>
          <w:kern w:val="0"/>
          <w:sz w:val="28"/>
          <w:szCs w:val="2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8"/>
          <w:szCs w:val="28"/>
          <w:highlight w:val="none"/>
          <w:u w:val="none"/>
          <w:lang w:val="en-US" w:eastAsia="zh-CN" w:bidi="ar"/>
          <w14:textFill>
            <w14:solidFill>
              <w14:schemeClr w14:val="tx1"/>
            </w14:solidFill>
          </w14:textFill>
        </w:rPr>
        <w:t>98元/件</w:t>
      </w:r>
      <w:r>
        <w:rPr>
          <w:rFonts w:hint="eastAsia" w:hAnsi="宋体" w:cs="宋体"/>
          <w:i w:val="0"/>
          <w:iCs w:val="0"/>
          <w:color w:val="000000" w:themeColor="text1"/>
          <w:kern w:val="0"/>
          <w:sz w:val="28"/>
          <w:szCs w:val="28"/>
          <w:highlight w:val="none"/>
          <w:u w:val="none"/>
          <w:lang w:val="en-US" w:eastAsia="zh-CN" w:bidi="ar"/>
          <w14:textFill>
            <w14:solidFill>
              <w14:schemeClr w14:val="tx1"/>
            </w14:solidFill>
          </w14:textFill>
        </w:rPr>
        <w:t>。</w:t>
      </w:r>
    </w:p>
    <w:p w14:paraId="4E950EAE">
      <w:pPr>
        <w:widowControl/>
        <w:numPr>
          <w:ilvl w:val="0"/>
          <w:numId w:val="0"/>
        </w:numPr>
        <w:ind w:leftChars="0"/>
        <w:jc w:val="center"/>
        <w:outlineLvl w:val="3"/>
        <w:rPr>
          <w:rFonts w:hint="eastAsia"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北海两级院案件量统计表</w:t>
      </w:r>
    </w:p>
    <w:tbl>
      <w:tblPr>
        <w:tblStyle w:val="62"/>
        <w:tblW w:w="9343" w:type="dxa"/>
        <w:tblInd w:w="0" w:type="dxa"/>
        <w:tblLayout w:type="fixed"/>
        <w:tblCellMar>
          <w:top w:w="0" w:type="dxa"/>
          <w:left w:w="108" w:type="dxa"/>
          <w:bottom w:w="0" w:type="dxa"/>
          <w:right w:w="108" w:type="dxa"/>
        </w:tblCellMar>
      </w:tblPr>
      <w:tblGrid>
        <w:gridCol w:w="1043"/>
        <w:gridCol w:w="5187"/>
        <w:gridCol w:w="3113"/>
      </w:tblGrid>
      <w:tr w14:paraId="25A2FE2B">
        <w:tblPrEx>
          <w:tblCellMar>
            <w:top w:w="0" w:type="dxa"/>
            <w:left w:w="108" w:type="dxa"/>
            <w:bottom w:w="0" w:type="dxa"/>
            <w:right w:w="108" w:type="dxa"/>
          </w:tblCellMar>
        </w:tblPrEx>
        <w:trPr>
          <w:trHeight w:val="438"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14:paraId="0A62803B">
            <w:pPr>
              <w:widowControl/>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序号</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534DA141">
            <w:pPr>
              <w:widowControl/>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法院</w:t>
            </w:r>
          </w:p>
        </w:tc>
        <w:tc>
          <w:tcPr>
            <w:tcW w:w="3113" w:type="dxa"/>
            <w:tcBorders>
              <w:top w:val="single" w:color="000000" w:sz="4" w:space="0"/>
              <w:left w:val="single" w:color="000000" w:sz="4" w:space="0"/>
              <w:bottom w:val="single" w:color="000000" w:sz="4" w:space="0"/>
              <w:right w:val="single" w:color="000000" w:sz="4" w:space="0"/>
            </w:tcBorders>
            <w:noWrap/>
            <w:vAlign w:val="center"/>
          </w:tcPr>
          <w:p w14:paraId="5C61A891">
            <w:pPr>
              <w:widowControl/>
              <w:jc w:val="center"/>
              <w:textAlignment w:val="bottom"/>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案件数量（件）</w:t>
            </w:r>
          </w:p>
        </w:tc>
      </w:tr>
      <w:tr w14:paraId="10F29B03">
        <w:tblPrEx>
          <w:tblCellMar>
            <w:top w:w="0" w:type="dxa"/>
            <w:left w:w="108" w:type="dxa"/>
            <w:bottom w:w="0" w:type="dxa"/>
            <w:right w:w="108" w:type="dxa"/>
          </w:tblCellMar>
        </w:tblPrEx>
        <w:trPr>
          <w:trHeight w:val="669" w:hRule="atLeast"/>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3F7D3BD">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31610E21">
            <w:pPr>
              <w:widowControl/>
              <w:jc w:val="center"/>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bidi="ar"/>
                <w14:textFill>
                  <w14:solidFill>
                    <w14:schemeClr w14:val="tx1"/>
                  </w14:solidFill>
                </w14:textFill>
              </w:rPr>
              <w:t>广西壮族自治区</w:t>
            </w:r>
            <w:r>
              <w:rPr>
                <w:rFonts w:hint="eastAsia" w:ascii="宋体" w:hAnsi="宋体" w:cs="宋体"/>
                <w:color w:val="000000" w:themeColor="text1"/>
                <w:kern w:val="0"/>
                <w:szCs w:val="21"/>
                <w:highlight w:val="none"/>
                <w:lang w:bidi="ar"/>
                <w14:textFill>
                  <w14:solidFill>
                    <w14:schemeClr w14:val="tx1"/>
                  </w14:solidFill>
                </w14:textFill>
              </w:rPr>
              <w:t>北海市中级人民法院</w:t>
            </w:r>
          </w:p>
        </w:tc>
        <w:tc>
          <w:tcPr>
            <w:tcW w:w="3113" w:type="dxa"/>
            <w:tcBorders>
              <w:top w:val="single" w:color="000000" w:sz="4" w:space="0"/>
              <w:left w:val="single" w:color="000000" w:sz="4" w:space="0"/>
              <w:bottom w:val="single" w:color="000000" w:sz="4" w:space="0"/>
              <w:right w:val="single" w:color="000000" w:sz="4" w:space="0"/>
            </w:tcBorders>
            <w:noWrap w:val="0"/>
            <w:vAlign w:val="center"/>
          </w:tcPr>
          <w:p w14:paraId="0EEAEF74">
            <w:pPr>
              <w:widowControl/>
              <w:jc w:val="center"/>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6200</w:t>
            </w:r>
          </w:p>
        </w:tc>
      </w:tr>
      <w:tr w14:paraId="00594F0F">
        <w:tblPrEx>
          <w:tblCellMar>
            <w:top w:w="0" w:type="dxa"/>
            <w:left w:w="108" w:type="dxa"/>
            <w:bottom w:w="0" w:type="dxa"/>
            <w:right w:w="108" w:type="dxa"/>
          </w:tblCellMar>
        </w:tblPrEx>
        <w:trPr>
          <w:trHeight w:val="480" w:hRule="atLeast"/>
        </w:trPr>
        <w:tc>
          <w:tcPr>
            <w:tcW w:w="1043" w:type="dxa"/>
            <w:tcBorders>
              <w:top w:val="single" w:color="000000" w:sz="4" w:space="0"/>
              <w:left w:val="single" w:color="000000" w:sz="4" w:space="0"/>
              <w:bottom w:val="single" w:color="000000" w:sz="4" w:space="0"/>
              <w:right w:val="single" w:color="000000" w:sz="4" w:space="0"/>
            </w:tcBorders>
            <w:noWrap/>
            <w:vAlign w:val="center"/>
          </w:tcPr>
          <w:p w14:paraId="0F0687EF">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04AF45B3">
            <w:pPr>
              <w:widowControl/>
              <w:jc w:val="center"/>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北海市海城区人民法院</w:t>
            </w:r>
          </w:p>
        </w:tc>
        <w:tc>
          <w:tcPr>
            <w:tcW w:w="3113" w:type="dxa"/>
            <w:tcBorders>
              <w:top w:val="single" w:color="000000" w:sz="4" w:space="0"/>
              <w:left w:val="single" w:color="000000" w:sz="4" w:space="0"/>
              <w:bottom w:val="single" w:color="000000" w:sz="4" w:space="0"/>
              <w:right w:val="single" w:color="000000" w:sz="4" w:space="0"/>
            </w:tcBorders>
            <w:noWrap w:val="0"/>
            <w:vAlign w:val="center"/>
          </w:tcPr>
          <w:p w14:paraId="47A75D43">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25</w:t>
            </w:r>
            <w:r>
              <w:rPr>
                <w:rFonts w:hint="eastAsia" w:ascii="宋体" w:hAnsi="宋体" w:cs="宋体"/>
                <w:color w:val="000000" w:themeColor="text1"/>
                <w:kern w:val="0"/>
                <w:szCs w:val="21"/>
                <w:highlight w:val="none"/>
                <w:lang w:bidi="ar"/>
                <w14:textFill>
                  <w14:solidFill>
                    <w14:schemeClr w14:val="tx1"/>
                  </w14:solidFill>
                </w14:textFill>
              </w:rPr>
              <w:t>000</w:t>
            </w:r>
          </w:p>
        </w:tc>
      </w:tr>
      <w:tr w14:paraId="254752EB">
        <w:tblPrEx>
          <w:tblCellMar>
            <w:top w:w="0" w:type="dxa"/>
            <w:left w:w="108" w:type="dxa"/>
            <w:bottom w:w="0" w:type="dxa"/>
            <w:right w:w="108" w:type="dxa"/>
          </w:tblCellMar>
        </w:tblPrEx>
        <w:trPr>
          <w:trHeight w:val="480" w:hRule="atLeast"/>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46D17E8">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73AA947D">
            <w:pPr>
              <w:widowControl/>
              <w:jc w:val="center"/>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北海市银海区人民法院</w:t>
            </w:r>
          </w:p>
        </w:tc>
        <w:tc>
          <w:tcPr>
            <w:tcW w:w="3113" w:type="dxa"/>
            <w:tcBorders>
              <w:top w:val="single" w:color="000000" w:sz="4" w:space="0"/>
              <w:left w:val="single" w:color="000000" w:sz="4" w:space="0"/>
              <w:bottom w:val="single" w:color="000000" w:sz="4" w:space="0"/>
              <w:right w:val="single" w:color="000000" w:sz="4" w:space="0"/>
            </w:tcBorders>
            <w:noWrap w:val="0"/>
            <w:vAlign w:val="center"/>
          </w:tcPr>
          <w:p w14:paraId="5ABC7C82">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000</w:t>
            </w:r>
          </w:p>
        </w:tc>
      </w:tr>
      <w:tr w14:paraId="74CD8C8F">
        <w:tblPrEx>
          <w:tblCellMar>
            <w:top w:w="0" w:type="dxa"/>
            <w:left w:w="108" w:type="dxa"/>
            <w:bottom w:w="0" w:type="dxa"/>
            <w:right w:w="108" w:type="dxa"/>
          </w:tblCellMar>
        </w:tblPrEx>
        <w:trPr>
          <w:trHeight w:val="480" w:hRule="atLeast"/>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1A820A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0673F5F7">
            <w:pPr>
              <w:widowControl/>
              <w:jc w:val="center"/>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合浦县人民法院</w:t>
            </w:r>
          </w:p>
        </w:tc>
        <w:tc>
          <w:tcPr>
            <w:tcW w:w="3113" w:type="dxa"/>
            <w:tcBorders>
              <w:top w:val="single" w:color="000000" w:sz="4" w:space="0"/>
              <w:left w:val="single" w:color="000000" w:sz="4" w:space="0"/>
              <w:bottom w:val="single" w:color="000000" w:sz="4" w:space="0"/>
              <w:right w:val="single" w:color="000000" w:sz="4" w:space="0"/>
            </w:tcBorders>
            <w:noWrap w:val="0"/>
            <w:vAlign w:val="center"/>
          </w:tcPr>
          <w:p w14:paraId="16BC72D0">
            <w:pPr>
              <w:widowControl/>
              <w:jc w:val="center"/>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30000</w:t>
            </w:r>
          </w:p>
        </w:tc>
      </w:tr>
      <w:tr w14:paraId="264E6D18">
        <w:tblPrEx>
          <w:tblCellMar>
            <w:top w:w="0" w:type="dxa"/>
            <w:left w:w="108" w:type="dxa"/>
            <w:bottom w:w="0" w:type="dxa"/>
            <w:right w:w="108" w:type="dxa"/>
          </w:tblCellMar>
        </w:tblPrEx>
        <w:trPr>
          <w:trHeight w:val="480" w:hRule="atLeast"/>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18F81C2">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0AED5165">
            <w:pPr>
              <w:widowControl/>
              <w:jc w:val="center"/>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北海市铁山港区人民法院</w:t>
            </w:r>
          </w:p>
        </w:tc>
        <w:tc>
          <w:tcPr>
            <w:tcW w:w="3113" w:type="dxa"/>
            <w:tcBorders>
              <w:top w:val="single" w:color="000000" w:sz="4" w:space="0"/>
              <w:left w:val="single" w:color="000000" w:sz="4" w:space="0"/>
              <w:bottom w:val="single" w:color="000000" w:sz="4" w:space="0"/>
              <w:right w:val="single" w:color="000000" w:sz="4" w:space="0"/>
            </w:tcBorders>
            <w:noWrap w:val="0"/>
            <w:vAlign w:val="center"/>
          </w:tcPr>
          <w:p w14:paraId="554A2D2E">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30</w:t>
            </w:r>
            <w:r>
              <w:rPr>
                <w:rFonts w:hint="eastAsia" w:ascii="宋体" w:hAnsi="宋体" w:cs="宋体"/>
                <w:color w:val="000000" w:themeColor="text1"/>
                <w:kern w:val="0"/>
                <w:szCs w:val="21"/>
                <w:highlight w:val="none"/>
                <w:lang w:bidi="ar"/>
                <w14:textFill>
                  <w14:solidFill>
                    <w14:schemeClr w14:val="tx1"/>
                  </w14:solidFill>
                </w14:textFill>
              </w:rPr>
              <w:t>00</w:t>
            </w:r>
          </w:p>
        </w:tc>
      </w:tr>
      <w:tr w14:paraId="6835237E">
        <w:tblPrEx>
          <w:tblCellMar>
            <w:top w:w="0" w:type="dxa"/>
            <w:left w:w="108" w:type="dxa"/>
            <w:bottom w:w="0" w:type="dxa"/>
            <w:right w:w="108" w:type="dxa"/>
          </w:tblCellMar>
        </w:tblPrEx>
        <w:trPr>
          <w:trHeight w:val="460" w:hRule="atLeast"/>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76F8733">
            <w:pPr>
              <w:jc w:val="center"/>
              <w:rPr>
                <w:rFonts w:ascii="宋体" w:hAnsi="宋体" w:cs="宋体"/>
                <w:color w:val="000000" w:themeColor="text1"/>
                <w:szCs w:val="21"/>
                <w:highlight w:val="none"/>
                <w14:textFill>
                  <w14:solidFill>
                    <w14:schemeClr w14:val="tx1"/>
                  </w14:solidFill>
                </w14:textFill>
              </w:rPr>
            </w:pP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463471CC">
            <w:pPr>
              <w:widowControl/>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合   计</w:t>
            </w:r>
          </w:p>
        </w:tc>
        <w:tc>
          <w:tcPr>
            <w:tcW w:w="3113" w:type="dxa"/>
            <w:tcBorders>
              <w:top w:val="single" w:color="000000" w:sz="4" w:space="0"/>
              <w:left w:val="single" w:color="000000" w:sz="4" w:space="0"/>
              <w:bottom w:val="single" w:color="000000" w:sz="4" w:space="0"/>
              <w:right w:val="single" w:color="000000" w:sz="4" w:space="0"/>
            </w:tcBorders>
            <w:noWrap/>
            <w:vAlign w:val="center"/>
          </w:tcPr>
          <w:p w14:paraId="5B7D166C">
            <w:pPr>
              <w:widowControl/>
              <w:jc w:val="center"/>
              <w:textAlignment w:val="bottom"/>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79200</w:t>
            </w:r>
          </w:p>
        </w:tc>
      </w:tr>
    </w:tbl>
    <w:p w14:paraId="767B5978">
      <w:pPr>
        <w:rPr>
          <w:rFonts w:hint="eastAsia"/>
          <w:color w:val="000000" w:themeColor="text1"/>
          <w:highlight w:val="none"/>
          <w:lang w:val="en-US" w:eastAsia="zh-CN"/>
          <w14:textFill>
            <w14:solidFill>
              <w14:schemeClr w14:val="tx1"/>
            </w14:solidFill>
          </w14:textFill>
        </w:rPr>
      </w:pPr>
    </w:p>
    <w:p w14:paraId="2177D3DE">
      <w:pPr>
        <w:pStyle w:val="3"/>
        <w:numPr>
          <w:ilvl w:val="0"/>
          <w:numId w:val="4"/>
        </w:numPr>
        <w:bidi w:val="0"/>
        <w:ind w:left="0" w:leftChars="0" w:firstLine="0" w:firstLineChars="0"/>
        <w:jc w:val="both"/>
        <w:rPr>
          <w:rFonts w:hint="eastAsia" w:ascii="宋体" w:hAnsi="宋体" w:eastAsia="宋体" w:cs="宋体"/>
          <w:color w:val="000000" w:themeColor="text1"/>
          <w:sz w:val="28"/>
          <w:szCs w:val="28"/>
          <w:highlight w:val="none"/>
          <w14:textFill>
            <w14:solidFill>
              <w14:schemeClr w14:val="tx1"/>
            </w14:solidFill>
          </w14:textFill>
        </w:rPr>
      </w:pPr>
      <w:bookmarkStart w:id="25" w:name="_Toc74323458"/>
      <w:r>
        <w:rPr>
          <w:rFonts w:hint="eastAsia" w:ascii="宋体" w:hAnsi="宋体" w:eastAsia="宋体" w:cs="宋体"/>
          <w:color w:val="000000" w:themeColor="text1"/>
          <w:sz w:val="28"/>
          <w:szCs w:val="28"/>
          <w:highlight w:val="none"/>
          <w14:textFill>
            <w14:solidFill>
              <w14:schemeClr w14:val="tx1"/>
            </w14:solidFill>
          </w14:textFill>
        </w:rPr>
        <w:t>采购需求</w:t>
      </w:r>
      <w:bookmarkEnd w:id="25"/>
    </w:p>
    <w:tbl>
      <w:tblPr>
        <w:tblStyle w:val="6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498"/>
        <w:gridCol w:w="1491"/>
        <w:gridCol w:w="1740"/>
        <w:gridCol w:w="5291"/>
      </w:tblGrid>
      <w:tr w14:paraId="5B58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982B">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一、项目要求及技术需求</w:t>
            </w:r>
          </w:p>
        </w:tc>
      </w:tr>
      <w:tr w14:paraId="3DCBE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689774">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（一）、服务内容</w:t>
            </w:r>
          </w:p>
        </w:tc>
      </w:tr>
      <w:tr w14:paraId="6109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3CB82">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服务内容</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03E7">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序号</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60AB">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服务类别</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AE006">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服务项</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E1A1A">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服务要求</w:t>
            </w:r>
          </w:p>
        </w:tc>
      </w:tr>
      <w:tr w14:paraId="775C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421" w:type="pct"/>
            <w:vMerge w:val="restart"/>
            <w:tcBorders>
              <w:top w:val="single" w:color="000000" w:sz="4" w:space="0"/>
              <w:left w:val="single" w:color="000000" w:sz="4" w:space="0"/>
              <w:right w:val="single" w:color="000000" w:sz="4" w:space="0"/>
            </w:tcBorders>
            <w:shd w:val="clear" w:color="auto" w:fill="auto"/>
            <w:noWrap/>
            <w:vAlign w:val="center"/>
          </w:tcPr>
          <w:p w14:paraId="3FC3CEEC">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3348">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7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4EF5">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送达对接服务</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F3990">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●对接法院审判服务</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35F82">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提供直接从法院内部网络在法院一张网案件系统创建和发起送达任务，并自动带入案件相关信息</w:t>
            </w:r>
          </w:p>
        </w:tc>
      </w:tr>
      <w:tr w14:paraId="4798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4082">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08E9">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7836">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84720">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●对接法院执行服务</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C523">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提供直接从法院内部网络在法院一张网案件系统创建和发起送达任务，并自动带入案件相关信息</w:t>
            </w:r>
          </w:p>
        </w:tc>
      </w:tr>
      <w:tr w14:paraId="45C24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57A2">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D063">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E4D3">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9BD0">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●对接法院卷宗服务</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32CA">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提供对接一张网案件系统电子卷宗，获取需送达信息及文书，并自动回传送达过程及结果等</w:t>
            </w:r>
          </w:p>
        </w:tc>
      </w:tr>
      <w:tr w14:paraId="7FC3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CC8E">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8999">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E315">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9575">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●对接法院一号通办服务</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7FA17">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提供通过12368诉讼服务热线电话联系当事人，确认送达事务、全程录音并返回法院办案系统</w:t>
            </w:r>
          </w:p>
        </w:tc>
      </w:tr>
      <w:tr w14:paraId="1EC4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8D94">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E912">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163A">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6F33">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●对接目的地集中打印服务</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968F">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提供对接最高法目的地集中打印服务，实现跨域送达，物流详情实时回传</w:t>
            </w:r>
          </w:p>
        </w:tc>
      </w:tr>
      <w:tr w14:paraId="63D8E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DE29">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9545">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EB45">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BD378">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●对接外出送达小程序/app服务</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BBE9B">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提供对接外出送达小程序，实现外出拍照的互联网信息实时回传法院内网案件系统</w:t>
            </w:r>
          </w:p>
        </w:tc>
      </w:tr>
      <w:tr w14:paraId="01A9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8BEE">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D515">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2D77">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2E7A4">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●对接短信及其他电子平台服务</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CEF26">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提供对接广西法院短信平台、人民法院在线服务、电子邮箱及其他电子平台服务，支持通过上述平台发送电子送达信息，支持送达结果回传业务系统，送达办理全流程跟进</w:t>
            </w:r>
          </w:p>
        </w:tc>
      </w:tr>
      <w:tr w14:paraId="13DE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707C">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restart"/>
            <w:tcBorders>
              <w:top w:val="single" w:color="000000" w:sz="4" w:space="0"/>
              <w:left w:val="single" w:color="000000" w:sz="4" w:space="0"/>
              <w:right w:val="single" w:color="000000" w:sz="4" w:space="0"/>
            </w:tcBorders>
            <w:shd w:val="clear" w:color="auto" w:fill="auto"/>
            <w:vAlign w:val="center"/>
          </w:tcPr>
          <w:p w14:paraId="1EEB7D3D">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p w14:paraId="7D659919">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single"/>
                <w14:textFill>
                  <w14:solidFill>
                    <w14:schemeClr w14:val="tx1"/>
                  </w14:solidFill>
                </w14:textFill>
              </w:rPr>
            </w:pPr>
          </w:p>
        </w:tc>
        <w:tc>
          <w:tcPr>
            <w:tcW w:w="7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26612">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送达统管服务</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29BB3">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任务统筹展示</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F682B">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提供送达分派任务，对未分派送达人的送达任务展示人物列表，以快速实现对送达情况、送达优先级进行统筹处理</w:t>
            </w:r>
          </w:p>
        </w:tc>
      </w:tr>
      <w:tr w14:paraId="51237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D5A4">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left w:val="single" w:color="000000" w:sz="4" w:space="0"/>
              <w:right w:val="single" w:color="000000" w:sz="4" w:space="0"/>
            </w:tcBorders>
            <w:shd w:val="clear" w:color="auto" w:fill="auto"/>
            <w:vAlign w:val="center"/>
          </w:tcPr>
          <w:p w14:paraId="6F70F281">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738E6">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D44C1">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批量分派处理</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453D6">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提供对送达服务批量分派处理，快捷办理</w:t>
            </w:r>
          </w:p>
        </w:tc>
      </w:tr>
      <w:tr w14:paraId="2C58E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33E5">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left w:val="single" w:color="000000" w:sz="4" w:space="0"/>
              <w:bottom w:val="single" w:color="auto" w:sz="4" w:space="0"/>
              <w:right w:val="single" w:color="000000" w:sz="4" w:space="0"/>
            </w:tcBorders>
            <w:shd w:val="clear" w:color="auto" w:fill="auto"/>
            <w:noWrap/>
            <w:vAlign w:val="center"/>
          </w:tcPr>
          <w:p w14:paraId="5ED8E960">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single"/>
                <w14:textFill>
                  <w14:solidFill>
                    <w14:schemeClr w14:val="tx1"/>
                  </w14:solidFill>
                </w14:textFill>
              </w:rPr>
            </w:pPr>
          </w:p>
        </w:tc>
        <w:tc>
          <w:tcPr>
            <w:tcW w:w="75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D6E00EF">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C41B">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●送达合并办理</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0F83">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系列案、送达合并案例，支持对不同案件相同代理人选择合并办理；支持不同案件相同当事人的任务选择合并办理；支持同案件不同当事人同一签收地址合并面单办理；支持系列案批量发起送达并批量归类办理；送达结果按案件逐一回传对应</w:t>
            </w:r>
          </w:p>
        </w:tc>
      </w:tr>
      <w:tr w14:paraId="0D54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A849">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restart"/>
            <w:tcBorders>
              <w:top w:val="single" w:color="auto" w:sz="4" w:space="0"/>
              <w:left w:val="single" w:color="000000" w:sz="4" w:space="0"/>
              <w:right w:val="single" w:color="000000" w:sz="4" w:space="0"/>
            </w:tcBorders>
            <w:shd w:val="clear" w:color="auto" w:fill="auto"/>
            <w:noWrap/>
            <w:vAlign w:val="center"/>
          </w:tcPr>
          <w:p w14:paraId="5E661B89">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3</w:t>
            </w:r>
          </w:p>
        </w:tc>
        <w:tc>
          <w:tcPr>
            <w:tcW w:w="756"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5AC6603C">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送达记录服务</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272B">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送达待办列表</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55220">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提供为送达人提供送达待办列表，区分送达状态、送达优先级，方便跟踪</w:t>
            </w:r>
          </w:p>
        </w:tc>
      </w:tr>
      <w:tr w14:paraId="4D21F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CC21">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383B">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48480">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2E31">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送达办结闭环</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8A9D">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提供对送达任务流程智能办结，提供人工办理功能，支持对送达完成记录重点标注，实现闭环及管控</w:t>
            </w:r>
          </w:p>
        </w:tc>
      </w:tr>
      <w:tr w14:paraId="11A0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B16D">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F239">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8E46B">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4051">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送达回证生成</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D6AA">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提供自动生成电子送达回证，送达记录送达过程和结果，支持上传送达回执附件，对送达过程全程留痕</w:t>
            </w:r>
          </w:p>
        </w:tc>
      </w:tr>
      <w:tr w14:paraId="2F1E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A846">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4F35">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6939D">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F2039">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送达记录查看</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7D17">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提供在一张网案件系统电子卷宗查看或收听送达回执和附件，如电话语言录音、送达回证、邮寄面单扫描图片、公告送达情况等</w:t>
            </w:r>
          </w:p>
        </w:tc>
      </w:tr>
      <w:tr w14:paraId="3451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C950">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849E">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FFDE1">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B47D5">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批量跟进送达进展</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7D7C">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提供根据筛选条件，批量跟进筛选范围内所有送达案件任务详情，并支持查看、下载所有回证材料</w:t>
            </w:r>
          </w:p>
        </w:tc>
      </w:tr>
      <w:tr w14:paraId="063CC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2313">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3079">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4C782">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5B111">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“送达网”送达数据查看</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98F5">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提供通过微信公众号、小程序的互联网环境内查看送达记录，法官登录互联网系统即可了解自己承办案件送达情况，实现法院外即可获知送达详情，提速增效</w:t>
            </w:r>
          </w:p>
        </w:tc>
      </w:tr>
      <w:tr w14:paraId="5E3C3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210E">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restart"/>
            <w:tcBorders>
              <w:top w:val="single" w:color="000000" w:sz="4" w:space="0"/>
              <w:left w:val="single" w:color="000000" w:sz="4" w:space="0"/>
              <w:right w:val="single" w:color="000000" w:sz="4" w:space="0"/>
            </w:tcBorders>
            <w:shd w:val="clear" w:color="auto" w:fill="auto"/>
            <w:vAlign w:val="center"/>
          </w:tcPr>
          <w:p w14:paraId="4C7DFD6B">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4</w:t>
            </w:r>
          </w:p>
        </w:tc>
        <w:tc>
          <w:tcPr>
            <w:tcW w:w="7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1C4E2">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文书处理服务</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BB87">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本地文书上传</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CE4C">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提供除了直接加载案件卷宗文书外，同时实现本地制作好的文书上传，进行送达办理</w:t>
            </w:r>
          </w:p>
        </w:tc>
      </w:tr>
      <w:tr w14:paraId="2852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B9DE">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left w:val="single" w:color="000000" w:sz="4" w:space="0"/>
              <w:bottom w:val="single" w:color="000000" w:sz="4" w:space="0"/>
              <w:right w:val="single" w:color="000000" w:sz="4" w:space="0"/>
            </w:tcBorders>
            <w:shd w:val="clear" w:color="auto" w:fill="auto"/>
            <w:vAlign w:val="center"/>
          </w:tcPr>
          <w:p w14:paraId="59CD8E52">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4953D">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02FFF">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批量下载、打印文书服务</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8250">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支持批量下载文书、打印各类文书服务功能</w:t>
            </w:r>
          </w:p>
        </w:tc>
      </w:tr>
      <w:tr w14:paraId="5A6A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C856">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3726">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7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10A4C">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电子送达服务</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1DF46">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电话联系</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D7D58">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提供电话联系当事人，使用标准话术，确认身份信息，送达地址等需确认事项，引导和指导使用电子送达，通知接收电子送达等服务</w:t>
            </w:r>
          </w:p>
        </w:tc>
      </w:tr>
      <w:tr w14:paraId="402B6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6FE6">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FF7A">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E48C6">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B9DB">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录音存证</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9C05">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提供通话过程实时录音，通话完毕后，把录音记录存入后台服务器中并实时返回法院案件系统</w:t>
            </w:r>
          </w:p>
        </w:tc>
      </w:tr>
      <w:tr w14:paraId="1B156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1DF3">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CB4A">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B3F9F">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1101">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短信送达</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16A0">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提供链接短信平台，短信通知通过高效的短信模板，一键发送，支持受送达人直接点开短信链接，查看电子文书，返回电子送达回证</w:t>
            </w:r>
          </w:p>
        </w:tc>
      </w:tr>
      <w:tr w14:paraId="0EBE4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EDBF">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D8D1">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78A24">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8754">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邮箱送达</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6C9A0">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提供电子邮箱发送和接收，查看电子文书</w:t>
            </w:r>
          </w:p>
        </w:tc>
      </w:tr>
      <w:tr w14:paraId="44F4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3B02">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1129CC5F">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D29EC78">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75B9">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人民法院在线送达</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BAFA">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提供“人民法院在线服务”平台做为电子送达的送达途径。送达发出后，受送达人可在“人民法院在线服务”平台上做文书预览签收。支持送达结果回传案件系统，送达办理全流程留痕</w:t>
            </w:r>
          </w:p>
        </w:tc>
      </w:tr>
      <w:tr w14:paraId="6950F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1410">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C2EDBD4">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6</w:t>
            </w:r>
          </w:p>
        </w:tc>
        <w:tc>
          <w:tcPr>
            <w:tcW w:w="756"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3E506FDC">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来院领取服务</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AEB4">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窗口领取服务</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AC4B">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提供接待当事人上门领取文书服务，履行现场签收，手写签名等手续后，领取文书，送达回执登记回传案件系统</w:t>
            </w:r>
          </w:p>
        </w:tc>
      </w:tr>
      <w:tr w14:paraId="0E7F4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8937">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F55222C">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371157D">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4472F">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自助终端文书领取</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06FB">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可支持链接自助终端领取，当事人到院自助文书领取，回证生成确认，回传入卷</w:t>
            </w:r>
          </w:p>
        </w:tc>
      </w:tr>
      <w:tr w14:paraId="10108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FA2D">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restart"/>
            <w:tcBorders>
              <w:top w:val="single" w:color="auto" w:sz="4" w:space="0"/>
              <w:left w:val="single" w:color="000000" w:sz="4" w:space="0"/>
              <w:right w:val="single" w:color="000000" w:sz="4" w:space="0"/>
            </w:tcBorders>
            <w:shd w:val="clear" w:color="auto" w:fill="auto"/>
            <w:vAlign w:val="center"/>
          </w:tcPr>
          <w:p w14:paraId="6D8DFD3B">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7</w:t>
            </w:r>
          </w:p>
        </w:tc>
        <w:tc>
          <w:tcPr>
            <w:tcW w:w="756" w:type="pct"/>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1E4DA226">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邮寄送达服务</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9B40">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●文书告知书二维码</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41BE">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提供每个</w:t>
            </w:r>
            <w:r>
              <w:rPr>
                <w:rFonts w:hint="eastAsia" w:ascii="宋体" w:hAnsi="宋体" w:eastAsia="宋体" w:cs="宋体"/>
                <w:i w:val="0"/>
                <w:iCs w:val="0"/>
                <w:color w:val="auto"/>
                <w:kern w:val="0"/>
                <w:sz w:val="24"/>
                <w:szCs w:val="24"/>
                <w:highlight w:val="none"/>
                <w:u w:val="none"/>
                <w:lang w:val="en-US" w:eastAsia="zh-CN" w:bidi="ar"/>
              </w:rPr>
              <w:t>任务所送所有文书浓缩到一张文书告知书二维码上，实现在当事人同意的情况下，收件时通过直接扫描二维码即可在pc、手机终端预览、</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下载所送文书</w:t>
            </w:r>
          </w:p>
        </w:tc>
      </w:tr>
      <w:tr w14:paraId="05B5C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E53E">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left w:val="single" w:color="000000" w:sz="4" w:space="0"/>
              <w:right w:val="single" w:color="000000" w:sz="4" w:space="0"/>
            </w:tcBorders>
            <w:shd w:val="clear" w:color="auto" w:fill="auto"/>
            <w:vAlign w:val="center"/>
          </w:tcPr>
          <w:p w14:paraId="46A70A5B">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A1FC">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2E6DE">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●本地集中文印</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F0E98">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提供送达文书的本地集中打印服务</w:t>
            </w:r>
          </w:p>
        </w:tc>
      </w:tr>
      <w:tr w14:paraId="1BD1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AF6F">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left w:val="single" w:color="000000" w:sz="4" w:space="0"/>
              <w:right w:val="single" w:color="000000" w:sz="4" w:space="0"/>
            </w:tcBorders>
            <w:shd w:val="clear" w:color="auto" w:fill="auto"/>
            <w:noWrap/>
            <w:vAlign w:val="center"/>
          </w:tcPr>
          <w:p w14:paraId="4099C1E7">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8EAF">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5852">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●异地集中打印</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09FB3">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提供提交送达目的地集中打印服务，由目的地进行文书印制、封装并跨域邮寄送达，满足最高人民法院集约送达率要求</w:t>
            </w:r>
          </w:p>
        </w:tc>
      </w:tr>
      <w:tr w14:paraId="626C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85B0">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left w:val="single" w:color="000000" w:sz="4" w:space="0"/>
              <w:right w:val="single" w:color="000000" w:sz="4" w:space="0"/>
            </w:tcBorders>
            <w:shd w:val="clear" w:color="auto" w:fill="auto"/>
            <w:noWrap/>
            <w:vAlign w:val="center"/>
          </w:tcPr>
          <w:p w14:paraId="07152F0E">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CE5C">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7362E">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同城邮寄送达</w:t>
            </w:r>
          </w:p>
        </w:tc>
        <w:tc>
          <w:tcPr>
            <w:tcW w:w="26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544D8">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提供邮寄送达对接服务。包括去程+回程的双程邮寄送达，包括邮件专用面单、信封，执行全国法院专递投递标准进行送达，回执实物寄回法院，审核、整理、归档</w:t>
            </w:r>
          </w:p>
        </w:tc>
      </w:tr>
      <w:tr w14:paraId="5CE1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482B">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left w:val="single" w:color="000000" w:sz="4" w:space="0"/>
              <w:right w:val="single" w:color="000000" w:sz="4" w:space="0"/>
            </w:tcBorders>
            <w:shd w:val="clear" w:color="auto" w:fill="auto"/>
            <w:noWrap/>
            <w:vAlign w:val="center"/>
          </w:tcPr>
          <w:p w14:paraId="6C5F06FB">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1F26">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606D">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区内异地邮寄送达</w:t>
            </w:r>
          </w:p>
        </w:tc>
        <w:tc>
          <w:tcPr>
            <w:tcW w:w="2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E0921">
            <w:pPr>
              <w:keepNext w:val="0"/>
              <w:keepLines w:val="0"/>
              <w:pageBreakBefore w:val="0"/>
              <w:widowControl/>
              <w:kinsoku/>
              <w:wordWrap/>
              <w:overflowPunct/>
              <w:topLinePunct w:val="0"/>
              <w:autoSpaceDE/>
              <w:autoSpaceDN/>
              <w:bidi w:val="0"/>
              <w:adjustRightInd w:val="0"/>
              <w:snapToGrid w:val="0"/>
              <w:spacing w:line="440" w:lineRule="atLeast"/>
              <w:jc w:val="left"/>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511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2D8D">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left w:val="single" w:color="000000" w:sz="4" w:space="0"/>
              <w:right w:val="single" w:color="000000" w:sz="4" w:space="0"/>
            </w:tcBorders>
            <w:shd w:val="clear" w:color="auto" w:fill="auto"/>
            <w:noWrap/>
            <w:vAlign w:val="center"/>
          </w:tcPr>
          <w:p w14:paraId="457E654D">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41DE">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3782">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省际邮寄送达</w:t>
            </w:r>
          </w:p>
        </w:tc>
        <w:tc>
          <w:tcPr>
            <w:tcW w:w="2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1216D">
            <w:pPr>
              <w:keepNext w:val="0"/>
              <w:keepLines w:val="0"/>
              <w:pageBreakBefore w:val="0"/>
              <w:widowControl/>
              <w:kinsoku/>
              <w:wordWrap/>
              <w:overflowPunct/>
              <w:topLinePunct w:val="0"/>
              <w:autoSpaceDE/>
              <w:autoSpaceDN/>
              <w:bidi w:val="0"/>
              <w:adjustRightInd w:val="0"/>
              <w:snapToGrid w:val="0"/>
              <w:spacing w:line="440" w:lineRule="atLeast"/>
              <w:jc w:val="left"/>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76C9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5D75">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left w:val="single" w:color="000000" w:sz="4" w:space="0"/>
              <w:right w:val="single" w:color="000000" w:sz="4" w:space="0"/>
            </w:tcBorders>
            <w:shd w:val="clear" w:color="auto" w:fill="auto"/>
            <w:noWrap/>
            <w:vAlign w:val="center"/>
          </w:tcPr>
          <w:p w14:paraId="1C2F587B">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8133">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360E">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纸质、实物直接邮寄送达</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13C46">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提供法院对纸质材料、光盘、u盘文件等实物做系统送达登记，并对接办理。支持送达完成后送达任务记录展示、回证材料的回传、入卷。</w:t>
            </w:r>
          </w:p>
        </w:tc>
      </w:tr>
      <w:tr w14:paraId="2089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B9AB">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left w:val="single" w:color="000000" w:sz="4" w:space="0"/>
              <w:bottom w:val="single" w:color="auto" w:sz="4" w:space="0"/>
              <w:right w:val="single" w:color="000000" w:sz="4" w:space="0"/>
            </w:tcBorders>
            <w:shd w:val="clear" w:color="auto" w:fill="auto"/>
            <w:noWrap/>
            <w:vAlign w:val="center"/>
          </w:tcPr>
          <w:p w14:paraId="6CBDEB53">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5E048049">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EBE6E">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●邮寄物流跟踪及邮寄回执入卷</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A03E">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智能推送和获取邮寄送达信息，自动获取邮寄物流信息详情；提供邮寄专递回执联扫描服务，或直接获取邮寄专递电子回执，并形成送达电子报告入卷</w:t>
            </w:r>
          </w:p>
        </w:tc>
      </w:tr>
      <w:tr w14:paraId="43DA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36FC">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AF47A20">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8</w:t>
            </w:r>
          </w:p>
        </w:tc>
        <w:tc>
          <w:tcPr>
            <w:tcW w:w="756" w:type="pct"/>
            <w:tcBorders>
              <w:top w:val="single" w:color="auto" w:sz="4" w:space="0"/>
              <w:left w:val="single" w:color="000000" w:sz="4" w:space="0"/>
              <w:bottom w:val="single" w:color="000000" w:sz="4" w:space="0"/>
              <w:right w:val="single" w:color="000000" w:sz="4" w:space="0"/>
            </w:tcBorders>
            <w:shd w:val="clear" w:color="auto" w:fill="auto"/>
            <w:vAlign w:val="center"/>
          </w:tcPr>
          <w:p w14:paraId="0EAA1269">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外出送达辅助服务</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DA63">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●外出送达及小程序应用</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F76C">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提供上门向当事人采集送达情况，提供对接外出送达小程序，记录送达现场照片、见证照片、影像，一键上传送达记录和回执材料，实现外出拍照的互联网信息实时回传法院内网案件系统</w:t>
            </w:r>
          </w:p>
        </w:tc>
      </w:tr>
      <w:tr w14:paraId="78A6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69D4">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407AA9AC">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9</w:t>
            </w:r>
          </w:p>
        </w:tc>
        <w:tc>
          <w:tcPr>
            <w:tcW w:w="756" w:type="pct"/>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397B2317">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委托送达辅助服务</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72C3">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委托送达办理及跟踪</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7D1A5">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提供委托任务办理，跟进委托任务，及时获取受托人民法院签收及办理送达情况，反馈法院</w:t>
            </w:r>
          </w:p>
        </w:tc>
      </w:tr>
      <w:tr w14:paraId="30C22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7EFC">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97976F8">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742A19F">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01026">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跨域委托外出送达</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F3A8">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支持地市辖区范围内跨域委托外勤送达，按委托的送达地址分配对应地址辖区送达外勤人员；于使用同一个系统或服务商的，可形成区域联网，支持异地法院外勤拍照回传委托法院送达系统</w:t>
            </w:r>
          </w:p>
        </w:tc>
      </w:tr>
      <w:tr w14:paraId="62BBC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56C6">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BA5B339">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756" w:type="pct"/>
            <w:tcBorders>
              <w:top w:val="single" w:color="auto" w:sz="4" w:space="0"/>
              <w:left w:val="single" w:color="000000" w:sz="4" w:space="0"/>
              <w:bottom w:val="single" w:color="auto" w:sz="4" w:space="0"/>
              <w:right w:val="single" w:color="000000" w:sz="4" w:space="0"/>
            </w:tcBorders>
            <w:shd w:val="clear" w:color="auto" w:fill="auto"/>
            <w:vAlign w:val="center"/>
          </w:tcPr>
          <w:p w14:paraId="704F709C">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公告送达辅助服务</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1DE5C">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网上公告及跟踪</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E46A">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网上公告服务，全流程对接人民法院报，辅助任务提交，线上催缴，跟进报社排版刊登，支持在送达系统全流程跟进公告任务办理情况，支持刊登后相关刊登版面和公告刊登结果回传送达系统，并下载入卷法院一张网案件系统电子卷宗。</w:t>
            </w:r>
          </w:p>
        </w:tc>
      </w:tr>
      <w:tr w14:paraId="77831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3866">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23F289F">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11</w:t>
            </w:r>
          </w:p>
        </w:tc>
        <w:tc>
          <w:tcPr>
            <w:tcW w:w="756" w:type="pct"/>
            <w:tcBorders>
              <w:top w:val="single" w:color="auto" w:sz="4" w:space="0"/>
              <w:left w:val="single" w:color="000000" w:sz="4" w:space="0"/>
              <w:bottom w:val="single" w:color="auto" w:sz="4" w:space="0"/>
              <w:right w:val="single" w:color="000000" w:sz="4" w:space="0"/>
            </w:tcBorders>
            <w:shd w:val="clear" w:color="auto" w:fill="auto"/>
            <w:vAlign w:val="center"/>
          </w:tcPr>
          <w:p w14:paraId="6E0C7D8E">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补充送达服务</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CC10C">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●补充送达</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F923">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支持已完成的送达任务做补充送达，包括补充电联、补充短信、电子送达、补充来院领取、补充邮寄和外勤送达等送达材料</w:t>
            </w:r>
          </w:p>
        </w:tc>
      </w:tr>
      <w:tr w14:paraId="49AFD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DB9D">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restart"/>
            <w:tcBorders>
              <w:top w:val="single" w:color="auto" w:sz="4" w:space="0"/>
              <w:left w:val="single" w:color="000000" w:sz="4" w:space="0"/>
              <w:right w:val="single" w:color="000000" w:sz="4" w:space="0"/>
            </w:tcBorders>
            <w:shd w:val="clear" w:color="auto" w:fill="auto"/>
            <w:noWrap/>
            <w:vAlign w:val="center"/>
          </w:tcPr>
          <w:p w14:paraId="59BDD2A3">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12</w:t>
            </w:r>
          </w:p>
        </w:tc>
        <w:tc>
          <w:tcPr>
            <w:tcW w:w="756"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604AC2B0">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送达报告服务</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A354">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●生成全流程任务送达报告</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BD32C">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提供全流程送达报告，对集约送达、全流程送达自动生成送达报告并实时返回法院案件系统</w:t>
            </w:r>
          </w:p>
        </w:tc>
      </w:tr>
      <w:tr w14:paraId="194F2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4D5D">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53CE2867">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473A296">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F90C">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●案件送达报告汇总分析</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BAFA">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支持生成一份同一案件不同送达批次当事人送达汇总情况报告，助力案件送达分析</w:t>
            </w:r>
          </w:p>
        </w:tc>
      </w:tr>
      <w:tr w14:paraId="7E5B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C5D5">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F46E0D0">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13</w:t>
            </w:r>
          </w:p>
        </w:tc>
        <w:tc>
          <w:tcPr>
            <w:tcW w:w="756" w:type="pct"/>
            <w:tcBorders>
              <w:top w:val="single" w:color="auto" w:sz="4" w:space="0"/>
              <w:left w:val="single" w:color="000000" w:sz="4" w:space="0"/>
              <w:bottom w:val="single" w:color="000000" w:sz="4" w:space="0"/>
              <w:right w:val="single" w:color="000000" w:sz="4" w:space="0"/>
            </w:tcBorders>
            <w:shd w:val="clear" w:color="auto" w:fill="auto"/>
            <w:vAlign w:val="center"/>
          </w:tcPr>
          <w:p w14:paraId="4C2BE46E">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统计分析服务</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A742">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数据报表</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8A50">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提供多维度统计案件送达信息、情况明细、送达时效等多统计报表展示</w:t>
            </w:r>
          </w:p>
        </w:tc>
      </w:tr>
      <w:tr w14:paraId="52BE2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6691">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restart"/>
            <w:tcBorders>
              <w:top w:val="single" w:color="auto" w:sz="4" w:space="0"/>
              <w:left w:val="single" w:color="000000" w:sz="4" w:space="0"/>
              <w:right w:val="single" w:color="000000" w:sz="4" w:space="0"/>
            </w:tcBorders>
            <w:shd w:val="clear" w:color="auto" w:fill="auto"/>
            <w:noWrap/>
            <w:vAlign w:val="center"/>
          </w:tcPr>
          <w:p w14:paraId="357AE53F">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w:t>
            </w:r>
          </w:p>
        </w:tc>
        <w:tc>
          <w:tcPr>
            <w:tcW w:w="7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F944B">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送达地址库应用服务</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4C51">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原审案件送达地址展示</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4B6FC">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支持加载本送达系统原审案件送达成功的地址信息</w:t>
            </w:r>
          </w:p>
        </w:tc>
      </w:tr>
      <w:tr w14:paraId="4CFD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0277">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vMerge w:val="continue"/>
            <w:tcBorders>
              <w:left w:val="single" w:color="000000" w:sz="4" w:space="0"/>
              <w:bottom w:val="single" w:color="auto" w:sz="4" w:space="0"/>
              <w:right w:val="single" w:color="000000" w:sz="4" w:space="0"/>
            </w:tcBorders>
            <w:shd w:val="clear" w:color="auto" w:fill="auto"/>
            <w:noWrap/>
            <w:vAlign w:val="center"/>
          </w:tcPr>
          <w:p w14:paraId="49BBCAD1">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CE98247">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3" w:type="pct"/>
            <w:tcBorders>
              <w:top w:val="single" w:color="000000" w:sz="4" w:space="0"/>
              <w:left w:val="single" w:color="000000" w:sz="4" w:space="0"/>
              <w:bottom w:val="single" w:color="auto" w:sz="4" w:space="0"/>
              <w:right w:val="single" w:color="000000" w:sz="4" w:space="0"/>
            </w:tcBorders>
            <w:shd w:val="clear" w:color="auto" w:fill="auto"/>
            <w:vAlign w:val="center"/>
          </w:tcPr>
          <w:p w14:paraId="29CE162B">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本案送达地址电话、地址送达成功提醒</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ABCB">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支持本案历史送达成功的电话、地址提醒标志，帮助法官快速选择送达地址</w:t>
            </w:r>
          </w:p>
        </w:tc>
      </w:tr>
      <w:tr w14:paraId="6FA7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81AC">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tcBorders>
              <w:top w:val="single" w:color="auto" w:sz="4" w:space="0"/>
              <w:left w:val="single" w:color="000000" w:sz="4" w:space="0"/>
              <w:bottom w:val="single" w:color="000000" w:sz="4" w:space="0"/>
              <w:right w:val="single" w:color="000000" w:sz="4" w:space="0"/>
            </w:tcBorders>
            <w:shd w:val="clear" w:color="auto" w:fill="auto"/>
            <w:vAlign w:val="center"/>
          </w:tcPr>
          <w:p w14:paraId="3F083B64">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15</w:t>
            </w:r>
          </w:p>
        </w:tc>
        <w:tc>
          <w:tcPr>
            <w:tcW w:w="756" w:type="pct"/>
            <w:tcBorders>
              <w:top w:val="single" w:color="auto" w:sz="4" w:space="0"/>
              <w:left w:val="single" w:color="000000" w:sz="4" w:space="0"/>
              <w:bottom w:val="single" w:color="auto" w:sz="4" w:space="0"/>
              <w:right w:val="single" w:color="000000" w:sz="4" w:space="0"/>
            </w:tcBorders>
            <w:shd w:val="clear" w:color="auto" w:fill="auto"/>
            <w:vAlign w:val="center"/>
          </w:tcPr>
          <w:p w14:paraId="3A9F379A">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成果展示服务</w:t>
            </w:r>
          </w:p>
        </w:tc>
        <w:tc>
          <w:tcPr>
            <w:tcW w:w="883" w:type="pct"/>
            <w:tcBorders>
              <w:top w:val="single" w:color="auto" w:sz="4" w:space="0"/>
              <w:left w:val="single" w:color="000000" w:sz="4" w:space="0"/>
              <w:bottom w:val="single" w:color="000000" w:sz="4" w:space="0"/>
              <w:right w:val="single" w:color="000000" w:sz="4" w:space="0"/>
            </w:tcBorders>
            <w:shd w:val="clear" w:color="auto" w:fill="auto"/>
            <w:vAlign w:val="center"/>
          </w:tcPr>
          <w:p w14:paraId="149CE30A">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大数据看板</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A9246">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提供展示发起送达案件数、受送达人次、处理时间、和送达方式成功占比等大数据看板</w:t>
            </w:r>
          </w:p>
        </w:tc>
      </w:tr>
      <w:tr w14:paraId="735DA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FF55">
            <w:pPr>
              <w:keepNext w:val="0"/>
              <w:keepLines w:val="0"/>
              <w:pageBreakBefore w:val="0"/>
              <w:widowControl/>
              <w:kinsoku/>
              <w:wordWrap/>
              <w:overflowPunct/>
              <w:topLinePunct w:val="0"/>
              <w:autoSpaceDE/>
              <w:autoSpaceDN/>
              <w:bidi w:val="0"/>
              <w:adjustRightInd w:val="0"/>
              <w:snapToGrid w:val="0"/>
              <w:spacing w:line="440" w:lineRule="atLeas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 w:type="pct"/>
            <w:tcBorders>
              <w:top w:val="single" w:color="auto" w:sz="4" w:space="0"/>
              <w:left w:val="single" w:color="000000" w:sz="4" w:space="0"/>
              <w:bottom w:val="single" w:color="000000" w:sz="4" w:space="0"/>
              <w:right w:val="single" w:color="000000" w:sz="4" w:space="0"/>
            </w:tcBorders>
            <w:shd w:val="clear" w:color="auto" w:fill="auto"/>
            <w:vAlign w:val="center"/>
          </w:tcPr>
          <w:p w14:paraId="2B9B7DB0">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16</w:t>
            </w:r>
          </w:p>
        </w:tc>
        <w:tc>
          <w:tcPr>
            <w:tcW w:w="756" w:type="pct"/>
            <w:tcBorders>
              <w:top w:val="single" w:color="auto" w:sz="4" w:space="0"/>
              <w:left w:val="single" w:color="000000" w:sz="4" w:space="0"/>
              <w:bottom w:val="single" w:color="auto" w:sz="4" w:space="0"/>
              <w:right w:val="single" w:color="000000" w:sz="4" w:space="0"/>
            </w:tcBorders>
            <w:shd w:val="clear" w:color="auto" w:fill="auto"/>
            <w:vAlign w:val="center"/>
          </w:tcPr>
          <w:p w14:paraId="6CEED7EE">
            <w:pPr>
              <w:keepNext w:val="0"/>
              <w:keepLines w:val="0"/>
              <w:pageBreakBefore w:val="0"/>
              <w:widowControl/>
              <w:suppressLineNumbers w:val="0"/>
              <w:kinsoku/>
              <w:wordWrap/>
              <w:overflowPunct/>
              <w:topLinePunct w:val="0"/>
              <w:autoSpaceDE/>
              <w:autoSpaceDN/>
              <w:bidi w:val="0"/>
              <w:adjustRightInd w:val="0"/>
              <w:snapToGrid w:val="0"/>
              <w:spacing w:line="440" w:lineRule="atLeas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送达驻场服务</w:t>
            </w:r>
          </w:p>
        </w:tc>
        <w:tc>
          <w:tcPr>
            <w:tcW w:w="883" w:type="pct"/>
            <w:tcBorders>
              <w:top w:val="single" w:color="auto" w:sz="4" w:space="0"/>
              <w:left w:val="single" w:color="000000" w:sz="4" w:space="0"/>
              <w:bottom w:val="single" w:color="000000" w:sz="4" w:space="0"/>
              <w:right w:val="single" w:color="000000" w:sz="4" w:space="0"/>
            </w:tcBorders>
            <w:shd w:val="clear" w:color="auto" w:fill="auto"/>
            <w:vAlign w:val="center"/>
          </w:tcPr>
          <w:p w14:paraId="2B767BCF">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送达驻场服务</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80759">
            <w:pPr>
              <w:keepNext w:val="0"/>
              <w:keepLines w:val="0"/>
              <w:pageBreakBefore w:val="0"/>
              <w:numPr>
                <w:ilvl w:val="0"/>
                <w:numId w:val="5"/>
              </w:numPr>
              <w:kinsoku/>
              <w:wordWrap/>
              <w:overflowPunct/>
              <w:topLinePunct w:val="0"/>
              <w:autoSpaceDE/>
              <w:autoSpaceDN/>
              <w:bidi w:val="0"/>
              <w:adjustRightInd w:val="0"/>
              <w:spacing w:line="4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司法文书送达驻场服务，依据法院案件量的多少、员额法院数量并结合外派法庭的情况，</w:t>
            </w:r>
            <w:r>
              <w:rPr>
                <w:rFonts w:hint="eastAsia" w:ascii="宋体" w:hAnsi="宋体" w:eastAsia="宋体" w:cs="宋体"/>
                <w:color w:val="auto"/>
                <w:sz w:val="24"/>
                <w:szCs w:val="24"/>
                <w:highlight w:val="none"/>
                <w:lang w:val="en-US" w:eastAsia="zh-CN"/>
              </w:rPr>
              <w:t>合理、动态调配人员，</w:t>
            </w:r>
            <w:r>
              <w:rPr>
                <w:rFonts w:hint="eastAsia" w:ascii="宋体" w:hAnsi="宋体" w:eastAsia="宋体" w:cs="宋体"/>
                <w:color w:val="auto"/>
                <w:sz w:val="24"/>
                <w:szCs w:val="24"/>
                <w:highlight w:val="none"/>
              </w:rPr>
              <w:t>为法院提供职业化的文书送达驻场服务人员</w:t>
            </w:r>
            <w:r>
              <w:rPr>
                <w:rFonts w:hint="eastAsia" w:ascii="宋体" w:hAnsi="宋体" w:eastAsia="宋体" w:cs="宋体"/>
                <w:color w:val="auto"/>
                <w:sz w:val="24"/>
                <w:szCs w:val="24"/>
                <w:highlight w:val="none"/>
                <w:lang w:val="en-US" w:eastAsia="zh-CN"/>
              </w:rPr>
              <w:t>及后台集中化统一服务</w:t>
            </w:r>
            <w:r>
              <w:rPr>
                <w:rFonts w:hint="eastAsia" w:ascii="宋体" w:hAnsi="宋体" w:eastAsia="宋体" w:cs="宋体"/>
                <w:color w:val="auto"/>
                <w:sz w:val="24"/>
                <w:szCs w:val="24"/>
                <w:highlight w:val="none"/>
              </w:rPr>
              <w:t>，为法官、书记员提供贴身的、为院方提供定制化的、为当事人提供暖心的文书送达服务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确保完成工作任务</w:t>
            </w:r>
            <w:r>
              <w:rPr>
                <w:rFonts w:hint="eastAsia" w:ascii="宋体" w:hAnsi="宋体" w:eastAsia="宋体" w:cs="宋体"/>
                <w:color w:val="auto"/>
                <w:sz w:val="24"/>
                <w:szCs w:val="24"/>
                <w:highlight w:val="none"/>
              </w:rPr>
              <w:t>。</w:t>
            </w:r>
          </w:p>
          <w:p w14:paraId="0EBE8A5C">
            <w:pPr>
              <w:keepNext w:val="0"/>
              <w:keepLines w:val="0"/>
              <w:pageBreakBefore w:val="0"/>
              <w:numPr>
                <w:ilvl w:val="0"/>
                <w:numId w:val="5"/>
              </w:numPr>
              <w:kinsoku/>
              <w:wordWrap/>
              <w:overflowPunct/>
              <w:topLinePunct w:val="0"/>
              <w:autoSpaceDE/>
              <w:autoSpaceDN/>
              <w:bidi w:val="0"/>
              <w:adjustRightInd w:val="0"/>
              <w:spacing w:line="4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驻场服务指标要求如下：</w:t>
            </w:r>
          </w:p>
          <w:p w14:paraId="6CAC4475">
            <w:pPr>
              <w:keepNext w:val="0"/>
              <w:keepLines w:val="0"/>
              <w:pageBreakBefore w:val="0"/>
              <w:numPr>
                <w:ilvl w:val="0"/>
                <w:numId w:val="0"/>
              </w:numPr>
              <w:kinsoku/>
              <w:wordWrap/>
              <w:overflowPunct/>
              <w:topLinePunct w:val="0"/>
              <w:autoSpaceDE/>
              <w:autoSpaceDN/>
              <w:bidi w:val="0"/>
              <w:adjustRightInd w:val="0"/>
              <w:spacing w:line="440" w:lineRule="atLeast"/>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司法文书送达驻场服务，依据法院案件量的多少、员额法院数量并结合外派法庭的情况，</w:t>
            </w:r>
            <w:r>
              <w:rPr>
                <w:rFonts w:hint="eastAsia" w:ascii="宋体" w:hAnsi="宋体" w:eastAsia="宋体" w:cs="宋体"/>
                <w:color w:val="auto"/>
                <w:sz w:val="24"/>
                <w:szCs w:val="24"/>
                <w:highlight w:val="none"/>
                <w:lang w:val="en-US" w:eastAsia="zh-CN"/>
              </w:rPr>
              <w:t>合理、动态调配人员，</w:t>
            </w:r>
            <w:r>
              <w:rPr>
                <w:rFonts w:hint="eastAsia" w:ascii="宋体" w:hAnsi="宋体" w:eastAsia="宋体" w:cs="宋体"/>
                <w:color w:val="auto"/>
                <w:sz w:val="24"/>
                <w:szCs w:val="24"/>
                <w:highlight w:val="none"/>
              </w:rPr>
              <w:t>为法院提供职业化的文书送达驻场服务人员</w:t>
            </w:r>
            <w:r>
              <w:rPr>
                <w:rFonts w:hint="eastAsia" w:ascii="宋体" w:hAnsi="宋体" w:eastAsia="宋体" w:cs="宋体"/>
                <w:color w:val="auto"/>
                <w:sz w:val="24"/>
                <w:szCs w:val="24"/>
                <w:highlight w:val="none"/>
                <w:lang w:val="en-US" w:eastAsia="zh-CN"/>
              </w:rPr>
              <w:t>及后台集中化统一服务</w:t>
            </w:r>
            <w:r>
              <w:rPr>
                <w:rFonts w:hint="eastAsia" w:ascii="宋体" w:hAnsi="宋体" w:eastAsia="宋体" w:cs="宋体"/>
                <w:color w:val="auto"/>
                <w:sz w:val="24"/>
                <w:szCs w:val="24"/>
                <w:highlight w:val="none"/>
              </w:rPr>
              <w:t>，为法官、书记员提供贴身的、为院方提供定制化的、为当事人提供暖心的文书送达服务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确保完成工作任务</w:t>
            </w:r>
            <w:r>
              <w:rPr>
                <w:rFonts w:hint="eastAsia" w:ascii="宋体" w:hAnsi="宋体" w:eastAsia="宋体" w:cs="宋体"/>
                <w:color w:val="auto"/>
                <w:sz w:val="24"/>
                <w:szCs w:val="24"/>
                <w:highlight w:val="none"/>
              </w:rPr>
              <w:t>。</w:t>
            </w:r>
          </w:p>
          <w:p w14:paraId="0F649703">
            <w:pPr>
              <w:keepNext w:val="0"/>
              <w:keepLines w:val="0"/>
              <w:pageBreakBefore w:val="0"/>
              <w:numPr>
                <w:ilvl w:val="0"/>
                <w:numId w:val="5"/>
              </w:numPr>
              <w:kinsoku/>
              <w:wordWrap/>
              <w:overflowPunct/>
              <w:topLinePunct w:val="0"/>
              <w:autoSpaceDE/>
              <w:autoSpaceDN/>
              <w:bidi w:val="0"/>
              <w:adjustRightInd w:val="0"/>
              <w:spacing w:line="4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驻场服务指标要求如下：</w:t>
            </w:r>
          </w:p>
          <w:p w14:paraId="4512A49D">
            <w:pPr>
              <w:keepNext w:val="0"/>
              <w:keepLines w:val="0"/>
              <w:pageBreakBefore w:val="0"/>
              <w:numPr>
                <w:numId w:val="0"/>
              </w:numPr>
              <w:kinsoku/>
              <w:wordWrap/>
              <w:overflowPunct/>
              <w:topLinePunct w:val="0"/>
              <w:autoSpaceDE/>
              <w:autoSpaceDN/>
              <w:bidi w:val="0"/>
              <w:adjustRightInd w:val="0"/>
              <w:spacing w:line="440" w:lineRule="atLeast"/>
              <w:ind w:firstLine="480" w:firstLineChars="200"/>
              <w:rPr>
                <w:rFonts w:hint="eastAsia" w:ascii="宋体" w:hAnsi="宋体" w:eastAsia="宋体" w:cs="宋体"/>
                <w:strike/>
                <w:dstrike w:val="0"/>
                <w:color w:val="auto"/>
                <w:sz w:val="24"/>
                <w:szCs w:val="24"/>
                <w:highlight w:val="none"/>
              </w:rPr>
            </w:pPr>
            <w:r>
              <w:rPr>
                <w:rFonts w:hint="default" w:ascii="Arial" w:hAnsi="Arial" w:eastAsia="宋体" w:cs="Arial"/>
                <w:color w:val="auto"/>
                <w:sz w:val="24"/>
                <w:szCs w:val="24"/>
                <w:highlight w:val="none"/>
              </w:rPr>
              <w:t>→</w:t>
            </w:r>
            <w:r>
              <w:rPr>
                <w:rFonts w:hint="eastAsia" w:ascii="宋体" w:hAnsi="宋体" w:eastAsia="宋体" w:cs="宋体"/>
                <w:color w:val="auto"/>
                <w:sz w:val="24"/>
                <w:szCs w:val="24"/>
                <w:highlight w:val="none"/>
              </w:rPr>
              <w:t>送达服务合格性</w:t>
            </w:r>
            <w:r>
              <w:rPr>
                <w:rFonts w:hint="eastAsia" w:ascii="宋体" w:hAnsi="宋体" w:eastAsia="宋体" w:cs="宋体"/>
                <w:color w:val="auto"/>
                <w:sz w:val="24"/>
                <w:szCs w:val="24"/>
                <w:highlight w:val="none"/>
                <w:lang w:val="en-US" w:eastAsia="zh-CN"/>
              </w:rPr>
              <w:t>98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以上</w:t>
            </w:r>
            <w:r>
              <w:rPr>
                <w:rFonts w:hint="eastAsia" w:ascii="宋体" w:hAnsi="宋体" w:eastAsia="宋体" w:cs="宋体"/>
                <w:color w:val="auto"/>
                <w:sz w:val="24"/>
                <w:szCs w:val="24"/>
                <w:highlight w:val="none"/>
              </w:rPr>
              <w:t>，送达满意度9</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4E791E42">
            <w:pPr>
              <w:keepNext w:val="0"/>
              <w:keepLines w:val="0"/>
              <w:pageBreakBefore w:val="0"/>
              <w:numPr>
                <w:numId w:val="0"/>
              </w:numPr>
              <w:kinsoku/>
              <w:wordWrap/>
              <w:overflowPunct/>
              <w:topLinePunct w:val="0"/>
              <w:autoSpaceDE/>
              <w:autoSpaceDN/>
              <w:bidi w:val="0"/>
              <w:adjustRightInd w:val="0"/>
              <w:spacing w:line="440" w:lineRule="atLeast"/>
              <w:ind w:left="420" w:leftChars="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r>
              <w:rPr>
                <w:rFonts w:hint="eastAsia" w:ascii="宋体" w:hAnsi="宋体" w:eastAsia="宋体" w:cs="宋体"/>
                <w:color w:val="auto"/>
                <w:sz w:val="24"/>
                <w:szCs w:val="24"/>
                <w:highlight w:val="none"/>
              </w:rPr>
              <w:t>电子送达</w:t>
            </w:r>
            <w:r>
              <w:rPr>
                <w:rFonts w:hint="eastAsia" w:ascii="宋体" w:hAnsi="宋体" w:eastAsia="宋体" w:cs="宋体"/>
                <w:color w:val="auto"/>
                <w:sz w:val="24"/>
                <w:szCs w:val="24"/>
                <w:highlight w:val="none"/>
                <w:lang w:eastAsia="zh-CN"/>
              </w:rPr>
              <w:t>和引导当事人来院领取</w:t>
            </w:r>
            <w:r>
              <w:rPr>
                <w:rFonts w:hint="eastAsia" w:ascii="宋体" w:hAnsi="宋体" w:eastAsia="宋体" w:cs="宋体"/>
                <w:color w:val="auto"/>
                <w:sz w:val="24"/>
                <w:szCs w:val="24"/>
                <w:highlight w:val="none"/>
              </w:rPr>
              <w:t>占总体送达比例</w:t>
            </w: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rPr>
              <w:t>%以上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送达成功率达90%以上。</w:t>
            </w:r>
          </w:p>
          <w:p w14:paraId="1CDE2EAB">
            <w:pPr>
              <w:keepNext w:val="0"/>
              <w:keepLines w:val="0"/>
              <w:pageBreakBefore w:val="0"/>
              <w:numPr>
                <w:numId w:val="0"/>
              </w:numPr>
              <w:kinsoku/>
              <w:wordWrap/>
              <w:overflowPunct/>
              <w:topLinePunct w:val="0"/>
              <w:autoSpaceDE/>
              <w:autoSpaceDN/>
              <w:bidi w:val="0"/>
              <w:adjustRightInd w:val="0"/>
              <w:spacing w:line="440" w:lineRule="atLeast"/>
              <w:ind w:left="42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送达失败后24小时内，切换其他送达方式，直至送达成功；</w:t>
            </w:r>
          </w:p>
          <w:p w14:paraId="6D0170EC">
            <w:pPr>
              <w:keepNext w:val="0"/>
              <w:keepLines w:val="0"/>
              <w:pageBreakBefore w:val="0"/>
              <w:numPr>
                <w:numId w:val="0"/>
              </w:numPr>
              <w:kinsoku/>
              <w:wordWrap/>
              <w:overflowPunct/>
              <w:topLinePunct w:val="0"/>
              <w:autoSpaceDE/>
              <w:autoSpaceDN/>
              <w:bidi w:val="0"/>
              <w:adjustRightInd w:val="0"/>
              <w:spacing w:line="440" w:lineRule="atLeast"/>
              <w:ind w:left="420" w:leftChars="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r>
              <w:rPr>
                <w:rFonts w:hint="eastAsia" w:ascii="宋体" w:hAnsi="宋体" w:eastAsia="宋体" w:cs="宋体"/>
                <w:color w:val="auto"/>
                <w:sz w:val="24"/>
                <w:szCs w:val="24"/>
                <w:highlight w:val="none"/>
              </w:rPr>
              <w:t>如需通过电话与当事人沟通，必须对通话过程录音，并</w:t>
            </w:r>
            <w:r>
              <w:rPr>
                <w:rFonts w:hint="eastAsia" w:ascii="宋体" w:hAnsi="宋体" w:eastAsia="宋体" w:cs="宋体"/>
                <w:color w:val="auto"/>
                <w:sz w:val="24"/>
                <w:szCs w:val="24"/>
                <w:highlight w:val="none"/>
                <w:lang w:val="en-US" w:eastAsia="zh-CN"/>
              </w:rPr>
              <w:t>实时反馈</w:t>
            </w:r>
            <w:r>
              <w:rPr>
                <w:rFonts w:hint="eastAsia" w:ascii="宋体" w:hAnsi="宋体" w:eastAsia="宋体" w:cs="宋体"/>
                <w:color w:val="auto"/>
                <w:sz w:val="24"/>
                <w:szCs w:val="24"/>
                <w:highlight w:val="none"/>
              </w:rPr>
              <w:t>至送达</w:t>
            </w:r>
            <w:r>
              <w:rPr>
                <w:rFonts w:hint="eastAsia" w:ascii="宋体" w:hAnsi="宋体" w:eastAsia="宋体" w:cs="宋体"/>
                <w:color w:val="auto"/>
                <w:sz w:val="24"/>
                <w:szCs w:val="24"/>
                <w:highlight w:val="none"/>
                <w:lang w:val="en-US" w:eastAsia="zh-CN"/>
              </w:rPr>
              <w:t>系统及法院办案系统</w:t>
            </w:r>
            <w:r>
              <w:rPr>
                <w:rFonts w:hint="eastAsia" w:ascii="宋体" w:hAnsi="宋体" w:eastAsia="宋体" w:cs="宋体"/>
                <w:color w:val="auto"/>
                <w:sz w:val="24"/>
                <w:szCs w:val="24"/>
                <w:highlight w:val="none"/>
              </w:rPr>
              <w:t>；</w:t>
            </w:r>
          </w:p>
          <w:p w14:paraId="04657629">
            <w:pPr>
              <w:keepNext w:val="0"/>
              <w:keepLines w:val="0"/>
              <w:pageBreakBefore w:val="0"/>
              <w:numPr>
                <w:ilvl w:val="0"/>
                <w:numId w:val="0"/>
              </w:numPr>
              <w:kinsoku/>
              <w:wordWrap/>
              <w:overflowPunct/>
              <w:topLinePunct w:val="0"/>
              <w:autoSpaceDE/>
              <w:autoSpaceDN/>
              <w:bidi w:val="0"/>
              <w:adjustRightInd w:val="0"/>
              <w:spacing w:line="440" w:lineRule="atLeast"/>
              <w:ind w:left="420" w:leftChars="0"/>
              <w:rPr>
                <w:rFonts w:hint="eastAsia" w:ascii="宋体" w:hAnsi="宋体" w:eastAsia="宋体" w:cs="宋体"/>
                <w:strike/>
                <w:dstrike w:val="0"/>
                <w:color w:val="auto"/>
                <w:sz w:val="24"/>
                <w:szCs w:val="24"/>
                <w:highlight w:val="none"/>
              </w:rPr>
            </w:pPr>
            <w:r>
              <w:rPr>
                <w:rFonts w:hint="eastAsia" w:ascii="宋体" w:hAnsi="宋体" w:eastAsia="宋体" w:cs="宋体"/>
                <w:color w:val="auto"/>
                <w:sz w:val="24"/>
                <w:szCs w:val="24"/>
                <w:highlight w:val="none"/>
              </w:rPr>
              <w:t>案件平均送达时长小于3天，遇节假日顺延（不含公告送达时长和邮寄在途时长）送达服务合格性</w:t>
            </w:r>
            <w:r>
              <w:rPr>
                <w:rFonts w:hint="eastAsia" w:ascii="宋体" w:hAnsi="宋体" w:eastAsia="宋体" w:cs="宋体"/>
                <w:color w:val="auto"/>
                <w:sz w:val="24"/>
                <w:szCs w:val="24"/>
                <w:highlight w:val="none"/>
                <w:lang w:val="en-US" w:eastAsia="zh-CN"/>
              </w:rPr>
              <w:t>98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以上</w:t>
            </w:r>
            <w:r>
              <w:rPr>
                <w:rFonts w:hint="eastAsia" w:ascii="宋体" w:hAnsi="宋体" w:eastAsia="宋体" w:cs="宋体"/>
                <w:color w:val="auto"/>
                <w:sz w:val="24"/>
                <w:szCs w:val="24"/>
                <w:highlight w:val="none"/>
              </w:rPr>
              <w:t>，送达满意度9</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751C0D46">
            <w:pPr>
              <w:keepNext w:val="0"/>
              <w:keepLines w:val="0"/>
              <w:pageBreakBefore w:val="0"/>
              <w:numPr>
                <w:numId w:val="0"/>
              </w:numPr>
              <w:kinsoku/>
              <w:wordWrap/>
              <w:overflowPunct/>
              <w:topLinePunct w:val="0"/>
              <w:autoSpaceDE/>
              <w:autoSpaceDN/>
              <w:bidi w:val="0"/>
              <w:adjustRightInd w:val="0"/>
              <w:spacing w:line="440" w:lineRule="atLeast"/>
              <w:ind w:left="420" w:leftChars="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r>
              <w:rPr>
                <w:rFonts w:hint="eastAsia" w:ascii="宋体" w:hAnsi="宋体" w:eastAsia="宋体" w:cs="宋体"/>
                <w:color w:val="auto"/>
                <w:sz w:val="24"/>
                <w:szCs w:val="24"/>
                <w:highlight w:val="none"/>
              </w:rPr>
              <w:t>电子送达</w:t>
            </w:r>
            <w:r>
              <w:rPr>
                <w:rFonts w:hint="eastAsia" w:ascii="宋体" w:hAnsi="宋体" w:eastAsia="宋体" w:cs="宋体"/>
                <w:color w:val="auto"/>
                <w:sz w:val="24"/>
                <w:szCs w:val="24"/>
                <w:highlight w:val="none"/>
                <w:lang w:eastAsia="zh-CN"/>
              </w:rPr>
              <w:t>和引导当事人来院领取</w:t>
            </w:r>
            <w:r>
              <w:rPr>
                <w:rFonts w:hint="eastAsia" w:ascii="宋体" w:hAnsi="宋体" w:eastAsia="宋体" w:cs="宋体"/>
                <w:color w:val="auto"/>
                <w:sz w:val="24"/>
                <w:szCs w:val="24"/>
                <w:highlight w:val="none"/>
              </w:rPr>
              <w:t>占总体送达比例</w:t>
            </w: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rPr>
              <w:t>%以上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送达成功率达90%以上。</w:t>
            </w:r>
          </w:p>
          <w:p w14:paraId="3E7D149B">
            <w:pPr>
              <w:keepNext w:val="0"/>
              <w:keepLines w:val="0"/>
              <w:pageBreakBefore w:val="0"/>
              <w:numPr>
                <w:numId w:val="0"/>
              </w:numPr>
              <w:kinsoku/>
              <w:wordWrap/>
              <w:overflowPunct/>
              <w:topLinePunct w:val="0"/>
              <w:autoSpaceDE/>
              <w:autoSpaceDN/>
              <w:bidi w:val="0"/>
              <w:adjustRightInd w:val="0"/>
              <w:spacing w:line="440" w:lineRule="atLeast"/>
              <w:ind w:left="420" w:leftChars="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r>
              <w:rPr>
                <w:rFonts w:hint="eastAsia" w:ascii="宋体" w:hAnsi="宋体" w:eastAsia="宋体" w:cs="宋体"/>
                <w:color w:val="auto"/>
                <w:sz w:val="24"/>
                <w:szCs w:val="24"/>
                <w:highlight w:val="none"/>
              </w:rPr>
              <w:t>送达失败后24小时内，切换其他送达方式，直至送达成功；</w:t>
            </w:r>
          </w:p>
          <w:p w14:paraId="757D84CF">
            <w:pPr>
              <w:keepNext w:val="0"/>
              <w:keepLines w:val="0"/>
              <w:pageBreakBefore w:val="0"/>
              <w:numPr>
                <w:numId w:val="0"/>
              </w:numPr>
              <w:kinsoku/>
              <w:wordWrap/>
              <w:overflowPunct/>
              <w:topLinePunct w:val="0"/>
              <w:autoSpaceDE/>
              <w:autoSpaceDN/>
              <w:bidi w:val="0"/>
              <w:adjustRightInd w:val="0"/>
              <w:spacing w:line="440" w:lineRule="atLeast"/>
              <w:ind w:left="420" w:leftChars="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r>
              <w:rPr>
                <w:rFonts w:hint="eastAsia" w:ascii="宋体" w:hAnsi="宋体" w:eastAsia="宋体" w:cs="宋体"/>
                <w:color w:val="auto"/>
                <w:sz w:val="24"/>
                <w:szCs w:val="24"/>
                <w:highlight w:val="none"/>
              </w:rPr>
              <w:t>如需通过电话与当事人沟通，必须对通话过程录音，并</w:t>
            </w:r>
            <w:r>
              <w:rPr>
                <w:rFonts w:hint="eastAsia" w:ascii="宋体" w:hAnsi="宋体" w:eastAsia="宋体" w:cs="宋体"/>
                <w:color w:val="auto"/>
                <w:sz w:val="24"/>
                <w:szCs w:val="24"/>
                <w:highlight w:val="none"/>
                <w:lang w:val="en-US" w:eastAsia="zh-CN"/>
              </w:rPr>
              <w:t>实时反馈</w:t>
            </w:r>
            <w:r>
              <w:rPr>
                <w:rFonts w:hint="eastAsia" w:ascii="宋体" w:hAnsi="宋体" w:eastAsia="宋体" w:cs="宋体"/>
                <w:color w:val="auto"/>
                <w:sz w:val="24"/>
                <w:szCs w:val="24"/>
                <w:highlight w:val="none"/>
              </w:rPr>
              <w:t>至送达</w:t>
            </w:r>
            <w:r>
              <w:rPr>
                <w:rFonts w:hint="eastAsia" w:ascii="宋体" w:hAnsi="宋体" w:eastAsia="宋体" w:cs="宋体"/>
                <w:color w:val="auto"/>
                <w:sz w:val="24"/>
                <w:szCs w:val="24"/>
                <w:highlight w:val="none"/>
                <w:lang w:val="en-US" w:eastAsia="zh-CN"/>
              </w:rPr>
              <w:t>系统及法院办案系统</w:t>
            </w:r>
            <w:r>
              <w:rPr>
                <w:rFonts w:hint="eastAsia" w:ascii="宋体" w:hAnsi="宋体" w:eastAsia="宋体" w:cs="宋体"/>
                <w:color w:val="auto"/>
                <w:sz w:val="24"/>
                <w:szCs w:val="24"/>
                <w:highlight w:val="none"/>
              </w:rPr>
              <w:t>；</w:t>
            </w:r>
          </w:p>
          <w:p w14:paraId="38D7BC8A">
            <w:pPr>
              <w:keepNext w:val="0"/>
              <w:keepLines w:val="0"/>
              <w:pageBreakBefore w:val="0"/>
              <w:widowControl/>
              <w:suppressLineNumbers w:val="0"/>
              <w:kinsoku/>
              <w:wordWrap/>
              <w:overflowPunct/>
              <w:topLinePunct w:val="0"/>
              <w:autoSpaceDE/>
              <w:autoSpaceDN/>
              <w:bidi w:val="0"/>
              <w:adjustRightInd w:val="0"/>
              <w:snapToGrid w:val="0"/>
              <w:spacing w:line="440" w:lineRule="atLeas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bookmarkStart w:id="528" w:name="_GoBack"/>
            <w:bookmarkEnd w:id="528"/>
            <w:r>
              <w:rPr>
                <w:rFonts w:hint="eastAsia" w:ascii="宋体" w:hAnsi="宋体" w:eastAsia="宋体" w:cs="宋体"/>
                <w:color w:val="auto"/>
                <w:sz w:val="24"/>
                <w:szCs w:val="24"/>
                <w:highlight w:val="none"/>
              </w:rPr>
              <w:t>案件平均送达时长小于3天，遇节假日顺延（不含公告送达时长和邮寄在途时长）</w:t>
            </w:r>
          </w:p>
        </w:tc>
      </w:tr>
      <w:tr w14:paraId="2C4FE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486609">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（二）、技术要求</w:t>
            </w:r>
          </w:p>
        </w:tc>
      </w:tr>
      <w:tr w14:paraId="21E8E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6A4FC1">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送达平台要求：提供送达服务平台，系统操作根据实际操作需求响应调整。平台需能实现与采购人内部核心信息系统的数据对接和数据回传，确保集约送达的实施，及保障上下行数据全程电子留痕，贯穿整个送达工作。</w:t>
            </w:r>
          </w:p>
        </w:tc>
      </w:tr>
      <w:tr w14:paraId="5B909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DD5689">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人员配置要求：供应商根据采购人工作量大小合理配置人员进驻采购方规定场所进行服务，该部分人员必须遵守法律法规和采购人的各项规章制度，爱岗敬业，具备高度保密意识，具备良好的业务能力满足服务需求，并应确保人员队伍稳定。</w:t>
            </w:r>
          </w:p>
        </w:tc>
      </w:tr>
      <w:tr w14:paraId="1BDC5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5CEEE6">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邮寄送达要求：送达平台可实现与广西法院专递服务及跨域送达接口对接，可实现全国范围的跨域送达；且涉及对接的所有费用包含在本次报价中。邮寄送达按照《中华人民共和国邮政法》、最高人民法院《关于以法院专递方式邮寄送达民事诉讼文书的若干规定》（法释[2004]13号）办理。供应商在邮寄送达时须免费提供快递使用的法院专递面单、法院专用信封及打包封装服务(特制的纸箱除外)，具备回执返回服务，并须提供快递实时状态查询服务以及主动售后服务和配送时限承诺服务，确保寄递物品、文件在寄递各环节中防潮、防水、防破损。</w:t>
            </w:r>
          </w:p>
        </w:tc>
      </w:tr>
      <w:tr w14:paraId="59EB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26F99F">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4、在提供送达服务时，应严格遵守法律法规、司法解释及采购人所制定的各项规章制度，在依法送达、高效送达、便利受送达人的原则下实施送达服务。</w:t>
            </w:r>
          </w:p>
        </w:tc>
      </w:tr>
      <w:tr w14:paraId="0DE7E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F67C9C">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二、商务条款及要求</w:t>
            </w:r>
          </w:p>
        </w:tc>
      </w:tr>
      <w:tr w14:paraId="1E151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CCA751">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1、服务期：自签订合同之日起 1 年（具体时间以合同签订时间为准），合同服务期到期或项目合同金额用尽任意一项先完成，合同即自动终止。</w:t>
            </w:r>
          </w:p>
        </w:tc>
      </w:tr>
      <w:tr w14:paraId="2A646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B2EA38">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2、服务地点 ：广西壮族自治区北海市中级人民法院、北海市海城区人民法院、北海市银海区人民法院、北海市铁山港区人民法院、合浦县人民法院。</w:t>
            </w:r>
          </w:p>
        </w:tc>
      </w:tr>
      <w:tr w14:paraId="48DAF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830A06">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付款条件：</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发布中标公告</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后，由广西壮族自治区</w:t>
            </w:r>
            <w:r>
              <w:rPr>
                <w:rFonts w:hint="eastAsia" w:ascii="宋体" w:hAnsi="宋体" w:eastAsia="宋体" w:cs="宋体"/>
                <w:color w:val="auto"/>
                <w:sz w:val="24"/>
                <w:szCs w:val="24"/>
                <w:highlight w:val="none"/>
              </w:rPr>
              <w:t>北海市中级人民法院、北海市海城区人民法院、北海市银海区人民法院、北海市铁山港区人民法院</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合浦县人民法院</w:t>
            </w:r>
            <w:r>
              <w:rPr>
                <w:rFonts w:hint="eastAsia" w:ascii="宋体" w:hAnsi="宋体" w:eastAsia="宋体" w:cs="宋体"/>
                <w:color w:val="auto"/>
                <w:sz w:val="24"/>
                <w:szCs w:val="24"/>
                <w:highlight w:val="none"/>
                <w:lang w:eastAsia="zh-CN"/>
              </w:rPr>
              <w:t>分别</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签订合同并按项目进度支付服务费。</w:t>
            </w:r>
            <w:r>
              <w:rPr>
                <w:rFonts w:hint="eastAsia" w:ascii="宋体" w:hAnsi="宋体" w:eastAsia="宋体" w:cs="宋体"/>
                <w:color w:val="auto"/>
                <w:sz w:val="24"/>
                <w:szCs w:val="24"/>
                <w:highlight w:val="none"/>
                <w:lang w:eastAsia="zh-CN"/>
              </w:rPr>
              <w:t>即</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①预付款:签订合同且具备实施条件后，10个工作日内，中院和基层法院根据案件数比例分别支付合同价款的30%作为预付款。②进度款:进场实施后，剩余合同款根据项目实施进度情况，每季度由采购人组织验收，验收合格后并出具验收报告。乙方凭验收报告验收的案件数分别按比例向中院和基层法院申请进度款。③季度结算方式:每季度核算完成的案件数，结算金额=案件数*案件服务单价*70%，</w:t>
            </w:r>
            <w:r>
              <w:rPr>
                <w:rFonts w:hint="eastAsia" w:ascii="宋体" w:hAnsi="宋体" w:eastAsia="宋体" w:cs="宋体"/>
                <w:i w:val="0"/>
                <w:iCs w:val="0"/>
                <w:color w:val="auto"/>
                <w:kern w:val="0"/>
                <w:sz w:val="24"/>
                <w:szCs w:val="24"/>
                <w:highlight w:val="none"/>
                <w:u w:val="none"/>
                <w:lang w:val="en-US" w:eastAsia="zh-CN" w:bidi="ar"/>
              </w:rPr>
              <w:t>案件未全部送达完成的结算金额=案件数*案件服务单价*20%，全部送达完成后（以一张网系统结案为标准）结算剩余款项。</w:t>
            </w:r>
          </w:p>
          <w:p w14:paraId="1A9CAEEF">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发票开具:中标供应商应在采购人每一期付款前开具当期全额发票，采购人收到发票后凭票10个工作日内付</w:t>
            </w:r>
          </w:p>
        </w:tc>
      </w:tr>
      <w:tr w14:paraId="72B70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DCFF21">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④中标供应商须在每次支付前向北海市两级人民法院提供合法有效的增值税发票 ，北海市两级人民法院核对无误后在约定时间内完成支付。</w:t>
            </w:r>
          </w:p>
        </w:tc>
      </w:tr>
      <w:tr w14:paraId="3EF38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06889D">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⑤双方往来款采用银行转账方式办理 ，如有变更修改，以书面通知为准。</w:t>
            </w:r>
          </w:p>
        </w:tc>
      </w:tr>
      <w:tr w14:paraId="0FE8C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1F644A">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3、验收标准：以送达平台记录数据及一张网系统数据为标准，双方核对服务案件数量、送达完整及规范。</w:t>
            </w:r>
          </w:p>
        </w:tc>
      </w:tr>
      <w:tr w14:paraId="36FD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85EFF0">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4、报价要求：</w:t>
            </w:r>
          </w:p>
        </w:tc>
      </w:tr>
      <w:tr w14:paraId="6F9ED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BE07F4">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auto"/>
                <w:kern w:val="0"/>
                <w:sz w:val="24"/>
                <w:szCs w:val="24"/>
                <w:highlight w:val="none"/>
                <w:u w:val="none"/>
                <w:lang w:val="en-US" w:eastAsia="zh-CN" w:bidi="ar"/>
              </w:rPr>
              <w:t>（1）按案件为单位进行服务计费，一案一结，案件周期内不重复计费；一个案件送达过程中可能存在多次重复服务、不重复计费。</w:t>
            </w:r>
          </w:p>
        </w:tc>
      </w:tr>
      <w:tr w14:paraId="07C1E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6B10DC">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5、人员要求：</w:t>
            </w:r>
          </w:p>
        </w:tc>
      </w:tr>
      <w:tr w14:paraId="5AF04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F8CFD">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（1）保密要求 ：服务工作必须在采购人指定的场所内进行，确保场所正常秩序和安全。服务人员严格遵守保密协议及采购人的有关规定。不得遗失 、损坏 、泄露相关涉密信息 、材料 ，如有违反者，将追究法律责任。</w:t>
            </w:r>
          </w:p>
        </w:tc>
      </w:tr>
      <w:tr w14:paraId="49318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D6545">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（2）服务人员要求：遵守宪法和法律，未受过刑事、治安处罚和党纪政纪处分，无其他不适合在法院工作的情形和背景。</w:t>
            </w:r>
          </w:p>
        </w:tc>
      </w:tr>
      <w:tr w14:paraId="3C3FC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9F641F">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6、售后服务要求：</w:t>
            </w:r>
          </w:p>
        </w:tc>
      </w:tr>
      <w:tr w14:paraId="5E656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E01784">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（1）质量保证期1年（自合同签订之日起计）</w:t>
            </w:r>
          </w:p>
        </w:tc>
      </w:tr>
      <w:tr w14:paraId="44F6A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ABB4D2">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（2）响应时间：接到采购人处理问题通知后30分钟内到达采购人指定现场</w:t>
            </w:r>
          </w:p>
        </w:tc>
      </w:tr>
      <w:tr w14:paraId="2BDDE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4154E0">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7、</w:t>
            </w:r>
            <w:r>
              <w:rPr>
                <w:rStyle w:val="959"/>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t>本项目不收取保证金。</w:t>
            </w:r>
          </w:p>
        </w:tc>
      </w:tr>
      <w:tr w14:paraId="772C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1E701732">
            <w:pPr>
              <w:keepNext w:val="0"/>
              <w:keepLines w:val="0"/>
              <w:pageBreakBefore w:val="0"/>
              <w:widowControl/>
              <w:suppressLineNumbers w:val="0"/>
              <w:kinsoku/>
              <w:wordWrap/>
              <w:overflowPunct/>
              <w:topLinePunct w:val="0"/>
              <w:autoSpaceDE/>
              <w:autoSpaceDN/>
              <w:bidi w:val="0"/>
              <w:adjustRightInd w:val="0"/>
              <w:snapToGrid w:val="0"/>
              <w:spacing w:line="440" w:lineRule="atLeast"/>
              <w:jc w:val="left"/>
              <w:textAlignment w:val="bottom"/>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8、</w:t>
            </w:r>
            <w:r>
              <w:rPr>
                <w:rStyle w:val="959"/>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t>本项目不收取履约保证金。项目以服务案件数实际结算。</w:t>
            </w:r>
          </w:p>
        </w:tc>
      </w:tr>
      <w:tr w14:paraId="474C4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5000" w:type="pct"/>
            <w:gridSpan w:val="5"/>
            <w:shd w:val="clear" w:color="auto" w:fill="auto"/>
            <w:noWrap w:val="0"/>
            <w:vAlign w:val="center"/>
          </w:tcPr>
          <w:p w14:paraId="6E9CAC5F">
            <w:pPr>
              <w:keepNext w:val="0"/>
              <w:keepLines w:val="0"/>
              <w:pageBreakBefore w:val="0"/>
              <w:widowControl/>
              <w:kinsoku/>
              <w:wordWrap/>
              <w:overflowPunct/>
              <w:topLinePunct w:val="0"/>
              <w:autoSpaceDE/>
              <w:autoSpaceDN/>
              <w:bidi w:val="0"/>
              <w:adjustRightInd w:val="0"/>
              <w:spacing w:line="440" w:lineRule="atLeas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备注： </w:t>
            </w:r>
          </w:p>
          <w:p w14:paraId="6447F069">
            <w:pPr>
              <w:keepNext w:val="0"/>
              <w:keepLines w:val="0"/>
              <w:pageBreakBefore w:val="0"/>
              <w:numPr>
                <w:ilvl w:val="0"/>
                <w:numId w:val="0"/>
              </w:numPr>
              <w:kinsoku/>
              <w:wordWrap/>
              <w:overflowPunct/>
              <w:topLinePunct w:val="0"/>
              <w:autoSpaceDE/>
              <w:autoSpaceDN/>
              <w:bidi w:val="0"/>
              <w:adjustRightInd w:val="0"/>
              <w:spacing w:line="440" w:lineRule="atLeast"/>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由中标供应商负责文书送达所需的硬件设备、办公桌椅、办公家具、公告费、打印耗材及办公用品等第三方费用，为保证外出送达的质效，中标供应商为集约化送达中心配备固定外出送达车辆（包括油费、维修保养等费用）与一名送达驻场专员组成送达小组一同外出；</w:t>
            </w:r>
          </w:p>
          <w:p w14:paraId="3EBCC1A3">
            <w:pPr>
              <w:keepNext w:val="0"/>
              <w:keepLines w:val="0"/>
              <w:pageBreakBefore w:val="0"/>
              <w:numPr>
                <w:ilvl w:val="0"/>
                <w:numId w:val="0"/>
              </w:numPr>
              <w:kinsoku/>
              <w:wordWrap/>
              <w:overflowPunct/>
              <w:topLinePunct w:val="0"/>
              <w:autoSpaceDE/>
              <w:autoSpaceDN/>
              <w:bidi w:val="0"/>
              <w:adjustRightInd w:val="0"/>
              <w:spacing w:line="440" w:lineRule="atLeast"/>
              <w:jc w:val="left"/>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由中标人负责送达系统的建设、维护、优化及操作培训，及为保障送达工作需与各相关系统的必要对接，负责驻点服务人员及后台集中服务的人员薪酬、培训及管理等，负责智能送达的网络专线、电话和短信通讯费。</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投标报价包括送达服务软件费用、所有服务人员工资、电子送达通讯费、一切税费 （包括增值税）、保险费、培训费、招投标费等的全部费用。</w:t>
            </w:r>
          </w:p>
          <w:p w14:paraId="61CCB4BF">
            <w:pPr>
              <w:keepNext w:val="0"/>
              <w:keepLines w:val="0"/>
              <w:pageBreakBefore w:val="0"/>
              <w:numPr>
                <w:ilvl w:val="-1"/>
                <w:numId w:val="0"/>
              </w:numPr>
              <w:kinsoku/>
              <w:wordWrap/>
              <w:overflowPunct/>
              <w:topLinePunct w:val="0"/>
              <w:autoSpaceDE/>
              <w:autoSpaceDN/>
              <w:bidi w:val="0"/>
              <w:adjustRightInd w:val="0"/>
              <w:spacing w:line="440" w:lineRule="atLeast"/>
              <w:ind w:left="0" w:firstLine="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针对邮寄不成功的案件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根据法院要求</w:t>
            </w:r>
            <w:r>
              <w:rPr>
                <w:rFonts w:hint="eastAsia" w:ascii="宋体" w:hAnsi="宋体" w:eastAsia="宋体" w:cs="宋体"/>
                <w:color w:val="000000" w:themeColor="text1"/>
                <w:sz w:val="24"/>
                <w:szCs w:val="24"/>
                <w:highlight w:val="none"/>
                <w14:textFill>
                  <w14:solidFill>
                    <w14:schemeClr w14:val="tx1"/>
                  </w14:solidFill>
                </w14:textFill>
              </w:rPr>
              <w:t>启动外出送达；</w:t>
            </w:r>
          </w:p>
          <w:p w14:paraId="08A08EC6">
            <w:pPr>
              <w:keepNext w:val="0"/>
              <w:keepLines w:val="0"/>
              <w:pageBreakBefore w:val="0"/>
              <w:widowControl/>
              <w:numPr>
                <w:ilvl w:val="-1"/>
                <w:numId w:val="0"/>
              </w:numPr>
              <w:kinsoku/>
              <w:wordWrap/>
              <w:overflowPunct/>
              <w:topLinePunct w:val="0"/>
              <w:autoSpaceDE/>
              <w:autoSpaceDN/>
              <w:bidi w:val="0"/>
              <w:adjustRightInd w:val="0"/>
              <w:spacing w:line="440" w:lineRule="atLeast"/>
              <w:ind w:left="0" w:firstLine="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送达范围北海市市区及合浦县城区。</w:t>
            </w:r>
            <w:r>
              <w:rPr>
                <w:rFonts w:hint="eastAsia" w:ascii="宋体" w:hAnsi="宋体" w:eastAsia="宋体" w:cs="宋体"/>
                <w:color w:val="000000" w:themeColor="text1"/>
                <w:sz w:val="24"/>
                <w:szCs w:val="24"/>
                <w:highlight w:val="none"/>
                <w:lang w:val="en-US" w:eastAsia="zh-CN"/>
                <w14:textFill>
                  <w14:solidFill>
                    <w14:schemeClr w14:val="tx1"/>
                  </w14:solidFill>
                </w14:textFill>
              </w:rPr>
              <w:t>视送达需求，中标人可协商广西内已有中标人服务网点的地市配合完成外出送达。</w:t>
            </w:r>
          </w:p>
          <w:p w14:paraId="2DF6633B">
            <w:pPr>
              <w:keepNext w:val="0"/>
              <w:keepLines w:val="0"/>
              <w:pageBreakBefore w:val="0"/>
              <w:widowControl/>
              <w:kinsoku/>
              <w:wordWrap/>
              <w:overflowPunct/>
              <w:topLinePunct w:val="0"/>
              <w:autoSpaceDE/>
              <w:autoSpaceDN/>
              <w:bidi w:val="0"/>
              <w:adjustRightInd w:val="0"/>
              <w:spacing w:line="440" w:lineRule="atLeast"/>
              <w:ind w:left="210" w:hanging="240" w:hangingChars="1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以确保工作质量为原则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进行合理</w:t>
            </w:r>
            <w:r>
              <w:rPr>
                <w:rFonts w:hint="eastAsia" w:ascii="宋体" w:hAnsi="宋体" w:eastAsia="宋体" w:cs="宋体"/>
                <w:color w:val="000000" w:themeColor="text1"/>
                <w:sz w:val="24"/>
                <w:szCs w:val="24"/>
                <w:highlight w:val="none"/>
                <w:lang w:val="en-US" w:eastAsia="zh-CN"/>
                <w14:textFill>
                  <w14:solidFill>
                    <w14:schemeClr w14:val="tx1"/>
                  </w14:solidFill>
                </w14:textFill>
              </w:rPr>
              <w:t>配置服务人员数量，可根据案件数量和服务情况</w:t>
            </w:r>
            <w:r>
              <w:rPr>
                <w:rFonts w:hint="eastAsia" w:ascii="宋体" w:hAnsi="宋体" w:eastAsia="宋体" w:cs="宋体"/>
                <w:color w:val="000000" w:themeColor="text1"/>
                <w:sz w:val="24"/>
                <w:szCs w:val="24"/>
                <w:highlight w:val="none"/>
                <w14:textFill>
                  <w14:solidFill>
                    <w14:schemeClr w14:val="tx1"/>
                  </w14:solidFill>
                </w14:textFill>
              </w:rPr>
              <w:t>增减配员。</w:t>
            </w:r>
            <w:r>
              <w:rPr>
                <w:rFonts w:hint="eastAsia" w:ascii="宋体" w:hAnsi="宋体" w:eastAsia="宋体" w:cs="宋体"/>
                <w:color w:val="000000" w:themeColor="text1"/>
                <w:sz w:val="24"/>
                <w:szCs w:val="24"/>
                <w:highlight w:val="none"/>
                <w:lang w:val="en-US" w:eastAsia="zh-CN"/>
                <w14:textFill>
                  <w14:solidFill>
                    <w14:schemeClr w14:val="tx1"/>
                  </w14:solidFill>
                </w14:textFill>
              </w:rPr>
              <w:t>如需增加服务人员的，不再另行支付费用。</w:t>
            </w:r>
          </w:p>
        </w:tc>
      </w:tr>
    </w:tbl>
    <w:p w14:paraId="6361AA4B">
      <w:pPr>
        <w:spacing w:line="400" w:lineRule="exact"/>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四、</w:t>
      </w:r>
      <w:r>
        <w:rPr>
          <w:rFonts w:hint="eastAsia" w:ascii="宋体" w:hAnsi="宋体" w:cs="宋体"/>
          <w:b/>
          <w:color w:val="000000" w:themeColor="text1"/>
          <w:sz w:val="24"/>
          <w:szCs w:val="24"/>
          <w:highlight w:val="none"/>
          <w14:textFill>
            <w14:solidFill>
              <w14:schemeClr w14:val="tx1"/>
            </w14:solidFill>
          </w14:textFill>
        </w:rPr>
        <w:t>服务标准要求</w:t>
      </w:r>
    </w:p>
    <w:p w14:paraId="4945EC31">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需建立健全北海法院电子卷宗加工及智能送达服务服务标准，主要内容包括：管理机构和人员、管理人员职责、基本工作制度、奖惩措施、应急情况处理等内容。 </w:t>
      </w:r>
    </w:p>
    <w:p w14:paraId="039CF403">
      <w:pPr>
        <w:spacing w:line="40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 xml:space="preserve">）服务标准 </w:t>
      </w:r>
    </w:p>
    <w:p w14:paraId="3496C8A8">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供应商需根据电子卷宗加工及智能送达服务需求和诉讼服务需求提供各岗位服务流程及标准。统一着装，挂牌上岗。 </w:t>
      </w:r>
    </w:p>
    <w:p w14:paraId="3B9A76F0">
      <w:pPr>
        <w:spacing w:line="400" w:lineRule="exact"/>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五、</w:t>
      </w:r>
      <w:r>
        <w:rPr>
          <w:rFonts w:hint="eastAsia" w:ascii="宋体" w:hAnsi="宋体" w:cs="宋体"/>
          <w:b/>
          <w:color w:val="000000" w:themeColor="text1"/>
          <w:sz w:val="24"/>
          <w:szCs w:val="24"/>
          <w:highlight w:val="none"/>
          <w14:textFill>
            <w14:solidFill>
              <w14:schemeClr w14:val="tx1"/>
            </w14:solidFill>
          </w14:textFill>
        </w:rPr>
        <w:t>保密要求</w:t>
      </w:r>
    </w:p>
    <w:p w14:paraId="6E03FC7F">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供应商应严格遵守国家相关的保密法律规定，遵守《保密协议》和采购人的有关规定。 服务工作必须在采购人指定的场所内进行，确保场所正常秩序和安全。不得遗失、损坏卷宗，如有违法行为或违反相关规定，将依法或依据约定追究相应的责任。 </w:t>
      </w:r>
    </w:p>
    <w:p w14:paraId="177F92AC">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供应商应做到： </w:t>
      </w:r>
    </w:p>
    <w:p w14:paraId="4361A299">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 xml:space="preserve">）供应商参与本项目的所有工作人员必须通过采购人的审核，并登记备案。供应商必须向采购人提供以下资料：《工作人员登记表》（每人一式一份，工作人员身份证复印件）； </w:t>
      </w:r>
    </w:p>
    <w:p w14:paraId="51224B98">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 xml:space="preserve">）项目实施过程中，供应商如需更换、增加工作人员，必须提前一周向采购人提供拟加入人员的资料，取得对方签字同意后方可更换或者增加人手。对离开本项目实施岗位的人员，供应商需在人员离岗后一周内，在采购人保存的相关工作人员的备案表格中标注离岗日期； </w:t>
      </w:r>
    </w:p>
    <w:p w14:paraId="5AD8FC9D">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 xml:space="preserve">）供应商参与本项目的工作人员必须接受采购人组织的保密安全教育，并自觉学习保密知识，严格遵守《保密法》及其他有关法规，严防泄密现象发生； </w:t>
      </w:r>
    </w:p>
    <w:p w14:paraId="369CB165">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 xml:space="preserve">）除钥匙及眼镜等外，供应商工作人员未经采购人同意，不得将手袋、提包、钱包、磁盘（含 </w:t>
      </w:r>
      <w:r>
        <w:rPr>
          <w:rFonts w:ascii="宋体" w:hAnsi="宋体" w:cs="宋体"/>
          <w:color w:val="000000" w:themeColor="text1"/>
          <w:sz w:val="24"/>
          <w:szCs w:val="24"/>
          <w:highlight w:val="none"/>
          <w14:textFill>
            <w14:solidFill>
              <w14:schemeClr w14:val="tx1"/>
            </w14:solidFill>
          </w14:textFill>
        </w:rPr>
        <w:t xml:space="preserve">U </w:t>
      </w:r>
      <w:r>
        <w:rPr>
          <w:rFonts w:hint="eastAsia" w:ascii="宋体" w:hAnsi="宋体" w:cs="宋体"/>
          <w:color w:val="000000" w:themeColor="text1"/>
          <w:sz w:val="24"/>
          <w:szCs w:val="24"/>
          <w:highlight w:val="none"/>
          <w14:textFill>
            <w14:solidFill>
              <w14:schemeClr w14:val="tx1"/>
            </w14:solidFill>
          </w14:textFill>
        </w:rPr>
        <w:t>盘、软盘、硬盘等）、刻录光盘、手机、</w:t>
      </w:r>
      <w:r>
        <w:rPr>
          <w:rFonts w:ascii="宋体" w:hAnsi="宋体" w:cs="宋体"/>
          <w:color w:val="000000" w:themeColor="text1"/>
          <w:sz w:val="24"/>
          <w:szCs w:val="24"/>
          <w:highlight w:val="none"/>
          <w14:textFill>
            <w14:solidFill>
              <w14:schemeClr w14:val="tx1"/>
            </w14:solidFill>
          </w14:textFill>
        </w:rPr>
        <w:t>MP3</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MP4</w:t>
      </w:r>
      <w:r>
        <w:rPr>
          <w:rFonts w:hint="eastAsia" w:ascii="宋体" w:hAnsi="宋体" w:cs="宋体"/>
          <w:color w:val="000000" w:themeColor="text1"/>
          <w:sz w:val="24"/>
          <w:szCs w:val="24"/>
          <w:highlight w:val="none"/>
          <w14:textFill>
            <w14:solidFill>
              <w14:schemeClr w14:val="tx1"/>
            </w14:solidFill>
          </w14:textFill>
        </w:rPr>
        <w:t xml:space="preserve">、报刊、纸张及其他随身物品带入工作场所，也不得将工作场所的物品擅自带出工作场所外； </w:t>
      </w:r>
    </w:p>
    <w:p w14:paraId="15F4EB41">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 xml:space="preserve">）未经采购人批准，供应商不得以任何形式复制离线的卷宗图像和卷宗目录数据； </w:t>
      </w:r>
    </w:p>
    <w:p w14:paraId="74F84430">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 xml:space="preserve">）工作场所废纸必须集中放置，供应商每星期清理废纸不能超过一次， 清理时要有专人对纸张进行仔细检查，确保其中没有夹带任何文件后才能清出工作场所； </w:t>
      </w:r>
    </w:p>
    <w:p w14:paraId="21FC6DE5">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 xml:space="preserve">）供应商工作人员不得以任何方式向外人泄露任何案件相关信息； </w:t>
      </w:r>
    </w:p>
    <w:p w14:paraId="36378DED">
      <w:pPr>
        <w:spacing w:line="400" w:lineRule="exact"/>
        <w:ind w:firstLine="480" w:firstLineChars="200"/>
        <w:jc w:val="left"/>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 xml:space="preserve">）供应商及其所有工作人员必须向采购人提供书面保密承诺； </w:t>
      </w:r>
    </w:p>
    <w:p w14:paraId="62DB5778">
      <w:pPr>
        <w:adjustRightInd/>
        <w:spacing w:before="25" w:after="25"/>
        <w:jc w:val="left"/>
        <w:rPr>
          <w:rFonts w:ascii="宋体" w:hAnsi="宋体" w:cs="宋体"/>
          <w:bCs/>
          <w:color w:val="000000" w:themeColor="text1"/>
          <w:spacing w:val="10"/>
          <w:kern w:val="0"/>
          <w:sz w:val="24"/>
          <w14:textFill>
            <w14:solidFill>
              <w14:schemeClr w14:val="tx1"/>
            </w14:solidFill>
          </w14:textFill>
        </w:rPr>
        <w:sectPr>
          <w:pgSz w:w="11906" w:h="16838"/>
          <w:pgMar w:top="1247" w:right="849" w:bottom="1247" w:left="1418" w:header="851" w:footer="992" w:gutter="0"/>
          <w:cols w:space="720" w:num="1"/>
          <w:titlePg/>
          <w:docGrid w:type="lines" w:linePitch="312" w:charSpace="0"/>
        </w:sectPr>
      </w:pPr>
    </w:p>
    <w:p w14:paraId="5FEB4306">
      <w:pPr>
        <w:spacing w:line="360" w:lineRule="auto"/>
        <w:jc w:val="center"/>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 xml:space="preserve">  </w:t>
      </w:r>
      <w:bookmarkStart w:id="26" w:name="_Toc211352598"/>
      <w:r>
        <w:rPr>
          <w:rFonts w:hint="eastAsia" w:ascii="宋体" w:hAnsi="宋体" w:cs="宋体"/>
          <w:b/>
          <w:color w:val="000000" w:themeColor="text1"/>
          <w:sz w:val="36"/>
          <w:szCs w:val="36"/>
          <w14:textFill>
            <w14:solidFill>
              <w14:schemeClr w14:val="tx1"/>
            </w14:solidFill>
          </w14:textFill>
        </w:rPr>
        <w:t>第四部分</w:t>
      </w:r>
      <w:bookmarkStart w:id="27" w:name="_Toc184308080"/>
      <w:bookmarkEnd w:id="27"/>
      <w:bookmarkStart w:id="28" w:name="_Toc184308046"/>
      <w:bookmarkEnd w:id="28"/>
      <w:bookmarkStart w:id="29" w:name="_Toc184314430"/>
      <w:bookmarkEnd w:id="29"/>
      <w:bookmarkStart w:id="30" w:name="_Toc184310306"/>
      <w:bookmarkEnd w:id="30"/>
      <w:bookmarkStart w:id="31" w:name="_Toc184313258"/>
      <w:bookmarkEnd w:id="31"/>
      <w:bookmarkStart w:id="32" w:name="_Toc184313268"/>
      <w:bookmarkEnd w:id="32"/>
      <w:bookmarkStart w:id="33" w:name="_Toc184314410"/>
      <w:bookmarkEnd w:id="33"/>
      <w:bookmarkStart w:id="34" w:name="_Toc184313309"/>
      <w:bookmarkEnd w:id="34"/>
      <w:bookmarkStart w:id="35" w:name="_Toc184314437"/>
      <w:bookmarkEnd w:id="35"/>
      <w:bookmarkStart w:id="36" w:name="_Toc184313275"/>
      <w:bookmarkEnd w:id="36"/>
      <w:bookmarkStart w:id="37" w:name="_Toc184308071"/>
      <w:bookmarkEnd w:id="37"/>
      <w:bookmarkStart w:id="38" w:name="_Toc184313307"/>
      <w:bookmarkEnd w:id="38"/>
      <w:bookmarkStart w:id="39" w:name="_Toc184314471"/>
      <w:bookmarkEnd w:id="39"/>
      <w:bookmarkStart w:id="40" w:name="_Toc184314455"/>
      <w:bookmarkEnd w:id="40"/>
      <w:bookmarkStart w:id="41" w:name="_Toc184314451"/>
      <w:bookmarkEnd w:id="41"/>
      <w:bookmarkStart w:id="42" w:name="_Toc184310313"/>
      <w:bookmarkEnd w:id="42"/>
      <w:bookmarkStart w:id="43" w:name="_Toc184313310"/>
      <w:bookmarkEnd w:id="43"/>
      <w:bookmarkStart w:id="44" w:name="_Toc184313240"/>
      <w:bookmarkEnd w:id="44"/>
      <w:bookmarkStart w:id="45" w:name="_Toc184313292"/>
      <w:bookmarkEnd w:id="45"/>
      <w:bookmarkStart w:id="46" w:name="_Toc184313252"/>
      <w:bookmarkEnd w:id="46"/>
      <w:bookmarkStart w:id="47" w:name="_Toc184313271"/>
      <w:bookmarkEnd w:id="47"/>
      <w:bookmarkStart w:id="48" w:name="_Toc184308053"/>
      <w:bookmarkEnd w:id="48"/>
      <w:bookmarkStart w:id="49" w:name="_Toc184308062"/>
      <w:bookmarkEnd w:id="49"/>
      <w:bookmarkStart w:id="50" w:name="_Toc184313284"/>
      <w:bookmarkEnd w:id="50"/>
      <w:bookmarkStart w:id="51" w:name="_Toc184310295"/>
      <w:bookmarkEnd w:id="51"/>
      <w:bookmarkStart w:id="52" w:name="_Toc184312138"/>
      <w:bookmarkEnd w:id="52"/>
      <w:bookmarkStart w:id="53" w:name="_Toc184308060"/>
      <w:bookmarkEnd w:id="53"/>
      <w:bookmarkStart w:id="54" w:name="_Toc184308052"/>
      <w:bookmarkEnd w:id="54"/>
      <w:bookmarkStart w:id="55" w:name="_Toc184313283"/>
      <w:bookmarkEnd w:id="55"/>
      <w:bookmarkStart w:id="56" w:name="_Toc184314424"/>
      <w:bookmarkEnd w:id="56"/>
      <w:bookmarkStart w:id="57" w:name="_Toc184313255"/>
      <w:bookmarkEnd w:id="57"/>
      <w:bookmarkStart w:id="58" w:name="_Toc184314435"/>
      <w:bookmarkEnd w:id="58"/>
      <w:bookmarkStart w:id="59" w:name="_Toc184310293"/>
      <w:bookmarkEnd w:id="59"/>
      <w:bookmarkStart w:id="60" w:name="_Toc184310298"/>
      <w:bookmarkEnd w:id="60"/>
      <w:bookmarkStart w:id="61" w:name="_Toc184314447"/>
      <w:bookmarkEnd w:id="61"/>
      <w:bookmarkStart w:id="62" w:name="_Toc184310310"/>
      <w:bookmarkEnd w:id="62"/>
      <w:bookmarkStart w:id="63" w:name="_Toc184312103"/>
      <w:bookmarkEnd w:id="63"/>
      <w:bookmarkStart w:id="64" w:name="_Toc184308050"/>
      <w:bookmarkEnd w:id="64"/>
      <w:bookmarkStart w:id="65" w:name="_Toc184312097"/>
      <w:bookmarkEnd w:id="65"/>
      <w:bookmarkStart w:id="66" w:name="_Toc184313264"/>
      <w:bookmarkEnd w:id="66"/>
      <w:bookmarkStart w:id="67" w:name="_Toc184314480"/>
      <w:bookmarkEnd w:id="67"/>
      <w:bookmarkStart w:id="68" w:name="_Toc184310316"/>
      <w:bookmarkEnd w:id="68"/>
      <w:bookmarkStart w:id="69" w:name="_Toc184308042"/>
      <w:bookmarkEnd w:id="69"/>
      <w:bookmarkStart w:id="70" w:name="_Toc184314431"/>
      <w:bookmarkEnd w:id="70"/>
      <w:bookmarkStart w:id="71" w:name="_Toc184312080"/>
      <w:bookmarkEnd w:id="71"/>
      <w:bookmarkStart w:id="72" w:name="_Toc184313301"/>
      <w:bookmarkEnd w:id="72"/>
      <w:bookmarkStart w:id="73" w:name="_Toc184314462"/>
      <w:bookmarkEnd w:id="73"/>
      <w:bookmarkStart w:id="74" w:name="_Toc184308084"/>
      <w:bookmarkEnd w:id="74"/>
      <w:bookmarkStart w:id="75" w:name="_Toc184314479"/>
      <w:bookmarkEnd w:id="75"/>
      <w:bookmarkStart w:id="76" w:name="_Toc184308049"/>
      <w:bookmarkEnd w:id="76"/>
      <w:bookmarkStart w:id="77" w:name="_Toc184312081"/>
      <w:bookmarkEnd w:id="77"/>
      <w:bookmarkStart w:id="78" w:name="_Toc184314417"/>
      <w:bookmarkEnd w:id="78"/>
      <w:bookmarkStart w:id="79" w:name="_Toc184310277"/>
      <w:bookmarkEnd w:id="79"/>
      <w:bookmarkStart w:id="80" w:name="_Toc184313262"/>
      <w:bookmarkEnd w:id="80"/>
      <w:bookmarkStart w:id="81" w:name="_Toc184313242"/>
      <w:bookmarkEnd w:id="81"/>
      <w:bookmarkStart w:id="82" w:name="_Toc184308059"/>
      <w:bookmarkEnd w:id="82"/>
      <w:bookmarkStart w:id="83" w:name="_Toc184308096"/>
      <w:bookmarkEnd w:id="83"/>
      <w:bookmarkStart w:id="84" w:name="_Toc184308091"/>
      <w:bookmarkEnd w:id="84"/>
      <w:bookmarkStart w:id="85" w:name="_Toc184310344"/>
      <w:bookmarkEnd w:id="85"/>
      <w:bookmarkStart w:id="86" w:name="_Toc184314482"/>
      <w:bookmarkEnd w:id="86"/>
      <w:bookmarkStart w:id="87" w:name="_Toc184313259"/>
      <w:bookmarkEnd w:id="87"/>
      <w:bookmarkStart w:id="88" w:name="_Toc184313294"/>
      <w:bookmarkEnd w:id="88"/>
      <w:bookmarkStart w:id="89" w:name="_Toc184308041"/>
      <w:bookmarkEnd w:id="89"/>
      <w:bookmarkStart w:id="90" w:name="_Toc184310328"/>
      <w:bookmarkEnd w:id="90"/>
      <w:bookmarkStart w:id="91" w:name="_Toc184308066"/>
      <w:bookmarkEnd w:id="91"/>
      <w:bookmarkStart w:id="92" w:name="_Toc184313249"/>
      <w:bookmarkEnd w:id="92"/>
      <w:bookmarkStart w:id="93" w:name="_Toc184312109"/>
      <w:bookmarkEnd w:id="93"/>
      <w:bookmarkStart w:id="94" w:name="_Toc184308070"/>
      <w:bookmarkEnd w:id="94"/>
      <w:bookmarkStart w:id="95" w:name="_Toc184308086"/>
      <w:bookmarkEnd w:id="95"/>
      <w:bookmarkStart w:id="96" w:name="_Toc184312134"/>
      <w:bookmarkEnd w:id="96"/>
      <w:bookmarkStart w:id="97" w:name="_Toc184312137"/>
      <w:bookmarkEnd w:id="97"/>
      <w:bookmarkStart w:id="98" w:name="_Toc184310317"/>
      <w:bookmarkEnd w:id="98"/>
      <w:bookmarkStart w:id="99" w:name="_Toc184312113"/>
      <w:bookmarkEnd w:id="99"/>
      <w:bookmarkStart w:id="100" w:name="_Toc184314413"/>
      <w:bookmarkEnd w:id="100"/>
      <w:bookmarkStart w:id="101" w:name="_Toc184313256"/>
      <w:bookmarkEnd w:id="101"/>
      <w:bookmarkStart w:id="102" w:name="_Toc184310315"/>
      <w:bookmarkEnd w:id="102"/>
      <w:bookmarkStart w:id="103" w:name="_Toc184313265"/>
      <w:bookmarkEnd w:id="103"/>
      <w:bookmarkStart w:id="104" w:name="_Toc184313246"/>
      <w:bookmarkEnd w:id="104"/>
      <w:bookmarkStart w:id="105" w:name="_Toc184312119"/>
      <w:bookmarkEnd w:id="105"/>
      <w:bookmarkStart w:id="106" w:name="_Toc184314475"/>
      <w:bookmarkEnd w:id="106"/>
      <w:bookmarkStart w:id="107" w:name="_Toc184312091"/>
      <w:bookmarkEnd w:id="107"/>
      <w:bookmarkStart w:id="108" w:name="_Toc184314472"/>
      <w:bookmarkEnd w:id="108"/>
      <w:bookmarkStart w:id="109" w:name="_Toc184310327"/>
      <w:bookmarkEnd w:id="109"/>
      <w:bookmarkStart w:id="110" w:name="_Toc184308098"/>
      <w:bookmarkEnd w:id="110"/>
      <w:bookmarkStart w:id="111" w:name="_Toc184313285"/>
      <w:bookmarkEnd w:id="111"/>
      <w:bookmarkStart w:id="112" w:name="_Toc184312129"/>
      <w:bookmarkEnd w:id="112"/>
      <w:bookmarkStart w:id="113" w:name="_Toc184308067"/>
      <w:bookmarkEnd w:id="113"/>
      <w:bookmarkStart w:id="114" w:name="_Toc184308083"/>
      <w:bookmarkEnd w:id="114"/>
      <w:bookmarkStart w:id="115" w:name="_Toc184314432"/>
      <w:bookmarkEnd w:id="115"/>
      <w:bookmarkStart w:id="116" w:name="_Toc184312116"/>
      <w:bookmarkEnd w:id="116"/>
      <w:bookmarkStart w:id="117" w:name="_Toc184313281"/>
      <w:bookmarkEnd w:id="117"/>
      <w:bookmarkStart w:id="118" w:name="_Toc184310335"/>
      <w:bookmarkEnd w:id="118"/>
      <w:bookmarkStart w:id="119" w:name="_Toc184308075"/>
      <w:bookmarkEnd w:id="119"/>
      <w:bookmarkStart w:id="120" w:name="_Toc184313267"/>
      <w:bookmarkEnd w:id="120"/>
      <w:bookmarkStart w:id="121" w:name="_Toc184310274"/>
      <w:bookmarkEnd w:id="121"/>
      <w:bookmarkStart w:id="122" w:name="_Toc184310337"/>
      <w:bookmarkEnd w:id="122"/>
      <w:bookmarkStart w:id="123" w:name="_Toc184308089"/>
      <w:bookmarkEnd w:id="123"/>
      <w:bookmarkStart w:id="124" w:name="_Toc184308044"/>
      <w:bookmarkEnd w:id="124"/>
      <w:bookmarkStart w:id="125" w:name="_Toc184310288"/>
      <w:bookmarkEnd w:id="125"/>
      <w:bookmarkStart w:id="126" w:name="_Toc184313248"/>
      <w:bookmarkEnd w:id="126"/>
      <w:bookmarkStart w:id="127" w:name="_Toc184312131"/>
      <w:bookmarkEnd w:id="127"/>
      <w:bookmarkStart w:id="128" w:name="_Toc184313298"/>
      <w:bookmarkEnd w:id="128"/>
      <w:bookmarkStart w:id="129" w:name="_Toc184310342"/>
      <w:bookmarkEnd w:id="129"/>
      <w:bookmarkStart w:id="130" w:name="_Toc184308088"/>
      <w:bookmarkEnd w:id="130"/>
      <w:bookmarkStart w:id="131" w:name="_Toc184314467"/>
      <w:bookmarkEnd w:id="131"/>
      <w:bookmarkStart w:id="132" w:name="_Toc184312085"/>
      <w:bookmarkEnd w:id="132"/>
      <w:bookmarkStart w:id="133" w:name="_Toc184310326"/>
      <w:bookmarkEnd w:id="133"/>
      <w:bookmarkStart w:id="134" w:name="_Toc184313308"/>
      <w:bookmarkEnd w:id="134"/>
      <w:bookmarkStart w:id="135" w:name="_Toc184312139"/>
      <w:bookmarkEnd w:id="135"/>
      <w:bookmarkStart w:id="136" w:name="_Toc184308087"/>
      <w:bookmarkEnd w:id="136"/>
      <w:bookmarkStart w:id="137" w:name="_Toc184312128"/>
      <w:bookmarkEnd w:id="137"/>
      <w:bookmarkStart w:id="138" w:name="_Toc184310308"/>
      <w:bookmarkEnd w:id="138"/>
      <w:bookmarkStart w:id="139" w:name="_Toc184313288"/>
      <w:bookmarkEnd w:id="139"/>
      <w:bookmarkStart w:id="140" w:name="_Toc184314449"/>
      <w:bookmarkEnd w:id="140"/>
      <w:bookmarkStart w:id="141" w:name="_Toc184310325"/>
      <w:bookmarkEnd w:id="141"/>
      <w:bookmarkStart w:id="142" w:name="_Toc184312073"/>
      <w:bookmarkEnd w:id="142"/>
      <w:bookmarkStart w:id="143" w:name="_Toc184310297"/>
      <w:bookmarkEnd w:id="143"/>
      <w:bookmarkStart w:id="144" w:name="_Toc184314453"/>
      <w:bookmarkEnd w:id="144"/>
      <w:bookmarkStart w:id="145" w:name="_Toc184313241"/>
      <w:bookmarkEnd w:id="145"/>
      <w:bookmarkStart w:id="146" w:name="_Toc184310333"/>
      <w:bookmarkEnd w:id="146"/>
      <w:bookmarkStart w:id="147" w:name="_Toc184312123"/>
      <w:bookmarkEnd w:id="147"/>
      <w:bookmarkStart w:id="148" w:name="_Toc184310289"/>
      <w:bookmarkEnd w:id="148"/>
      <w:bookmarkStart w:id="149" w:name="_Toc184312106"/>
      <w:bookmarkEnd w:id="149"/>
      <w:bookmarkStart w:id="150" w:name="_Toc184312098"/>
      <w:bookmarkEnd w:id="150"/>
      <w:bookmarkStart w:id="151" w:name="_Toc184313253"/>
      <w:bookmarkEnd w:id="151"/>
      <w:bookmarkStart w:id="152" w:name="_Toc184312092"/>
      <w:bookmarkEnd w:id="152"/>
      <w:bookmarkStart w:id="153" w:name="_Toc184308043"/>
      <w:bookmarkEnd w:id="153"/>
      <w:bookmarkStart w:id="154" w:name="_Toc184313287"/>
      <w:bookmarkEnd w:id="154"/>
      <w:bookmarkStart w:id="155" w:name="_Toc184308040"/>
      <w:bookmarkEnd w:id="155"/>
      <w:bookmarkStart w:id="156" w:name="_Toc184314457"/>
      <w:bookmarkEnd w:id="156"/>
      <w:bookmarkStart w:id="157" w:name="_Toc184312079"/>
      <w:bookmarkEnd w:id="157"/>
      <w:bookmarkStart w:id="158" w:name="_Toc184308106"/>
      <w:bookmarkEnd w:id="158"/>
      <w:bookmarkStart w:id="159" w:name="_Toc184308079"/>
      <w:bookmarkEnd w:id="159"/>
      <w:bookmarkStart w:id="160" w:name="_Toc184312102"/>
      <w:bookmarkEnd w:id="160"/>
      <w:bookmarkStart w:id="161" w:name="_Toc184313245"/>
      <w:bookmarkEnd w:id="161"/>
      <w:bookmarkStart w:id="162" w:name="_Toc184312072"/>
      <w:bookmarkEnd w:id="162"/>
      <w:bookmarkStart w:id="163" w:name="_Toc184308061"/>
      <w:bookmarkEnd w:id="163"/>
      <w:bookmarkStart w:id="164" w:name="_Toc184310275"/>
      <w:bookmarkEnd w:id="164"/>
      <w:bookmarkStart w:id="165" w:name="_Toc184314470"/>
      <w:bookmarkEnd w:id="165"/>
      <w:bookmarkStart w:id="166" w:name="_Toc184314477"/>
      <w:bookmarkEnd w:id="166"/>
      <w:bookmarkStart w:id="167" w:name="_Toc184310286"/>
      <w:bookmarkEnd w:id="167"/>
      <w:bookmarkStart w:id="168" w:name="_Toc184312127"/>
      <w:bookmarkEnd w:id="168"/>
      <w:bookmarkStart w:id="169" w:name="_Toc184308103"/>
      <w:bookmarkEnd w:id="169"/>
      <w:bookmarkStart w:id="170" w:name="_Toc184308105"/>
      <w:bookmarkEnd w:id="170"/>
      <w:bookmarkStart w:id="171" w:name="_Toc184312114"/>
      <w:bookmarkEnd w:id="171"/>
      <w:bookmarkStart w:id="172" w:name="_Toc184312125"/>
      <w:bookmarkEnd w:id="172"/>
      <w:bookmarkStart w:id="173" w:name="_Toc184310287"/>
      <w:bookmarkEnd w:id="173"/>
      <w:bookmarkStart w:id="174" w:name="_Toc184308056"/>
      <w:bookmarkEnd w:id="174"/>
      <w:bookmarkStart w:id="175" w:name="_Toc184313278"/>
      <w:bookmarkEnd w:id="175"/>
      <w:bookmarkStart w:id="176" w:name="_Toc184314468"/>
      <w:bookmarkEnd w:id="176"/>
      <w:bookmarkStart w:id="177" w:name="_Toc184314443"/>
      <w:bookmarkEnd w:id="177"/>
      <w:bookmarkStart w:id="178" w:name="_Toc184312118"/>
      <w:bookmarkEnd w:id="178"/>
      <w:bookmarkStart w:id="179" w:name="_Toc184313272"/>
      <w:bookmarkEnd w:id="179"/>
      <w:bookmarkStart w:id="180" w:name="_Toc184312121"/>
      <w:bookmarkEnd w:id="180"/>
      <w:bookmarkStart w:id="181" w:name="_Toc184313279"/>
      <w:bookmarkEnd w:id="181"/>
      <w:bookmarkStart w:id="182" w:name="_Toc184313304"/>
      <w:bookmarkEnd w:id="182"/>
      <w:bookmarkStart w:id="183" w:name="_Toc184308107"/>
      <w:bookmarkEnd w:id="183"/>
      <w:bookmarkStart w:id="184" w:name="_Toc184314441"/>
      <w:bookmarkEnd w:id="184"/>
      <w:bookmarkStart w:id="185" w:name="_Toc184314419"/>
      <w:bookmarkEnd w:id="185"/>
      <w:bookmarkStart w:id="186" w:name="_Toc184308092"/>
      <w:bookmarkEnd w:id="186"/>
      <w:bookmarkStart w:id="187" w:name="_Toc184312095"/>
      <w:bookmarkEnd w:id="187"/>
      <w:bookmarkStart w:id="188" w:name="_Toc184312083"/>
      <w:bookmarkEnd w:id="188"/>
      <w:bookmarkStart w:id="189" w:name="_Toc184314429"/>
      <w:bookmarkEnd w:id="189"/>
      <w:bookmarkStart w:id="190" w:name="_Toc184310324"/>
      <w:bookmarkEnd w:id="190"/>
      <w:bookmarkStart w:id="191" w:name="_Toc184310285"/>
      <w:bookmarkEnd w:id="191"/>
      <w:bookmarkStart w:id="192" w:name="_Toc184308047"/>
      <w:bookmarkEnd w:id="192"/>
      <w:bookmarkStart w:id="193" w:name="_Toc184312136"/>
      <w:bookmarkEnd w:id="193"/>
      <w:bookmarkStart w:id="194" w:name="_Toc184312088"/>
      <w:bookmarkEnd w:id="194"/>
      <w:bookmarkStart w:id="195" w:name="_Toc184314414"/>
      <w:bookmarkEnd w:id="195"/>
      <w:bookmarkStart w:id="196" w:name="_Toc184308085"/>
      <w:bookmarkEnd w:id="196"/>
      <w:bookmarkStart w:id="197" w:name="_Toc184312094"/>
      <w:bookmarkEnd w:id="197"/>
      <w:bookmarkStart w:id="198" w:name="_Toc184312112"/>
      <w:bookmarkEnd w:id="198"/>
      <w:bookmarkStart w:id="199" w:name="_Toc184313269"/>
      <w:bookmarkEnd w:id="199"/>
      <w:bookmarkStart w:id="200" w:name="_Toc184310280"/>
      <w:bookmarkEnd w:id="200"/>
      <w:bookmarkStart w:id="201" w:name="_Toc184314478"/>
      <w:bookmarkEnd w:id="201"/>
      <w:bookmarkStart w:id="202" w:name="_Toc184310314"/>
      <w:bookmarkEnd w:id="202"/>
      <w:bookmarkStart w:id="203" w:name="_Toc184310304"/>
      <w:bookmarkEnd w:id="203"/>
      <w:bookmarkStart w:id="204" w:name="_Toc184308039"/>
      <w:bookmarkEnd w:id="204"/>
      <w:bookmarkStart w:id="205" w:name="_Toc184313302"/>
      <w:bookmarkEnd w:id="205"/>
      <w:bookmarkStart w:id="206" w:name="_Toc184312075"/>
      <w:bookmarkEnd w:id="206"/>
      <w:bookmarkStart w:id="207" w:name="_Toc184310272"/>
      <w:bookmarkEnd w:id="207"/>
      <w:bookmarkStart w:id="208" w:name="_Toc184308054"/>
      <w:bookmarkEnd w:id="208"/>
      <w:bookmarkStart w:id="209" w:name="_Toc184312126"/>
      <w:bookmarkEnd w:id="209"/>
      <w:bookmarkStart w:id="210" w:name="_Toc184314415"/>
      <w:bookmarkEnd w:id="210"/>
      <w:bookmarkStart w:id="211" w:name="_Toc184310312"/>
      <w:bookmarkEnd w:id="211"/>
      <w:bookmarkStart w:id="212" w:name="_Toc184313306"/>
      <w:bookmarkEnd w:id="212"/>
      <w:bookmarkStart w:id="213" w:name="_Toc184310300"/>
      <w:bookmarkEnd w:id="213"/>
      <w:bookmarkStart w:id="214" w:name="_Toc184310329"/>
      <w:bookmarkEnd w:id="214"/>
      <w:bookmarkStart w:id="215" w:name="_Toc184310340"/>
      <w:bookmarkEnd w:id="215"/>
      <w:bookmarkStart w:id="216" w:name="_Toc184313277"/>
      <w:bookmarkEnd w:id="216"/>
      <w:bookmarkStart w:id="217" w:name="_Toc184312130"/>
      <w:bookmarkEnd w:id="217"/>
      <w:bookmarkStart w:id="218" w:name="_Toc184314411"/>
      <w:bookmarkEnd w:id="218"/>
      <w:bookmarkStart w:id="219" w:name="_Toc184312117"/>
      <w:bookmarkEnd w:id="219"/>
      <w:bookmarkStart w:id="220" w:name="_Toc184312104"/>
      <w:bookmarkEnd w:id="220"/>
      <w:bookmarkStart w:id="221" w:name="_Toc184313290"/>
      <w:bookmarkEnd w:id="221"/>
      <w:bookmarkStart w:id="222" w:name="_Toc184312086"/>
      <w:bookmarkEnd w:id="222"/>
      <w:bookmarkStart w:id="223" w:name="_Toc184312124"/>
      <w:bookmarkEnd w:id="223"/>
      <w:bookmarkStart w:id="224" w:name="_Toc184310273"/>
      <w:bookmarkEnd w:id="224"/>
      <w:bookmarkStart w:id="225" w:name="_Toc184308095"/>
      <w:bookmarkEnd w:id="225"/>
      <w:bookmarkStart w:id="226" w:name="_Toc184314454"/>
      <w:bookmarkEnd w:id="226"/>
      <w:bookmarkStart w:id="227" w:name="_Toc184314460"/>
      <w:bookmarkEnd w:id="227"/>
      <w:bookmarkStart w:id="228" w:name="_Toc184314450"/>
      <w:bookmarkEnd w:id="228"/>
      <w:bookmarkStart w:id="229" w:name="_Toc184314464"/>
      <w:bookmarkEnd w:id="229"/>
      <w:bookmarkStart w:id="230" w:name="_Toc184312099"/>
      <w:bookmarkEnd w:id="230"/>
      <w:bookmarkStart w:id="231" w:name="_Toc184310323"/>
      <w:bookmarkEnd w:id="231"/>
      <w:bookmarkStart w:id="232" w:name="_Toc184310334"/>
      <w:bookmarkEnd w:id="232"/>
      <w:bookmarkStart w:id="233" w:name="_Toc184313250"/>
      <w:bookmarkEnd w:id="233"/>
      <w:bookmarkStart w:id="234" w:name="_Toc184313244"/>
      <w:bookmarkEnd w:id="234"/>
      <w:bookmarkStart w:id="235" w:name="_Toc184308077"/>
      <w:bookmarkEnd w:id="235"/>
      <w:bookmarkStart w:id="236" w:name="_Toc184314476"/>
      <w:bookmarkEnd w:id="236"/>
      <w:bookmarkStart w:id="237" w:name="_Toc184310296"/>
      <w:bookmarkEnd w:id="237"/>
      <w:bookmarkStart w:id="238" w:name="_Toc184313273"/>
      <w:bookmarkEnd w:id="238"/>
      <w:bookmarkStart w:id="239" w:name="_Toc184308101"/>
      <w:bookmarkEnd w:id="239"/>
      <w:bookmarkStart w:id="240" w:name="_Toc184314444"/>
      <w:bookmarkEnd w:id="240"/>
      <w:bookmarkStart w:id="241" w:name="_Toc184312090"/>
      <w:bookmarkEnd w:id="241"/>
      <w:bookmarkStart w:id="242" w:name="_Toc184308100"/>
      <w:bookmarkEnd w:id="242"/>
      <w:bookmarkStart w:id="243" w:name="_Toc184314421"/>
      <w:bookmarkEnd w:id="243"/>
      <w:bookmarkStart w:id="244" w:name="_Toc184314427"/>
      <w:bookmarkEnd w:id="244"/>
      <w:bookmarkStart w:id="245" w:name="_Toc184308104"/>
      <w:bookmarkEnd w:id="245"/>
      <w:bookmarkStart w:id="246" w:name="_Toc184312078"/>
      <w:bookmarkEnd w:id="246"/>
      <w:bookmarkStart w:id="247" w:name="_Toc184314434"/>
      <w:bookmarkEnd w:id="247"/>
      <w:bookmarkStart w:id="248" w:name="_Toc184314469"/>
      <w:bookmarkEnd w:id="248"/>
      <w:bookmarkStart w:id="249" w:name="_Toc184310338"/>
      <w:bookmarkEnd w:id="249"/>
      <w:bookmarkStart w:id="250" w:name="_Toc184314433"/>
      <w:bookmarkEnd w:id="250"/>
      <w:bookmarkStart w:id="251" w:name="_Toc184308072"/>
      <w:bookmarkEnd w:id="251"/>
      <w:bookmarkStart w:id="252" w:name="_Toc184308108"/>
      <w:bookmarkEnd w:id="252"/>
      <w:bookmarkStart w:id="253" w:name="_Toc184314446"/>
      <w:bookmarkEnd w:id="253"/>
      <w:bookmarkStart w:id="254" w:name="_Toc184314445"/>
      <w:bookmarkEnd w:id="254"/>
      <w:bookmarkStart w:id="255" w:name="_Toc184312122"/>
      <w:bookmarkEnd w:id="255"/>
      <w:bookmarkStart w:id="256" w:name="_Toc184312067"/>
      <w:bookmarkEnd w:id="256"/>
      <w:bookmarkStart w:id="257" w:name="_Toc184310283"/>
      <w:bookmarkEnd w:id="257"/>
      <w:bookmarkStart w:id="258" w:name="_Toc184310336"/>
      <w:bookmarkEnd w:id="258"/>
      <w:bookmarkStart w:id="259" w:name="_Toc184308093"/>
      <w:bookmarkEnd w:id="259"/>
      <w:bookmarkStart w:id="260" w:name="_Toc184308099"/>
      <w:bookmarkEnd w:id="260"/>
      <w:bookmarkStart w:id="261" w:name="_Toc184313293"/>
      <w:bookmarkEnd w:id="261"/>
      <w:bookmarkStart w:id="262" w:name="_Toc184313263"/>
      <w:bookmarkEnd w:id="262"/>
      <w:bookmarkStart w:id="263" w:name="_Toc184310307"/>
      <w:bookmarkEnd w:id="263"/>
      <w:bookmarkStart w:id="264" w:name="_Toc184314440"/>
      <w:bookmarkEnd w:id="264"/>
      <w:bookmarkStart w:id="265" w:name="_Toc184314456"/>
      <w:bookmarkEnd w:id="265"/>
      <w:bookmarkStart w:id="266" w:name="_Toc184314416"/>
      <w:bookmarkEnd w:id="266"/>
      <w:bookmarkStart w:id="267" w:name="_Toc184308074"/>
      <w:bookmarkEnd w:id="267"/>
      <w:bookmarkStart w:id="268" w:name="_Toc184313261"/>
      <w:bookmarkEnd w:id="268"/>
      <w:bookmarkStart w:id="269" w:name="_Toc184312077"/>
      <w:bookmarkEnd w:id="269"/>
      <w:bookmarkStart w:id="270" w:name="_Toc184314428"/>
      <w:bookmarkEnd w:id="270"/>
      <w:bookmarkStart w:id="271" w:name="_Toc184312087"/>
      <w:bookmarkEnd w:id="271"/>
      <w:bookmarkStart w:id="272" w:name="_Toc184313247"/>
      <w:bookmarkEnd w:id="272"/>
      <w:bookmarkStart w:id="273" w:name="_Toc184313280"/>
      <w:bookmarkEnd w:id="273"/>
      <w:bookmarkStart w:id="274" w:name="_Toc184308055"/>
      <w:bookmarkEnd w:id="274"/>
      <w:bookmarkStart w:id="275" w:name="_Toc184308081"/>
      <w:bookmarkEnd w:id="275"/>
      <w:bookmarkStart w:id="276" w:name="_Toc184313303"/>
      <w:bookmarkEnd w:id="276"/>
      <w:bookmarkStart w:id="277" w:name="_Toc184308078"/>
      <w:bookmarkEnd w:id="277"/>
      <w:bookmarkStart w:id="278" w:name="_Toc184313274"/>
      <w:bookmarkEnd w:id="278"/>
      <w:bookmarkStart w:id="279" w:name="_Toc184312068"/>
      <w:bookmarkEnd w:id="279"/>
      <w:bookmarkStart w:id="280" w:name="_Toc184312074"/>
      <w:bookmarkEnd w:id="280"/>
      <w:bookmarkStart w:id="281" w:name="_Toc184314465"/>
      <w:bookmarkEnd w:id="281"/>
      <w:bookmarkStart w:id="282" w:name="_Toc184308048"/>
      <w:bookmarkEnd w:id="282"/>
      <w:bookmarkStart w:id="283" w:name="_Toc184310299"/>
      <w:bookmarkEnd w:id="283"/>
      <w:bookmarkStart w:id="284" w:name="_Toc184313266"/>
      <w:bookmarkEnd w:id="284"/>
      <w:bookmarkStart w:id="285" w:name="_Toc184313276"/>
      <w:bookmarkEnd w:id="285"/>
      <w:bookmarkStart w:id="286" w:name="_Toc184313238"/>
      <w:bookmarkEnd w:id="286"/>
      <w:bookmarkStart w:id="287" w:name="_Toc184312110"/>
      <w:bookmarkEnd w:id="287"/>
      <w:bookmarkStart w:id="288" w:name="_Toc184313260"/>
      <w:bookmarkEnd w:id="288"/>
      <w:bookmarkStart w:id="289" w:name="_Toc184308090"/>
      <w:bookmarkEnd w:id="289"/>
      <w:bookmarkStart w:id="290" w:name="_Toc184312100"/>
      <w:bookmarkEnd w:id="290"/>
      <w:bookmarkStart w:id="291" w:name="_Toc184308102"/>
      <w:bookmarkEnd w:id="291"/>
      <w:bookmarkStart w:id="292" w:name="_Toc184310343"/>
      <w:bookmarkEnd w:id="292"/>
      <w:bookmarkStart w:id="293" w:name="_Toc184313254"/>
      <w:bookmarkEnd w:id="293"/>
      <w:bookmarkStart w:id="294" w:name="_Toc184310292"/>
      <w:bookmarkEnd w:id="294"/>
      <w:bookmarkStart w:id="295" w:name="_Toc184310318"/>
      <w:bookmarkEnd w:id="295"/>
      <w:bookmarkStart w:id="296" w:name="_Toc184308097"/>
      <w:bookmarkEnd w:id="296"/>
      <w:bookmarkStart w:id="297" w:name="_Toc184312070"/>
      <w:bookmarkEnd w:id="297"/>
      <w:bookmarkStart w:id="298" w:name="_Toc184314439"/>
      <w:bookmarkEnd w:id="298"/>
      <w:bookmarkStart w:id="299" w:name="_Toc184313300"/>
      <w:bookmarkEnd w:id="299"/>
      <w:bookmarkStart w:id="300" w:name="_Toc184310301"/>
      <w:bookmarkEnd w:id="300"/>
      <w:bookmarkStart w:id="301" w:name="_Toc184308037"/>
      <w:bookmarkEnd w:id="301"/>
      <w:bookmarkStart w:id="302" w:name="_Toc184310281"/>
      <w:bookmarkEnd w:id="302"/>
      <w:bookmarkStart w:id="303" w:name="_Toc184308045"/>
      <w:bookmarkEnd w:id="303"/>
      <w:bookmarkStart w:id="304" w:name="_Toc184312107"/>
      <w:bookmarkEnd w:id="304"/>
      <w:bookmarkStart w:id="305" w:name="_Toc184312101"/>
      <w:bookmarkEnd w:id="305"/>
      <w:bookmarkStart w:id="306" w:name="_Toc184313239"/>
      <w:bookmarkEnd w:id="306"/>
      <w:bookmarkStart w:id="307" w:name="_Toc184313297"/>
      <w:bookmarkEnd w:id="307"/>
      <w:bookmarkStart w:id="308" w:name="_Toc184308082"/>
      <w:bookmarkEnd w:id="308"/>
      <w:bookmarkStart w:id="309" w:name="_Toc184310278"/>
      <w:bookmarkEnd w:id="309"/>
      <w:bookmarkStart w:id="310" w:name="_Toc184312105"/>
      <w:bookmarkEnd w:id="310"/>
      <w:bookmarkStart w:id="311" w:name="_Toc184308051"/>
      <w:bookmarkEnd w:id="311"/>
      <w:bookmarkStart w:id="312" w:name="_Toc184312096"/>
      <w:bookmarkEnd w:id="312"/>
      <w:bookmarkStart w:id="313" w:name="_Toc184312135"/>
      <w:bookmarkEnd w:id="313"/>
      <w:bookmarkStart w:id="314" w:name="_Toc184312120"/>
      <w:bookmarkEnd w:id="314"/>
      <w:bookmarkStart w:id="315" w:name="_Toc184314422"/>
      <w:bookmarkEnd w:id="315"/>
      <w:bookmarkStart w:id="316" w:name="_Toc184310331"/>
      <w:bookmarkEnd w:id="316"/>
      <w:bookmarkStart w:id="317" w:name="_Toc184312076"/>
      <w:bookmarkEnd w:id="317"/>
      <w:bookmarkStart w:id="318" w:name="_Toc184314463"/>
      <w:bookmarkEnd w:id="318"/>
      <w:bookmarkStart w:id="319" w:name="_Toc184310291"/>
      <w:bookmarkEnd w:id="319"/>
      <w:bookmarkStart w:id="320" w:name="_Toc184313289"/>
      <w:bookmarkEnd w:id="320"/>
      <w:bookmarkStart w:id="321" w:name="_Toc184310276"/>
      <w:bookmarkEnd w:id="321"/>
      <w:bookmarkStart w:id="322" w:name="_Toc184312089"/>
      <w:bookmarkEnd w:id="322"/>
      <w:bookmarkStart w:id="323" w:name="_Toc184308038"/>
      <w:bookmarkEnd w:id="323"/>
      <w:bookmarkStart w:id="324" w:name="_Toc184310332"/>
      <w:bookmarkEnd w:id="324"/>
      <w:bookmarkStart w:id="325" w:name="_Toc184312071"/>
      <w:bookmarkEnd w:id="325"/>
      <w:bookmarkStart w:id="326" w:name="_Toc184314458"/>
      <w:bookmarkEnd w:id="326"/>
      <w:bookmarkStart w:id="327" w:name="_Toc184314425"/>
      <w:bookmarkEnd w:id="327"/>
      <w:bookmarkStart w:id="328" w:name="_Toc184314473"/>
      <w:bookmarkEnd w:id="328"/>
      <w:bookmarkStart w:id="329" w:name="_Toc184308065"/>
      <w:bookmarkEnd w:id="329"/>
      <w:bookmarkStart w:id="330" w:name="_Toc184314466"/>
      <w:bookmarkEnd w:id="330"/>
      <w:bookmarkStart w:id="331" w:name="_Toc184312108"/>
      <w:bookmarkEnd w:id="331"/>
      <w:bookmarkStart w:id="332" w:name="_Toc184310311"/>
      <w:bookmarkEnd w:id="332"/>
      <w:bookmarkStart w:id="333" w:name="_Toc184313299"/>
      <w:bookmarkEnd w:id="333"/>
      <w:bookmarkStart w:id="334" w:name="_Toc184314459"/>
      <w:bookmarkEnd w:id="334"/>
      <w:bookmarkStart w:id="335" w:name="_Toc184314442"/>
      <w:bookmarkEnd w:id="335"/>
      <w:bookmarkStart w:id="336" w:name="_Toc184310341"/>
      <w:bookmarkEnd w:id="336"/>
      <w:bookmarkStart w:id="337" w:name="_Toc184314474"/>
      <w:bookmarkEnd w:id="337"/>
      <w:bookmarkStart w:id="338" w:name="_Toc184308064"/>
      <w:bookmarkEnd w:id="338"/>
      <w:bookmarkStart w:id="339" w:name="_Toc184310279"/>
      <w:bookmarkEnd w:id="339"/>
      <w:bookmarkStart w:id="340" w:name="_Toc184312115"/>
      <w:bookmarkEnd w:id="340"/>
      <w:bookmarkStart w:id="341" w:name="_Toc184308094"/>
      <w:bookmarkEnd w:id="341"/>
      <w:bookmarkStart w:id="342" w:name="_Toc184314448"/>
      <w:bookmarkEnd w:id="342"/>
      <w:bookmarkStart w:id="343" w:name="_Toc184313243"/>
      <w:bookmarkEnd w:id="343"/>
      <w:bookmarkStart w:id="344" w:name="_Toc184313257"/>
      <w:bookmarkEnd w:id="344"/>
      <w:bookmarkStart w:id="345" w:name="_Toc184310290"/>
      <w:bookmarkEnd w:id="345"/>
      <w:bookmarkStart w:id="346" w:name="_Toc184314461"/>
      <w:bookmarkEnd w:id="346"/>
      <w:bookmarkStart w:id="347" w:name="_Toc184308057"/>
      <w:bookmarkEnd w:id="347"/>
      <w:bookmarkStart w:id="348" w:name="_Toc184312111"/>
      <w:bookmarkEnd w:id="348"/>
      <w:bookmarkStart w:id="349" w:name="_Toc184308058"/>
      <w:bookmarkEnd w:id="349"/>
      <w:bookmarkStart w:id="350" w:name="_Toc184314436"/>
      <w:bookmarkEnd w:id="350"/>
      <w:bookmarkStart w:id="351" w:name="_Toc184310339"/>
      <w:bookmarkEnd w:id="351"/>
      <w:bookmarkStart w:id="352" w:name="_Toc184312082"/>
      <w:bookmarkEnd w:id="352"/>
      <w:bookmarkStart w:id="353" w:name="_Toc184310322"/>
      <w:bookmarkEnd w:id="353"/>
      <w:bookmarkStart w:id="354" w:name="_Toc184310330"/>
      <w:bookmarkEnd w:id="354"/>
      <w:bookmarkStart w:id="355" w:name="_Toc184313270"/>
      <w:bookmarkEnd w:id="355"/>
      <w:bookmarkStart w:id="356" w:name="_Toc184310309"/>
      <w:bookmarkEnd w:id="356"/>
      <w:bookmarkStart w:id="357" w:name="_Toc184314420"/>
      <w:bookmarkEnd w:id="357"/>
      <w:bookmarkStart w:id="358" w:name="_Toc184312069"/>
      <w:bookmarkEnd w:id="358"/>
      <w:bookmarkStart w:id="359" w:name="_Toc184314412"/>
      <w:bookmarkEnd w:id="359"/>
      <w:bookmarkStart w:id="360" w:name="_Toc184312084"/>
      <w:bookmarkEnd w:id="360"/>
      <w:bookmarkStart w:id="361" w:name="_Toc184310294"/>
      <w:bookmarkEnd w:id="361"/>
      <w:bookmarkStart w:id="362" w:name="_Toc184313251"/>
      <w:bookmarkEnd w:id="362"/>
      <w:bookmarkStart w:id="363" w:name="_Toc184308069"/>
      <w:bookmarkEnd w:id="363"/>
      <w:bookmarkStart w:id="364" w:name="_Toc184314481"/>
      <w:bookmarkEnd w:id="364"/>
      <w:bookmarkStart w:id="365" w:name="_Toc184314438"/>
      <w:bookmarkEnd w:id="365"/>
      <w:bookmarkStart w:id="366" w:name="_Toc184310303"/>
      <w:bookmarkEnd w:id="366"/>
      <w:bookmarkStart w:id="367" w:name="_Toc184312133"/>
      <w:bookmarkEnd w:id="367"/>
      <w:bookmarkStart w:id="368" w:name="_Toc184310321"/>
      <w:bookmarkEnd w:id="368"/>
      <w:bookmarkStart w:id="369" w:name="_Toc184313295"/>
      <w:bookmarkEnd w:id="369"/>
      <w:bookmarkStart w:id="370" w:name="_Toc184313286"/>
      <w:bookmarkEnd w:id="370"/>
      <w:bookmarkStart w:id="371" w:name="_Toc184312093"/>
      <w:bookmarkEnd w:id="371"/>
      <w:bookmarkStart w:id="372" w:name="_Toc184313296"/>
      <w:bookmarkEnd w:id="372"/>
      <w:bookmarkStart w:id="373" w:name="_Toc184312132"/>
      <w:bookmarkEnd w:id="373"/>
      <w:bookmarkStart w:id="374" w:name="_Toc184313291"/>
      <w:bookmarkEnd w:id="374"/>
      <w:bookmarkStart w:id="375" w:name="_Toc184308036"/>
      <w:bookmarkEnd w:id="375"/>
      <w:bookmarkStart w:id="376" w:name="_Toc184314423"/>
      <w:bookmarkEnd w:id="376"/>
      <w:bookmarkStart w:id="377" w:name="_Toc184313282"/>
      <w:bookmarkEnd w:id="377"/>
      <w:bookmarkStart w:id="378" w:name="_Toc184310284"/>
      <w:bookmarkEnd w:id="378"/>
      <w:bookmarkStart w:id="379" w:name="_Toc184310305"/>
      <w:bookmarkEnd w:id="379"/>
      <w:bookmarkStart w:id="380" w:name="_Toc184314426"/>
      <w:bookmarkEnd w:id="380"/>
      <w:bookmarkStart w:id="381" w:name="_Toc184308068"/>
      <w:bookmarkEnd w:id="381"/>
      <w:bookmarkStart w:id="382" w:name="_Toc184308063"/>
      <w:bookmarkEnd w:id="382"/>
      <w:bookmarkStart w:id="383" w:name="_Toc184308076"/>
      <w:bookmarkEnd w:id="383"/>
      <w:bookmarkStart w:id="384" w:name="_Toc184308073"/>
      <w:bookmarkEnd w:id="384"/>
      <w:bookmarkStart w:id="385" w:name="_Toc184313305"/>
      <w:bookmarkEnd w:id="385"/>
      <w:bookmarkStart w:id="386" w:name="_Toc184310282"/>
      <w:bookmarkEnd w:id="386"/>
      <w:bookmarkStart w:id="387" w:name="_Toc184314418"/>
      <w:bookmarkEnd w:id="387"/>
      <w:bookmarkStart w:id="388" w:name="_Toc184314452"/>
      <w:bookmarkEnd w:id="388"/>
      <w:bookmarkStart w:id="389" w:name="_Toc184310302"/>
      <w:bookmarkEnd w:id="389"/>
      <w:bookmarkStart w:id="390" w:name="_Toc184310320"/>
      <w:bookmarkEnd w:id="390"/>
      <w:bookmarkStart w:id="391" w:name="_Toc184310319"/>
      <w:bookmarkEnd w:id="391"/>
      <w:r>
        <w:rPr>
          <w:rFonts w:hint="eastAsia" w:ascii="宋体" w:hAnsi="宋体" w:cs="宋体"/>
          <w:b/>
          <w:color w:val="000000" w:themeColor="text1"/>
          <w:sz w:val="36"/>
          <w:szCs w:val="36"/>
          <w14:textFill>
            <w14:solidFill>
              <w14:schemeClr w14:val="tx1"/>
            </w14:solidFill>
          </w14:textFill>
        </w:rPr>
        <w:t xml:space="preserve"> 评标办法</w:t>
      </w:r>
      <w:bookmarkEnd w:id="26"/>
    </w:p>
    <w:p w14:paraId="4797495D">
      <w:pPr>
        <w:pStyle w:val="32"/>
        <w:spacing w:line="360" w:lineRule="exact"/>
        <w:ind w:firstLine="321"/>
        <w:jc w:val="center"/>
        <w:rPr>
          <w:rFonts w:hAnsi="宋体"/>
          <w:b/>
          <w:sz w:val="32"/>
          <w:szCs w:val="32"/>
        </w:rPr>
      </w:pPr>
      <w:r>
        <w:rPr>
          <w:rFonts w:hint="eastAsia" w:hAnsi="宋体"/>
          <w:b/>
          <w:sz w:val="32"/>
          <w:szCs w:val="32"/>
        </w:rPr>
        <w:t>评标办法及评分标准</w:t>
      </w:r>
    </w:p>
    <w:p w14:paraId="2A39C3D7">
      <w:pPr>
        <w:pStyle w:val="32"/>
        <w:spacing w:line="420" w:lineRule="exact"/>
        <w:ind w:firstLine="539" w:firstLineChars="257"/>
        <w:jc w:val="center"/>
        <w:rPr>
          <w:rFonts w:hAnsi="宋体"/>
          <w:bCs/>
        </w:rPr>
      </w:pPr>
    </w:p>
    <w:p w14:paraId="2B415F8D">
      <w:pPr>
        <w:widowControl/>
        <w:shd w:val="clear" w:color="auto" w:fill="FFFFFF"/>
        <w:adjustRightInd/>
        <w:spacing w:after="225" w:line="315" w:lineRule="atLeast"/>
        <w:jc w:val="left"/>
        <w:outlineLvl w:val="1"/>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一、评标原则</w:t>
      </w:r>
    </w:p>
    <w:p w14:paraId="6759784A">
      <w:pPr>
        <w:spacing w:line="360" w:lineRule="auto"/>
        <w:ind w:firstLine="480" w:firstLineChars="200"/>
        <w:rPr>
          <w:rFonts w:ascii="宋体" w:hAnsi="宋体" w:cs="宋体"/>
          <w:sz w:val="24"/>
        </w:rPr>
      </w:pPr>
      <w:r>
        <w:rPr>
          <w:rFonts w:hint="eastAsia" w:ascii="宋体" w:hAnsi="宋体" w:cs="宋体"/>
          <w:sz w:val="24"/>
        </w:rPr>
        <w:t>(一)评委构成：本招标采购项目的评委分别由有关专家、采购单位代表共5人或以上单数构成，其中专家人数不少于成员总数的三分之二。</w:t>
      </w:r>
    </w:p>
    <w:p w14:paraId="2614C4AF">
      <w:pPr>
        <w:spacing w:line="360" w:lineRule="auto"/>
        <w:ind w:firstLine="480" w:firstLineChars="200"/>
        <w:rPr>
          <w:rFonts w:ascii="宋体" w:hAnsi="宋体" w:cs="宋体"/>
          <w:sz w:val="24"/>
        </w:rPr>
      </w:pPr>
      <w:r>
        <w:rPr>
          <w:rFonts w:hint="eastAsia" w:ascii="宋体" w:hAnsi="宋体" w:cs="宋体"/>
          <w:sz w:val="24"/>
        </w:rPr>
        <w:t>(二)评标依据：评委将以招投标文件为评标依据，对投标人的投标报价、</w:t>
      </w:r>
      <w:r>
        <w:rPr>
          <w:rFonts w:hint="eastAsia" w:ascii="宋体" w:hAnsi="宋体" w:cs="宋体"/>
          <w:sz w:val="24"/>
          <w:lang w:eastAsia="zh-CN"/>
        </w:rPr>
        <w:t>技术</w:t>
      </w:r>
      <w:r>
        <w:rPr>
          <w:rFonts w:hint="eastAsia" w:ascii="宋体" w:hAnsi="宋体" w:cs="宋体"/>
          <w:sz w:val="24"/>
        </w:rPr>
        <w:t>、</w:t>
      </w:r>
      <w:r>
        <w:rPr>
          <w:rFonts w:hint="eastAsia" w:ascii="宋体" w:hAnsi="宋体" w:cs="宋体"/>
          <w:sz w:val="24"/>
          <w:lang w:eastAsia="zh-CN"/>
        </w:rPr>
        <w:t>商务</w:t>
      </w:r>
      <w:r>
        <w:rPr>
          <w:rFonts w:hint="eastAsia" w:ascii="宋体" w:hAnsi="宋体" w:cs="宋体"/>
          <w:sz w:val="24"/>
        </w:rPr>
        <w:t>等三方面内容按百分制打分。</w:t>
      </w:r>
    </w:p>
    <w:p w14:paraId="1B838848">
      <w:pPr>
        <w:spacing w:line="360" w:lineRule="auto"/>
        <w:ind w:firstLine="480" w:firstLineChars="200"/>
        <w:rPr>
          <w:rFonts w:ascii="宋体" w:hAnsi="宋体" w:cs="宋体"/>
          <w:sz w:val="24"/>
        </w:rPr>
      </w:pPr>
      <w:r>
        <w:rPr>
          <w:rFonts w:hint="eastAsia" w:ascii="宋体" w:hAnsi="宋体" w:cs="宋体"/>
          <w:sz w:val="24"/>
        </w:rPr>
        <w:t>(三)评标方式：以封闭方式进行。</w:t>
      </w:r>
    </w:p>
    <w:p w14:paraId="34F6EFD5">
      <w:pPr>
        <w:widowControl/>
        <w:shd w:val="clear" w:color="auto" w:fill="FFFFFF"/>
        <w:adjustRightInd/>
        <w:spacing w:after="225" w:line="315" w:lineRule="atLeast"/>
        <w:jc w:val="left"/>
        <w:outlineLvl w:val="1"/>
        <w:rPr>
          <w:rFonts w:ascii="宋体" w:hAnsi="宋体" w:cs="宋体"/>
          <w:b/>
          <w:color w:val="000000" w:themeColor="text1"/>
          <w:sz w:val="32"/>
          <w14:textFill>
            <w14:solidFill>
              <w14:schemeClr w14:val="tx1"/>
            </w14:solidFill>
          </w14:textFill>
        </w:rPr>
      </w:pPr>
      <w:bookmarkStart w:id="392" w:name="OLE_LINK11"/>
      <w:r>
        <w:rPr>
          <w:rFonts w:hint="eastAsia" w:ascii="宋体" w:hAnsi="宋体" w:cs="宋体"/>
          <w:b/>
          <w:color w:val="000000" w:themeColor="text1"/>
          <w:sz w:val="32"/>
          <w14:textFill>
            <w14:solidFill>
              <w14:schemeClr w14:val="tx1"/>
            </w14:solidFill>
          </w14:textFill>
        </w:rPr>
        <w:t>二、评标方法</w:t>
      </w:r>
    </w:p>
    <w:p w14:paraId="2CB599D5">
      <w:pPr>
        <w:spacing w:line="360" w:lineRule="auto"/>
        <w:ind w:firstLine="480" w:firstLineChars="200"/>
        <w:rPr>
          <w:rFonts w:ascii="宋体" w:hAnsi="宋体" w:cs="宋体"/>
          <w:sz w:val="24"/>
        </w:rPr>
      </w:pPr>
      <w:r>
        <w:rPr>
          <w:rFonts w:hint="eastAsia" w:ascii="宋体" w:hAnsi="宋体" w:cs="宋体"/>
          <w:sz w:val="24"/>
        </w:rPr>
        <w:t>（一）对进入详评的，采用百分制综合评分法。</w:t>
      </w:r>
    </w:p>
    <w:p w14:paraId="305BBA28">
      <w:pPr>
        <w:spacing w:line="360" w:lineRule="auto"/>
        <w:ind w:firstLine="480" w:firstLineChars="200"/>
        <w:rPr>
          <w:rFonts w:ascii="宋体" w:hAnsi="宋体" w:cs="宋体"/>
          <w:sz w:val="24"/>
        </w:rPr>
      </w:pPr>
      <w:r>
        <w:rPr>
          <w:rFonts w:hint="eastAsia" w:ascii="宋体" w:hAnsi="宋体" w:cs="宋体"/>
          <w:sz w:val="24"/>
        </w:rPr>
        <w:t>（二）计分办法（按四舍五入取至百分位）：</w:t>
      </w:r>
      <w:bookmarkStart w:id="393" w:name="OLE_LINK9"/>
    </w:p>
    <w:p w14:paraId="0EF564B6">
      <w:pPr>
        <w:adjustRightInd/>
        <w:spacing w:line="560" w:lineRule="exact"/>
        <w:rPr>
          <w:rFonts w:cs="仿宋_GB2312" w:asciiTheme="minorEastAsia" w:hAnsiTheme="minorEastAsia" w:eastAsiaTheme="minorEastAsia"/>
          <w:b/>
          <w:bCs/>
          <w:szCs w:val="21"/>
        </w:rPr>
      </w:pPr>
    </w:p>
    <w:tbl>
      <w:tblPr>
        <w:tblStyle w:val="62"/>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14:paraId="685F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39A5342C">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1418" w:type="dxa"/>
            <w:vAlign w:val="center"/>
          </w:tcPr>
          <w:p w14:paraId="3C5652CA">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评审因素</w:t>
            </w:r>
          </w:p>
        </w:tc>
        <w:tc>
          <w:tcPr>
            <w:tcW w:w="6288" w:type="dxa"/>
            <w:vAlign w:val="center"/>
          </w:tcPr>
          <w:p w14:paraId="2342B746">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评审因素具体内容</w:t>
            </w:r>
          </w:p>
        </w:tc>
        <w:tc>
          <w:tcPr>
            <w:tcW w:w="851" w:type="dxa"/>
            <w:vAlign w:val="center"/>
          </w:tcPr>
          <w:p w14:paraId="09651B26">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分值</w:t>
            </w:r>
          </w:p>
        </w:tc>
      </w:tr>
      <w:tr w14:paraId="2C3D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33" w:type="dxa"/>
            <w:vAlign w:val="center"/>
          </w:tcPr>
          <w:p w14:paraId="0EFA8682">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418" w:type="dxa"/>
            <w:vAlign w:val="center"/>
          </w:tcPr>
          <w:p w14:paraId="1D8ACF8F">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价格分</w:t>
            </w:r>
          </w:p>
        </w:tc>
        <w:tc>
          <w:tcPr>
            <w:tcW w:w="6288" w:type="dxa"/>
          </w:tcPr>
          <w:p w14:paraId="4131A218">
            <w:pPr>
              <w:pStyle w:val="797"/>
              <w:ind w:firstLine="0" w:firstLineChars="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lang w:val="en-US"/>
              </w:rPr>
              <w:t>报价超过采购预算的，响应无效，未超过采购预算的</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lang w:val="en-US"/>
              </w:rPr>
              <w:t>报价按以下公式进行计算。</w:t>
            </w:r>
          </w:p>
          <w:p w14:paraId="7D60AF7A">
            <w:pPr>
              <w:pStyle w:val="797"/>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rPr>
              <w:t>（2）</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lang w:val="en-US"/>
              </w:rPr>
              <w:t>报价得分=（</w:t>
            </w:r>
            <w:r>
              <w:rPr>
                <w:rFonts w:hint="eastAsia" w:ascii="宋体" w:hAnsi="宋体" w:eastAsia="宋体" w:cs="宋体"/>
                <w:color w:val="auto"/>
                <w:sz w:val="24"/>
                <w:szCs w:val="24"/>
                <w:lang w:val="en-US" w:eastAsia="zh-CN"/>
              </w:rPr>
              <w:t>评标基准价</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rPr>
              <w:t>报价）×</w:t>
            </w:r>
            <w:r>
              <w:rPr>
                <w:rFonts w:hint="eastAsia" w:ascii="宋体" w:hAnsi="宋体" w:eastAsia="宋体" w:cs="宋体"/>
                <w:color w:val="auto"/>
                <w:sz w:val="24"/>
                <w:szCs w:val="24"/>
                <w:highlight w:val="none"/>
                <w:lang w:val="en-US" w:eastAsia="zh-CN"/>
              </w:rPr>
              <w:t>10</w:t>
            </w:r>
          </w:p>
          <w:p w14:paraId="63D157E4">
            <w:pPr>
              <w:pStyle w:val="32"/>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auto"/>
                <w:kern w:val="2"/>
                <w:sz w:val="24"/>
                <w:szCs w:val="24"/>
                <w:lang w:val="en-US" w:eastAsia="zh-CN"/>
              </w:rPr>
            </w:pPr>
            <w:r>
              <w:rPr>
                <w:rFonts w:hint="eastAsia" w:ascii="宋体" w:hAnsi="宋体" w:eastAsia="宋体" w:cs="宋体"/>
                <w:color w:val="auto"/>
                <w:sz w:val="24"/>
                <w:szCs w:val="24"/>
                <w:highlight w:val="none"/>
                <w:lang w:val="en-US"/>
              </w:rPr>
              <w:t>注：满足</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要求且</w:t>
            </w:r>
            <w:r>
              <w:rPr>
                <w:rFonts w:hint="eastAsia" w:ascii="宋体" w:hAnsi="宋体" w:eastAsia="宋体" w:cs="宋体"/>
                <w:color w:val="auto"/>
                <w:sz w:val="24"/>
                <w:szCs w:val="24"/>
                <w:highlight w:val="none"/>
                <w:lang w:eastAsia="zh-CN"/>
              </w:rPr>
              <w:t>投标报价</w:t>
            </w:r>
            <w:r>
              <w:rPr>
                <w:rFonts w:hint="eastAsia" w:ascii="宋体" w:hAnsi="宋体" w:eastAsia="宋体" w:cs="宋体"/>
                <w:color w:val="auto"/>
                <w:sz w:val="24"/>
                <w:szCs w:val="24"/>
                <w:highlight w:val="none"/>
                <w:lang w:val="en-US"/>
              </w:rPr>
              <w:t>最低的报价为评标基准价。</w:t>
            </w:r>
          </w:p>
        </w:tc>
        <w:tc>
          <w:tcPr>
            <w:tcW w:w="851" w:type="dxa"/>
            <w:vAlign w:val="center"/>
          </w:tcPr>
          <w:p w14:paraId="0648D528">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10分</w:t>
            </w:r>
          </w:p>
        </w:tc>
      </w:tr>
      <w:tr w14:paraId="6E1C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06C5A1FF">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2</w:t>
            </w:r>
          </w:p>
        </w:tc>
        <w:tc>
          <w:tcPr>
            <w:tcW w:w="1418" w:type="dxa"/>
            <w:vAlign w:val="center"/>
          </w:tcPr>
          <w:p w14:paraId="0DD45CDC">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技术分</w:t>
            </w:r>
          </w:p>
        </w:tc>
        <w:tc>
          <w:tcPr>
            <w:tcW w:w="7139" w:type="dxa"/>
            <w:gridSpan w:val="2"/>
          </w:tcPr>
          <w:p w14:paraId="110F752B">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评审因素</w:t>
            </w:r>
          </w:p>
        </w:tc>
      </w:tr>
      <w:tr w14:paraId="20F8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76BD1158">
            <w:pPr>
              <w:keepNext w:val="0"/>
              <w:keepLines w:val="0"/>
              <w:pageBreakBefore w:val="0"/>
              <w:kinsoku/>
              <w:wordWrap/>
              <w:overflowPunct/>
              <w:topLinePunct w:val="0"/>
              <w:autoSpaceDE/>
              <w:autoSpaceDN/>
              <w:bidi w:val="0"/>
              <w:adjustRightInd w:val="0"/>
              <w:snapToGrid w:val="0"/>
              <w:spacing w:line="360" w:lineRule="auto"/>
              <w:ind w:left="-105" w:leftChars="-50" w:right="-105" w:rightChars="-50"/>
              <w:jc w:val="center"/>
              <w:textAlignment w:val="baseline"/>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2.1</w:t>
            </w:r>
          </w:p>
        </w:tc>
        <w:tc>
          <w:tcPr>
            <w:tcW w:w="1418" w:type="dxa"/>
            <w:vAlign w:val="center"/>
          </w:tcPr>
          <w:p w14:paraId="6F30153E">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服务</w:t>
            </w:r>
            <w:r>
              <w:rPr>
                <w:rFonts w:hint="eastAsia" w:ascii="宋体" w:hAnsi="宋体" w:eastAsia="宋体" w:cs="宋体"/>
                <w:bCs/>
                <w:color w:val="auto"/>
                <w:kern w:val="0"/>
                <w:sz w:val="24"/>
                <w:szCs w:val="24"/>
              </w:rPr>
              <w:t>功能参数符合分</w:t>
            </w:r>
          </w:p>
        </w:tc>
        <w:tc>
          <w:tcPr>
            <w:tcW w:w="6288" w:type="dxa"/>
            <w:vAlign w:val="center"/>
          </w:tcPr>
          <w:p w14:paraId="3CE568C4">
            <w:pPr>
              <w:pStyle w:val="32"/>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bCs/>
                <w:color w:val="auto"/>
                <w:sz w:val="24"/>
                <w:szCs w:val="24"/>
                <w:highlight w:val="none"/>
              </w:rPr>
              <w:t>对于“</w:t>
            </w:r>
            <w:r>
              <w:rPr>
                <w:rFonts w:hint="eastAsia" w:ascii="宋体" w:hAnsi="宋体" w:eastAsia="宋体" w:cs="宋体"/>
                <w:bCs/>
                <w:color w:val="auto"/>
                <w:sz w:val="24"/>
                <w:szCs w:val="24"/>
                <w:highlight w:val="none"/>
                <w:lang w:val="en-US" w:eastAsia="zh-CN"/>
              </w:rPr>
              <w:t>采购需求</w:t>
            </w:r>
            <w:r>
              <w:rPr>
                <w:rFonts w:hint="eastAsia" w:ascii="宋体" w:hAnsi="宋体" w:eastAsia="宋体" w:cs="宋体"/>
                <w:bCs/>
                <w:color w:val="auto"/>
                <w:sz w:val="24"/>
                <w:szCs w:val="24"/>
                <w:highlight w:val="none"/>
              </w:rPr>
              <w:t>”中“●”内容，</w:t>
            </w:r>
            <w:r>
              <w:rPr>
                <w:rFonts w:hint="eastAsia" w:ascii="宋体" w:hAnsi="宋体" w:eastAsia="宋体" w:cs="宋体"/>
                <w:b/>
                <w:bCs w:val="0"/>
                <w:color w:val="auto"/>
                <w:sz w:val="24"/>
                <w:szCs w:val="24"/>
                <w:highlight w:val="none"/>
              </w:rPr>
              <w:t>需提供</w:t>
            </w:r>
            <w:r>
              <w:rPr>
                <w:rFonts w:hint="eastAsia" w:ascii="宋体" w:hAnsi="宋体" w:eastAsia="宋体" w:cs="宋体"/>
                <w:b/>
                <w:bCs w:val="0"/>
                <w:color w:val="auto"/>
                <w:sz w:val="24"/>
                <w:szCs w:val="24"/>
                <w:highlight w:val="none"/>
                <w:lang w:val="en-US" w:eastAsia="zh-CN"/>
              </w:rPr>
              <w:t>资质证明或</w:t>
            </w:r>
            <w:r>
              <w:rPr>
                <w:rFonts w:hint="eastAsia" w:ascii="宋体" w:hAnsi="宋体" w:eastAsia="宋体" w:cs="宋体"/>
                <w:b/>
                <w:bCs w:val="0"/>
                <w:color w:val="auto"/>
                <w:sz w:val="24"/>
                <w:szCs w:val="24"/>
                <w:highlight w:val="none"/>
              </w:rPr>
              <w:t>服务功能截图</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rPr>
              <w:t>根据所投技术性能指标的响应程度打分，全部满足且技术描述完整得</w:t>
            </w: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分，以采购需求为准，每有一项负偏离的扣</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分，扣完为止。</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rPr>
              <w:t>如投标人在中标后</w:t>
            </w:r>
            <w:r>
              <w:rPr>
                <w:rFonts w:hint="eastAsia" w:ascii="宋体" w:hAnsi="宋体" w:eastAsia="宋体" w:cs="宋体"/>
                <w:color w:val="auto"/>
                <w:sz w:val="24"/>
                <w:szCs w:val="24"/>
                <w:lang w:val="en-US" w:eastAsia="zh-CN"/>
              </w:rPr>
              <w:t>在合同签约前</w:t>
            </w:r>
            <w:r>
              <w:rPr>
                <w:rFonts w:hint="eastAsia" w:ascii="宋体" w:hAnsi="宋体" w:eastAsia="宋体" w:cs="宋体"/>
                <w:color w:val="auto"/>
                <w:sz w:val="24"/>
                <w:szCs w:val="24"/>
              </w:rPr>
              <w:t>发现不能满足招标要求的，作废标处理，以虚假应标上报有关部门。</w:t>
            </w:r>
            <w:r>
              <w:rPr>
                <w:rFonts w:hint="eastAsia" w:ascii="宋体" w:hAnsi="宋体" w:eastAsia="宋体" w:cs="宋体"/>
                <w:bCs/>
                <w:color w:val="auto"/>
                <w:sz w:val="24"/>
                <w:szCs w:val="24"/>
                <w:highlight w:val="none"/>
                <w:lang w:eastAsia="zh-CN"/>
              </w:rPr>
              <w:t>）</w:t>
            </w:r>
          </w:p>
        </w:tc>
        <w:tc>
          <w:tcPr>
            <w:tcW w:w="851" w:type="dxa"/>
            <w:vAlign w:val="center"/>
          </w:tcPr>
          <w:p w14:paraId="0435F8D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32</w:t>
            </w:r>
            <w:r>
              <w:rPr>
                <w:rFonts w:hint="eastAsia" w:ascii="宋体" w:hAnsi="宋体" w:eastAsia="宋体" w:cs="宋体"/>
                <w:color w:val="auto"/>
                <w:kern w:val="0"/>
                <w:sz w:val="24"/>
                <w:szCs w:val="24"/>
              </w:rPr>
              <w:t>分</w:t>
            </w:r>
          </w:p>
        </w:tc>
      </w:tr>
      <w:tr w14:paraId="46E8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5DBD732D">
            <w:pPr>
              <w:keepNext w:val="0"/>
              <w:keepLines w:val="0"/>
              <w:pageBreakBefore w:val="0"/>
              <w:kinsoku/>
              <w:wordWrap/>
              <w:overflowPunct/>
              <w:topLinePunct w:val="0"/>
              <w:autoSpaceDE/>
              <w:autoSpaceDN/>
              <w:bidi w:val="0"/>
              <w:adjustRightInd w:val="0"/>
              <w:snapToGrid w:val="0"/>
              <w:spacing w:line="360" w:lineRule="auto"/>
              <w:ind w:left="-105" w:leftChars="-50" w:right="-105" w:rightChars="-50"/>
              <w:jc w:val="center"/>
              <w:textAlignment w:val="baseline"/>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2.2</w:t>
            </w:r>
          </w:p>
        </w:tc>
        <w:tc>
          <w:tcPr>
            <w:tcW w:w="1418" w:type="dxa"/>
            <w:vAlign w:val="center"/>
          </w:tcPr>
          <w:p w14:paraId="4EF6655C">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highlight w:val="none"/>
              </w:rPr>
              <w:t>服务方案分</w:t>
            </w:r>
          </w:p>
        </w:tc>
        <w:tc>
          <w:tcPr>
            <w:tcW w:w="6288" w:type="dxa"/>
            <w:vAlign w:val="center"/>
          </w:tcPr>
          <w:p w14:paraId="097CBF7D">
            <w:pPr>
              <w:pStyle w:val="23"/>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档（</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r>
              <w:rPr>
                <w:rFonts w:hint="eastAsia" w:ascii="宋体" w:hAnsi="宋体" w:eastAsia="宋体" w:cs="宋体"/>
                <w:bCs/>
                <w:color w:val="auto"/>
                <w:sz w:val="24"/>
                <w:szCs w:val="24"/>
                <w:lang w:val="en-US" w:eastAsia="zh-CN"/>
              </w:rPr>
              <w:t>投标人</w:t>
            </w:r>
            <w:r>
              <w:rPr>
                <w:rFonts w:hint="eastAsia" w:ascii="宋体" w:hAnsi="宋体" w:eastAsia="宋体" w:cs="宋体"/>
                <w:color w:val="auto"/>
                <w:sz w:val="24"/>
                <w:szCs w:val="24"/>
              </w:rPr>
              <w:t>对本项目所提供服务理解正确，对现状和需求的分析比较完整、逻辑清晰；服务方案能紧密结合采购人的服务需求，能针对服务需求进行详细描述。</w:t>
            </w:r>
          </w:p>
          <w:p w14:paraId="6BD36D56">
            <w:pPr>
              <w:pStyle w:val="23"/>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档（</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r>
              <w:rPr>
                <w:rFonts w:hint="eastAsia" w:ascii="宋体" w:hAnsi="宋体" w:eastAsia="宋体" w:cs="宋体"/>
                <w:bCs/>
                <w:color w:val="auto"/>
                <w:sz w:val="24"/>
                <w:szCs w:val="24"/>
                <w:lang w:val="en-US" w:eastAsia="zh-CN"/>
              </w:rPr>
              <w:t>投标人</w:t>
            </w:r>
            <w:r>
              <w:rPr>
                <w:rFonts w:hint="eastAsia" w:ascii="宋体" w:hAnsi="宋体" w:eastAsia="宋体" w:cs="宋体"/>
                <w:color w:val="auto"/>
                <w:sz w:val="24"/>
                <w:szCs w:val="24"/>
              </w:rPr>
              <w:t>对本项目所提供服务理解正确，能够对采购人的基本现状和需求分析非常完整、透彻、逻辑清晰；服务方案能紧密结合采购人的服务需求，能针对服务需求进行详细方案描述</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lang w:val="en-US" w:eastAsia="zh-CN"/>
              </w:rPr>
              <w:t>包含整体思路、服务流程和岗位配置等内容</w:t>
            </w:r>
            <w:r>
              <w:rPr>
                <w:rFonts w:hint="eastAsia" w:ascii="宋体" w:hAnsi="宋体" w:eastAsia="宋体" w:cs="宋体"/>
                <w:color w:val="auto"/>
                <w:sz w:val="24"/>
                <w:szCs w:val="24"/>
              </w:rPr>
              <w:t>；服务方案科学合理。</w:t>
            </w:r>
          </w:p>
          <w:p w14:paraId="446BE096">
            <w:pPr>
              <w:pStyle w:val="23"/>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档（</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r>
              <w:rPr>
                <w:rFonts w:hint="eastAsia" w:ascii="宋体" w:hAnsi="宋体" w:eastAsia="宋体" w:cs="宋体"/>
                <w:bCs/>
                <w:color w:val="auto"/>
                <w:sz w:val="24"/>
                <w:szCs w:val="24"/>
                <w:lang w:val="en-US" w:eastAsia="zh-CN"/>
              </w:rPr>
              <w:t>投标人对本项目所提供服务理解清晰、深入，能够对项目的基本现状和需求分析，描述详细、逻辑清晰；服务方案能紧密结合项目的服务需求，能针对服务需求进行详细描述；服务方案结构清晰，方案包含服务原则、主要目标、整体思路、关键技术路线、服务流程和岗位配置、服务工作计划和进度安排等内容，各个环节编排紧凑，整体方案契合项目具体情况，有利于项目实施。</w:t>
            </w:r>
          </w:p>
        </w:tc>
        <w:tc>
          <w:tcPr>
            <w:tcW w:w="851" w:type="dxa"/>
            <w:vAlign w:val="center"/>
          </w:tcPr>
          <w:p w14:paraId="679558A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分</w:t>
            </w:r>
          </w:p>
        </w:tc>
      </w:tr>
      <w:tr w14:paraId="5CFE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30469F80">
            <w:pPr>
              <w:keepNext w:val="0"/>
              <w:keepLines w:val="0"/>
              <w:pageBreakBefore w:val="0"/>
              <w:kinsoku/>
              <w:wordWrap/>
              <w:overflowPunct/>
              <w:topLinePunct w:val="0"/>
              <w:autoSpaceDE/>
              <w:autoSpaceDN/>
              <w:bidi w:val="0"/>
              <w:adjustRightInd w:val="0"/>
              <w:snapToGrid w:val="0"/>
              <w:spacing w:line="360" w:lineRule="auto"/>
              <w:ind w:left="-105" w:leftChars="-50" w:right="-105" w:rightChars="-50"/>
              <w:jc w:val="center"/>
              <w:textAlignment w:val="baseline"/>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2.3</w:t>
            </w:r>
          </w:p>
        </w:tc>
        <w:tc>
          <w:tcPr>
            <w:tcW w:w="1418" w:type="dxa"/>
            <w:vAlign w:val="center"/>
          </w:tcPr>
          <w:p w14:paraId="5D8F9C6C">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管理</w:t>
            </w:r>
            <w:r>
              <w:rPr>
                <w:rFonts w:hint="eastAsia" w:ascii="宋体" w:hAnsi="宋体" w:eastAsia="宋体" w:cs="宋体"/>
                <w:bCs/>
                <w:color w:val="auto"/>
                <w:kern w:val="0"/>
                <w:sz w:val="24"/>
                <w:szCs w:val="24"/>
                <w:highlight w:val="none"/>
                <w:lang w:val="en-US" w:eastAsia="zh-CN"/>
              </w:rPr>
              <w:t>措施</w:t>
            </w:r>
            <w:r>
              <w:rPr>
                <w:rFonts w:hint="eastAsia" w:ascii="宋体" w:hAnsi="宋体" w:eastAsia="宋体" w:cs="宋体"/>
                <w:bCs/>
                <w:color w:val="auto"/>
                <w:kern w:val="0"/>
                <w:sz w:val="24"/>
                <w:szCs w:val="24"/>
                <w:highlight w:val="none"/>
              </w:rPr>
              <w:t>分</w:t>
            </w:r>
          </w:p>
        </w:tc>
        <w:tc>
          <w:tcPr>
            <w:tcW w:w="6288" w:type="dxa"/>
            <w:vAlign w:val="center"/>
          </w:tcPr>
          <w:p w14:paraId="4BF3989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档（</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r>
              <w:rPr>
                <w:rFonts w:hint="eastAsia" w:ascii="宋体" w:hAnsi="宋体" w:eastAsia="宋体" w:cs="宋体"/>
                <w:bCs/>
                <w:color w:val="auto"/>
                <w:sz w:val="24"/>
                <w:szCs w:val="24"/>
                <w:lang w:val="en-US" w:eastAsia="zh-CN"/>
              </w:rPr>
              <w:t>投标人</w:t>
            </w:r>
            <w:r>
              <w:rPr>
                <w:rFonts w:hint="eastAsia" w:ascii="宋体" w:hAnsi="宋体" w:eastAsia="宋体" w:cs="宋体"/>
                <w:color w:val="auto"/>
                <w:sz w:val="24"/>
                <w:szCs w:val="24"/>
              </w:rPr>
              <w:t>提供的方案可行性较高，能包含实施管理、实施组织、质量保证等内容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管理方案相对合理。</w:t>
            </w:r>
          </w:p>
          <w:p w14:paraId="1E8850C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档（</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r>
              <w:rPr>
                <w:rFonts w:hint="eastAsia" w:ascii="宋体" w:hAnsi="宋体" w:eastAsia="宋体" w:cs="宋体"/>
                <w:bCs/>
                <w:color w:val="auto"/>
                <w:sz w:val="24"/>
                <w:szCs w:val="24"/>
                <w:lang w:val="en-US" w:eastAsia="zh-CN"/>
              </w:rPr>
              <w:t>投标人提供的方案内容清晰明了，能包含实施组织、质量保证、培训提升等内容，具有人员管理制度，管理方案有操作性。</w:t>
            </w:r>
          </w:p>
          <w:p w14:paraId="20715BA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档（</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r>
              <w:rPr>
                <w:rFonts w:hint="eastAsia" w:ascii="宋体" w:hAnsi="宋体" w:eastAsia="宋体" w:cs="宋体"/>
                <w:bCs/>
                <w:color w:val="auto"/>
                <w:sz w:val="24"/>
                <w:szCs w:val="24"/>
                <w:lang w:val="en-US" w:eastAsia="zh-CN"/>
              </w:rPr>
              <w:t>投标人</w:t>
            </w:r>
            <w:r>
              <w:rPr>
                <w:rFonts w:hint="eastAsia" w:ascii="宋体" w:hAnsi="宋体" w:eastAsia="宋体" w:cs="宋体"/>
                <w:color w:val="auto"/>
                <w:sz w:val="24"/>
                <w:szCs w:val="24"/>
              </w:rPr>
              <w:t>提供的方案科学合理，能包含管理理念、实施组织、质量保证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保密管理、培训提升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沟通机制等内容，能提供对服务人员的内部考核管理机制、激励机制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具有完善的人员管理制度</w:t>
            </w:r>
            <w:r>
              <w:rPr>
                <w:rFonts w:hint="eastAsia" w:ascii="宋体" w:hAnsi="宋体" w:eastAsia="宋体" w:cs="宋体"/>
                <w:color w:val="auto"/>
                <w:sz w:val="24"/>
                <w:szCs w:val="24"/>
              </w:rPr>
              <w:t>，管理方案合理全面、思路清晰</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lang w:val="en-US" w:eastAsia="zh-CN"/>
              </w:rPr>
              <w:t>契合项目实际，利于项目推行</w:t>
            </w:r>
            <w:r>
              <w:rPr>
                <w:rFonts w:hint="eastAsia" w:ascii="宋体" w:hAnsi="宋体" w:eastAsia="宋体" w:cs="宋体"/>
                <w:color w:val="auto"/>
                <w:sz w:val="24"/>
                <w:szCs w:val="24"/>
              </w:rPr>
              <w:t>。</w:t>
            </w:r>
          </w:p>
        </w:tc>
        <w:tc>
          <w:tcPr>
            <w:tcW w:w="851" w:type="dxa"/>
            <w:vAlign w:val="center"/>
          </w:tcPr>
          <w:p w14:paraId="6DE3CE1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分</w:t>
            </w:r>
          </w:p>
        </w:tc>
      </w:tr>
      <w:tr w14:paraId="5A62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5D8A5184">
            <w:pPr>
              <w:keepNext w:val="0"/>
              <w:keepLines w:val="0"/>
              <w:pageBreakBefore w:val="0"/>
              <w:kinsoku/>
              <w:wordWrap/>
              <w:overflowPunct/>
              <w:topLinePunct w:val="0"/>
              <w:autoSpaceDE/>
              <w:autoSpaceDN/>
              <w:bidi w:val="0"/>
              <w:adjustRightInd w:val="0"/>
              <w:snapToGrid w:val="0"/>
              <w:spacing w:line="360" w:lineRule="auto"/>
              <w:ind w:left="-105" w:leftChars="-50" w:right="-105" w:rightChars="-50"/>
              <w:jc w:val="center"/>
              <w:textAlignment w:val="baseline"/>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2.4</w:t>
            </w:r>
          </w:p>
        </w:tc>
        <w:tc>
          <w:tcPr>
            <w:tcW w:w="1418" w:type="dxa"/>
            <w:vAlign w:val="center"/>
          </w:tcPr>
          <w:p w14:paraId="3081C607">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服务保障分</w:t>
            </w:r>
          </w:p>
        </w:tc>
        <w:tc>
          <w:tcPr>
            <w:tcW w:w="6288" w:type="dxa"/>
            <w:vAlign w:val="center"/>
          </w:tcPr>
          <w:p w14:paraId="055198A1">
            <w:pPr>
              <w:pStyle w:val="32"/>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一档：（5分）竞标人提供简单的服务保障措施, 基本阐述清楚，满足采购需要的；</w:t>
            </w:r>
          </w:p>
          <w:p w14:paraId="00A9B5E2">
            <w:pPr>
              <w:keepNext w:val="0"/>
              <w:keepLines w:val="0"/>
              <w:pageBreakBefore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rPr>
              <w:t>二档：（</w:t>
            </w: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分）</w:t>
            </w:r>
            <w:r>
              <w:rPr>
                <w:rFonts w:hint="eastAsia" w:ascii="宋体" w:hAnsi="宋体" w:eastAsia="宋体" w:cs="宋体"/>
                <w:color w:val="auto"/>
                <w:sz w:val="24"/>
                <w:szCs w:val="24"/>
                <w:highlight w:val="none"/>
                <w:lang w:val="en-US" w:eastAsia="zh-CN"/>
              </w:rPr>
              <w:t>服务保障措施保障措施详细具体，表述清晰，工作安排能说明人员安排及规划进度，有响应服务方案及应急预案。</w:t>
            </w:r>
          </w:p>
          <w:p w14:paraId="4097B70D">
            <w:pPr>
              <w:keepNext w:val="0"/>
              <w:keepLines w:val="0"/>
              <w:pageBreakBefore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三</w:t>
            </w:r>
            <w:r>
              <w:rPr>
                <w:rFonts w:hint="eastAsia" w:ascii="宋体" w:hAnsi="宋体" w:eastAsia="宋体" w:cs="宋体"/>
                <w:bCs/>
                <w:color w:val="auto"/>
                <w:sz w:val="24"/>
                <w:szCs w:val="24"/>
              </w:rPr>
              <w:t>档：（</w:t>
            </w: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分）竞标人提供较为详尽的</w:t>
            </w:r>
            <w:r>
              <w:rPr>
                <w:rFonts w:hint="eastAsia" w:ascii="宋体" w:hAnsi="宋体" w:eastAsia="宋体" w:cs="宋体"/>
                <w:color w:val="auto"/>
                <w:sz w:val="24"/>
                <w:szCs w:val="24"/>
                <w:highlight w:val="none"/>
              </w:rPr>
              <w:t>售后服务方案，应急预案方案、服务质量保障措施等内容描述</w:t>
            </w:r>
            <w:r>
              <w:rPr>
                <w:rFonts w:hint="eastAsia" w:ascii="宋体" w:hAnsi="宋体" w:eastAsia="宋体" w:cs="宋体"/>
                <w:bCs/>
                <w:color w:val="auto"/>
                <w:sz w:val="24"/>
                <w:szCs w:val="24"/>
              </w:rPr>
              <w:t>，表述清晰完整、有针对性</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工作安排能说明人员安排及规划进度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有响应服务方案及应急预案，有对项目实施进行良好建议，</w:t>
            </w:r>
            <w:r>
              <w:rPr>
                <w:rFonts w:hint="eastAsia" w:ascii="宋体" w:hAnsi="宋体" w:eastAsia="宋体" w:cs="宋体"/>
                <w:color w:val="auto"/>
                <w:sz w:val="24"/>
                <w:szCs w:val="24"/>
                <w:highlight w:val="none"/>
                <w:lang w:val="en-US" w:eastAsia="zh-CN"/>
              </w:rPr>
              <w:t>方案</w:t>
            </w:r>
            <w:r>
              <w:rPr>
                <w:rFonts w:hint="eastAsia" w:ascii="宋体" w:hAnsi="宋体" w:eastAsia="宋体" w:cs="宋体"/>
                <w:bCs/>
                <w:color w:val="auto"/>
                <w:sz w:val="24"/>
                <w:szCs w:val="24"/>
                <w:lang w:val="en-US" w:eastAsia="zh-CN"/>
              </w:rPr>
              <w:t>契合项目情况，保障措施整体安排得当，有利于项目实施。</w:t>
            </w:r>
          </w:p>
        </w:tc>
        <w:tc>
          <w:tcPr>
            <w:tcW w:w="851" w:type="dxa"/>
            <w:vAlign w:val="center"/>
          </w:tcPr>
          <w:p w14:paraId="45067231">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r>
      <w:tr w14:paraId="0DDA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4FDA7914">
            <w:pPr>
              <w:keepNext w:val="0"/>
              <w:keepLines w:val="0"/>
              <w:pageBreakBefore w:val="0"/>
              <w:kinsoku/>
              <w:wordWrap/>
              <w:overflowPunct/>
              <w:topLinePunct w:val="0"/>
              <w:autoSpaceDE/>
              <w:autoSpaceDN/>
              <w:bidi w:val="0"/>
              <w:adjustRightInd w:val="0"/>
              <w:snapToGrid w:val="0"/>
              <w:spacing w:line="360" w:lineRule="auto"/>
              <w:ind w:left="-105" w:leftChars="-50" w:right="-105" w:rightChars="-50"/>
              <w:jc w:val="center"/>
              <w:textAlignment w:val="baseline"/>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w:t>
            </w:r>
          </w:p>
        </w:tc>
        <w:tc>
          <w:tcPr>
            <w:tcW w:w="1418" w:type="dxa"/>
            <w:vAlign w:val="center"/>
          </w:tcPr>
          <w:p w14:paraId="3F6CBA67">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商务分</w:t>
            </w:r>
          </w:p>
        </w:tc>
        <w:tc>
          <w:tcPr>
            <w:tcW w:w="6288" w:type="dxa"/>
            <w:vAlign w:val="center"/>
          </w:tcPr>
          <w:p w14:paraId="4AFE140B">
            <w:pPr>
              <w:pStyle w:val="23"/>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评审因素</w:t>
            </w:r>
          </w:p>
        </w:tc>
        <w:tc>
          <w:tcPr>
            <w:tcW w:w="851" w:type="dxa"/>
            <w:vAlign w:val="center"/>
          </w:tcPr>
          <w:p w14:paraId="339454BE">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4"/>
                <w:szCs w:val="24"/>
              </w:rPr>
            </w:pPr>
          </w:p>
        </w:tc>
      </w:tr>
      <w:tr w14:paraId="7DCE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533" w:type="dxa"/>
            <w:vAlign w:val="center"/>
          </w:tcPr>
          <w:p w14:paraId="53E553FA">
            <w:pPr>
              <w:keepNext w:val="0"/>
              <w:keepLines w:val="0"/>
              <w:pageBreakBefore w:val="0"/>
              <w:kinsoku/>
              <w:wordWrap/>
              <w:overflowPunct/>
              <w:topLinePunct w:val="0"/>
              <w:autoSpaceDE/>
              <w:autoSpaceDN/>
              <w:bidi w:val="0"/>
              <w:adjustRightInd w:val="0"/>
              <w:snapToGrid w:val="0"/>
              <w:spacing w:line="360" w:lineRule="auto"/>
              <w:ind w:left="-105" w:leftChars="-50" w:right="-105" w:rightChars="-50"/>
              <w:jc w:val="center"/>
              <w:textAlignment w:val="baseline"/>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3</w:t>
            </w:r>
            <w:r>
              <w:rPr>
                <w:rFonts w:hint="eastAsia" w:ascii="宋体" w:hAnsi="宋体" w:eastAsia="宋体" w:cs="宋体"/>
                <w:bCs/>
                <w:color w:val="auto"/>
                <w:kern w:val="0"/>
                <w:sz w:val="24"/>
                <w:szCs w:val="24"/>
                <w:lang w:val="en-US" w:eastAsia="zh-CN"/>
              </w:rPr>
              <w:t>.1</w:t>
            </w:r>
          </w:p>
        </w:tc>
        <w:tc>
          <w:tcPr>
            <w:tcW w:w="1418" w:type="dxa"/>
            <w:vAlign w:val="center"/>
          </w:tcPr>
          <w:p w14:paraId="60C7D183">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商务</w:t>
            </w:r>
            <w:r>
              <w:rPr>
                <w:rFonts w:hint="eastAsia" w:ascii="宋体" w:hAnsi="宋体" w:eastAsia="宋体" w:cs="宋体"/>
                <w:bCs/>
                <w:color w:val="auto"/>
                <w:sz w:val="24"/>
                <w:szCs w:val="24"/>
                <w:highlight w:val="none"/>
                <w:lang w:val="en-US" w:eastAsia="zh-CN"/>
              </w:rPr>
              <w:t>业绩</w:t>
            </w:r>
            <w:r>
              <w:rPr>
                <w:rFonts w:hint="eastAsia" w:ascii="宋体" w:hAnsi="宋体" w:eastAsia="宋体" w:cs="宋体"/>
                <w:bCs/>
                <w:color w:val="auto"/>
                <w:sz w:val="24"/>
                <w:szCs w:val="24"/>
                <w:highlight w:val="none"/>
              </w:rPr>
              <w:t>分</w:t>
            </w:r>
          </w:p>
        </w:tc>
        <w:tc>
          <w:tcPr>
            <w:tcW w:w="6288" w:type="dxa"/>
            <w:vAlign w:val="center"/>
          </w:tcPr>
          <w:p w14:paraId="72FCA8CA">
            <w:pPr>
              <w:keepNext w:val="0"/>
              <w:keepLines w:val="0"/>
              <w:pageBreakBefore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z w:val="24"/>
                <w:szCs w:val="24"/>
              </w:rPr>
            </w:pPr>
            <w:r>
              <w:rPr>
                <w:rFonts w:hint="eastAsia" w:ascii="宋体" w:hAnsi="宋体" w:eastAsia="宋体" w:cs="宋体"/>
                <w:bCs/>
                <w:color w:val="auto"/>
                <w:sz w:val="24"/>
                <w:szCs w:val="24"/>
              </w:rPr>
              <w:t>供应商自20</w:t>
            </w:r>
            <w:r>
              <w:rPr>
                <w:rFonts w:hint="eastAsia" w:ascii="宋体" w:hAnsi="宋体" w:eastAsia="宋体" w:cs="宋体"/>
                <w:bCs/>
                <w:color w:val="auto"/>
                <w:sz w:val="24"/>
                <w:szCs w:val="24"/>
                <w:lang w:val="en-US" w:eastAsia="zh-CN"/>
              </w:rPr>
              <w:t>2</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rPr>
              <w:t>年以来</w:t>
            </w:r>
            <w:r>
              <w:rPr>
                <w:rFonts w:hint="eastAsia" w:ascii="宋体" w:hAnsi="宋体" w:eastAsia="宋体" w:cs="宋体"/>
                <w:color w:val="auto"/>
                <w:sz w:val="24"/>
                <w:szCs w:val="24"/>
                <w:highlight w:val="none"/>
                <w:lang w:bidi="ar"/>
              </w:rPr>
              <w:t>承接过同类型项目，</w:t>
            </w:r>
            <w:r>
              <w:rPr>
                <w:rFonts w:hint="eastAsia" w:ascii="宋体" w:hAnsi="宋体" w:eastAsia="宋体" w:cs="宋体"/>
                <w:bCs/>
                <w:color w:val="auto"/>
                <w:sz w:val="24"/>
                <w:szCs w:val="24"/>
              </w:rPr>
              <w:t>以合同或中标/成交通知书复印件</w:t>
            </w:r>
            <w:r>
              <w:rPr>
                <w:rFonts w:hint="eastAsia" w:ascii="宋体" w:hAnsi="宋体" w:eastAsia="宋体" w:cs="宋体"/>
                <w:bCs/>
                <w:color w:val="auto"/>
                <w:sz w:val="24"/>
                <w:szCs w:val="24"/>
                <w:lang w:val="en-US" w:eastAsia="zh-CN"/>
              </w:rPr>
              <w:t>并加盖公章</w:t>
            </w:r>
            <w:r>
              <w:rPr>
                <w:rFonts w:hint="eastAsia" w:ascii="宋体" w:hAnsi="宋体" w:eastAsia="宋体" w:cs="宋体"/>
                <w:bCs/>
                <w:color w:val="auto"/>
                <w:sz w:val="24"/>
                <w:szCs w:val="24"/>
              </w:rPr>
              <w:t>为准，每个合同得</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分，满分</w:t>
            </w: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rPr>
              <w:t>分。</w:t>
            </w:r>
          </w:p>
        </w:tc>
        <w:tc>
          <w:tcPr>
            <w:tcW w:w="851" w:type="dxa"/>
            <w:vAlign w:val="center"/>
          </w:tcPr>
          <w:p w14:paraId="65359135">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分</w:t>
            </w:r>
          </w:p>
        </w:tc>
      </w:tr>
      <w:tr w14:paraId="3AD9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0D1F7E4A">
            <w:pPr>
              <w:keepNext w:val="0"/>
              <w:keepLines w:val="0"/>
              <w:pageBreakBefore w:val="0"/>
              <w:kinsoku/>
              <w:wordWrap/>
              <w:overflowPunct/>
              <w:topLinePunct w:val="0"/>
              <w:autoSpaceDE/>
              <w:autoSpaceDN/>
              <w:bidi w:val="0"/>
              <w:adjustRightInd w:val="0"/>
              <w:snapToGrid w:val="0"/>
              <w:spacing w:line="360" w:lineRule="auto"/>
              <w:ind w:left="-105" w:leftChars="-50" w:right="-105" w:rightChars="-50"/>
              <w:jc w:val="center"/>
              <w:textAlignment w:val="baseline"/>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3.2</w:t>
            </w:r>
          </w:p>
        </w:tc>
        <w:tc>
          <w:tcPr>
            <w:tcW w:w="1418" w:type="dxa"/>
            <w:vAlign w:val="center"/>
          </w:tcPr>
          <w:p w14:paraId="1E1D0E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商务</w:t>
            </w:r>
            <w:r>
              <w:rPr>
                <w:rFonts w:hint="eastAsia" w:ascii="宋体" w:hAnsi="宋体" w:eastAsia="宋体" w:cs="宋体"/>
                <w:bCs/>
                <w:color w:val="auto"/>
                <w:sz w:val="24"/>
                <w:szCs w:val="24"/>
                <w:highlight w:val="none"/>
                <w:lang w:val="en-US" w:eastAsia="zh-CN"/>
              </w:rPr>
              <w:t>资信</w:t>
            </w:r>
            <w:r>
              <w:rPr>
                <w:rFonts w:hint="eastAsia" w:ascii="宋体" w:hAnsi="宋体" w:eastAsia="宋体" w:cs="宋体"/>
                <w:bCs/>
                <w:color w:val="auto"/>
                <w:sz w:val="24"/>
                <w:szCs w:val="24"/>
                <w:highlight w:val="none"/>
              </w:rPr>
              <w:t>分</w:t>
            </w:r>
          </w:p>
        </w:tc>
        <w:tc>
          <w:tcPr>
            <w:tcW w:w="6288" w:type="dxa"/>
            <w:vAlign w:val="center"/>
          </w:tcPr>
          <w:p w14:paraId="74BC9F65">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供应商具备有效的通过质量管理体系认证证书得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6A1420B5">
            <w:pPr>
              <w:keepNext w:val="0"/>
              <w:keepLines w:val="0"/>
              <w:pageBreakBefore w:val="0"/>
              <w:widowControl w:val="0"/>
              <w:numPr>
                <w:ilvl w:val="0"/>
                <w:numId w:val="0"/>
              </w:numPr>
              <w:kinsoku/>
              <w:wordWrap/>
              <w:overflowPunct/>
              <w:topLinePunct w:val="0"/>
              <w:autoSpaceDE/>
              <w:autoSpaceDN/>
              <w:bidi w:val="0"/>
              <w:snapToGrid/>
              <w:spacing w:line="360" w:lineRule="auto"/>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bidi="ar"/>
              </w:rPr>
              <w:t>拟投入服务的人员具有项目管理或</w:t>
            </w:r>
            <w:r>
              <w:rPr>
                <w:rFonts w:hint="eastAsia" w:ascii="宋体" w:hAnsi="宋体" w:eastAsia="宋体" w:cs="宋体"/>
                <w:color w:val="auto"/>
                <w:sz w:val="24"/>
                <w:szCs w:val="24"/>
                <w:highlight w:val="none"/>
                <w:lang w:val="en-US" w:eastAsia="zh-CN"/>
              </w:rPr>
              <w:t>人力资源管理师证书（或人力资源管理类职称证书，职业技术类）的</w:t>
            </w:r>
            <w:r>
              <w:rPr>
                <w:rFonts w:hint="eastAsia" w:ascii="宋体" w:hAnsi="宋体" w:eastAsia="宋体" w:cs="宋体"/>
                <w:color w:val="auto"/>
                <w:sz w:val="24"/>
                <w:szCs w:val="24"/>
                <w:highlight w:val="none"/>
                <w:lang w:val="en-US" w:eastAsia="zh-CN" w:bidi="ar"/>
              </w:rPr>
              <w:t>，每人得3分，本项满分6分</w:t>
            </w:r>
            <w:r>
              <w:rPr>
                <w:rFonts w:hint="eastAsia" w:ascii="宋体" w:hAnsi="宋体" w:eastAsia="宋体" w:cs="宋体"/>
                <w:b w:val="0"/>
                <w:bCs w:val="0"/>
                <w:color w:val="auto"/>
                <w:sz w:val="24"/>
                <w:szCs w:val="24"/>
                <w:highlight w:val="none"/>
                <w:lang w:val="en-US" w:eastAsia="zh-CN" w:bidi="ar"/>
              </w:rPr>
              <w:t>。</w:t>
            </w:r>
          </w:p>
          <w:p w14:paraId="44CB9D03">
            <w:pPr>
              <w:pStyle w:val="512"/>
              <w:spacing w:line="360" w:lineRule="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highlight w:val="none"/>
                <w:lang w:val="en-US" w:eastAsia="zh-CN" w:bidi="ar"/>
              </w:rPr>
              <w:t>注：</w:t>
            </w:r>
            <w:r>
              <w:rPr>
                <w:rFonts w:hint="eastAsia" w:ascii="宋体" w:hAnsi="宋体" w:eastAsia="宋体" w:cs="宋体"/>
                <w:bCs/>
                <w:color w:val="auto"/>
                <w:sz w:val="24"/>
                <w:szCs w:val="24"/>
                <w:lang w:val="en-US" w:eastAsia="zh-CN"/>
              </w:rPr>
              <w:t>以上</w:t>
            </w:r>
            <w:r>
              <w:rPr>
                <w:rFonts w:hint="eastAsia" w:ascii="宋体" w:hAnsi="宋体" w:eastAsia="宋体" w:cs="宋体"/>
                <w:bCs/>
                <w:color w:val="auto"/>
                <w:sz w:val="24"/>
                <w:szCs w:val="24"/>
              </w:rPr>
              <w:t>请提供证书复印件并加盖单位公章</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服务</w:t>
            </w:r>
            <w:r>
              <w:rPr>
                <w:rFonts w:hint="eastAsia" w:ascii="宋体" w:hAnsi="宋体" w:eastAsia="宋体" w:cs="宋体"/>
                <w:b w:val="0"/>
                <w:bCs w:val="0"/>
                <w:color w:val="auto"/>
                <w:sz w:val="24"/>
                <w:szCs w:val="24"/>
                <w:highlight w:val="none"/>
              </w:rPr>
              <w:t>人员</w:t>
            </w:r>
            <w:r>
              <w:rPr>
                <w:rFonts w:hint="eastAsia" w:ascii="宋体" w:hAnsi="宋体" w:eastAsia="宋体" w:cs="宋体"/>
                <w:b w:val="0"/>
                <w:bCs w:val="0"/>
                <w:color w:val="auto"/>
                <w:sz w:val="24"/>
                <w:szCs w:val="24"/>
                <w:highlight w:val="none"/>
                <w:lang w:bidi="ar"/>
              </w:rPr>
              <w:t>须提供</w:t>
            </w:r>
            <w:r>
              <w:rPr>
                <w:rFonts w:hint="eastAsia" w:ascii="宋体" w:hAnsi="宋体" w:eastAsia="宋体" w:cs="宋体"/>
                <w:b w:val="0"/>
                <w:bCs w:val="0"/>
                <w:color w:val="auto"/>
                <w:sz w:val="24"/>
                <w:szCs w:val="24"/>
                <w:highlight w:val="none"/>
                <w:lang w:val="en-US" w:eastAsia="zh-CN" w:bidi="ar"/>
              </w:rPr>
              <w:t>近供应商为其缴纳的半年内</w:t>
            </w:r>
            <w:r>
              <w:rPr>
                <w:rFonts w:hint="eastAsia" w:ascii="宋体" w:hAnsi="宋体" w:eastAsia="宋体" w:cs="宋体"/>
                <w:b w:val="0"/>
                <w:bCs w:val="0"/>
                <w:color w:val="auto"/>
                <w:sz w:val="24"/>
                <w:szCs w:val="24"/>
                <w:highlight w:val="none"/>
                <w:lang w:bidi="ar"/>
              </w:rPr>
              <w:t>任意</w:t>
            </w:r>
            <w:r>
              <w:rPr>
                <w:rFonts w:hint="eastAsia" w:ascii="宋体" w:hAnsi="宋体" w:eastAsia="宋体" w:cs="宋体"/>
                <w:b w:val="0"/>
                <w:bCs w:val="0"/>
                <w:color w:val="auto"/>
                <w:sz w:val="24"/>
                <w:szCs w:val="24"/>
                <w:highlight w:val="none"/>
                <w:lang w:val="en-US" w:eastAsia="zh-CN" w:bidi="ar"/>
              </w:rPr>
              <w:t>1</w:t>
            </w:r>
            <w:r>
              <w:rPr>
                <w:rFonts w:hint="eastAsia" w:ascii="宋体" w:hAnsi="宋体" w:eastAsia="宋体" w:cs="宋体"/>
                <w:b w:val="0"/>
                <w:bCs w:val="0"/>
                <w:color w:val="auto"/>
                <w:sz w:val="24"/>
                <w:szCs w:val="24"/>
                <w:highlight w:val="none"/>
                <w:lang w:bidi="ar"/>
              </w:rPr>
              <w:t>个月社保</w:t>
            </w:r>
            <w:r>
              <w:rPr>
                <w:rFonts w:hint="eastAsia" w:ascii="宋体" w:hAnsi="宋体" w:eastAsia="宋体" w:cs="宋体"/>
                <w:b w:val="0"/>
                <w:bCs w:val="0"/>
                <w:color w:val="auto"/>
                <w:sz w:val="24"/>
                <w:szCs w:val="24"/>
                <w:highlight w:val="none"/>
                <w:lang w:val="en-US" w:eastAsia="zh-CN" w:bidi="ar"/>
              </w:rPr>
              <w:t>缴纳</w:t>
            </w:r>
            <w:r>
              <w:rPr>
                <w:rFonts w:hint="eastAsia" w:ascii="宋体" w:hAnsi="宋体" w:eastAsia="宋体" w:cs="宋体"/>
                <w:b w:val="0"/>
                <w:bCs w:val="0"/>
                <w:color w:val="auto"/>
                <w:sz w:val="24"/>
                <w:szCs w:val="24"/>
                <w:highlight w:val="none"/>
                <w:lang w:bidi="ar"/>
              </w:rPr>
              <w:t>证明</w:t>
            </w:r>
            <w:r>
              <w:rPr>
                <w:rFonts w:hint="eastAsia" w:ascii="宋体" w:hAnsi="宋体" w:eastAsia="宋体" w:cs="宋体"/>
                <w:b w:val="0"/>
                <w:bCs w:val="0"/>
                <w:color w:val="auto"/>
                <w:sz w:val="24"/>
                <w:szCs w:val="24"/>
                <w:highlight w:val="none"/>
                <w:lang w:val="en-US" w:eastAsia="zh-CN" w:bidi="ar"/>
              </w:rPr>
              <w:t>或供应商与其签订的有效的劳动合同复印件，</w:t>
            </w:r>
            <w:r>
              <w:rPr>
                <w:rFonts w:hint="eastAsia" w:ascii="宋体" w:hAnsi="宋体" w:eastAsia="宋体" w:cs="宋体"/>
                <w:bCs/>
                <w:color w:val="auto"/>
                <w:kern w:val="2"/>
                <w:sz w:val="24"/>
                <w:szCs w:val="24"/>
                <w:lang w:val="en-US" w:eastAsia="zh-CN" w:bidi="ar-SA"/>
              </w:rPr>
              <w:t>不提供不得分</w:t>
            </w:r>
            <w:r>
              <w:rPr>
                <w:rFonts w:hint="eastAsia" w:ascii="宋体" w:hAnsi="宋体" w:eastAsia="宋体" w:cs="宋体"/>
                <w:bCs/>
                <w:color w:val="auto"/>
                <w:sz w:val="24"/>
                <w:szCs w:val="24"/>
              </w:rPr>
              <w:t>。</w:t>
            </w:r>
          </w:p>
        </w:tc>
        <w:tc>
          <w:tcPr>
            <w:tcW w:w="851" w:type="dxa"/>
            <w:vAlign w:val="center"/>
          </w:tcPr>
          <w:p w14:paraId="7FF127C9">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9分</w:t>
            </w:r>
          </w:p>
        </w:tc>
      </w:tr>
      <w:tr w14:paraId="1A10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06DCE8F2">
            <w:pPr>
              <w:keepNext w:val="0"/>
              <w:keepLines w:val="0"/>
              <w:pageBreakBefore w:val="0"/>
              <w:kinsoku/>
              <w:wordWrap/>
              <w:overflowPunct/>
              <w:topLinePunct w:val="0"/>
              <w:autoSpaceDE/>
              <w:autoSpaceDN/>
              <w:bidi w:val="0"/>
              <w:adjustRightInd w:val="0"/>
              <w:snapToGrid w:val="0"/>
              <w:spacing w:line="360" w:lineRule="auto"/>
              <w:ind w:left="-105" w:leftChars="-50" w:right="-105" w:rightChars="-50"/>
              <w:jc w:val="center"/>
              <w:textAlignment w:val="baseline"/>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rPr>
              <w:t>3.3</w:t>
            </w:r>
          </w:p>
        </w:tc>
        <w:tc>
          <w:tcPr>
            <w:tcW w:w="1418" w:type="dxa"/>
            <w:vAlign w:val="center"/>
          </w:tcPr>
          <w:p w14:paraId="68DA5F4B">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企业实力分</w:t>
            </w:r>
          </w:p>
        </w:tc>
        <w:tc>
          <w:tcPr>
            <w:tcW w:w="6288" w:type="dxa"/>
            <w:vAlign w:val="center"/>
          </w:tcPr>
          <w:p w14:paraId="0F01B97B">
            <w:pPr>
              <w:numPr>
                <w:ilvl w:val="-1"/>
                <w:numId w:val="0"/>
              </w:numPr>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（1）投标人在北海市市行政范围内的市本级及各区、县有服务点的，每有1个服务点得1分。此项满分5分。（需提供租赁合同或自有产权证明扫描件或营业执照或承诺书，不提供不得分）</w:t>
            </w:r>
          </w:p>
          <w:p w14:paraId="10032949">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highlight w:val="none"/>
                <w:lang w:val="en-US" w:eastAsia="zh-CN" w:bidi="ar-SA"/>
              </w:rPr>
              <w:t>（2）投标人在全国服务点实现最高人民法院要求的</w:t>
            </w:r>
            <w:bookmarkStart w:id="394" w:name="OLE_LINK31"/>
            <w:r>
              <w:rPr>
                <w:rFonts w:hint="eastAsia" w:ascii="宋体" w:hAnsi="宋体" w:eastAsia="宋体" w:cs="宋体"/>
                <w:b w:val="0"/>
                <w:bCs w:val="0"/>
                <w:color w:val="auto"/>
                <w:kern w:val="2"/>
                <w:sz w:val="24"/>
                <w:szCs w:val="24"/>
                <w:highlight w:val="none"/>
                <w:lang w:val="en-US" w:eastAsia="zh-CN" w:bidi="ar-SA"/>
              </w:rPr>
              <w:t>异地跨域</w:t>
            </w:r>
            <w:r>
              <w:rPr>
                <w:rFonts w:hint="eastAsia" w:ascii="宋体" w:hAnsi="宋体" w:eastAsia="宋体" w:cs="宋体"/>
                <w:b w:val="0"/>
                <w:bCs w:val="0"/>
                <w:color w:val="auto"/>
                <w:sz w:val="24"/>
                <w:szCs w:val="24"/>
                <w:highlight w:val="none"/>
                <w:lang w:val="en-US" w:eastAsia="zh-CN"/>
              </w:rPr>
              <w:t>集中打印文书</w:t>
            </w:r>
            <w:bookmarkEnd w:id="394"/>
            <w:r>
              <w:rPr>
                <w:rFonts w:hint="eastAsia" w:ascii="宋体" w:hAnsi="宋体" w:eastAsia="宋体" w:cs="宋体"/>
                <w:b w:val="0"/>
                <w:bCs w:val="0"/>
                <w:color w:val="auto"/>
                <w:sz w:val="24"/>
                <w:szCs w:val="24"/>
                <w:highlight w:val="none"/>
                <w:lang w:val="en-US" w:eastAsia="zh-CN"/>
              </w:rPr>
              <w:t>服务，每提供一个点得1分，最高5分。</w:t>
            </w:r>
          </w:p>
        </w:tc>
        <w:tc>
          <w:tcPr>
            <w:tcW w:w="851" w:type="dxa"/>
            <w:vAlign w:val="center"/>
          </w:tcPr>
          <w:p w14:paraId="64F89F2A">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r>
      <w:tr w14:paraId="3478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39" w:type="dxa"/>
            <w:gridSpan w:val="3"/>
          </w:tcPr>
          <w:p w14:paraId="126713F7">
            <w:pPr>
              <w:pStyle w:val="32"/>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总得分＝1＋2+3</w:t>
            </w:r>
          </w:p>
        </w:tc>
        <w:tc>
          <w:tcPr>
            <w:tcW w:w="851" w:type="dxa"/>
            <w:vAlign w:val="center"/>
          </w:tcPr>
          <w:p w14:paraId="1AF5B6AC">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kern w:val="0"/>
                <w:sz w:val="24"/>
                <w:szCs w:val="24"/>
              </w:rPr>
            </w:pPr>
          </w:p>
        </w:tc>
      </w:tr>
    </w:tbl>
    <w:p w14:paraId="4E011CF8">
      <w:pPr>
        <w:widowControl/>
        <w:shd w:val="clear" w:color="auto" w:fill="FFFFFF"/>
        <w:adjustRightInd/>
        <w:spacing w:after="225" w:line="315" w:lineRule="atLeast"/>
        <w:jc w:val="left"/>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（三）总分=1+2+3。</w:t>
      </w:r>
    </w:p>
    <w:p w14:paraId="7B1F6C7B">
      <w:pPr>
        <w:pStyle w:val="40"/>
        <w:jc w:val="both"/>
        <w:sectPr>
          <w:headerReference r:id="rId8" w:type="default"/>
          <w:footerReference r:id="rId9" w:type="default"/>
          <w:pgSz w:w="11906" w:h="16838"/>
          <w:pgMar w:top="1270" w:right="1304" w:bottom="1213" w:left="1417" w:header="851" w:footer="992" w:gutter="0"/>
          <w:pgNumType w:fmt="numberInDash"/>
          <w:cols w:space="720" w:num="1"/>
          <w:docGrid w:type="lines" w:linePitch="312" w:charSpace="0"/>
        </w:sectPr>
      </w:pPr>
    </w:p>
    <w:bookmarkEnd w:id="392"/>
    <w:bookmarkEnd w:id="393"/>
    <w:p w14:paraId="1A126CC7">
      <w:pPr>
        <w:widowControl/>
        <w:shd w:val="clear" w:color="auto" w:fill="FFFFFF"/>
        <w:adjustRightInd/>
        <w:spacing w:after="225" w:line="315" w:lineRule="atLeast"/>
        <w:jc w:val="left"/>
        <w:outlineLvl w:val="1"/>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三、评标程序</w:t>
      </w:r>
    </w:p>
    <w:p w14:paraId="74623707">
      <w:pPr>
        <w:spacing w:line="360" w:lineRule="auto"/>
        <w:ind w:firstLine="472" w:firstLineChars="196"/>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3.1符合性审查。</w:t>
      </w:r>
      <w:r>
        <w:rPr>
          <w:rFonts w:hint="eastAsia" w:ascii="宋体" w:hAnsi="宋体" w:cs="宋体"/>
          <w:color w:val="000000" w:themeColor="text1"/>
          <w:kern w:val="0"/>
          <w:sz w:val="24"/>
          <w14:textFill>
            <w14:solidFill>
              <w14:schemeClr w14:val="tx1"/>
            </w14:solidFill>
          </w14:textFill>
        </w:rPr>
        <w:t>评标委员会应当对符合资格的投标人的投标文件进行符合性审查，以确定其是否满足招标文件的实质性要求。不满足招标文件的实质性要求的，投标无效。</w:t>
      </w:r>
    </w:p>
    <w:p w14:paraId="00596A25">
      <w:pPr>
        <w:spacing w:line="360" w:lineRule="auto"/>
        <w:ind w:firstLine="472" w:firstLineChars="196"/>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3.2 比较与评价。</w:t>
      </w:r>
      <w:r>
        <w:rPr>
          <w:rFonts w:hint="eastAsia" w:ascii="宋体" w:hAnsi="宋体" w:cs="宋体"/>
          <w:color w:val="000000" w:themeColor="text1"/>
          <w:kern w:val="0"/>
          <w:sz w:val="24"/>
          <w14:textFill>
            <w14:solidFill>
              <w14:schemeClr w14:val="tx1"/>
            </w14:solidFill>
          </w14:textFill>
        </w:rPr>
        <w:t>评标委员会应当按照招标文件中规定的评标方法和标准，对符合性审查合格的投标文件进行商务和技术评估，综合比较与评价。</w:t>
      </w:r>
    </w:p>
    <w:p w14:paraId="59912D55">
      <w:pPr>
        <w:spacing w:line="360" w:lineRule="auto"/>
        <w:ind w:firstLine="472" w:firstLineChars="196"/>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3.3汇总商务技术得分。</w:t>
      </w:r>
      <w:r>
        <w:rPr>
          <w:rFonts w:hint="eastAsia" w:ascii="宋体" w:hAnsi="宋体" w:cs="宋体"/>
          <w:color w:val="000000" w:themeColor="text1"/>
          <w:kern w:val="0"/>
          <w:sz w:val="24"/>
          <w14:textFill>
            <w14:solidFill>
              <w14:schemeClr w14:val="tx1"/>
            </w14:solidFill>
          </w14:textFill>
        </w:rPr>
        <w:t>采用综合评分法时，评标委员会各成员应当独立对每个投标人的商务和技术文件进行评价，并汇总商务技术得分情况。</w:t>
      </w:r>
    </w:p>
    <w:p w14:paraId="63BBB588">
      <w:pPr>
        <w:spacing w:line="360" w:lineRule="auto"/>
        <w:ind w:firstLine="472" w:firstLineChars="196"/>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3.4报价评审。</w:t>
      </w:r>
    </w:p>
    <w:p w14:paraId="39001963">
      <w:pPr>
        <w:pStyle w:val="128"/>
        <w:spacing w:before="0"/>
        <w:ind w:firstLine="508" w:firstLineChars="212"/>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3.4.1投标文件报价出现前后不一致的，按照下列规定修正：</w:t>
      </w:r>
    </w:p>
    <w:p w14:paraId="48C67A35">
      <w:pPr>
        <w:pStyle w:val="128"/>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3.4.1.1投标文件中开标一览表(报价表)内容与投标文件中相应内容不一致的，以开标一览表(报价表)为准;</w:t>
      </w:r>
    </w:p>
    <w:p w14:paraId="1B5A0B5C">
      <w:pPr>
        <w:pStyle w:val="128"/>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3.4.1.2大写金额和小写金额不一致的，以大写金额为准;</w:t>
      </w:r>
    </w:p>
    <w:p w14:paraId="5BFE6B94">
      <w:pPr>
        <w:pStyle w:val="128"/>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3.4.1.3单价金额小数点或者百分比有明显错位的，以开标一览表的总价为准，并修改单价;</w:t>
      </w:r>
    </w:p>
    <w:p w14:paraId="0E903E8A">
      <w:pPr>
        <w:pStyle w:val="128"/>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3.4.1.4总价金额与按单价汇总金额不一致的，以单价金额计算结果为准。</w:t>
      </w:r>
    </w:p>
    <w:p w14:paraId="07E7CC94">
      <w:pPr>
        <w:pStyle w:val="128"/>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3.4.1.5同时出现两种以上不一致的，按照3.4.1规定的顺序修正。修正后的报价按照财政部第87号令 《政府采购货物和服务招标投标管理办法》第五十一条第二款的规定经投标人确认后产生约束力。</w:t>
      </w:r>
    </w:p>
    <w:p w14:paraId="75762973">
      <w:pPr>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3.4.2投标文件出现不是唯一的、有选择性投标报价的，投标无效。</w:t>
      </w:r>
    </w:p>
    <w:p w14:paraId="35707DB4">
      <w:pPr>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3.4.3投标报价超过招标文件中规定的预算金额或者最高限价的，投标无效。</w:t>
      </w:r>
    </w:p>
    <w:p w14:paraId="27D281D9">
      <w:pPr>
        <w:pStyle w:val="128"/>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0DE7F7A4">
      <w:pPr>
        <w:snapToGrid w:val="0"/>
        <w:spacing w:line="360" w:lineRule="auto"/>
        <w:ind w:firstLine="480" w:firstLineChars="200"/>
        <w:jc w:val="left"/>
        <w:rPr>
          <w:rFonts w:hint="eastAsia" w:ascii="宋体" w:hAnsi="宋体" w:cs="宋体"/>
          <w:kern w:val="0"/>
          <w:sz w:val="24"/>
        </w:rPr>
      </w:pPr>
      <w:bookmarkStart w:id="395" w:name="OLE_LINK4"/>
      <w:bookmarkStart w:id="396" w:name="OLE_LINK44"/>
      <w:bookmarkStart w:id="397" w:name="OLE_LINK7"/>
      <w:bookmarkStart w:id="398" w:name="OLE_LINK39"/>
      <w:r>
        <w:rPr>
          <w:rFonts w:hint="eastAsia" w:ascii="宋体" w:hAnsi="宋体" w:cs="宋体"/>
          <w:kern w:val="0"/>
          <w:sz w:val="24"/>
        </w:rPr>
        <w:t>3.4.4.1</w:t>
      </w:r>
      <w:bookmarkEnd w:id="395"/>
      <w:bookmarkEnd w:id="396"/>
      <w:bookmarkEnd w:id="397"/>
      <w:bookmarkEnd w:id="398"/>
      <w:r>
        <w:rPr>
          <w:rFonts w:hint="eastAsia" w:ascii="宋体" w:hAnsi="宋体" w:cs="宋体"/>
          <w:kern w:val="0"/>
          <w:sz w:val="24"/>
        </w:rPr>
        <w:t>按照《关于推动解决政府采购异常低价问题的通知》（财库〔2026〕2号）有关规定，本项目评审中出现下列情形之一的，</w:t>
      </w:r>
      <w:r>
        <w:rPr>
          <w:rFonts w:hint="eastAsia" w:ascii="宋体" w:hAnsi="宋体" w:cs="宋体"/>
          <w:kern w:val="0"/>
          <w:sz w:val="24"/>
          <w:lang w:eastAsia="zh-CN"/>
        </w:rPr>
        <w:t>评标委员会</w:t>
      </w:r>
      <w:r>
        <w:rPr>
          <w:rFonts w:hint="eastAsia" w:ascii="宋体" w:hAnsi="宋体" w:cs="宋体"/>
          <w:kern w:val="0"/>
          <w:sz w:val="24"/>
        </w:rPr>
        <w:t>应当启动异常低价响应审查程序：</w:t>
      </w:r>
    </w:p>
    <w:p w14:paraId="63E8113F">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eastAsia="zh-CN"/>
        </w:rPr>
        <w:t>投标报价</w:t>
      </w:r>
      <w:r>
        <w:rPr>
          <w:rFonts w:hint="eastAsia" w:ascii="宋体" w:hAnsi="宋体" w:cs="宋体"/>
          <w:kern w:val="0"/>
          <w:sz w:val="24"/>
        </w:rPr>
        <w:t>低于全部通过符合性审查供应商</w:t>
      </w:r>
      <w:r>
        <w:rPr>
          <w:rFonts w:hint="eastAsia" w:ascii="宋体" w:hAnsi="宋体" w:cs="宋体"/>
          <w:kern w:val="0"/>
          <w:sz w:val="24"/>
          <w:lang w:eastAsia="zh-CN"/>
        </w:rPr>
        <w:t>投标报价</w:t>
      </w:r>
      <w:r>
        <w:rPr>
          <w:rFonts w:hint="eastAsia" w:ascii="宋体" w:hAnsi="宋体" w:cs="宋体"/>
          <w:kern w:val="0"/>
          <w:sz w:val="24"/>
        </w:rPr>
        <w:t>平均值50%的，即</w:t>
      </w:r>
      <w:r>
        <w:rPr>
          <w:rFonts w:hint="eastAsia" w:ascii="宋体" w:hAnsi="宋体" w:cs="宋体"/>
          <w:kern w:val="0"/>
          <w:sz w:val="24"/>
          <w:lang w:eastAsia="zh-CN"/>
        </w:rPr>
        <w:t>投标报价</w:t>
      </w:r>
      <w:r>
        <w:rPr>
          <w:rFonts w:hint="eastAsia" w:ascii="宋体" w:hAnsi="宋体" w:cs="宋体"/>
          <w:kern w:val="0"/>
          <w:sz w:val="24"/>
        </w:rPr>
        <w:t>&lt;全部通过符合性审查供应商</w:t>
      </w:r>
      <w:r>
        <w:rPr>
          <w:rFonts w:hint="eastAsia" w:ascii="宋体" w:hAnsi="宋体" w:cs="宋体"/>
          <w:kern w:val="0"/>
          <w:sz w:val="24"/>
          <w:lang w:eastAsia="zh-CN"/>
        </w:rPr>
        <w:t>投标报价</w:t>
      </w:r>
      <w:r>
        <w:rPr>
          <w:rFonts w:hint="eastAsia" w:ascii="宋体" w:hAnsi="宋体" w:cs="宋体"/>
          <w:kern w:val="0"/>
          <w:sz w:val="24"/>
        </w:rPr>
        <w:t>平均值×50%；</w:t>
      </w:r>
    </w:p>
    <w:p w14:paraId="6E70E568">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eastAsia="zh-CN"/>
        </w:rPr>
        <w:t>投标报价</w:t>
      </w:r>
      <w:r>
        <w:rPr>
          <w:rFonts w:hint="eastAsia" w:ascii="宋体" w:hAnsi="宋体" w:cs="宋体"/>
          <w:kern w:val="0"/>
          <w:sz w:val="24"/>
        </w:rPr>
        <w:t>低于通过符合性审查的次低报价供应商</w:t>
      </w:r>
      <w:r>
        <w:rPr>
          <w:rFonts w:hint="eastAsia" w:ascii="宋体" w:hAnsi="宋体" w:cs="宋体"/>
          <w:kern w:val="0"/>
          <w:sz w:val="24"/>
          <w:lang w:eastAsia="zh-CN"/>
        </w:rPr>
        <w:t>投标报价</w:t>
      </w:r>
      <w:r>
        <w:rPr>
          <w:rFonts w:hint="eastAsia" w:ascii="宋体" w:hAnsi="宋体" w:cs="宋体"/>
          <w:kern w:val="0"/>
          <w:sz w:val="24"/>
        </w:rPr>
        <w:t>50%的，即</w:t>
      </w:r>
      <w:r>
        <w:rPr>
          <w:rFonts w:hint="eastAsia" w:ascii="宋体" w:hAnsi="宋体" w:cs="宋体"/>
          <w:kern w:val="0"/>
          <w:sz w:val="24"/>
          <w:lang w:eastAsia="zh-CN"/>
        </w:rPr>
        <w:t>投标报价</w:t>
      </w:r>
      <w:r>
        <w:rPr>
          <w:rFonts w:hint="eastAsia" w:ascii="宋体" w:hAnsi="宋体" w:cs="宋体"/>
          <w:kern w:val="0"/>
          <w:sz w:val="24"/>
        </w:rPr>
        <w:t>&lt;通过符合性审查的次低报价供应商</w:t>
      </w:r>
      <w:r>
        <w:rPr>
          <w:rFonts w:hint="eastAsia" w:ascii="宋体" w:hAnsi="宋体" w:cs="宋体"/>
          <w:kern w:val="0"/>
          <w:sz w:val="24"/>
          <w:lang w:eastAsia="zh-CN"/>
        </w:rPr>
        <w:t>投标报价</w:t>
      </w:r>
      <w:r>
        <w:rPr>
          <w:rFonts w:hint="eastAsia" w:ascii="宋体" w:hAnsi="宋体" w:cs="宋体"/>
          <w:kern w:val="0"/>
          <w:sz w:val="24"/>
        </w:rPr>
        <w:t>×50%；</w:t>
      </w:r>
    </w:p>
    <w:p w14:paraId="0BFE696D">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kern w:val="0"/>
          <w:sz w:val="24"/>
          <w:lang w:eastAsia="zh-CN"/>
        </w:rPr>
        <w:t>投标报价</w:t>
      </w:r>
      <w:r>
        <w:rPr>
          <w:rFonts w:hint="eastAsia" w:ascii="宋体" w:hAnsi="宋体" w:cs="宋体"/>
          <w:kern w:val="0"/>
          <w:sz w:val="24"/>
        </w:rPr>
        <w:t>低于采购项目最高限价45%的，即</w:t>
      </w:r>
      <w:r>
        <w:rPr>
          <w:rFonts w:hint="eastAsia" w:ascii="宋体" w:hAnsi="宋体" w:cs="宋体"/>
          <w:kern w:val="0"/>
          <w:sz w:val="24"/>
          <w:lang w:eastAsia="zh-CN"/>
        </w:rPr>
        <w:t>投标报价</w:t>
      </w:r>
      <w:r>
        <w:rPr>
          <w:rFonts w:hint="eastAsia" w:ascii="宋体" w:hAnsi="宋体" w:cs="宋体"/>
          <w:kern w:val="0"/>
          <w:sz w:val="24"/>
        </w:rPr>
        <w:t>&lt;采购项目最高限价×45%；</w:t>
      </w:r>
    </w:p>
    <w:p w14:paraId="37974DF8">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（4）</w:t>
      </w:r>
      <w:r>
        <w:rPr>
          <w:rFonts w:hint="eastAsia" w:ascii="宋体" w:hAnsi="宋体" w:cs="宋体"/>
          <w:kern w:val="0"/>
          <w:sz w:val="24"/>
          <w:lang w:eastAsia="zh-CN"/>
        </w:rPr>
        <w:t>评标委员会</w:t>
      </w:r>
      <w:r>
        <w:rPr>
          <w:rFonts w:hint="eastAsia" w:ascii="宋体" w:hAnsi="宋体" w:cs="宋体"/>
          <w:kern w:val="0"/>
          <w:sz w:val="24"/>
        </w:rPr>
        <w:t>基于专业判断，认为供应商报价过低，有可能影响产品质量或者不能诚信履约的其他情形。</w:t>
      </w:r>
    </w:p>
    <w:p w14:paraId="09B9F342">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按照规定，采购人可以结合具体项目实际情况，提高上述第（1）项至第（3）项中启动异常低价响应审查的数值标准，但是最高不得超过65%，本项目采购人决定将上述（1）（2）（3）数值标准分别确定为50%，50%，45%。采购项目未设定最高限价的，审查时取项目预算金额作为最高限价。</w:t>
      </w:r>
    </w:p>
    <w:p w14:paraId="652A1A7C">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3.4.4.</w:t>
      </w:r>
      <w:r>
        <w:rPr>
          <w:rFonts w:hint="eastAsia" w:ascii="宋体" w:hAnsi="宋体" w:cs="宋体"/>
          <w:kern w:val="0"/>
          <w:sz w:val="24"/>
          <w:lang w:val="en-US" w:eastAsia="zh-CN"/>
        </w:rPr>
        <w:t>2</w:t>
      </w:r>
      <w:r>
        <w:rPr>
          <w:rFonts w:hint="eastAsia" w:ascii="宋体" w:hAnsi="宋体" w:cs="宋体"/>
          <w:kern w:val="0"/>
          <w:sz w:val="24"/>
          <w:lang w:eastAsia="zh-CN"/>
        </w:rPr>
        <w:t>评标委员会</w:t>
      </w:r>
      <w:r>
        <w:rPr>
          <w:rFonts w:hint="eastAsia" w:ascii="宋体" w:hAnsi="宋体" w:cs="宋体"/>
          <w:kern w:val="0"/>
          <w:sz w:val="24"/>
        </w:rPr>
        <w:t>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5EB47758">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lang w:eastAsia="zh-CN"/>
        </w:rPr>
        <w:t>评标委员会</w:t>
      </w:r>
      <w:r>
        <w:rPr>
          <w:rFonts w:hint="eastAsia" w:ascii="宋体" w:hAnsi="宋体" w:cs="宋体"/>
          <w:kern w:val="0"/>
          <w:sz w:val="24"/>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cs="宋体"/>
          <w:kern w:val="0"/>
          <w:sz w:val="24"/>
          <w:lang w:eastAsia="zh-CN"/>
        </w:rPr>
        <w:t>评标委员会</w:t>
      </w:r>
      <w:r>
        <w:rPr>
          <w:rFonts w:hint="eastAsia" w:ascii="宋体" w:hAnsi="宋体" w:cs="宋体"/>
          <w:kern w:val="0"/>
          <w:sz w:val="24"/>
        </w:rPr>
        <w:t>应当将其作为无效谈判处理。</w:t>
      </w:r>
    </w:p>
    <w:p w14:paraId="734A50D9">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采购人、采购代理机构应当为</w:t>
      </w:r>
      <w:r>
        <w:rPr>
          <w:rFonts w:hint="eastAsia" w:ascii="宋体" w:hAnsi="宋体" w:cs="宋体"/>
          <w:kern w:val="0"/>
          <w:sz w:val="24"/>
          <w:lang w:eastAsia="zh-CN"/>
        </w:rPr>
        <w:t>评标委员会</w:t>
      </w:r>
      <w:r>
        <w:rPr>
          <w:rFonts w:hint="eastAsia" w:ascii="宋体" w:hAnsi="宋体" w:cs="宋体"/>
          <w:kern w:val="0"/>
          <w:sz w:val="24"/>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kern w:val="0"/>
          <w:sz w:val="24"/>
          <w:lang w:eastAsia="zh-CN"/>
        </w:rPr>
        <w:t>评标委员会</w:t>
      </w:r>
      <w:r>
        <w:rPr>
          <w:rFonts w:hint="eastAsia" w:ascii="宋体" w:hAnsi="宋体" w:cs="宋体"/>
          <w:kern w:val="0"/>
          <w:sz w:val="24"/>
        </w:rPr>
        <w:t>借助互联网等渠道查询相关信息的，应当严格遵守评审工作纪律，不得实施影响评审公正的行为。</w:t>
      </w:r>
    </w:p>
    <w:p w14:paraId="59A53AB6">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异常低价响应审查的启动原因、审查意见和审查结果应当在评审报告中记录，并随供应商提供的相关书面说明及证明材料，以及</w:t>
      </w:r>
      <w:r>
        <w:rPr>
          <w:rFonts w:hint="eastAsia" w:ascii="宋体" w:hAnsi="宋体" w:cs="宋体"/>
          <w:kern w:val="0"/>
          <w:sz w:val="24"/>
          <w:lang w:eastAsia="zh-CN"/>
        </w:rPr>
        <w:t>评标委员会</w:t>
      </w:r>
      <w:r>
        <w:rPr>
          <w:rFonts w:hint="eastAsia" w:ascii="宋体" w:hAnsi="宋体" w:cs="宋体"/>
          <w:kern w:val="0"/>
          <w:sz w:val="24"/>
        </w:rPr>
        <w:t>有关互联网浏览、查询历史一并归档。</w:t>
      </w:r>
    </w:p>
    <w:p w14:paraId="5780BECB">
      <w:pPr>
        <w:pStyle w:val="128"/>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3.4.5对于未预留份额专门面向中小企业采购的政府采购项目，以及预留份额政府采购项目中的非预留部分标项，对小型和微型企业的投标报价给予</w:t>
      </w:r>
      <w:r>
        <w:rPr>
          <w:rFonts w:ascii="宋体" w:hAnsi="宋体" w:cs="宋体"/>
          <w:color w:val="000000" w:themeColor="text1"/>
          <w:kern w:val="0"/>
          <w:szCs w:val="24"/>
          <w14:textFill>
            <w14:solidFill>
              <w14:schemeClr w14:val="tx1"/>
            </w14:solidFill>
          </w14:textFill>
        </w:rPr>
        <w:t>20</w:t>
      </w:r>
      <w:r>
        <w:rPr>
          <w:rFonts w:hint="eastAsia" w:ascii="宋体" w:hAnsi="宋体" w:cs="宋体"/>
          <w:color w:val="000000" w:themeColor="text1"/>
          <w:kern w:val="0"/>
          <w:szCs w:val="24"/>
          <w14:textFill>
            <w14:solidFill>
              <w14:schemeClr w14:val="tx1"/>
            </w14:solidFill>
          </w14:textFill>
        </w:rPr>
        <w:t>%的扣除，用扣除后的价格参与评审。</w:t>
      </w:r>
    </w:p>
    <w:p w14:paraId="68793D8C">
      <w:pPr>
        <w:spacing w:line="360" w:lineRule="auto"/>
        <w:ind w:firstLine="241" w:firstLineChars="1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3.5排序与推荐。</w:t>
      </w:r>
    </w:p>
    <w:p w14:paraId="5133A0DD">
      <w:pPr>
        <w:pStyle w:val="32"/>
        <w:spacing w:line="360" w:lineRule="auto"/>
        <w:ind w:firstLine="241" w:firstLineChars="100"/>
        <w:rPr>
          <w:rFonts w:hAnsi="宋体" w:cs="宋体"/>
          <w:sz w:val="24"/>
          <w:szCs w:val="24"/>
        </w:rPr>
      </w:pPr>
      <w:r>
        <w:rPr>
          <w:rFonts w:hint="eastAsia" w:hAnsi="宋体" w:cs="宋体"/>
          <w:b/>
          <w:color w:val="000000" w:themeColor="text1"/>
          <w:kern w:val="0"/>
          <w:sz w:val="24"/>
          <w14:textFill>
            <w14:solidFill>
              <w14:schemeClr w14:val="tx1"/>
            </w14:solidFill>
          </w14:textFill>
        </w:rPr>
        <w:t>3.5</w:t>
      </w:r>
      <w:r>
        <w:rPr>
          <w:rFonts w:hint="eastAsia" w:hAnsi="宋体" w:cs="宋体"/>
          <w:sz w:val="24"/>
          <w:szCs w:val="24"/>
        </w:rPr>
        <w:t>评标委员会将根据得分由高到低排列次序并推荐中标候选人3名，对进入详评的投标人，采用百分制综合评分法。得分相同时，以投标报价由高到低顺序排列；得分相同且投标报价相同的，按服务方案优劣顺序排列。招标采购单位应当确定评审委员会推荐的中标候选人为中标人。</w:t>
      </w:r>
    </w:p>
    <w:p w14:paraId="64143B0A">
      <w:pPr>
        <w:spacing w:line="360" w:lineRule="auto"/>
        <w:ind w:firstLine="241" w:firstLineChars="100"/>
        <w:rPr>
          <w:rFonts w:ascii="宋体" w:hAnsi="宋体" w:cs="宋体"/>
          <w:color w:val="000000" w:themeColor="text1"/>
          <w:kern w:val="0"/>
          <w:sz w:val="24"/>
          <w14:textFill>
            <w14:solidFill>
              <w14:schemeClr w14:val="tx1"/>
            </w14:solidFill>
          </w14:textFill>
        </w:rPr>
      </w:pPr>
      <w:r>
        <w:rPr>
          <w:rFonts w:ascii="宋体" w:hAnsi="宋体" w:cs="宋体"/>
          <w:b/>
          <w:color w:val="000000" w:themeColor="text1"/>
          <w:kern w:val="0"/>
          <w:sz w:val="24"/>
          <w14:textFill>
            <w14:solidFill>
              <w14:schemeClr w14:val="tx1"/>
            </w14:solidFill>
          </w14:textFill>
        </w:rPr>
        <w:t>3</w:t>
      </w:r>
      <w:r>
        <w:rPr>
          <w:rFonts w:hint="eastAsia" w:ascii="宋体" w:hAnsi="宋体" w:cs="宋体"/>
          <w:b/>
          <w:color w:val="000000" w:themeColor="text1"/>
          <w:kern w:val="0"/>
          <w:sz w:val="24"/>
          <w14:textFill>
            <w14:solidFill>
              <w14:schemeClr w14:val="tx1"/>
            </w14:solidFill>
          </w14:textFill>
        </w:rPr>
        <w:t>.6编写评标报告。</w:t>
      </w:r>
      <w:r>
        <w:rPr>
          <w:rFonts w:hint="eastAsia" w:ascii="宋体" w:hAnsi="宋体" w:cs="宋体"/>
          <w:color w:val="000000" w:themeColor="text1"/>
          <w:kern w:val="0"/>
          <w:sz w:val="24"/>
          <w14:textFill>
            <w14:solidFill>
              <w14:schemeClr w14:val="tx1"/>
            </w14:solidFill>
          </w14:textFill>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2D14419">
      <w:pPr>
        <w:widowControl/>
        <w:shd w:val="clear" w:color="auto" w:fill="FFFFFF"/>
        <w:adjustRightInd/>
        <w:spacing w:after="225" w:line="315" w:lineRule="atLeast"/>
        <w:jc w:val="left"/>
        <w:outlineLvl w:val="1"/>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四、评标中的其他事项</w:t>
      </w:r>
    </w:p>
    <w:p w14:paraId="703528A9">
      <w:pPr>
        <w:pStyle w:val="128"/>
        <w:spacing w:before="0"/>
        <w:ind w:firstLine="472" w:firstLineChars="196"/>
        <w:rPr>
          <w:rFonts w:ascii="宋体" w:hAnsi="宋体" w:cs="宋体"/>
          <w:color w:val="000000" w:themeColor="text1"/>
          <w:kern w:val="0"/>
          <w:szCs w:val="24"/>
          <w14:textFill>
            <w14:solidFill>
              <w14:schemeClr w14:val="tx1"/>
            </w14:solidFill>
          </w14:textFill>
        </w:rPr>
      </w:pPr>
      <w:r>
        <w:rPr>
          <w:rFonts w:hint="eastAsia" w:ascii="宋体" w:hAnsi="宋体" w:cs="宋体"/>
          <w:b/>
          <w:color w:val="000000" w:themeColor="text1"/>
          <w:kern w:val="0"/>
          <w:szCs w:val="24"/>
          <w14:textFill>
            <w14:solidFill>
              <w14:schemeClr w14:val="tx1"/>
            </w14:solidFill>
          </w14:textFill>
        </w:rPr>
        <w:t>4.1投标人澄清、说明或者补正。</w:t>
      </w:r>
      <w:r>
        <w:rPr>
          <w:rFonts w:hint="eastAsia" w:ascii="宋体" w:hAnsi="宋体" w:cs="宋体"/>
          <w:color w:val="000000" w:themeColor="text1"/>
          <w:kern w:val="0"/>
          <w:szCs w:val="24"/>
          <w14:textFill>
            <w14:solidFill>
              <w14:schemeClr w14:val="tx1"/>
            </w14:solidFill>
          </w14:textFill>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899B1D1">
      <w:pPr>
        <w:pStyle w:val="24"/>
        <w:spacing w:line="360" w:lineRule="auto"/>
        <w:ind w:left="954" w:leftChars="226" w:hanging="479" w:firstLineChars="0"/>
        <w:rPr>
          <w:rFonts w:cs="宋体"/>
          <w:color w:val="000000" w:themeColor="text1"/>
          <w:szCs w:val="21"/>
          <w14:textFill>
            <w14:solidFill>
              <w14:schemeClr w14:val="tx1"/>
            </w14:solidFill>
          </w14:textFill>
        </w:rPr>
      </w:pPr>
      <w:r>
        <w:rPr>
          <w:rFonts w:hint="eastAsia" w:cs="宋体"/>
          <w:b/>
          <w:color w:val="000000" w:themeColor="text1"/>
          <w:kern w:val="0"/>
          <w14:textFill>
            <w14:solidFill>
              <w14:schemeClr w14:val="tx1"/>
            </w14:solidFill>
          </w14:textFill>
        </w:rPr>
        <w:t>4.2投标无效。</w:t>
      </w:r>
      <w:r>
        <w:rPr>
          <w:rFonts w:hint="eastAsia" w:cs="宋体"/>
          <w:color w:val="000000" w:themeColor="text1"/>
          <w:szCs w:val="21"/>
          <w14:textFill>
            <w14:solidFill>
              <w14:schemeClr w14:val="tx1"/>
            </w14:solidFill>
          </w14:textFill>
        </w:rPr>
        <w:t>有下列情形之一的，投标无效：</w:t>
      </w:r>
    </w:p>
    <w:p w14:paraId="1FB7C170">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4.2.1投标人不具备招标文件中规定的资格要求的（投标人未提供有效的资格文件的，视为投标人不具备招标文件中规定的资格要求）；</w:t>
      </w:r>
    </w:p>
    <w:p w14:paraId="573C942B">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4.2.2投标文件未按照招标文件要求签署、盖章的；</w:t>
      </w:r>
    </w:p>
    <w:p w14:paraId="05E726FC">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4.2.3采购人拟采购的产品属于政府强制采购的节能产品品目清单范围的，投标人相应的投标产品未获得国家确定的认证机构出具的、处于有效期之内的节能产品认证证书的；</w:t>
      </w:r>
    </w:p>
    <w:p w14:paraId="4400F6E4">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4.2.4投标文件含有采购人不能接受的附加条件的；</w:t>
      </w:r>
    </w:p>
    <w:p w14:paraId="22037275">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4.2.5投标文件中承诺的投标有效期少于招标文件中载明的投标有效期的；</w:t>
      </w:r>
    </w:p>
    <w:p w14:paraId="033D2D65">
      <w:pPr>
        <w:snapToGrid w:val="0"/>
        <w:spacing w:line="360" w:lineRule="auto"/>
        <w:ind w:firstLine="120" w:firstLineChars="5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4.2.6投标文件出现不是唯一的、有选择性投标报价的;</w:t>
      </w:r>
    </w:p>
    <w:p w14:paraId="6036A324">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4.2.7投标报价超过招标文件中规定的预算金额或者最高限价的;</w:t>
      </w:r>
    </w:p>
    <w:p w14:paraId="3D8EBF6D">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4.2.8报价明显低于其他通过符合性审查投标人的报价，有可能影响产品质量或者不能诚信履约的，未能按要求提供书面说明或者提交相关证明材料，不能证明其报价合理性的;</w:t>
      </w:r>
    </w:p>
    <w:p w14:paraId="180499BA">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4.2.9投标人对根据修正原则修正后的报价不确认的；</w:t>
      </w:r>
    </w:p>
    <w:p w14:paraId="7F62D0E8">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4.2.10投标人提供虚假材料投标的；</w:t>
      </w:r>
    </w:p>
    <w:p w14:paraId="2BF56AF8">
      <w:pPr>
        <w:spacing w:line="360" w:lineRule="auto"/>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4.2.11投标人有恶意串通、妨碍其他投标人的竞争行为、损害采购人或者其他投标人的合法权益情形的；</w:t>
      </w:r>
    </w:p>
    <w:p w14:paraId="6398E9F0">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4.2.12投标人未在电子交易平台传输递交投标文件的，投标无效；</w:t>
      </w:r>
    </w:p>
    <w:p w14:paraId="7AD0A068">
      <w:pPr>
        <w:pStyle w:val="82"/>
        <w:rPr>
          <w:b/>
          <w:bCs/>
          <w:color w:val="000000" w:themeColor="text1"/>
          <w14:textFill>
            <w14:solidFill>
              <w14:schemeClr w14:val="tx1"/>
            </w14:solidFill>
          </w14:textFill>
        </w:rPr>
      </w:pPr>
      <w:r>
        <w:rPr>
          <w:rFonts w:hint="eastAsia"/>
          <w:color w:val="000000" w:themeColor="text1"/>
          <w14:textFill>
            <w14:solidFill>
              <w14:schemeClr w14:val="tx1"/>
            </w14:solidFill>
          </w14:textFill>
        </w:rPr>
        <w:t>4.2.13 投标文件不满足招标文件的其它实质性要求的；</w:t>
      </w:r>
    </w:p>
    <w:p w14:paraId="432CABA1">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4.2.14法律、法规、规章（适用本市的）及省级以上规范性文件（适用本市的）规定的其他无效情形。</w:t>
      </w:r>
    </w:p>
    <w:p w14:paraId="2C8332A4">
      <w:pPr>
        <w:pStyle w:val="24"/>
        <w:snapToGrid w:val="0"/>
        <w:spacing w:line="360" w:lineRule="auto"/>
        <w:ind w:firstLine="472" w:firstLineChars="196"/>
        <w:rPr>
          <w:rFonts w:cs="宋体"/>
          <w:color w:val="000000" w:themeColor="text1"/>
          <w14:textFill>
            <w14:solidFill>
              <w14:schemeClr w14:val="tx1"/>
            </w14:solidFill>
          </w14:textFill>
        </w:rPr>
      </w:pPr>
      <w:r>
        <w:rPr>
          <w:rFonts w:hint="eastAsia" w:cs="宋体"/>
          <w:b/>
          <w:color w:val="000000" w:themeColor="text1"/>
          <w14:textFill>
            <w14:solidFill>
              <w14:schemeClr w14:val="tx1"/>
            </w14:solidFill>
          </w14:textFill>
        </w:rPr>
        <w:t>5.废标。</w:t>
      </w:r>
      <w:r>
        <w:rPr>
          <w:rFonts w:hint="eastAsia" w:cs="宋体"/>
          <w:color w:val="000000" w:themeColor="text1"/>
          <w14:textFill>
            <w14:solidFill>
              <w14:schemeClr w14:val="tx1"/>
            </w14:solidFill>
          </w14:textFill>
        </w:rPr>
        <w:t>根据《中华人民共和国政府采购法》第三十六条之规定，在采购中，出现下列情形之一的，应予废标：</w:t>
      </w:r>
    </w:p>
    <w:p w14:paraId="3239284E">
      <w:pPr>
        <w:pStyle w:val="24"/>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5.1符合专业条件的供应商或者对招标文件作实质响应的供应商不足3家的；</w:t>
      </w:r>
    </w:p>
    <w:p w14:paraId="2A878CBF">
      <w:pPr>
        <w:pStyle w:val="24"/>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5.2出现影响采购公正的违法、违规行为的；</w:t>
      </w:r>
    </w:p>
    <w:p w14:paraId="092ECC25">
      <w:pPr>
        <w:pStyle w:val="24"/>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5.3投标人的报价均超过了采购预算，采购人不能支付的；</w:t>
      </w:r>
    </w:p>
    <w:p w14:paraId="1B9E06BB">
      <w:pPr>
        <w:pStyle w:val="24"/>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5.4因重大变故，采购任务取消的。</w:t>
      </w:r>
    </w:p>
    <w:p w14:paraId="27489508">
      <w:pPr>
        <w:pStyle w:val="24"/>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废标后，采购代理机构应当将废标理由通知所有投标人。</w:t>
      </w:r>
    </w:p>
    <w:p w14:paraId="33F30993">
      <w:pPr>
        <w:pStyle w:val="24"/>
        <w:snapToGrid w:val="0"/>
        <w:spacing w:line="360" w:lineRule="auto"/>
        <w:ind w:firstLine="590" w:firstLineChars="245"/>
        <w:rPr>
          <w:rFonts w:cs="宋体"/>
          <w:color w:val="000000" w:themeColor="text1"/>
          <w14:textFill>
            <w14:solidFill>
              <w14:schemeClr w14:val="tx1"/>
            </w14:solidFill>
          </w14:textFill>
        </w:rPr>
      </w:pPr>
      <w:r>
        <w:rPr>
          <w:rFonts w:hint="eastAsia" w:cs="宋体"/>
          <w:b/>
          <w:color w:val="000000" w:themeColor="text1"/>
          <w14:textFill>
            <w14:solidFill>
              <w14:schemeClr w14:val="tx1"/>
            </w14:solidFill>
          </w14:textFill>
        </w:rPr>
        <w:t>6.修改招标文件，重新组织采购活动。</w:t>
      </w:r>
      <w:r>
        <w:rPr>
          <w:rFonts w:hint="eastAsia" w:cs="宋体"/>
          <w:color w:val="000000" w:themeColor="text1"/>
          <w14:textFill>
            <w14:solidFill>
              <w14:schemeClr w14:val="tx1"/>
            </w14:solidFill>
          </w14:textFill>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039654A4">
      <w:pPr>
        <w:pStyle w:val="24"/>
        <w:snapToGrid w:val="0"/>
        <w:spacing w:line="360" w:lineRule="auto"/>
        <w:ind w:firstLine="482"/>
        <w:rPr>
          <w:rFonts w:cs="宋体"/>
          <w:color w:val="000000" w:themeColor="text1"/>
          <w14:textFill>
            <w14:solidFill>
              <w14:schemeClr w14:val="tx1"/>
            </w14:solidFill>
          </w14:textFill>
        </w:rPr>
      </w:pPr>
      <w:r>
        <w:rPr>
          <w:rFonts w:hint="eastAsia" w:cs="宋体"/>
          <w:b/>
          <w:color w:val="000000" w:themeColor="text1"/>
          <w:kern w:val="0"/>
          <w14:textFill>
            <w14:solidFill>
              <w14:schemeClr w14:val="tx1"/>
            </w14:solidFill>
          </w14:textFill>
        </w:rPr>
        <w:t>7.重新开展采购。</w:t>
      </w:r>
      <w:r>
        <w:rPr>
          <w:rFonts w:hint="eastAsia" w:cs="宋体"/>
          <w:color w:val="000000" w:themeColor="text1"/>
          <w14:textFill>
            <w14:solidFill>
              <w14:schemeClr w14:val="tx1"/>
            </w14:solidFill>
          </w14:textFill>
        </w:rPr>
        <w:t>有政府采购法第七十一条、第七十二条规定的违法行为之一，影响或者可能影响中标结果的，依照下列规定处理：</w:t>
      </w:r>
    </w:p>
    <w:p w14:paraId="337CBD82">
      <w:pPr>
        <w:pStyle w:val="24"/>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7.1未确定中标供应商的，终止本次政府采购活动，重新开展政府采购活动。</w:t>
      </w:r>
    </w:p>
    <w:p w14:paraId="03965116">
      <w:pPr>
        <w:pStyle w:val="24"/>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7.2已确定中标供应商但尚未签订政府采购合同的，中标结果无效，从合格的中标候选人中另行确定中标供应商；没有合格的中标候选人的，重新开展政府采购活动。</w:t>
      </w:r>
    </w:p>
    <w:p w14:paraId="7E8A395D">
      <w:pPr>
        <w:pStyle w:val="24"/>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7.3政府采购合同已签订但尚未履行的，撤销合同，从合格的中标候选人中另行确定中标供应商；没有合格的中标候选人的，重新开展政府采购活动。</w:t>
      </w:r>
    </w:p>
    <w:p w14:paraId="6705299E">
      <w:pPr>
        <w:pStyle w:val="24"/>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7.4政府采购合同已经履行，给采购人、供应商造成损失的，由责任人承担赔偿责任。</w:t>
      </w:r>
    </w:p>
    <w:p w14:paraId="4405E502">
      <w:pPr>
        <w:pStyle w:val="24"/>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7.5政府采购当事人有其他违反政府采购法或者政府采购法实施条例等法律法规规定的行为，经改正后仍然影响或者可能影响中标结果或者依法被认定为中标无效的，依照7.1-7.4规定处理。</w:t>
      </w:r>
    </w:p>
    <w:p w14:paraId="2A620486">
      <w:pPr>
        <w:pStyle w:val="82"/>
        <w:ind w:firstLine="0"/>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五、评审过程的保密与录像</w:t>
      </w:r>
    </w:p>
    <w:p w14:paraId="4A03C77D">
      <w:pPr>
        <w:widowControl/>
        <w:spacing w:line="360" w:lineRule="auto"/>
        <w:ind w:firstLine="48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8.1.保密。</w:t>
      </w:r>
      <w:r>
        <w:rPr>
          <w:rFonts w:hint="eastAsia" w:cs="仿宋_GB2312" w:asciiTheme="minorEastAsia" w:hAnsiTheme="minorEastAsia" w:eastAsiaTheme="minorEastAsia"/>
          <w:color w:val="000000" w:themeColor="text1"/>
          <w:sz w:val="24"/>
          <w14:textFill>
            <w14:solidFill>
              <w14:schemeClr w14:val="tx1"/>
            </w14:solidFill>
          </w14:textFill>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448D3958">
      <w:pPr>
        <w:pStyle w:val="24"/>
        <w:snapToGrid w:val="0"/>
        <w:spacing w:line="360" w:lineRule="auto"/>
        <w:ind w:firstLine="482"/>
        <w:rPr>
          <w:rFonts w:cs="宋体"/>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14:textFill>
            <w14:solidFill>
              <w14:schemeClr w14:val="tx1"/>
            </w14:solidFill>
          </w14:textFill>
        </w:rPr>
        <w:t>8.2.录音录像。</w:t>
      </w:r>
      <w:r>
        <w:rPr>
          <w:rFonts w:hint="eastAsia" w:cs="仿宋_GB2312" w:asciiTheme="minorEastAsia" w:hAnsiTheme="minorEastAsia" w:eastAsiaTheme="minorEastAsia"/>
          <w:color w:val="000000" w:themeColor="text1"/>
          <w14:textFill>
            <w14:solidFill>
              <w14:schemeClr w14:val="tx1"/>
            </w14:solidFill>
          </w14:textFill>
        </w:rPr>
        <w:t>采购代理机构对评审工作现场进行全过程录音录像，录音录像资料作为采购项目文件随其他文件一并存档</w:t>
      </w:r>
    </w:p>
    <w:bookmarkEnd w:id="23"/>
    <w:p w14:paraId="0F366A72">
      <w:pPr>
        <w:rPr>
          <w:rFonts w:ascii="宋体" w:hAnsi="宋体" w:cs="宋体"/>
          <w:b/>
          <w:color w:val="000000" w:themeColor="text1"/>
          <w:sz w:val="36"/>
          <w:szCs w:val="36"/>
          <w14:textFill>
            <w14:solidFill>
              <w14:schemeClr w14:val="tx1"/>
            </w14:solidFill>
          </w14:textFill>
        </w:rPr>
      </w:pPr>
      <w:bookmarkStart w:id="399" w:name="第五部分"/>
      <w:bookmarkStart w:id="400" w:name="_Toc86217003"/>
    </w:p>
    <w:p w14:paraId="22D64284"/>
    <w:p w14:paraId="3C087A5A">
      <w:pPr>
        <w:widowControl/>
        <w:adjustRightInd/>
        <w:ind w:firstLine="1446" w:firstLineChars="400"/>
        <w:jc w:val="left"/>
        <w:rPr>
          <w:rFonts w:ascii="宋体" w:hAnsi="宋体" w:cs="宋体"/>
          <w:b/>
          <w:color w:val="000000" w:themeColor="text1"/>
          <w:sz w:val="36"/>
          <w:szCs w:val="36"/>
          <w14:textFill>
            <w14:solidFill>
              <w14:schemeClr w14:val="tx1"/>
            </w14:solidFill>
          </w14:textFill>
        </w:rPr>
      </w:pPr>
    </w:p>
    <w:p w14:paraId="34D7C52D">
      <w:pPr>
        <w:widowControl/>
        <w:adjustRightInd/>
        <w:ind w:firstLine="1446" w:firstLineChars="400"/>
        <w:jc w:val="left"/>
        <w:rPr>
          <w:rFonts w:ascii="宋体" w:hAnsi="宋体" w:cs="宋体"/>
          <w:b/>
          <w:color w:val="000000" w:themeColor="text1"/>
          <w:sz w:val="36"/>
          <w:szCs w:val="36"/>
          <w14:textFill>
            <w14:solidFill>
              <w14:schemeClr w14:val="tx1"/>
            </w14:solidFill>
          </w14:textFill>
        </w:rPr>
      </w:pPr>
    </w:p>
    <w:p w14:paraId="52CFF594">
      <w:pPr>
        <w:widowControl/>
        <w:adjustRightInd/>
        <w:ind w:firstLine="1446" w:firstLineChars="400"/>
        <w:jc w:val="left"/>
        <w:rPr>
          <w:rFonts w:ascii="宋体" w:hAnsi="宋体" w:cs="宋体"/>
          <w:b/>
          <w:color w:val="000000" w:themeColor="text1"/>
          <w:sz w:val="36"/>
          <w:szCs w:val="36"/>
          <w14:textFill>
            <w14:solidFill>
              <w14:schemeClr w14:val="tx1"/>
            </w14:solidFill>
          </w14:textFill>
        </w:rPr>
      </w:pPr>
    </w:p>
    <w:p w14:paraId="074732F5">
      <w:pPr>
        <w:widowControl/>
        <w:adjustRightInd/>
        <w:ind w:firstLine="1446" w:firstLineChars="400"/>
        <w:jc w:val="left"/>
        <w:rPr>
          <w:rFonts w:ascii="宋体" w:hAnsi="宋体" w:cs="宋体"/>
          <w:b/>
          <w:color w:val="000000" w:themeColor="text1"/>
          <w:sz w:val="36"/>
          <w:szCs w:val="36"/>
          <w14:textFill>
            <w14:solidFill>
              <w14:schemeClr w14:val="tx1"/>
            </w14:solidFill>
          </w14:textFill>
        </w:rPr>
      </w:pPr>
    </w:p>
    <w:p w14:paraId="6AB2D634">
      <w:pPr>
        <w:widowControl/>
        <w:adjustRightInd/>
        <w:ind w:firstLine="1446" w:firstLineChars="400"/>
        <w:jc w:val="left"/>
        <w:rPr>
          <w:rFonts w:ascii="宋体" w:hAnsi="宋体" w:cs="宋体"/>
          <w:b/>
          <w:color w:val="000000" w:themeColor="text1"/>
          <w:sz w:val="36"/>
          <w:szCs w:val="36"/>
          <w14:textFill>
            <w14:solidFill>
              <w14:schemeClr w14:val="tx1"/>
            </w14:solidFill>
          </w14:textFill>
        </w:rPr>
      </w:pPr>
    </w:p>
    <w:p w14:paraId="37D09ED6">
      <w:pPr>
        <w:widowControl/>
        <w:adjustRightInd/>
        <w:ind w:firstLine="1446" w:firstLineChars="400"/>
        <w:jc w:val="left"/>
        <w:rPr>
          <w:rFonts w:ascii="宋体" w:hAnsi="宋体" w:cs="宋体"/>
          <w:b/>
          <w:color w:val="000000" w:themeColor="text1"/>
          <w:sz w:val="36"/>
          <w:szCs w:val="36"/>
          <w14:textFill>
            <w14:solidFill>
              <w14:schemeClr w14:val="tx1"/>
            </w14:solidFill>
          </w14:textFill>
        </w:rPr>
      </w:pPr>
    </w:p>
    <w:p w14:paraId="774B7E02">
      <w:pPr>
        <w:widowControl/>
        <w:adjustRightInd/>
        <w:ind w:firstLine="1446" w:firstLineChars="400"/>
        <w:jc w:val="left"/>
        <w:rPr>
          <w:rFonts w:ascii="宋体" w:hAnsi="宋体" w:cs="宋体"/>
          <w:b/>
          <w:color w:val="000000" w:themeColor="text1"/>
          <w:sz w:val="36"/>
          <w:szCs w:val="36"/>
          <w14:textFill>
            <w14:solidFill>
              <w14:schemeClr w14:val="tx1"/>
            </w14:solidFill>
          </w14:textFill>
        </w:rPr>
      </w:pPr>
    </w:p>
    <w:p w14:paraId="665CE335">
      <w:pPr>
        <w:widowControl/>
        <w:adjustRightInd/>
        <w:ind w:firstLine="1446" w:firstLineChars="400"/>
        <w:jc w:val="left"/>
        <w:rPr>
          <w:rFonts w:ascii="宋体" w:hAnsi="宋体" w:cs="宋体"/>
          <w:b/>
          <w:color w:val="000000" w:themeColor="text1"/>
          <w:sz w:val="36"/>
          <w:szCs w:val="36"/>
          <w14:textFill>
            <w14:solidFill>
              <w14:schemeClr w14:val="tx1"/>
            </w14:solidFill>
          </w14:textFill>
        </w:rPr>
      </w:pPr>
    </w:p>
    <w:p w14:paraId="3976791B">
      <w:pPr>
        <w:widowControl/>
        <w:adjustRightInd/>
        <w:ind w:firstLine="1446" w:firstLineChars="400"/>
        <w:jc w:val="left"/>
        <w:rPr>
          <w:rFonts w:ascii="宋体" w:hAnsi="宋体" w:cs="宋体"/>
          <w:b/>
          <w:color w:val="000000" w:themeColor="text1"/>
          <w:sz w:val="36"/>
          <w:szCs w:val="36"/>
          <w14:textFill>
            <w14:solidFill>
              <w14:schemeClr w14:val="tx1"/>
            </w14:solidFill>
          </w14:textFill>
        </w:rPr>
      </w:pPr>
    </w:p>
    <w:p w14:paraId="6BD4BEF3">
      <w:pPr>
        <w:pStyle w:val="2"/>
        <w:rPr>
          <w:lang w:val="en-US"/>
        </w:rPr>
      </w:pPr>
    </w:p>
    <w:p w14:paraId="170F5A1E"/>
    <w:p w14:paraId="62F7A6B7">
      <w:pPr>
        <w:pStyle w:val="2"/>
        <w:ind w:left="0" w:leftChars="0" w:firstLine="0" w:firstLineChars="0"/>
        <w:rPr>
          <w:lang w:val="en-US"/>
        </w:rPr>
      </w:pPr>
    </w:p>
    <w:p w14:paraId="0874BA50"/>
    <w:p w14:paraId="703A48AE">
      <w:pPr>
        <w:widowControl/>
        <w:adjustRightInd/>
        <w:ind w:firstLine="1446" w:firstLineChars="400"/>
        <w:jc w:val="left"/>
        <w:rPr>
          <w:rFonts w:ascii="宋体" w:hAnsi="宋体" w:cs="宋体"/>
          <w:b/>
          <w:color w:val="000000" w:themeColor="text1"/>
          <w:sz w:val="36"/>
          <w:szCs w:val="36"/>
          <w14:textFill>
            <w14:solidFill>
              <w14:schemeClr w14:val="tx1"/>
            </w14:solidFill>
          </w14:textFill>
        </w:rPr>
      </w:pPr>
    </w:p>
    <w:p w14:paraId="01F4B4C8">
      <w:pPr>
        <w:widowControl/>
        <w:adjustRightInd/>
        <w:ind w:firstLine="1446" w:firstLineChars="400"/>
        <w:jc w:val="left"/>
        <w:rPr>
          <w:rFonts w:hint="eastAsia" w:ascii="宋体" w:hAnsi="宋体" w:cs="宋体"/>
          <w:b/>
          <w:color w:val="000000" w:themeColor="text1"/>
          <w:sz w:val="36"/>
          <w:szCs w:val="36"/>
          <w14:textFill>
            <w14:solidFill>
              <w14:schemeClr w14:val="tx1"/>
            </w14:solidFill>
          </w14:textFill>
        </w:rPr>
      </w:pPr>
    </w:p>
    <w:p w14:paraId="299BA3B8">
      <w:pPr>
        <w:widowControl/>
        <w:adjustRightInd/>
        <w:ind w:firstLine="1446" w:firstLineChars="400"/>
        <w:jc w:val="left"/>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第五部分 拟签订的合同文本</w:t>
      </w:r>
    </w:p>
    <w:p w14:paraId="4885EE1D">
      <w:pPr>
        <w:spacing w:line="480" w:lineRule="auto"/>
        <w:jc w:val="center"/>
        <w:rPr>
          <w:rFonts w:ascii="宋体" w:hAnsi="宋体" w:cs="宋体"/>
          <w:b/>
          <w:color w:val="000000" w:themeColor="text1"/>
          <w:sz w:val="28"/>
          <w:szCs w:val="28"/>
          <w14:textFill>
            <w14:solidFill>
              <w14:schemeClr w14:val="tx1"/>
            </w14:solidFill>
          </w14:textFill>
        </w:rPr>
      </w:pPr>
    </w:p>
    <w:p w14:paraId="4DE2ED72">
      <w:pPr>
        <w:spacing w:line="480" w:lineRule="auto"/>
        <w:jc w:val="center"/>
        <w:rPr>
          <w:rFonts w:ascii="宋体" w:hAnsi="宋体" w:cs="宋体"/>
          <w:b/>
          <w:color w:val="000000" w:themeColor="text1"/>
          <w:sz w:val="24"/>
          <w14:textFill>
            <w14:solidFill>
              <w14:schemeClr w14:val="tx1"/>
            </w14:solidFill>
          </w14:textFill>
        </w:rPr>
      </w:pPr>
    </w:p>
    <w:p w14:paraId="4849BDF0">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政府采购合同参考范本</w:t>
      </w:r>
    </w:p>
    <w:p w14:paraId="42FE90B0">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（服务类）</w:t>
      </w:r>
    </w:p>
    <w:p w14:paraId="3BB75CFA">
      <w:pPr>
        <w:pStyle w:val="699"/>
        <w:ind w:firstLine="2843" w:firstLineChars="1180"/>
        <w:rPr>
          <w:rFonts w:ascii="宋体" w:hAnsi="宋体" w:cs="宋体"/>
          <w:b/>
          <w:color w:val="000000" w:themeColor="text1"/>
          <w:szCs w:val="24"/>
          <w14:textFill>
            <w14:solidFill>
              <w14:schemeClr w14:val="tx1"/>
            </w14:solidFill>
          </w14:textFill>
        </w:rPr>
      </w:pPr>
    </w:p>
    <w:p w14:paraId="1D08329B">
      <w:pPr>
        <w:pStyle w:val="24"/>
        <w:rPr>
          <w:color w:val="000000" w:themeColor="text1"/>
          <w14:textFill>
            <w14:solidFill>
              <w14:schemeClr w14:val="tx1"/>
            </w14:solidFill>
          </w14:textFill>
        </w:rPr>
      </w:pPr>
    </w:p>
    <w:p w14:paraId="247CD4E6">
      <w:pPr>
        <w:pStyle w:val="24"/>
        <w:rPr>
          <w:color w:val="000000" w:themeColor="text1"/>
          <w14:textFill>
            <w14:solidFill>
              <w14:schemeClr w14:val="tx1"/>
            </w14:solidFill>
          </w14:textFill>
        </w:rPr>
      </w:pPr>
    </w:p>
    <w:p w14:paraId="4778CCDD">
      <w:pPr>
        <w:adjustRightInd/>
        <w:spacing w:line="360" w:lineRule="auto"/>
        <w:ind w:left="1680" w:leftChars="800"/>
        <w:rPr>
          <w:color w:val="000000" w:themeColor="text1"/>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项目名称：</w:t>
      </w:r>
      <w:r>
        <w:rPr>
          <w:color w:val="000000" w:themeColor="text1"/>
          <w:sz w:val="32"/>
          <w:szCs w:val="32"/>
          <w:u w:val="single"/>
          <w14:textFill>
            <w14:solidFill>
              <w14:schemeClr w14:val="tx1"/>
            </w14:solidFill>
          </w14:textFill>
        </w:rPr>
        <w:t xml:space="preserve">                             </w:t>
      </w:r>
    </w:p>
    <w:p w14:paraId="62AC75E9">
      <w:pPr>
        <w:adjustRightInd/>
        <w:spacing w:line="360" w:lineRule="auto"/>
        <w:ind w:left="168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合同编号：</w:t>
      </w:r>
      <w:r>
        <w:rPr>
          <w:color w:val="000000" w:themeColor="text1"/>
          <w:sz w:val="32"/>
          <w:szCs w:val="32"/>
          <w:u w:val="single"/>
          <w14:textFill>
            <w14:solidFill>
              <w14:schemeClr w14:val="tx1"/>
            </w14:solidFill>
          </w14:textFill>
        </w:rPr>
        <w:t xml:space="preserve">                             </w:t>
      </w:r>
    </w:p>
    <w:p w14:paraId="3C63CCCF">
      <w:pPr>
        <w:adjustRightInd/>
        <w:spacing w:line="360" w:lineRule="auto"/>
        <w:ind w:left="1680" w:leftChars="8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甲</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5C205064">
      <w:pPr>
        <w:adjustRightInd/>
        <w:spacing w:line="360" w:lineRule="auto"/>
        <w:ind w:left="168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乙</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0C9B5A2A">
      <w:pPr>
        <w:adjustRightInd/>
        <w:spacing w:line="360" w:lineRule="auto"/>
        <w:ind w:left="1680" w:leftChars="8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签订时间：</w:t>
      </w:r>
      <w:r>
        <w:rPr>
          <w:color w:val="000000" w:themeColor="text1"/>
          <w:sz w:val="32"/>
          <w:szCs w:val="32"/>
          <w:u w:val="single"/>
          <w14:textFill>
            <w14:solidFill>
              <w14:schemeClr w14:val="tx1"/>
            </w14:solidFill>
          </w14:textFill>
        </w:rPr>
        <w:t xml:space="preserve">                             </w:t>
      </w:r>
    </w:p>
    <w:p w14:paraId="73F96EB5">
      <w:pPr>
        <w:widowControl/>
        <w:jc w:val="left"/>
        <w:rPr>
          <w:rFonts w:ascii="宋体" w:hAnsi="宋体" w:cs="宋体"/>
          <w:color w:val="000000" w:themeColor="text1"/>
          <w:kern w:val="0"/>
          <w:sz w:val="24"/>
          <w14:textFill>
            <w14:solidFill>
              <w14:schemeClr w14:val="tx1"/>
            </w14:solidFill>
          </w14:textFill>
        </w:rPr>
        <w:sectPr>
          <w:pgSz w:w="11907" w:h="16840"/>
          <w:pgMar w:top="1474" w:right="1814" w:bottom="1474" w:left="1814" w:header="851" w:footer="851" w:gutter="0"/>
          <w:cols w:space="720" w:num="1"/>
        </w:sectPr>
      </w:pPr>
    </w:p>
    <w:p w14:paraId="2DB487A5">
      <w:pPr>
        <w:spacing w:line="360" w:lineRule="auto"/>
        <w:jc w:val="center"/>
        <w:outlineLvl w:val="1"/>
        <w:rPr>
          <w:rFonts w:ascii="宋体" w:hAnsi="宋体" w:cs="宋体"/>
          <w:b/>
          <w:color w:val="000000" w:themeColor="text1"/>
          <w:sz w:val="24"/>
          <w14:textFill>
            <w14:solidFill>
              <w14:schemeClr w14:val="tx1"/>
            </w14:solidFill>
          </w14:textFill>
        </w:rPr>
      </w:pPr>
      <w:bookmarkStart w:id="401" w:name="_Toc22209"/>
      <w:r>
        <w:rPr>
          <w:rFonts w:hint="eastAsia" w:ascii="宋体" w:hAnsi="宋体"/>
          <w:b/>
          <w:color w:val="000000" w:themeColor="text1"/>
          <w:sz w:val="24"/>
          <w14:textFill>
            <w14:solidFill>
              <w14:schemeClr w14:val="tx1"/>
            </w14:solidFill>
          </w14:textFill>
        </w:rPr>
        <w:t>第一节 政府采购合同协议书</w:t>
      </w:r>
      <w:bookmarkEnd w:id="401"/>
    </w:p>
    <w:p w14:paraId="5A084AA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年</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月</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（采购人）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以</w:t>
      </w:r>
      <w:r>
        <w:rPr>
          <w:rFonts w:ascii="宋体" w:hAnsi="宋体"/>
          <w:color w:val="000000" w:themeColor="text1"/>
          <w:sz w:val="24"/>
          <w:u w:val="single"/>
          <w14:textFill>
            <w14:solidFill>
              <w14:schemeClr w14:val="tx1"/>
            </w14:solidFill>
          </w14:textFill>
        </w:rPr>
        <w:t xml:space="preserve">   （政府采购方式）  </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（项目名称）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项目进行了采购。经</w:t>
      </w:r>
      <w:r>
        <w:rPr>
          <w:rFonts w:ascii="宋体" w:hAnsi="宋体"/>
          <w:color w:val="000000" w:themeColor="text1"/>
          <w:sz w:val="24"/>
          <w:u w:val="single"/>
          <w14:textFill>
            <w14:solidFill>
              <w14:schemeClr w14:val="tx1"/>
            </w14:solidFill>
          </w14:textFill>
        </w:rPr>
        <w:t xml:space="preserve">   （相关评定主体名称）   </w:t>
      </w:r>
      <w:r>
        <w:rPr>
          <w:rFonts w:hint="eastAsia" w:ascii="宋体" w:hAnsi="宋体"/>
          <w:color w:val="000000" w:themeColor="text1"/>
          <w:sz w:val="24"/>
          <w14:textFill>
            <w14:solidFill>
              <w14:schemeClr w14:val="tx1"/>
            </w14:solidFill>
          </w14:textFill>
        </w:rPr>
        <w:t>评定，</w:t>
      </w:r>
      <w:r>
        <w:rPr>
          <w:rFonts w:ascii="宋体" w:hAnsi="宋体"/>
          <w:color w:val="000000" w:themeColor="text1"/>
          <w:sz w:val="24"/>
          <w:u w:val="single"/>
          <w14:textFill>
            <w14:solidFill>
              <w14:schemeClr w14:val="tx1"/>
            </w14:solidFill>
          </w14:textFill>
        </w:rPr>
        <w:t xml:space="preserve">   （中标供应商名称） </w:t>
      </w:r>
      <w:r>
        <w:rPr>
          <w:rFonts w:hint="eastAsia" w:ascii="宋体" w:hAnsi="宋体"/>
          <w:color w:val="000000" w:themeColor="text1"/>
          <w:sz w:val="24"/>
          <w14:textFill>
            <w14:solidFill>
              <w14:schemeClr w14:val="tx1"/>
            </w14:solidFill>
          </w14:textFill>
        </w:rPr>
        <w:t>为该项目</w:t>
      </w:r>
      <w:r>
        <w:rPr>
          <w:rFonts w:hint="eastAsia" w:ascii="宋体" w:hAnsi="宋体" w:cs="宋体"/>
          <w:color w:val="000000" w:themeColor="text1"/>
          <w:sz w:val="24"/>
          <w14:textFill>
            <w14:solidFill>
              <w14:schemeClr w14:val="tx1"/>
            </w14:solidFill>
          </w14:textFill>
        </w:rPr>
        <w:t>中标供应商</w:t>
      </w:r>
      <w:r>
        <w:rPr>
          <w:rFonts w:hint="eastAsia" w:ascii="宋体" w:hAnsi="宋体"/>
          <w:color w:val="000000" w:themeColor="text1"/>
          <w:sz w:val="24"/>
          <w14:textFill>
            <w14:solidFill>
              <w14:schemeClr w14:val="tx1"/>
            </w14:solidFill>
          </w14:textFill>
        </w:rPr>
        <w:t>。现于</w:t>
      </w:r>
      <w:r>
        <w:rPr>
          <w:rFonts w:hint="eastAsia" w:ascii="宋体" w:hAnsi="宋体" w:cs="宋体"/>
          <w:color w:val="000000" w:themeColor="text1"/>
          <w:sz w:val="24"/>
          <w14:textFill>
            <w14:solidFill>
              <w14:schemeClr w14:val="tx1"/>
            </w14:solidFill>
          </w14:textFill>
        </w:rPr>
        <w:t>中标通知书</w:t>
      </w:r>
      <w:r>
        <w:rPr>
          <w:rFonts w:hint="eastAsia" w:ascii="宋体" w:hAnsi="宋体"/>
          <w:color w:val="000000" w:themeColor="text1"/>
          <w:sz w:val="24"/>
          <w14:textFill>
            <w14:solidFill>
              <w14:schemeClr w14:val="tx1"/>
            </w14:solidFill>
          </w14:textFill>
        </w:rPr>
        <w:t>发出之日起</w:t>
      </w:r>
      <w:r>
        <w:rPr>
          <w:rFonts w:ascii="宋体" w:hAnsi="宋体"/>
          <w:color w:val="000000" w:themeColor="text1"/>
          <w:sz w:val="24"/>
          <w:u w:val="single"/>
          <w14:textFill>
            <w14:solidFill>
              <w14:schemeClr w14:val="tx1"/>
            </w14:solidFill>
          </w14:textFill>
        </w:rPr>
        <w:t>25</w:t>
      </w:r>
      <w:r>
        <w:rPr>
          <w:rFonts w:hint="eastAsia" w:ascii="宋体" w:hAnsi="宋体"/>
          <w:color w:val="000000" w:themeColor="text1"/>
          <w:sz w:val="24"/>
          <w14:textFill>
            <w14:solidFill>
              <w14:schemeClr w14:val="tx1"/>
            </w14:solidFill>
          </w14:textFill>
        </w:rPr>
        <w:t>个工作日内，按照采购文件确定的事项签订本合同。</w:t>
      </w:r>
    </w:p>
    <w:p w14:paraId="6DA0EE3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根据《中华人民共和国民法典》《中华人民共和国政府采购法》等相关法律法规之规定，按照平等、自愿、公平和诚实信用的原则，经</w:t>
      </w:r>
      <w:r>
        <w:rPr>
          <w:rFonts w:ascii="宋体" w:hAnsi="宋体"/>
          <w:color w:val="000000" w:themeColor="text1"/>
          <w:sz w:val="24"/>
          <w:u w:val="single"/>
          <w14:textFill>
            <w14:solidFill>
              <w14:schemeClr w14:val="tx1"/>
            </w14:solidFill>
          </w14:textFill>
        </w:rPr>
        <w:t xml:space="preserve">   （采购人）   </w:t>
      </w:r>
      <w:r>
        <w:rPr>
          <w:rFonts w:ascii="宋体" w:hAnsi="宋体"/>
          <w:color w:val="000000" w:themeColor="text1"/>
          <w:sz w:val="24"/>
          <w:lang w:val="zh-CN"/>
          <w14:textFill>
            <w14:solidFill>
              <w14:schemeClr w14:val="tx1"/>
            </w14:solidFill>
          </w14:textFill>
        </w:rPr>
        <w:t>(以下简称：甲方)和</w:t>
      </w:r>
      <w:r>
        <w:rPr>
          <w:rFonts w:ascii="宋体" w:hAnsi="宋体"/>
          <w:color w:val="000000" w:themeColor="text1"/>
          <w:sz w:val="24"/>
          <w:u w:val="single"/>
          <w14:textFill>
            <w14:solidFill>
              <w14:schemeClr w14:val="tx1"/>
            </w14:solidFill>
          </w14:textFill>
        </w:rPr>
        <w:t xml:space="preserve">   （中标供应商名称）   </w:t>
      </w:r>
      <w:r>
        <w:rPr>
          <w:rFonts w:ascii="宋体" w:hAnsi="宋体"/>
          <w:color w:val="000000" w:themeColor="text1"/>
          <w:sz w:val="24"/>
          <w:lang w:val="zh-CN"/>
          <w14:textFill>
            <w14:solidFill>
              <w14:schemeClr w14:val="tx1"/>
            </w14:solidFill>
          </w14:textFill>
        </w:rPr>
        <w:t>(以下简称：乙方)协商一致，约定以下合同</w:t>
      </w:r>
      <w:r>
        <w:rPr>
          <w:rFonts w:hint="eastAsia" w:ascii="宋体" w:hAnsi="宋体"/>
          <w:color w:val="000000" w:themeColor="text1"/>
          <w:sz w:val="24"/>
          <w14:textFill>
            <w14:solidFill>
              <w14:schemeClr w14:val="tx1"/>
            </w14:solidFill>
          </w14:textFill>
        </w:rPr>
        <w:t>条款，以兹共同遵守、全面履行。</w:t>
      </w:r>
    </w:p>
    <w:p w14:paraId="0F80055E">
      <w:pPr>
        <w:spacing w:line="360" w:lineRule="auto"/>
        <w:ind w:firstLine="482" w:firstLineChars="200"/>
        <w:rPr>
          <w:rFonts w:ascii="宋体" w:hAnsi="宋体"/>
          <w:color w:val="000000" w:themeColor="text1"/>
          <w:sz w:val="24"/>
          <w14:textFill>
            <w14:solidFill>
              <w14:schemeClr w14:val="tx1"/>
            </w14:solidFill>
          </w14:textFill>
        </w:rPr>
      </w:pPr>
      <w:bookmarkStart w:id="402" w:name="_Toc22967"/>
      <w:bookmarkStart w:id="403" w:name="_Toc20421"/>
      <w:bookmarkStart w:id="404" w:name="_Toc28855"/>
      <w:bookmarkStart w:id="405" w:name="_Toc15367"/>
      <w:bookmarkStart w:id="406" w:name="_Toc19273"/>
      <w:r>
        <w:rPr>
          <w:rFonts w:ascii="宋体" w:hAnsi="宋体"/>
          <w:b/>
          <w:color w:val="000000" w:themeColor="text1"/>
          <w:sz w:val="24"/>
          <w14:textFill>
            <w14:solidFill>
              <w14:schemeClr w14:val="tx1"/>
            </w14:solidFill>
          </w14:textFill>
        </w:rPr>
        <w:t xml:space="preserve">1.1 </w:t>
      </w:r>
      <w:r>
        <w:rPr>
          <w:rFonts w:hint="eastAsia" w:ascii="宋体" w:hAnsi="宋体"/>
          <w:b/>
          <w:color w:val="000000" w:themeColor="text1"/>
          <w:sz w:val="24"/>
          <w14:textFill>
            <w14:solidFill>
              <w14:schemeClr w14:val="tx1"/>
            </w14:solidFill>
          </w14:textFill>
        </w:rPr>
        <w:t>合同组成部分</w:t>
      </w:r>
      <w:bookmarkEnd w:id="402"/>
      <w:bookmarkEnd w:id="403"/>
      <w:bookmarkEnd w:id="404"/>
      <w:bookmarkEnd w:id="405"/>
      <w:bookmarkEnd w:id="406"/>
    </w:p>
    <w:p w14:paraId="36A6FA0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95F088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 </w:t>
      </w:r>
      <w:r>
        <w:rPr>
          <w:rFonts w:hint="eastAsia" w:ascii="宋体" w:hAnsi="宋体"/>
          <w:color w:val="000000" w:themeColor="text1"/>
          <w:sz w:val="24"/>
          <w14:textFill>
            <w14:solidFill>
              <w14:schemeClr w14:val="tx1"/>
            </w14:solidFill>
          </w14:textFill>
        </w:rPr>
        <w:t>本合同及其补充合同、变更协议；</w:t>
      </w:r>
    </w:p>
    <w:p w14:paraId="7690065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1.1.2 </w:t>
      </w:r>
      <w:r>
        <w:rPr>
          <w:rFonts w:hint="eastAsia" w:ascii="宋体" w:hAnsi="宋体"/>
          <w:color w:val="000000" w:themeColor="text1"/>
          <w:sz w:val="24"/>
          <w14:textFill>
            <w14:solidFill>
              <w14:schemeClr w14:val="tx1"/>
            </w14:solidFill>
          </w14:textFill>
        </w:rPr>
        <w:t>中标通知书；</w:t>
      </w:r>
    </w:p>
    <w:p w14:paraId="573ACD7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 </w:t>
      </w:r>
      <w:r>
        <w:rPr>
          <w:rFonts w:hint="eastAsia" w:ascii="宋体" w:hAnsi="宋体"/>
          <w:color w:val="000000" w:themeColor="text1"/>
          <w:sz w:val="24"/>
          <w14:textFill>
            <w14:solidFill>
              <w14:schemeClr w14:val="tx1"/>
            </w14:solidFill>
          </w14:textFill>
        </w:rPr>
        <w:t>投标文件（含澄清或者说明文件）；</w:t>
      </w:r>
    </w:p>
    <w:p w14:paraId="156CFC2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1.1.4 </w:t>
      </w:r>
      <w:r>
        <w:rPr>
          <w:rFonts w:hint="eastAsia" w:ascii="宋体" w:hAnsi="宋体"/>
          <w:color w:val="000000" w:themeColor="text1"/>
          <w:sz w:val="24"/>
          <w14:textFill>
            <w14:solidFill>
              <w14:schemeClr w14:val="tx1"/>
            </w14:solidFill>
          </w14:textFill>
        </w:rPr>
        <w:t>采购文件（含澄清或者修改文件）；</w:t>
      </w:r>
    </w:p>
    <w:p w14:paraId="28B36FC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1.1.5 </w:t>
      </w:r>
      <w:r>
        <w:rPr>
          <w:rFonts w:hint="eastAsia" w:ascii="宋体" w:hAnsi="宋体"/>
          <w:color w:val="000000" w:themeColor="text1"/>
          <w:sz w:val="24"/>
          <w14:textFill>
            <w14:solidFill>
              <w14:schemeClr w14:val="tx1"/>
            </w14:solidFill>
          </w14:textFill>
        </w:rPr>
        <w:t>其他相关采购文件。</w:t>
      </w:r>
    </w:p>
    <w:p w14:paraId="07B6721E">
      <w:pPr>
        <w:spacing w:line="360" w:lineRule="auto"/>
        <w:ind w:firstLine="482" w:firstLineChars="200"/>
        <w:rPr>
          <w:rFonts w:ascii="宋体" w:hAnsi="宋体"/>
          <w:b/>
          <w:color w:val="000000" w:themeColor="text1"/>
          <w:sz w:val="24"/>
          <w14:textFill>
            <w14:solidFill>
              <w14:schemeClr w14:val="tx1"/>
            </w14:solidFill>
          </w14:textFill>
        </w:rPr>
      </w:pPr>
      <w:bookmarkStart w:id="407" w:name="_Toc22185"/>
      <w:bookmarkStart w:id="408" w:name="_Toc6773"/>
      <w:bookmarkStart w:id="409" w:name="_Toc6311"/>
      <w:bookmarkStart w:id="410" w:name="_Toc18585"/>
      <w:bookmarkStart w:id="411" w:name="_Toc2918"/>
      <w:r>
        <w:rPr>
          <w:rFonts w:ascii="宋体" w:hAnsi="宋体"/>
          <w:b/>
          <w:color w:val="000000" w:themeColor="text1"/>
          <w:sz w:val="24"/>
          <w14:textFill>
            <w14:solidFill>
              <w14:schemeClr w14:val="tx1"/>
            </w14:solidFill>
          </w14:textFill>
        </w:rPr>
        <w:t xml:space="preserve">1.2 </w:t>
      </w:r>
      <w:r>
        <w:rPr>
          <w:rFonts w:hint="eastAsia" w:ascii="宋体" w:hAnsi="宋体"/>
          <w:b/>
          <w:color w:val="000000" w:themeColor="text1"/>
          <w:sz w:val="24"/>
          <w14:textFill>
            <w14:solidFill>
              <w14:schemeClr w14:val="tx1"/>
            </w14:solidFill>
          </w14:textFill>
        </w:rPr>
        <w:t>标的</w:t>
      </w:r>
      <w:bookmarkEnd w:id="407"/>
      <w:bookmarkEnd w:id="408"/>
      <w:bookmarkEnd w:id="409"/>
      <w:bookmarkEnd w:id="410"/>
      <w:bookmarkEnd w:id="411"/>
    </w:p>
    <w:p w14:paraId="479BAB4F">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1.2.1 </w:t>
      </w:r>
      <w:r>
        <w:rPr>
          <w:rFonts w:hint="eastAsia" w:ascii="宋体" w:hAnsi="宋体"/>
          <w:color w:val="000000" w:themeColor="text1"/>
          <w:sz w:val="24"/>
          <w14:textFill>
            <w14:solidFill>
              <w14:schemeClr w14:val="tx1"/>
            </w14:solidFill>
          </w14:textFill>
        </w:rPr>
        <w:t>服务内容</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1890F4A">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1.2.2 </w:t>
      </w:r>
      <w:r>
        <w:rPr>
          <w:rFonts w:hint="eastAsia" w:ascii="宋体" w:hAnsi="宋体"/>
          <w:color w:val="000000" w:themeColor="text1"/>
          <w:sz w:val="24"/>
          <w14:textFill>
            <w14:solidFill>
              <w14:schemeClr w14:val="tx1"/>
            </w14:solidFill>
          </w14:textFill>
        </w:rPr>
        <w:t>服务标准</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06A55D1">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1.2.3 </w:t>
      </w:r>
      <w:r>
        <w:rPr>
          <w:rFonts w:hint="eastAsia" w:ascii="宋体" w:hAnsi="宋体"/>
          <w:color w:val="000000" w:themeColor="text1"/>
          <w:sz w:val="24"/>
          <w14:textFill>
            <w14:solidFill>
              <w14:schemeClr w14:val="tx1"/>
            </w14:solidFill>
          </w14:textFill>
        </w:rPr>
        <w:t>技术保障：</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w:t>
      </w:r>
    </w:p>
    <w:p w14:paraId="16BA724A">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1.2.4 服务人员组成：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A355C1F">
      <w:pPr>
        <w:pStyle w:val="957"/>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1.2.5合同</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否）涉及货物。若涉及货物的，则：</w:t>
      </w:r>
    </w:p>
    <w:p w14:paraId="2F6299F0">
      <w:pPr>
        <w:spacing w:line="360" w:lineRule="auto"/>
        <w:ind w:firstLine="480" w:firstLineChars="200"/>
        <w:rPr>
          <w:rFonts w:ascii="宋体" w:hAnsi="宋体" w:cs="宋体"/>
          <w:color w:val="000000" w:themeColor="text1"/>
          <w:sz w:val="24"/>
          <w:u w:val="single"/>
          <w14:textFill>
            <w14:solidFill>
              <w14:schemeClr w14:val="tx1"/>
            </w14:solidFill>
          </w14:textFill>
        </w:rPr>
      </w:pPr>
      <w:bookmarkStart w:id="412" w:name="_Toc1386"/>
      <w:bookmarkStart w:id="413" w:name="_Toc4929"/>
      <w:bookmarkStart w:id="414" w:name="_Toc5635"/>
      <w:bookmarkStart w:id="415" w:name="_Toc21124"/>
      <w:bookmarkStart w:id="416" w:name="_Toc13918"/>
      <w:r>
        <w:rPr>
          <w:rFonts w:hint="eastAsia" w:ascii="宋体" w:hAnsi="宋体" w:cs="宋体"/>
          <w:color w:val="000000" w:themeColor="text1"/>
          <w:sz w:val="24"/>
          <w14:textFill>
            <w14:solidFill>
              <w14:schemeClr w14:val="tx1"/>
            </w14:solidFill>
          </w14:textFill>
        </w:rPr>
        <w:t>1.2.5.1 货物名称、品牌、规格型号、花色：</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430B9F2A">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1.2.5.2 货物数量：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10475CCC">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1.2.5.3 货物质量：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4F6BD59C">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1.3 价款</w:t>
      </w:r>
      <w:bookmarkEnd w:id="412"/>
      <w:bookmarkEnd w:id="413"/>
      <w:bookmarkEnd w:id="414"/>
      <w:bookmarkEnd w:id="415"/>
      <w:bookmarkEnd w:id="416"/>
    </w:p>
    <w:p w14:paraId="3E71697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本项目采用以下第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条款规定的计价方式计价。</w:t>
      </w:r>
    </w:p>
    <w:p w14:paraId="66E8401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1.3.1总价合同，</w:t>
      </w:r>
      <w:r>
        <w:rPr>
          <w:rFonts w:ascii="宋体" w:hAnsi="宋体"/>
          <w:color w:val="000000" w:themeColor="text1"/>
          <w:sz w:val="24"/>
          <w14:textFill>
            <w14:solidFill>
              <w14:schemeClr w14:val="tx1"/>
            </w14:solidFill>
          </w14:textFill>
        </w:rPr>
        <w:t>本合同总价</w:t>
      </w:r>
      <w:r>
        <w:rPr>
          <w:rFonts w:hint="eastAsia" w:ascii="宋体" w:hAnsi="宋体"/>
          <w:color w:val="000000" w:themeColor="text1"/>
          <w:sz w:val="24"/>
          <w14:textFill>
            <w14:solidFill>
              <w14:schemeClr w14:val="tx1"/>
            </w14:solidFill>
          </w14:textFill>
        </w:rPr>
        <w:t>（含税）</w:t>
      </w:r>
      <w:r>
        <w:rPr>
          <w:rFonts w:ascii="宋体" w:hAnsi="宋体"/>
          <w:color w:val="000000" w:themeColor="text1"/>
          <w:sz w:val="24"/>
          <w14:textFill>
            <w14:solidFill>
              <w14:schemeClr w14:val="tx1"/>
            </w14:solidFill>
          </w14:textFill>
        </w:rPr>
        <w:t>为</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r>
        <w:rPr>
          <w:rFonts w:ascii="宋体" w:hAnsi="宋体"/>
          <w:color w:val="000000" w:themeColor="text1"/>
          <w:sz w:val="24"/>
          <w14:textFill>
            <w14:solidFill>
              <w14:schemeClr w14:val="tx1"/>
            </w14:solidFill>
          </w14:textFill>
        </w:rPr>
        <w:t>。</w:t>
      </w:r>
    </w:p>
    <w:p w14:paraId="51F1BBAE">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AE9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BD90D71">
            <w:pPr>
              <w:pStyle w:val="317"/>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序号</w:t>
            </w:r>
          </w:p>
        </w:tc>
        <w:tc>
          <w:tcPr>
            <w:tcW w:w="3402" w:type="dxa"/>
            <w:vAlign w:val="center"/>
          </w:tcPr>
          <w:p w14:paraId="7A1BEAAB">
            <w:pPr>
              <w:pStyle w:val="317"/>
              <w:spacing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分项名称</w:t>
            </w:r>
          </w:p>
        </w:tc>
        <w:tc>
          <w:tcPr>
            <w:tcW w:w="2552" w:type="dxa"/>
            <w:vAlign w:val="center"/>
          </w:tcPr>
          <w:p w14:paraId="34903AE5">
            <w:pPr>
              <w:pStyle w:val="317"/>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分项价格</w:t>
            </w:r>
          </w:p>
        </w:tc>
      </w:tr>
      <w:tr w14:paraId="27F4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46E1753">
            <w:pPr>
              <w:pStyle w:val="317"/>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6D30022A">
            <w:pPr>
              <w:pStyle w:val="317"/>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68FE1A39">
            <w:pPr>
              <w:pStyle w:val="317"/>
              <w:spacing w:line="360" w:lineRule="auto"/>
              <w:ind w:firstLine="200"/>
              <w:jc w:val="center"/>
              <w:rPr>
                <w:rFonts w:hAnsi="宋体"/>
                <w:color w:val="000000" w:themeColor="text1"/>
                <w:sz w:val="24"/>
                <w:szCs w:val="24"/>
                <w14:textFill>
                  <w14:solidFill>
                    <w14:schemeClr w14:val="tx1"/>
                  </w14:solidFill>
                </w14:textFill>
              </w:rPr>
            </w:pPr>
          </w:p>
        </w:tc>
      </w:tr>
      <w:tr w14:paraId="2DFC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C5BDF60">
            <w:pPr>
              <w:pStyle w:val="317"/>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13CD5BBA">
            <w:pPr>
              <w:pStyle w:val="317"/>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75B6226C">
            <w:pPr>
              <w:pStyle w:val="317"/>
              <w:spacing w:line="360" w:lineRule="auto"/>
              <w:ind w:firstLine="200"/>
              <w:jc w:val="center"/>
              <w:rPr>
                <w:rFonts w:hAnsi="宋体"/>
                <w:color w:val="000000" w:themeColor="text1"/>
                <w:sz w:val="24"/>
                <w:szCs w:val="24"/>
                <w14:textFill>
                  <w14:solidFill>
                    <w14:schemeClr w14:val="tx1"/>
                  </w14:solidFill>
                </w14:textFill>
              </w:rPr>
            </w:pPr>
          </w:p>
        </w:tc>
      </w:tr>
      <w:tr w14:paraId="2EFD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E0728A2">
            <w:pPr>
              <w:pStyle w:val="317"/>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6F2C3115">
            <w:pPr>
              <w:pStyle w:val="317"/>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42FA3CE9">
            <w:pPr>
              <w:pStyle w:val="317"/>
              <w:spacing w:line="360" w:lineRule="auto"/>
              <w:ind w:firstLine="200"/>
              <w:jc w:val="center"/>
              <w:rPr>
                <w:rFonts w:hAnsi="宋体"/>
                <w:color w:val="000000" w:themeColor="text1"/>
                <w:sz w:val="24"/>
                <w:szCs w:val="24"/>
                <w14:textFill>
                  <w14:solidFill>
                    <w14:schemeClr w14:val="tx1"/>
                  </w14:solidFill>
                </w14:textFill>
              </w:rPr>
            </w:pPr>
          </w:p>
        </w:tc>
      </w:tr>
      <w:tr w14:paraId="505F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34D4EE1">
            <w:pPr>
              <w:pStyle w:val="317"/>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31C27966">
            <w:pPr>
              <w:pStyle w:val="317"/>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197C5139">
            <w:pPr>
              <w:pStyle w:val="317"/>
              <w:spacing w:line="360" w:lineRule="auto"/>
              <w:ind w:firstLine="200"/>
              <w:jc w:val="center"/>
              <w:rPr>
                <w:rFonts w:hAnsi="宋体"/>
                <w:color w:val="000000" w:themeColor="text1"/>
                <w:sz w:val="24"/>
                <w:szCs w:val="24"/>
                <w14:textFill>
                  <w14:solidFill>
                    <w14:schemeClr w14:val="tx1"/>
                  </w14:solidFill>
                </w14:textFill>
              </w:rPr>
            </w:pPr>
          </w:p>
        </w:tc>
      </w:tr>
      <w:tr w14:paraId="75C1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DF6CEEE">
            <w:pPr>
              <w:pStyle w:val="317"/>
              <w:spacing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总价</w:t>
            </w:r>
          </w:p>
        </w:tc>
        <w:tc>
          <w:tcPr>
            <w:tcW w:w="2552" w:type="dxa"/>
            <w:vAlign w:val="center"/>
          </w:tcPr>
          <w:p w14:paraId="6D5BC049">
            <w:pPr>
              <w:pStyle w:val="317"/>
              <w:spacing w:line="360" w:lineRule="auto"/>
              <w:ind w:firstLine="200"/>
              <w:jc w:val="center"/>
              <w:rPr>
                <w:rFonts w:hAnsi="宋体"/>
                <w:color w:val="000000" w:themeColor="text1"/>
                <w:sz w:val="24"/>
                <w:szCs w:val="24"/>
                <w14:textFill>
                  <w14:solidFill>
                    <w14:schemeClr w14:val="tx1"/>
                  </w14:solidFill>
                </w14:textFill>
              </w:rPr>
            </w:pPr>
          </w:p>
        </w:tc>
      </w:tr>
    </w:tbl>
    <w:p w14:paraId="240A9638">
      <w:pPr>
        <w:spacing w:line="360" w:lineRule="auto"/>
        <w:ind w:firstLine="480" w:firstLineChars="200"/>
        <w:rPr>
          <w:rFonts w:ascii="宋体" w:hAnsi="宋体"/>
          <w:color w:val="000000" w:themeColor="text1"/>
          <w:sz w:val="24"/>
          <w14:textFill>
            <w14:solidFill>
              <w14:schemeClr w14:val="tx1"/>
            </w14:solidFill>
          </w14:textFill>
        </w:rPr>
      </w:pPr>
      <w:bookmarkStart w:id="417" w:name="_Toc30158"/>
      <w:bookmarkStart w:id="418" w:name="_Toc30506"/>
      <w:bookmarkStart w:id="419" w:name="_Toc26916"/>
      <w:bookmarkStart w:id="420" w:name="_Toc3654"/>
      <w:bookmarkStart w:id="421" w:name="_Toc14993"/>
      <w:r>
        <w:rPr>
          <w:rFonts w:hint="eastAsia" w:ascii="宋体" w:hAnsi="宋体"/>
          <w:bCs/>
          <w:color w:val="000000" w:themeColor="text1"/>
          <w:sz w:val="24"/>
          <w14:textFill>
            <w14:solidFill>
              <w14:schemeClr w14:val="tx1"/>
            </w14:solidFill>
          </w14:textFill>
        </w:rPr>
        <w:t>1.3.2单价合同，本合同单价（含税）标准为：</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服务工作量的计量方式为：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单价合同，在合同履行期间内，根据实际完成的工作量据实结算，但结算总价上限不得超过预算金额或者双方确定的金额￥</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p>
    <w:p w14:paraId="2AA10B68">
      <w:pPr>
        <w:pStyle w:val="82"/>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1.3.3其他计价方式：                   。</w:t>
      </w:r>
    </w:p>
    <w:bookmarkEnd w:id="417"/>
    <w:bookmarkEnd w:id="418"/>
    <w:bookmarkEnd w:id="419"/>
    <w:bookmarkEnd w:id="420"/>
    <w:bookmarkEnd w:id="421"/>
    <w:p w14:paraId="6840AB58">
      <w:pPr>
        <w:pStyle w:val="957"/>
        <w:spacing w:before="0" w:beforeAutospacing="0" w:after="0" w:afterAutospacing="0" w:line="360" w:lineRule="auto"/>
        <w:ind w:firstLine="480"/>
        <w:rPr>
          <w:b/>
          <w:color w:val="000000" w:themeColor="text1"/>
          <w14:textFill>
            <w14:solidFill>
              <w14:schemeClr w14:val="tx1"/>
            </w14:solidFill>
          </w14:textFill>
        </w:rPr>
      </w:pPr>
      <w:bookmarkStart w:id="422" w:name="_Toc10340"/>
      <w:bookmarkStart w:id="423" w:name="_Toc1814"/>
      <w:bookmarkStart w:id="424" w:name="_Toc22618"/>
      <w:bookmarkStart w:id="425" w:name="_Toc4760"/>
      <w:bookmarkStart w:id="426" w:name="_Toc11108"/>
      <w:bookmarkStart w:id="427" w:name="_Toc8772"/>
      <w:bookmarkStart w:id="428" w:name="_Toc31421"/>
      <w:bookmarkStart w:id="429" w:name="_Toc3625"/>
      <w:r>
        <w:rPr>
          <w:rFonts w:hint="eastAsia"/>
          <w:b/>
          <w:color w:val="000000" w:themeColor="text1"/>
          <w14:textFill>
            <w14:solidFill>
              <w14:schemeClr w14:val="tx1"/>
            </w14:solidFill>
          </w14:textFill>
        </w:rPr>
        <w:t>1.4履约保证金</w:t>
      </w:r>
    </w:p>
    <w:p w14:paraId="6F155A7E">
      <w:pPr>
        <w:pStyle w:val="957"/>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乙方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否）需要支付履约保证金。若需要支付履约保证金的，则：</w:t>
      </w:r>
    </w:p>
    <w:p w14:paraId="6F5B049F">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1.4.1履约保证金的比例为合同金额的</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4BF651AA">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1.4.2履约保证金支付方式详见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165C75FC">
      <w:pPr>
        <w:pStyle w:val="82"/>
        <w:rPr>
          <w:color w:val="000000" w:themeColor="text1"/>
          <w14:textFill>
            <w14:solidFill>
              <w14:schemeClr w14:val="tx1"/>
            </w14:solidFill>
          </w14:textFill>
        </w:rPr>
      </w:pPr>
      <w:r>
        <w:rPr>
          <w:rFonts w:hint="eastAsia"/>
          <w:color w:val="000000" w:themeColor="text1"/>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4F1B66D">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1.4.4甲方在项目验收结束后及时退还履约保证金。甲方在项目通过验收之日起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u w:val="single"/>
          <w14:textFill>
            <w14:solidFill>
              <w14:schemeClr w14:val="tx1"/>
            </w14:solidFill>
          </w14:textFill>
        </w:rPr>
        <w:t xml:space="preserve">  0.05（可根据情况修改）  </w:t>
      </w:r>
      <w:r>
        <w:rPr>
          <w:rFonts w:hint="eastAsia" w:ascii="宋体" w:hAnsi="宋体" w:cs="宋体"/>
          <w:color w:val="000000" w:themeColor="text1"/>
          <w:kern w:val="0"/>
          <w:sz w:val="24"/>
          <w14:textFill>
            <w14:solidFill>
              <w14:schemeClr w14:val="tx1"/>
            </w14:solidFill>
          </w14:textFill>
        </w:rPr>
        <w:t>%计算，最高限额为本合同履约保证金的</w:t>
      </w:r>
      <w:r>
        <w:rPr>
          <w:rFonts w:hint="eastAsia" w:ascii="宋体" w:hAnsi="宋体" w:cs="宋体"/>
          <w:color w:val="000000" w:themeColor="text1"/>
          <w:kern w:val="0"/>
          <w:sz w:val="24"/>
          <w:u w:val="single"/>
          <w14:textFill>
            <w14:solidFill>
              <w14:schemeClr w14:val="tx1"/>
            </w14:solidFill>
          </w14:textFill>
        </w:rPr>
        <w:t xml:space="preserve">  20  </w:t>
      </w:r>
      <w:r>
        <w:rPr>
          <w:rFonts w:hint="eastAsia" w:ascii="宋体" w:hAnsi="宋体" w:cs="宋体"/>
          <w:color w:val="000000" w:themeColor="text1"/>
          <w:kern w:val="0"/>
          <w:sz w:val="24"/>
          <w14:textFill>
            <w14:solidFill>
              <w14:schemeClr w14:val="tx1"/>
            </w14:solidFill>
          </w14:textFill>
        </w:rPr>
        <w:t xml:space="preserve"> %。</w:t>
      </w:r>
    </w:p>
    <w:p w14:paraId="07274225">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1.5</w:t>
      </w:r>
      <w:bookmarkEnd w:id="422"/>
      <w:bookmarkEnd w:id="423"/>
      <w:bookmarkEnd w:id="424"/>
      <w:r>
        <w:rPr>
          <w:rFonts w:hint="eastAsia" w:ascii="宋体" w:hAnsi="宋体" w:cs="宋体"/>
          <w:b/>
          <w:color w:val="000000" w:themeColor="text1"/>
          <w:sz w:val="24"/>
          <w14:textFill>
            <w14:solidFill>
              <w14:schemeClr w14:val="tx1"/>
            </w14:solidFill>
          </w14:textFill>
        </w:rPr>
        <w:t>预付款</w:t>
      </w:r>
    </w:p>
    <w:p w14:paraId="10117466">
      <w:pPr>
        <w:pStyle w:val="957"/>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甲方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否）需要支付预付款。若需要支付预付款的，则：</w:t>
      </w:r>
    </w:p>
    <w:p w14:paraId="117EA4CD">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1.5.1预付款比例、支付方式、时间详见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3673E16F">
      <w:pPr>
        <w:pStyle w:val="957"/>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1.5.2预付款的扣回方式详见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4ECCA015">
      <w:pPr>
        <w:pStyle w:val="957"/>
        <w:spacing w:before="0" w:beforeAutospacing="0" w:after="0" w:afterAutospacing="0" w:line="360" w:lineRule="auto"/>
        <w:ind w:firstLine="48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1.5.3预付款的担保措施详见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5303A095">
      <w:pPr>
        <w:pStyle w:val="957"/>
        <w:spacing w:before="0" w:beforeAutospacing="0" w:after="0" w:afterAutospacing="0" w:line="360" w:lineRule="auto"/>
        <w:ind w:firstLine="48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1.6资金支付</w:t>
      </w:r>
    </w:p>
    <w:p w14:paraId="5FE8142E">
      <w:pPr>
        <w:pStyle w:val="957"/>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6A7915C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1.6.2资金支付的方式、时间和条件详见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14768DA5">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7</w:t>
      </w:r>
      <w:r>
        <w:rPr>
          <w:rFonts w:ascii="宋体" w:hAnsi="宋体"/>
          <w:b/>
          <w:color w:val="000000" w:themeColor="text1"/>
          <w:sz w:val="24"/>
          <w14:textFill>
            <w14:solidFill>
              <w14:schemeClr w14:val="tx1"/>
            </w14:solidFill>
          </w14:textFill>
        </w:rPr>
        <w:t xml:space="preserve"> 履行期限</w:t>
      </w:r>
      <w:r>
        <w:rPr>
          <w:rFonts w:hint="eastAsia" w:ascii="宋体" w:hAnsi="宋体"/>
          <w:b/>
          <w:color w:val="000000" w:themeColor="text1"/>
          <w:sz w:val="24"/>
          <w14:textFill>
            <w14:solidFill>
              <w14:schemeClr w14:val="tx1"/>
            </w14:solidFill>
          </w14:textFill>
        </w:rPr>
        <w:t>、地点和方式</w:t>
      </w:r>
      <w:bookmarkEnd w:id="425"/>
      <w:bookmarkEnd w:id="426"/>
      <w:bookmarkEnd w:id="427"/>
      <w:bookmarkEnd w:id="428"/>
      <w:bookmarkEnd w:id="429"/>
    </w:p>
    <w:p w14:paraId="7B325807">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服务交付（实施）的时间（期限）</w:t>
      </w:r>
      <w:r>
        <w:rPr>
          <w:rFonts w:ascii="宋体" w:hAnsi="宋体"/>
          <w:color w:val="000000" w:themeColor="text1"/>
          <w:sz w:val="24"/>
          <w14:textFill>
            <w14:solidFill>
              <w14:schemeClr w14:val="tx1"/>
            </w14:solidFill>
          </w14:textFill>
        </w:rPr>
        <w:t>：</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296AEFB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服</w:t>
      </w:r>
      <w:r>
        <w:rPr>
          <w:rFonts w:hint="eastAsia" w:ascii="宋体" w:hAnsi="宋体" w:cs="宋体"/>
          <w:color w:val="000000" w:themeColor="text1"/>
          <w:sz w:val="24"/>
          <w14:textFill>
            <w14:solidFill>
              <w14:schemeClr w14:val="tx1"/>
            </w14:solidFill>
          </w14:textFill>
        </w:rPr>
        <w:t>务交付（实施）的地点（地域范围）：</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3AC814A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服务交付（实施）的方式：</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2841B2F6">
      <w:pPr>
        <w:spacing w:line="360" w:lineRule="auto"/>
        <w:ind w:firstLine="480" w:firstLineChars="200"/>
        <w:rPr>
          <w:rFonts w:ascii="宋体" w:hAnsi="宋体"/>
          <w:bCs/>
          <w:color w:val="000000" w:themeColor="text1"/>
          <w:sz w:val="24"/>
          <w14:textFill>
            <w14:solidFill>
              <w14:schemeClr w14:val="tx1"/>
            </w14:solidFill>
          </w14:textFill>
        </w:rPr>
      </w:pPr>
      <w:bookmarkStart w:id="430" w:name="_Toc5698"/>
      <w:bookmarkStart w:id="431" w:name="_Toc2375"/>
      <w:bookmarkStart w:id="432" w:name="_Toc3079"/>
      <w:bookmarkStart w:id="433" w:name="_Toc24662"/>
      <w:bookmarkStart w:id="434" w:name="_Toc8586"/>
      <w:r>
        <w:rPr>
          <w:rFonts w:hint="eastAsia" w:ascii="宋体" w:hAnsi="宋体"/>
          <w:bCs/>
          <w:color w:val="000000" w:themeColor="text1"/>
          <w:sz w:val="24"/>
          <w14:textFill>
            <w14:solidFill>
              <w14:schemeClr w14:val="tx1"/>
            </w14:solidFill>
          </w14:textFill>
        </w:rPr>
        <w:t>1.7.4若服务</w:t>
      </w:r>
      <w:r>
        <w:rPr>
          <w:rFonts w:hint="eastAsia"/>
          <w:bCs/>
          <w:color w:val="000000" w:themeColor="text1"/>
          <w:sz w:val="24"/>
          <w14:textFill>
            <w14:solidFill>
              <w14:schemeClr w14:val="tx1"/>
            </w14:solidFill>
          </w14:textFill>
        </w:rPr>
        <w:t>涉及货物的，则货物的：</w:t>
      </w:r>
    </w:p>
    <w:p w14:paraId="18678B6C">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 交付期限：详见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1D91D30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 交付地点：</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6D3698A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 交付方式：</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2DE1D8B0">
      <w:pPr>
        <w:spacing w:line="360" w:lineRule="auto"/>
        <w:ind w:firstLine="482" w:firstLineChars="200"/>
        <w:rPr>
          <w:rFonts w:ascii="宋体" w:hAnsi="宋体"/>
          <w:color w:val="000000" w:themeColor="text1"/>
          <w:sz w:val="24"/>
          <w:u w:val="single"/>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8违约责任</w:t>
      </w:r>
      <w:bookmarkEnd w:id="430"/>
      <w:bookmarkEnd w:id="431"/>
      <w:bookmarkEnd w:id="432"/>
      <w:bookmarkEnd w:id="433"/>
      <w:bookmarkEnd w:id="434"/>
    </w:p>
    <w:p w14:paraId="1379A00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.1 除不可抗力外，如果乙方没有按照本合同约定的期限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地点和方式</w:t>
      </w:r>
      <w:r>
        <w:rPr>
          <w:rFonts w:hint="eastAsia" w:ascii="宋体" w:hAnsi="宋体"/>
          <w:color w:val="000000" w:themeColor="text1"/>
          <w:sz w:val="24"/>
          <w14:textFill>
            <w14:solidFill>
              <w14:schemeClr w14:val="tx1"/>
            </w14:solidFill>
          </w14:textFill>
        </w:rPr>
        <w:t>交付服务成果或者实施服务</w:t>
      </w:r>
      <w:r>
        <w:rPr>
          <w:rFonts w:ascii="宋体" w:hAnsi="宋体"/>
          <w:color w:val="000000" w:themeColor="text1"/>
          <w:sz w:val="24"/>
          <w14:textFill>
            <w14:solidFill>
              <w14:schemeClr w14:val="tx1"/>
            </w14:solidFill>
          </w14:textFill>
        </w:rPr>
        <w:t>，那么甲方可要求乙方支付违约金</w:t>
      </w:r>
      <w:r>
        <w:rPr>
          <w:rFonts w:hint="eastAsia" w:ascii="宋体" w:hAnsi="宋体"/>
          <w:color w:val="000000" w:themeColor="text1"/>
          <w:sz w:val="24"/>
          <w14:textFill>
            <w14:solidFill>
              <w14:schemeClr w14:val="tx1"/>
            </w14:solidFill>
          </w14:textFill>
        </w:rPr>
        <w:t>，迟延履行</w:t>
      </w:r>
      <w:r>
        <w:rPr>
          <w:rFonts w:ascii="宋体" w:hAnsi="宋体"/>
          <w:color w:val="000000" w:themeColor="text1"/>
          <w:sz w:val="24"/>
          <w14:textFill>
            <w14:solidFill>
              <w14:schemeClr w14:val="tx1"/>
            </w14:solidFill>
          </w14:textFill>
        </w:rPr>
        <w:t>违约金按每迟延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一日的应提供而未</w:t>
      </w:r>
      <w:r>
        <w:rPr>
          <w:rFonts w:hint="eastAsia" w:ascii="宋体" w:hAnsi="宋体"/>
          <w:color w:val="000000" w:themeColor="text1"/>
          <w:sz w:val="24"/>
          <w14:textFill>
            <w14:solidFill>
              <w14:schemeClr w14:val="tx1"/>
            </w14:solidFill>
          </w14:textFill>
        </w:rPr>
        <w:t>提供</w:t>
      </w:r>
      <w:r>
        <w:rPr>
          <w:rFonts w:ascii="宋体" w:hAnsi="宋体"/>
          <w:color w:val="000000" w:themeColor="text1"/>
          <w:sz w:val="24"/>
          <w14:textFill>
            <w14:solidFill>
              <w14:schemeClr w14:val="tx1"/>
            </w14:solidFill>
          </w14:textFill>
        </w:rPr>
        <w:t>服务价格的</w:t>
      </w:r>
      <w:r>
        <w:rPr>
          <w:rFonts w:hint="eastAsia" w:ascii="宋体" w:hAnsi="宋体"/>
          <w:color w:val="000000" w:themeColor="text1"/>
          <w:sz w:val="24"/>
          <w:u w:val="single"/>
          <w14:textFill>
            <w14:solidFill>
              <w14:schemeClr w14:val="tx1"/>
            </w14:solidFill>
          </w14:textFill>
        </w:rPr>
        <w:t>0.05</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%计算</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最高限额为</w:t>
      </w:r>
      <w:r>
        <w:rPr>
          <w:rFonts w:hint="eastAsia" w:ascii="宋体" w:hAnsi="宋体"/>
          <w:color w:val="000000" w:themeColor="text1"/>
          <w:sz w:val="24"/>
          <w14:textFill>
            <w14:solidFill>
              <w14:schemeClr w14:val="tx1"/>
            </w14:solidFill>
          </w14:textFill>
        </w:rPr>
        <w:t>本</w:t>
      </w:r>
      <w:r>
        <w:rPr>
          <w:rFonts w:ascii="宋体" w:hAnsi="宋体"/>
          <w:color w:val="000000" w:themeColor="text1"/>
          <w:sz w:val="24"/>
          <w14:textFill>
            <w14:solidFill>
              <w14:schemeClr w14:val="tx1"/>
            </w14:solidFill>
          </w14:textFill>
        </w:rPr>
        <w:t>合同总价的</w:t>
      </w:r>
      <w:r>
        <w:rPr>
          <w:rFonts w:ascii="宋体" w:hAnsi="宋体"/>
          <w:color w:val="000000" w:themeColor="text1"/>
          <w:sz w:val="24"/>
          <w:u w:val="single"/>
          <w14:textFill>
            <w14:solidFill>
              <w14:schemeClr w14:val="tx1"/>
            </w14:solidFill>
          </w14:textFill>
        </w:rPr>
        <w:t xml:space="preserve">  20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的违约金计算数额达到前述最高限额之日起</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甲方有权在要求乙方支付违约金的同时</w:t>
      </w:r>
      <w:r>
        <w:rPr>
          <w:rFonts w:hint="eastAsia" w:ascii="宋体" w:hAnsi="宋体"/>
          <w:color w:val="000000" w:themeColor="text1"/>
          <w:sz w:val="24"/>
          <w14:textFill>
            <w14:solidFill>
              <w14:schemeClr w14:val="tx1"/>
            </w14:solidFill>
          </w14:textFill>
        </w:rPr>
        <w:t>，书面通知乙方</w:t>
      </w:r>
      <w:r>
        <w:rPr>
          <w:rFonts w:ascii="宋体" w:hAnsi="宋体"/>
          <w:color w:val="000000" w:themeColor="text1"/>
          <w:sz w:val="24"/>
          <w14:textFill>
            <w14:solidFill>
              <w14:schemeClr w14:val="tx1"/>
            </w14:solidFill>
          </w14:textFill>
        </w:rPr>
        <w:t>解除本合同</w:t>
      </w:r>
      <w:r>
        <w:rPr>
          <w:rFonts w:hint="eastAsia" w:ascii="宋体" w:hAnsi="宋体"/>
          <w:color w:val="000000" w:themeColor="text1"/>
          <w:sz w:val="24"/>
          <w14:textFill>
            <w14:solidFill>
              <w14:schemeClr w14:val="tx1"/>
            </w14:solidFill>
          </w14:textFill>
        </w:rPr>
        <w:t>；</w:t>
      </w:r>
    </w:p>
    <w:p w14:paraId="5DD31366">
      <w:pPr>
        <w:pStyle w:val="82"/>
        <w:rPr>
          <w:b/>
          <w:bCs/>
          <w:color w:val="000000" w:themeColor="text1"/>
          <w14:textFill>
            <w14:solidFill>
              <w14:schemeClr w14:val="tx1"/>
            </w14:solidFill>
          </w14:textFill>
        </w:rPr>
      </w:pPr>
      <w:r>
        <w:rPr>
          <w:rFonts w:hint="eastAsia"/>
          <w:color w:val="000000" w:themeColor="text1"/>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14:textFill>
            <w14:solidFill>
              <w14:schemeClr w14:val="tx1"/>
            </w14:solidFill>
          </w14:textFill>
        </w:rPr>
        <w:t xml:space="preserve">  0.0</w:t>
      </w:r>
      <w:r>
        <w:rPr>
          <w:rFonts w:hint="eastAsia"/>
          <w:color w:val="000000" w:themeColor="text1"/>
          <w14:textFill>
            <w14:solidFill>
              <w14:schemeClr w14:val="tx1"/>
            </w14:solidFill>
          </w14:textFill>
        </w:rPr>
        <w:t xml:space="preserve">5（可根据情况修改）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%计算，最高限额为本合同总价的</w:t>
      </w:r>
      <w:r>
        <w:rPr>
          <w:rFonts w:hint="eastAsia"/>
          <w:color w:val="000000" w:themeColor="text1"/>
          <w:u w:val="single"/>
          <w14:textFill>
            <w14:solidFill>
              <w14:schemeClr w14:val="tx1"/>
            </w14:solidFill>
          </w14:textFill>
        </w:rPr>
        <w:t xml:space="preserve">  20  </w:t>
      </w:r>
      <w:r>
        <w:rPr>
          <w:rFonts w:hint="eastAsia"/>
          <w:color w:val="000000" w:themeColor="text1"/>
          <w14:textFill>
            <w14:solidFill>
              <w14:schemeClr w14:val="tx1"/>
            </w14:solidFill>
          </w14:textFill>
        </w:rPr>
        <w:t>%；迟延交付货物的违约金计算数额达到前述最高限额之日起，甲方有权在要求乙方支付违约金的同时，书面通知乙方解除本合同；</w:t>
      </w:r>
    </w:p>
    <w:p w14:paraId="6C6DD8A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u w:val="single"/>
          <w14:textFill>
            <w14:solidFill>
              <w14:schemeClr w14:val="tx1"/>
            </w14:solidFill>
          </w14:textFill>
        </w:rPr>
        <w:t xml:space="preserve">   0.05   </w:t>
      </w:r>
      <w:r>
        <w:rPr>
          <w:rFonts w:hint="eastAsia" w:ascii="宋体" w:hAnsi="宋体" w:cs="宋体"/>
          <w:color w:val="000000" w:themeColor="text1"/>
          <w:sz w:val="24"/>
          <w14:textFill>
            <w14:solidFill>
              <w14:schemeClr w14:val="tx1"/>
            </w14:solidFill>
          </w14:textFill>
        </w:rPr>
        <w:t>%计算，最高限额为本合同总价的</w:t>
      </w:r>
      <w:r>
        <w:rPr>
          <w:rFonts w:hint="eastAsia" w:ascii="宋体" w:hAnsi="宋体" w:cs="宋体"/>
          <w:color w:val="000000" w:themeColor="text1"/>
          <w:sz w:val="24"/>
          <w:u w:val="single"/>
          <w14:textFill>
            <w14:solidFill>
              <w14:schemeClr w14:val="tx1"/>
            </w14:solidFill>
          </w14:textFill>
        </w:rPr>
        <w:t xml:space="preserve">   20</w:t>
      </w:r>
      <w:r>
        <w:rPr>
          <w:rFonts w:hint="eastAsia" w:ascii="宋体" w:hAnsi="宋体" w:cs="宋体"/>
          <w:color w:val="000000" w:themeColor="text1"/>
          <w:kern w:val="0"/>
          <w:sz w:val="24"/>
          <w:u w:val="single"/>
          <w14:textFill>
            <w14:solidFill>
              <w14:schemeClr w14:val="tx1"/>
            </w14:solidFill>
          </w14:textFill>
        </w:rPr>
        <w:t>（可根据情况修改）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%；迟延付款的违约金计算数额达到前述最高限额之日起，乙方有权在要求甲方支付违约金的同时，书面通知甲方解除本合同</w:t>
      </w:r>
      <w:r>
        <w:rPr>
          <w:rFonts w:hint="eastAsia" w:ascii="宋体" w:hAnsi="宋体"/>
          <w:color w:val="000000" w:themeColor="text1"/>
          <w:sz w:val="24"/>
          <w14:textFill>
            <w14:solidFill>
              <w14:schemeClr w14:val="tx1"/>
            </w14:solidFill>
          </w14:textFill>
        </w:rPr>
        <w:t>；</w:t>
      </w:r>
    </w:p>
    <w:p w14:paraId="44057822">
      <w:pPr>
        <w:spacing w:line="360" w:lineRule="auto"/>
        <w:ind w:firstLine="480" w:firstLineChars="200"/>
        <w:rPr>
          <w:rFonts w:ascii="宋体" w:hAnsi="宋体" w:cs="宋体"/>
          <w:color w:val="000000" w:themeColor="text1"/>
          <w:sz w:val="24"/>
          <w14:textFill>
            <w14:solidFill>
              <w14:schemeClr w14:val="tx1"/>
            </w14:solidFill>
          </w14:textFill>
        </w:rPr>
      </w:pPr>
      <w:bookmarkStart w:id="435" w:name="_Toc18683"/>
      <w:bookmarkStart w:id="436" w:name="_Toc30329"/>
      <w:bookmarkStart w:id="437" w:name="_Toc9497"/>
      <w:bookmarkStart w:id="438" w:name="_Toc32454"/>
      <w:bookmarkStart w:id="439" w:name="_Toc26807"/>
      <w:r>
        <w:rPr>
          <w:rFonts w:hint="eastAsia" w:ascii="宋体" w:hAnsi="宋体" w:cs="宋体"/>
          <w:color w:val="000000" w:themeColor="text1"/>
          <w:sz w:val="24"/>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128193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F15672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1.8.6如果出现政府采购监督管理部门在处理投诉事项期间，书面通知甲方暂停采购活动的情形，或者询问或质疑事项可能影响中标或者成交结果的，导致甲方中止履行合同的情形，均不视为甲方违约。</w:t>
      </w:r>
    </w:p>
    <w:p w14:paraId="6CC5FCA5">
      <w:pPr>
        <w:spacing w:line="360" w:lineRule="auto"/>
        <w:ind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1.8.7违约责任</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另有约定的，从其约定。</w:t>
      </w:r>
    </w:p>
    <w:bookmarkEnd w:id="435"/>
    <w:bookmarkEnd w:id="436"/>
    <w:bookmarkEnd w:id="437"/>
    <w:bookmarkEnd w:id="438"/>
    <w:bookmarkEnd w:id="439"/>
    <w:p w14:paraId="49E17E3E">
      <w:pPr>
        <w:spacing w:line="360" w:lineRule="auto"/>
        <w:ind w:firstLine="482" w:firstLineChars="200"/>
        <w:rPr>
          <w:rFonts w:ascii="宋体" w:hAnsi="宋体" w:cs="宋体"/>
          <w:b/>
          <w:color w:val="000000" w:themeColor="text1"/>
          <w:sz w:val="24"/>
          <w14:textFill>
            <w14:solidFill>
              <w14:schemeClr w14:val="tx1"/>
            </w14:solidFill>
          </w14:textFill>
        </w:rPr>
      </w:pPr>
      <w:bookmarkStart w:id="440" w:name="_Toc28375"/>
      <w:bookmarkStart w:id="441" w:name="_Toc16021"/>
      <w:bookmarkStart w:id="442" w:name="_Toc15583"/>
      <w:r>
        <w:rPr>
          <w:rFonts w:hint="eastAsia" w:ascii="宋体" w:hAnsi="宋体" w:cs="宋体"/>
          <w:b/>
          <w:color w:val="000000" w:themeColor="text1"/>
          <w:sz w:val="24"/>
          <w14:textFill>
            <w14:solidFill>
              <w14:schemeClr w14:val="tx1"/>
            </w14:solidFill>
          </w14:textFill>
        </w:rPr>
        <w:t>1.9合同争议的解决</w:t>
      </w:r>
      <w:bookmarkEnd w:id="440"/>
      <w:bookmarkEnd w:id="441"/>
      <w:bookmarkEnd w:id="442"/>
    </w:p>
    <w:p w14:paraId="04B45F5F">
      <w:pPr>
        <w:spacing w:line="360" w:lineRule="auto"/>
        <w:ind w:left="-61" w:leftChars="-29" w:right="-420" w:rightChars="-20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本合同履行过程中发生的任何争议，双方当事人均可通过和解或者调解解决；不愿和解、调解或者和解、调解不成的，可以选择以下第</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条款规定的方式解决：</w:t>
      </w:r>
    </w:p>
    <w:p w14:paraId="63BA97ED">
      <w:pPr>
        <w:spacing w:line="360" w:lineRule="auto"/>
        <w:ind w:left="-420" w:leftChars="-200" w:right="-420" w:rightChars="-200"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 将争议提交</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仲裁委员会依申请仲裁时其现行有效的仲裁规则裁决；</w:t>
      </w:r>
    </w:p>
    <w:p w14:paraId="4ED91BBE">
      <w:pPr>
        <w:spacing w:line="360" w:lineRule="auto"/>
        <w:ind w:left="-420" w:leftChars="-200" w:right="-420" w:rightChars="-200"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 向</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人民法院起诉。</w:t>
      </w:r>
    </w:p>
    <w:p w14:paraId="522B4DB8">
      <w:pPr>
        <w:spacing w:line="360" w:lineRule="auto"/>
        <w:ind w:firstLine="482" w:firstLineChars="200"/>
        <w:rPr>
          <w:rFonts w:ascii="宋体" w:hAnsi="宋体" w:cs="宋体"/>
          <w:b/>
          <w:color w:val="000000" w:themeColor="text1"/>
          <w:sz w:val="24"/>
          <w14:textFill>
            <w14:solidFill>
              <w14:schemeClr w14:val="tx1"/>
            </w14:solidFill>
          </w14:textFill>
        </w:rPr>
      </w:pPr>
      <w:bookmarkStart w:id="443" w:name="_Toc11173"/>
      <w:bookmarkStart w:id="444" w:name="_Toc15322"/>
      <w:bookmarkStart w:id="445" w:name="_Toc7245"/>
      <w:r>
        <w:rPr>
          <w:rFonts w:hint="eastAsia" w:ascii="宋体" w:hAnsi="宋体" w:cs="宋体"/>
          <w:b/>
          <w:color w:val="000000" w:themeColor="text1"/>
          <w:sz w:val="24"/>
          <w14:textFill>
            <w14:solidFill>
              <w14:schemeClr w14:val="tx1"/>
            </w14:solidFill>
          </w14:textFill>
        </w:rPr>
        <w:t>2.0 合同生效</w:t>
      </w:r>
      <w:bookmarkEnd w:id="443"/>
      <w:bookmarkEnd w:id="444"/>
      <w:bookmarkEnd w:id="445"/>
    </w:p>
    <w:p w14:paraId="4B5DC6FB">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本合同自双方当事人盖章签字时生效。</w:t>
      </w:r>
    </w:p>
    <w:p w14:paraId="1B9C1021">
      <w:pPr>
        <w:autoSpaceDE w:val="0"/>
        <w:autoSpaceDN w:val="0"/>
        <w:spacing w:line="560" w:lineRule="exact"/>
        <w:rPr>
          <w:rFonts w:ascii="宋体" w:hAnsi="宋体"/>
          <w:color w:val="000000" w:themeColor="text1"/>
          <w:sz w:val="24"/>
          <w:lang w:val="zh-CN"/>
          <w14:textFill>
            <w14:solidFill>
              <w14:schemeClr w14:val="tx1"/>
            </w14:solidFill>
          </w14:textFill>
        </w:rPr>
      </w:pPr>
    </w:p>
    <w:tbl>
      <w:tblPr>
        <w:tblStyle w:val="6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2C5016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54E3C087">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甲方（采购人</w:t>
            </w:r>
            <w:r>
              <w:rPr>
                <w:rFonts w:hint="eastAsia" w:ascii="宋体" w:hAnsi="宋体"/>
                <w:color w:val="000000" w:themeColor="text1"/>
                <w:sz w:val="24"/>
                <w14:textFill>
                  <w14:solidFill>
                    <w14:schemeClr w14:val="tx1"/>
                  </w14:solidFill>
                </w14:textFill>
              </w:rPr>
              <w:t>、受采购人委托签订合同的单位或</w:t>
            </w:r>
            <w:r>
              <w:rPr>
                <w:rFonts w:hint="eastAsia" w:ascii="Calibri" w:hAnsi="Calibri"/>
                <w:color w:val="000000" w:themeColor="text1"/>
                <w:sz w:val="24"/>
                <w14:textFill>
                  <w14:solidFill>
                    <w14:schemeClr w14:val="tx1"/>
                  </w14:solidFill>
                </w14:textFill>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212F3CEE">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乙方（供应商）</w:t>
            </w:r>
          </w:p>
        </w:tc>
      </w:tr>
      <w:tr w14:paraId="44EB49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3471F7B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F92346E">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C2832EE">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272129EC">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5D475D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015FFC6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5AA62F13">
            <w:pPr>
              <w:snapToGrid w:val="0"/>
              <w:spacing w:line="360" w:lineRule="auto"/>
              <w:ind w:firstLine="115" w:firstLineChars="48"/>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31C52EDD">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705E47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7A60D303">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13C12B17">
            <w:pPr>
              <w:snapToGrid w:val="0"/>
              <w:spacing w:line="360" w:lineRule="auto"/>
              <w:jc w:val="center"/>
              <w:rPr>
                <w:rFonts w:ascii="Calibri" w:hAnsi="Calibri"/>
                <w:color w:val="000000" w:themeColor="text1"/>
                <w:sz w:val="24"/>
                <w14:textFill>
                  <w14:solidFill>
                    <w14:schemeClr w14:val="tx1"/>
                  </w14:solidFill>
                </w14:textFill>
              </w:rPr>
            </w:pPr>
          </w:p>
        </w:tc>
      </w:tr>
      <w:tr w14:paraId="155164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53BD59C7">
            <w:pPr>
              <w:widowControl/>
              <w:adjustRightInd/>
              <w:spacing w:line="360" w:lineRule="auto"/>
              <w:jc w:val="left"/>
              <w:rPr>
                <w:rFonts w:ascii="Calibri" w:hAnsi="Calibri"/>
                <w:color w:val="000000" w:themeColor="text1"/>
                <w:sz w:val="24"/>
                <w14:textFill>
                  <w14:solidFill>
                    <w14:schemeClr w14:val="tx1"/>
                  </w14:solidFill>
                </w14:textFill>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31499E20">
            <w:pPr>
              <w:widowControl/>
              <w:adjustRightInd/>
              <w:spacing w:line="360" w:lineRule="auto"/>
              <w:jc w:val="left"/>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1802D3B">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4409BDFD">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BC499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40418A9">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05D1C534">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3E0C23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467C01F3">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5D6F30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6F7FBB8">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3C9F7D8F">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0B40F80">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7798A192">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05612E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00114F0">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3412B86">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6733A0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5DEE44D2">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C5342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E8958C6">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B86DB73">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99CE739">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7657C99F">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31603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41801B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536B9DD">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D876986">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0DA42C56">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22F82A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92FAF57">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A0E72BF">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344D00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713FA975">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24491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1A4BE9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3B83A2E">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77B12B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0ECE874F">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34593D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C0FEC91">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6397EA56">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12244BC">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349A8BAA">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F86AF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73175E0">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0B2AF0EA">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8850347">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33207BC4">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5A7AC3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24A220D">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1C7F678D">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4CFAA27">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568AB912">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0214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4F306409">
            <w:pPr>
              <w:snapToGrid w:val="0"/>
              <w:spacing w:line="360" w:lineRule="auto"/>
              <w:jc w:val="left"/>
              <w:rPr>
                <w:rFonts w:ascii="Calibri" w:hAnsi="Calibri"/>
                <w:color w:val="000000" w:themeColor="text1"/>
                <w:spacing w:val="20"/>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注：涉及联合体或其他合同主体的信息应按上表格式加列。</w:t>
            </w:r>
          </w:p>
        </w:tc>
      </w:tr>
    </w:tbl>
    <w:p w14:paraId="3680409D">
      <w:pPr>
        <w:widowControl/>
        <w:spacing w:line="560" w:lineRule="exact"/>
        <w:jc w:val="left"/>
        <w:rPr>
          <w:rFonts w:ascii="宋体" w:hAnsi="宋体"/>
          <w:b/>
          <w:color w:val="000000" w:themeColor="text1"/>
          <w:sz w:val="24"/>
          <w14:textFill>
            <w14:solidFill>
              <w14:schemeClr w14:val="tx1"/>
            </w14:solidFill>
          </w14:textFill>
        </w:rPr>
      </w:pPr>
    </w:p>
    <w:p w14:paraId="55FFB377">
      <w:pPr>
        <w:widowControl/>
        <w:adjustRightInd/>
        <w:jc w:val="left"/>
        <w:rPr>
          <w:rFonts w:ascii="宋体" w:hAnsi="宋体"/>
          <w:b/>
          <w:color w:val="000000" w:themeColor="text1"/>
          <w:sz w:val="24"/>
          <w14:textFill>
            <w14:solidFill>
              <w14:schemeClr w14:val="tx1"/>
            </w14:solidFill>
          </w14:textFill>
        </w:rPr>
      </w:pPr>
      <w:r>
        <w:rPr>
          <w:rFonts w:ascii="宋体" w:hAnsi="宋体"/>
          <w:b/>
          <w:color w:val="000000" w:themeColor="text1"/>
          <w14:textFill>
            <w14:solidFill>
              <w14:schemeClr w14:val="tx1"/>
            </w14:solidFill>
          </w14:textFill>
        </w:rPr>
        <w:br w:type="page"/>
      </w:r>
    </w:p>
    <w:p w14:paraId="3B6B7EC9">
      <w:pPr>
        <w:pStyle w:val="699"/>
        <w:spacing w:after="0"/>
        <w:ind w:firstLine="482"/>
        <w:jc w:val="center"/>
        <w:outlineLvl w:val="1"/>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第二节 政府采购合同通用条款</w:t>
      </w:r>
    </w:p>
    <w:p w14:paraId="241AD15F">
      <w:pPr>
        <w:spacing w:line="360" w:lineRule="auto"/>
        <w:ind w:firstLine="482" w:firstLineChars="200"/>
        <w:rPr>
          <w:rFonts w:ascii="宋体" w:hAnsi="宋体"/>
          <w:b/>
          <w:color w:val="000000" w:themeColor="text1"/>
          <w:sz w:val="24"/>
          <w14:textFill>
            <w14:solidFill>
              <w14:schemeClr w14:val="tx1"/>
            </w14:solidFill>
          </w14:textFill>
        </w:rPr>
      </w:pPr>
      <w:bookmarkStart w:id="446" w:name="_Toc25079"/>
      <w:bookmarkStart w:id="447" w:name="_Toc14021"/>
      <w:bookmarkStart w:id="448" w:name="_Toc5228"/>
      <w:bookmarkStart w:id="449" w:name="_Toc19680"/>
      <w:bookmarkStart w:id="450" w:name="_Toc31297"/>
      <w:r>
        <w:rPr>
          <w:rFonts w:ascii="宋体" w:hAnsi="宋体"/>
          <w:b/>
          <w:color w:val="000000" w:themeColor="text1"/>
          <w:sz w:val="24"/>
          <w14:textFill>
            <w14:solidFill>
              <w14:schemeClr w14:val="tx1"/>
            </w14:solidFill>
          </w14:textFill>
        </w:rPr>
        <w:t>2.1 定义</w:t>
      </w:r>
      <w:bookmarkEnd w:id="446"/>
      <w:bookmarkEnd w:id="447"/>
      <w:bookmarkEnd w:id="448"/>
      <w:bookmarkEnd w:id="449"/>
      <w:bookmarkEnd w:id="450"/>
    </w:p>
    <w:p w14:paraId="4A00C5D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本合同中的下列</w:t>
      </w:r>
      <w:r>
        <w:rPr>
          <w:rFonts w:hint="eastAsia" w:ascii="宋体" w:hAnsi="宋体"/>
          <w:color w:val="000000" w:themeColor="text1"/>
          <w:sz w:val="24"/>
          <w14:textFill>
            <w14:solidFill>
              <w14:schemeClr w14:val="tx1"/>
            </w14:solidFill>
          </w14:textFill>
        </w:rPr>
        <w:t>词</w:t>
      </w:r>
      <w:r>
        <w:rPr>
          <w:rFonts w:ascii="宋体" w:hAnsi="宋体"/>
          <w:color w:val="000000" w:themeColor="text1"/>
          <w:sz w:val="24"/>
          <w14:textFill>
            <w14:solidFill>
              <w14:schemeClr w14:val="tx1"/>
            </w14:solidFill>
          </w14:textFill>
        </w:rPr>
        <w:t>语应</w:t>
      </w:r>
      <w:r>
        <w:rPr>
          <w:rFonts w:hint="eastAsia" w:ascii="宋体" w:hAnsi="宋体"/>
          <w:color w:val="000000" w:themeColor="text1"/>
          <w:sz w:val="24"/>
          <w14:textFill>
            <w14:solidFill>
              <w14:schemeClr w14:val="tx1"/>
            </w14:solidFill>
          </w14:textFill>
        </w:rPr>
        <w:t>按以下内容进行</w:t>
      </w:r>
      <w:r>
        <w:rPr>
          <w:rFonts w:ascii="宋体" w:hAnsi="宋体"/>
          <w:color w:val="000000" w:themeColor="text1"/>
          <w:sz w:val="24"/>
          <w14:textFill>
            <w14:solidFill>
              <w14:schemeClr w14:val="tx1"/>
            </w14:solidFill>
          </w14:textFill>
        </w:rPr>
        <w:t>解释：</w:t>
      </w:r>
    </w:p>
    <w:p w14:paraId="64FEA23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 “合同”系指采购人和</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供应商签订的载明双方当事人所达成的协议，并包括所有的附件、附录和构成合同的其他文件。</w:t>
      </w:r>
    </w:p>
    <w:p w14:paraId="6C5EEC4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2.1.2 “合同价”系指根据合同约定，</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供应商在完全履行合同义务后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采购人应支付给</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供应商的价格。</w:t>
      </w:r>
    </w:p>
    <w:p w14:paraId="7FD29E6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2.1.3 “</w:t>
      </w: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”系指</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根据合同约定应向采购人</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w:t>
      </w:r>
      <w:r>
        <w:rPr>
          <w:rFonts w:hint="eastAsia" w:ascii="宋体" w:hAnsi="宋体"/>
          <w:color w:val="000000" w:themeColor="text1"/>
          <w:sz w:val="24"/>
          <w14:textFill>
            <w14:solidFill>
              <w14:schemeClr w14:val="tx1"/>
            </w14:solidFill>
          </w14:textFill>
        </w:rPr>
        <w:t>除货物和工程以外的其他政府采购对象，包括采购人自身需要的服务和向社会公众提供的公共服务。</w:t>
      </w:r>
    </w:p>
    <w:p w14:paraId="5533A96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 “</w:t>
      </w: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14:textFill>
            <w14:solidFill>
              <w14:schemeClr w14:val="tx1"/>
            </w14:solidFill>
          </w14:textFill>
        </w:rPr>
        <w:t>”系指与</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签署合同的采购人</w:t>
      </w:r>
      <w:r>
        <w:rPr>
          <w:rFonts w:hint="eastAsia" w:ascii="宋体" w:hAnsi="宋体"/>
          <w:color w:val="000000" w:themeColor="text1"/>
          <w:sz w:val="24"/>
          <w14:textFill>
            <w14:solidFill>
              <w14:schemeClr w14:val="tx1"/>
            </w14:solidFill>
          </w14:textFill>
        </w:rPr>
        <w:t>；采购人委托采购代理机构代表其与乙方签订合同的，采购人的授权委托书作为合同附件。</w:t>
      </w:r>
    </w:p>
    <w:p w14:paraId="06F69CC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2.1.5 “乙方”系指根据合同约定提供服务的</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w:t>
      </w:r>
    </w:p>
    <w:p w14:paraId="495CC9D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2.1.6 “现场”系指合同约定提供服务的地点。</w:t>
      </w:r>
    </w:p>
    <w:p w14:paraId="576B116D">
      <w:pPr>
        <w:spacing w:line="360" w:lineRule="auto"/>
        <w:ind w:firstLine="482" w:firstLineChars="200"/>
        <w:rPr>
          <w:rFonts w:ascii="宋体" w:hAnsi="宋体"/>
          <w:b/>
          <w:color w:val="000000" w:themeColor="text1"/>
          <w:sz w:val="24"/>
          <w14:textFill>
            <w14:solidFill>
              <w14:schemeClr w14:val="tx1"/>
            </w14:solidFill>
          </w14:textFill>
        </w:rPr>
      </w:pPr>
      <w:bookmarkStart w:id="451" w:name="_Toc3769"/>
      <w:bookmarkStart w:id="452" w:name="_Toc23289"/>
      <w:bookmarkStart w:id="453" w:name="_Toc31402"/>
      <w:bookmarkStart w:id="454" w:name="_Toc16752"/>
      <w:bookmarkStart w:id="455" w:name="_Toc19539"/>
      <w:r>
        <w:rPr>
          <w:rFonts w:ascii="宋体" w:hAnsi="宋体"/>
          <w:b/>
          <w:color w:val="000000" w:themeColor="text1"/>
          <w:sz w:val="24"/>
          <w14:textFill>
            <w14:solidFill>
              <w14:schemeClr w14:val="tx1"/>
            </w14:solidFill>
          </w14:textFill>
        </w:rPr>
        <w:t>2.2 技术规范</w:t>
      </w:r>
      <w:bookmarkEnd w:id="451"/>
      <w:bookmarkEnd w:id="452"/>
      <w:bookmarkEnd w:id="453"/>
      <w:bookmarkEnd w:id="454"/>
      <w:bookmarkEnd w:id="455"/>
    </w:p>
    <w:p w14:paraId="18504BD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所应遵守的技术规范应与采购文件规定的技术规范和技术规范附件(如果有的话)及其技术规范偏差表(如果被甲方接受的话)相一致</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如果采购文件中没有技术规范的相应说明，那么应以国家有关部门最新颁布的相应标准</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规范为准。</w:t>
      </w:r>
    </w:p>
    <w:p w14:paraId="55C1B614">
      <w:pPr>
        <w:spacing w:line="360" w:lineRule="auto"/>
        <w:ind w:firstLine="482" w:firstLineChars="200"/>
        <w:rPr>
          <w:rFonts w:ascii="宋体" w:hAnsi="宋体"/>
          <w:b/>
          <w:color w:val="000000" w:themeColor="text1"/>
          <w:sz w:val="24"/>
          <w14:textFill>
            <w14:solidFill>
              <w14:schemeClr w14:val="tx1"/>
            </w14:solidFill>
          </w14:textFill>
        </w:rPr>
      </w:pPr>
      <w:bookmarkStart w:id="456" w:name="_Toc12412"/>
      <w:bookmarkStart w:id="457" w:name="_Toc13673"/>
      <w:bookmarkStart w:id="458" w:name="_Toc9161"/>
      <w:bookmarkStart w:id="459" w:name="_Toc4133"/>
      <w:bookmarkStart w:id="460" w:name="_Toc27945"/>
      <w:r>
        <w:rPr>
          <w:rFonts w:ascii="宋体" w:hAnsi="宋体"/>
          <w:b/>
          <w:color w:val="000000" w:themeColor="text1"/>
          <w:sz w:val="24"/>
          <w14:textFill>
            <w14:solidFill>
              <w14:schemeClr w14:val="tx1"/>
            </w14:solidFill>
          </w14:textFill>
        </w:rPr>
        <w:t>2.3 知识产权</w:t>
      </w:r>
      <w:bookmarkEnd w:id="456"/>
      <w:bookmarkEnd w:id="457"/>
      <w:bookmarkEnd w:id="458"/>
      <w:bookmarkEnd w:id="459"/>
      <w:bookmarkEnd w:id="460"/>
    </w:p>
    <w:p w14:paraId="2E11689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2.3.1 </w:t>
      </w: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方应保证</w:t>
      </w:r>
      <w:r>
        <w:rPr>
          <w:rFonts w:hint="eastAsia" w:ascii="宋体" w:hAnsi="宋体"/>
          <w:color w:val="000000" w:themeColor="text1"/>
          <w:sz w:val="24"/>
          <w14:textFill>
            <w14:solidFill>
              <w14:schemeClr w14:val="tx1"/>
            </w14:solidFill>
          </w14:textFill>
        </w:rPr>
        <w:t>其提供的服务</w:t>
      </w:r>
      <w:r>
        <w:rPr>
          <w:rFonts w:ascii="宋体" w:hAnsi="宋体"/>
          <w:color w:val="000000" w:themeColor="text1"/>
          <w:sz w:val="24"/>
          <w14:textFill>
            <w14:solidFill>
              <w14:schemeClr w14:val="tx1"/>
            </w14:solidFill>
          </w14:textFill>
        </w:rPr>
        <w:t>不受任何第三方提出的侵犯其著作权、商标权、专利权等知识产权方面的起诉</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如果任何第三方提出侵权</w:t>
      </w:r>
      <w:r>
        <w:rPr>
          <w:rFonts w:hint="eastAsia" w:ascii="宋体" w:hAnsi="宋体"/>
          <w:color w:val="000000" w:themeColor="text1"/>
          <w:sz w:val="24"/>
          <w14:textFill>
            <w14:solidFill>
              <w14:schemeClr w14:val="tx1"/>
            </w14:solidFill>
          </w14:textFill>
        </w:rPr>
        <w:t>指控</w:t>
      </w:r>
      <w:r>
        <w:rPr>
          <w:rFonts w:ascii="宋体" w:hAnsi="宋体"/>
          <w:color w:val="000000" w:themeColor="text1"/>
          <w:sz w:val="24"/>
          <w14:textFill>
            <w14:solidFill>
              <w14:schemeClr w14:val="tx1"/>
            </w14:solidFill>
          </w14:textFill>
        </w:rPr>
        <w:t>，那么乙方须与该第三方交涉并承担由此发生的一切责任、费用和赔偿</w:t>
      </w:r>
      <w:r>
        <w:rPr>
          <w:rFonts w:hint="eastAsia" w:ascii="宋体" w:hAnsi="宋体"/>
          <w:color w:val="000000" w:themeColor="text1"/>
          <w:sz w:val="24"/>
          <w14:textFill>
            <w14:solidFill>
              <w14:schemeClr w14:val="tx1"/>
            </w14:solidFill>
          </w14:textFill>
        </w:rPr>
        <w:t>，乙方还应及时澄清相关信息，使甲方声誉免受损害，甲方保留追责的权利。</w:t>
      </w:r>
    </w:p>
    <w:p w14:paraId="487A447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2.3.2 </w:t>
      </w:r>
      <w:r>
        <w:rPr>
          <w:rFonts w:hint="eastAsia" w:ascii="宋体" w:hAnsi="宋体"/>
          <w:color w:val="000000" w:themeColor="text1"/>
          <w:sz w:val="24"/>
          <w14:textFill>
            <w14:solidFill>
              <w14:schemeClr w14:val="tx1"/>
            </w14:solidFill>
          </w14:textFill>
        </w:rPr>
        <w:t>合同涉及技术成果的归属和收益的分成办法的，</w:t>
      </w: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14:paraId="516B2993">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2.4 </w:t>
      </w:r>
      <w:r>
        <w:rPr>
          <w:rFonts w:hint="eastAsia" w:ascii="宋体" w:hAnsi="宋体"/>
          <w:b/>
          <w:color w:val="000000" w:themeColor="text1"/>
          <w:sz w:val="24"/>
          <w14:textFill>
            <w14:solidFill>
              <w14:schemeClr w14:val="tx1"/>
            </w14:solidFill>
          </w14:textFill>
        </w:rPr>
        <w:t>履约检查和问题反馈</w:t>
      </w:r>
    </w:p>
    <w:p w14:paraId="1C9DD7F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2.4.1甲方</w:t>
      </w:r>
      <w:r>
        <w:rPr>
          <w:rFonts w:hint="eastAsia" w:ascii="宋体" w:hAnsi="宋体"/>
          <w:color w:val="000000" w:themeColor="text1"/>
          <w:sz w:val="24"/>
          <w14:textFill>
            <w14:solidFill>
              <w14:schemeClr w14:val="tx1"/>
            </w14:solidFill>
          </w14:textFill>
        </w:rPr>
        <w:t>有权</w:t>
      </w:r>
      <w:r>
        <w:rPr>
          <w:rFonts w:ascii="宋体" w:hAnsi="宋体"/>
          <w:color w:val="000000" w:themeColor="text1"/>
          <w:sz w:val="24"/>
          <w14:textFill>
            <w14:solidFill>
              <w14:schemeClr w14:val="tx1"/>
            </w14:solidFill>
          </w14:textFill>
        </w:rPr>
        <w:t>在其认为必要时</w:t>
      </w:r>
      <w:r>
        <w:rPr>
          <w:rFonts w:hint="eastAsia" w:ascii="宋体" w:hAnsi="宋体"/>
          <w:color w:val="000000" w:themeColor="text1"/>
          <w:sz w:val="24"/>
          <w14:textFill>
            <w14:solidFill>
              <w14:schemeClr w14:val="tx1"/>
            </w14:solidFill>
          </w14:textFill>
        </w:rPr>
        <w:t>，对乙方是否能够按照合同约定提供服务进行履约检查，以确保乙方所提供的服务能够依约满足甲方之项目需求，但不得因履约检查妨碍乙方的正常工作，乙方应予积极配合；</w:t>
      </w:r>
    </w:p>
    <w:p w14:paraId="4E02E7D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2.4.2 </w:t>
      </w:r>
      <w:r>
        <w:rPr>
          <w:rFonts w:hint="eastAsia" w:ascii="宋体" w:hAnsi="宋体"/>
          <w:color w:val="000000" w:themeColor="text1"/>
          <w:sz w:val="24"/>
          <w14:textFill>
            <w14:solidFill>
              <w14:schemeClr w14:val="tx1"/>
            </w14:solidFill>
          </w14:textFill>
        </w:rPr>
        <w:t>合同履行期间，甲方有权将履行过程中出现的问题反馈给乙方，双方当事人应以书面形式约定需要完善和改进的内容。</w:t>
      </w:r>
    </w:p>
    <w:p w14:paraId="7627E9F9">
      <w:pPr>
        <w:spacing w:line="360" w:lineRule="auto"/>
        <w:ind w:firstLine="482" w:firstLineChars="200"/>
        <w:rPr>
          <w:rFonts w:ascii="宋体" w:hAnsi="宋体"/>
          <w:b/>
          <w:color w:val="000000" w:themeColor="text1"/>
          <w:sz w:val="24"/>
          <w14:textFill>
            <w14:solidFill>
              <w14:schemeClr w14:val="tx1"/>
            </w14:solidFill>
          </w14:textFill>
        </w:rPr>
      </w:pPr>
      <w:bookmarkStart w:id="461" w:name="_Toc31233"/>
      <w:bookmarkStart w:id="462" w:name="_Toc26555"/>
      <w:bookmarkStart w:id="463" w:name="_Toc15447"/>
      <w:bookmarkStart w:id="464" w:name="_Toc32670"/>
      <w:bookmarkStart w:id="465" w:name="_Toc22011"/>
      <w:r>
        <w:rPr>
          <w:rFonts w:ascii="宋体" w:hAnsi="宋体"/>
          <w:b/>
          <w:color w:val="000000" w:themeColor="text1"/>
          <w:sz w:val="24"/>
          <w14:textFill>
            <w14:solidFill>
              <w14:schemeClr w14:val="tx1"/>
            </w14:solidFill>
          </w14:textFill>
        </w:rPr>
        <w:t>2.5 结算方式和付款条件</w:t>
      </w:r>
      <w:bookmarkEnd w:id="461"/>
      <w:bookmarkEnd w:id="462"/>
      <w:bookmarkEnd w:id="463"/>
      <w:bookmarkEnd w:id="464"/>
      <w:bookmarkEnd w:id="465"/>
    </w:p>
    <w:p w14:paraId="3383C4D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14:paraId="24268FBE">
      <w:pPr>
        <w:spacing w:line="360" w:lineRule="auto"/>
        <w:ind w:firstLine="482" w:firstLineChars="200"/>
        <w:rPr>
          <w:rFonts w:ascii="宋体" w:hAnsi="宋体"/>
          <w:b/>
          <w:color w:val="000000" w:themeColor="text1"/>
          <w:sz w:val="24"/>
          <w14:textFill>
            <w14:solidFill>
              <w14:schemeClr w14:val="tx1"/>
            </w14:solidFill>
          </w14:textFill>
        </w:rPr>
      </w:pPr>
      <w:bookmarkStart w:id="466" w:name="_Toc13467"/>
      <w:bookmarkStart w:id="467" w:name="_Toc16163"/>
      <w:bookmarkStart w:id="468" w:name="_Toc30507"/>
      <w:bookmarkStart w:id="469" w:name="_Toc18990"/>
      <w:bookmarkStart w:id="470" w:name="_Toc13154"/>
      <w:r>
        <w:rPr>
          <w:rFonts w:ascii="宋体" w:hAnsi="宋体"/>
          <w:b/>
          <w:color w:val="000000" w:themeColor="text1"/>
          <w:sz w:val="24"/>
          <w14:textFill>
            <w14:solidFill>
              <w14:schemeClr w14:val="tx1"/>
            </w14:solidFill>
          </w14:textFill>
        </w:rPr>
        <w:t>2.6 技术资料和保密义务</w:t>
      </w:r>
      <w:bookmarkEnd w:id="466"/>
      <w:bookmarkEnd w:id="467"/>
      <w:bookmarkEnd w:id="468"/>
      <w:bookmarkEnd w:id="469"/>
      <w:bookmarkEnd w:id="470"/>
    </w:p>
    <w:p w14:paraId="28ED673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2.6.1 乙方有权依据合同约定和项目需要，向甲方了解有关情况，调阅有关资料等，甲方应予积极配合；</w:t>
      </w:r>
    </w:p>
    <w:p w14:paraId="2C214BB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2.6.2 </w:t>
      </w:r>
      <w:r>
        <w:rPr>
          <w:rFonts w:hint="eastAsia" w:ascii="宋体" w:hAnsi="宋体"/>
          <w:color w:val="000000" w:themeColor="text1"/>
          <w:sz w:val="24"/>
          <w14:textFill>
            <w14:solidFill>
              <w14:schemeClr w14:val="tx1"/>
            </w14:solidFill>
          </w14:textFill>
        </w:rPr>
        <w:t>乙方有义务妥善保管和保护由甲方提供的前款信息和资料等；</w:t>
      </w:r>
    </w:p>
    <w:p w14:paraId="4351CE8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2.6.3 </w:t>
      </w:r>
      <w:r>
        <w:rPr>
          <w:rFonts w:hint="eastAsia" w:ascii="宋体" w:hAnsi="宋体"/>
          <w:color w:val="000000" w:themeColor="text1"/>
          <w:sz w:val="24"/>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14:textFill>
            <w14:solidFill>
              <w14:schemeClr w14:val="tx1"/>
            </w14:solidFill>
          </w14:textFill>
        </w:rPr>
        <w:t>技术情报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技术资料</w:t>
      </w:r>
      <w:r>
        <w:rPr>
          <w:rFonts w:hint="eastAsia" w:ascii="宋体" w:hAnsi="宋体"/>
          <w:color w:val="000000" w:themeColor="text1"/>
          <w:sz w:val="24"/>
          <w14:textFill>
            <w14:solidFill>
              <w14:schemeClr w14:val="tx1"/>
            </w14:solidFill>
          </w14:textFill>
        </w:rPr>
        <w:t>、商业秘密和商业信息等，并采取一切合理和必要措施和方式防止任何第三方接触到对方当事人的上述保密信息和资料。</w:t>
      </w:r>
    </w:p>
    <w:p w14:paraId="2432499D">
      <w:pPr>
        <w:spacing w:line="360" w:lineRule="auto"/>
        <w:ind w:firstLine="482" w:firstLineChars="200"/>
        <w:rPr>
          <w:rFonts w:ascii="宋体" w:hAnsi="宋体"/>
          <w:b/>
          <w:color w:val="000000" w:themeColor="text1"/>
          <w:sz w:val="24"/>
          <w14:textFill>
            <w14:solidFill>
              <w14:schemeClr w14:val="tx1"/>
            </w14:solidFill>
          </w14:textFill>
        </w:rPr>
      </w:pPr>
      <w:bookmarkStart w:id="471" w:name="_Toc19069"/>
      <w:r>
        <w:rPr>
          <w:rFonts w:ascii="宋体" w:hAnsi="宋体"/>
          <w:b/>
          <w:color w:val="000000" w:themeColor="text1"/>
          <w:sz w:val="24"/>
          <w14:textFill>
            <w14:solidFill>
              <w14:schemeClr w14:val="tx1"/>
            </w14:solidFill>
          </w14:textFill>
        </w:rPr>
        <w:t xml:space="preserve">2.7 </w:t>
      </w:r>
      <w:r>
        <w:rPr>
          <w:rFonts w:hint="eastAsia" w:ascii="宋体" w:hAnsi="宋体"/>
          <w:b/>
          <w:color w:val="000000" w:themeColor="text1"/>
          <w:sz w:val="24"/>
          <w14:textFill>
            <w14:solidFill>
              <w14:schemeClr w14:val="tx1"/>
            </w14:solidFill>
          </w14:textFill>
        </w:rPr>
        <w:t>质量保证</w:t>
      </w:r>
      <w:bookmarkEnd w:id="471"/>
    </w:p>
    <w:p w14:paraId="05C825C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2.7.1 </w:t>
      </w:r>
      <w:r>
        <w:rPr>
          <w:rFonts w:hint="eastAsia" w:ascii="宋体" w:hAnsi="宋体"/>
          <w:color w:val="000000" w:themeColor="text1"/>
          <w:sz w:val="24"/>
          <w14:textFill>
            <w14:solidFill>
              <w14:schemeClr w14:val="tx1"/>
            </w14:solidFill>
          </w14:textFill>
        </w:rPr>
        <w:t>乙方应建立和完善履行合同的内部质量保证体系，并提供相关内部规章制度给甲方，以便甲方进行监督检查；</w:t>
      </w:r>
    </w:p>
    <w:p w14:paraId="02B6208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2.7.2 </w:t>
      </w:r>
      <w:r>
        <w:rPr>
          <w:rFonts w:hint="eastAsia" w:ascii="宋体" w:hAnsi="宋体"/>
          <w:color w:val="000000" w:themeColor="text1"/>
          <w:sz w:val="24"/>
          <w14:textFill>
            <w14:solidFill>
              <w14:schemeClr w14:val="tx1"/>
            </w14:solidFill>
          </w14:textFill>
        </w:rPr>
        <w:t>乙方应保证履行合同的人员数量和素质、软件和硬件设备的配置、场地、环境和设施等满足全面履行合同的要求，并应接受甲方的监督检查。</w:t>
      </w:r>
    </w:p>
    <w:p w14:paraId="38AFDF0A">
      <w:pPr>
        <w:spacing w:line="360" w:lineRule="auto"/>
        <w:ind w:firstLine="482" w:firstLineChars="200"/>
        <w:rPr>
          <w:rFonts w:ascii="宋体" w:hAnsi="宋体"/>
          <w:b/>
          <w:color w:val="000000" w:themeColor="text1"/>
          <w:sz w:val="24"/>
          <w14:textFill>
            <w14:solidFill>
              <w14:schemeClr w14:val="tx1"/>
            </w14:solidFill>
          </w14:textFill>
        </w:rPr>
      </w:pPr>
      <w:bookmarkStart w:id="472" w:name="_Toc22267"/>
      <w:r>
        <w:rPr>
          <w:rFonts w:ascii="宋体" w:hAnsi="宋体"/>
          <w:b/>
          <w:color w:val="000000" w:themeColor="text1"/>
          <w:sz w:val="24"/>
          <w14:textFill>
            <w14:solidFill>
              <w14:schemeClr w14:val="tx1"/>
            </w14:solidFill>
          </w14:textFill>
        </w:rPr>
        <w:t xml:space="preserve">2.8 </w:t>
      </w:r>
      <w:r>
        <w:rPr>
          <w:rFonts w:hint="eastAsia" w:ascii="宋体" w:hAnsi="宋体"/>
          <w:b/>
          <w:color w:val="000000" w:themeColor="text1"/>
          <w:sz w:val="24"/>
          <w14:textFill>
            <w14:solidFill>
              <w14:schemeClr w14:val="tx1"/>
            </w14:solidFill>
          </w14:textFill>
        </w:rPr>
        <w:t>延迟履行</w:t>
      </w:r>
      <w:bookmarkEnd w:id="472"/>
    </w:p>
    <w:p w14:paraId="5937C32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甲乙双方签订合同后，乙方应按照合同约定履行合同义务，除不可抗力外，乙方不得延迟履行。</w:t>
      </w:r>
      <w:r>
        <w:rPr>
          <w:rFonts w:ascii="宋体" w:hAnsi="宋体"/>
          <w:color w:val="000000" w:themeColor="text1"/>
          <w:sz w:val="24"/>
          <w14:textFill>
            <w14:solidFill>
              <w14:schemeClr w14:val="tx1"/>
            </w14:solidFill>
          </w14:textFill>
        </w:rPr>
        <w:t>在合同履行过程中，如果</w:t>
      </w:r>
      <w:r>
        <w:rPr>
          <w:rFonts w:hint="eastAsia" w:ascii="宋体" w:hAnsi="宋体"/>
          <w:color w:val="000000" w:themeColor="text1"/>
          <w:sz w:val="24"/>
          <w14:textFill>
            <w14:solidFill>
              <w14:schemeClr w14:val="tx1"/>
            </w14:solidFill>
          </w14:textFill>
        </w:rPr>
        <w:t>因不可抗力，</w:t>
      </w:r>
      <w:r>
        <w:rPr>
          <w:rFonts w:ascii="宋体" w:hAnsi="宋体"/>
          <w:color w:val="000000" w:themeColor="text1"/>
          <w:sz w:val="24"/>
          <w14:textFill>
            <w14:solidFill>
              <w14:schemeClr w14:val="tx1"/>
            </w14:solidFill>
          </w14:textFill>
        </w:rPr>
        <w:t>乙方遇到不能按时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的情况，应及时以书面形式将不能按时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的理由、预期延误时间通知甲方</w:t>
      </w:r>
      <w:r>
        <w:rPr>
          <w:rFonts w:hint="eastAsia" w:ascii="宋体" w:hAnsi="宋体"/>
          <w:color w:val="000000" w:themeColor="text1"/>
          <w:sz w:val="24"/>
          <w14:textFill>
            <w14:solidFill>
              <w14:schemeClr w14:val="tx1"/>
            </w14:solidFill>
          </w14:textFill>
        </w:rPr>
        <w:t>；甲</w:t>
      </w:r>
      <w:r>
        <w:rPr>
          <w:rFonts w:ascii="宋体" w:hAnsi="宋体"/>
          <w:color w:val="000000" w:themeColor="text1"/>
          <w:sz w:val="24"/>
          <w14:textFill>
            <w14:solidFill>
              <w14:schemeClr w14:val="tx1"/>
            </w14:solidFill>
          </w14:textFill>
        </w:rPr>
        <w:t>方收到乙方通知后，认为其理由正当的，可以书面形式酌情同意乙方可以延长</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的具体时间。</w:t>
      </w:r>
    </w:p>
    <w:p w14:paraId="6129B5C5">
      <w:pPr>
        <w:spacing w:line="360" w:lineRule="auto"/>
        <w:ind w:firstLine="482" w:firstLineChars="200"/>
        <w:rPr>
          <w:rFonts w:ascii="宋体" w:hAnsi="宋体"/>
          <w:b/>
          <w:color w:val="000000" w:themeColor="text1"/>
          <w:sz w:val="24"/>
          <w14:textFill>
            <w14:solidFill>
              <w14:schemeClr w14:val="tx1"/>
            </w14:solidFill>
          </w14:textFill>
        </w:rPr>
      </w:pPr>
      <w:bookmarkStart w:id="473" w:name="_Toc10611"/>
      <w:r>
        <w:rPr>
          <w:rFonts w:ascii="宋体" w:hAnsi="宋体"/>
          <w:b/>
          <w:color w:val="000000" w:themeColor="text1"/>
          <w:sz w:val="24"/>
          <w14:textFill>
            <w14:solidFill>
              <w14:schemeClr w14:val="tx1"/>
            </w14:solidFill>
          </w14:textFill>
        </w:rPr>
        <w:t xml:space="preserve">2.9 </w:t>
      </w:r>
      <w:r>
        <w:rPr>
          <w:rFonts w:hint="eastAsia" w:ascii="宋体" w:hAnsi="宋体"/>
          <w:b/>
          <w:color w:val="000000" w:themeColor="text1"/>
          <w:sz w:val="24"/>
          <w14:textFill>
            <w14:solidFill>
              <w14:schemeClr w14:val="tx1"/>
            </w14:solidFill>
          </w14:textFill>
        </w:rPr>
        <w:t>合同变更</w:t>
      </w:r>
      <w:bookmarkEnd w:id="473"/>
    </w:p>
    <w:p w14:paraId="0869A42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14:paraId="6EBE21C4">
      <w:pPr>
        <w:spacing w:line="360" w:lineRule="auto"/>
        <w:ind w:firstLine="482" w:firstLineChars="200"/>
        <w:rPr>
          <w:rFonts w:ascii="宋体" w:hAnsi="宋体"/>
          <w:b/>
          <w:color w:val="000000" w:themeColor="text1"/>
          <w:sz w:val="24"/>
          <w14:textFill>
            <w14:solidFill>
              <w14:schemeClr w14:val="tx1"/>
            </w14:solidFill>
          </w14:textFill>
        </w:rPr>
      </w:pPr>
      <w:bookmarkStart w:id="474" w:name="_Toc21830"/>
      <w:bookmarkStart w:id="475" w:name="_Toc26689"/>
      <w:bookmarkStart w:id="476" w:name="_Toc42"/>
      <w:bookmarkStart w:id="477" w:name="_Toc10663"/>
      <w:bookmarkStart w:id="478" w:name="_Toc23368"/>
      <w:r>
        <w:rPr>
          <w:rFonts w:ascii="宋体" w:hAnsi="宋体"/>
          <w:b/>
          <w:color w:val="000000" w:themeColor="text1"/>
          <w:sz w:val="24"/>
          <w14:textFill>
            <w14:solidFill>
              <w14:schemeClr w14:val="tx1"/>
            </w14:solidFill>
          </w14:textFill>
        </w:rPr>
        <w:t>2.10 合同转让和分包</w:t>
      </w:r>
      <w:bookmarkEnd w:id="474"/>
      <w:bookmarkEnd w:id="475"/>
      <w:bookmarkEnd w:id="476"/>
      <w:bookmarkEnd w:id="477"/>
      <w:bookmarkEnd w:id="478"/>
    </w:p>
    <w:p w14:paraId="01AD3C2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合同的权利义务依法不</w:t>
      </w:r>
      <w:r>
        <w:rPr>
          <w:rFonts w:hint="eastAsia" w:ascii="宋体" w:hAnsi="宋体"/>
          <w:color w:val="000000" w:themeColor="text1"/>
          <w:sz w:val="24"/>
          <w14:textFill>
            <w14:solidFill>
              <w14:schemeClr w14:val="tx1"/>
            </w14:solidFill>
          </w14:textFill>
        </w:rPr>
        <w:t>得</w:t>
      </w:r>
      <w:r>
        <w:rPr>
          <w:rFonts w:ascii="宋体" w:hAnsi="宋体"/>
          <w:color w:val="000000" w:themeColor="text1"/>
          <w:sz w:val="24"/>
          <w14:textFill>
            <w14:solidFill>
              <w14:schemeClr w14:val="tx1"/>
            </w14:solidFill>
          </w14:textFill>
        </w:rPr>
        <w:t>转让</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但经甲方</w:t>
      </w:r>
      <w:r>
        <w:rPr>
          <w:rFonts w:hint="eastAsia" w:ascii="宋体" w:hAnsi="宋体"/>
          <w:color w:val="000000" w:themeColor="text1"/>
          <w:sz w:val="24"/>
          <w14:textFill>
            <w14:solidFill>
              <w14:schemeClr w14:val="tx1"/>
            </w14:solidFill>
          </w14:textFill>
        </w:rPr>
        <w:t>同意，乙方可以依法采取分包方式履行合同，即：依法可以</w:t>
      </w:r>
      <w:r>
        <w:rPr>
          <w:rFonts w:ascii="宋体" w:hAnsi="宋体"/>
          <w:color w:val="000000" w:themeColor="text1"/>
          <w:sz w:val="24"/>
          <w14:textFill>
            <w14:solidFill>
              <w14:schemeClr w14:val="tx1"/>
            </w14:solidFill>
          </w14:textFill>
        </w:rPr>
        <w:t>将合同项下的部分非主体、非关键性工作分包给他人完成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接受分包的人应当具备相应的资格条件，并不得再次分包</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且乙方应就分包项目向甲方负责</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并</w:t>
      </w:r>
      <w:r>
        <w:rPr>
          <w:rFonts w:hint="eastAsia" w:ascii="宋体" w:hAnsi="宋体"/>
          <w:color w:val="000000" w:themeColor="text1"/>
          <w:sz w:val="24"/>
          <w14:textFill>
            <w14:solidFill>
              <w14:schemeClr w14:val="tx1"/>
            </w14:solidFill>
          </w14:textFill>
        </w:rPr>
        <w:t>与分包供应商就分包项目向甲方承担连带责任。</w:t>
      </w:r>
    </w:p>
    <w:p w14:paraId="54AE1C26">
      <w:pPr>
        <w:spacing w:line="360" w:lineRule="auto"/>
        <w:ind w:firstLine="482" w:firstLineChars="200"/>
        <w:rPr>
          <w:rFonts w:ascii="宋体" w:hAnsi="宋体"/>
          <w:b/>
          <w:color w:val="000000" w:themeColor="text1"/>
          <w:sz w:val="24"/>
          <w14:textFill>
            <w14:solidFill>
              <w14:schemeClr w14:val="tx1"/>
            </w14:solidFill>
          </w14:textFill>
        </w:rPr>
      </w:pPr>
      <w:bookmarkStart w:id="479" w:name="_Toc14371"/>
      <w:bookmarkStart w:id="480" w:name="_Toc26633"/>
      <w:bookmarkStart w:id="481" w:name="_Toc32494"/>
      <w:bookmarkStart w:id="482" w:name="_Toc25571"/>
      <w:bookmarkStart w:id="483" w:name="_Toc4720"/>
      <w:r>
        <w:rPr>
          <w:rFonts w:ascii="宋体" w:hAnsi="宋体"/>
          <w:b/>
          <w:color w:val="000000" w:themeColor="text1"/>
          <w:sz w:val="24"/>
          <w14:textFill>
            <w14:solidFill>
              <w14:schemeClr w14:val="tx1"/>
            </w14:solidFill>
          </w14:textFill>
        </w:rPr>
        <w:t>2.11 不可抗力</w:t>
      </w:r>
      <w:bookmarkEnd w:id="479"/>
      <w:bookmarkEnd w:id="480"/>
      <w:bookmarkEnd w:id="481"/>
      <w:bookmarkEnd w:id="482"/>
      <w:bookmarkEnd w:id="483"/>
    </w:p>
    <w:p w14:paraId="3502206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2.11.1如果任何一方遭遇法律规定的不可抗力，致使合同履行受阻时，履行合同的期限应予延长，延长的期限应相当于不可抗力所影响的时间</w:t>
      </w:r>
      <w:r>
        <w:rPr>
          <w:rFonts w:hint="eastAsia" w:ascii="宋体" w:hAnsi="宋体"/>
          <w:color w:val="000000" w:themeColor="text1"/>
          <w:sz w:val="24"/>
          <w14:textFill>
            <w14:solidFill>
              <w14:schemeClr w14:val="tx1"/>
            </w14:solidFill>
          </w14:textFill>
        </w:rPr>
        <w:t>；</w:t>
      </w:r>
    </w:p>
    <w:p w14:paraId="6DD3EB7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2.11.2 </w:t>
      </w:r>
      <w:r>
        <w:rPr>
          <w:rFonts w:hint="eastAsia" w:ascii="宋体" w:hAnsi="宋体"/>
          <w:color w:val="000000" w:themeColor="text1"/>
          <w:sz w:val="24"/>
          <w14:textFill>
            <w14:solidFill>
              <w14:schemeClr w14:val="tx1"/>
            </w14:solidFill>
          </w14:textFill>
        </w:rPr>
        <w:t>因不可抗力致使不能实现合同目的的，当事人可以解除合同；</w:t>
      </w:r>
    </w:p>
    <w:p w14:paraId="7CC16F6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2.11.3 </w:t>
      </w:r>
      <w:r>
        <w:rPr>
          <w:rFonts w:hint="eastAsia" w:ascii="宋体" w:hAnsi="宋体"/>
          <w:color w:val="000000" w:themeColor="text1"/>
          <w:sz w:val="24"/>
          <w14:textFill>
            <w14:solidFill>
              <w14:schemeClr w14:val="tx1"/>
            </w14:solidFill>
          </w14:textFill>
        </w:rPr>
        <w:t>因</w:t>
      </w:r>
      <w:r>
        <w:rPr>
          <w:rFonts w:ascii="宋体" w:hAnsi="宋体"/>
          <w:color w:val="000000" w:themeColor="text1"/>
          <w:sz w:val="24"/>
          <w14:textFill>
            <w14:solidFill>
              <w14:schemeClr w14:val="tx1"/>
            </w14:solidFill>
          </w14:textFill>
        </w:rPr>
        <w:t>不可抗力致使合同有变更必要的，双方当事人应在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约定时间内以书面形式变更合同</w:t>
      </w:r>
      <w:r>
        <w:rPr>
          <w:rFonts w:hint="eastAsia" w:ascii="宋体" w:hAnsi="宋体"/>
          <w:color w:val="000000" w:themeColor="text1"/>
          <w:sz w:val="24"/>
          <w14:textFill>
            <w14:solidFill>
              <w14:schemeClr w14:val="tx1"/>
            </w14:solidFill>
          </w14:textFill>
        </w:rPr>
        <w:t>；</w:t>
      </w:r>
    </w:p>
    <w:p w14:paraId="0145C66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2.11.4受</w:t>
      </w:r>
      <w:r>
        <w:rPr>
          <w:rFonts w:hint="eastAsia" w:ascii="宋体" w:hAnsi="宋体"/>
          <w:color w:val="000000" w:themeColor="text1"/>
          <w:sz w:val="24"/>
          <w14:textFill>
            <w14:solidFill>
              <w14:schemeClr w14:val="tx1"/>
            </w14:solidFill>
          </w14:textFill>
        </w:rPr>
        <w:t>不可抗力</w:t>
      </w:r>
      <w:r>
        <w:rPr>
          <w:rFonts w:ascii="宋体" w:hAnsi="宋体"/>
          <w:color w:val="000000" w:themeColor="text1"/>
          <w:sz w:val="24"/>
          <w14:textFill>
            <w14:solidFill>
              <w14:schemeClr w14:val="tx1"/>
            </w14:solidFill>
          </w14:textFill>
        </w:rPr>
        <w:t>影响的一方在不可抗力发生后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约定时间内以书面形式通知</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14:textFill>
            <w14:solidFill>
              <w14:schemeClr w14:val="tx1"/>
            </w14:solidFill>
          </w14:textFill>
        </w:rPr>
        <w:t>方当事人，并在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约定时间内，将有关部门出具的证明文件送达</w:t>
      </w:r>
      <w:r>
        <w:rPr>
          <w:rFonts w:hint="eastAsia" w:ascii="宋体" w:hAnsi="宋体"/>
          <w:color w:val="000000" w:themeColor="text1"/>
          <w:sz w:val="24"/>
          <w14:textFill>
            <w14:solidFill>
              <w14:schemeClr w14:val="tx1"/>
            </w14:solidFill>
          </w14:textFill>
        </w:rPr>
        <w:t>对方当事人</w:t>
      </w:r>
      <w:r>
        <w:rPr>
          <w:rFonts w:ascii="宋体" w:hAnsi="宋体"/>
          <w:color w:val="000000" w:themeColor="text1"/>
          <w:sz w:val="24"/>
          <w14:textFill>
            <w14:solidFill>
              <w14:schemeClr w14:val="tx1"/>
            </w14:solidFill>
          </w14:textFill>
        </w:rPr>
        <w:t>。</w:t>
      </w:r>
    </w:p>
    <w:p w14:paraId="5EDDD563">
      <w:pPr>
        <w:spacing w:line="360" w:lineRule="auto"/>
        <w:ind w:firstLine="482" w:firstLineChars="200"/>
        <w:rPr>
          <w:rFonts w:ascii="宋体" w:hAnsi="宋体"/>
          <w:b/>
          <w:color w:val="000000" w:themeColor="text1"/>
          <w:sz w:val="24"/>
          <w14:textFill>
            <w14:solidFill>
              <w14:schemeClr w14:val="tx1"/>
            </w14:solidFill>
          </w14:textFill>
        </w:rPr>
      </w:pPr>
      <w:bookmarkStart w:id="484" w:name="_Toc23854"/>
      <w:bookmarkStart w:id="485" w:name="_Toc14115"/>
      <w:bookmarkStart w:id="486" w:name="_Toc24465"/>
      <w:bookmarkStart w:id="487" w:name="_Toc3638"/>
      <w:bookmarkStart w:id="488" w:name="_Toc25783"/>
      <w:r>
        <w:rPr>
          <w:rFonts w:ascii="宋体" w:hAnsi="宋体"/>
          <w:b/>
          <w:color w:val="000000" w:themeColor="text1"/>
          <w:sz w:val="24"/>
          <w14:textFill>
            <w14:solidFill>
              <w14:schemeClr w14:val="tx1"/>
            </w14:solidFill>
          </w14:textFill>
        </w:rPr>
        <w:t>2.12 税费</w:t>
      </w:r>
      <w:bookmarkEnd w:id="484"/>
      <w:bookmarkEnd w:id="485"/>
      <w:bookmarkEnd w:id="486"/>
      <w:bookmarkEnd w:id="487"/>
      <w:bookmarkEnd w:id="488"/>
    </w:p>
    <w:p w14:paraId="709DB32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与合同有关的一切税费</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均按照中华人民共和国法律的相关规定缴纳。</w:t>
      </w:r>
    </w:p>
    <w:p w14:paraId="77BF4160">
      <w:pPr>
        <w:spacing w:line="360" w:lineRule="auto"/>
        <w:ind w:firstLine="482" w:firstLineChars="200"/>
        <w:rPr>
          <w:rFonts w:ascii="宋体" w:hAnsi="宋体"/>
          <w:b/>
          <w:color w:val="000000" w:themeColor="text1"/>
          <w:sz w:val="24"/>
          <w14:textFill>
            <w14:solidFill>
              <w14:schemeClr w14:val="tx1"/>
            </w14:solidFill>
          </w14:textFill>
        </w:rPr>
      </w:pPr>
      <w:bookmarkStart w:id="489" w:name="_Toc30105"/>
      <w:bookmarkStart w:id="490" w:name="_Toc7315"/>
      <w:bookmarkStart w:id="491" w:name="_Toc14814"/>
      <w:bookmarkStart w:id="492" w:name="_Toc25525"/>
      <w:bookmarkStart w:id="493" w:name="_Toc26883"/>
      <w:r>
        <w:rPr>
          <w:rFonts w:ascii="宋体" w:hAnsi="宋体"/>
          <w:b/>
          <w:color w:val="000000" w:themeColor="text1"/>
          <w:sz w:val="24"/>
          <w14:textFill>
            <w14:solidFill>
              <w14:schemeClr w14:val="tx1"/>
            </w14:solidFill>
          </w14:textFill>
        </w:rPr>
        <w:t>2.13 乙方破产</w:t>
      </w:r>
      <w:bookmarkEnd w:id="489"/>
      <w:bookmarkEnd w:id="490"/>
      <w:bookmarkEnd w:id="491"/>
      <w:bookmarkEnd w:id="492"/>
      <w:bookmarkEnd w:id="493"/>
    </w:p>
    <w:p w14:paraId="13377CC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如果乙方破产导致合同无法履行时，甲方可以书面形式通知乙方终止合同且不给予乙方任何补偿和赔偿</w:t>
      </w:r>
      <w:r>
        <w:rPr>
          <w:rFonts w:hint="eastAsia" w:ascii="宋体" w:hAnsi="宋体"/>
          <w:color w:val="000000" w:themeColor="text1"/>
          <w:sz w:val="24"/>
          <w14:textFill>
            <w14:solidFill>
              <w14:schemeClr w14:val="tx1"/>
            </w14:solidFill>
          </w14:textFill>
        </w:rPr>
        <w:t>，但合同的</w:t>
      </w:r>
      <w:r>
        <w:rPr>
          <w:rFonts w:ascii="宋体" w:hAnsi="宋体"/>
          <w:color w:val="000000" w:themeColor="text1"/>
          <w:sz w:val="24"/>
          <w14:textFill>
            <w14:solidFill>
              <w14:schemeClr w14:val="tx1"/>
            </w14:solidFill>
          </w14:textFill>
        </w:rPr>
        <w:t>终止不损害或不影响甲方已经采取或将要采取的任何要求乙方支付违约金</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赔偿损失等的行动或补救措施的权利</w:t>
      </w:r>
      <w:r>
        <w:rPr>
          <w:rFonts w:hint="eastAsia" w:ascii="宋体" w:hAnsi="宋体"/>
          <w:color w:val="000000" w:themeColor="text1"/>
          <w:sz w:val="24"/>
          <w14:textFill>
            <w14:solidFill>
              <w14:schemeClr w14:val="tx1"/>
            </w14:solidFill>
          </w14:textFill>
        </w:rPr>
        <w:t>。</w:t>
      </w:r>
    </w:p>
    <w:p w14:paraId="07D7F061">
      <w:pPr>
        <w:spacing w:line="360" w:lineRule="auto"/>
        <w:ind w:firstLine="482" w:firstLineChars="200"/>
        <w:rPr>
          <w:rFonts w:ascii="宋体" w:hAnsi="宋体"/>
          <w:b/>
          <w:color w:val="000000" w:themeColor="text1"/>
          <w:sz w:val="24"/>
          <w14:textFill>
            <w14:solidFill>
              <w14:schemeClr w14:val="tx1"/>
            </w14:solidFill>
          </w14:textFill>
        </w:rPr>
      </w:pPr>
      <w:bookmarkStart w:id="494" w:name="_Toc2016"/>
      <w:bookmarkStart w:id="495" w:name="_Toc1123"/>
      <w:bookmarkStart w:id="496" w:name="_Toc23323"/>
      <w:r>
        <w:rPr>
          <w:rFonts w:ascii="宋体" w:hAnsi="宋体"/>
          <w:b/>
          <w:color w:val="000000" w:themeColor="text1"/>
          <w:sz w:val="24"/>
          <w14:textFill>
            <w14:solidFill>
              <w14:schemeClr w14:val="tx1"/>
            </w14:solidFill>
          </w14:textFill>
        </w:rPr>
        <w:t>2.14 合同中止、终止</w:t>
      </w:r>
      <w:bookmarkEnd w:id="494"/>
      <w:bookmarkEnd w:id="495"/>
      <w:bookmarkEnd w:id="496"/>
    </w:p>
    <w:p w14:paraId="58313C5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2.14.1 </w:t>
      </w:r>
      <w:r>
        <w:rPr>
          <w:rFonts w:hint="eastAsia" w:ascii="宋体" w:hAnsi="宋体"/>
          <w:color w:val="000000" w:themeColor="text1"/>
          <w:sz w:val="24"/>
          <w14:textFill>
            <w14:solidFill>
              <w14:schemeClr w14:val="tx1"/>
            </w14:solidFill>
          </w14:textFill>
        </w:rPr>
        <w:t>双方当事人不得擅自中止或者终止合同；</w:t>
      </w:r>
    </w:p>
    <w:p w14:paraId="0B9CF47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085AA6E0">
      <w:pPr>
        <w:spacing w:line="360" w:lineRule="auto"/>
        <w:ind w:firstLine="482" w:firstLineChars="200"/>
        <w:rPr>
          <w:rFonts w:ascii="宋体" w:hAnsi="宋体"/>
          <w:b/>
          <w:color w:val="000000" w:themeColor="text1"/>
          <w:sz w:val="24"/>
          <w14:textFill>
            <w14:solidFill>
              <w14:schemeClr w14:val="tx1"/>
            </w14:solidFill>
          </w14:textFill>
        </w:rPr>
      </w:pPr>
      <w:bookmarkStart w:id="497" w:name="_Toc1969"/>
      <w:bookmarkStart w:id="498" w:name="_Toc14525"/>
      <w:bookmarkStart w:id="499" w:name="_Toc17363"/>
      <w:r>
        <w:rPr>
          <w:rFonts w:ascii="宋体" w:hAnsi="宋体"/>
          <w:b/>
          <w:color w:val="000000" w:themeColor="text1"/>
          <w:sz w:val="24"/>
          <w14:textFill>
            <w14:solidFill>
              <w14:schemeClr w14:val="tx1"/>
            </w14:solidFill>
          </w14:textFill>
        </w:rPr>
        <w:t>2.15 检验和验收</w:t>
      </w:r>
      <w:bookmarkEnd w:id="497"/>
      <w:bookmarkEnd w:id="498"/>
      <w:bookmarkEnd w:id="499"/>
    </w:p>
    <w:p w14:paraId="2DA19DAB">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2.15.1 </w:t>
      </w:r>
      <w:r>
        <w:rPr>
          <w:rFonts w:hint="eastAsia" w:ascii="宋体" w:hAnsi="宋体"/>
          <w:color w:val="000000" w:themeColor="text1"/>
          <w:sz w:val="24"/>
          <w14:textFill>
            <w14:solidFill>
              <w14:schemeClr w14:val="tx1"/>
            </w14:solidFill>
          </w14:textFill>
        </w:rPr>
        <w:t>乙方按照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定期提交服务报告</w:t>
      </w:r>
      <w:r>
        <w:rPr>
          <w:rFonts w:hint="eastAsia" w:ascii="宋体" w:hAnsi="宋体"/>
          <w:color w:val="000000" w:themeColor="text1"/>
          <w:sz w:val="24"/>
          <w14:textFill>
            <w14:solidFill>
              <w14:schemeClr w14:val="tx1"/>
            </w14:solidFill>
          </w14:textFill>
        </w:rPr>
        <w:t>，甲方按照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的约定进行定期验收</w:t>
      </w:r>
      <w:r>
        <w:rPr>
          <w:rFonts w:hint="eastAsia" w:ascii="宋体" w:hAnsi="宋体"/>
          <w:color w:val="000000" w:themeColor="text1"/>
          <w:sz w:val="24"/>
          <w14:textFill>
            <w14:solidFill>
              <w14:schemeClr w14:val="tx1"/>
            </w14:solidFill>
          </w14:textFill>
        </w:rPr>
        <w:t>；</w:t>
      </w:r>
    </w:p>
    <w:p w14:paraId="543291AA">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2.15.2 </w:t>
      </w:r>
      <w:r>
        <w:rPr>
          <w:rFonts w:hint="eastAsia" w:ascii="宋体" w:hAnsi="宋体"/>
          <w:color w:val="000000" w:themeColor="text1"/>
          <w:sz w:val="24"/>
          <w14:textFill>
            <w14:solidFill>
              <w14:schemeClr w14:val="tx1"/>
            </w14:solidFill>
          </w14:textFill>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1F9093E">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2.15.3 </w:t>
      </w:r>
      <w:r>
        <w:rPr>
          <w:rFonts w:hint="eastAsia" w:ascii="宋体" w:hAnsi="宋体"/>
          <w:color w:val="000000" w:themeColor="text1"/>
          <w:sz w:val="24"/>
          <w14:textFill>
            <w14:solidFill>
              <w14:schemeClr w14:val="tx1"/>
            </w14:solidFill>
          </w14:textFill>
        </w:rPr>
        <w:t>检验和验收标准、程序等具体内容以及前述验收书的效力详见</w:t>
      </w:r>
      <w:r>
        <w:rPr>
          <w:rFonts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5885AA6D">
      <w:pPr>
        <w:spacing w:line="360" w:lineRule="auto"/>
        <w:ind w:firstLine="482" w:firstLineChars="200"/>
        <w:rPr>
          <w:rFonts w:ascii="宋体" w:hAnsi="宋体"/>
          <w:b/>
          <w:color w:val="000000" w:themeColor="text1"/>
          <w:sz w:val="24"/>
          <w14:textFill>
            <w14:solidFill>
              <w14:schemeClr w14:val="tx1"/>
            </w14:solidFill>
          </w14:textFill>
        </w:rPr>
      </w:pPr>
      <w:bookmarkStart w:id="500" w:name="_Toc2308"/>
      <w:bookmarkStart w:id="501" w:name="_Toc25198"/>
      <w:bookmarkStart w:id="502" w:name="_Toc9808"/>
      <w:bookmarkStart w:id="503" w:name="_Toc12666"/>
      <w:bookmarkStart w:id="504" w:name="_Toc31892"/>
      <w:r>
        <w:rPr>
          <w:rFonts w:ascii="宋体" w:hAnsi="宋体"/>
          <w:b/>
          <w:color w:val="000000" w:themeColor="text1"/>
          <w:sz w:val="24"/>
          <w14:textFill>
            <w14:solidFill>
              <w14:schemeClr w14:val="tx1"/>
            </w14:solidFill>
          </w14:textFill>
        </w:rPr>
        <w:t>2.16 通知和送达</w:t>
      </w:r>
      <w:bookmarkEnd w:id="500"/>
      <w:bookmarkEnd w:id="501"/>
      <w:bookmarkEnd w:id="502"/>
      <w:bookmarkEnd w:id="503"/>
      <w:bookmarkEnd w:id="504"/>
    </w:p>
    <w:p w14:paraId="1F763CC4">
      <w:pPr>
        <w:spacing w:line="360" w:lineRule="auto"/>
        <w:ind w:firstLine="480" w:firstLineChars="200"/>
        <w:rPr>
          <w:rFonts w:ascii="宋体" w:hAnsi="宋体"/>
          <w:color w:val="000000" w:themeColor="text1"/>
          <w:sz w:val="24"/>
          <w14:textFill>
            <w14:solidFill>
              <w14:schemeClr w14:val="tx1"/>
            </w14:solidFill>
          </w14:textFill>
        </w:rPr>
      </w:pPr>
      <w:bookmarkStart w:id="505" w:name="_Toc27674"/>
      <w:bookmarkStart w:id="506" w:name="_Toc18401"/>
      <w:r>
        <w:rPr>
          <w:rFonts w:ascii="宋体" w:hAnsi="宋体"/>
          <w:color w:val="000000" w:themeColor="text1"/>
          <w:sz w:val="24"/>
          <w14:textFill>
            <w14:solidFill>
              <w14:schemeClr w14:val="tx1"/>
            </w14:solidFill>
          </w14:textFill>
        </w:rPr>
        <w:t>2.17.1</w:t>
      </w:r>
      <w:r>
        <w:rPr>
          <w:rFonts w:hint="eastAsia" w:ascii="宋体" w:hAnsi="宋体"/>
          <w:color w:val="000000" w:themeColor="text1"/>
          <w:sz w:val="24"/>
          <w14:textFill>
            <w14:solidFill>
              <w14:schemeClr w14:val="tx1"/>
            </w14:solidFill>
          </w14:textFill>
        </w:rPr>
        <w:t>任何一方因履行合同而以合同第一部分尾部所列明的传真或电子邮件</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 w:val="24"/>
          <w:u w:val="single"/>
          <w14:textFill>
            <w14:solidFill>
              <w14:schemeClr w14:val="tx1"/>
            </w14:solidFill>
          </w14:textFill>
        </w:rPr>
        <w:t>3</w:t>
      </w:r>
      <w:r>
        <w:rPr>
          <w:rFonts w:hint="eastAsia" w:ascii="宋体" w:hAnsi="宋体"/>
          <w:color w:val="000000" w:themeColor="text1"/>
          <w:sz w:val="24"/>
          <w14:textFill>
            <w14:solidFill>
              <w14:schemeClr w14:val="tx1"/>
            </w14:solidFill>
          </w14:textFill>
        </w:rPr>
        <w:t>个工作日内书面通知对方当事人，在对方当事人收到有关变更通知之前，变更前的约定送达方式或者地址仍视为有效。</w:t>
      </w:r>
    </w:p>
    <w:p w14:paraId="2B46017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000000" w:themeColor="text1"/>
          <w:sz w:val="24"/>
          <w14:textFill>
            <w14:solidFill>
              <w14:schemeClr w14:val="tx1"/>
            </w14:solidFill>
          </w14:textFill>
        </w:rPr>
        <w:t>的，邮件挂号寄出或者交邮之日之次日视为送达。</w:t>
      </w:r>
      <w:bookmarkEnd w:id="505"/>
      <w:bookmarkEnd w:id="506"/>
    </w:p>
    <w:p w14:paraId="7CDCBBF3">
      <w:pPr>
        <w:spacing w:line="360" w:lineRule="auto"/>
        <w:ind w:firstLine="482" w:firstLineChars="200"/>
        <w:rPr>
          <w:rFonts w:ascii="宋体" w:hAnsi="宋体"/>
          <w:b/>
          <w:color w:val="000000" w:themeColor="text1"/>
          <w:sz w:val="24"/>
          <w14:textFill>
            <w14:solidFill>
              <w14:schemeClr w14:val="tx1"/>
            </w14:solidFill>
          </w14:textFill>
        </w:rPr>
      </w:pPr>
      <w:bookmarkStart w:id="507" w:name="_Toc28906"/>
      <w:bookmarkStart w:id="508" w:name="_Toc5063"/>
      <w:bookmarkStart w:id="509" w:name="_Toc20808"/>
      <w:bookmarkStart w:id="510" w:name="_Toc12254"/>
      <w:bookmarkStart w:id="511" w:name="_Toc27644"/>
      <w:r>
        <w:rPr>
          <w:rFonts w:ascii="宋体" w:hAnsi="宋体"/>
          <w:b/>
          <w:color w:val="000000" w:themeColor="text1"/>
          <w:sz w:val="24"/>
          <w14:textFill>
            <w14:solidFill>
              <w14:schemeClr w14:val="tx1"/>
            </w14:solidFill>
          </w14:textFill>
        </w:rPr>
        <w:t xml:space="preserve">2.17 </w:t>
      </w:r>
      <w:r>
        <w:rPr>
          <w:rFonts w:hint="eastAsia" w:ascii="宋体" w:hAnsi="宋体"/>
          <w:b/>
          <w:color w:val="000000" w:themeColor="text1"/>
          <w:sz w:val="24"/>
          <w14:textFill>
            <w14:solidFill>
              <w14:schemeClr w14:val="tx1"/>
            </w14:solidFill>
          </w14:textFill>
        </w:rPr>
        <w:t>合同使用的文字和</w:t>
      </w:r>
      <w:r>
        <w:rPr>
          <w:rFonts w:ascii="宋体" w:hAnsi="宋体"/>
          <w:b/>
          <w:color w:val="000000" w:themeColor="text1"/>
          <w:sz w:val="24"/>
          <w14:textFill>
            <w14:solidFill>
              <w14:schemeClr w14:val="tx1"/>
            </w14:solidFill>
          </w14:textFill>
        </w:rPr>
        <w:t>适用的法律</w:t>
      </w:r>
      <w:bookmarkEnd w:id="507"/>
      <w:bookmarkEnd w:id="508"/>
      <w:bookmarkEnd w:id="509"/>
      <w:bookmarkEnd w:id="510"/>
      <w:bookmarkEnd w:id="511"/>
    </w:p>
    <w:p w14:paraId="2FD066B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2.17.1 合同使用汉语书就</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变更和解释</w:t>
      </w:r>
      <w:r>
        <w:rPr>
          <w:rFonts w:hint="eastAsia" w:ascii="宋体" w:hAnsi="宋体"/>
          <w:color w:val="000000" w:themeColor="text1"/>
          <w:sz w:val="24"/>
          <w14:textFill>
            <w14:solidFill>
              <w14:schemeClr w14:val="tx1"/>
            </w14:solidFill>
          </w14:textFill>
        </w:rPr>
        <w:t>；</w:t>
      </w:r>
    </w:p>
    <w:p w14:paraId="41C7BFA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2.17.2 </w:t>
      </w:r>
      <w:r>
        <w:rPr>
          <w:rFonts w:hint="eastAsia" w:ascii="宋体" w:hAnsi="宋体"/>
          <w:color w:val="000000" w:themeColor="text1"/>
          <w:sz w:val="24"/>
          <w14:textFill>
            <w14:solidFill>
              <w14:schemeClr w14:val="tx1"/>
            </w14:solidFill>
          </w14:textFill>
        </w:rPr>
        <w:t>合同适用</w:t>
      </w:r>
      <w:r>
        <w:rPr>
          <w:rFonts w:ascii="宋体" w:hAnsi="宋体"/>
          <w:color w:val="000000" w:themeColor="text1"/>
          <w:sz w:val="24"/>
          <w14:textFill>
            <w14:solidFill>
              <w14:schemeClr w14:val="tx1"/>
            </w14:solidFill>
          </w14:textFill>
        </w:rPr>
        <w:t>中华人民共和国法律。</w:t>
      </w:r>
    </w:p>
    <w:p w14:paraId="25738E41">
      <w:pPr>
        <w:spacing w:line="360" w:lineRule="auto"/>
        <w:ind w:firstLine="482" w:firstLineChars="200"/>
        <w:rPr>
          <w:rFonts w:ascii="宋体" w:hAnsi="宋体" w:cs="宋体"/>
          <w:b/>
          <w:color w:val="000000" w:themeColor="text1"/>
          <w:sz w:val="24"/>
          <w14:textFill>
            <w14:solidFill>
              <w14:schemeClr w14:val="tx1"/>
            </w14:solidFill>
          </w14:textFill>
        </w:rPr>
      </w:pPr>
      <w:bookmarkStart w:id="512" w:name="_Toc30599"/>
      <w:bookmarkStart w:id="513" w:name="_Toc18540"/>
      <w:bookmarkStart w:id="514" w:name="_Toc4355"/>
      <w:r>
        <w:rPr>
          <w:rFonts w:hint="eastAsia" w:ascii="宋体" w:hAnsi="宋体" w:cs="宋体"/>
          <w:b/>
          <w:color w:val="000000" w:themeColor="text1"/>
          <w:sz w:val="24"/>
          <w14:textFill>
            <w14:solidFill>
              <w14:schemeClr w14:val="tx1"/>
            </w14:solidFill>
          </w14:textFill>
        </w:rPr>
        <w:t>2.18 计量单位</w:t>
      </w:r>
      <w:bookmarkEnd w:id="512"/>
      <w:bookmarkEnd w:id="513"/>
      <w:bookmarkEnd w:id="514"/>
    </w:p>
    <w:p w14:paraId="6DD2894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除技术规范中另有规定外,合同的计量单位均使用国家法定计量单位。</w:t>
      </w:r>
    </w:p>
    <w:p w14:paraId="0C783675">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19</w:t>
      </w:r>
      <w:r>
        <w:rPr>
          <w:rFonts w:ascii="宋体" w:hAnsi="宋体"/>
          <w:b/>
          <w:color w:val="000000" w:themeColor="text1"/>
          <w:sz w:val="24"/>
          <w14:textFill>
            <w14:solidFill>
              <w14:schemeClr w14:val="tx1"/>
            </w14:solidFill>
          </w14:textFill>
        </w:rPr>
        <w:t>合同份数</w:t>
      </w:r>
    </w:p>
    <w:p w14:paraId="0A0D6C4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合同份数按</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规定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每份均具有同等法律效力</w:t>
      </w:r>
      <w:r>
        <w:rPr>
          <w:rFonts w:hint="eastAsia" w:ascii="宋体" w:hAnsi="宋体"/>
          <w:color w:val="000000" w:themeColor="text1"/>
          <w:sz w:val="24"/>
          <w14:textFill>
            <w14:solidFill>
              <w14:schemeClr w14:val="tx1"/>
            </w14:solidFill>
          </w14:textFill>
        </w:rPr>
        <w:t>。</w:t>
      </w:r>
    </w:p>
    <w:p w14:paraId="6A3517B7">
      <w:pPr>
        <w:spacing w:line="360" w:lineRule="auto"/>
        <w:jc w:val="center"/>
        <w:outlineLvl w:val="1"/>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第三节 政府采购合同专用条款</w:t>
      </w:r>
    </w:p>
    <w:p w14:paraId="250AB95A">
      <w:pPr>
        <w:spacing w:line="360" w:lineRule="auto"/>
        <w:ind w:left="-420" w:leftChars="-200"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75125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0530F7E7">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条款号</w:t>
            </w:r>
          </w:p>
        </w:tc>
        <w:tc>
          <w:tcPr>
            <w:tcW w:w="4464" w:type="pct"/>
            <w:vAlign w:val="center"/>
          </w:tcPr>
          <w:p w14:paraId="4404BFBF">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约定内容</w:t>
            </w:r>
          </w:p>
        </w:tc>
      </w:tr>
      <w:tr w14:paraId="763E4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FA6AE8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w:t>
            </w:r>
          </w:p>
        </w:tc>
        <w:tc>
          <w:tcPr>
            <w:tcW w:w="4464" w:type="pct"/>
            <w:vAlign w:val="center"/>
          </w:tcPr>
          <w:p w14:paraId="49FAF782">
            <w:pPr>
              <w:spacing w:line="360" w:lineRule="auto"/>
              <w:rPr>
                <w:rFonts w:ascii="宋体" w:hAnsi="宋体" w:cs="宋体"/>
                <w:color w:val="000000" w:themeColor="text1"/>
                <w:sz w:val="24"/>
                <w14:textFill>
                  <w14:solidFill>
                    <w14:schemeClr w14:val="tx1"/>
                  </w14:solidFill>
                </w14:textFill>
              </w:rPr>
            </w:pPr>
          </w:p>
        </w:tc>
      </w:tr>
      <w:tr w14:paraId="1FBA8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9477D1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w:t>
            </w:r>
          </w:p>
        </w:tc>
        <w:tc>
          <w:tcPr>
            <w:tcW w:w="4464" w:type="pct"/>
            <w:vAlign w:val="center"/>
          </w:tcPr>
          <w:p w14:paraId="05577DF7">
            <w:pPr>
              <w:spacing w:line="360" w:lineRule="auto"/>
              <w:rPr>
                <w:rFonts w:ascii="宋体" w:hAnsi="宋体" w:cs="宋体"/>
                <w:color w:val="000000" w:themeColor="text1"/>
                <w:sz w:val="24"/>
                <w14:textFill>
                  <w14:solidFill>
                    <w14:schemeClr w14:val="tx1"/>
                  </w14:solidFill>
                </w14:textFill>
              </w:rPr>
            </w:pPr>
          </w:p>
        </w:tc>
      </w:tr>
      <w:tr w14:paraId="6653F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3263F4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1.5.1 </w:t>
            </w:r>
          </w:p>
        </w:tc>
        <w:tc>
          <w:tcPr>
            <w:tcW w:w="4464" w:type="pct"/>
            <w:vAlign w:val="center"/>
          </w:tcPr>
          <w:p w14:paraId="6DBC1CC6">
            <w:pPr>
              <w:spacing w:line="360" w:lineRule="auto"/>
              <w:rPr>
                <w:rFonts w:ascii="宋体" w:hAnsi="宋体" w:cs="宋体"/>
                <w:color w:val="000000" w:themeColor="text1"/>
                <w:sz w:val="24"/>
                <w14:textFill>
                  <w14:solidFill>
                    <w14:schemeClr w14:val="tx1"/>
                  </w14:solidFill>
                </w14:textFill>
              </w:rPr>
            </w:pPr>
          </w:p>
        </w:tc>
      </w:tr>
      <w:tr w14:paraId="5B43E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78387F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w:t>
            </w:r>
          </w:p>
        </w:tc>
        <w:tc>
          <w:tcPr>
            <w:tcW w:w="4464" w:type="pct"/>
            <w:vAlign w:val="center"/>
          </w:tcPr>
          <w:p w14:paraId="0E4055C9">
            <w:pPr>
              <w:spacing w:line="360" w:lineRule="auto"/>
              <w:rPr>
                <w:rFonts w:ascii="宋体" w:hAnsi="宋体" w:cs="宋体"/>
                <w:color w:val="000000" w:themeColor="text1"/>
                <w:sz w:val="24"/>
                <w14:textFill>
                  <w14:solidFill>
                    <w14:schemeClr w14:val="tx1"/>
                  </w14:solidFill>
                </w14:textFill>
              </w:rPr>
            </w:pPr>
          </w:p>
        </w:tc>
      </w:tr>
      <w:tr w14:paraId="15054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FCB5DD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1.5.3 </w:t>
            </w:r>
          </w:p>
        </w:tc>
        <w:tc>
          <w:tcPr>
            <w:tcW w:w="4464" w:type="pct"/>
            <w:vAlign w:val="center"/>
          </w:tcPr>
          <w:p w14:paraId="4E1F1377">
            <w:pPr>
              <w:spacing w:line="360" w:lineRule="auto"/>
              <w:rPr>
                <w:rFonts w:ascii="宋体" w:hAnsi="宋体" w:cs="宋体"/>
                <w:color w:val="000000" w:themeColor="text1"/>
                <w:sz w:val="24"/>
                <w14:textFill>
                  <w14:solidFill>
                    <w14:schemeClr w14:val="tx1"/>
                  </w14:solidFill>
                </w14:textFill>
              </w:rPr>
            </w:pPr>
          </w:p>
        </w:tc>
      </w:tr>
      <w:tr w14:paraId="5B54C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77C5D3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w:t>
            </w:r>
          </w:p>
        </w:tc>
        <w:tc>
          <w:tcPr>
            <w:tcW w:w="4464" w:type="pct"/>
            <w:vAlign w:val="center"/>
          </w:tcPr>
          <w:p w14:paraId="52041B4C">
            <w:pPr>
              <w:spacing w:line="360" w:lineRule="auto"/>
              <w:rPr>
                <w:rFonts w:ascii="宋体" w:hAnsi="宋体" w:cs="宋体"/>
                <w:color w:val="000000" w:themeColor="text1"/>
                <w:sz w:val="24"/>
                <w14:textFill>
                  <w14:solidFill>
                    <w14:schemeClr w14:val="tx1"/>
                  </w14:solidFill>
                </w14:textFill>
              </w:rPr>
            </w:pPr>
          </w:p>
        </w:tc>
      </w:tr>
      <w:tr w14:paraId="763C0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A39288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w:t>
            </w:r>
          </w:p>
        </w:tc>
        <w:tc>
          <w:tcPr>
            <w:tcW w:w="4464" w:type="pct"/>
            <w:vAlign w:val="center"/>
          </w:tcPr>
          <w:p w14:paraId="29FD0800">
            <w:pPr>
              <w:spacing w:line="360" w:lineRule="auto"/>
              <w:rPr>
                <w:rFonts w:ascii="宋体" w:hAnsi="宋体" w:cs="宋体"/>
                <w:color w:val="000000" w:themeColor="text1"/>
                <w:sz w:val="24"/>
                <w14:textFill>
                  <w14:solidFill>
                    <w14:schemeClr w14:val="tx1"/>
                  </w14:solidFill>
                </w14:textFill>
              </w:rPr>
            </w:pPr>
          </w:p>
        </w:tc>
      </w:tr>
      <w:tr w14:paraId="2FA90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781955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w:t>
            </w:r>
          </w:p>
        </w:tc>
        <w:tc>
          <w:tcPr>
            <w:tcW w:w="4464" w:type="pct"/>
            <w:vAlign w:val="center"/>
          </w:tcPr>
          <w:p w14:paraId="715D3D03">
            <w:pPr>
              <w:spacing w:line="360" w:lineRule="auto"/>
              <w:rPr>
                <w:rFonts w:ascii="宋体" w:hAnsi="宋体" w:cs="宋体"/>
                <w:color w:val="000000" w:themeColor="text1"/>
                <w:sz w:val="24"/>
                <w14:textFill>
                  <w14:solidFill>
                    <w14:schemeClr w14:val="tx1"/>
                  </w14:solidFill>
                </w14:textFill>
              </w:rPr>
            </w:pPr>
          </w:p>
        </w:tc>
      </w:tr>
      <w:tr w14:paraId="4934C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7BBF1D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w:t>
            </w:r>
          </w:p>
        </w:tc>
        <w:tc>
          <w:tcPr>
            <w:tcW w:w="4464" w:type="pct"/>
            <w:vAlign w:val="center"/>
          </w:tcPr>
          <w:p w14:paraId="109465AB">
            <w:pPr>
              <w:spacing w:line="360" w:lineRule="auto"/>
              <w:rPr>
                <w:rFonts w:ascii="宋体" w:hAnsi="宋体" w:cs="宋体"/>
                <w:color w:val="000000" w:themeColor="text1"/>
                <w:sz w:val="24"/>
                <w14:textFill>
                  <w14:solidFill>
                    <w14:schemeClr w14:val="tx1"/>
                  </w14:solidFill>
                </w14:textFill>
              </w:rPr>
            </w:pPr>
          </w:p>
        </w:tc>
      </w:tr>
      <w:tr w14:paraId="0AC23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1823EB0">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w:t>
            </w:r>
          </w:p>
        </w:tc>
        <w:tc>
          <w:tcPr>
            <w:tcW w:w="4464" w:type="pct"/>
            <w:vAlign w:val="center"/>
          </w:tcPr>
          <w:p w14:paraId="39BFA8FA">
            <w:pPr>
              <w:spacing w:line="360" w:lineRule="auto"/>
              <w:rPr>
                <w:rFonts w:ascii="宋体" w:hAnsi="宋体" w:cs="宋体"/>
                <w:color w:val="000000" w:themeColor="text1"/>
                <w:sz w:val="24"/>
                <w14:textFill>
                  <w14:solidFill>
                    <w14:schemeClr w14:val="tx1"/>
                  </w14:solidFill>
                </w14:textFill>
              </w:rPr>
            </w:pPr>
          </w:p>
        </w:tc>
      </w:tr>
      <w:tr w14:paraId="0BABC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290079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w:t>
            </w:r>
          </w:p>
        </w:tc>
        <w:tc>
          <w:tcPr>
            <w:tcW w:w="4464" w:type="pct"/>
            <w:vAlign w:val="center"/>
          </w:tcPr>
          <w:p w14:paraId="4978ED59">
            <w:pPr>
              <w:spacing w:line="360" w:lineRule="auto"/>
              <w:rPr>
                <w:rFonts w:ascii="宋体" w:hAnsi="宋体" w:cs="宋体"/>
                <w:color w:val="000000" w:themeColor="text1"/>
                <w:sz w:val="24"/>
                <w14:textFill>
                  <w14:solidFill>
                    <w14:schemeClr w14:val="tx1"/>
                  </w14:solidFill>
                </w14:textFill>
              </w:rPr>
            </w:pPr>
          </w:p>
        </w:tc>
      </w:tr>
      <w:tr w14:paraId="724A3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E032D1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w:t>
            </w:r>
          </w:p>
        </w:tc>
        <w:tc>
          <w:tcPr>
            <w:tcW w:w="4464" w:type="pct"/>
            <w:vAlign w:val="center"/>
          </w:tcPr>
          <w:p w14:paraId="67E6B255">
            <w:pPr>
              <w:spacing w:line="360" w:lineRule="auto"/>
              <w:rPr>
                <w:rFonts w:ascii="宋体" w:hAnsi="宋体" w:cs="宋体"/>
                <w:color w:val="000000" w:themeColor="text1"/>
                <w:sz w:val="24"/>
                <w14:textFill>
                  <w14:solidFill>
                    <w14:schemeClr w14:val="tx1"/>
                  </w14:solidFill>
                </w14:textFill>
              </w:rPr>
            </w:pPr>
          </w:p>
        </w:tc>
      </w:tr>
      <w:tr w14:paraId="1716B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199557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1.8.7</w:t>
            </w:r>
          </w:p>
        </w:tc>
        <w:tc>
          <w:tcPr>
            <w:tcW w:w="4464" w:type="pct"/>
            <w:vAlign w:val="center"/>
          </w:tcPr>
          <w:p w14:paraId="65A56231">
            <w:pPr>
              <w:spacing w:line="360" w:lineRule="auto"/>
              <w:rPr>
                <w:rFonts w:ascii="宋体" w:hAnsi="宋体" w:cs="宋体"/>
                <w:color w:val="000000" w:themeColor="text1"/>
                <w:sz w:val="24"/>
                <w14:textFill>
                  <w14:solidFill>
                    <w14:schemeClr w14:val="tx1"/>
                  </w14:solidFill>
                </w14:textFill>
              </w:rPr>
            </w:pPr>
          </w:p>
        </w:tc>
      </w:tr>
      <w:tr w14:paraId="77E62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9A3DE2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w:t>
            </w:r>
          </w:p>
        </w:tc>
        <w:tc>
          <w:tcPr>
            <w:tcW w:w="4464" w:type="pct"/>
            <w:vAlign w:val="center"/>
          </w:tcPr>
          <w:p w14:paraId="7441F884">
            <w:pPr>
              <w:spacing w:line="360" w:lineRule="auto"/>
              <w:rPr>
                <w:rFonts w:ascii="宋体" w:hAnsi="宋体" w:cs="宋体"/>
                <w:color w:val="000000" w:themeColor="text1"/>
                <w:sz w:val="24"/>
                <w14:textFill>
                  <w14:solidFill>
                    <w14:schemeClr w14:val="tx1"/>
                  </w14:solidFill>
                </w14:textFill>
              </w:rPr>
            </w:pPr>
          </w:p>
        </w:tc>
      </w:tr>
      <w:tr w14:paraId="740B1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FD80D70">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w:t>
            </w:r>
          </w:p>
        </w:tc>
        <w:tc>
          <w:tcPr>
            <w:tcW w:w="4464" w:type="pct"/>
            <w:vAlign w:val="center"/>
          </w:tcPr>
          <w:p w14:paraId="6528B011">
            <w:pPr>
              <w:spacing w:line="360" w:lineRule="auto"/>
              <w:rPr>
                <w:rFonts w:ascii="宋体" w:hAnsi="宋体" w:cs="宋体"/>
                <w:color w:val="000000" w:themeColor="text1"/>
                <w:sz w:val="24"/>
                <w14:textFill>
                  <w14:solidFill>
                    <w14:schemeClr w14:val="tx1"/>
                  </w14:solidFill>
                </w14:textFill>
              </w:rPr>
            </w:pPr>
          </w:p>
        </w:tc>
      </w:tr>
      <w:tr w14:paraId="0C204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35876A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w:t>
            </w:r>
          </w:p>
        </w:tc>
        <w:tc>
          <w:tcPr>
            <w:tcW w:w="4464" w:type="pct"/>
            <w:vAlign w:val="center"/>
          </w:tcPr>
          <w:p w14:paraId="147ED64D">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tc>
      </w:tr>
      <w:tr w14:paraId="41253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C96FF8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5</w:t>
            </w:r>
          </w:p>
        </w:tc>
        <w:tc>
          <w:tcPr>
            <w:tcW w:w="4464" w:type="pct"/>
            <w:vAlign w:val="center"/>
          </w:tcPr>
          <w:p w14:paraId="54191E0A">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tc>
      </w:tr>
      <w:tr w14:paraId="1319F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4BBB48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p>
        </w:tc>
        <w:tc>
          <w:tcPr>
            <w:tcW w:w="4464" w:type="pct"/>
            <w:vAlign w:val="center"/>
          </w:tcPr>
          <w:p w14:paraId="5D62C8A7">
            <w:pPr>
              <w:spacing w:line="360" w:lineRule="auto"/>
              <w:rPr>
                <w:rFonts w:ascii="宋体" w:hAnsi="宋体" w:cs="宋体"/>
                <w:color w:val="000000" w:themeColor="text1"/>
                <w:sz w:val="24"/>
                <w14:textFill>
                  <w14:solidFill>
                    <w14:schemeClr w14:val="tx1"/>
                  </w14:solidFill>
                </w14:textFill>
              </w:rPr>
            </w:pPr>
          </w:p>
        </w:tc>
      </w:tr>
      <w:tr w14:paraId="35C77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10EFEEB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11.4</w:t>
            </w:r>
            <w:r>
              <w:rPr>
                <w:rFonts w:hint="eastAsia" w:ascii="宋体" w:hAnsi="宋体" w:cs="宋体"/>
                <w:color w:val="000000" w:themeColor="text1"/>
                <w:sz w:val="24"/>
                <w14:textFill>
                  <w14:solidFill>
                    <w14:schemeClr w14:val="tx1"/>
                  </w14:solidFill>
                </w14:textFill>
              </w:rPr>
              <w:t xml:space="preserve"> </w:t>
            </w:r>
          </w:p>
        </w:tc>
        <w:tc>
          <w:tcPr>
            <w:tcW w:w="4464" w:type="pct"/>
          </w:tcPr>
          <w:p w14:paraId="729E10DF">
            <w:pPr>
              <w:spacing w:line="360" w:lineRule="auto"/>
              <w:rPr>
                <w:rFonts w:ascii="宋体" w:hAnsi="宋体" w:cs="宋体"/>
                <w:color w:val="000000" w:themeColor="text1"/>
                <w:sz w:val="24"/>
                <w14:textFill>
                  <w14:solidFill>
                    <w14:schemeClr w14:val="tx1"/>
                  </w14:solidFill>
                </w14:textFill>
              </w:rPr>
            </w:pPr>
          </w:p>
        </w:tc>
      </w:tr>
      <w:tr w14:paraId="64E55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BE9849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p>
        </w:tc>
        <w:tc>
          <w:tcPr>
            <w:tcW w:w="4464" w:type="pct"/>
            <w:vAlign w:val="center"/>
          </w:tcPr>
          <w:p w14:paraId="576D33B3">
            <w:pPr>
              <w:spacing w:line="360" w:lineRule="auto"/>
              <w:rPr>
                <w:rFonts w:ascii="宋体" w:hAnsi="宋体" w:cs="宋体"/>
                <w:color w:val="000000" w:themeColor="text1"/>
                <w:sz w:val="24"/>
                <w14:textFill>
                  <w14:solidFill>
                    <w14:schemeClr w14:val="tx1"/>
                  </w14:solidFill>
                </w14:textFill>
              </w:rPr>
            </w:pPr>
          </w:p>
        </w:tc>
      </w:tr>
      <w:tr w14:paraId="5A522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808299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p>
        </w:tc>
        <w:tc>
          <w:tcPr>
            <w:tcW w:w="4464" w:type="pct"/>
            <w:vAlign w:val="center"/>
          </w:tcPr>
          <w:p w14:paraId="25461B02">
            <w:pPr>
              <w:spacing w:line="360" w:lineRule="auto"/>
              <w:rPr>
                <w:rFonts w:ascii="宋体" w:hAnsi="宋体" w:cs="宋体"/>
                <w:color w:val="000000" w:themeColor="text1"/>
                <w:sz w:val="24"/>
                <w14:textFill>
                  <w14:solidFill>
                    <w14:schemeClr w14:val="tx1"/>
                  </w14:solidFill>
                </w14:textFill>
              </w:rPr>
            </w:pPr>
          </w:p>
        </w:tc>
      </w:tr>
      <w:tr w14:paraId="00D76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1E9DF8B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2.19</w:t>
            </w:r>
          </w:p>
        </w:tc>
        <w:tc>
          <w:tcPr>
            <w:tcW w:w="4464" w:type="pct"/>
          </w:tcPr>
          <w:p w14:paraId="613A42C0">
            <w:pPr>
              <w:spacing w:line="360" w:lineRule="auto"/>
              <w:rPr>
                <w:rFonts w:ascii="宋体" w:hAnsi="宋体" w:cs="宋体"/>
                <w:color w:val="000000" w:themeColor="text1"/>
                <w:sz w:val="24"/>
                <w14:textFill>
                  <w14:solidFill>
                    <w14:schemeClr w14:val="tx1"/>
                  </w14:solidFill>
                </w14:textFill>
              </w:rPr>
            </w:pPr>
          </w:p>
        </w:tc>
      </w:tr>
    </w:tbl>
    <w:p w14:paraId="6A7F2003">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p w14:paraId="7F208AE9">
      <w:pPr>
        <w:spacing w:line="360" w:lineRule="auto"/>
        <w:ind w:left="-420" w:leftChars="-200" w:right="-420" w:rightChars="-200" w:firstLine="480" w:firstLineChars="200"/>
        <w:jc w:val="center"/>
        <w:rPr>
          <w:rFonts w:ascii="宋体" w:hAnsi="宋体" w:cs="宋体"/>
          <w:color w:val="000000" w:themeColor="text1"/>
          <w:sz w:val="24"/>
          <w14:textFill>
            <w14:solidFill>
              <w14:schemeClr w14:val="tx1"/>
            </w14:solidFill>
          </w14:textFill>
        </w:rPr>
      </w:pPr>
    </w:p>
    <w:p w14:paraId="14C52435">
      <w:pPr>
        <w:widowControl/>
        <w:adjustRightInd/>
        <w:jc w:val="center"/>
        <w:outlineLvl w:val="0"/>
        <w:rPr>
          <w:rFonts w:ascii="宋体" w:hAnsi="宋体" w:cs="宋体"/>
          <w:b/>
          <w:color w:val="000000" w:themeColor="text1"/>
          <w:sz w:val="36"/>
          <w:szCs w:val="20"/>
          <w14:textFill>
            <w14:solidFill>
              <w14:schemeClr w14:val="tx1"/>
            </w14:solidFill>
          </w14:textFill>
        </w:rPr>
      </w:pPr>
      <w:bookmarkStart w:id="515" w:name="_Toc211352599"/>
      <w:r>
        <w:rPr>
          <w:rFonts w:hint="eastAsia" w:ascii="宋体" w:hAnsi="宋体" w:cs="宋体"/>
          <w:b/>
          <w:color w:val="000000" w:themeColor="text1"/>
          <w:sz w:val="36"/>
          <w:szCs w:val="20"/>
          <w14:textFill>
            <w14:solidFill>
              <w14:schemeClr w14:val="tx1"/>
            </w14:solidFill>
          </w14:textFill>
        </w:rPr>
        <w:t>第六部分</w:t>
      </w:r>
      <w:bookmarkEnd w:id="399"/>
      <w:r>
        <w:rPr>
          <w:rFonts w:hint="eastAsia" w:ascii="宋体" w:hAnsi="宋体" w:cs="宋体"/>
          <w:b/>
          <w:color w:val="000000" w:themeColor="text1"/>
          <w:sz w:val="36"/>
          <w:szCs w:val="20"/>
          <w14:textFill>
            <w14:solidFill>
              <w14:schemeClr w14:val="tx1"/>
            </w14:solidFill>
          </w14:textFill>
        </w:rPr>
        <w:t xml:space="preserve"> </w:t>
      </w:r>
      <w:bookmarkEnd w:id="400"/>
      <w:r>
        <w:rPr>
          <w:rFonts w:hint="eastAsia" w:ascii="宋体" w:hAnsi="宋体" w:cs="宋体"/>
          <w:b/>
          <w:color w:val="000000" w:themeColor="text1"/>
          <w:sz w:val="36"/>
          <w:szCs w:val="20"/>
          <w14:textFill>
            <w14:solidFill>
              <w14:schemeClr w14:val="tx1"/>
            </w14:solidFill>
          </w14:textFill>
        </w:rPr>
        <w:t>应提交的有关格式范例</w:t>
      </w:r>
      <w:bookmarkEnd w:id="515"/>
    </w:p>
    <w:p w14:paraId="6BF7CF32">
      <w:pPr>
        <w:spacing w:line="360" w:lineRule="auto"/>
        <w:jc w:val="center"/>
        <w:rPr>
          <w:rFonts w:ascii="宋体" w:hAnsi="宋体" w:cs="宋体"/>
          <w:b/>
          <w:color w:val="000000" w:themeColor="text1"/>
          <w:kern w:val="0"/>
          <w:sz w:val="36"/>
          <w:szCs w:val="36"/>
          <w14:textFill>
            <w14:solidFill>
              <w14:schemeClr w14:val="tx1"/>
            </w14:solidFill>
          </w14:textFill>
        </w:rPr>
      </w:pPr>
    </w:p>
    <w:p w14:paraId="454B227D">
      <w:pPr>
        <w:spacing w:line="360" w:lineRule="auto"/>
        <w:jc w:val="center"/>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资格文件部分</w:t>
      </w:r>
    </w:p>
    <w:p w14:paraId="0F5102C1">
      <w:pPr>
        <w:spacing w:line="360" w:lineRule="auto"/>
        <w:jc w:val="center"/>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目录</w:t>
      </w:r>
    </w:p>
    <w:p w14:paraId="6666ED0F">
      <w:pPr>
        <w:spacing w:line="360" w:lineRule="auto"/>
        <w:jc w:val="center"/>
        <w:rPr>
          <w:rFonts w:ascii="宋体" w:hAnsi="宋体" w:cs="宋体"/>
          <w:b/>
          <w:color w:val="000000" w:themeColor="text1"/>
          <w:kern w:val="0"/>
          <w:sz w:val="36"/>
          <w:szCs w:val="36"/>
          <w14:textFill>
            <w14:solidFill>
              <w14:schemeClr w14:val="tx1"/>
            </w14:solidFill>
          </w14:textFill>
        </w:rPr>
      </w:pPr>
    </w:p>
    <w:p w14:paraId="2C3C8BE9">
      <w:pPr>
        <w:snapToGrid w:val="0"/>
        <w:spacing w:line="360" w:lineRule="auto"/>
        <w:rPr>
          <w:rFonts w:hint="eastAsia" w:ascii="宋体" w:hAnsi="宋体" w:cs="宋体"/>
          <w:sz w:val="24"/>
        </w:rPr>
      </w:pP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sz w:val="24"/>
        </w:rPr>
        <w:t>（1）符合参加政府采购活动应当具备的一般条件的承诺函……………（页码）</w:t>
      </w:r>
    </w:p>
    <w:p w14:paraId="29D02AC2">
      <w:pPr>
        <w:snapToGrid w:val="0"/>
        <w:spacing w:line="360" w:lineRule="auto"/>
        <w:ind w:firstLine="240" w:firstLineChars="100"/>
        <w:rPr>
          <w:rFonts w:hint="eastAsia"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32052866">
      <w:pPr>
        <w:snapToGrid w:val="0"/>
        <w:spacing w:line="360" w:lineRule="auto"/>
        <w:rPr>
          <w:rFonts w:hint="eastAsia" w:ascii="宋体" w:hAnsi="宋体" w:cs="宋体"/>
          <w:sz w:val="24"/>
        </w:rPr>
      </w:pP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0AEB9551">
      <w:pPr>
        <w:snapToGrid w:val="0"/>
        <w:spacing w:line="360" w:lineRule="auto"/>
        <w:ind w:firstLine="240" w:firstLineChars="100"/>
        <w:rPr>
          <w:rFonts w:hint="eastAsia"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0ACC0A1D">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bookmarkStart w:id="516" w:name="OLE_LINK28"/>
      <w:bookmarkStart w:id="517" w:name="OLE_LINK29"/>
      <w:r>
        <w:rPr>
          <w:rFonts w:hint="eastAsia" w:ascii="宋体" w:hAnsi="宋体" w:cs="宋体"/>
          <w:color w:val="000000" w:themeColor="text1"/>
          <w:sz w:val="24"/>
          <w:szCs w:val="20"/>
          <w14:textFill>
            <w14:solidFill>
              <w14:schemeClr w14:val="tx1"/>
            </w14:solidFill>
          </w14:textFill>
        </w:rPr>
        <w:t>▲</w:t>
      </w:r>
      <w:bookmarkEnd w:id="516"/>
      <w:bookmarkEnd w:id="517"/>
      <w:r>
        <w:rPr>
          <w:rFonts w:hint="eastAsia" w:ascii="宋体" w:hAnsi="宋体" w:cs="宋体"/>
          <w:color w:val="000000" w:themeColor="text1"/>
          <w:sz w:val="24"/>
          <w:szCs w:val="20"/>
          <w14:textFill>
            <w14:solidFill>
              <w14:schemeClr w14:val="tx1"/>
            </w14:solidFill>
          </w14:textFill>
        </w:rPr>
        <w:t>”是实质性要求，必须提供，否则投标无效。</w:t>
      </w:r>
    </w:p>
    <w:p w14:paraId="0451388A">
      <w:pPr>
        <w:spacing w:line="360" w:lineRule="auto"/>
        <w:ind w:firstLine="480" w:firstLineChars="200"/>
        <w:rPr>
          <w:rFonts w:ascii="宋体" w:hAnsi="宋体" w:cs="宋体"/>
          <w:color w:val="000000" w:themeColor="text1"/>
          <w:sz w:val="24"/>
          <w14:textFill>
            <w14:solidFill>
              <w14:schemeClr w14:val="tx1"/>
            </w14:solidFill>
          </w14:textFill>
        </w:rPr>
      </w:pPr>
    </w:p>
    <w:p w14:paraId="18E87E6F">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br w:type="page"/>
      </w:r>
      <w:r>
        <w:rPr>
          <w:rFonts w:hint="eastAsia" w:ascii="宋体" w:hAnsi="宋体" w:cs="宋体"/>
          <w:b/>
          <w:color w:val="000000" w:themeColor="text1"/>
          <w:kern w:val="0"/>
          <w:sz w:val="32"/>
          <w:szCs w:val="32"/>
          <w14:textFill>
            <w14:solidFill>
              <w14:schemeClr w14:val="tx1"/>
            </w14:solidFill>
          </w14:textFill>
        </w:rPr>
        <w:t xml:space="preserve">  一、 符合参加政府采购活动应当具备的一般条件的承诺函</w:t>
      </w:r>
    </w:p>
    <w:p w14:paraId="37DBBF70">
      <w:pPr>
        <w:snapToGrid w:val="0"/>
        <w:spacing w:line="360" w:lineRule="auto"/>
        <w:ind w:right="480"/>
        <w:jc w:val="center"/>
        <w:rPr>
          <w:rFonts w:ascii="宋体" w:hAnsi="宋体" w:cs="宋体"/>
          <w:color w:val="000000" w:themeColor="text1"/>
          <w:sz w:val="24"/>
          <w14:textFill>
            <w14:solidFill>
              <w14:schemeClr w14:val="tx1"/>
            </w14:solidFill>
          </w14:textFill>
        </w:rPr>
      </w:pPr>
    </w:p>
    <w:p w14:paraId="7188E777">
      <w:pPr>
        <w:snapToGrid w:val="0"/>
        <w:spacing w:line="360" w:lineRule="auto"/>
        <w:ind w:right="48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北海市政府采购供应商信用承诺函（格式）</w:t>
      </w:r>
    </w:p>
    <w:p w14:paraId="6C82BCB9">
      <w:pPr>
        <w:snapToGrid w:val="0"/>
        <w:spacing w:line="360" w:lineRule="auto"/>
        <w:rPr>
          <w:rFonts w:ascii="宋体" w:hAnsi="宋体" w:cs="宋体"/>
          <w:color w:val="000000" w:themeColor="text1"/>
          <w:sz w:val="24"/>
          <w14:textFill>
            <w14:solidFill>
              <w14:schemeClr w14:val="tx1"/>
            </w14:solidFill>
          </w14:textFill>
        </w:rPr>
      </w:pPr>
    </w:p>
    <w:p w14:paraId="2BEA699E">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 ：</w:t>
      </w:r>
    </w:p>
    <w:p w14:paraId="58A93725">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p>
    <w:p w14:paraId="59207BF5">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统一社会信用代码：</w:t>
      </w:r>
    </w:p>
    <w:p w14:paraId="2D0F7916">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供应商地址：</w:t>
      </w:r>
    </w:p>
    <w:p w14:paraId="5CFB0238">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5604D509">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1.我单位具有符合采购文件资格要求独立承担民事责任的能力。</w:t>
      </w:r>
    </w:p>
    <w:p w14:paraId="3D520D05">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2.我单位具有符合采购文件资格要求的财务状况报告。</w:t>
      </w:r>
    </w:p>
    <w:p w14:paraId="77A99016">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3.我单位具有符合采购文件资格要求的依法缴纳税收和社会保障记录的良好记录。</w:t>
      </w:r>
    </w:p>
    <w:p w14:paraId="43D68959">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4.我单位具有符合采购文件资格要求履行合同所必需的设备和专业技术能力。</w:t>
      </w:r>
    </w:p>
    <w:p w14:paraId="51C243DC">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5.参加政府采购活动前三年内，在经营活动中没有重大违法记录。</w:t>
      </w:r>
    </w:p>
    <w:p w14:paraId="26A93EBB">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若我单位承诺不实，自愿承担提供虚假材料谋取中标、成交的法律责任。</w:t>
      </w:r>
    </w:p>
    <w:p w14:paraId="3F144EC5">
      <w:pPr>
        <w:snapToGrid w:val="0"/>
        <w:spacing w:line="360" w:lineRule="auto"/>
        <w:ind w:right="480"/>
        <w:rPr>
          <w:rFonts w:ascii="宋体" w:hAnsi="宋体" w:cs="宋体"/>
          <w:color w:val="000000" w:themeColor="text1"/>
          <w:sz w:val="24"/>
          <w14:textFill>
            <w14:solidFill>
              <w14:schemeClr w14:val="tx1"/>
            </w14:solidFill>
          </w14:textFill>
        </w:rPr>
      </w:pPr>
    </w:p>
    <w:p w14:paraId="337BB403">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投标人名称（公章）：</w:t>
      </w:r>
    </w:p>
    <w:p w14:paraId="4B4321AE">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37AEEE33">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7FCAA3A1">
      <w:pPr>
        <w:snapToGrid w:val="0"/>
        <w:spacing w:line="360" w:lineRule="auto"/>
        <w:ind w:right="480"/>
        <w:rPr>
          <w:rFonts w:ascii="宋体" w:hAnsi="宋体" w:cs="宋体"/>
          <w:color w:val="000000" w:themeColor="text1"/>
          <w:sz w:val="24"/>
          <w14:textFill>
            <w14:solidFill>
              <w14:schemeClr w14:val="tx1"/>
            </w14:solidFill>
          </w14:textFill>
        </w:rPr>
      </w:pPr>
    </w:p>
    <w:p w14:paraId="06290FDD">
      <w:pPr>
        <w:snapToGrid w:val="0"/>
        <w:spacing w:line="360" w:lineRule="auto"/>
        <w:ind w:right="480"/>
        <w:rPr>
          <w:rFonts w:ascii="宋体" w:hAnsi="宋体" w:cs="宋体"/>
          <w:b/>
          <w:color w:val="000000" w:themeColor="text1"/>
          <w:sz w:val="32"/>
          <w:szCs w:val="32"/>
          <w14:textFill>
            <w14:solidFill>
              <w14:schemeClr w14:val="tx1"/>
            </w14:solidFill>
          </w14:textFill>
        </w:rPr>
      </w:pPr>
    </w:p>
    <w:p w14:paraId="0DED1320">
      <w:pPr>
        <w:widowControl/>
        <w:snapToGrid w:val="0"/>
        <w:jc w:val="center"/>
        <w:rPr>
          <w:rFonts w:ascii="宋体" w:hAnsi="宋体" w:cs="宋体"/>
          <w:b/>
          <w:color w:val="000000" w:themeColor="text1"/>
          <w:sz w:val="32"/>
          <w:szCs w:val="32"/>
          <w14:textFill>
            <w14:solidFill>
              <w14:schemeClr w14:val="tx1"/>
            </w14:solidFill>
          </w14:textFill>
        </w:rPr>
      </w:pPr>
    </w:p>
    <w:p w14:paraId="18559D8C">
      <w:pPr>
        <w:pStyle w:val="2"/>
        <w:rPr>
          <w:lang w:val="en-US"/>
        </w:rPr>
      </w:pPr>
    </w:p>
    <w:p w14:paraId="671CF5BF"/>
    <w:p w14:paraId="232581E5">
      <w:pPr>
        <w:pStyle w:val="2"/>
        <w:rPr>
          <w:lang w:val="en-US"/>
        </w:rPr>
      </w:pPr>
    </w:p>
    <w:p w14:paraId="7F70FD9F">
      <w:pPr>
        <w:widowControl/>
        <w:snapToGrid w:val="0"/>
        <w:jc w:val="center"/>
        <w:rPr>
          <w:rFonts w:ascii="宋体" w:hAnsi="宋体" w:cs="宋体"/>
          <w:color w:val="000000" w:themeColor="text1"/>
          <w:sz w:val="24"/>
          <w14:textFill>
            <w14:solidFill>
              <w14:schemeClr w14:val="tx1"/>
            </w14:solidFill>
          </w14:textFill>
        </w:rPr>
      </w:pPr>
    </w:p>
    <w:p w14:paraId="7C1CC2B0">
      <w:pPr>
        <w:snapToGrid w:val="0"/>
        <w:spacing w:line="360" w:lineRule="auto"/>
        <w:ind w:right="480"/>
        <w:rPr>
          <w:rFonts w:ascii="宋体" w:hAnsi="宋体" w:cs="宋体"/>
          <w:color w:val="000000" w:themeColor="text1"/>
          <w14:textFill>
            <w14:solidFill>
              <w14:schemeClr w14:val="tx1"/>
            </w14:solidFill>
          </w14:textFill>
        </w:rPr>
      </w:pPr>
    </w:p>
    <w:p w14:paraId="6B91692E">
      <w:pPr>
        <w:widowControl/>
        <w:spacing w:line="360" w:lineRule="auto"/>
        <w:ind w:firstLine="643" w:firstLineChars="200"/>
        <w:jc w:val="center"/>
        <w:rPr>
          <w:rFonts w:hint="eastAsia" w:ascii="宋体" w:hAnsi="宋体" w:cs="宋体"/>
          <w:b/>
          <w:kern w:val="0"/>
          <w:sz w:val="32"/>
          <w:szCs w:val="32"/>
        </w:rPr>
      </w:pPr>
      <w:r>
        <w:rPr>
          <w:rFonts w:hint="eastAsia" w:ascii="宋体" w:hAnsi="宋体" w:cs="宋体"/>
          <w:b/>
          <w:kern w:val="0"/>
          <w:sz w:val="32"/>
          <w:szCs w:val="32"/>
        </w:rPr>
        <w:t>二、联合协议（如果有）</w:t>
      </w:r>
    </w:p>
    <w:p w14:paraId="447D0365">
      <w:pPr>
        <w:widowControl/>
        <w:spacing w:line="360" w:lineRule="auto"/>
        <w:ind w:firstLine="482" w:firstLineChars="200"/>
        <w:jc w:val="left"/>
        <w:rPr>
          <w:rFonts w:hint="eastAsia"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7812CA1D">
      <w:pPr>
        <w:widowControl/>
        <w:spacing w:line="360" w:lineRule="auto"/>
        <w:ind w:firstLine="643" w:firstLineChars="200"/>
        <w:jc w:val="center"/>
        <w:rPr>
          <w:rFonts w:hint="eastAsia" w:ascii="宋体" w:hAnsi="宋体" w:cs="宋体"/>
          <w:b/>
          <w:color w:val="000000" w:themeColor="text1"/>
          <w:kern w:val="0"/>
          <w:sz w:val="32"/>
          <w:szCs w:val="32"/>
          <w14:textFill>
            <w14:solidFill>
              <w14:schemeClr w14:val="tx1"/>
            </w14:solidFill>
          </w14:textFill>
        </w:rPr>
      </w:pPr>
    </w:p>
    <w:p w14:paraId="2E6250A2">
      <w:pPr>
        <w:widowControl/>
        <w:spacing w:line="360" w:lineRule="auto"/>
        <w:ind w:firstLine="643" w:firstLineChars="20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lang w:eastAsia="zh-CN"/>
          <w14:textFill>
            <w14:solidFill>
              <w14:schemeClr w14:val="tx1"/>
            </w14:solidFill>
          </w14:textFill>
        </w:rPr>
        <w:t>三</w:t>
      </w:r>
      <w:r>
        <w:rPr>
          <w:rFonts w:hint="eastAsia" w:ascii="宋体" w:hAnsi="宋体" w:cs="宋体"/>
          <w:b/>
          <w:color w:val="000000" w:themeColor="text1"/>
          <w:kern w:val="0"/>
          <w:sz w:val="32"/>
          <w:szCs w:val="32"/>
          <w14:textFill>
            <w14:solidFill>
              <w14:schemeClr w14:val="tx1"/>
            </w14:solidFill>
          </w14:textFill>
        </w:rPr>
        <w:t>、落实政府采购政策需满足的资格要求</w:t>
      </w:r>
    </w:p>
    <w:p w14:paraId="77CC0BA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（根据招标公告落实政府采购政策需满足的资格要求选择提供相应的材料；未要求的，无需提供）</w:t>
      </w:r>
    </w:p>
    <w:p w14:paraId="0D92EFEB">
      <w:pPr>
        <w:snapToGrid w:val="0"/>
        <w:spacing w:before="50" w:after="50" w:line="360" w:lineRule="auto"/>
        <w:ind w:firstLine="470" w:firstLineChars="19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专门面向中小企业，服务全部由符合政策要求的中小企业（或小微企业）承接的，须提供相应的中小企业声明函（附件</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 xml:space="preserve">）。 </w:t>
      </w:r>
    </w:p>
    <w:p w14:paraId="7FA66456">
      <w:pPr>
        <w:widowControl/>
        <w:spacing w:line="360" w:lineRule="auto"/>
        <w:ind w:firstLine="480"/>
        <w:jc w:val="left"/>
        <w:rPr>
          <w:rFonts w:ascii="宋体" w:hAnsi="宋体" w:cs="宋体"/>
          <w:color w:val="000000" w:themeColor="text1"/>
          <w:sz w:val="24"/>
          <w14:textFill>
            <w14:solidFill>
              <w14:schemeClr w14:val="tx1"/>
            </w14:solidFill>
          </w14:textFill>
        </w:rPr>
      </w:pPr>
    </w:p>
    <w:p w14:paraId="75EF7300">
      <w:pPr>
        <w:widowControl/>
        <w:spacing w:line="360" w:lineRule="auto"/>
        <w:ind w:left="150"/>
        <w:jc w:val="center"/>
        <w:rPr>
          <w:rFonts w:ascii="宋体" w:hAnsi="宋体" w:cs="宋体"/>
          <w:b/>
          <w:color w:val="000000" w:themeColor="text1"/>
          <w:kern w:val="0"/>
          <w:sz w:val="32"/>
          <w:szCs w:val="32"/>
          <w14:textFill>
            <w14:solidFill>
              <w14:schemeClr w14:val="tx1"/>
            </w14:solidFill>
          </w14:textFill>
        </w:rPr>
      </w:pPr>
    </w:p>
    <w:p w14:paraId="1423C080">
      <w:pPr>
        <w:widowControl/>
        <w:spacing w:line="360" w:lineRule="auto"/>
        <w:ind w:left="15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lang w:eastAsia="zh-CN"/>
          <w14:textFill>
            <w14:solidFill>
              <w14:schemeClr w14:val="tx1"/>
            </w14:solidFill>
          </w14:textFill>
        </w:rPr>
        <w:t>四</w:t>
      </w:r>
      <w:r>
        <w:rPr>
          <w:rFonts w:hint="eastAsia" w:ascii="宋体" w:hAnsi="宋体" w:cs="宋体"/>
          <w:b/>
          <w:color w:val="000000" w:themeColor="text1"/>
          <w:kern w:val="0"/>
          <w:sz w:val="32"/>
          <w:szCs w:val="32"/>
          <w14:textFill>
            <w14:solidFill>
              <w14:schemeClr w14:val="tx1"/>
            </w14:solidFill>
          </w14:textFill>
        </w:rPr>
        <w:t>、本项目的特定资格要求</w:t>
      </w:r>
    </w:p>
    <w:p w14:paraId="7AD23A47">
      <w:pPr>
        <w:rPr>
          <w:rFonts w:hint="eastAsia" w:ascii="宋体" w:hAnsi="宋体" w:cs="宋体"/>
          <w:color w:val="000000" w:themeColor="text1"/>
          <w14:textFill>
            <w14:solidFill>
              <w14:schemeClr w14:val="tx1"/>
            </w14:solidFill>
          </w14:textFill>
        </w:rPr>
      </w:pPr>
      <w:r>
        <w:rPr>
          <w:rFonts w:hint="eastAsia" w:ascii="宋体" w:hAnsi="宋体" w:cs="宋体"/>
          <w:sz w:val="24"/>
        </w:rPr>
        <w:t>（根据招标公告本项目的特定资格要求提供相应的材料；未要求的，无需提供）</w:t>
      </w:r>
    </w:p>
    <w:p w14:paraId="32BEC190">
      <w:pPr>
        <w:rPr>
          <w:rFonts w:ascii="宋体" w:hAnsi="宋体" w:cs="宋体"/>
          <w:color w:val="000000" w:themeColor="text1"/>
          <w14:textFill>
            <w14:solidFill>
              <w14:schemeClr w14:val="tx1"/>
            </w14:solidFill>
          </w14:textFill>
        </w:rPr>
      </w:pPr>
    </w:p>
    <w:p w14:paraId="0A12D512">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02FE37FA">
      <w:pPr>
        <w:widowControl/>
        <w:adjustRightInd/>
        <w:jc w:val="left"/>
        <w:rPr>
          <w:rFonts w:ascii="宋体" w:hAnsi="宋体" w:cs="宋体"/>
          <w:b/>
          <w:color w:val="000000" w:themeColor="text1"/>
          <w:kern w:val="0"/>
          <w:sz w:val="36"/>
          <w:szCs w:val="36"/>
          <w14:textFill>
            <w14:solidFill>
              <w14:schemeClr w14:val="tx1"/>
            </w14:solidFill>
          </w14:textFill>
        </w:rPr>
      </w:pPr>
      <w:r>
        <w:rPr>
          <w:rFonts w:ascii="宋体" w:hAnsi="宋体" w:cs="宋体"/>
          <w:b/>
          <w:color w:val="000000" w:themeColor="text1"/>
          <w:kern w:val="0"/>
          <w:sz w:val="36"/>
          <w:szCs w:val="36"/>
          <w14:textFill>
            <w14:solidFill>
              <w14:schemeClr w14:val="tx1"/>
            </w14:solidFill>
          </w14:textFill>
        </w:rPr>
        <w:br w:type="page"/>
      </w:r>
    </w:p>
    <w:p w14:paraId="7144A4FF">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商务技术文件部分</w:t>
      </w:r>
    </w:p>
    <w:p w14:paraId="4477CEA2">
      <w:pPr>
        <w:spacing w:line="360" w:lineRule="auto"/>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目录</w:t>
      </w:r>
    </w:p>
    <w:p w14:paraId="1C8AEAC3">
      <w:pPr>
        <w:snapToGrid w:val="0"/>
        <w:spacing w:line="360" w:lineRule="auto"/>
        <w:ind w:left="479" w:leftChars="228"/>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color w:val="000000" w:themeColor="text1"/>
          <w:sz w:val="24"/>
          <w14:textFill>
            <w14:solidFill>
              <w14:schemeClr w14:val="tx1"/>
            </w14:solidFill>
          </w14:textFill>
        </w:rPr>
        <w:t>（1）投标函</w:t>
      </w:r>
      <w:r>
        <w:rPr>
          <w:rFonts w:hint="eastAsia" w:ascii="宋体" w:hAnsi="宋体" w:cs="宋体"/>
          <w:color w:val="000000" w:themeColor="text1"/>
          <w14:textFill>
            <w14:solidFill>
              <w14:schemeClr w14:val="tx1"/>
            </w14:solidFill>
          </w14:textFill>
        </w:rPr>
        <w:t>………………………………………………………………………………（页码）</w:t>
      </w:r>
    </w:p>
    <w:p w14:paraId="185D0F10">
      <w:pPr>
        <w:snapToGrid w:val="0"/>
        <w:spacing w:line="360" w:lineRule="auto"/>
        <w:ind w:left="479" w:leftChars="228"/>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color w:val="000000" w:themeColor="text1"/>
          <w:sz w:val="24"/>
          <w14:textFill>
            <w14:solidFill>
              <w14:schemeClr w14:val="tx1"/>
            </w14:solidFill>
          </w14:textFill>
        </w:rPr>
        <w:t>（2）授权委托书或法定代表人（单位负责人、自然人本人）身份证明</w:t>
      </w:r>
      <w:r>
        <w:rPr>
          <w:rFonts w:hint="eastAsia" w:ascii="宋体" w:hAnsi="宋体" w:cs="宋体"/>
          <w:color w:val="000000" w:themeColor="text1"/>
          <w14:textFill>
            <w14:solidFill>
              <w14:schemeClr w14:val="tx1"/>
            </w14:solidFill>
          </w14:textFill>
        </w:rPr>
        <w:t>……（页码）</w:t>
      </w:r>
    </w:p>
    <w:p w14:paraId="45179295">
      <w:pPr>
        <w:snapToGrid w:val="0"/>
        <w:spacing w:line="360" w:lineRule="auto"/>
        <w:ind w:left="479" w:leftChars="228" w:firstLine="240" w:firstLineChars="100"/>
        <w:rPr>
          <w:rFonts w:hint="eastAsia"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14:paraId="345F39B1">
      <w:pPr>
        <w:snapToGrid w:val="0"/>
        <w:spacing w:line="360" w:lineRule="auto"/>
        <w:ind w:firstLine="720" w:firstLineChars="3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（4）符合性审查资料</w:t>
      </w:r>
      <w:r>
        <w:rPr>
          <w:rFonts w:hint="eastAsia" w:ascii="宋体" w:hAnsi="宋体" w:cs="宋体"/>
          <w:color w:val="000000" w:themeColor="text1"/>
          <w14:textFill>
            <w14:solidFill>
              <w14:schemeClr w14:val="tx1"/>
            </w14:solidFill>
          </w14:textFill>
        </w:rPr>
        <w:t>……………………………………………………………………（页码）</w:t>
      </w:r>
    </w:p>
    <w:p w14:paraId="443513CB">
      <w:pPr>
        <w:snapToGrid w:val="0"/>
        <w:spacing w:line="360" w:lineRule="auto"/>
        <w:ind w:left="718" w:leftChars="342"/>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（5）评标标准相应的商务技术资料</w:t>
      </w:r>
      <w:r>
        <w:rPr>
          <w:rFonts w:hint="eastAsia" w:ascii="宋体" w:hAnsi="宋体" w:cs="宋体"/>
          <w:color w:val="000000" w:themeColor="text1"/>
          <w14:textFill>
            <w14:solidFill>
              <w14:schemeClr w14:val="tx1"/>
            </w14:solidFill>
          </w14:textFill>
        </w:rPr>
        <w:t>…………………………………………………（页码）</w:t>
      </w:r>
      <w:r>
        <w:rPr>
          <w:rFonts w:hint="eastAsia" w:ascii="宋体" w:hAnsi="宋体" w:cs="宋体"/>
          <w:color w:val="000000" w:themeColor="text1"/>
          <w:sz w:val="24"/>
          <w14:textFill>
            <w14:solidFill>
              <w14:schemeClr w14:val="tx1"/>
            </w14:solidFill>
          </w14:textFill>
        </w:rPr>
        <w:t>（6）投标标的清单</w:t>
      </w:r>
      <w:r>
        <w:rPr>
          <w:rFonts w:hint="eastAsia" w:ascii="宋体" w:hAnsi="宋体" w:cs="宋体"/>
          <w:color w:val="000000" w:themeColor="text1"/>
          <w14:textFill>
            <w14:solidFill>
              <w14:schemeClr w14:val="tx1"/>
            </w14:solidFill>
          </w14:textFill>
        </w:rPr>
        <w:t>………………………………………………………………………（页码）</w:t>
      </w:r>
    </w:p>
    <w:p w14:paraId="43451A14">
      <w:pPr>
        <w:snapToGrid w:val="0"/>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color w:val="000000" w:themeColor="text1"/>
          <w:sz w:val="24"/>
          <w14:textFill>
            <w14:solidFill>
              <w14:schemeClr w14:val="tx1"/>
            </w14:solidFill>
          </w14:textFill>
        </w:rPr>
        <w:t>（7）商务技术偏离表</w:t>
      </w:r>
      <w:r>
        <w:rPr>
          <w:rFonts w:hint="eastAsia" w:ascii="宋体" w:hAnsi="宋体" w:cs="宋体"/>
          <w:color w:val="000000" w:themeColor="text1"/>
          <w14:textFill>
            <w14:solidFill>
              <w14:schemeClr w14:val="tx1"/>
            </w14:solidFill>
          </w14:textFill>
        </w:rPr>
        <w:t>…………………………………………………………………（页码）</w:t>
      </w:r>
    </w:p>
    <w:p w14:paraId="4D06481B">
      <w:pPr>
        <w:snapToGrid w:val="0"/>
        <w:spacing w:line="360" w:lineRule="auto"/>
        <w:ind w:left="479" w:leftChars="228"/>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lang w:val="zh-CN"/>
          <w14:textFill>
            <w14:solidFill>
              <w14:schemeClr w14:val="tx1"/>
            </w14:solidFill>
          </w14:textFill>
        </w:rPr>
        <w:t>）政府采购供应商廉洁自律承诺书</w:t>
      </w:r>
      <w:r>
        <w:rPr>
          <w:rFonts w:hint="eastAsia" w:ascii="宋体" w:hAnsi="宋体" w:cs="宋体"/>
          <w:color w:val="000000" w:themeColor="text1"/>
          <w14:textFill>
            <w14:solidFill>
              <w14:schemeClr w14:val="tx1"/>
            </w14:solidFill>
          </w14:textFill>
        </w:rPr>
        <w:t>………………………………………………（页码）</w:t>
      </w:r>
    </w:p>
    <w:p w14:paraId="050921A8">
      <w:pPr>
        <w:snapToGrid w:val="0"/>
        <w:spacing w:line="360" w:lineRule="auto"/>
        <w:ind w:left="479" w:leftChars="228"/>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9</w:t>
      </w:r>
      <w:r>
        <w:rPr>
          <w:rFonts w:hint="eastAsia" w:ascii="宋体" w:hAnsi="宋体" w:cs="宋体"/>
          <w:color w:val="000000" w:themeColor="text1"/>
          <w:sz w:val="24"/>
          <w:lang w:val="zh-CN"/>
          <w14:textFill>
            <w14:solidFill>
              <w14:schemeClr w14:val="tx1"/>
            </w14:solidFill>
          </w14:textFill>
        </w:rPr>
        <w:t>）承诺函</w:t>
      </w:r>
      <w:r>
        <w:rPr>
          <w:rFonts w:hint="eastAsia" w:ascii="宋体" w:hAnsi="宋体" w:cs="宋体"/>
          <w:color w:val="000000" w:themeColor="text1"/>
          <w14:textFill>
            <w14:solidFill>
              <w14:schemeClr w14:val="tx1"/>
            </w14:solidFill>
          </w14:textFill>
        </w:rPr>
        <w:t>………………………………………………………………………………（页码）</w:t>
      </w:r>
    </w:p>
    <w:p w14:paraId="4A5CE872">
      <w:pPr>
        <w:snapToGrid w:val="0"/>
        <w:spacing w:line="360" w:lineRule="auto"/>
        <w:ind w:left="479" w:leftChars="228"/>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（10）技术解决方案………………………………………………………………（页码）</w:t>
      </w:r>
    </w:p>
    <w:p w14:paraId="694E4304">
      <w:pPr>
        <w:snapToGrid w:val="0"/>
        <w:spacing w:line="360" w:lineRule="auto"/>
        <w:ind w:left="479" w:leftChars="228"/>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color w:val="000000" w:themeColor="text1"/>
          <w:sz w:val="24"/>
          <w:lang w:val="zh-CN"/>
          <w14:textFill>
            <w14:solidFill>
              <w14:schemeClr w14:val="tx1"/>
            </w14:solidFill>
          </w14:textFill>
        </w:rPr>
        <w:t>（11）组织实施方案……………………………………………………………（页码）</w:t>
      </w:r>
    </w:p>
    <w:p w14:paraId="7A6DD5FA">
      <w:pPr>
        <w:snapToGrid w:val="0"/>
        <w:spacing w:line="360" w:lineRule="auto"/>
        <w:ind w:left="479" w:leftChars="228"/>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（12）售后服务方案………………………………………………………………（页码）</w:t>
      </w:r>
    </w:p>
    <w:p w14:paraId="14910E57">
      <w:pPr>
        <w:snapToGrid w:val="0"/>
        <w:spacing w:line="360" w:lineRule="auto"/>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szCs w:val="20"/>
          <w14:textFill>
            <w14:solidFill>
              <w14:schemeClr w14:val="tx1"/>
            </w14:solidFill>
          </w14:textFill>
        </w:rPr>
        <w:t>▲”是实质性条款，必须提供，否则投标无效。</w:t>
      </w:r>
    </w:p>
    <w:p w14:paraId="54CF4D20">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0C9F6D12">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1EA4B1E9">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1F958C9C">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602C7B19">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64BBAE08">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4F0C9B41">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4BFB4734">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3BCCC4A2">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4CD11D45">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0D32C636">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20DABAA1">
      <w:pPr>
        <w:rPr>
          <w:rFonts w:ascii="宋体" w:hAnsi="宋体" w:cs="宋体"/>
          <w:b/>
          <w:color w:val="000000" w:themeColor="text1"/>
          <w:kern w:val="0"/>
          <w:sz w:val="32"/>
          <w:szCs w:val="32"/>
          <w:lang w:val="zh-CN"/>
          <w14:textFill>
            <w14:solidFill>
              <w14:schemeClr w14:val="tx1"/>
            </w14:solidFill>
          </w14:textFill>
        </w:rPr>
      </w:pPr>
    </w:p>
    <w:p w14:paraId="2F1650B3">
      <w:pPr>
        <w:widowControl/>
        <w:adjustRightInd/>
        <w:jc w:val="left"/>
        <w:rPr>
          <w:rFonts w:ascii="宋体" w:hAnsi="宋体" w:cs="宋体"/>
          <w:b/>
          <w:color w:val="000000" w:themeColor="text1"/>
          <w:kern w:val="0"/>
          <w:sz w:val="32"/>
          <w:szCs w:val="32"/>
          <w14:textFill>
            <w14:solidFill>
              <w14:schemeClr w14:val="tx1"/>
            </w14:solidFill>
          </w14:textFill>
        </w:rPr>
      </w:pPr>
    </w:p>
    <w:p w14:paraId="778FAF5F">
      <w:pPr>
        <w:snapToGrid w:val="0"/>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一、投标</w:t>
      </w:r>
      <w:r>
        <w:rPr>
          <w:rFonts w:hint="eastAsia" w:ascii="宋体" w:hAnsi="宋体" w:cs="宋体"/>
          <w:b/>
          <w:color w:val="000000" w:themeColor="text1"/>
          <w:sz w:val="32"/>
          <w:szCs w:val="32"/>
          <w14:textFill>
            <w14:solidFill>
              <w14:schemeClr w14:val="tx1"/>
            </w14:solidFill>
          </w14:textFill>
        </w:rPr>
        <w:t>函</w:t>
      </w:r>
    </w:p>
    <w:p w14:paraId="3F050D21">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w:t>
      </w:r>
    </w:p>
    <w:p w14:paraId="1DC14313">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我方参加你方组织的（项目名称）【招标编号：（采购编号）】招标的有关活动，并对此项目进行投标。为此：</w:t>
      </w:r>
    </w:p>
    <w:p w14:paraId="0692BBB1">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1、我方承诺投标有效期从提交投标文件的截止之日起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天（不少于60天）</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本投标文件在投标有效期满之前均具有约束力。</w:t>
      </w:r>
    </w:p>
    <w:p w14:paraId="1F37EE77">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2、我方的投标文件包括以下内容：</w:t>
      </w:r>
    </w:p>
    <w:p w14:paraId="22712545">
      <w:pPr>
        <w:snapToGrid w:val="0"/>
        <w:spacing w:line="360" w:lineRule="auto"/>
        <w:ind w:left="210" w:leftChars="100" w:firstLine="480" w:firstLineChars="200"/>
        <w:rPr>
          <w:rFonts w:hint="eastAsia" w:ascii="宋体" w:hAnsi="宋体" w:cs="宋体"/>
          <w:sz w:val="24"/>
        </w:rPr>
      </w:pPr>
      <w:r>
        <w:rPr>
          <w:rFonts w:hint="eastAsia" w:ascii="宋体" w:hAnsi="宋体" w:cs="宋体"/>
          <w:sz w:val="24"/>
        </w:rPr>
        <w:t>2.1资格文件：</w:t>
      </w:r>
    </w:p>
    <w:p w14:paraId="69AF959D">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2.1.1承诺函；</w:t>
      </w:r>
    </w:p>
    <w:p w14:paraId="100BA82A">
      <w:pPr>
        <w:snapToGrid w:val="0"/>
        <w:spacing w:line="360" w:lineRule="auto"/>
        <w:ind w:left="420" w:leftChars="200" w:firstLine="480" w:firstLineChars="200"/>
        <w:rPr>
          <w:rFonts w:hint="eastAsia" w:ascii="宋体" w:hAnsi="宋体" w:cs="宋体"/>
          <w:sz w:val="24"/>
          <w:highlight w:val="none"/>
        </w:rPr>
      </w:pPr>
      <w:r>
        <w:rPr>
          <w:rFonts w:hint="eastAsia" w:ascii="宋体" w:hAnsi="宋体" w:cs="宋体"/>
          <w:sz w:val="24"/>
        </w:rPr>
        <w:t>2.1.2</w:t>
      </w:r>
      <w:r>
        <w:rPr>
          <w:rFonts w:hint="eastAsia" w:ascii="宋体" w:hAnsi="宋体" w:cs="宋体"/>
          <w:snapToGrid w:val="0"/>
          <w:kern w:val="28"/>
          <w:sz w:val="24"/>
          <w:szCs w:val="20"/>
        </w:rPr>
        <w:t>联合协议</w:t>
      </w:r>
      <w:bookmarkStart w:id="518" w:name="_Hlk101257010"/>
      <w:r>
        <w:rPr>
          <w:rFonts w:hint="eastAsia" w:ascii="宋体" w:hAnsi="宋体" w:cs="宋体"/>
          <w:sz w:val="24"/>
        </w:rPr>
        <w:t>（如果有)</w:t>
      </w:r>
      <w:bookmarkEnd w:id="518"/>
      <w:r>
        <w:rPr>
          <w:rFonts w:hint="eastAsia" w:ascii="宋体" w:hAnsi="宋体" w:cs="宋体"/>
          <w:snapToGrid w:val="0"/>
          <w:kern w:val="28"/>
          <w:sz w:val="24"/>
          <w:szCs w:val="20"/>
        </w:rPr>
        <w:t>；</w:t>
      </w:r>
    </w:p>
    <w:p w14:paraId="2A3F1DF7">
      <w:pPr>
        <w:snapToGrid w:val="0"/>
        <w:spacing w:line="360" w:lineRule="auto"/>
        <w:ind w:left="420" w:leftChars="200" w:firstLine="480" w:firstLineChars="200"/>
        <w:rPr>
          <w:rFonts w:hint="eastAsia" w:ascii="宋体" w:hAnsi="宋体" w:cs="宋体"/>
          <w:sz w:val="24"/>
          <w:highlight w:val="none"/>
        </w:rPr>
      </w:pPr>
      <w:r>
        <w:rPr>
          <w:rFonts w:hint="eastAsia" w:ascii="宋体" w:hAnsi="宋体" w:cs="宋体"/>
          <w:sz w:val="24"/>
          <w:highlight w:val="none"/>
        </w:rPr>
        <w:t>2</w:t>
      </w:r>
      <w:r>
        <w:rPr>
          <w:rFonts w:ascii="宋体" w:hAnsi="宋体" w:cs="宋体"/>
          <w:sz w:val="24"/>
          <w:highlight w:val="none"/>
        </w:rPr>
        <w:t>.1.3</w:t>
      </w:r>
      <w:r>
        <w:rPr>
          <w:rFonts w:hint="eastAsia" w:ascii="宋体" w:hAnsi="宋体" w:cs="宋体"/>
          <w:sz w:val="24"/>
          <w:highlight w:val="none"/>
        </w:rPr>
        <w:t>落实政府采购政策需满足的资格</w:t>
      </w:r>
      <w:r>
        <w:rPr>
          <w:rFonts w:hint="eastAsia" w:ascii="宋体" w:hAnsi="宋体" w:cs="宋体"/>
          <w:color w:val="auto"/>
          <w:sz w:val="24"/>
          <w:highlight w:val="none"/>
        </w:rPr>
        <w:t>要求（如果有）；</w:t>
      </w:r>
    </w:p>
    <w:p w14:paraId="526D43E0">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本项目的特定资格要求（如果有)。</w:t>
      </w:r>
    </w:p>
    <w:p w14:paraId="44D1DC97">
      <w:pPr>
        <w:snapToGrid w:val="0"/>
        <w:spacing w:line="360" w:lineRule="auto"/>
        <w:ind w:left="210" w:leftChars="100" w:firstLine="480" w:firstLineChars="200"/>
        <w:rPr>
          <w:rFonts w:hint="eastAsia"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42085C21">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55C33E92">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2.2.2授权委托书或法定代表人（单位负责人）身份证明；</w:t>
      </w:r>
    </w:p>
    <w:p w14:paraId="3E44460C">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分包意向协议（如果有)；</w:t>
      </w:r>
    </w:p>
    <w:p w14:paraId="5C40207C">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符合性审查资料（如果有）；</w:t>
      </w:r>
    </w:p>
    <w:p w14:paraId="232B24FE">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评标标准相应的商务技术资料（如果有）；</w:t>
      </w:r>
    </w:p>
    <w:p w14:paraId="4936E5FC">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投标标的清单（如果有）；</w:t>
      </w:r>
    </w:p>
    <w:p w14:paraId="5A21D9D9">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14:paraId="5FAF49D9">
      <w:pPr>
        <w:snapToGrid w:val="0"/>
        <w:spacing w:line="360" w:lineRule="auto"/>
        <w:ind w:left="420" w:leftChars="200" w:firstLine="480" w:firstLineChars="200"/>
        <w:rPr>
          <w:rFonts w:hint="eastAsia"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62B0F8E0">
      <w:pPr>
        <w:pStyle w:val="82"/>
        <w:ind w:left="420" w:leftChars="200" w:firstLine="480" w:firstLineChars="200"/>
        <w:rPr>
          <w:rFonts w:hint="eastAsia"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9</w:t>
      </w:r>
      <w:r>
        <w:rPr>
          <w:rFonts w:hint="eastAsia" w:cs="宋体"/>
          <w:lang w:val="zh-CN"/>
        </w:rPr>
        <w:t>承诺函；</w:t>
      </w:r>
    </w:p>
    <w:p w14:paraId="3A488A8F">
      <w:pPr>
        <w:pStyle w:val="82"/>
        <w:ind w:left="420" w:leftChars="200" w:firstLine="480" w:firstLineChars="200"/>
        <w:rPr>
          <w:rFonts w:hint="eastAsia" w:cs="宋体"/>
          <w:color w:val="auto"/>
          <w:lang w:val="zh-CN"/>
        </w:rPr>
      </w:pPr>
      <w:r>
        <w:rPr>
          <w:rFonts w:hint="eastAsia" w:cs="宋体"/>
          <w:color w:val="auto"/>
        </w:rPr>
        <w:t>2</w:t>
      </w:r>
      <w:r>
        <w:rPr>
          <w:rFonts w:hint="eastAsia" w:cs="宋体"/>
          <w:color w:val="auto"/>
          <w:lang w:val="zh-CN"/>
        </w:rPr>
        <w:t>.</w:t>
      </w:r>
      <w:r>
        <w:rPr>
          <w:rFonts w:hint="eastAsia" w:cs="宋体"/>
          <w:color w:val="auto"/>
        </w:rPr>
        <w:t>2</w:t>
      </w:r>
      <w:r>
        <w:rPr>
          <w:rFonts w:hint="eastAsia" w:cs="宋体"/>
          <w:color w:val="auto"/>
          <w:lang w:val="zh-CN"/>
        </w:rPr>
        <w:t>.</w:t>
      </w:r>
      <w:r>
        <w:rPr>
          <w:rFonts w:hint="eastAsia" w:cs="宋体"/>
          <w:color w:val="auto"/>
        </w:rPr>
        <w:t>10</w:t>
      </w:r>
      <w:r>
        <w:rPr>
          <w:rFonts w:hint="eastAsia" w:cs="宋体"/>
          <w:color w:val="auto"/>
          <w:lang w:val="zh-CN"/>
        </w:rPr>
        <w:t>技术解决方案</w:t>
      </w:r>
      <w:r>
        <w:rPr>
          <w:rFonts w:hint="eastAsia" w:cs="宋体"/>
          <w:snapToGrid w:val="0"/>
          <w:color w:val="auto"/>
          <w:kern w:val="28"/>
        </w:rPr>
        <w:t>（如果有）</w:t>
      </w:r>
      <w:r>
        <w:rPr>
          <w:rFonts w:hint="eastAsia" w:cs="宋体"/>
          <w:color w:val="auto"/>
          <w:lang w:val="zh-CN"/>
        </w:rPr>
        <w:t>；</w:t>
      </w:r>
    </w:p>
    <w:p w14:paraId="0BF859FB">
      <w:pPr>
        <w:pStyle w:val="82"/>
        <w:ind w:left="420" w:leftChars="200" w:firstLine="480" w:firstLineChars="200"/>
        <w:rPr>
          <w:rFonts w:hint="eastAsia" w:cs="宋体"/>
          <w:color w:val="auto"/>
          <w:lang w:val="zh-CN"/>
        </w:rPr>
      </w:pPr>
      <w:r>
        <w:rPr>
          <w:rFonts w:hint="eastAsia" w:cs="宋体"/>
          <w:color w:val="auto"/>
        </w:rPr>
        <w:t>2</w:t>
      </w:r>
      <w:r>
        <w:rPr>
          <w:rFonts w:hint="eastAsia" w:cs="宋体"/>
          <w:color w:val="auto"/>
          <w:lang w:val="zh-CN"/>
        </w:rPr>
        <w:t>.</w:t>
      </w:r>
      <w:r>
        <w:rPr>
          <w:rFonts w:hint="eastAsia" w:cs="宋体"/>
          <w:color w:val="auto"/>
        </w:rPr>
        <w:t>2</w:t>
      </w:r>
      <w:r>
        <w:rPr>
          <w:rFonts w:hint="eastAsia" w:cs="宋体"/>
          <w:color w:val="auto"/>
          <w:lang w:val="zh-CN"/>
        </w:rPr>
        <w:t>.</w:t>
      </w:r>
      <w:r>
        <w:rPr>
          <w:rFonts w:hint="eastAsia" w:cs="宋体"/>
          <w:color w:val="auto"/>
        </w:rPr>
        <w:t>11</w:t>
      </w:r>
      <w:r>
        <w:rPr>
          <w:rFonts w:hint="eastAsia" w:cs="宋体"/>
          <w:color w:val="auto"/>
          <w:lang w:val="zh-CN"/>
        </w:rPr>
        <w:t>组织实施方案</w:t>
      </w:r>
      <w:r>
        <w:rPr>
          <w:rFonts w:hint="eastAsia" w:cs="宋体"/>
          <w:snapToGrid w:val="0"/>
          <w:color w:val="auto"/>
          <w:kern w:val="28"/>
        </w:rPr>
        <w:t>（如果有）</w:t>
      </w:r>
      <w:r>
        <w:rPr>
          <w:rFonts w:hint="eastAsia" w:cs="宋体"/>
          <w:color w:val="auto"/>
          <w:lang w:val="zh-CN"/>
        </w:rPr>
        <w:t>；</w:t>
      </w:r>
    </w:p>
    <w:p w14:paraId="51A0B757">
      <w:pPr>
        <w:pStyle w:val="82"/>
        <w:ind w:left="420" w:leftChars="200" w:firstLine="480" w:firstLineChars="200"/>
        <w:rPr>
          <w:rFonts w:hint="eastAsia"/>
          <w:color w:val="auto"/>
        </w:rPr>
      </w:pPr>
      <w:r>
        <w:rPr>
          <w:rFonts w:hint="eastAsia" w:cs="宋体"/>
          <w:color w:val="auto"/>
        </w:rPr>
        <w:t>2</w:t>
      </w:r>
      <w:r>
        <w:rPr>
          <w:rFonts w:hint="eastAsia" w:cs="宋体"/>
          <w:color w:val="auto"/>
          <w:lang w:val="zh-CN"/>
        </w:rPr>
        <w:t>.</w:t>
      </w:r>
      <w:r>
        <w:rPr>
          <w:rFonts w:hint="eastAsia" w:cs="宋体"/>
          <w:color w:val="auto"/>
        </w:rPr>
        <w:t>2</w:t>
      </w:r>
      <w:r>
        <w:rPr>
          <w:rFonts w:hint="eastAsia" w:cs="宋体"/>
          <w:color w:val="auto"/>
          <w:lang w:val="zh-CN"/>
        </w:rPr>
        <w:t>.</w:t>
      </w:r>
      <w:r>
        <w:rPr>
          <w:rFonts w:hint="eastAsia" w:cs="宋体"/>
          <w:color w:val="auto"/>
        </w:rPr>
        <w:t>12</w:t>
      </w:r>
      <w:r>
        <w:rPr>
          <w:rFonts w:hint="eastAsia" w:cs="宋体"/>
          <w:color w:val="auto"/>
          <w:lang w:val="zh-CN"/>
        </w:rPr>
        <w:t>售后服务方案。</w:t>
      </w:r>
    </w:p>
    <w:p w14:paraId="1DA6778C">
      <w:pPr>
        <w:snapToGrid w:val="0"/>
        <w:spacing w:line="360" w:lineRule="auto"/>
        <w:ind w:left="210" w:leftChars="100"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3报价文件</w:t>
      </w:r>
    </w:p>
    <w:p w14:paraId="164501C4">
      <w:pPr>
        <w:snapToGrid w:val="0"/>
        <w:spacing w:line="360" w:lineRule="auto"/>
        <w:ind w:left="420" w:leftChars="200"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2.3.1开标一览表（报价表）；</w:t>
      </w:r>
    </w:p>
    <w:p w14:paraId="70616FC0">
      <w:pPr>
        <w:snapToGrid w:val="0"/>
        <w:spacing w:line="360" w:lineRule="auto"/>
        <w:ind w:left="420" w:leftChars="200"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2.3.2中小企业</w:t>
      </w:r>
      <w:r>
        <w:rPr>
          <w:rFonts w:hint="eastAsia" w:ascii="宋体" w:hAnsi="宋体" w:cs="宋体"/>
          <w:color w:val="000000" w:themeColor="text1"/>
          <w:sz w:val="24"/>
          <w:highlight w:val="none"/>
          <w14:textFill>
            <w14:solidFill>
              <w14:schemeClr w14:val="tx1"/>
            </w14:solidFill>
          </w14:textFill>
        </w:rPr>
        <w:t>声明</w:t>
      </w:r>
      <w:r>
        <w:rPr>
          <w:rFonts w:hint="eastAsia" w:ascii="宋体" w:hAnsi="宋体" w:cs="宋体"/>
          <w:color w:val="auto"/>
          <w:sz w:val="24"/>
          <w:highlight w:val="none"/>
        </w:rPr>
        <w:t>函（如果有）。</w:t>
      </w:r>
    </w:p>
    <w:p w14:paraId="650917C0">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3、我方承诺除商务技术偏离表列出的偏离外，我方响应招标文件的全部要求。</w:t>
      </w:r>
    </w:p>
    <w:p w14:paraId="28E11C75">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4、如我方中标，我方承诺：</w:t>
      </w:r>
    </w:p>
    <w:p w14:paraId="5F0D8A12">
      <w:pPr>
        <w:snapToGrid w:val="0"/>
        <w:spacing w:line="360" w:lineRule="auto"/>
        <w:ind w:left="210" w:leftChars="100"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4.1在收到中标通知书后，在中标通知书规定的期限内与你方签订合同； </w:t>
      </w:r>
    </w:p>
    <w:p w14:paraId="2576BF04">
      <w:pPr>
        <w:snapToGrid w:val="0"/>
        <w:spacing w:line="360" w:lineRule="auto"/>
        <w:ind w:left="210" w:leftChars="100"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4.2在签订合同时不向你方提出附加条件； </w:t>
      </w:r>
    </w:p>
    <w:p w14:paraId="578AB433">
      <w:pPr>
        <w:snapToGrid w:val="0"/>
        <w:spacing w:line="360" w:lineRule="auto"/>
        <w:ind w:left="210" w:leftChars="100"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4.3按照招标文件要求提交履约保证金； </w:t>
      </w:r>
    </w:p>
    <w:p w14:paraId="7F2FE7C2">
      <w:pPr>
        <w:snapToGrid w:val="0"/>
        <w:spacing w:line="360" w:lineRule="auto"/>
        <w:ind w:left="210" w:leftChars="100"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4.4在合同约定的期限内完成合同规定的全部义务。 </w:t>
      </w:r>
    </w:p>
    <w:p w14:paraId="6BDAF882">
      <w:pPr>
        <w:snapToGrid w:val="0"/>
        <w:spacing w:line="360" w:lineRule="auto"/>
        <w:ind w:left="210" w:leftChars="100"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5、其他补充说明: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2BA48C8">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投标人名称（公章）：</w:t>
      </w:r>
    </w:p>
    <w:p w14:paraId="1A69FD83">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60F51A18">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4CF0013D">
      <w:pPr>
        <w:snapToGrid w:val="0"/>
        <w:spacing w:line="360" w:lineRule="auto"/>
        <w:ind w:left="420" w:leftChars="200" w:firstLine="4200" w:firstLineChars="1750"/>
        <w:rPr>
          <w:rFonts w:ascii="宋体" w:hAnsi="宋体" w:cs="宋体"/>
          <w:color w:val="000000" w:themeColor="text1"/>
          <w:kern w:val="0"/>
          <w:sz w:val="24"/>
          <w:u w:val="single"/>
          <w14:textFill>
            <w14:solidFill>
              <w14:schemeClr w14:val="tx1"/>
            </w14:solidFill>
          </w14:textFill>
        </w:rPr>
      </w:pPr>
    </w:p>
    <w:p w14:paraId="2FD6A816">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4C107F6C">
      <w:pPr>
        <w:snapToGrid w:val="0"/>
        <w:spacing w:line="360" w:lineRule="auto"/>
        <w:jc w:val="center"/>
        <w:rPr>
          <w:rFonts w:ascii="宋体" w:hAnsi="宋体" w:cs="宋体"/>
          <w:b/>
          <w:color w:val="000000" w:themeColor="text1"/>
          <w:kern w:val="0"/>
          <w:sz w:val="32"/>
          <w:szCs w:val="32"/>
          <w14:textFill>
            <w14:solidFill>
              <w14:schemeClr w14:val="tx1"/>
            </w14:solidFill>
          </w14:textFill>
        </w:rPr>
      </w:pPr>
    </w:p>
    <w:p w14:paraId="519802B1">
      <w:pPr>
        <w:snapToGrid w:val="0"/>
        <w:spacing w:line="360" w:lineRule="auto"/>
        <w:rPr>
          <w:rFonts w:ascii="宋体" w:hAnsi="宋体" w:cs="宋体"/>
          <w:color w:val="000000" w:themeColor="text1"/>
          <w:sz w:val="24"/>
          <w14:textFill>
            <w14:solidFill>
              <w14:schemeClr w14:val="tx1"/>
            </w14:solidFill>
          </w14:textFill>
        </w:rPr>
      </w:pPr>
    </w:p>
    <w:p w14:paraId="1BF9ADE4">
      <w:pPr>
        <w:jc w:val="center"/>
        <w:rPr>
          <w:rFonts w:ascii="宋体" w:hAnsi="宋体" w:cs="宋体"/>
          <w:b/>
          <w:color w:val="000000" w:themeColor="text1"/>
          <w:kern w:val="0"/>
          <w:sz w:val="32"/>
          <w:szCs w:val="32"/>
          <w14:textFill>
            <w14:solidFill>
              <w14:schemeClr w14:val="tx1"/>
            </w14:solidFill>
          </w14:textFill>
        </w:rPr>
      </w:pPr>
    </w:p>
    <w:p w14:paraId="549EEBA7">
      <w:pPr>
        <w:jc w:val="center"/>
        <w:rPr>
          <w:rFonts w:ascii="宋体" w:hAnsi="宋体" w:cs="宋体"/>
          <w:b/>
          <w:color w:val="000000" w:themeColor="text1"/>
          <w:kern w:val="0"/>
          <w:sz w:val="32"/>
          <w:szCs w:val="32"/>
          <w14:textFill>
            <w14:solidFill>
              <w14:schemeClr w14:val="tx1"/>
            </w14:solidFill>
          </w14:textFill>
        </w:rPr>
      </w:pPr>
    </w:p>
    <w:p w14:paraId="289D7A49">
      <w:pPr>
        <w:jc w:val="center"/>
        <w:rPr>
          <w:rFonts w:ascii="宋体" w:hAnsi="宋体" w:cs="宋体"/>
          <w:b/>
          <w:color w:val="000000" w:themeColor="text1"/>
          <w:kern w:val="0"/>
          <w:sz w:val="32"/>
          <w:szCs w:val="32"/>
          <w14:textFill>
            <w14:solidFill>
              <w14:schemeClr w14:val="tx1"/>
            </w14:solidFill>
          </w14:textFill>
        </w:rPr>
      </w:pPr>
    </w:p>
    <w:p w14:paraId="7B0C212B">
      <w:pPr>
        <w:jc w:val="center"/>
        <w:rPr>
          <w:rFonts w:ascii="宋体" w:hAnsi="宋体" w:cs="宋体"/>
          <w:b/>
          <w:color w:val="000000" w:themeColor="text1"/>
          <w:kern w:val="0"/>
          <w:sz w:val="32"/>
          <w:szCs w:val="32"/>
          <w14:textFill>
            <w14:solidFill>
              <w14:schemeClr w14:val="tx1"/>
            </w14:solidFill>
          </w14:textFill>
        </w:rPr>
      </w:pPr>
    </w:p>
    <w:p w14:paraId="54B45B69">
      <w:pPr>
        <w:jc w:val="center"/>
        <w:rPr>
          <w:rFonts w:ascii="宋体" w:hAnsi="宋体" w:cs="宋体"/>
          <w:b/>
          <w:color w:val="000000" w:themeColor="text1"/>
          <w:kern w:val="0"/>
          <w:sz w:val="32"/>
          <w:szCs w:val="32"/>
          <w14:textFill>
            <w14:solidFill>
              <w14:schemeClr w14:val="tx1"/>
            </w14:solidFill>
          </w14:textFill>
        </w:rPr>
      </w:pPr>
    </w:p>
    <w:p w14:paraId="439F14C8">
      <w:pPr>
        <w:jc w:val="center"/>
        <w:rPr>
          <w:rFonts w:ascii="宋体" w:hAnsi="宋体" w:cs="宋体"/>
          <w:b/>
          <w:color w:val="000000" w:themeColor="text1"/>
          <w:kern w:val="0"/>
          <w:sz w:val="32"/>
          <w:szCs w:val="32"/>
          <w14:textFill>
            <w14:solidFill>
              <w14:schemeClr w14:val="tx1"/>
            </w14:solidFill>
          </w14:textFill>
        </w:rPr>
      </w:pPr>
    </w:p>
    <w:p w14:paraId="03A40099">
      <w:pPr>
        <w:jc w:val="center"/>
        <w:rPr>
          <w:rFonts w:ascii="宋体" w:hAnsi="宋体" w:cs="宋体"/>
          <w:b/>
          <w:color w:val="000000" w:themeColor="text1"/>
          <w:kern w:val="0"/>
          <w:sz w:val="32"/>
          <w:szCs w:val="32"/>
          <w14:textFill>
            <w14:solidFill>
              <w14:schemeClr w14:val="tx1"/>
            </w14:solidFill>
          </w14:textFill>
        </w:rPr>
      </w:pPr>
    </w:p>
    <w:p w14:paraId="5A039A78">
      <w:pPr>
        <w:jc w:val="center"/>
        <w:rPr>
          <w:rFonts w:ascii="宋体" w:hAnsi="宋体" w:cs="宋体"/>
          <w:b/>
          <w:color w:val="000000" w:themeColor="text1"/>
          <w:kern w:val="0"/>
          <w:sz w:val="32"/>
          <w:szCs w:val="32"/>
          <w14:textFill>
            <w14:solidFill>
              <w14:schemeClr w14:val="tx1"/>
            </w14:solidFill>
          </w14:textFill>
        </w:rPr>
      </w:pPr>
    </w:p>
    <w:p w14:paraId="3D624335">
      <w:pPr>
        <w:jc w:val="center"/>
        <w:rPr>
          <w:rFonts w:ascii="宋体" w:hAnsi="宋体" w:cs="宋体"/>
          <w:b/>
          <w:color w:val="000000" w:themeColor="text1"/>
          <w:kern w:val="0"/>
          <w:sz w:val="32"/>
          <w:szCs w:val="32"/>
          <w14:textFill>
            <w14:solidFill>
              <w14:schemeClr w14:val="tx1"/>
            </w14:solidFill>
          </w14:textFill>
        </w:rPr>
      </w:pPr>
    </w:p>
    <w:p w14:paraId="39934E9A">
      <w:pPr>
        <w:jc w:val="center"/>
        <w:rPr>
          <w:rFonts w:ascii="宋体" w:hAnsi="宋体" w:cs="宋体"/>
          <w:b/>
          <w:color w:val="000000" w:themeColor="text1"/>
          <w:kern w:val="0"/>
          <w:sz w:val="32"/>
          <w:szCs w:val="32"/>
          <w14:textFill>
            <w14:solidFill>
              <w14:schemeClr w14:val="tx1"/>
            </w14:solidFill>
          </w14:textFill>
        </w:rPr>
      </w:pPr>
    </w:p>
    <w:p w14:paraId="14D9215B">
      <w:pPr>
        <w:jc w:val="center"/>
        <w:rPr>
          <w:rFonts w:ascii="宋体" w:hAnsi="宋体" w:cs="宋体"/>
          <w:b/>
          <w:color w:val="000000" w:themeColor="text1"/>
          <w:kern w:val="0"/>
          <w:sz w:val="32"/>
          <w:szCs w:val="32"/>
          <w14:textFill>
            <w14:solidFill>
              <w14:schemeClr w14:val="tx1"/>
            </w14:solidFill>
          </w14:textFill>
        </w:rPr>
      </w:pPr>
    </w:p>
    <w:p w14:paraId="2589B9B3">
      <w:pPr>
        <w:jc w:val="center"/>
        <w:rPr>
          <w:rFonts w:ascii="宋体" w:hAnsi="宋体" w:cs="宋体"/>
          <w:b/>
          <w:color w:val="000000" w:themeColor="text1"/>
          <w:kern w:val="0"/>
          <w:sz w:val="32"/>
          <w:szCs w:val="32"/>
          <w14:textFill>
            <w14:solidFill>
              <w14:schemeClr w14:val="tx1"/>
            </w14:solidFill>
          </w14:textFill>
        </w:rPr>
      </w:pPr>
    </w:p>
    <w:p w14:paraId="2E507331">
      <w:pPr>
        <w:jc w:val="center"/>
        <w:rPr>
          <w:rFonts w:ascii="宋体" w:hAnsi="宋体" w:cs="宋体"/>
          <w:b/>
          <w:color w:val="000000" w:themeColor="text1"/>
          <w:kern w:val="0"/>
          <w:sz w:val="32"/>
          <w:szCs w:val="32"/>
          <w14:textFill>
            <w14:solidFill>
              <w14:schemeClr w14:val="tx1"/>
            </w14:solidFill>
          </w14:textFill>
        </w:rPr>
      </w:pPr>
    </w:p>
    <w:p w14:paraId="551A6FDE">
      <w:pPr>
        <w:jc w:val="center"/>
        <w:rPr>
          <w:rFonts w:ascii="宋体" w:hAnsi="宋体" w:cs="宋体"/>
          <w:b/>
          <w:color w:val="000000" w:themeColor="text1"/>
          <w:kern w:val="0"/>
          <w:sz w:val="32"/>
          <w:szCs w:val="32"/>
          <w14:textFill>
            <w14:solidFill>
              <w14:schemeClr w14:val="tx1"/>
            </w14:solidFill>
          </w14:textFill>
        </w:rPr>
      </w:pPr>
    </w:p>
    <w:p w14:paraId="133EB1B2">
      <w:pPr>
        <w:jc w:val="center"/>
        <w:rPr>
          <w:rFonts w:ascii="宋体" w:hAnsi="宋体" w:cs="宋体"/>
          <w:b/>
          <w:color w:val="000000" w:themeColor="text1"/>
          <w:kern w:val="0"/>
          <w:sz w:val="32"/>
          <w:szCs w:val="32"/>
          <w14:textFill>
            <w14:solidFill>
              <w14:schemeClr w14:val="tx1"/>
            </w14:solidFill>
          </w14:textFill>
        </w:rPr>
      </w:pPr>
    </w:p>
    <w:p w14:paraId="2A45ECB3">
      <w:pPr>
        <w:jc w:val="center"/>
        <w:rPr>
          <w:rFonts w:ascii="宋体" w:hAnsi="宋体" w:cs="宋体"/>
          <w:b/>
          <w:color w:val="000000" w:themeColor="text1"/>
          <w:kern w:val="0"/>
          <w:sz w:val="32"/>
          <w:szCs w:val="32"/>
          <w14:textFill>
            <w14:solidFill>
              <w14:schemeClr w14:val="tx1"/>
            </w14:solidFill>
          </w14:textFill>
        </w:rPr>
      </w:pPr>
    </w:p>
    <w:p w14:paraId="1B8D51BA">
      <w:pPr>
        <w:jc w:val="center"/>
        <w:rPr>
          <w:rFonts w:ascii="宋体" w:hAnsi="宋体" w:cs="宋体"/>
          <w:b/>
          <w:color w:val="000000" w:themeColor="text1"/>
          <w:kern w:val="0"/>
          <w:sz w:val="32"/>
          <w:szCs w:val="32"/>
          <w14:textFill>
            <w14:solidFill>
              <w14:schemeClr w14:val="tx1"/>
            </w14:solidFill>
          </w14:textFill>
        </w:rPr>
      </w:pPr>
    </w:p>
    <w:p w14:paraId="518ED6C7">
      <w:pPr>
        <w:jc w:val="center"/>
        <w:rPr>
          <w:rFonts w:ascii="宋体" w:hAnsi="宋体" w:cs="宋体"/>
          <w:b/>
          <w:color w:val="000000" w:themeColor="text1"/>
          <w:kern w:val="0"/>
          <w:sz w:val="32"/>
          <w:szCs w:val="32"/>
          <w14:textFill>
            <w14:solidFill>
              <w14:schemeClr w14:val="tx1"/>
            </w14:solidFill>
          </w14:textFill>
        </w:rPr>
      </w:pPr>
    </w:p>
    <w:p w14:paraId="6172C15E">
      <w:pPr>
        <w:jc w:val="left"/>
        <w:rPr>
          <w:rFonts w:ascii="宋体" w:hAnsi="宋体" w:cs="宋体"/>
          <w:b/>
          <w:color w:val="000000" w:themeColor="text1"/>
          <w:kern w:val="0"/>
          <w:sz w:val="32"/>
          <w:szCs w:val="32"/>
          <w:lang w:val="zh-CN"/>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t>二、授权委托书或法定代表人（单位负责人、自然人本人）身份证明</w:t>
      </w:r>
    </w:p>
    <w:p w14:paraId="0A4E04FE">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4D05D081">
      <w:pPr>
        <w:snapToGrid w:val="0"/>
        <w:spacing w:line="360" w:lineRule="auto"/>
        <w:ind w:firstLine="2872" w:firstLineChars="894"/>
        <w:rPr>
          <w:rFonts w:ascii="宋体" w:hAnsi="宋体" w:cs="宋体"/>
          <w:color w:val="000000" w:themeColor="text1"/>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t>授权委托书（适用于非联合体投标）</w:t>
      </w:r>
      <w:r>
        <w:rPr>
          <w:rFonts w:hint="eastAsia" w:ascii="宋体" w:hAnsi="宋体" w:cs="宋体"/>
          <w:color w:val="000000" w:themeColor="text1"/>
          <w14:textFill>
            <w14:solidFill>
              <w14:schemeClr w14:val="tx1"/>
            </w14:solidFill>
          </w14:textFill>
        </w:rPr>
        <w:t xml:space="preserve">                               </w:t>
      </w:r>
    </w:p>
    <w:p w14:paraId="63AC8AA0">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w:t>
      </w:r>
      <w:r>
        <w:rPr>
          <w:rFonts w:hint="eastAsia" w:ascii="宋体" w:hAnsi="宋体" w:cs="宋体"/>
          <w:color w:val="000000" w:themeColor="text1"/>
          <w:kern w:val="0"/>
          <w:sz w:val="24"/>
          <w:lang w:val="zh-CN"/>
          <w14:textFill>
            <w14:solidFill>
              <w14:schemeClr w14:val="tx1"/>
            </w14:solidFill>
          </w14:textFill>
        </w:rPr>
        <w:t>：</w:t>
      </w:r>
    </w:p>
    <w:p w14:paraId="3F6165E8">
      <w:pPr>
        <w:snapToGrid w:val="0"/>
        <w:spacing w:line="360" w:lineRule="auto"/>
        <w:ind w:firstLine="576"/>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现</w:t>
      </w:r>
      <w:r>
        <w:rPr>
          <w:rFonts w:hint="eastAsia" w:ascii="宋体" w:hAnsi="宋体" w:cs="宋体"/>
          <w:color w:val="000000" w:themeColor="text1"/>
          <w:kern w:val="0"/>
          <w:sz w:val="24"/>
          <w:lang w:val="zh-CN"/>
          <w14:textFill>
            <w14:solidFill>
              <w14:schemeClr w14:val="tx1"/>
            </w14:solidFill>
          </w14:textFill>
        </w:rPr>
        <w:t>委托</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（姓名）为我方代理人（身份证号码：</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，手机：</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），以我方名义处理</w:t>
      </w:r>
      <w:r>
        <w:rPr>
          <w:rFonts w:hint="eastAsia" w:ascii="宋体" w:hAnsi="宋体" w:cs="宋体"/>
          <w:color w:val="000000" w:themeColor="text1"/>
          <w:sz w:val="24"/>
          <w14:textFill>
            <w14:solidFill>
              <w14:schemeClr w14:val="tx1"/>
            </w14:solidFill>
          </w14:textFill>
        </w:rPr>
        <w:t>（项目名称）【招标编号：（采购编号）】</w:t>
      </w:r>
      <w:r>
        <w:rPr>
          <w:rFonts w:hint="eastAsia" w:ascii="宋体" w:hAnsi="宋体" w:cs="宋体"/>
          <w:color w:val="000000" w:themeColor="text1"/>
          <w:kern w:val="0"/>
          <w:sz w:val="24"/>
          <w:lang w:val="zh-CN"/>
          <w14:textFill>
            <w14:solidFill>
              <w14:schemeClr w14:val="tx1"/>
            </w14:solidFill>
          </w14:textFill>
        </w:rPr>
        <w:t>政府采购投标的一切事项，其法律后果由我方承担。</w:t>
      </w:r>
    </w:p>
    <w:p w14:paraId="3EA4C426">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委托期限</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自</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日起至</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日止。</w:t>
      </w:r>
    </w:p>
    <w:p w14:paraId="47EA93E8">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特此告知。</w:t>
      </w:r>
    </w:p>
    <w:p w14:paraId="1D24CB60">
      <w:pPr>
        <w:spacing w:line="360" w:lineRule="auto"/>
        <w:ind w:left="4649" w:leftChars="2214"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投标人名称（公章）：</w:t>
      </w:r>
    </w:p>
    <w:p w14:paraId="66826AA5">
      <w:pPr>
        <w:snapToGrid w:val="0"/>
        <w:spacing w:line="360" w:lineRule="auto"/>
        <w:ind w:left="4649" w:leftChars="2214"/>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法定代表人（负责人） (签名)：</w:t>
      </w:r>
    </w:p>
    <w:p w14:paraId="63088E89">
      <w:pPr>
        <w:snapToGrid w:val="0"/>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签发日期：  年  月   日</w:t>
      </w:r>
    </w:p>
    <w:p w14:paraId="2F9E800C">
      <w:pPr>
        <w:adjustRightInd/>
        <w:spacing w:line="360" w:lineRule="auto"/>
        <w:rPr>
          <w:rFonts w:ascii="宋体" w:hAnsi="宋体"/>
          <w:color w:val="FF0000"/>
          <w:sz w:val="24"/>
          <w:szCs w:val="21"/>
        </w:rPr>
      </w:pPr>
    </w:p>
    <w:p w14:paraId="3CFABF75">
      <w:pPr>
        <w:adjustRightInd/>
        <w:spacing w:line="360" w:lineRule="auto"/>
        <w:rPr>
          <w:rFonts w:ascii="宋体" w:hAnsi="宋体" w:cs="宋体"/>
          <w:bCs/>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委托代理人和法定代表人</w:t>
      </w:r>
      <w:r>
        <w:rPr>
          <w:rFonts w:hint="eastAsia" w:ascii="宋体" w:hAnsi="宋体" w:cs="宋体"/>
          <w:color w:val="000000" w:themeColor="text1"/>
          <w:kern w:val="0"/>
          <w:sz w:val="24"/>
          <w:szCs w:val="21"/>
          <w14:textFill>
            <w14:solidFill>
              <w14:schemeClr w14:val="tx1"/>
            </w14:solidFill>
          </w14:textFill>
        </w:rPr>
        <w:t>（负责人）</w:t>
      </w:r>
      <w:r>
        <w:rPr>
          <w:rFonts w:hint="eastAsia" w:ascii="宋体" w:hAnsi="宋体" w:cs="宋体"/>
          <w:bCs/>
          <w:color w:val="000000" w:themeColor="text1"/>
          <w:sz w:val="24"/>
          <w:szCs w:val="21"/>
          <w14:textFill>
            <w14:solidFill>
              <w14:schemeClr w14:val="tx1"/>
            </w14:solidFill>
          </w14:textFill>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B07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47371853">
            <w:pPr>
              <w:spacing w:line="360" w:lineRule="auto"/>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正面：                                 反面：</w:t>
            </w:r>
          </w:p>
          <w:p w14:paraId="1E579CAE">
            <w:pPr>
              <w:spacing w:line="360" w:lineRule="auto"/>
              <w:rPr>
                <w:rFonts w:ascii="宋体" w:hAnsi="宋体" w:cs="宋体"/>
                <w:bCs/>
                <w:color w:val="000000" w:themeColor="text1"/>
                <w:sz w:val="24"/>
                <w:szCs w:val="21"/>
                <w14:textFill>
                  <w14:solidFill>
                    <w14:schemeClr w14:val="tx1"/>
                  </w14:solidFill>
                </w14:textFill>
              </w:rPr>
            </w:pPr>
          </w:p>
          <w:p w14:paraId="2990072C">
            <w:pPr>
              <w:spacing w:line="360" w:lineRule="auto"/>
              <w:rPr>
                <w:rFonts w:ascii="宋体" w:hAnsi="宋体" w:cs="宋体"/>
                <w:bCs/>
                <w:color w:val="000000" w:themeColor="text1"/>
                <w:sz w:val="24"/>
                <w:szCs w:val="21"/>
                <w14:textFill>
                  <w14:solidFill>
                    <w14:schemeClr w14:val="tx1"/>
                  </w14:solidFill>
                </w14:textFill>
              </w:rPr>
            </w:pPr>
          </w:p>
          <w:p w14:paraId="2FD09FF8">
            <w:pPr>
              <w:spacing w:line="360" w:lineRule="auto"/>
              <w:rPr>
                <w:rFonts w:ascii="宋体" w:hAnsi="宋体" w:cs="宋体"/>
                <w:bCs/>
                <w:color w:val="000000" w:themeColor="text1"/>
                <w:sz w:val="24"/>
                <w:szCs w:val="21"/>
                <w14:textFill>
                  <w14:solidFill>
                    <w14:schemeClr w14:val="tx1"/>
                  </w14:solidFill>
                </w14:textFill>
              </w:rPr>
            </w:pPr>
          </w:p>
          <w:p w14:paraId="3C44BCA8">
            <w:pPr>
              <w:spacing w:line="360" w:lineRule="auto"/>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正面：                                 反面：</w:t>
            </w:r>
          </w:p>
          <w:p w14:paraId="6DA71F68">
            <w:pPr>
              <w:spacing w:line="360" w:lineRule="auto"/>
              <w:rPr>
                <w:rFonts w:ascii="宋体" w:hAnsi="宋体" w:cs="宋体"/>
                <w:bCs/>
                <w:color w:val="000000" w:themeColor="text1"/>
                <w:sz w:val="24"/>
                <w:szCs w:val="21"/>
                <w14:textFill>
                  <w14:solidFill>
                    <w14:schemeClr w14:val="tx1"/>
                  </w14:solidFill>
                </w14:textFill>
              </w:rPr>
            </w:pPr>
          </w:p>
        </w:tc>
      </w:tr>
    </w:tbl>
    <w:p w14:paraId="295A9179">
      <w:pPr>
        <w:snapToGrid w:val="0"/>
        <w:spacing w:line="360" w:lineRule="auto"/>
        <w:ind w:firstLine="576"/>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p>
    <w:p w14:paraId="4A0557D2">
      <w:pPr>
        <w:snapToGrid w:val="0"/>
        <w:spacing w:line="360" w:lineRule="auto"/>
        <w:ind w:right="480"/>
        <w:rPr>
          <w:rFonts w:ascii="宋体" w:hAnsi="宋体" w:cs="宋体"/>
          <w:b/>
          <w:color w:val="000000" w:themeColor="text1"/>
          <w:kern w:val="0"/>
          <w:sz w:val="32"/>
          <w:szCs w:val="32"/>
          <w14:textFill>
            <w14:solidFill>
              <w14:schemeClr w14:val="tx1"/>
            </w14:solidFill>
          </w14:textFill>
        </w:rPr>
        <w:sectPr>
          <w:headerReference r:id="rId11" w:type="first"/>
          <w:footerReference r:id="rId13" w:type="first"/>
          <w:headerReference r:id="rId10" w:type="default"/>
          <w:footerReference r:id="rId12" w:type="default"/>
          <w:pgSz w:w="11906" w:h="16838"/>
          <w:pgMar w:top="1276" w:right="1418" w:bottom="1247" w:left="1418" w:header="851" w:footer="992" w:gutter="0"/>
          <w:cols w:space="720" w:num="1"/>
          <w:titlePg/>
          <w:docGrid w:linePitch="312" w:charSpace="0"/>
        </w:sectPr>
      </w:pPr>
    </w:p>
    <w:p w14:paraId="459177FF">
      <w:pPr>
        <w:rPr>
          <w:color w:val="000000" w:themeColor="text1"/>
          <w14:textFill>
            <w14:solidFill>
              <w14:schemeClr w14:val="tx1"/>
            </w14:solidFill>
          </w14:textFill>
        </w:rPr>
      </w:pPr>
    </w:p>
    <w:p w14:paraId="233F9857">
      <w:pPr>
        <w:jc w:val="center"/>
      </w:pPr>
      <w:r>
        <w:rPr>
          <w:rFonts w:hint="eastAsia" w:ascii="宋体" w:hAnsi="宋体" w:cs="宋体"/>
          <w:b/>
          <w:color w:val="000000" w:themeColor="text1"/>
          <w:kern w:val="0"/>
          <w:sz w:val="32"/>
          <w:szCs w:val="32"/>
          <w14:textFill>
            <w14:solidFill>
              <w14:schemeClr w14:val="tx1"/>
            </w14:solidFill>
          </w14:textFill>
        </w:rPr>
        <w:t xml:space="preserve">  </w:t>
      </w:r>
    </w:p>
    <w:p w14:paraId="042E3E1F"/>
    <w:p w14:paraId="7E11E071">
      <w:pPr>
        <w:autoSpaceDE w:val="0"/>
        <w:autoSpaceDN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t>法定代表人、单位负责人或自然人本人</w:t>
      </w:r>
      <w:r>
        <w:rPr>
          <w:rFonts w:hint="eastAsia" w:ascii="宋体" w:hAnsi="宋体" w:cs="宋体"/>
          <w:b/>
          <w:color w:val="000000" w:themeColor="text1"/>
          <w:sz w:val="30"/>
          <w:szCs w:val="30"/>
          <w14:textFill>
            <w14:solidFill>
              <w14:schemeClr w14:val="tx1"/>
            </w14:solidFill>
          </w14:textFill>
        </w:rPr>
        <w:t>的身份证明（适用于法定代表人、单位负责人或者自然人本人代表投标人参加投标）</w:t>
      </w:r>
    </w:p>
    <w:p w14:paraId="03F5013B">
      <w:pPr>
        <w:pStyle w:val="146"/>
        <w:spacing w:line="360" w:lineRule="auto"/>
        <w:rPr>
          <w:rFonts w:hAnsi="宋体" w:cs="宋体"/>
          <w:bCs/>
          <w:color w:val="000000" w:themeColor="text1"/>
          <w:sz w:val="24"/>
          <w14:textFill>
            <w14:solidFill>
              <w14:schemeClr w14:val="tx1"/>
            </w14:solidFill>
          </w14:textFill>
        </w:rPr>
      </w:pPr>
      <w:r>
        <w:rPr>
          <w:rFonts w:hint="eastAsia" w:hAnsi="宋体" w:cs="宋体"/>
          <w:bCs/>
          <w:color w:val="000000" w:themeColor="text1"/>
          <w:sz w:val="24"/>
          <w14:textFill>
            <w14:solidFill>
              <w14:schemeClr w14:val="tx1"/>
            </w14:solidFill>
          </w14:textFill>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535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089CE2C">
            <w:pPr>
              <w:pStyle w:val="146"/>
              <w:adjustRightInd w:val="0"/>
              <w:spacing w:line="360" w:lineRule="auto"/>
              <w:rPr>
                <w:rFonts w:hAnsi="宋体" w:cs="宋体"/>
                <w:bCs/>
                <w:color w:val="000000" w:themeColor="text1"/>
                <w:sz w:val="24"/>
                <w14:textFill>
                  <w14:solidFill>
                    <w14:schemeClr w14:val="tx1"/>
                  </w14:solidFill>
                </w14:textFill>
              </w:rPr>
            </w:pPr>
            <w:r>
              <w:rPr>
                <w:rFonts w:hint="eastAsia" w:hAnsi="宋体" w:cs="宋体"/>
                <w:bCs/>
                <w:color w:val="000000" w:themeColor="text1"/>
                <w:sz w:val="24"/>
                <w14:textFill>
                  <w14:solidFill>
                    <w14:schemeClr w14:val="tx1"/>
                  </w14:solidFill>
                </w14:textFill>
              </w:rPr>
              <w:t>正面：                                 反面：</w:t>
            </w:r>
          </w:p>
          <w:p w14:paraId="0E9612E4">
            <w:pPr>
              <w:pStyle w:val="146"/>
              <w:adjustRightInd w:val="0"/>
              <w:spacing w:line="360" w:lineRule="auto"/>
              <w:rPr>
                <w:rFonts w:hAnsi="宋体" w:cs="宋体"/>
                <w:bCs/>
                <w:color w:val="000000" w:themeColor="text1"/>
                <w:sz w:val="24"/>
                <w14:textFill>
                  <w14:solidFill>
                    <w14:schemeClr w14:val="tx1"/>
                  </w14:solidFill>
                </w14:textFill>
              </w:rPr>
            </w:pPr>
          </w:p>
        </w:tc>
      </w:tr>
    </w:tbl>
    <w:p w14:paraId="4C9C4F15">
      <w:pPr>
        <w:snapToGrid w:val="0"/>
        <w:spacing w:line="360" w:lineRule="auto"/>
        <w:ind w:firstLine="576"/>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w:t>
      </w:r>
    </w:p>
    <w:p w14:paraId="0D80EA3A">
      <w:pPr>
        <w:snapToGrid w:val="0"/>
        <w:spacing w:line="360" w:lineRule="auto"/>
        <w:ind w:firstLine="576"/>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投标人名称(公章)：                              </w:t>
      </w:r>
    </w:p>
    <w:p w14:paraId="5505070B">
      <w:pPr>
        <w:spacing w:line="360" w:lineRule="auto"/>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p>
    <w:p w14:paraId="114BD446">
      <w:pPr>
        <w:jc w:val="center"/>
        <w:rPr>
          <w:rFonts w:ascii="宋体" w:hAnsi="宋体" w:cs="宋体"/>
          <w:b/>
          <w:color w:val="000000" w:themeColor="text1"/>
          <w:kern w:val="0"/>
          <w:sz w:val="32"/>
          <w:szCs w:val="32"/>
          <w14:textFill>
            <w14:solidFill>
              <w14:schemeClr w14:val="tx1"/>
            </w14:solidFill>
          </w14:textFill>
        </w:rPr>
      </w:pPr>
    </w:p>
    <w:p w14:paraId="6326BC82">
      <w:pPr>
        <w:jc w:val="center"/>
        <w:rPr>
          <w:rFonts w:ascii="宋体" w:hAnsi="宋体" w:cs="宋体"/>
          <w:b/>
          <w:color w:val="000000" w:themeColor="text1"/>
          <w:kern w:val="0"/>
          <w:sz w:val="32"/>
          <w:szCs w:val="32"/>
          <w14:textFill>
            <w14:solidFill>
              <w14:schemeClr w14:val="tx1"/>
            </w14:solidFill>
          </w14:textFill>
        </w:rPr>
      </w:pPr>
    </w:p>
    <w:p w14:paraId="4D063BF1">
      <w:pPr>
        <w:jc w:val="center"/>
        <w:rPr>
          <w:rFonts w:ascii="宋体" w:hAnsi="宋体" w:cs="宋体"/>
          <w:b/>
          <w:color w:val="000000" w:themeColor="text1"/>
          <w:kern w:val="0"/>
          <w:sz w:val="32"/>
          <w:szCs w:val="32"/>
          <w14:textFill>
            <w14:solidFill>
              <w14:schemeClr w14:val="tx1"/>
            </w14:solidFill>
          </w14:textFill>
        </w:rPr>
      </w:pPr>
    </w:p>
    <w:p w14:paraId="35E8277B">
      <w:pPr>
        <w:jc w:val="center"/>
        <w:rPr>
          <w:rFonts w:ascii="宋体" w:hAnsi="宋体" w:cs="宋体"/>
          <w:b/>
          <w:color w:val="000000" w:themeColor="text1"/>
          <w:kern w:val="0"/>
          <w:sz w:val="32"/>
          <w:szCs w:val="32"/>
          <w14:textFill>
            <w14:solidFill>
              <w14:schemeClr w14:val="tx1"/>
            </w14:solidFill>
          </w14:textFill>
        </w:rPr>
      </w:pPr>
    </w:p>
    <w:p w14:paraId="3A294016">
      <w:pPr>
        <w:jc w:val="center"/>
        <w:rPr>
          <w:rFonts w:ascii="宋体" w:hAnsi="宋体" w:cs="宋体"/>
          <w:b/>
          <w:color w:val="000000" w:themeColor="text1"/>
          <w:kern w:val="0"/>
          <w:sz w:val="32"/>
          <w:szCs w:val="32"/>
          <w14:textFill>
            <w14:solidFill>
              <w14:schemeClr w14:val="tx1"/>
            </w14:solidFill>
          </w14:textFill>
        </w:rPr>
      </w:pPr>
    </w:p>
    <w:p w14:paraId="47F03EBA">
      <w:pPr>
        <w:jc w:val="center"/>
        <w:rPr>
          <w:rFonts w:ascii="宋体" w:hAnsi="宋体" w:cs="宋体"/>
          <w:b/>
          <w:color w:val="000000" w:themeColor="text1"/>
          <w:kern w:val="0"/>
          <w:sz w:val="32"/>
          <w:szCs w:val="32"/>
          <w14:textFill>
            <w14:solidFill>
              <w14:schemeClr w14:val="tx1"/>
            </w14:solidFill>
          </w14:textFill>
        </w:rPr>
      </w:pPr>
    </w:p>
    <w:p w14:paraId="0C3A4C6E">
      <w:pPr>
        <w:jc w:val="center"/>
        <w:rPr>
          <w:rFonts w:ascii="宋体" w:hAnsi="宋体" w:cs="宋体"/>
          <w:b/>
          <w:color w:val="000000" w:themeColor="text1"/>
          <w:kern w:val="0"/>
          <w:sz w:val="32"/>
          <w:szCs w:val="32"/>
          <w14:textFill>
            <w14:solidFill>
              <w14:schemeClr w14:val="tx1"/>
            </w14:solidFill>
          </w14:textFill>
        </w:rPr>
      </w:pPr>
    </w:p>
    <w:p w14:paraId="6AC1D8B8">
      <w:pPr>
        <w:jc w:val="center"/>
        <w:rPr>
          <w:rFonts w:ascii="宋体" w:hAnsi="宋体" w:cs="宋体"/>
          <w:b/>
          <w:color w:val="000000" w:themeColor="text1"/>
          <w:kern w:val="0"/>
          <w:sz w:val="32"/>
          <w:szCs w:val="32"/>
          <w14:textFill>
            <w14:solidFill>
              <w14:schemeClr w14:val="tx1"/>
            </w14:solidFill>
          </w14:textFill>
        </w:rPr>
      </w:pPr>
    </w:p>
    <w:p w14:paraId="13EA16B1">
      <w:pPr>
        <w:snapToGrid w:val="0"/>
        <w:spacing w:line="360" w:lineRule="auto"/>
        <w:ind w:right="480"/>
        <w:rPr>
          <w:rFonts w:ascii="宋体" w:hAnsi="宋体" w:cs="宋体"/>
          <w:b/>
          <w:color w:val="000000" w:themeColor="text1"/>
          <w:kern w:val="0"/>
          <w:sz w:val="32"/>
          <w:szCs w:val="32"/>
          <w14:textFill>
            <w14:solidFill>
              <w14:schemeClr w14:val="tx1"/>
            </w14:solidFill>
          </w14:textFill>
        </w:rPr>
        <w:sectPr>
          <w:headerReference r:id="rId15" w:type="first"/>
          <w:footerReference r:id="rId17" w:type="first"/>
          <w:headerReference r:id="rId14" w:type="default"/>
          <w:footerReference r:id="rId16" w:type="default"/>
          <w:pgSz w:w="11906" w:h="16838"/>
          <w:pgMar w:top="1276" w:right="1418" w:bottom="1247" w:left="1418" w:header="851" w:footer="992" w:gutter="0"/>
          <w:cols w:space="720" w:num="1"/>
          <w:titlePg/>
          <w:docGrid w:linePitch="312" w:charSpace="0"/>
        </w:sectPr>
      </w:pPr>
    </w:p>
    <w:p w14:paraId="4F4BB3C3">
      <w:pPr>
        <w:snapToGrid w:val="0"/>
        <w:spacing w:line="360" w:lineRule="auto"/>
        <w:jc w:val="center"/>
        <w:rPr>
          <w:rFonts w:hint="eastAsia" w:ascii="宋体" w:hAnsi="宋体" w:cs="宋体"/>
          <w:b/>
          <w:kern w:val="0"/>
          <w:sz w:val="32"/>
          <w:szCs w:val="32"/>
        </w:rPr>
      </w:pPr>
      <w:r>
        <w:rPr>
          <w:rFonts w:hint="eastAsia" w:ascii="宋体" w:hAnsi="宋体" w:cs="宋体"/>
          <w:b/>
          <w:kern w:val="0"/>
          <w:sz w:val="32"/>
          <w:szCs w:val="32"/>
        </w:rPr>
        <w:t>三、分包意向协议（如果有）</w:t>
      </w:r>
    </w:p>
    <w:p w14:paraId="263C0FA4">
      <w:pPr>
        <w:widowControl/>
        <w:spacing w:line="360" w:lineRule="auto"/>
        <w:ind w:firstLine="120" w:firstLineChars="50"/>
        <w:jc w:val="left"/>
        <w:rPr>
          <w:rFonts w:hint="eastAsia" w:ascii="宋体" w:hAnsi="宋体" w:cs="宋体"/>
          <w:b/>
          <w:color w:val="000000" w:themeColor="text1"/>
          <w:kern w:val="0"/>
          <w:sz w:val="32"/>
          <w:szCs w:val="32"/>
          <w14:textFill>
            <w14:solidFill>
              <w14:schemeClr w14:val="tx1"/>
            </w14:solidFill>
          </w14:textFill>
        </w:rPr>
      </w:pPr>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p w14:paraId="4B93E99C">
      <w:pPr>
        <w:snapToGrid w:val="0"/>
        <w:spacing w:line="360" w:lineRule="auto"/>
        <w:ind w:firstLine="3534" w:firstLineChars="1100"/>
        <w:rPr>
          <w:rFonts w:ascii="宋体" w:hAnsi="宋体" w:cs="宋体"/>
          <w:b/>
          <w:color w:val="000000" w:themeColor="text1"/>
          <w:kern w:val="0"/>
          <w:sz w:val="32"/>
          <w:szCs w:val="32"/>
          <w14:textFill>
            <w14:solidFill>
              <w14:schemeClr w14:val="tx1"/>
            </w14:solidFill>
          </w14:textFill>
        </w:rPr>
      </w:pPr>
    </w:p>
    <w:p w14:paraId="28BC8FD0">
      <w:pPr>
        <w:snapToGrid w:val="0"/>
        <w:spacing w:line="360" w:lineRule="auto"/>
        <w:ind w:firstLine="3534" w:firstLineChars="110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lang w:eastAsia="zh-CN"/>
          <w14:textFill>
            <w14:solidFill>
              <w14:schemeClr w14:val="tx1"/>
            </w14:solidFill>
          </w14:textFill>
        </w:rPr>
        <w:t>四</w:t>
      </w:r>
      <w:r>
        <w:rPr>
          <w:rFonts w:hint="eastAsia" w:ascii="宋体" w:hAnsi="宋体" w:cs="宋体"/>
          <w:b/>
          <w:color w:val="000000" w:themeColor="text1"/>
          <w:kern w:val="0"/>
          <w:sz w:val="32"/>
          <w:szCs w:val="32"/>
          <w14:textFill>
            <w14:solidFill>
              <w14:schemeClr w14:val="tx1"/>
            </w14:solidFill>
          </w14:textFill>
        </w:rPr>
        <w:t>、符合性审查资料</w:t>
      </w:r>
    </w:p>
    <w:tbl>
      <w:tblPr>
        <w:tblStyle w:val="62"/>
        <w:tblW w:w="1003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4991"/>
        <w:gridCol w:w="2551"/>
        <w:gridCol w:w="1418"/>
      </w:tblGrid>
      <w:tr w14:paraId="5099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077" w:type="dxa"/>
            <w:vAlign w:val="center"/>
          </w:tcPr>
          <w:p w14:paraId="249DAA77">
            <w:pPr>
              <w:snapToGrid w:val="0"/>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4991" w:type="dxa"/>
            <w:vAlign w:val="center"/>
          </w:tcPr>
          <w:p w14:paraId="7F513C29">
            <w:pPr>
              <w:snapToGrid w:val="0"/>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实质性要求</w:t>
            </w:r>
          </w:p>
        </w:tc>
        <w:tc>
          <w:tcPr>
            <w:tcW w:w="2551" w:type="dxa"/>
            <w:vAlign w:val="center"/>
          </w:tcPr>
          <w:p w14:paraId="4EB82CE4">
            <w:pPr>
              <w:snapToGrid w:val="0"/>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需要提供的符合性审查资料</w:t>
            </w:r>
          </w:p>
        </w:tc>
        <w:tc>
          <w:tcPr>
            <w:tcW w:w="1418" w:type="dxa"/>
            <w:vAlign w:val="center"/>
          </w:tcPr>
          <w:p w14:paraId="5AC50ED2">
            <w:pPr>
              <w:snapToGrid w:val="0"/>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投标文件中的</w:t>
            </w:r>
          </w:p>
          <w:p w14:paraId="50DB6D30">
            <w:pPr>
              <w:snapToGrid w:val="0"/>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页码位置</w:t>
            </w:r>
          </w:p>
        </w:tc>
      </w:tr>
      <w:tr w14:paraId="292D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77" w:type="dxa"/>
            <w:vAlign w:val="center"/>
          </w:tcPr>
          <w:p w14:paraId="7F94002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991" w:type="dxa"/>
          </w:tcPr>
          <w:p w14:paraId="1AE9C51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投标文件按照招标文件要求签署、盖章。</w:t>
            </w:r>
          </w:p>
        </w:tc>
        <w:tc>
          <w:tcPr>
            <w:tcW w:w="2551" w:type="dxa"/>
            <w:vAlign w:val="center"/>
          </w:tcPr>
          <w:p w14:paraId="36773B21">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需要使用电子签名或者签字盖章的投标文件的组成部分</w:t>
            </w:r>
          </w:p>
        </w:tc>
        <w:tc>
          <w:tcPr>
            <w:tcW w:w="1418" w:type="dxa"/>
          </w:tcPr>
          <w:p w14:paraId="63FB6266">
            <w:pPr>
              <w:rPr>
                <w:rFonts w:ascii="宋体" w:hAnsi="宋体" w:cs="宋体"/>
                <w:color w:val="000000" w:themeColor="text1"/>
                <w:sz w:val="24"/>
                <w14:textFill>
                  <w14:solidFill>
                    <w14:schemeClr w14:val="tx1"/>
                  </w14:solidFill>
                </w14:textFill>
              </w:rPr>
            </w:pPr>
          </w:p>
          <w:p w14:paraId="37421E82">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p w14:paraId="475F03F0">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r w14:paraId="58E2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77" w:type="dxa"/>
            <w:vAlign w:val="center"/>
          </w:tcPr>
          <w:p w14:paraId="6357A085">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991" w:type="dxa"/>
          </w:tcPr>
          <w:p w14:paraId="5905B83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投标文件中承诺的投标有效期不少于招标文件中载明的投标有效期。</w:t>
            </w:r>
          </w:p>
        </w:tc>
        <w:tc>
          <w:tcPr>
            <w:tcW w:w="2551" w:type="dxa"/>
            <w:vAlign w:val="center"/>
          </w:tcPr>
          <w:p w14:paraId="05A1CFBB">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投标函</w:t>
            </w:r>
          </w:p>
        </w:tc>
        <w:tc>
          <w:tcPr>
            <w:tcW w:w="1418" w:type="dxa"/>
          </w:tcPr>
          <w:p w14:paraId="3F4C531B">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r w14:paraId="5D73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77" w:type="dxa"/>
            <w:vAlign w:val="center"/>
          </w:tcPr>
          <w:p w14:paraId="0E153E3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991" w:type="dxa"/>
          </w:tcPr>
          <w:p w14:paraId="13E495C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投标文件满足招标文件的其它实质性要求。</w:t>
            </w:r>
          </w:p>
        </w:tc>
        <w:tc>
          <w:tcPr>
            <w:tcW w:w="2551" w:type="dxa"/>
            <w:vAlign w:val="center"/>
          </w:tcPr>
          <w:p w14:paraId="39D7FC8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招标文件其它实质性要求相应的材料（“▲” 系指实质性要求条款，招标文件无其它实质性要求的，无需提供）</w:t>
            </w:r>
          </w:p>
        </w:tc>
        <w:tc>
          <w:tcPr>
            <w:tcW w:w="1418" w:type="dxa"/>
          </w:tcPr>
          <w:p w14:paraId="6ED203B9">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bl>
    <w:p w14:paraId="74D62C4D">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4FAA100B">
      <w:pPr>
        <w:jc w:val="center"/>
        <w:rPr>
          <w:rFonts w:ascii="宋体" w:hAnsi="宋体" w:cs="宋体"/>
          <w:b/>
          <w:color w:val="000000" w:themeColor="text1"/>
          <w:kern w:val="0"/>
          <w:sz w:val="32"/>
          <w:szCs w:val="32"/>
          <w14:textFill>
            <w14:solidFill>
              <w14:schemeClr w14:val="tx1"/>
            </w14:solidFill>
          </w14:textFill>
        </w:rPr>
      </w:pPr>
    </w:p>
    <w:p w14:paraId="01962753">
      <w:pPr>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 xml:space="preserve">            </w:t>
      </w:r>
    </w:p>
    <w:p w14:paraId="043B90A5">
      <w:pPr>
        <w:jc w:val="center"/>
        <w:rPr>
          <w:rFonts w:ascii="宋体" w:hAnsi="宋体" w:cs="宋体"/>
          <w:b/>
          <w:color w:val="000000" w:themeColor="text1"/>
          <w:kern w:val="0"/>
          <w:sz w:val="32"/>
          <w:szCs w:val="32"/>
          <w14:textFill>
            <w14:solidFill>
              <w14:schemeClr w14:val="tx1"/>
            </w14:solidFill>
          </w14:textFill>
        </w:rPr>
      </w:pPr>
    </w:p>
    <w:p w14:paraId="52C1B61C">
      <w:pPr>
        <w:jc w:val="center"/>
        <w:rPr>
          <w:rFonts w:ascii="宋体" w:hAnsi="宋体" w:cs="宋体"/>
          <w:b/>
          <w:color w:val="000000" w:themeColor="text1"/>
          <w:kern w:val="0"/>
          <w:sz w:val="32"/>
          <w:szCs w:val="32"/>
          <w14:textFill>
            <w14:solidFill>
              <w14:schemeClr w14:val="tx1"/>
            </w14:solidFill>
          </w14:textFill>
        </w:rPr>
      </w:pPr>
    </w:p>
    <w:p w14:paraId="46F10073">
      <w:pPr>
        <w:jc w:val="center"/>
        <w:rPr>
          <w:rFonts w:ascii="宋体" w:hAnsi="宋体" w:cs="宋体"/>
          <w:b/>
          <w:color w:val="000000" w:themeColor="text1"/>
          <w:kern w:val="0"/>
          <w:sz w:val="32"/>
          <w:szCs w:val="32"/>
          <w14:textFill>
            <w14:solidFill>
              <w14:schemeClr w14:val="tx1"/>
            </w14:solidFill>
          </w14:textFill>
        </w:rPr>
      </w:pPr>
    </w:p>
    <w:p w14:paraId="7F3B3AF3">
      <w:pPr>
        <w:jc w:val="center"/>
        <w:rPr>
          <w:rFonts w:ascii="宋体" w:hAnsi="宋体" w:cs="宋体"/>
          <w:b/>
          <w:color w:val="000000" w:themeColor="text1"/>
          <w:kern w:val="0"/>
          <w:sz w:val="32"/>
          <w:szCs w:val="32"/>
          <w14:textFill>
            <w14:solidFill>
              <w14:schemeClr w14:val="tx1"/>
            </w14:solidFill>
          </w14:textFill>
        </w:rPr>
      </w:pPr>
    </w:p>
    <w:p w14:paraId="50C8F5C2">
      <w:pPr>
        <w:jc w:val="center"/>
        <w:rPr>
          <w:rFonts w:ascii="宋体" w:hAnsi="宋体" w:cs="宋体"/>
          <w:b/>
          <w:color w:val="000000" w:themeColor="text1"/>
          <w:kern w:val="0"/>
          <w:sz w:val="32"/>
          <w:szCs w:val="32"/>
          <w14:textFill>
            <w14:solidFill>
              <w14:schemeClr w14:val="tx1"/>
            </w14:solidFill>
          </w14:textFill>
        </w:rPr>
      </w:pPr>
    </w:p>
    <w:p w14:paraId="28BDF267">
      <w:pPr>
        <w:jc w:val="center"/>
        <w:rPr>
          <w:rFonts w:ascii="宋体" w:hAnsi="宋体" w:cs="宋体"/>
          <w:b/>
          <w:color w:val="000000" w:themeColor="text1"/>
          <w:kern w:val="0"/>
          <w:sz w:val="32"/>
          <w:szCs w:val="32"/>
          <w14:textFill>
            <w14:solidFill>
              <w14:schemeClr w14:val="tx1"/>
            </w14:solidFill>
          </w14:textFill>
        </w:rPr>
      </w:pPr>
    </w:p>
    <w:p w14:paraId="0C064837">
      <w:pPr>
        <w:jc w:val="center"/>
        <w:rPr>
          <w:rFonts w:ascii="宋体" w:hAnsi="宋体" w:cs="宋体"/>
          <w:b/>
          <w:color w:val="000000" w:themeColor="text1"/>
          <w:kern w:val="0"/>
          <w:sz w:val="32"/>
          <w:szCs w:val="32"/>
          <w14:textFill>
            <w14:solidFill>
              <w14:schemeClr w14:val="tx1"/>
            </w14:solidFill>
          </w14:textFill>
        </w:rPr>
      </w:pPr>
    </w:p>
    <w:p w14:paraId="64325700">
      <w:pPr>
        <w:jc w:val="center"/>
        <w:rPr>
          <w:rFonts w:ascii="宋体" w:hAnsi="宋体" w:cs="宋体"/>
          <w:b/>
          <w:color w:val="000000" w:themeColor="text1"/>
          <w:kern w:val="0"/>
          <w:sz w:val="32"/>
          <w:szCs w:val="32"/>
          <w14:textFill>
            <w14:solidFill>
              <w14:schemeClr w14:val="tx1"/>
            </w14:solidFill>
          </w14:textFill>
        </w:rPr>
      </w:pPr>
    </w:p>
    <w:p w14:paraId="430D89C6">
      <w:pPr>
        <w:jc w:val="center"/>
        <w:rPr>
          <w:rFonts w:ascii="宋体" w:hAnsi="宋体" w:cs="宋体"/>
          <w:b/>
          <w:color w:val="000000" w:themeColor="text1"/>
          <w:kern w:val="0"/>
          <w:sz w:val="32"/>
          <w:szCs w:val="32"/>
          <w14:textFill>
            <w14:solidFill>
              <w14:schemeClr w14:val="tx1"/>
            </w14:solidFill>
          </w14:textFill>
        </w:rPr>
      </w:pPr>
    </w:p>
    <w:p w14:paraId="43F0ECCE">
      <w:pPr>
        <w:jc w:val="center"/>
        <w:rPr>
          <w:rFonts w:ascii="宋体" w:hAnsi="宋体" w:cs="宋体"/>
          <w:b/>
          <w:color w:val="000000" w:themeColor="text1"/>
          <w:kern w:val="0"/>
          <w:sz w:val="32"/>
          <w:szCs w:val="32"/>
          <w14:textFill>
            <w14:solidFill>
              <w14:schemeClr w14:val="tx1"/>
            </w14:solidFill>
          </w14:textFill>
        </w:rPr>
      </w:pPr>
    </w:p>
    <w:p w14:paraId="774C9999">
      <w:pPr>
        <w:jc w:val="center"/>
        <w:rPr>
          <w:rFonts w:ascii="宋体" w:hAnsi="宋体" w:cs="宋体"/>
          <w:b/>
          <w:color w:val="000000" w:themeColor="text1"/>
          <w:kern w:val="0"/>
          <w:sz w:val="32"/>
          <w:szCs w:val="32"/>
          <w14:textFill>
            <w14:solidFill>
              <w14:schemeClr w14:val="tx1"/>
            </w14:solidFill>
          </w14:textFill>
        </w:rPr>
      </w:pPr>
    </w:p>
    <w:p w14:paraId="022A11F0">
      <w:pPr>
        <w:jc w:val="center"/>
        <w:rPr>
          <w:rFonts w:ascii="宋体" w:hAnsi="宋体" w:cs="宋体"/>
          <w:b/>
          <w:color w:val="000000" w:themeColor="text1"/>
          <w:kern w:val="0"/>
          <w:sz w:val="32"/>
          <w:szCs w:val="32"/>
          <w14:textFill>
            <w14:solidFill>
              <w14:schemeClr w14:val="tx1"/>
            </w14:solidFill>
          </w14:textFill>
        </w:rPr>
      </w:pPr>
    </w:p>
    <w:p w14:paraId="072C95DB">
      <w:pPr>
        <w:jc w:val="both"/>
        <w:rPr>
          <w:rFonts w:ascii="宋体" w:hAnsi="宋体" w:cs="宋体"/>
          <w:b/>
          <w:color w:val="000000" w:themeColor="text1"/>
          <w:kern w:val="0"/>
          <w:sz w:val="32"/>
          <w:szCs w:val="32"/>
          <w14:textFill>
            <w14:solidFill>
              <w14:schemeClr w14:val="tx1"/>
            </w14:solidFill>
          </w14:textFill>
        </w:rPr>
      </w:pPr>
    </w:p>
    <w:p w14:paraId="66A9EE58">
      <w:pPr>
        <w:jc w:val="center"/>
        <w:rPr>
          <w:rFonts w:ascii="宋体" w:hAnsi="宋体" w:cs="宋体"/>
          <w:b/>
          <w:color w:val="000000" w:themeColor="text1"/>
          <w:kern w:val="0"/>
          <w:sz w:val="32"/>
          <w:szCs w:val="32"/>
          <w14:textFill>
            <w14:solidFill>
              <w14:schemeClr w14:val="tx1"/>
            </w14:solidFill>
          </w14:textFill>
        </w:rPr>
      </w:pPr>
    </w:p>
    <w:p w14:paraId="2A591027">
      <w:pPr>
        <w:jc w:val="center"/>
        <w:rPr>
          <w:rFonts w:ascii="宋体" w:hAnsi="宋体" w:cs="宋体"/>
          <w:color w:val="000000" w:themeColor="text1"/>
          <w14:textFill>
            <w14:solidFill>
              <w14:schemeClr w14:val="tx1"/>
            </w14:solidFill>
          </w14:textFill>
        </w:rPr>
      </w:pPr>
      <w:r>
        <w:rPr>
          <w:rFonts w:hint="eastAsia" w:ascii="宋体" w:hAnsi="宋体" w:cs="宋体"/>
          <w:b/>
          <w:color w:val="000000" w:themeColor="text1"/>
          <w:kern w:val="0"/>
          <w:sz w:val="32"/>
          <w:szCs w:val="32"/>
          <w:lang w:eastAsia="zh-CN"/>
          <w14:textFill>
            <w14:solidFill>
              <w14:schemeClr w14:val="tx1"/>
            </w14:solidFill>
          </w14:textFill>
        </w:rPr>
        <w:t>五</w:t>
      </w:r>
      <w:r>
        <w:rPr>
          <w:rFonts w:hint="eastAsia" w:ascii="宋体" w:hAnsi="宋体" w:cs="宋体"/>
          <w:b/>
          <w:color w:val="000000" w:themeColor="text1"/>
          <w:kern w:val="0"/>
          <w:sz w:val="32"/>
          <w:szCs w:val="32"/>
          <w14:textFill>
            <w14:solidFill>
              <w14:schemeClr w14:val="tx1"/>
            </w14:solidFill>
          </w14:textFill>
        </w:rPr>
        <w:t>、评标标准相应的商务技术资料</w:t>
      </w:r>
    </w:p>
    <w:p w14:paraId="5A749AAF">
      <w:pPr>
        <w:snapToGrid w:val="0"/>
        <w:spacing w:line="360" w:lineRule="auto"/>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（按招标文件第四部分评标办法前附表中“投标文件中评标标准相应的商务技术资料目录”提供资料。）</w:t>
      </w:r>
    </w:p>
    <w:p w14:paraId="73DC137A">
      <w:pPr>
        <w:jc w:val="center"/>
        <w:rPr>
          <w:rFonts w:ascii="宋体" w:hAnsi="宋体" w:cs="宋体"/>
          <w:b/>
          <w:color w:val="000000" w:themeColor="text1"/>
          <w:kern w:val="0"/>
          <w:sz w:val="32"/>
          <w:szCs w:val="32"/>
          <w14:textFill>
            <w14:solidFill>
              <w14:schemeClr w14:val="tx1"/>
            </w14:solidFill>
          </w14:textFill>
        </w:rPr>
      </w:pPr>
    </w:p>
    <w:p w14:paraId="2D1FB090">
      <w:pPr>
        <w:jc w:val="center"/>
        <w:rPr>
          <w:rFonts w:ascii="宋体" w:hAnsi="宋体" w:cs="宋体"/>
          <w:b/>
          <w:color w:val="000000" w:themeColor="text1"/>
          <w:kern w:val="0"/>
          <w:sz w:val="32"/>
          <w:szCs w:val="32"/>
          <w14:textFill>
            <w14:solidFill>
              <w14:schemeClr w14:val="tx1"/>
            </w14:solidFill>
          </w14:textFill>
        </w:rPr>
      </w:pPr>
    </w:p>
    <w:p w14:paraId="4EBC179A">
      <w:pPr>
        <w:jc w:val="center"/>
        <w:rPr>
          <w:rFonts w:ascii="宋体" w:hAnsi="宋体" w:cs="宋体"/>
          <w:b/>
          <w:color w:val="000000" w:themeColor="text1"/>
          <w:kern w:val="0"/>
          <w:sz w:val="32"/>
          <w:szCs w:val="32"/>
          <w14:textFill>
            <w14:solidFill>
              <w14:schemeClr w14:val="tx1"/>
            </w14:solidFill>
          </w14:textFill>
        </w:rPr>
      </w:pPr>
    </w:p>
    <w:p w14:paraId="5469F739">
      <w:pPr>
        <w:ind w:firstLine="2891" w:firstLineChars="90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lang w:eastAsia="zh-CN"/>
          <w14:textFill>
            <w14:solidFill>
              <w14:schemeClr w14:val="tx1"/>
            </w14:solidFill>
          </w14:textFill>
        </w:rPr>
        <w:t>六</w:t>
      </w:r>
      <w:r>
        <w:rPr>
          <w:rFonts w:hint="eastAsia" w:ascii="宋体" w:hAnsi="宋体" w:cs="宋体"/>
          <w:b/>
          <w:color w:val="000000" w:themeColor="text1"/>
          <w:kern w:val="0"/>
          <w:sz w:val="32"/>
          <w:szCs w:val="32"/>
          <w14:textFill>
            <w14:solidFill>
              <w14:schemeClr w14:val="tx1"/>
            </w14:solidFill>
          </w14:textFill>
        </w:rPr>
        <w:t>、投标标的清单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4DA5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2455498">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477C9DE5">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名称</w:t>
            </w:r>
          </w:p>
        </w:tc>
        <w:tc>
          <w:tcPr>
            <w:tcW w:w="1114" w:type="dxa"/>
            <w:tcBorders>
              <w:top w:val="single" w:color="auto" w:sz="4" w:space="0"/>
              <w:left w:val="single" w:color="auto" w:sz="4" w:space="0"/>
              <w:bottom w:val="single" w:color="auto" w:sz="4" w:space="0"/>
              <w:right w:val="single" w:color="auto" w:sz="4" w:space="0"/>
            </w:tcBorders>
          </w:tcPr>
          <w:p w14:paraId="6368A008">
            <w:pPr>
              <w:spacing w:line="360" w:lineRule="auto"/>
              <w:jc w:val="center"/>
              <w:rPr>
                <w:rFonts w:ascii="宋体" w:hAnsi="宋体" w:cs="宋体"/>
                <w:b/>
                <w:color w:val="000000" w:themeColor="text1"/>
                <w:sz w:val="24"/>
                <w14:textFill>
                  <w14:solidFill>
                    <w14:schemeClr w14:val="tx1"/>
                  </w14:solidFill>
                </w14:textFill>
              </w:rPr>
            </w:pPr>
          </w:p>
          <w:p w14:paraId="2B06EEC6">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0D62C313">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56194305">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4B474D78">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706EF5EA">
            <w:pPr>
              <w:spacing w:line="360" w:lineRule="auto"/>
              <w:jc w:val="center"/>
              <w:rPr>
                <w:rFonts w:ascii="宋体" w:hAnsi="宋体" w:cs="宋体"/>
                <w:b/>
                <w:color w:val="000000" w:themeColor="text1"/>
                <w:sz w:val="24"/>
                <w14:textFill>
                  <w14:solidFill>
                    <w14:schemeClr w14:val="tx1"/>
                  </w14:solidFill>
                </w14:textFill>
              </w:rPr>
            </w:pPr>
          </w:p>
          <w:p w14:paraId="71FDDD5E">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备注（如果有）</w:t>
            </w:r>
          </w:p>
          <w:p w14:paraId="160755B6">
            <w:pPr>
              <w:spacing w:line="360" w:lineRule="auto"/>
              <w:jc w:val="center"/>
              <w:rPr>
                <w:rFonts w:ascii="宋体" w:hAnsi="宋体" w:cs="宋体"/>
                <w:b/>
                <w:color w:val="000000" w:themeColor="text1"/>
                <w:sz w:val="24"/>
                <w14:textFill>
                  <w14:solidFill>
                    <w14:schemeClr w14:val="tx1"/>
                  </w14:solidFill>
                </w14:textFill>
              </w:rPr>
            </w:pPr>
          </w:p>
        </w:tc>
      </w:tr>
      <w:tr w14:paraId="29FC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36D6BB7">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369" w:type="dxa"/>
            <w:tcBorders>
              <w:top w:val="single" w:color="auto" w:sz="4" w:space="0"/>
              <w:left w:val="single" w:color="auto" w:sz="4" w:space="0"/>
              <w:bottom w:val="single" w:color="auto" w:sz="4" w:space="0"/>
              <w:right w:val="single" w:color="auto" w:sz="4" w:space="0"/>
            </w:tcBorders>
            <w:vAlign w:val="center"/>
          </w:tcPr>
          <w:p w14:paraId="66002AD7">
            <w:pPr>
              <w:snapToGrid w:val="0"/>
              <w:spacing w:line="360" w:lineRule="auto"/>
              <w:jc w:val="center"/>
              <w:rPr>
                <w:rFonts w:ascii="宋体" w:hAnsi="宋体" w:cs="宋体"/>
                <w:color w:val="000000" w:themeColor="text1"/>
                <w:sz w:val="24"/>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43304A21">
            <w:pPr>
              <w:snapToGrid w:val="0"/>
              <w:spacing w:line="360" w:lineRule="auto"/>
              <w:jc w:val="center"/>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D9E9956">
            <w:pPr>
              <w:snapToGrid w:val="0"/>
              <w:spacing w:line="360" w:lineRule="auto"/>
              <w:jc w:val="center"/>
              <w:rPr>
                <w:rFonts w:ascii="宋体" w:hAnsi="宋体" w:cs="宋体"/>
                <w:color w:val="000000" w:themeColor="text1"/>
                <w:sz w:val="24"/>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5F7348A9">
            <w:pPr>
              <w:spacing w:line="360" w:lineRule="auto"/>
              <w:jc w:val="center"/>
              <w:rPr>
                <w:rFonts w:ascii="宋体" w:hAnsi="宋体" w:cs="宋体"/>
                <w:color w:val="000000" w:themeColor="text1"/>
                <w:sz w:val="24"/>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14:paraId="5EA36F64">
            <w:pPr>
              <w:spacing w:line="360" w:lineRule="auto"/>
              <w:jc w:val="center"/>
              <w:rPr>
                <w:rFonts w:ascii="宋体" w:hAnsi="宋体" w:cs="宋体"/>
                <w:color w:val="000000" w:themeColor="text1"/>
                <w:sz w:val="24"/>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14:paraId="35D41495">
            <w:pPr>
              <w:spacing w:line="360" w:lineRule="auto"/>
              <w:jc w:val="center"/>
              <w:rPr>
                <w:rFonts w:ascii="宋体" w:hAnsi="宋体" w:cs="宋体"/>
                <w:color w:val="000000" w:themeColor="text1"/>
                <w:sz w:val="24"/>
                <w14:textFill>
                  <w14:solidFill>
                    <w14:schemeClr w14:val="tx1"/>
                  </w14:solidFill>
                </w14:textFill>
              </w:rPr>
            </w:pPr>
          </w:p>
        </w:tc>
      </w:tr>
      <w:tr w14:paraId="76AC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C5D08F3">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369" w:type="dxa"/>
            <w:tcBorders>
              <w:top w:val="single" w:color="auto" w:sz="4" w:space="0"/>
              <w:left w:val="single" w:color="auto" w:sz="4" w:space="0"/>
              <w:bottom w:val="single" w:color="auto" w:sz="4" w:space="0"/>
              <w:right w:val="single" w:color="auto" w:sz="4" w:space="0"/>
            </w:tcBorders>
            <w:vAlign w:val="center"/>
          </w:tcPr>
          <w:p w14:paraId="6F855C7E">
            <w:pPr>
              <w:snapToGrid w:val="0"/>
              <w:spacing w:line="360" w:lineRule="auto"/>
              <w:jc w:val="center"/>
              <w:rPr>
                <w:rFonts w:ascii="宋体" w:hAnsi="宋体" w:cs="宋体"/>
                <w:color w:val="000000" w:themeColor="text1"/>
                <w:sz w:val="24"/>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696561C2">
            <w:pPr>
              <w:snapToGrid w:val="0"/>
              <w:spacing w:line="360" w:lineRule="auto"/>
              <w:jc w:val="center"/>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064B056">
            <w:pPr>
              <w:snapToGrid w:val="0"/>
              <w:spacing w:line="360" w:lineRule="auto"/>
              <w:jc w:val="center"/>
              <w:rPr>
                <w:rFonts w:ascii="宋体" w:hAnsi="宋体" w:cs="宋体"/>
                <w:color w:val="000000" w:themeColor="text1"/>
                <w:sz w:val="24"/>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49634246">
            <w:pPr>
              <w:spacing w:line="360" w:lineRule="auto"/>
              <w:jc w:val="center"/>
              <w:rPr>
                <w:rFonts w:ascii="宋体" w:hAnsi="宋体" w:cs="宋体"/>
                <w:color w:val="000000" w:themeColor="text1"/>
                <w:sz w:val="24"/>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14:paraId="086DF681">
            <w:pPr>
              <w:spacing w:line="360" w:lineRule="auto"/>
              <w:jc w:val="center"/>
              <w:rPr>
                <w:rFonts w:ascii="宋体" w:hAnsi="宋体" w:cs="宋体"/>
                <w:color w:val="000000" w:themeColor="text1"/>
                <w:sz w:val="24"/>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14:paraId="6726054A">
            <w:pPr>
              <w:spacing w:line="360" w:lineRule="auto"/>
              <w:jc w:val="center"/>
              <w:rPr>
                <w:rFonts w:ascii="宋体" w:hAnsi="宋体" w:cs="宋体"/>
                <w:color w:val="000000" w:themeColor="text1"/>
                <w:sz w:val="24"/>
                <w14:textFill>
                  <w14:solidFill>
                    <w14:schemeClr w14:val="tx1"/>
                  </w14:solidFill>
                </w14:textFill>
              </w:rPr>
            </w:pPr>
          </w:p>
        </w:tc>
      </w:tr>
      <w:tr w14:paraId="6D97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4EA9AFF">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369" w:type="dxa"/>
            <w:tcBorders>
              <w:top w:val="single" w:color="auto" w:sz="4" w:space="0"/>
              <w:left w:val="single" w:color="auto" w:sz="4" w:space="0"/>
              <w:bottom w:val="single" w:color="auto" w:sz="4" w:space="0"/>
              <w:right w:val="single" w:color="auto" w:sz="4" w:space="0"/>
            </w:tcBorders>
            <w:vAlign w:val="center"/>
          </w:tcPr>
          <w:p w14:paraId="5A83D385">
            <w:pPr>
              <w:snapToGrid w:val="0"/>
              <w:spacing w:line="360" w:lineRule="auto"/>
              <w:jc w:val="center"/>
              <w:rPr>
                <w:rFonts w:ascii="宋体" w:hAnsi="宋体" w:cs="宋体"/>
                <w:color w:val="000000" w:themeColor="text1"/>
                <w:sz w:val="24"/>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512003D6">
            <w:pPr>
              <w:snapToGrid w:val="0"/>
              <w:spacing w:line="360" w:lineRule="auto"/>
              <w:jc w:val="center"/>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E585C1E">
            <w:pPr>
              <w:snapToGrid w:val="0"/>
              <w:spacing w:line="360" w:lineRule="auto"/>
              <w:jc w:val="center"/>
              <w:rPr>
                <w:rFonts w:ascii="宋体" w:hAnsi="宋体" w:cs="宋体"/>
                <w:color w:val="000000" w:themeColor="text1"/>
                <w:sz w:val="24"/>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2B2A61A7">
            <w:pPr>
              <w:spacing w:line="360" w:lineRule="auto"/>
              <w:jc w:val="center"/>
              <w:rPr>
                <w:rFonts w:ascii="宋体" w:hAnsi="宋体" w:cs="宋体"/>
                <w:color w:val="000000" w:themeColor="text1"/>
                <w:sz w:val="24"/>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14:paraId="27BBB7B4">
            <w:pPr>
              <w:spacing w:line="360" w:lineRule="auto"/>
              <w:jc w:val="center"/>
              <w:rPr>
                <w:rFonts w:ascii="宋体" w:hAnsi="宋体" w:cs="宋体"/>
                <w:color w:val="000000" w:themeColor="text1"/>
                <w:sz w:val="24"/>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14:paraId="78281618">
            <w:pPr>
              <w:spacing w:line="360" w:lineRule="auto"/>
              <w:jc w:val="center"/>
              <w:rPr>
                <w:rFonts w:ascii="宋体" w:hAnsi="宋体" w:cs="宋体"/>
                <w:color w:val="000000" w:themeColor="text1"/>
                <w:sz w:val="24"/>
                <w14:textFill>
                  <w14:solidFill>
                    <w14:schemeClr w14:val="tx1"/>
                  </w14:solidFill>
                </w14:textFill>
              </w:rPr>
            </w:pPr>
          </w:p>
        </w:tc>
      </w:tr>
    </w:tbl>
    <w:p w14:paraId="6DD823A4">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51346ED6">
      <w:pPr>
        <w:jc w:val="center"/>
        <w:rPr>
          <w:rFonts w:ascii="宋体" w:hAnsi="宋体" w:cs="宋体"/>
          <w:b/>
          <w:color w:val="000000" w:themeColor="text1"/>
          <w:kern w:val="0"/>
          <w:sz w:val="32"/>
          <w:szCs w:val="32"/>
          <w14:textFill>
            <w14:solidFill>
              <w14:schemeClr w14:val="tx1"/>
            </w14:solidFill>
          </w14:textFill>
        </w:rPr>
      </w:pPr>
    </w:p>
    <w:p w14:paraId="45D0F33D">
      <w:pPr>
        <w:jc w:val="center"/>
        <w:rPr>
          <w:rFonts w:ascii="宋体" w:hAnsi="宋体" w:cs="宋体"/>
          <w:b/>
          <w:color w:val="000000" w:themeColor="text1"/>
          <w:kern w:val="0"/>
          <w:sz w:val="32"/>
          <w:szCs w:val="32"/>
          <w14:textFill>
            <w14:solidFill>
              <w14:schemeClr w14:val="tx1"/>
            </w14:solidFill>
          </w14:textFill>
        </w:rPr>
      </w:pPr>
    </w:p>
    <w:p w14:paraId="7BAD53F4">
      <w:pPr>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lang w:eastAsia="zh-CN"/>
          <w14:textFill>
            <w14:solidFill>
              <w14:schemeClr w14:val="tx1"/>
            </w14:solidFill>
          </w14:textFill>
        </w:rPr>
        <w:t>七</w:t>
      </w:r>
      <w:r>
        <w:rPr>
          <w:rFonts w:hint="eastAsia" w:ascii="宋体" w:hAnsi="宋体" w:cs="宋体"/>
          <w:b/>
          <w:color w:val="000000" w:themeColor="text1"/>
          <w:kern w:val="0"/>
          <w:sz w:val="32"/>
          <w:szCs w:val="32"/>
          <w14:textFill>
            <w14:solidFill>
              <w14:schemeClr w14:val="tx1"/>
            </w14:solidFill>
          </w14:textFill>
        </w:rPr>
        <w:t>、商务技术偏离表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2C4F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8FB624A">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3683" w:type="dxa"/>
          </w:tcPr>
          <w:p w14:paraId="6337FDF7">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招标文件章节及具体内容</w:t>
            </w:r>
          </w:p>
        </w:tc>
        <w:tc>
          <w:tcPr>
            <w:tcW w:w="3546" w:type="dxa"/>
          </w:tcPr>
          <w:p w14:paraId="24A7042A">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投标文件章节及具体内容</w:t>
            </w:r>
          </w:p>
        </w:tc>
        <w:tc>
          <w:tcPr>
            <w:tcW w:w="1276" w:type="dxa"/>
          </w:tcPr>
          <w:p w14:paraId="7B3821C4">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偏离说明</w:t>
            </w:r>
          </w:p>
        </w:tc>
      </w:tr>
      <w:tr w14:paraId="0185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98A4258">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3683" w:type="dxa"/>
          </w:tcPr>
          <w:p w14:paraId="1E226CE2">
            <w:pPr>
              <w:jc w:val="center"/>
              <w:rPr>
                <w:rFonts w:ascii="宋体" w:hAnsi="宋体" w:cs="宋体"/>
                <w:b/>
                <w:color w:val="000000" w:themeColor="text1"/>
                <w:kern w:val="0"/>
                <w:sz w:val="32"/>
                <w:szCs w:val="32"/>
                <w14:textFill>
                  <w14:solidFill>
                    <w14:schemeClr w14:val="tx1"/>
                  </w14:solidFill>
                </w14:textFill>
              </w:rPr>
            </w:pPr>
          </w:p>
        </w:tc>
        <w:tc>
          <w:tcPr>
            <w:tcW w:w="3546" w:type="dxa"/>
          </w:tcPr>
          <w:p w14:paraId="44409FA1">
            <w:pPr>
              <w:jc w:val="center"/>
              <w:rPr>
                <w:rFonts w:ascii="宋体" w:hAnsi="宋体" w:cs="宋体"/>
                <w:b/>
                <w:color w:val="000000" w:themeColor="text1"/>
                <w:kern w:val="0"/>
                <w:sz w:val="32"/>
                <w:szCs w:val="32"/>
                <w14:textFill>
                  <w14:solidFill>
                    <w14:schemeClr w14:val="tx1"/>
                  </w14:solidFill>
                </w14:textFill>
              </w:rPr>
            </w:pPr>
          </w:p>
        </w:tc>
        <w:tc>
          <w:tcPr>
            <w:tcW w:w="1276" w:type="dxa"/>
          </w:tcPr>
          <w:p w14:paraId="1130D819">
            <w:pPr>
              <w:jc w:val="center"/>
              <w:rPr>
                <w:rFonts w:ascii="宋体" w:hAnsi="宋体" w:cs="宋体"/>
                <w:b/>
                <w:color w:val="000000" w:themeColor="text1"/>
                <w:kern w:val="0"/>
                <w:sz w:val="32"/>
                <w:szCs w:val="32"/>
                <w14:textFill>
                  <w14:solidFill>
                    <w14:schemeClr w14:val="tx1"/>
                  </w14:solidFill>
                </w14:textFill>
              </w:rPr>
            </w:pPr>
          </w:p>
        </w:tc>
      </w:tr>
      <w:tr w14:paraId="7C2D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D7EA5A2">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3683" w:type="dxa"/>
          </w:tcPr>
          <w:p w14:paraId="78845120">
            <w:pPr>
              <w:jc w:val="center"/>
              <w:rPr>
                <w:rFonts w:ascii="宋体" w:hAnsi="宋体" w:cs="宋体"/>
                <w:b/>
                <w:color w:val="000000" w:themeColor="text1"/>
                <w:kern w:val="0"/>
                <w:sz w:val="32"/>
                <w:szCs w:val="32"/>
                <w14:textFill>
                  <w14:solidFill>
                    <w14:schemeClr w14:val="tx1"/>
                  </w14:solidFill>
                </w14:textFill>
              </w:rPr>
            </w:pPr>
          </w:p>
        </w:tc>
        <w:tc>
          <w:tcPr>
            <w:tcW w:w="3546" w:type="dxa"/>
          </w:tcPr>
          <w:p w14:paraId="1A8A8872">
            <w:pPr>
              <w:jc w:val="center"/>
              <w:rPr>
                <w:rFonts w:ascii="宋体" w:hAnsi="宋体" w:cs="宋体"/>
                <w:b/>
                <w:color w:val="000000" w:themeColor="text1"/>
                <w:kern w:val="0"/>
                <w:sz w:val="32"/>
                <w:szCs w:val="32"/>
                <w14:textFill>
                  <w14:solidFill>
                    <w14:schemeClr w14:val="tx1"/>
                  </w14:solidFill>
                </w14:textFill>
              </w:rPr>
            </w:pPr>
          </w:p>
        </w:tc>
        <w:tc>
          <w:tcPr>
            <w:tcW w:w="1276" w:type="dxa"/>
          </w:tcPr>
          <w:p w14:paraId="1E43B1E7">
            <w:pPr>
              <w:jc w:val="center"/>
              <w:rPr>
                <w:rFonts w:ascii="宋体" w:hAnsi="宋体" w:cs="宋体"/>
                <w:b/>
                <w:color w:val="000000" w:themeColor="text1"/>
                <w:kern w:val="0"/>
                <w:sz w:val="32"/>
                <w:szCs w:val="32"/>
                <w14:textFill>
                  <w14:solidFill>
                    <w14:schemeClr w14:val="tx1"/>
                  </w14:solidFill>
                </w14:textFill>
              </w:rPr>
            </w:pPr>
          </w:p>
        </w:tc>
      </w:tr>
      <w:tr w14:paraId="7ADE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3CAB887">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3683" w:type="dxa"/>
          </w:tcPr>
          <w:p w14:paraId="05179F4F">
            <w:pPr>
              <w:jc w:val="center"/>
              <w:rPr>
                <w:rFonts w:ascii="宋体" w:hAnsi="宋体" w:cs="宋体"/>
                <w:b/>
                <w:color w:val="000000" w:themeColor="text1"/>
                <w:kern w:val="0"/>
                <w:sz w:val="32"/>
                <w:szCs w:val="32"/>
                <w14:textFill>
                  <w14:solidFill>
                    <w14:schemeClr w14:val="tx1"/>
                  </w14:solidFill>
                </w14:textFill>
              </w:rPr>
            </w:pPr>
          </w:p>
        </w:tc>
        <w:tc>
          <w:tcPr>
            <w:tcW w:w="3546" w:type="dxa"/>
          </w:tcPr>
          <w:p w14:paraId="292A5AA0">
            <w:pPr>
              <w:jc w:val="center"/>
              <w:rPr>
                <w:rFonts w:ascii="宋体" w:hAnsi="宋体" w:cs="宋体"/>
                <w:b/>
                <w:color w:val="000000" w:themeColor="text1"/>
                <w:kern w:val="0"/>
                <w:sz w:val="32"/>
                <w:szCs w:val="32"/>
                <w14:textFill>
                  <w14:solidFill>
                    <w14:schemeClr w14:val="tx1"/>
                  </w14:solidFill>
                </w14:textFill>
              </w:rPr>
            </w:pPr>
          </w:p>
        </w:tc>
        <w:tc>
          <w:tcPr>
            <w:tcW w:w="1276" w:type="dxa"/>
          </w:tcPr>
          <w:p w14:paraId="0A4FB843">
            <w:pPr>
              <w:jc w:val="center"/>
              <w:rPr>
                <w:rFonts w:ascii="宋体" w:hAnsi="宋体" w:cs="宋体"/>
                <w:b/>
                <w:color w:val="000000" w:themeColor="text1"/>
                <w:kern w:val="0"/>
                <w:sz w:val="32"/>
                <w:szCs w:val="32"/>
                <w14:textFill>
                  <w14:solidFill>
                    <w14:schemeClr w14:val="tx1"/>
                  </w14:solidFill>
                </w14:textFill>
              </w:rPr>
            </w:pPr>
          </w:p>
        </w:tc>
      </w:tr>
    </w:tbl>
    <w:p w14:paraId="59E3569A">
      <w:pPr>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投标人保证：除商务技术偏离表列出的偏离外，投标人响应招标文件的全部要求</w:t>
      </w:r>
    </w:p>
    <w:p w14:paraId="69BAAF45">
      <w:pPr>
        <w:spacing w:line="360" w:lineRule="auto"/>
        <w:ind w:firstLine="3600" w:firstLineChars="1500"/>
        <w:rPr>
          <w:rFonts w:ascii="宋体" w:hAnsi="宋体" w:cs="宋体"/>
          <w:color w:val="000000" w:themeColor="text1"/>
          <w:sz w:val="24"/>
          <w14:textFill>
            <w14:solidFill>
              <w14:schemeClr w14:val="tx1"/>
            </w14:solidFill>
          </w14:textFill>
        </w:rPr>
      </w:pPr>
    </w:p>
    <w:p w14:paraId="16ABA285">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投标人名称（公章）：</w:t>
      </w:r>
    </w:p>
    <w:p w14:paraId="3B923A42">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604BD8E2">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1D090CBC">
      <w:pPr>
        <w:jc w:val="center"/>
        <w:rPr>
          <w:rFonts w:ascii="宋体" w:hAnsi="宋体" w:cs="宋体"/>
          <w:b/>
          <w:color w:val="000000" w:themeColor="text1"/>
          <w:kern w:val="0"/>
          <w:sz w:val="32"/>
          <w:szCs w:val="32"/>
          <w14:textFill>
            <w14:solidFill>
              <w14:schemeClr w14:val="tx1"/>
            </w14:solidFill>
          </w14:textFill>
        </w:rPr>
      </w:pPr>
    </w:p>
    <w:p w14:paraId="723BB476">
      <w:pPr>
        <w:spacing w:line="360" w:lineRule="auto"/>
        <w:ind w:right="42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0777FCE3">
      <w:pPr>
        <w:widowControl/>
        <w:adjustRightInd/>
        <w:jc w:val="left"/>
        <w:rPr>
          <w:rFonts w:ascii="宋体" w:hAnsi="宋体" w:cs="宋体"/>
          <w:b/>
          <w:bCs/>
          <w:color w:val="000000" w:themeColor="text1"/>
          <w:sz w:val="32"/>
          <w:szCs w:val="32"/>
          <w14:textFill>
            <w14:solidFill>
              <w14:schemeClr w14:val="tx1"/>
            </w14:solidFill>
          </w14:textFill>
        </w:rPr>
      </w:pPr>
      <w:r>
        <w:rPr>
          <w:rFonts w:ascii="宋体" w:hAnsi="宋体" w:cs="宋体"/>
          <w:b/>
          <w:bCs/>
          <w:color w:val="000000" w:themeColor="text1"/>
          <w:sz w:val="32"/>
          <w:szCs w:val="32"/>
          <w14:textFill>
            <w14:solidFill>
              <w14:schemeClr w14:val="tx1"/>
            </w14:solidFill>
          </w14:textFill>
        </w:rPr>
        <w:br w:type="page"/>
      </w:r>
    </w:p>
    <w:p w14:paraId="4C151C89">
      <w:pPr>
        <w:ind w:firstLine="1911" w:firstLineChars="595"/>
        <w:rPr>
          <w:rFonts w:ascii="宋体" w:hAnsi="宋体" w:cs="宋体"/>
          <w:b/>
          <w:color w:val="000000" w:themeColor="text1"/>
          <w:kern w:val="0"/>
          <w:sz w:val="32"/>
          <w:szCs w:val="32"/>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八</w:t>
      </w:r>
      <w:r>
        <w:rPr>
          <w:rFonts w:hint="eastAsia" w:ascii="宋体" w:hAnsi="宋体" w:cs="宋体"/>
          <w:b/>
          <w:color w:val="000000" w:themeColor="text1"/>
          <w:kern w:val="0"/>
          <w:sz w:val="32"/>
          <w:szCs w:val="32"/>
          <w14:textFill>
            <w14:solidFill>
              <w14:schemeClr w14:val="tx1"/>
            </w14:solidFill>
          </w14:textFill>
        </w:rPr>
        <w:t>、</w:t>
      </w:r>
      <w:r>
        <w:rPr>
          <w:rFonts w:hint="eastAsia" w:ascii="宋体" w:hAnsi="宋体" w:cs="宋体"/>
          <w:b/>
          <w:color w:val="000000" w:themeColor="text1"/>
          <w:kern w:val="0"/>
          <w:sz w:val="32"/>
          <w:szCs w:val="32"/>
          <w:lang w:val="zh-CN"/>
          <w14:textFill>
            <w14:solidFill>
              <w14:schemeClr w14:val="tx1"/>
            </w14:solidFill>
          </w14:textFill>
        </w:rPr>
        <w:t>政府采购供应商廉洁自律承诺书</w:t>
      </w:r>
    </w:p>
    <w:p w14:paraId="21DF7136">
      <w:pPr>
        <w:snapToGrid w:val="0"/>
        <w:spacing w:line="360" w:lineRule="auto"/>
        <w:rPr>
          <w:rFonts w:ascii="宋体" w:hAnsi="宋体" w:cs="宋体"/>
          <w:color w:val="000000" w:themeColor="text1"/>
          <w:sz w:val="24"/>
          <w14:textFill>
            <w14:solidFill>
              <w14:schemeClr w14:val="tx1"/>
            </w14:solidFill>
          </w14:textFill>
        </w:rPr>
      </w:pPr>
    </w:p>
    <w:p w14:paraId="311D7642">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w:t>
      </w:r>
      <w:r>
        <w:rPr>
          <w:rFonts w:hint="eastAsia" w:ascii="宋体" w:hAnsi="宋体" w:cs="宋体"/>
          <w:color w:val="000000" w:themeColor="text1"/>
          <w:kern w:val="0"/>
          <w:sz w:val="24"/>
          <w:lang w:val="zh-CN"/>
          <w14:textFill>
            <w14:solidFill>
              <w14:schemeClr w14:val="tx1"/>
            </w14:solidFill>
          </w14:textFill>
        </w:rPr>
        <w:t>：</w:t>
      </w:r>
    </w:p>
    <w:p w14:paraId="78AB9F86">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我单位响应你</w:t>
      </w:r>
      <w:r>
        <w:rPr>
          <w:rFonts w:hint="eastAsia" w:ascii="宋体" w:hAnsi="宋体" w:cs="宋体"/>
          <w:color w:val="000000" w:themeColor="text1"/>
          <w:sz w:val="24"/>
          <w14:textFill>
            <w14:solidFill>
              <w14:schemeClr w14:val="tx1"/>
            </w14:solidFill>
          </w14:textFill>
        </w:rPr>
        <w:t>单位</w:t>
      </w:r>
      <w:r>
        <w:rPr>
          <w:rFonts w:hint="eastAsia" w:ascii="宋体" w:hAnsi="宋体" w:cs="宋体"/>
          <w:color w:val="000000" w:themeColor="text1"/>
          <w:kern w:val="0"/>
          <w:sz w:val="24"/>
          <w:lang w:val="zh-CN"/>
          <w14:textFill>
            <w14:solidFill>
              <w14:schemeClr w14:val="tx1"/>
            </w14:solidFill>
          </w14:textFill>
        </w:rPr>
        <w:t>项目招标要求参加投标。在这次投标过程中和中标后，我们将严格遵守国家法律法规要求，并郑重承诺：</w:t>
      </w:r>
    </w:p>
    <w:p w14:paraId="7D02D2B2">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一、不向项目有关人员及部门赠送礼金礼物、有价证券、回扣以及中介费、介绍费、咨询费等好处费； </w:t>
      </w:r>
    </w:p>
    <w:p w14:paraId="698E1684">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二、不为项目有关人员及部门报销应由你方单位或个人支付的费用； </w:t>
      </w:r>
    </w:p>
    <w:p w14:paraId="0BEE590B">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三、不向项目有关人员及部门提供有可能影响公正的宴请和健身娱乐等活动； </w:t>
      </w:r>
    </w:p>
    <w:p w14:paraId="2121FB99">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四、不为项目有关人员及部门出国（境）、旅游等提供方便；</w:t>
      </w:r>
    </w:p>
    <w:p w14:paraId="245EA09F">
      <w:pPr>
        <w:autoSpaceDE w:val="0"/>
        <w:autoSpaceDN w:val="0"/>
        <w:spacing w:line="360" w:lineRule="auto"/>
        <w:ind w:left="481" w:leftChars="229"/>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五、不为项目有关人员个人装修住房、婚丧嫁娶、配偶子女工作安排等提供</w:t>
      </w:r>
    </w:p>
    <w:p w14:paraId="32BF3515">
      <w:pPr>
        <w:autoSpaceDE w:val="0"/>
        <w:autoSpaceDN w:val="0"/>
        <w:spacing w:line="360" w:lineRule="auto"/>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好处；</w:t>
      </w:r>
    </w:p>
    <w:p w14:paraId="34182746">
      <w:pPr>
        <w:autoSpaceDE w:val="0"/>
        <w:autoSpaceDN w:val="0"/>
        <w:spacing w:line="360" w:lineRule="auto"/>
        <w:ind w:left="481" w:leftChars="229"/>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六、严格遵守《</w:t>
      </w:r>
      <w:r>
        <w:rPr>
          <w:rFonts w:hint="eastAsia" w:ascii="宋体" w:hAnsi="宋体" w:cs="宋体"/>
          <w:color w:val="000000" w:themeColor="text1"/>
          <w:sz w:val="24"/>
          <w:lang w:val="zh-CN"/>
          <w14:textFill>
            <w14:solidFill>
              <w14:schemeClr w14:val="tx1"/>
            </w14:solidFill>
          </w14:textFill>
        </w:rPr>
        <w:t>中华人民共和国</w:t>
      </w:r>
      <w:r>
        <w:rPr>
          <w:rFonts w:hint="eastAsia" w:ascii="宋体" w:hAnsi="宋体" w:cs="宋体"/>
          <w:color w:val="000000" w:themeColor="text1"/>
          <w:kern w:val="0"/>
          <w:sz w:val="24"/>
          <w:lang w:val="zh-CN"/>
          <w14:textFill>
            <w14:solidFill>
              <w14:schemeClr w14:val="tx1"/>
            </w14:solidFill>
          </w14:textFill>
        </w:rPr>
        <w:t>政府采购法》《</w:t>
      </w:r>
      <w:r>
        <w:rPr>
          <w:rFonts w:hint="eastAsia" w:ascii="宋体" w:hAnsi="宋体" w:cs="宋体"/>
          <w:color w:val="000000" w:themeColor="text1"/>
          <w:sz w:val="24"/>
          <w:lang w:val="zh-CN"/>
          <w14:textFill>
            <w14:solidFill>
              <w14:schemeClr w14:val="tx1"/>
            </w14:solidFill>
          </w14:textFill>
        </w:rPr>
        <w:t>中华人民共和国</w:t>
      </w:r>
      <w:r>
        <w:rPr>
          <w:rFonts w:hint="eastAsia" w:ascii="宋体" w:hAnsi="宋体" w:cs="宋体"/>
          <w:color w:val="000000" w:themeColor="text1"/>
          <w:kern w:val="0"/>
          <w:sz w:val="24"/>
          <w:lang w:val="zh-CN"/>
          <w14:textFill>
            <w14:solidFill>
              <w14:schemeClr w14:val="tx1"/>
            </w14:solidFill>
          </w14:textFill>
        </w:rPr>
        <w:t>招标投标</w:t>
      </w:r>
    </w:p>
    <w:p w14:paraId="7290A5D5">
      <w:pPr>
        <w:autoSpaceDE w:val="0"/>
        <w:autoSpaceDN w:val="0"/>
        <w:spacing w:line="360" w:lineRule="auto"/>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法》</w:t>
      </w:r>
      <w:r>
        <w:rPr>
          <w:rFonts w:hint="eastAsia" w:ascii="宋体" w:hAnsi="宋体" w:cs="宋体"/>
          <w:color w:val="000000" w:themeColor="text1"/>
          <w:sz w:val="24"/>
          <w:lang w:val="zh-CN"/>
          <w14:textFill>
            <w14:solidFill>
              <w14:schemeClr w14:val="tx1"/>
            </w14:solidFill>
          </w14:textFill>
        </w:rPr>
        <w:t>《中华人民共和国民法典》</w:t>
      </w:r>
      <w:r>
        <w:rPr>
          <w:rFonts w:hint="eastAsia" w:ascii="宋体" w:hAnsi="宋体" w:cs="宋体"/>
          <w:color w:val="000000" w:themeColor="text1"/>
          <w:kern w:val="0"/>
          <w:sz w:val="24"/>
          <w:lang w:val="zh-CN"/>
          <w14:textFill>
            <w14:solidFill>
              <w14:schemeClr w14:val="tx1"/>
            </w14:solidFill>
          </w14:textFill>
        </w:rPr>
        <w:t xml:space="preserve">等法律法规，诚实守信，合法经营，坚决抵制各种违法违纪行为。 </w:t>
      </w:r>
    </w:p>
    <w:p w14:paraId="64E0938B">
      <w:pPr>
        <w:autoSpaceDE w:val="0"/>
        <w:autoSpaceDN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如违反上述承诺，你</w:t>
      </w:r>
      <w:r>
        <w:rPr>
          <w:rFonts w:hint="eastAsia" w:ascii="宋体" w:hAnsi="宋体" w:cs="宋体"/>
          <w:color w:val="000000" w:themeColor="text1"/>
          <w:sz w:val="24"/>
          <w14:textFill>
            <w14:solidFill>
              <w14:schemeClr w14:val="tx1"/>
            </w14:solidFill>
          </w14:textFill>
        </w:rPr>
        <w:t>单位</w:t>
      </w:r>
      <w:r>
        <w:rPr>
          <w:rFonts w:hint="eastAsia" w:ascii="宋体" w:hAnsi="宋体" w:cs="宋体"/>
          <w:color w:val="000000" w:themeColor="text1"/>
          <w:kern w:val="0"/>
          <w:sz w:val="24"/>
          <w:lang w:val="zh-CN"/>
          <w14:textFill>
            <w14:solidFill>
              <w14:schemeClr w14:val="tx1"/>
            </w14:solidFill>
          </w14:textFill>
        </w:rPr>
        <w:t>有权立即取消我单位投标、中标或在建项目的建设资格，有权拒绝我单位在一定时期内进入你</w:t>
      </w:r>
      <w:r>
        <w:rPr>
          <w:rFonts w:hint="eastAsia" w:ascii="宋体" w:hAnsi="宋体" w:cs="宋体"/>
          <w:color w:val="000000" w:themeColor="text1"/>
          <w:sz w:val="24"/>
          <w14:textFill>
            <w14:solidFill>
              <w14:schemeClr w14:val="tx1"/>
            </w14:solidFill>
          </w14:textFill>
        </w:rPr>
        <w:t>单位</w:t>
      </w:r>
      <w:r>
        <w:rPr>
          <w:rFonts w:hint="eastAsia" w:ascii="宋体" w:hAnsi="宋体" w:cs="宋体"/>
          <w:color w:val="000000" w:themeColor="text1"/>
          <w:kern w:val="0"/>
          <w:sz w:val="24"/>
          <w:lang w:val="zh-CN"/>
          <w14:textFill>
            <w14:solidFill>
              <w14:schemeClr w14:val="tx1"/>
            </w14:solidFill>
          </w14:textFill>
        </w:rPr>
        <w:t>进行项目建设或其他经营活动，并通报市财政局。由此引起的相应损失均由我单位承担。</w:t>
      </w:r>
    </w:p>
    <w:p w14:paraId="727CA432">
      <w:pPr>
        <w:autoSpaceDE w:val="0"/>
        <w:autoSpaceDN w:val="0"/>
        <w:spacing w:line="360" w:lineRule="auto"/>
        <w:ind w:left="2"/>
        <w:jc w:val="left"/>
        <w:rPr>
          <w:rFonts w:ascii="宋体" w:hAnsi="宋体" w:cs="宋体"/>
          <w:color w:val="000000" w:themeColor="text1"/>
          <w:kern w:val="0"/>
          <w:sz w:val="24"/>
          <w:lang w:val="zh-CN"/>
          <w14:textFill>
            <w14:solidFill>
              <w14:schemeClr w14:val="tx1"/>
            </w14:solidFill>
          </w14:textFill>
        </w:rPr>
      </w:pPr>
    </w:p>
    <w:p w14:paraId="28856E3B">
      <w:pPr>
        <w:autoSpaceDE w:val="0"/>
        <w:autoSpaceDN w:val="0"/>
        <w:spacing w:line="360" w:lineRule="auto"/>
        <w:ind w:left="2"/>
        <w:jc w:val="left"/>
        <w:rPr>
          <w:rFonts w:ascii="宋体" w:hAnsi="宋体" w:cs="宋体"/>
          <w:color w:val="000000" w:themeColor="text1"/>
          <w:kern w:val="0"/>
          <w:sz w:val="24"/>
          <w:lang w:val="zh-CN"/>
          <w14:textFill>
            <w14:solidFill>
              <w14:schemeClr w14:val="tx1"/>
            </w14:solidFill>
          </w14:textFill>
        </w:rPr>
      </w:pPr>
    </w:p>
    <w:p w14:paraId="72888F24">
      <w:pPr>
        <w:autoSpaceDE w:val="0"/>
        <w:autoSpaceDN w:val="0"/>
        <w:spacing w:line="360" w:lineRule="auto"/>
        <w:ind w:left="2"/>
        <w:jc w:val="left"/>
        <w:rPr>
          <w:rFonts w:ascii="宋体" w:hAnsi="宋体" w:cs="宋体"/>
          <w:color w:val="000000" w:themeColor="text1"/>
          <w:kern w:val="0"/>
          <w:sz w:val="24"/>
          <w:lang w:val="zh-CN"/>
          <w14:textFill>
            <w14:solidFill>
              <w14:schemeClr w14:val="tx1"/>
            </w14:solidFill>
          </w14:textFill>
        </w:rPr>
      </w:pPr>
    </w:p>
    <w:p w14:paraId="4838BBF7">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投标人名称（公章）：</w:t>
      </w:r>
    </w:p>
    <w:p w14:paraId="307745E6">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5BC5CE97">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5EA725C7">
      <w:pPr>
        <w:spacing w:line="360" w:lineRule="auto"/>
        <w:ind w:left="4620" w:leftChars="2200"/>
        <w:rPr>
          <w:rFonts w:ascii="宋体" w:hAnsi="宋体" w:cs="宋体"/>
          <w:color w:val="000000" w:themeColor="text1"/>
          <w:sz w:val="24"/>
          <w14:textFill>
            <w14:solidFill>
              <w14:schemeClr w14:val="tx1"/>
            </w14:solidFill>
          </w14:textFill>
        </w:rPr>
      </w:pPr>
    </w:p>
    <w:p w14:paraId="798D4221">
      <w:pPr>
        <w:spacing w:line="360" w:lineRule="auto"/>
        <w:jc w:val="center"/>
        <w:rPr>
          <w:rFonts w:ascii="宋体" w:hAnsi="宋体" w:cs="宋体"/>
          <w:b/>
          <w:bCs/>
          <w:color w:val="000000" w:themeColor="text1"/>
          <w:sz w:val="24"/>
          <w14:textFill>
            <w14:solidFill>
              <w14:schemeClr w14:val="tx1"/>
            </w14:solidFill>
          </w14:textFill>
        </w:rPr>
      </w:pPr>
    </w:p>
    <w:p w14:paraId="0C0EBE09">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708E0DC2">
      <w:pPr>
        <w:pStyle w:val="82"/>
        <w:rPr>
          <w:color w:val="000000" w:themeColor="text1"/>
          <w14:textFill>
            <w14:solidFill>
              <w14:schemeClr w14:val="tx1"/>
            </w14:solidFill>
          </w14:textFill>
        </w:rPr>
      </w:pPr>
    </w:p>
    <w:p w14:paraId="333C3AD7">
      <w:pPr>
        <w:pStyle w:val="82"/>
        <w:rPr>
          <w:color w:val="000000" w:themeColor="text1"/>
          <w14:textFill>
            <w14:solidFill>
              <w14:schemeClr w14:val="tx1"/>
            </w14:solidFill>
          </w14:textFill>
        </w:rPr>
      </w:pPr>
    </w:p>
    <w:p w14:paraId="48160038">
      <w:pPr>
        <w:jc w:val="center"/>
        <w:rPr>
          <w:rFonts w:ascii="宋体" w:hAnsi="宋体" w:cs="宋体"/>
          <w:b/>
          <w:color w:val="000000" w:themeColor="text1"/>
          <w:kern w:val="0"/>
          <w:sz w:val="32"/>
          <w:szCs w:val="21"/>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九</w:t>
      </w:r>
      <w:r>
        <w:rPr>
          <w:rFonts w:hint="eastAsia" w:ascii="宋体" w:hAnsi="宋体" w:cs="宋体"/>
          <w:b/>
          <w:color w:val="000000" w:themeColor="text1"/>
          <w:kern w:val="0"/>
          <w:sz w:val="32"/>
          <w:szCs w:val="32"/>
          <w14:textFill>
            <w14:solidFill>
              <w14:schemeClr w14:val="tx1"/>
            </w14:solidFill>
          </w14:textFill>
        </w:rPr>
        <w:t>、</w:t>
      </w:r>
      <w:r>
        <w:rPr>
          <w:rFonts w:hint="eastAsia" w:ascii="宋体" w:hAnsi="宋体" w:cs="宋体"/>
          <w:b/>
          <w:color w:val="000000" w:themeColor="text1"/>
          <w:kern w:val="0"/>
          <w:sz w:val="32"/>
          <w:szCs w:val="21"/>
          <w14:textFill>
            <w14:solidFill>
              <w14:schemeClr w14:val="tx1"/>
            </w14:solidFill>
          </w14:textFill>
        </w:rPr>
        <w:t>承诺函</w:t>
      </w:r>
    </w:p>
    <w:p w14:paraId="423CE81B">
      <w:pPr>
        <w:widowControl/>
        <w:adjustRightInd/>
        <w:ind w:firstLine="640" w:firstLineChars="200"/>
        <w:jc w:val="left"/>
        <w:rPr>
          <w:rFonts w:ascii="宋体" w:hAnsi="宋体" w:cs="宋体"/>
          <w:color w:val="000000" w:themeColor="text1"/>
          <w:kern w:val="0"/>
          <w:sz w:val="32"/>
          <w:szCs w:val="21"/>
          <w14:textFill>
            <w14:solidFill>
              <w14:schemeClr w14:val="tx1"/>
            </w14:solidFill>
          </w14:textFill>
        </w:rPr>
      </w:pPr>
    </w:p>
    <w:p w14:paraId="78D35CB2">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w:t>
      </w:r>
      <w:r>
        <w:rPr>
          <w:rFonts w:hint="eastAsia" w:ascii="宋体" w:hAnsi="宋体" w:cs="宋体"/>
          <w:color w:val="000000" w:themeColor="text1"/>
          <w:kern w:val="0"/>
          <w:sz w:val="24"/>
          <w:lang w:val="zh-CN"/>
          <w14:textFill>
            <w14:solidFill>
              <w14:schemeClr w14:val="tx1"/>
            </w14:solidFill>
          </w14:textFill>
        </w:rPr>
        <w:t>：</w:t>
      </w:r>
    </w:p>
    <w:p w14:paraId="4362CDB7">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我方作为本次采购项目的投标人，根据招标文件要求，现郑重承诺如下：</w:t>
      </w:r>
    </w:p>
    <w:p w14:paraId="1B3E6DB9">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15BB739A">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二、参加本次招标采购活动，不存在与单位负责人为同一人或者存在直接控股、管理关系的其他供应商参与同一合同项下的政府采购活动的行为。</w:t>
      </w:r>
    </w:p>
    <w:p w14:paraId="46E29C41">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1FD5F622">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四、参加本次招标采购活动，不存在和其他供应商在同一合同项下的采购项目中，同时委托同一个自然人、同一家庭的人员、同一单位的人员作为代理人的行为。</w:t>
      </w:r>
    </w:p>
    <w:p w14:paraId="4ED03299">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五、投标文件中提供的能够给予我方带来优惠、好处的任何材料资料和技术、服务、商务、响应产品等响应承诺情况都是真实的、有效的、合法的。</w:t>
      </w:r>
    </w:p>
    <w:p w14:paraId="6CCD6A6B">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611268D0">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七、国家或行业主管部门对采购产品的技术标准、质量标准和资格资质条件等有强制性规定的，我方承诺符合其要求。</w:t>
      </w:r>
    </w:p>
    <w:p w14:paraId="4BE3962E">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八、参加本次招标采购活动，我方完全同意招标文件第二部分关于“投标费用”、“合同分包”、“合同转包”、“履约保证金”的实质性要求，并承诺严格按照招标文件要求履行。</w:t>
      </w:r>
    </w:p>
    <w:p w14:paraId="6764FFE8">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3F3D1058">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我方对上述承诺的内容事项真实性负责。如经查实上述承诺的内容事项存在虚假，我方愿意接受以提供虚假材料谋取中标追究法律责任。</w:t>
      </w:r>
    </w:p>
    <w:p w14:paraId="07485B83">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p>
    <w:p w14:paraId="3941AAB3">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投标人名称（公章）：</w:t>
      </w:r>
    </w:p>
    <w:p w14:paraId="095F9BCF">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02B825E2">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62409AFF">
      <w:pPr>
        <w:spacing w:line="360" w:lineRule="auto"/>
        <w:ind w:left="4620" w:leftChars="2200"/>
        <w:rPr>
          <w:rFonts w:ascii="宋体" w:hAnsi="宋体" w:cs="宋体"/>
          <w:color w:val="000000" w:themeColor="text1"/>
          <w:sz w:val="24"/>
          <w14:textFill>
            <w14:solidFill>
              <w14:schemeClr w14:val="tx1"/>
            </w14:solidFill>
          </w14:textFill>
        </w:rPr>
      </w:pPr>
    </w:p>
    <w:p w14:paraId="42DD350A">
      <w:pPr>
        <w:spacing w:line="360" w:lineRule="auto"/>
        <w:jc w:val="center"/>
        <w:rPr>
          <w:rFonts w:ascii="宋体" w:hAnsi="宋体" w:cs="宋体"/>
          <w:b/>
          <w:bCs/>
          <w:color w:val="000000" w:themeColor="text1"/>
          <w:sz w:val="24"/>
          <w14:textFill>
            <w14:solidFill>
              <w14:schemeClr w14:val="tx1"/>
            </w14:solidFill>
          </w14:textFill>
        </w:rPr>
      </w:pPr>
    </w:p>
    <w:p w14:paraId="24829A05">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11B23E1F">
      <w:pPr>
        <w:spacing w:line="360" w:lineRule="auto"/>
        <w:jc w:val="center"/>
        <w:rPr>
          <w:rFonts w:ascii="宋体" w:hAnsi="宋体" w:cs="宋体"/>
          <w:b/>
          <w:bCs/>
          <w:color w:val="000000" w:themeColor="text1"/>
          <w:sz w:val="24"/>
          <w14:textFill>
            <w14:solidFill>
              <w14:schemeClr w14:val="tx1"/>
            </w14:solidFill>
          </w14:textFill>
        </w:rPr>
      </w:pPr>
    </w:p>
    <w:p w14:paraId="6C93AA65">
      <w:pPr>
        <w:jc w:val="center"/>
        <w:rPr>
          <w:rFonts w:hint="eastAsia" w:ascii="宋体" w:hAnsi="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十、技术解决方案</w:t>
      </w:r>
    </w:p>
    <w:p w14:paraId="77FCDADA">
      <w:pPr>
        <w:widowControl/>
        <w:adjustRightInd/>
        <w:spacing w:line="360" w:lineRule="auto"/>
        <w:ind w:firstLine="480" w:firstLineChars="20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（由供应商根据采购需求及招标文件要求编制）</w:t>
      </w:r>
    </w:p>
    <w:p w14:paraId="3A64C845">
      <w:pPr>
        <w:spacing w:line="360" w:lineRule="auto"/>
        <w:jc w:val="center"/>
        <w:rPr>
          <w:rFonts w:hint="eastAsia" w:cs="仿宋_GB2312" w:asciiTheme="minorEastAsia" w:hAnsiTheme="minorEastAsia" w:eastAsiaTheme="minorEastAsia"/>
          <w:color w:val="FF0000"/>
          <w:sz w:val="24"/>
        </w:rPr>
      </w:pPr>
    </w:p>
    <w:p w14:paraId="4763C845">
      <w:pPr>
        <w:autoSpaceDE w:val="0"/>
        <w:autoSpaceDN w:val="0"/>
        <w:spacing w:line="360" w:lineRule="auto"/>
        <w:rPr>
          <w:rFonts w:hint="eastAsia" w:cs="仿宋_GB2312" w:asciiTheme="minorEastAsia" w:hAnsiTheme="minorEastAsia" w:eastAsiaTheme="minorEastAsia"/>
          <w:color w:val="FF0000"/>
          <w:kern w:val="0"/>
          <w:sz w:val="24"/>
        </w:rPr>
      </w:pPr>
    </w:p>
    <w:p w14:paraId="5A06EAAA">
      <w:pPr>
        <w:spacing w:line="360" w:lineRule="auto"/>
        <w:ind w:firstLine="5040" w:firstLineChars="2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投标人名称（公章）：</w:t>
      </w:r>
      <w:r>
        <w:rPr>
          <w:rFonts w:hint="eastAsia" w:ascii="宋体" w:hAnsi="宋体" w:cs="宋体"/>
          <w:color w:val="000000" w:themeColor="text1"/>
          <w:sz w:val="24"/>
          <w14:textFill>
            <w14:solidFill>
              <w14:schemeClr w14:val="tx1"/>
            </w14:solidFill>
          </w14:textFill>
        </w:rPr>
        <w:t xml:space="preserve">                       </w:t>
      </w:r>
    </w:p>
    <w:p w14:paraId="56654F4D">
      <w:pPr>
        <w:spacing w:line="360" w:lineRule="auto"/>
        <w:ind w:firstLine="3600" w:firstLineChars="15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07A02B1F">
      <w:pPr>
        <w:spacing w:line="360" w:lineRule="auto"/>
        <w:jc w:val="center"/>
        <w:rPr>
          <w:rFonts w:hint="eastAsia" w:cs="仿宋_GB2312" w:asciiTheme="minorEastAsia" w:hAnsiTheme="minorEastAsia" w:eastAsiaTheme="minorEastAsia"/>
          <w:b/>
          <w:bCs/>
          <w:color w:val="FF0000"/>
          <w:sz w:val="32"/>
          <w:szCs w:val="32"/>
        </w:rPr>
      </w:pPr>
    </w:p>
    <w:p w14:paraId="26A2F830">
      <w:pPr>
        <w:jc w:val="center"/>
        <w:rPr>
          <w:rFonts w:hint="eastAsia" w:ascii="宋体" w:hAnsi="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十一、组织实施方案</w:t>
      </w:r>
    </w:p>
    <w:p w14:paraId="55181E8E">
      <w:pPr>
        <w:widowControl/>
        <w:adjustRightInd/>
        <w:spacing w:line="360" w:lineRule="auto"/>
        <w:ind w:firstLine="480" w:firstLineChars="20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（由供应商根据采购需求及招标文件要求编制）</w:t>
      </w:r>
    </w:p>
    <w:p w14:paraId="1959149D">
      <w:pPr>
        <w:spacing w:line="360" w:lineRule="auto"/>
        <w:jc w:val="center"/>
        <w:rPr>
          <w:rFonts w:hint="eastAsia" w:cs="仿宋_GB2312" w:asciiTheme="minorEastAsia" w:hAnsiTheme="minorEastAsia" w:eastAsiaTheme="minorEastAsia"/>
          <w:color w:val="FF0000"/>
          <w:sz w:val="24"/>
        </w:rPr>
      </w:pPr>
    </w:p>
    <w:p w14:paraId="09789B83">
      <w:pPr>
        <w:autoSpaceDE w:val="0"/>
        <w:autoSpaceDN w:val="0"/>
        <w:spacing w:line="360" w:lineRule="auto"/>
        <w:rPr>
          <w:rFonts w:hint="eastAsia" w:cs="仿宋_GB2312" w:asciiTheme="minorEastAsia" w:hAnsiTheme="minorEastAsia" w:eastAsiaTheme="minorEastAsia"/>
          <w:color w:val="FF0000"/>
          <w:kern w:val="0"/>
          <w:sz w:val="24"/>
        </w:rPr>
      </w:pPr>
    </w:p>
    <w:p w14:paraId="72F2A736">
      <w:pPr>
        <w:spacing w:line="360" w:lineRule="auto"/>
        <w:ind w:firstLine="5040" w:firstLineChars="210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投标人名称（公章）：                       </w:t>
      </w:r>
    </w:p>
    <w:p w14:paraId="6205AC6A">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lang w:val="zh-CN"/>
          <w14:textFill>
            <w14:solidFill>
              <w14:schemeClr w14:val="tx1"/>
            </w14:solidFill>
          </w14:textFill>
        </w:rPr>
        <w:t xml:space="preserve">   日期：  年  月   日</w:t>
      </w:r>
    </w:p>
    <w:p w14:paraId="0EB44AA2">
      <w:pPr>
        <w:spacing w:line="360" w:lineRule="auto"/>
        <w:jc w:val="center"/>
        <w:rPr>
          <w:rFonts w:hint="eastAsia" w:cs="仿宋_GB2312" w:asciiTheme="minorEastAsia" w:hAnsiTheme="minorEastAsia" w:eastAsiaTheme="minorEastAsia"/>
          <w:b/>
          <w:bCs/>
          <w:color w:val="FF0000"/>
          <w:sz w:val="32"/>
          <w:szCs w:val="32"/>
        </w:rPr>
      </w:pPr>
    </w:p>
    <w:p w14:paraId="359FE073">
      <w:pPr>
        <w:jc w:val="center"/>
        <w:rPr>
          <w:rFonts w:hint="eastAsia" w:ascii="宋体" w:hAnsi="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十二、售后服务方案</w:t>
      </w:r>
    </w:p>
    <w:p w14:paraId="51726D13">
      <w:pPr>
        <w:widowControl/>
        <w:adjustRightInd/>
        <w:spacing w:line="360" w:lineRule="auto"/>
        <w:ind w:firstLine="480" w:firstLineChars="20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（由供应商根据采购需求及招标文件要求编制）</w:t>
      </w:r>
    </w:p>
    <w:p w14:paraId="2DCF4ED1">
      <w:pPr>
        <w:spacing w:line="360" w:lineRule="auto"/>
        <w:jc w:val="center"/>
        <w:rPr>
          <w:rFonts w:hint="eastAsia" w:cs="仿宋_GB2312" w:asciiTheme="minorEastAsia" w:hAnsiTheme="minorEastAsia" w:eastAsiaTheme="minorEastAsia"/>
          <w:color w:val="FF0000"/>
          <w:sz w:val="24"/>
        </w:rPr>
      </w:pPr>
    </w:p>
    <w:p w14:paraId="050F6466">
      <w:pPr>
        <w:autoSpaceDE w:val="0"/>
        <w:autoSpaceDN w:val="0"/>
        <w:spacing w:line="360" w:lineRule="auto"/>
        <w:rPr>
          <w:rFonts w:hint="eastAsia" w:cs="仿宋_GB2312" w:asciiTheme="minorEastAsia" w:hAnsiTheme="minorEastAsia" w:eastAsiaTheme="minorEastAsia"/>
          <w:color w:val="FF0000"/>
          <w:kern w:val="0"/>
          <w:sz w:val="24"/>
        </w:rPr>
      </w:pPr>
    </w:p>
    <w:p w14:paraId="3A8B4092">
      <w:pPr>
        <w:spacing w:line="360" w:lineRule="auto"/>
        <w:ind w:firstLine="4560" w:firstLineChars="190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投标人名称（公章）：                       </w:t>
      </w:r>
    </w:p>
    <w:p w14:paraId="0B38FEA1">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                                      日期：  年  月   日</w:t>
      </w:r>
    </w:p>
    <w:p w14:paraId="5844FF22">
      <w:pPr>
        <w:spacing w:line="360" w:lineRule="auto"/>
        <w:rPr>
          <w:rFonts w:hint="eastAsia" w:ascii="宋体" w:hAnsi="宋体" w:cs="宋体"/>
          <w:color w:val="000000" w:themeColor="text1"/>
          <w:sz w:val="24"/>
          <w:lang w:val="zh-CN"/>
          <w14:textFill>
            <w14:solidFill>
              <w14:schemeClr w14:val="tx1"/>
            </w14:solidFill>
          </w14:textFill>
        </w:rPr>
        <w:sectPr>
          <w:headerReference r:id="rId19" w:type="first"/>
          <w:footerReference r:id="rId21" w:type="first"/>
          <w:headerReference r:id="rId18" w:type="default"/>
          <w:footerReference r:id="rId20" w:type="default"/>
          <w:pgSz w:w="11906" w:h="16838"/>
          <w:pgMar w:top="1276" w:right="1418" w:bottom="1247" w:left="1418" w:header="851" w:footer="992" w:gutter="0"/>
          <w:cols w:space="720" w:num="1"/>
          <w:titlePg/>
          <w:docGrid w:linePitch="312" w:charSpace="0"/>
        </w:sectPr>
      </w:pPr>
    </w:p>
    <w:p w14:paraId="1E7CCB85">
      <w:pPr>
        <w:spacing w:line="360" w:lineRule="auto"/>
        <w:jc w:val="center"/>
        <w:rPr>
          <w:rFonts w:ascii="宋体" w:hAnsi="宋体" w:cs="宋体"/>
          <w:b/>
          <w:color w:val="000000" w:themeColor="text1"/>
          <w:kern w:val="0"/>
          <w:sz w:val="36"/>
          <w:szCs w:val="36"/>
          <w14:textFill>
            <w14:solidFill>
              <w14:schemeClr w14:val="tx1"/>
            </w14:solidFill>
          </w14:textFill>
        </w:rPr>
      </w:pPr>
    </w:p>
    <w:p w14:paraId="2B202257">
      <w:pPr>
        <w:spacing w:line="360" w:lineRule="auto"/>
        <w:jc w:val="center"/>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报价文件部分</w:t>
      </w:r>
    </w:p>
    <w:p w14:paraId="3D4FBB18">
      <w:pPr>
        <w:spacing w:line="360" w:lineRule="auto"/>
        <w:jc w:val="center"/>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目录</w:t>
      </w:r>
    </w:p>
    <w:p w14:paraId="51784F10">
      <w:pPr>
        <w:spacing w:line="360" w:lineRule="auto"/>
        <w:jc w:val="center"/>
        <w:rPr>
          <w:rFonts w:ascii="宋体" w:hAnsi="宋体" w:cs="宋体"/>
          <w:b/>
          <w:color w:val="000000" w:themeColor="text1"/>
          <w:kern w:val="0"/>
          <w:sz w:val="36"/>
          <w:szCs w:val="36"/>
          <w14:textFill>
            <w14:solidFill>
              <w14:schemeClr w14:val="tx1"/>
            </w14:solidFill>
          </w14:textFill>
        </w:rPr>
      </w:pPr>
    </w:p>
    <w:p w14:paraId="6A563A6E">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▲（1）开标一览表（报价表）………………………………………………………（页码）</w:t>
      </w:r>
    </w:p>
    <w:p w14:paraId="17C179A2">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（2）中小企业声明函………………………………………………………………（页码）</w:t>
      </w:r>
    </w:p>
    <w:p w14:paraId="204FB35F">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“▲”是实质性条款，必须提供，否则投标无效</w:t>
      </w:r>
    </w:p>
    <w:p w14:paraId="4419C690">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67679075">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023DA6E2">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6A072654">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209745B3">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2FFCF6B2">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3D9C306C">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7A6E7495">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1C46DEAE">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4E714A6E">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51110964">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1935C6E5">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0B504C55">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4A215C07">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413430F3">
      <w:pPr>
        <w:pStyle w:val="690"/>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14:textFill>
            <w14:solidFill>
              <w14:schemeClr w14:val="tx1"/>
            </w14:solidFill>
          </w14:textFill>
        </w:rPr>
        <w:sectPr>
          <w:headerReference r:id="rId23" w:type="first"/>
          <w:footerReference r:id="rId25" w:type="first"/>
          <w:headerReference r:id="rId22" w:type="default"/>
          <w:footerReference r:id="rId24" w:type="default"/>
          <w:pgSz w:w="11906" w:h="16838"/>
          <w:pgMar w:top="1276" w:right="1418" w:bottom="1247" w:left="1418" w:header="851" w:footer="992" w:gutter="0"/>
          <w:cols w:space="720" w:num="1"/>
          <w:titlePg/>
          <w:docGrid w:linePitch="312" w:charSpace="0"/>
        </w:sectPr>
      </w:pPr>
    </w:p>
    <w:p w14:paraId="26599ED5">
      <w:pPr>
        <w:pStyle w:val="82"/>
        <w:jc w:val="center"/>
        <w:rPr>
          <w:b/>
          <w:color w:val="000000" w:themeColor="text1"/>
          <w:sz w:val="32"/>
          <w:szCs w:val="32"/>
          <w14:textFill>
            <w14:solidFill>
              <w14:schemeClr w14:val="tx1"/>
            </w14:solidFill>
          </w14:textFill>
        </w:rPr>
      </w:pPr>
    </w:p>
    <w:p w14:paraId="082DA05D">
      <w:pPr>
        <w:pStyle w:val="82"/>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一、开标一览表（报价表）</w:t>
      </w:r>
    </w:p>
    <w:p w14:paraId="4F89DC3A">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23A552D5">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w:t>
      </w:r>
      <w:r>
        <w:rPr>
          <w:rFonts w:hint="eastAsia" w:ascii="宋体" w:hAnsi="宋体" w:cs="宋体"/>
          <w:kern w:val="0"/>
          <w:sz w:val="24"/>
          <w:lang w:val="zh-CN"/>
        </w:rPr>
        <w:t>【招标编号：</w:t>
      </w:r>
      <w:r>
        <w:rPr>
          <w:rFonts w:hint="eastAsia" w:ascii="宋体" w:hAnsi="宋体" w:cs="宋体"/>
          <w:sz w:val="24"/>
        </w:rPr>
        <w:t>（采购编号）】的实施</w:t>
      </w:r>
      <w:r>
        <w:rPr>
          <w:rFonts w:hint="eastAsia" w:ascii="宋体" w:hAnsi="宋体" w:cs="宋体"/>
          <w:kern w:val="0"/>
          <w:sz w:val="24"/>
          <w:lang w:val="zh-CN"/>
        </w:rPr>
        <w:t>。</w:t>
      </w:r>
    </w:p>
    <w:p w14:paraId="4CD55210">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2"/>
        <w:tblW w:w="14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70"/>
        <w:gridCol w:w="6163"/>
        <w:gridCol w:w="1050"/>
        <w:gridCol w:w="1162"/>
        <w:gridCol w:w="1338"/>
        <w:gridCol w:w="1338"/>
      </w:tblGrid>
      <w:tr w14:paraId="073A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3390E51C">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3070" w:type="dxa"/>
            <w:vAlign w:val="center"/>
          </w:tcPr>
          <w:p w14:paraId="3974FA26">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lang w:eastAsia="zh-CN"/>
              </w:rPr>
              <w:t>服务</w:t>
            </w:r>
            <w:r>
              <w:rPr>
                <w:rFonts w:hint="eastAsia" w:cs="宋体" w:asciiTheme="minorEastAsia" w:hAnsiTheme="minorEastAsia" w:eastAsiaTheme="minorEastAsia"/>
                <w:b/>
                <w:color w:val="auto"/>
                <w:sz w:val="24"/>
              </w:rPr>
              <w:t>名称</w:t>
            </w:r>
          </w:p>
        </w:tc>
        <w:tc>
          <w:tcPr>
            <w:tcW w:w="6163" w:type="dxa"/>
          </w:tcPr>
          <w:p w14:paraId="0704FDAE">
            <w:pPr>
              <w:spacing w:line="360" w:lineRule="auto"/>
              <w:jc w:val="center"/>
              <w:rPr>
                <w:rFonts w:cs="宋体" w:asciiTheme="minorEastAsia" w:hAnsiTheme="minorEastAsia" w:eastAsiaTheme="minorEastAsia"/>
                <w:b/>
                <w:color w:val="auto"/>
                <w:sz w:val="24"/>
              </w:rPr>
            </w:pPr>
          </w:p>
          <w:p w14:paraId="7FF5FB1E">
            <w:pPr>
              <w:spacing w:line="360" w:lineRule="auto"/>
              <w:jc w:val="center"/>
              <w:rPr>
                <w:rFonts w:hint="eastAsia" w:cs="宋体" w:asciiTheme="minorEastAsia" w:hAnsiTheme="minorEastAsia" w:eastAsiaTheme="minorEastAsia"/>
                <w:b/>
                <w:color w:val="auto"/>
                <w:sz w:val="24"/>
                <w:lang w:eastAsia="zh-CN"/>
              </w:rPr>
            </w:pPr>
            <w:r>
              <w:rPr>
                <w:rFonts w:hint="eastAsia" w:cs="宋体" w:asciiTheme="minorEastAsia" w:hAnsiTheme="minorEastAsia" w:eastAsiaTheme="minorEastAsia"/>
                <w:b/>
                <w:color w:val="auto"/>
                <w:sz w:val="24"/>
              </w:rPr>
              <w:t>服务</w:t>
            </w:r>
            <w:r>
              <w:rPr>
                <w:rFonts w:hint="eastAsia" w:cs="宋体" w:asciiTheme="minorEastAsia" w:hAnsiTheme="minorEastAsia" w:eastAsiaTheme="minorEastAsia"/>
                <w:b/>
                <w:color w:val="auto"/>
                <w:sz w:val="24"/>
                <w:lang w:eastAsia="zh-CN"/>
              </w:rPr>
              <w:t>内容</w:t>
            </w:r>
          </w:p>
        </w:tc>
        <w:tc>
          <w:tcPr>
            <w:tcW w:w="1050" w:type="dxa"/>
            <w:vAlign w:val="center"/>
          </w:tcPr>
          <w:p w14:paraId="356ED79C">
            <w:pPr>
              <w:spacing w:line="360" w:lineRule="auto"/>
              <w:jc w:val="center"/>
              <w:rPr>
                <w:rFonts w:hint="eastAsia" w:cs="宋体" w:asciiTheme="minorEastAsia" w:hAnsiTheme="minorEastAsia" w:eastAsiaTheme="minorEastAsia"/>
                <w:b/>
                <w:color w:val="auto"/>
                <w:sz w:val="24"/>
                <w:lang w:eastAsia="zh-CN"/>
              </w:rPr>
            </w:pPr>
            <w:r>
              <w:rPr>
                <w:rFonts w:hint="eastAsia" w:cs="宋体" w:asciiTheme="minorEastAsia" w:hAnsiTheme="minorEastAsia" w:eastAsiaTheme="minorEastAsia"/>
                <w:b/>
                <w:color w:val="auto"/>
                <w:sz w:val="24"/>
                <w:lang w:eastAsia="zh-CN"/>
              </w:rPr>
              <w:t>数量（暂估）</w:t>
            </w:r>
          </w:p>
        </w:tc>
        <w:tc>
          <w:tcPr>
            <w:tcW w:w="1162" w:type="dxa"/>
            <w:vAlign w:val="center"/>
          </w:tcPr>
          <w:p w14:paraId="29C0DAA4">
            <w:pPr>
              <w:spacing w:line="360" w:lineRule="auto"/>
              <w:jc w:val="center"/>
              <w:rPr>
                <w:rFonts w:hint="eastAsia" w:cs="宋体" w:asciiTheme="minorEastAsia" w:hAnsiTheme="minorEastAsia" w:eastAsiaTheme="minorEastAsia"/>
                <w:b/>
                <w:color w:val="auto"/>
                <w:sz w:val="24"/>
                <w:lang w:eastAsia="zh-CN"/>
              </w:rPr>
            </w:pPr>
            <w:r>
              <w:rPr>
                <w:rFonts w:hint="eastAsia" w:cs="宋体" w:asciiTheme="minorEastAsia" w:hAnsiTheme="minorEastAsia" w:eastAsiaTheme="minorEastAsia"/>
                <w:b/>
                <w:color w:val="auto"/>
                <w:sz w:val="24"/>
                <w:lang w:eastAsia="zh-CN"/>
              </w:rPr>
              <w:t>单位</w:t>
            </w:r>
          </w:p>
        </w:tc>
        <w:tc>
          <w:tcPr>
            <w:tcW w:w="1338" w:type="dxa"/>
            <w:vAlign w:val="center"/>
          </w:tcPr>
          <w:p w14:paraId="01010EF1">
            <w:pPr>
              <w:spacing w:line="360" w:lineRule="auto"/>
              <w:jc w:val="center"/>
              <w:rPr>
                <w:rFonts w:hint="eastAsia" w:cs="宋体" w:asciiTheme="minorEastAsia" w:hAnsiTheme="minorEastAsia" w:eastAsiaTheme="minorEastAsia"/>
                <w:b/>
                <w:color w:val="auto"/>
                <w:sz w:val="24"/>
                <w:lang w:eastAsia="zh-CN"/>
              </w:rPr>
            </w:pPr>
            <w:r>
              <w:rPr>
                <w:rFonts w:hint="eastAsia" w:cs="宋体" w:asciiTheme="minorEastAsia" w:hAnsiTheme="minorEastAsia" w:eastAsiaTheme="minorEastAsia"/>
                <w:b/>
                <w:color w:val="auto"/>
                <w:sz w:val="24"/>
                <w:lang w:eastAsia="zh-CN"/>
              </w:rPr>
              <w:t>案件服务单价报价（元）</w:t>
            </w:r>
          </w:p>
        </w:tc>
        <w:tc>
          <w:tcPr>
            <w:tcW w:w="1338" w:type="dxa"/>
            <w:vAlign w:val="center"/>
          </w:tcPr>
          <w:p w14:paraId="0F7FC171">
            <w:pPr>
              <w:spacing w:line="360" w:lineRule="auto"/>
              <w:jc w:val="center"/>
              <w:rPr>
                <w:rFonts w:hint="eastAsia" w:cs="宋体" w:asciiTheme="minorEastAsia" w:hAnsiTheme="minorEastAsia" w:eastAsiaTheme="minorEastAsia"/>
                <w:b/>
                <w:color w:val="auto"/>
                <w:sz w:val="24"/>
                <w:lang w:eastAsia="zh-CN"/>
              </w:rPr>
            </w:pPr>
            <w:r>
              <w:rPr>
                <w:rFonts w:hint="eastAsia" w:cs="宋体" w:asciiTheme="minorEastAsia" w:hAnsiTheme="minorEastAsia" w:eastAsiaTheme="minorEastAsia"/>
                <w:b/>
                <w:color w:val="auto"/>
                <w:sz w:val="24"/>
                <w:lang w:eastAsia="zh-CN"/>
              </w:rPr>
              <w:t>案件服务单价最高限价（元）</w:t>
            </w:r>
          </w:p>
        </w:tc>
      </w:tr>
      <w:tr w14:paraId="649D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18E1FD3F">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3070" w:type="dxa"/>
            <w:vAlign w:val="center"/>
          </w:tcPr>
          <w:p w14:paraId="512C34C3">
            <w:pPr>
              <w:keepNext w:val="0"/>
              <w:keepLines w:val="0"/>
              <w:widowControl/>
              <w:suppressLineNumbers w:val="0"/>
              <w:jc w:val="center"/>
              <w:textAlignment w:val="center"/>
              <w:rPr>
                <w:rFonts w:cs="宋体" w:asciiTheme="minorEastAsia" w:hAnsiTheme="minorEastAsia" w:eastAsiaTheme="minorEastAsia"/>
                <w:color w:val="auto"/>
                <w:sz w:val="24"/>
              </w:rPr>
            </w:pPr>
          </w:p>
        </w:tc>
        <w:tc>
          <w:tcPr>
            <w:tcW w:w="6163" w:type="dxa"/>
            <w:vAlign w:val="center"/>
          </w:tcPr>
          <w:p w14:paraId="0272B2B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cs="宋体" w:asciiTheme="minorEastAsia" w:hAnsiTheme="minorEastAsia" w:eastAsiaTheme="minorEastAsia"/>
                <w:color w:val="auto"/>
                <w:sz w:val="24"/>
              </w:rPr>
            </w:pPr>
          </w:p>
        </w:tc>
        <w:tc>
          <w:tcPr>
            <w:tcW w:w="1050" w:type="dxa"/>
            <w:vAlign w:val="center"/>
          </w:tcPr>
          <w:p w14:paraId="4E3B8129">
            <w:pPr>
              <w:keepNext w:val="0"/>
              <w:keepLines w:val="0"/>
              <w:widowControl/>
              <w:suppressLineNumbers w:val="0"/>
              <w:jc w:val="center"/>
              <w:textAlignment w:val="center"/>
              <w:rPr>
                <w:rFonts w:cs="宋体" w:asciiTheme="minorEastAsia" w:hAnsiTheme="minorEastAsia" w:eastAsiaTheme="minorEastAsia"/>
                <w:color w:val="auto"/>
                <w:sz w:val="24"/>
              </w:rPr>
            </w:pPr>
          </w:p>
        </w:tc>
        <w:tc>
          <w:tcPr>
            <w:tcW w:w="1162" w:type="dxa"/>
            <w:vAlign w:val="center"/>
          </w:tcPr>
          <w:p w14:paraId="4C1CFB7F">
            <w:pPr>
              <w:keepNext w:val="0"/>
              <w:keepLines w:val="0"/>
              <w:widowControl/>
              <w:suppressLineNumbers w:val="0"/>
              <w:jc w:val="center"/>
              <w:textAlignment w:val="center"/>
              <w:rPr>
                <w:rFonts w:hint="eastAsia" w:cs="宋体" w:asciiTheme="minorEastAsia" w:hAnsiTheme="minorEastAsia" w:eastAsiaTheme="minorEastAsia"/>
                <w:color w:val="auto"/>
                <w:sz w:val="24"/>
                <w:lang w:eastAsia="zh-CN"/>
              </w:rPr>
            </w:pPr>
          </w:p>
        </w:tc>
        <w:tc>
          <w:tcPr>
            <w:tcW w:w="1338" w:type="dxa"/>
            <w:vAlign w:val="center"/>
          </w:tcPr>
          <w:p w14:paraId="72D08CD0">
            <w:pPr>
              <w:keepNext w:val="0"/>
              <w:keepLines w:val="0"/>
              <w:widowControl/>
              <w:suppressLineNumbers w:val="0"/>
              <w:jc w:val="center"/>
              <w:textAlignment w:val="center"/>
              <w:rPr>
                <w:rFonts w:cs="宋体" w:asciiTheme="minorEastAsia" w:hAnsiTheme="minorEastAsia" w:eastAsiaTheme="minorEastAsia"/>
                <w:color w:val="auto"/>
                <w:sz w:val="24"/>
              </w:rPr>
            </w:pPr>
          </w:p>
        </w:tc>
        <w:tc>
          <w:tcPr>
            <w:tcW w:w="1338" w:type="dxa"/>
            <w:vAlign w:val="center"/>
          </w:tcPr>
          <w:p w14:paraId="584D86D5">
            <w:pPr>
              <w:keepNext w:val="0"/>
              <w:keepLines w:val="0"/>
              <w:widowControl/>
              <w:suppressLineNumbers w:val="0"/>
              <w:jc w:val="center"/>
              <w:textAlignment w:val="center"/>
              <w:rPr>
                <w:rFonts w:hint="default" w:cs="宋体" w:asciiTheme="minorEastAsia" w:hAnsiTheme="minorEastAsia" w:eastAsiaTheme="minorEastAsia"/>
                <w:color w:val="auto"/>
                <w:sz w:val="24"/>
                <w:lang w:val="en-US" w:eastAsia="zh-CN"/>
              </w:rPr>
            </w:pPr>
          </w:p>
        </w:tc>
      </w:tr>
      <w:tr w14:paraId="695E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5C67374">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3070" w:type="dxa"/>
            <w:vAlign w:val="center"/>
          </w:tcPr>
          <w:p w14:paraId="35C96291">
            <w:pPr>
              <w:keepNext w:val="0"/>
              <w:keepLines w:val="0"/>
              <w:widowControl/>
              <w:suppressLineNumbers w:val="0"/>
              <w:jc w:val="center"/>
              <w:textAlignment w:val="center"/>
              <w:rPr>
                <w:rFonts w:cs="宋体" w:asciiTheme="minorEastAsia" w:hAnsiTheme="minorEastAsia" w:eastAsiaTheme="minorEastAsia"/>
                <w:color w:val="auto"/>
                <w:sz w:val="24"/>
              </w:rPr>
            </w:pPr>
          </w:p>
        </w:tc>
        <w:tc>
          <w:tcPr>
            <w:tcW w:w="6163" w:type="dxa"/>
            <w:vAlign w:val="center"/>
          </w:tcPr>
          <w:p w14:paraId="2642B42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cs="宋体" w:asciiTheme="minorEastAsia" w:hAnsiTheme="minorEastAsia" w:eastAsiaTheme="minorEastAsia"/>
                <w:color w:val="auto"/>
                <w:sz w:val="24"/>
              </w:rPr>
            </w:pPr>
          </w:p>
        </w:tc>
        <w:tc>
          <w:tcPr>
            <w:tcW w:w="1050" w:type="dxa"/>
            <w:vAlign w:val="center"/>
          </w:tcPr>
          <w:p w14:paraId="5BD51B5C">
            <w:pPr>
              <w:keepNext w:val="0"/>
              <w:keepLines w:val="0"/>
              <w:widowControl/>
              <w:suppressLineNumbers w:val="0"/>
              <w:jc w:val="center"/>
              <w:textAlignment w:val="center"/>
              <w:rPr>
                <w:rFonts w:cs="宋体" w:asciiTheme="minorEastAsia" w:hAnsiTheme="minorEastAsia" w:eastAsiaTheme="minorEastAsia"/>
                <w:color w:val="auto"/>
                <w:sz w:val="24"/>
              </w:rPr>
            </w:pPr>
          </w:p>
        </w:tc>
        <w:tc>
          <w:tcPr>
            <w:tcW w:w="1162" w:type="dxa"/>
            <w:vAlign w:val="center"/>
          </w:tcPr>
          <w:p w14:paraId="33572A11">
            <w:pPr>
              <w:keepNext w:val="0"/>
              <w:keepLines w:val="0"/>
              <w:widowControl/>
              <w:suppressLineNumbers w:val="0"/>
              <w:jc w:val="center"/>
              <w:textAlignment w:val="center"/>
              <w:rPr>
                <w:rFonts w:cs="宋体" w:asciiTheme="minorEastAsia" w:hAnsiTheme="minorEastAsia" w:eastAsiaTheme="minorEastAsia"/>
                <w:color w:val="auto"/>
                <w:sz w:val="24"/>
              </w:rPr>
            </w:pPr>
          </w:p>
        </w:tc>
        <w:tc>
          <w:tcPr>
            <w:tcW w:w="1338" w:type="dxa"/>
            <w:vAlign w:val="center"/>
          </w:tcPr>
          <w:p w14:paraId="7A96C48A">
            <w:pPr>
              <w:keepNext w:val="0"/>
              <w:keepLines w:val="0"/>
              <w:widowControl/>
              <w:suppressLineNumbers w:val="0"/>
              <w:jc w:val="center"/>
              <w:textAlignment w:val="center"/>
              <w:rPr>
                <w:rFonts w:cs="宋体" w:asciiTheme="minorEastAsia" w:hAnsiTheme="minorEastAsia" w:eastAsiaTheme="minorEastAsia"/>
                <w:color w:val="auto"/>
                <w:sz w:val="24"/>
              </w:rPr>
            </w:pPr>
          </w:p>
        </w:tc>
        <w:tc>
          <w:tcPr>
            <w:tcW w:w="1338" w:type="dxa"/>
            <w:vAlign w:val="center"/>
          </w:tcPr>
          <w:p w14:paraId="06A9700D">
            <w:pPr>
              <w:keepNext w:val="0"/>
              <w:keepLines w:val="0"/>
              <w:widowControl/>
              <w:suppressLineNumbers w:val="0"/>
              <w:jc w:val="center"/>
              <w:textAlignment w:val="center"/>
              <w:rPr>
                <w:rFonts w:hint="default" w:cs="宋体" w:asciiTheme="minorEastAsia" w:hAnsiTheme="minorEastAsia" w:eastAsiaTheme="minorEastAsia"/>
                <w:color w:val="auto"/>
                <w:sz w:val="24"/>
                <w:lang w:val="en-US" w:eastAsia="zh-CN"/>
              </w:rPr>
            </w:pPr>
          </w:p>
        </w:tc>
      </w:tr>
      <w:tr w14:paraId="338C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7E71462">
            <w:pPr>
              <w:spacing w:line="360" w:lineRule="auto"/>
              <w:jc w:val="center"/>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val="en-US" w:eastAsia="zh-CN"/>
              </w:rPr>
              <w:t>3</w:t>
            </w:r>
          </w:p>
        </w:tc>
        <w:tc>
          <w:tcPr>
            <w:tcW w:w="3070" w:type="dxa"/>
            <w:vAlign w:val="center"/>
          </w:tcPr>
          <w:p w14:paraId="6476949C">
            <w:pPr>
              <w:keepNext w:val="0"/>
              <w:keepLines w:val="0"/>
              <w:widowControl/>
              <w:suppressLineNumbers w:val="0"/>
              <w:jc w:val="center"/>
              <w:textAlignment w:val="center"/>
              <w:rPr>
                <w:rFonts w:cs="宋体" w:asciiTheme="minorEastAsia" w:hAnsiTheme="minorEastAsia" w:eastAsiaTheme="minorEastAsia"/>
                <w:color w:val="auto"/>
                <w:sz w:val="24"/>
              </w:rPr>
            </w:pPr>
          </w:p>
        </w:tc>
        <w:tc>
          <w:tcPr>
            <w:tcW w:w="6163" w:type="dxa"/>
            <w:vAlign w:val="center"/>
          </w:tcPr>
          <w:p w14:paraId="25ACB1D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cs="宋体" w:asciiTheme="minorEastAsia" w:hAnsiTheme="minorEastAsia" w:eastAsiaTheme="minorEastAsia"/>
                <w:color w:val="auto"/>
                <w:sz w:val="24"/>
              </w:rPr>
            </w:pPr>
          </w:p>
        </w:tc>
        <w:tc>
          <w:tcPr>
            <w:tcW w:w="1050" w:type="dxa"/>
            <w:vAlign w:val="center"/>
          </w:tcPr>
          <w:p w14:paraId="0AE32645">
            <w:pPr>
              <w:keepNext w:val="0"/>
              <w:keepLines w:val="0"/>
              <w:widowControl/>
              <w:suppressLineNumbers w:val="0"/>
              <w:jc w:val="center"/>
              <w:textAlignment w:val="center"/>
              <w:rPr>
                <w:rFonts w:cs="宋体" w:asciiTheme="minorEastAsia" w:hAnsiTheme="minorEastAsia" w:eastAsiaTheme="minorEastAsia"/>
                <w:color w:val="auto"/>
                <w:sz w:val="24"/>
              </w:rPr>
            </w:pPr>
          </w:p>
        </w:tc>
        <w:tc>
          <w:tcPr>
            <w:tcW w:w="1162" w:type="dxa"/>
            <w:vAlign w:val="center"/>
          </w:tcPr>
          <w:p w14:paraId="64A345F5">
            <w:pPr>
              <w:keepNext w:val="0"/>
              <w:keepLines w:val="0"/>
              <w:widowControl/>
              <w:suppressLineNumbers w:val="0"/>
              <w:jc w:val="center"/>
              <w:textAlignment w:val="center"/>
              <w:rPr>
                <w:rFonts w:cs="宋体" w:asciiTheme="minorEastAsia" w:hAnsiTheme="minorEastAsia" w:eastAsiaTheme="minorEastAsia"/>
                <w:color w:val="auto"/>
                <w:sz w:val="24"/>
              </w:rPr>
            </w:pPr>
          </w:p>
        </w:tc>
        <w:tc>
          <w:tcPr>
            <w:tcW w:w="1338" w:type="dxa"/>
            <w:vAlign w:val="center"/>
          </w:tcPr>
          <w:p w14:paraId="2A2C05C0">
            <w:pPr>
              <w:keepNext w:val="0"/>
              <w:keepLines w:val="0"/>
              <w:widowControl/>
              <w:suppressLineNumbers w:val="0"/>
              <w:jc w:val="center"/>
              <w:textAlignment w:val="center"/>
              <w:rPr>
                <w:rFonts w:cs="宋体" w:asciiTheme="minorEastAsia" w:hAnsiTheme="minorEastAsia" w:eastAsiaTheme="minorEastAsia"/>
                <w:color w:val="auto"/>
                <w:sz w:val="24"/>
              </w:rPr>
            </w:pPr>
          </w:p>
        </w:tc>
        <w:tc>
          <w:tcPr>
            <w:tcW w:w="1338" w:type="dxa"/>
            <w:vAlign w:val="center"/>
          </w:tcPr>
          <w:p w14:paraId="72D7EBD1">
            <w:pPr>
              <w:keepNext w:val="0"/>
              <w:keepLines w:val="0"/>
              <w:widowControl/>
              <w:suppressLineNumbers w:val="0"/>
              <w:jc w:val="center"/>
              <w:textAlignment w:val="center"/>
              <w:rPr>
                <w:rFonts w:hint="default" w:cs="宋体" w:asciiTheme="minorEastAsia" w:hAnsiTheme="minorEastAsia" w:eastAsiaTheme="minorEastAsia"/>
                <w:color w:val="auto"/>
                <w:sz w:val="24"/>
                <w:lang w:val="en-US" w:eastAsia="zh-CN"/>
              </w:rPr>
            </w:pPr>
          </w:p>
        </w:tc>
      </w:tr>
      <w:tr w14:paraId="1574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887" w:type="dxa"/>
            <w:gridSpan w:val="2"/>
            <w:vAlign w:val="center"/>
          </w:tcPr>
          <w:p w14:paraId="20ABE537">
            <w:pPr>
              <w:snapToGrid w:val="0"/>
              <w:spacing w:line="360" w:lineRule="auto"/>
              <w:jc w:val="center"/>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eastAsia="zh-CN"/>
              </w:rPr>
              <w:t>投标报价（小写）</w:t>
            </w:r>
          </w:p>
        </w:tc>
        <w:tc>
          <w:tcPr>
            <w:tcW w:w="11051" w:type="dxa"/>
            <w:gridSpan w:val="5"/>
            <w:vAlign w:val="center"/>
          </w:tcPr>
          <w:p w14:paraId="6FE0599E">
            <w:pPr>
              <w:spacing w:line="360" w:lineRule="auto"/>
              <w:jc w:val="center"/>
              <w:rPr>
                <w:rFonts w:cs="宋体" w:asciiTheme="minorEastAsia" w:hAnsiTheme="minorEastAsia" w:eastAsiaTheme="minorEastAsia"/>
                <w:color w:val="auto"/>
                <w:sz w:val="24"/>
              </w:rPr>
            </w:pPr>
          </w:p>
        </w:tc>
      </w:tr>
      <w:tr w14:paraId="1756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887" w:type="dxa"/>
            <w:gridSpan w:val="2"/>
            <w:vAlign w:val="center"/>
          </w:tcPr>
          <w:p w14:paraId="15AD9089">
            <w:pPr>
              <w:snapToGrid w:val="0"/>
              <w:spacing w:line="360" w:lineRule="auto"/>
              <w:jc w:val="center"/>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eastAsia="zh-CN"/>
              </w:rPr>
              <w:t>投标报价（大写）</w:t>
            </w:r>
          </w:p>
        </w:tc>
        <w:tc>
          <w:tcPr>
            <w:tcW w:w="11051" w:type="dxa"/>
            <w:gridSpan w:val="5"/>
            <w:vAlign w:val="center"/>
          </w:tcPr>
          <w:p w14:paraId="23BE4DFA">
            <w:pPr>
              <w:spacing w:line="360" w:lineRule="auto"/>
              <w:jc w:val="center"/>
              <w:rPr>
                <w:rFonts w:cs="宋体" w:asciiTheme="minorEastAsia" w:hAnsiTheme="minorEastAsia" w:eastAsiaTheme="minorEastAsia"/>
                <w:color w:val="auto"/>
                <w:sz w:val="24"/>
              </w:rPr>
            </w:pPr>
          </w:p>
        </w:tc>
      </w:tr>
      <w:tr w14:paraId="02EC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938" w:type="dxa"/>
            <w:gridSpan w:val="7"/>
            <w:vAlign w:val="center"/>
          </w:tcPr>
          <w:p w14:paraId="4421A156">
            <w:pPr>
              <w:spacing w:line="360" w:lineRule="auto"/>
              <w:jc w:val="left"/>
              <w:rPr>
                <w:rFonts w:hint="eastAsia" w:cs="宋体" w:asciiTheme="minorEastAsia" w:hAnsiTheme="minorEastAsia" w:eastAsiaTheme="minorEastAsia"/>
                <w:b/>
                <w:bCs/>
                <w:color w:val="auto"/>
                <w:sz w:val="24"/>
                <w:lang w:eastAsia="zh-CN"/>
              </w:rPr>
            </w:pPr>
            <w:r>
              <w:rPr>
                <w:rFonts w:hint="eastAsia" w:cs="宋体" w:asciiTheme="minorEastAsia" w:hAnsiTheme="minorEastAsia" w:eastAsiaTheme="minorEastAsia"/>
                <w:b/>
                <w:bCs/>
                <w:color w:val="auto"/>
                <w:sz w:val="24"/>
                <w:lang w:eastAsia="zh-CN"/>
              </w:rPr>
              <w:t>备注：案件服务单价不得高于案件服务单价最高限价，否则按响应无效处理。</w:t>
            </w:r>
          </w:p>
        </w:tc>
      </w:tr>
    </w:tbl>
    <w:p w14:paraId="0EF2133B">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1EFC6DF8">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w:t>
      </w:r>
      <w:r>
        <w:rPr>
          <w:rFonts w:hint="eastAsia" w:ascii="宋体" w:hAnsi="宋体" w:cs="宋体"/>
          <w:kern w:val="0"/>
          <w:sz w:val="24"/>
          <w:lang w:val="zh-CN"/>
        </w:rPr>
        <w:t>。</w:t>
      </w:r>
    </w:p>
    <w:p w14:paraId="04ACF5BD">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494C0522">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3、特别提示：采购代理机构将对项目名称和项目编号，中标供应商名称、地址和中标金额，主要中标标的名称、服务范围、服务要求、服务时间、服务标准等予以公示。</w:t>
      </w:r>
    </w:p>
    <w:p w14:paraId="106588F5">
      <w:pPr>
        <w:snapToGrid w:val="0"/>
        <w:spacing w:line="360" w:lineRule="auto"/>
        <w:ind w:firstLine="480" w:firstLineChars="200"/>
        <w:jc w:val="left"/>
        <w:rPr>
          <w:rFonts w:ascii="宋体" w:hAnsi="宋体" w:cs="宋体"/>
          <w:kern w:val="0"/>
          <w:sz w:val="24"/>
          <w:lang w:val="zh-CN"/>
        </w:rPr>
      </w:pPr>
      <w:r>
        <w:rPr>
          <w:rFonts w:ascii="宋体" w:hAnsi="宋体" w:cs="宋体"/>
          <w:kern w:val="0"/>
          <w:sz w:val="24"/>
          <w:szCs w:val="22"/>
          <w:lang w:val="zh-CN"/>
        </w:rPr>
        <w:t>4</w:t>
      </w:r>
      <w:r>
        <w:rPr>
          <w:rFonts w:hint="eastAsia" w:ascii="宋体" w:hAnsi="宋体" w:cs="宋体"/>
          <w:kern w:val="0"/>
          <w:sz w:val="24"/>
          <w:szCs w:val="22"/>
          <w:lang w:val="zh-CN"/>
        </w:rPr>
        <w:t>、</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211B3E3C">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5、供应商投标报价属于采购文件规定异常低价情形之一的，应按评标委员会要求在规定时间内提供书面证明及必要的证明材料，否则投标无效。</w:t>
      </w:r>
    </w:p>
    <w:p w14:paraId="1732C0E2">
      <w:pPr>
        <w:autoSpaceDE w:val="0"/>
        <w:autoSpaceDN w:val="0"/>
        <w:spacing w:line="360" w:lineRule="auto"/>
        <w:ind w:left="4620" w:leftChars="2200" w:right="1119" w:rightChars="533" w:firstLine="4560" w:firstLineChars="1900"/>
        <w:jc w:val="left"/>
        <w:rPr>
          <w:rFonts w:ascii="宋体" w:hAnsi="宋体" w:cs="宋体"/>
          <w:kern w:val="0"/>
          <w:sz w:val="24"/>
          <w:lang w:val="zh-CN"/>
        </w:rPr>
      </w:pPr>
    </w:p>
    <w:p w14:paraId="31CED1B0">
      <w:pPr>
        <w:spacing w:line="360" w:lineRule="auto"/>
        <w:ind w:firstLine="6240" w:firstLineChars="2600"/>
        <w:rPr>
          <w:rFonts w:ascii="宋体" w:hAnsi="宋体" w:cs="宋体"/>
          <w:sz w:val="24"/>
        </w:rPr>
      </w:pPr>
      <w:r>
        <w:rPr>
          <w:rFonts w:hint="eastAsia" w:ascii="宋体" w:hAnsi="宋体" w:cs="宋体"/>
          <w:sz w:val="24"/>
        </w:rPr>
        <w:t>投标人名称（公章）：</w:t>
      </w:r>
    </w:p>
    <w:p w14:paraId="0FFED506">
      <w:pPr>
        <w:spacing w:line="360" w:lineRule="auto"/>
        <w:ind w:firstLine="6240" w:firstLineChars="2600"/>
        <w:rPr>
          <w:rFonts w:ascii="宋体" w:hAnsi="宋体" w:cs="宋体"/>
          <w:sz w:val="24"/>
        </w:rPr>
      </w:pPr>
      <w:r>
        <w:rPr>
          <w:rFonts w:hint="eastAsia" w:ascii="宋体" w:hAnsi="宋体" w:cs="宋体"/>
          <w:sz w:val="24"/>
        </w:rPr>
        <w:t xml:space="preserve">法定代表人（负责人）或委托代理人(签名)：                          </w:t>
      </w:r>
    </w:p>
    <w:p w14:paraId="74517622">
      <w:pPr>
        <w:spacing w:line="360" w:lineRule="auto"/>
        <w:jc w:val="center"/>
        <w:rPr>
          <w:rFonts w:ascii="宋体" w:hAnsi="宋体" w:cs="宋体"/>
          <w:sz w:val="24"/>
        </w:rPr>
      </w:pPr>
      <w:r>
        <w:rPr>
          <w:rFonts w:hint="eastAsia" w:ascii="宋体" w:hAnsi="宋体" w:cs="宋体"/>
          <w:sz w:val="24"/>
        </w:rPr>
        <w:t xml:space="preserve">     日期：  年   月   日</w:t>
      </w:r>
    </w:p>
    <w:p w14:paraId="36E90523">
      <w:pPr>
        <w:autoSpaceDE w:val="0"/>
        <w:autoSpaceDN w:val="0"/>
        <w:spacing w:line="360" w:lineRule="auto"/>
        <w:ind w:left="4620" w:leftChars="2200" w:right="1119" w:rightChars="533" w:firstLine="4560" w:firstLineChars="1900"/>
        <w:jc w:val="left"/>
        <w:rPr>
          <w:rFonts w:ascii="宋体" w:hAnsi="宋体" w:cs="宋体"/>
          <w:color w:val="000000" w:themeColor="text1"/>
          <w:kern w:val="0"/>
          <w:sz w:val="24"/>
          <w:lang w:val="zh-CN"/>
          <w14:textFill>
            <w14:solidFill>
              <w14:schemeClr w14:val="tx1"/>
            </w14:solidFill>
          </w14:textFill>
        </w:rPr>
      </w:pPr>
    </w:p>
    <w:p w14:paraId="3C6E9C24">
      <w:pPr>
        <w:spacing w:line="360" w:lineRule="auto"/>
        <w:ind w:firstLine="482" w:firstLineChars="200"/>
        <w:rPr>
          <w:rFonts w:ascii="宋体" w:hAnsi="宋体" w:cs="宋体"/>
          <w:b/>
          <w:color w:val="000000" w:themeColor="text1"/>
          <w:kern w:val="0"/>
          <w:sz w:val="24"/>
          <w14:textFill>
            <w14:solidFill>
              <w14:schemeClr w14:val="tx1"/>
            </w14:solidFill>
          </w14:textFill>
        </w:rPr>
      </w:pPr>
    </w:p>
    <w:p w14:paraId="78FCE104">
      <w:pPr>
        <w:pStyle w:val="690"/>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14:textFill>
            <w14:solidFill>
              <w14:schemeClr w14:val="tx1"/>
            </w14:solidFill>
          </w14:textFill>
        </w:rPr>
      </w:pPr>
    </w:p>
    <w:p w14:paraId="528105C7">
      <w:pPr>
        <w:pStyle w:val="690"/>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14:textFill>
            <w14:solidFill>
              <w14:schemeClr w14:val="tx1"/>
            </w14:solidFill>
          </w14:textFill>
        </w:rPr>
        <w:sectPr>
          <w:pgSz w:w="16838" w:h="11906" w:orient="landscape"/>
          <w:pgMar w:top="1418" w:right="1247" w:bottom="1418" w:left="1276" w:header="851" w:footer="992" w:gutter="0"/>
          <w:cols w:space="720" w:num="1"/>
          <w:titlePg/>
          <w:docGrid w:linePitch="312" w:charSpace="0"/>
        </w:sectPr>
      </w:pPr>
    </w:p>
    <w:p w14:paraId="39F9F21D">
      <w:pPr>
        <w:pStyle w:val="82"/>
        <w:jc w:val="center"/>
        <w:rPr>
          <w:b/>
          <w:color w:val="000000" w:themeColor="text1"/>
          <w:kern w:val="2"/>
          <w:sz w:val="32"/>
          <w:szCs w:val="32"/>
          <w14:textFill>
            <w14:solidFill>
              <w14:schemeClr w14:val="tx1"/>
            </w14:solidFill>
          </w14:textFill>
        </w:rPr>
      </w:pPr>
    </w:p>
    <w:p w14:paraId="05DDD678">
      <w:pPr>
        <w:pStyle w:val="82"/>
        <w:jc w:val="center"/>
        <w:rPr>
          <w:b/>
          <w:color w:val="000000" w:themeColor="text1"/>
          <w:sz w:val="32"/>
          <w:szCs w:val="32"/>
          <w14:textFill>
            <w14:solidFill>
              <w14:schemeClr w14:val="tx1"/>
            </w14:solidFill>
          </w14:textFill>
        </w:rPr>
      </w:pPr>
      <w:r>
        <w:rPr>
          <w:rFonts w:hint="eastAsia"/>
          <w:b/>
          <w:color w:val="000000" w:themeColor="text1"/>
          <w:kern w:val="2"/>
          <w:sz w:val="32"/>
          <w:szCs w:val="32"/>
          <w14:textFill>
            <w14:solidFill>
              <w14:schemeClr w14:val="tx1"/>
            </w14:solidFill>
          </w14:textFill>
        </w:rPr>
        <w:t>二、</w:t>
      </w:r>
      <w:r>
        <w:rPr>
          <w:rFonts w:hint="eastAsia"/>
          <w:b/>
          <w:color w:val="000000" w:themeColor="text1"/>
          <w:sz w:val="32"/>
          <w:szCs w:val="32"/>
          <w14:textFill>
            <w14:solidFill>
              <w14:schemeClr w14:val="tx1"/>
            </w14:solidFill>
          </w14:textFill>
        </w:rPr>
        <w:t>中小企业声明函（如果有）</w:t>
      </w:r>
    </w:p>
    <w:p w14:paraId="0DB974F7">
      <w:pPr>
        <w:widowControl/>
        <w:spacing w:line="360" w:lineRule="auto"/>
        <w:ind w:firstLine="120" w:firstLineChars="5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hint="eastAsia" w:ascii="宋体" w:hAnsi="宋体" w:cs="宋体"/>
          <w:b/>
          <w:color w:val="000000" w:themeColor="text1"/>
          <w:sz w:val="24"/>
          <w:lang w:val="en-US" w:eastAsia="zh-CN"/>
          <w14:textFill>
            <w14:solidFill>
              <w14:schemeClr w14:val="tx1"/>
            </w14:solidFill>
          </w14:textFill>
        </w:rPr>
        <w:t>7</w:t>
      </w:r>
      <w:r>
        <w:rPr>
          <w:rFonts w:hint="eastAsia" w:ascii="宋体" w:hAnsi="宋体" w:cs="宋体"/>
          <w:b/>
          <w:color w:val="000000" w:themeColor="text1"/>
          <w:sz w:val="24"/>
          <w14:textFill>
            <w14:solidFill>
              <w14:schemeClr w14:val="tx1"/>
            </w14:solidFill>
          </w14:textFill>
        </w:rPr>
        <w:t>）。]</w:t>
      </w:r>
    </w:p>
    <w:p w14:paraId="431E9C84">
      <w:pPr>
        <w:pStyle w:val="690"/>
        <w:keepNext w:val="0"/>
        <w:pageBreakBefore w:val="0"/>
        <w:tabs>
          <w:tab w:val="clear" w:pos="720"/>
        </w:tabs>
        <w:snapToGrid w:val="0"/>
        <w:spacing w:before="120" w:after="120"/>
        <w:ind w:firstLine="643"/>
        <w:outlineLvl w:val="9"/>
        <w:rPr>
          <w:rFonts w:ascii="宋体" w:hAnsi="宋体" w:eastAsia="宋体" w:cs="宋体"/>
          <w:b w:val="0"/>
          <w:color w:val="000000" w:themeColor="text1"/>
          <w:sz w:val="32"/>
          <w:szCs w:val="32"/>
          <w14:textFill>
            <w14:solidFill>
              <w14:schemeClr w14:val="tx1"/>
            </w14:solidFill>
          </w14:textFill>
        </w:rPr>
      </w:pPr>
    </w:p>
    <w:p w14:paraId="0CA4448F">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6250AA08">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3A20C5F9">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7ED41087">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57EA9F9B">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12476482">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4835687A">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62A19E0E">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688D4A0F">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7A82A7FA">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11EFBD70">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3C3038B3">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27867747">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6392ECCD">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06FD8A44">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58534321">
      <w:pPr>
        <w:pStyle w:val="82"/>
        <w:ind w:firstLine="0"/>
        <w:rPr>
          <w:color w:val="000000" w:themeColor="text1"/>
          <w14:textFill>
            <w14:solidFill>
              <w14:schemeClr w14:val="tx1"/>
            </w14:solidFill>
          </w14:textFill>
        </w:rPr>
      </w:pPr>
    </w:p>
    <w:p w14:paraId="22BB0368">
      <w:pPr>
        <w:pStyle w:val="82"/>
        <w:jc w:val="center"/>
        <w:rPr>
          <w:b/>
          <w:color w:val="000000" w:themeColor="text1"/>
          <w:sz w:val="40"/>
          <w:szCs w:val="36"/>
          <w14:textFill>
            <w14:solidFill>
              <w14:schemeClr w14:val="tx1"/>
            </w14:solidFill>
          </w14:textFill>
        </w:rPr>
      </w:pPr>
      <w:r>
        <w:rPr>
          <w:rFonts w:hint="eastAsia"/>
          <w:b/>
          <w:color w:val="000000" w:themeColor="text1"/>
          <w:sz w:val="40"/>
          <w:szCs w:val="36"/>
          <w14:textFill>
            <w14:solidFill>
              <w14:schemeClr w14:val="tx1"/>
            </w14:solidFill>
          </w14:textFill>
        </w:rPr>
        <w:t>附件</w:t>
      </w:r>
    </w:p>
    <w:p w14:paraId="471B175D">
      <w:pPr>
        <w:pStyle w:val="82"/>
        <w:rPr>
          <w:color w:val="000000" w:themeColor="text1"/>
          <w14:textFill>
            <w14:solidFill>
              <w14:schemeClr w14:val="tx1"/>
            </w14:solidFill>
          </w14:textFill>
        </w:rPr>
      </w:pPr>
    </w:p>
    <w:p w14:paraId="284C05D7">
      <w:pPr>
        <w:spacing w:line="360" w:lineRule="auto"/>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附件1：</w:t>
      </w:r>
    </w:p>
    <w:p w14:paraId="32283ABB">
      <w:pPr>
        <w:spacing w:line="360" w:lineRule="auto"/>
        <w:jc w:val="center"/>
        <w:rPr>
          <w:rFonts w:ascii="宋体" w:hAnsi="宋体" w:cs="宋体"/>
          <w:b/>
          <w:color w:val="000000" w:themeColor="text1"/>
          <w:spacing w:val="6"/>
          <w:sz w:val="32"/>
          <w:szCs w:val="32"/>
          <w14:textFill>
            <w14:solidFill>
              <w14:schemeClr w14:val="tx1"/>
            </w14:solidFill>
          </w14:textFill>
        </w:rPr>
      </w:pPr>
      <w:bookmarkStart w:id="519" w:name="OLE_LINK14"/>
      <w:bookmarkStart w:id="520" w:name="OLE_LINK13"/>
      <w:r>
        <w:rPr>
          <w:rFonts w:hint="eastAsia" w:ascii="宋体" w:hAnsi="宋体" w:cs="宋体"/>
          <w:b/>
          <w:color w:val="000000" w:themeColor="text1"/>
          <w:spacing w:val="6"/>
          <w:sz w:val="32"/>
          <w:szCs w:val="32"/>
          <w14:textFill>
            <w14:solidFill>
              <w14:schemeClr w14:val="tx1"/>
            </w14:solidFill>
          </w14:textFill>
        </w:rPr>
        <w:t>残疾人福利性单位声明函</w:t>
      </w:r>
    </w:p>
    <w:bookmarkEnd w:id="519"/>
    <w:bookmarkEnd w:id="520"/>
    <w:p w14:paraId="0B27AB94">
      <w:pPr>
        <w:spacing w:line="360" w:lineRule="auto"/>
        <w:rPr>
          <w:rFonts w:ascii="宋体" w:hAnsi="宋体" w:cs="宋体"/>
          <w:b/>
          <w:color w:val="000000" w:themeColor="text1"/>
          <w:spacing w:val="6"/>
          <w:sz w:val="30"/>
          <w:szCs w:val="30"/>
          <w14:textFill>
            <w14:solidFill>
              <w14:schemeClr w14:val="tx1"/>
            </w14:solidFill>
          </w14:textFill>
        </w:rPr>
      </w:pPr>
    </w:p>
    <w:p w14:paraId="69F5AEF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000000" w:themeColor="text1"/>
          <w:sz w:val="24"/>
          <w:u w:val="single"/>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_单位的_</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__项目采购活动提供本单位制造的货物（由本单位承担工程/提供服务），或者提供其他残疾人福利性单位制造的货物（不包括使用非残疾人福利性单位注册商标的货物）。</w:t>
      </w:r>
    </w:p>
    <w:p w14:paraId="74D26EF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本单位对上述声明的真实性负责。如有虚假，将依法承担相应责任。</w:t>
      </w:r>
    </w:p>
    <w:p w14:paraId="5896FFA0">
      <w:pPr>
        <w:spacing w:line="360" w:lineRule="auto"/>
        <w:ind w:firstLine="480" w:firstLineChars="200"/>
        <w:rPr>
          <w:rFonts w:ascii="宋体" w:hAnsi="宋体" w:cs="宋体"/>
          <w:color w:val="000000" w:themeColor="text1"/>
          <w:sz w:val="24"/>
          <w14:textFill>
            <w14:solidFill>
              <w14:schemeClr w14:val="tx1"/>
            </w14:solidFill>
          </w14:textFill>
        </w:rPr>
      </w:pPr>
    </w:p>
    <w:p w14:paraId="451EEA87">
      <w:pPr>
        <w:spacing w:line="360" w:lineRule="auto"/>
        <w:ind w:firstLine="480" w:firstLineChars="200"/>
        <w:rPr>
          <w:rFonts w:ascii="宋体" w:hAnsi="宋体" w:cs="宋体"/>
          <w:color w:val="000000" w:themeColor="text1"/>
          <w:sz w:val="24"/>
          <w14:textFill>
            <w14:solidFill>
              <w14:schemeClr w14:val="tx1"/>
            </w14:solidFill>
          </w14:textFill>
        </w:rPr>
      </w:pPr>
    </w:p>
    <w:p w14:paraId="7E3761C8">
      <w:pPr>
        <w:tabs>
          <w:tab w:val="left" w:pos="4860"/>
        </w:tabs>
        <w:spacing w:line="360" w:lineRule="auto"/>
        <w:ind w:right="1560" w:firstLine="480" w:firstLine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投标人名称（</w:t>
      </w:r>
      <w:r>
        <w:rPr>
          <w:rFonts w:hint="eastAsia" w:ascii="宋体" w:hAnsi="宋体" w:cs="宋体"/>
          <w:color w:val="000000" w:themeColor="text1"/>
          <w:sz w:val="24"/>
          <w14:textFill>
            <w14:solidFill>
              <w14:schemeClr w14:val="tx1"/>
            </w14:solidFill>
          </w14:textFill>
        </w:rPr>
        <w:t>公章</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p>
    <w:p w14:paraId="5ED08729">
      <w:pPr>
        <w:tabs>
          <w:tab w:val="left" w:pos="4860"/>
        </w:tabs>
        <w:spacing w:line="360" w:lineRule="auto"/>
        <w:ind w:right="1560" w:firstLine="480" w:firstLine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63363F59">
      <w:pPr>
        <w:spacing w:line="360" w:lineRule="auto"/>
        <w:ind w:firstLine="480" w:firstLineChars="200"/>
        <w:rPr>
          <w:rFonts w:ascii="宋体" w:hAnsi="宋体" w:cs="宋体"/>
          <w:color w:val="000000" w:themeColor="text1"/>
          <w:sz w:val="24"/>
          <w14:textFill>
            <w14:solidFill>
              <w14:schemeClr w14:val="tx1"/>
            </w14:solidFill>
          </w14:textFill>
        </w:rPr>
      </w:pPr>
    </w:p>
    <w:p w14:paraId="0E41EA21">
      <w:pPr>
        <w:tabs>
          <w:tab w:val="left" w:pos="4860"/>
        </w:tabs>
        <w:spacing w:line="360" w:lineRule="auto"/>
        <w:ind w:right="1560" w:firstLine="480" w:firstLineChars="200"/>
        <w:jc w:val="center"/>
        <w:rPr>
          <w:rFonts w:ascii="宋体" w:hAnsi="宋体" w:cs="宋体"/>
          <w:color w:val="000000" w:themeColor="text1"/>
          <w:sz w:val="24"/>
          <w14:textFill>
            <w14:solidFill>
              <w14:schemeClr w14:val="tx1"/>
            </w14:solidFill>
          </w14:textFill>
        </w:rPr>
      </w:pPr>
    </w:p>
    <w:p w14:paraId="6E88D4E8">
      <w:pPr>
        <w:spacing w:line="360" w:lineRule="auto"/>
        <w:ind w:firstLine="420" w:firstLineChars="200"/>
        <w:rPr>
          <w:rFonts w:ascii="宋体" w:hAnsi="宋体" w:cs="宋体"/>
          <w:color w:val="000000" w:themeColor="text1"/>
          <w14:textFill>
            <w14:solidFill>
              <w14:schemeClr w14:val="tx1"/>
            </w14:solidFill>
          </w14:textFill>
        </w:rPr>
      </w:pPr>
    </w:p>
    <w:p w14:paraId="23D9A834">
      <w:pPr>
        <w:spacing w:line="360" w:lineRule="auto"/>
        <w:ind w:firstLine="420" w:firstLineChars="200"/>
        <w:rPr>
          <w:rFonts w:ascii="宋体" w:hAnsi="宋体" w:cs="宋体"/>
          <w:color w:val="000000" w:themeColor="text1"/>
          <w14:textFill>
            <w14:solidFill>
              <w14:schemeClr w14:val="tx1"/>
            </w14:solidFill>
          </w14:textFill>
        </w:rPr>
      </w:pPr>
    </w:p>
    <w:p w14:paraId="7CB833AE">
      <w:pPr>
        <w:spacing w:line="360" w:lineRule="auto"/>
        <w:ind w:firstLine="420" w:firstLineChars="200"/>
        <w:rPr>
          <w:rFonts w:ascii="宋体" w:hAnsi="宋体" w:cs="宋体"/>
          <w:color w:val="000000" w:themeColor="text1"/>
          <w14:textFill>
            <w14:solidFill>
              <w14:schemeClr w14:val="tx1"/>
            </w14:solidFill>
          </w14:textFill>
        </w:rPr>
      </w:pPr>
    </w:p>
    <w:p w14:paraId="240E5B35">
      <w:pPr>
        <w:spacing w:line="360" w:lineRule="auto"/>
        <w:ind w:firstLine="420" w:firstLineChars="200"/>
        <w:rPr>
          <w:rFonts w:ascii="宋体" w:hAnsi="宋体" w:cs="宋体"/>
          <w:color w:val="000000" w:themeColor="text1"/>
          <w14:textFill>
            <w14:solidFill>
              <w14:schemeClr w14:val="tx1"/>
            </w14:solidFill>
          </w14:textFill>
        </w:rPr>
      </w:pPr>
    </w:p>
    <w:p w14:paraId="4D6DA950">
      <w:pPr>
        <w:spacing w:line="360" w:lineRule="auto"/>
        <w:rPr>
          <w:rFonts w:ascii="宋体" w:hAnsi="宋体" w:cs="宋体"/>
          <w:b/>
          <w:color w:val="000000" w:themeColor="text1"/>
          <w:sz w:val="24"/>
          <w14:textFill>
            <w14:solidFill>
              <w14:schemeClr w14:val="tx1"/>
            </w14:solidFill>
          </w14:textFill>
        </w:rPr>
      </w:pPr>
    </w:p>
    <w:p w14:paraId="64F6B955">
      <w:pPr>
        <w:spacing w:line="360" w:lineRule="auto"/>
        <w:rPr>
          <w:rFonts w:ascii="宋体" w:hAnsi="宋体" w:cs="宋体"/>
          <w:b/>
          <w:color w:val="000000" w:themeColor="text1"/>
          <w:sz w:val="24"/>
          <w14:textFill>
            <w14:solidFill>
              <w14:schemeClr w14:val="tx1"/>
            </w14:solidFill>
          </w14:textFill>
        </w:rPr>
      </w:pPr>
    </w:p>
    <w:p w14:paraId="4F9EDA75">
      <w:pPr>
        <w:spacing w:line="360" w:lineRule="auto"/>
        <w:rPr>
          <w:rFonts w:ascii="宋体" w:hAnsi="宋体" w:cs="宋体"/>
          <w:b/>
          <w:color w:val="000000" w:themeColor="text1"/>
          <w:sz w:val="24"/>
          <w14:textFill>
            <w14:solidFill>
              <w14:schemeClr w14:val="tx1"/>
            </w14:solidFill>
          </w14:textFill>
        </w:rPr>
      </w:pPr>
    </w:p>
    <w:p w14:paraId="194AD87D">
      <w:pPr>
        <w:spacing w:line="360" w:lineRule="auto"/>
        <w:rPr>
          <w:rFonts w:ascii="宋体" w:hAnsi="宋体" w:cs="宋体"/>
          <w:b/>
          <w:color w:val="000000" w:themeColor="text1"/>
          <w:sz w:val="24"/>
          <w14:textFill>
            <w14:solidFill>
              <w14:schemeClr w14:val="tx1"/>
            </w14:solidFill>
          </w14:textFill>
        </w:rPr>
      </w:pPr>
    </w:p>
    <w:p w14:paraId="29E90C5C">
      <w:pPr>
        <w:spacing w:line="360" w:lineRule="auto"/>
        <w:rPr>
          <w:rFonts w:ascii="宋体" w:hAnsi="宋体" w:cs="宋体"/>
          <w:b/>
          <w:color w:val="000000" w:themeColor="text1"/>
          <w:sz w:val="24"/>
          <w14:textFill>
            <w14:solidFill>
              <w14:schemeClr w14:val="tx1"/>
            </w14:solidFill>
          </w14:textFill>
        </w:rPr>
      </w:pPr>
    </w:p>
    <w:p w14:paraId="633B00EF">
      <w:pPr>
        <w:spacing w:line="360" w:lineRule="auto"/>
        <w:rPr>
          <w:rFonts w:ascii="宋体" w:hAnsi="宋体" w:cs="宋体"/>
          <w:b/>
          <w:color w:val="000000" w:themeColor="text1"/>
          <w:sz w:val="24"/>
          <w14:textFill>
            <w14:solidFill>
              <w14:schemeClr w14:val="tx1"/>
            </w14:solidFill>
          </w14:textFill>
        </w:rPr>
      </w:pPr>
    </w:p>
    <w:p w14:paraId="605867F9">
      <w:pPr>
        <w:spacing w:line="360" w:lineRule="auto"/>
        <w:rPr>
          <w:rFonts w:ascii="宋体" w:hAnsi="宋体" w:cs="宋体"/>
          <w:b/>
          <w:color w:val="000000" w:themeColor="text1"/>
          <w:sz w:val="24"/>
          <w14:textFill>
            <w14:solidFill>
              <w14:schemeClr w14:val="tx1"/>
            </w14:solidFill>
          </w14:textFill>
        </w:rPr>
      </w:pPr>
    </w:p>
    <w:p w14:paraId="5CC8444E">
      <w:pPr>
        <w:spacing w:line="360" w:lineRule="auto"/>
        <w:rPr>
          <w:rFonts w:ascii="宋体" w:hAnsi="宋体" w:cs="宋体"/>
          <w:b/>
          <w:color w:val="000000" w:themeColor="text1"/>
          <w:sz w:val="24"/>
          <w14:textFill>
            <w14:solidFill>
              <w14:schemeClr w14:val="tx1"/>
            </w14:solidFill>
          </w14:textFill>
        </w:rPr>
      </w:pPr>
    </w:p>
    <w:p w14:paraId="04749C80">
      <w:pPr>
        <w:spacing w:line="360" w:lineRule="auto"/>
        <w:rPr>
          <w:rFonts w:ascii="宋体" w:hAnsi="宋体" w:cs="宋体"/>
          <w:b/>
          <w:color w:val="000000" w:themeColor="text1"/>
          <w:sz w:val="24"/>
          <w14:textFill>
            <w14:solidFill>
              <w14:schemeClr w14:val="tx1"/>
            </w14:solidFill>
          </w14:textFill>
        </w:rPr>
      </w:pPr>
    </w:p>
    <w:p w14:paraId="266DE5E0">
      <w:pPr>
        <w:spacing w:line="360" w:lineRule="auto"/>
        <w:jc w:val="left"/>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附件2：质疑函范本及制作说明</w:t>
      </w:r>
    </w:p>
    <w:p w14:paraId="4ED3152E">
      <w:pPr>
        <w:spacing w:line="360" w:lineRule="auto"/>
        <w:jc w:val="center"/>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质疑函范本</w:t>
      </w:r>
    </w:p>
    <w:p w14:paraId="6E5F42D6">
      <w:pPr>
        <w:snapToGrid w:val="0"/>
        <w:spacing w:before="240" w:beforeLines="100"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一、质疑供应商基本信息</w:t>
      </w:r>
    </w:p>
    <w:p w14:paraId="37B1B8F0">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质疑供应商：</w:t>
      </w:r>
      <w:r>
        <w:rPr>
          <w:rFonts w:hint="eastAsia" w:ascii="宋体" w:hAnsi="宋体" w:cs="宋体"/>
          <w:color w:val="000000" w:themeColor="text1"/>
          <w:sz w:val="24"/>
          <w:u w:val="dotted"/>
          <w14:textFill>
            <w14:solidFill>
              <w14:schemeClr w14:val="tx1"/>
            </w14:solidFill>
          </w14:textFill>
        </w:rPr>
        <w:t xml:space="preserve">                                        </w:t>
      </w:r>
    </w:p>
    <w:p w14:paraId="5CF395CA">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p>
    <w:p w14:paraId="2589381B">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p>
    <w:p w14:paraId="73AACBF7">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授权代表：</w:t>
      </w:r>
      <w:r>
        <w:rPr>
          <w:rFonts w:hint="eastAsia" w:ascii="宋体" w:hAnsi="宋体" w:cs="宋体"/>
          <w:color w:val="000000" w:themeColor="text1"/>
          <w:sz w:val="24"/>
          <w:u w:val="dotted"/>
          <w14:textFill>
            <w14:solidFill>
              <w14:schemeClr w14:val="tx1"/>
            </w14:solidFill>
          </w14:textFill>
        </w:rPr>
        <w:t xml:space="preserve">                                          </w:t>
      </w:r>
    </w:p>
    <w:p w14:paraId="49B74EC1">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7A04E95C">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地址： </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p>
    <w:p w14:paraId="4C25C57C">
      <w:pPr>
        <w:snapToGrid w:val="0"/>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二、质疑项目基本情况</w:t>
      </w:r>
    </w:p>
    <w:p w14:paraId="0D1E4EEF">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质疑项目的名称：</w:t>
      </w:r>
      <w:r>
        <w:rPr>
          <w:rFonts w:hint="eastAsia" w:ascii="宋体" w:hAnsi="宋体" w:cs="宋体"/>
          <w:color w:val="000000" w:themeColor="text1"/>
          <w:sz w:val="24"/>
          <w:u w:val="dotted"/>
          <w14:textFill>
            <w14:solidFill>
              <w14:schemeClr w14:val="tx1"/>
            </w14:solidFill>
          </w14:textFill>
        </w:rPr>
        <w:t xml:space="preserve">                                      </w:t>
      </w:r>
    </w:p>
    <w:p w14:paraId="08281235">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质疑项目的编号：</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包号：</w:t>
      </w:r>
      <w:r>
        <w:rPr>
          <w:rFonts w:hint="eastAsia" w:ascii="宋体" w:hAnsi="宋体" w:cs="宋体"/>
          <w:color w:val="000000" w:themeColor="text1"/>
          <w:sz w:val="24"/>
          <w:u w:val="dotted"/>
          <w14:textFill>
            <w14:solidFill>
              <w14:schemeClr w14:val="tx1"/>
            </w14:solidFill>
          </w14:textFill>
        </w:rPr>
        <w:t xml:space="preserve">                 </w:t>
      </w:r>
    </w:p>
    <w:p w14:paraId="0EB792EE">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采购人名称：</w:t>
      </w:r>
      <w:r>
        <w:rPr>
          <w:rFonts w:hint="eastAsia" w:ascii="宋体" w:hAnsi="宋体" w:cs="宋体"/>
          <w:color w:val="000000" w:themeColor="text1"/>
          <w:sz w:val="24"/>
          <w:u w:val="dotted"/>
          <w14:textFill>
            <w14:solidFill>
              <w14:schemeClr w14:val="tx1"/>
            </w14:solidFill>
          </w14:textFill>
        </w:rPr>
        <w:t xml:space="preserve">                                         </w:t>
      </w:r>
    </w:p>
    <w:p w14:paraId="0B7ABB69">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采购文件获取日期：</w:t>
      </w:r>
      <w:r>
        <w:rPr>
          <w:rFonts w:hint="eastAsia" w:ascii="宋体" w:hAnsi="宋体" w:cs="宋体"/>
          <w:color w:val="000000" w:themeColor="text1"/>
          <w:sz w:val="24"/>
          <w:u w:val="dotted"/>
          <w14:textFill>
            <w14:solidFill>
              <w14:schemeClr w14:val="tx1"/>
            </w14:solidFill>
          </w14:textFill>
        </w:rPr>
        <w:t xml:space="preserve">                                           </w:t>
      </w:r>
    </w:p>
    <w:p w14:paraId="48F83C27">
      <w:pPr>
        <w:snapToGrid w:val="0"/>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三、质疑事项具体内容</w:t>
      </w:r>
    </w:p>
    <w:p w14:paraId="5983DFBF">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质疑事项1：</w:t>
      </w:r>
      <w:r>
        <w:rPr>
          <w:rFonts w:hint="eastAsia" w:ascii="宋体" w:hAnsi="宋体" w:cs="宋体"/>
          <w:color w:val="000000" w:themeColor="text1"/>
          <w:sz w:val="24"/>
          <w:u w:val="dotted"/>
          <w14:textFill>
            <w14:solidFill>
              <w14:schemeClr w14:val="tx1"/>
            </w14:solidFill>
          </w14:textFill>
        </w:rPr>
        <w:t xml:space="preserve">                                         </w:t>
      </w:r>
    </w:p>
    <w:p w14:paraId="62A58DDB">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事实依据：</w:t>
      </w:r>
      <w:r>
        <w:rPr>
          <w:rFonts w:hint="eastAsia" w:ascii="宋体" w:hAnsi="宋体" w:cs="宋体"/>
          <w:color w:val="000000" w:themeColor="text1"/>
          <w:sz w:val="24"/>
          <w:u w:val="dotted"/>
          <w14:textFill>
            <w14:solidFill>
              <w14:schemeClr w14:val="tx1"/>
            </w14:solidFill>
          </w14:textFill>
        </w:rPr>
        <w:t xml:space="preserve">                                          </w:t>
      </w:r>
    </w:p>
    <w:p w14:paraId="7EB7090E">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p>
    <w:p w14:paraId="47AB439D">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法律依据：</w:t>
      </w:r>
      <w:r>
        <w:rPr>
          <w:rFonts w:hint="eastAsia" w:ascii="宋体" w:hAnsi="宋体" w:cs="宋体"/>
          <w:color w:val="000000" w:themeColor="text1"/>
          <w:sz w:val="24"/>
          <w:u w:val="dotted"/>
          <w14:textFill>
            <w14:solidFill>
              <w14:schemeClr w14:val="tx1"/>
            </w14:solidFill>
          </w14:textFill>
        </w:rPr>
        <w:t xml:space="preserve">                                          </w:t>
      </w:r>
    </w:p>
    <w:p w14:paraId="01E60751">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p>
    <w:p w14:paraId="7B32BB50">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质疑事项2</w:t>
      </w:r>
    </w:p>
    <w:p w14:paraId="5AFD7157">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3802FB63">
      <w:pPr>
        <w:snapToGrid w:val="0"/>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四、与质疑事项相关的质疑请求</w:t>
      </w:r>
    </w:p>
    <w:p w14:paraId="26424E0E">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请求：</w:t>
      </w:r>
      <w:r>
        <w:rPr>
          <w:rFonts w:hint="eastAsia" w:ascii="宋体" w:hAnsi="宋体" w:cs="宋体"/>
          <w:color w:val="000000" w:themeColor="text1"/>
          <w:sz w:val="24"/>
          <w:u w:val="dotted"/>
          <w14:textFill>
            <w14:solidFill>
              <w14:schemeClr w14:val="tx1"/>
            </w14:solidFill>
          </w14:textFill>
        </w:rPr>
        <w:t xml:space="preserve">                                               </w:t>
      </w:r>
    </w:p>
    <w:p w14:paraId="7CA27A0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签字(签章)：                   公章：                      </w:t>
      </w:r>
    </w:p>
    <w:p w14:paraId="7086DA1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日期：    </w:t>
      </w:r>
    </w:p>
    <w:p w14:paraId="61A4A5ED">
      <w:pPr>
        <w:spacing w:line="360" w:lineRule="auto"/>
        <w:jc w:val="center"/>
        <w:rPr>
          <w:rFonts w:ascii="宋体" w:hAnsi="宋体" w:cs="宋体"/>
          <w:b/>
          <w:bCs/>
          <w:color w:val="000000" w:themeColor="text1"/>
          <w:sz w:val="24"/>
          <w14:textFill>
            <w14:solidFill>
              <w14:schemeClr w14:val="tx1"/>
            </w14:solidFill>
          </w14:textFill>
        </w:rPr>
      </w:pPr>
    </w:p>
    <w:p w14:paraId="194CC763">
      <w:pPr>
        <w:spacing w:line="360" w:lineRule="auto"/>
        <w:rPr>
          <w:rFonts w:ascii="宋体" w:hAnsi="宋体" w:cs="宋体"/>
          <w:b/>
          <w:color w:val="000000" w:themeColor="text1"/>
          <w:sz w:val="24"/>
          <w14:textFill>
            <w14:solidFill>
              <w14:schemeClr w14:val="tx1"/>
            </w14:solidFill>
          </w14:textFill>
        </w:rPr>
      </w:pPr>
    </w:p>
    <w:p w14:paraId="2CE7B78F">
      <w:pPr>
        <w:spacing w:line="360" w:lineRule="auto"/>
        <w:rPr>
          <w:rFonts w:ascii="宋体" w:hAnsi="宋体" w:cs="宋体"/>
          <w:b/>
          <w:color w:val="000000" w:themeColor="text1"/>
          <w:sz w:val="24"/>
          <w14:textFill>
            <w14:solidFill>
              <w14:schemeClr w14:val="tx1"/>
            </w14:solidFill>
          </w14:textFill>
        </w:rPr>
      </w:pPr>
    </w:p>
    <w:p w14:paraId="3F84FE6E">
      <w:pPr>
        <w:spacing w:line="360" w:lineRule="auto"/>
        <w:rPr>
          <w:rFonts w:ascii="宋体" w:hAnsi="宋体" w:cs="宋体"/>
          <w:b/>
          <w:color w:val="000000" w:themeColor="text1"/>
          <w:sz w:val="24"/>
          <w14:textFill>
            <w14:solidFill>
              <w14:schemeClr w14:val="tx1"/>
            </w14:solidFill>
          </w14:textFill>
        </w:rPr>
      </w:pPr>
    </w:p>
    <w:p w14:paraId="62E89B5F">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质疑函制作说明：</w:t>
      </w:r>
    </w:p>
    <w:p w14:paraId="406197B0">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6D2B05EB">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14:textFill>
            <w14:solidFill>
              <w14:schemeClr w14:val="tx1"/>
            </w14:solidFill>
          </w14:textFill>
        </w:rPr>
        <w:t>供应商签署的授权委托书。授权委托书应载明代理人的姓名或者名称、代理事项、具体权限、期限和相关事项。</w:t>
      </w:r>
    </w:p>
    <w:p w14:paraId="77FA4AC3">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3.质疑函的质疑事项应具体、明确，并有必要的事实依据和法律依据。</w:t>
      </w:r>
    </w:p>
    <w:p w14:paraId="41EA4770">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4.质疑函的质疑请求应与质疑事项相关。</w:t>
      </w:r>
    </w:p>
    <w:p w14:paraId="506475CC">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5.质疑供应商为自然人的，质疑函应由本人签字；质疑供应商为法人或者其他组织的，质疑函应由法定代表人、主要负责人，或者其授权代表签字或者盖章，并加盖公章。</w:t>
      </w:r>
    </w:p>
    <w:p w14:paraId="70F32C4D">
      <w:pPr>
        <w:widowControl/>
        <w:spacing w:line="360" w:lineRule="auto"/>
        <w:ind w:firstLine="600" w:firstLineChars="200"/>
        <w:jc w:val="left"/>
        <w:rPr>
          <w:rFonts w:ascii="宋体" w:hAnsi="宋体" w:cs="宋体"/>
          <w:color w:val="000000" w:themeColor="text1"/>
          <w:sz w:val="30"/>
          <w:szCs w:val="30"/>
          <w14:textFill>
            <w14:solidFill>
              <w14:schemeClr w14:val="tx1"/>
            </w14:solidFill>
          </w14:textFill>
        </w:rPr>
      </w:pPr>
    </w:p>
    <w:p w14:paraId="3B8623B0">
      <w:pPr>
        <w:spacing w:line="360" w:lineRule="auto"/>
        <w:jc w:val="center"/>
        <w:rPr>
          <w:rFonts w:ascii="宋体" w:hAnsi="宋体" w:cs="宋体"/>
          <w:b/>
          <w:color w:val="000000" w:themeColor="text1"/>
          <w:spacing w:val="6"/>
          <w:sz w:val="32"/>
          <w:szCs w:val="32"/>
          <w14:textFill>
            <w14:solidFill>
              <w14:schemeClr w14:val="tx1"/>
            </w14:solidFill>
          </w14:textFill>
        </w:rPr>
      </w:pPr>
    </w:p>
    <w:p w14:paraId="31E7F0BC">
      <w:pPr>
        <w:spacing w:line="360" w:lineRule="auto"/>
        <w:jc w:val="center"/>
        <w:rPr>
          <w:rFonts w:ascii="宋体" w:hAnsi="宋体" w:cs="宋体"/>
          <w:b/>
          <w:color w:val="000000" w:themeColor="text1"/>
          <w:spacing w:val="6"/>
          <w:sz w:val="32"/>
          <w:szCs w:val="32"/>
          <w14:textFill>
            <w14:solidFill>
              <w14:schemeClr w14:val="tx1"/>
            </w14:solidFill>
          </w14:textFill>
        </w:rPr>
      </w:pPr>
    </w:p>
    <w:p w14:paraId="0D245363">
      <w:pPr>
        <w:spacing w:line="360" w:lineRule="auto"/>
        <w:jc w:val="center"/>
        <w:rPr>
          <w:rFonts w:ascii="宋体" w:hAnsi="宋体" w:cs="宋体"/>
          <w:b/>
          <w:color w:val="000000" w:themeColor="text1"/>
          <w:spacing w:val="6"/>
          <w:sz w:val="32"/>
          <w:szCs w:val="32"/>
          <w14:textFill>
            <w14:solidFill>
              <w14:schemeClr w14:val="tx1"/>
            </w14:solidFill>
          </w14:textFill>
        </w:rPr>
      </w:pPr>
    </w:p>
    <w:p w14:paraId="7C6E0293">
      <w:pPr>
        <w:spacing w:line="360" w:lineRule="auto"/>
        <w:jc w:val="center"/>
        <w:rPr>
          <w:rFonts w:ascii="宋体" w:hAnsi="宋体" w:cs="宋体"/>
          <w:b/>
          <w:color w:val="000000" w:themeColor="text1"/>
          <w:spacing w:val="6"/>
          <w:sz w:val="32"/>
          <w:szCs w:val="32"/>
          <w14:textFill>
            <w14:solidFill>
              <w14:schemeClr w14:val="tx1"/>
            </w14:solidFill>
          </w14:textFill>
        </w:rPr>
      </w:pPr>
    </w:p>
    <w:p w14:paraId="7D36ADC9">
      <w:pPr>
        <w:spacing w:line="360" w:lineRule="auto"/>
        <w:jc w:val="center"/>
        <w:rPr>
          <w:rFonts w:ascii="宋体" w:hAnsi="宋体" w:cs="宋体"/>
          <w:b/>
          <w:color w:val="000000" w:themeColor="text1"/>
          <w:spacing w:val="6"/>
          <w:sz w:val="32"/>
          <w:szCs w:val="32"/>
          <w14:textFill>
            <w14:solidFill>
              <w14:schemeClr w14:val="tx1"/>
            </w14:solidFill>
          </w14:textFill>
        </w:rPr>
      </w:pPr>
    </w:p>
    <w:p w14:paraId="18305E80">
      <w:pPr>
        <w:spacing w:line="360" w:lineRule="auto"/>
        <w:jc w:val="center"/>
        <w:rPr>
          <w:rFonts w:ascii="宋体" w:hAnsi="宋体" w:cs="宋体"/>
          <w:b/>
          <w:color w:val="000000" w:themeColor="text1"/>
          <w:spacing w:val="6"/>
          <w:sz w:val="32"/>
          <w:szCs w:val="32"/>
          <w14:textFill>
            <w14:solidFill>
              <w14:schemeClr w14:val="tx1"/>
            </w14:solidFill>
          </w14:textFill>
        </w:rPr>
      </w:pPr>
    </w:p>
    <w:p w14:paraId="50F582AA">
      <w:pPr>
        <w:spacing w:line="360" w:lineRule="auto"/>
        <w:jc w:val="center"/>
        <w:rPr>
          <w:rFonts w:ascii="宋体" w:hAnsi="宋体" w:cs="宋体"/>
          <w:b/>
          <w:color w:val="000000" w:themeColor="text1"/>
          <w:spacing w:val="6"/>
          <w:sz w:val="32"/>
          <w:szCs w:val="32"/>
          <w14:textFill>
            <w14:solidFill>
              <w14:schemeClr w14:val="tx1"/>
            </w14:solidFill>
          </w14:textFill>
        </w:rPr>
      </w:pPr>
    </w:p>
    <w:p w14:paraId="67102DE6">
      <w:pPr>
        <w:spacing w:line="360" w:lineRule="auto"/>
        <w:jc w:val="center"/>
        <w:rPr>
          <w:rFonts w:ascii="宋体" w:hAnsi="宋体" w:cs="宋体"/>
          <w:b/>
          <w:color w:val="000000" w:themeColor="text1"/>
          <w:spacing w:val="6"/>
          <w:sz w:val="32"/>
          <w:szCs w:val="32"/>
          <w14:textFill>
            <w14:solidFill>
              <w14:schemeClr w14:val="tx1"/>
            </w14:solidFill>
          </w14:textFill>
        </w:rPr>
      </w:pPr>
    </w:p>
    <w:p w14:paraId="293FC08C">
      <w:pPr>
        <w:spacing w:line="360" w:lineRule="auto"/>
        <w:jc w:val="center"/>
        <w:rPr>
          <w:rFonts w:ascii="宋体" w:hAnsi="宋体" w:cs="宋体"/>
          <w:b/>
          <w:color w:val="000000" w:themeColor="text1"/>
          <w:spacing w:val="6"/>
          <w:sz w:val="32"/>
          <w:szCs w:val="32"/>
          <w14:textFill>
            <w14:solidFill>
              <w14:schemeClr w14:val="tx1"/>
            </w14:solidFill>
          </w14:textFill>
        </w:rPr>
      </w:pPr>
    </w:p>
    <w:p w14:paraId="58DB0952">
      <w:pPr>
        <w:spacing w:line="360" w:lineRule="auto"/>
        <w:jc w:val="center"/>
        <w:rPr>
          <w:rFonts w:ascii="宋体" w:hAnsi="宋体" w:cs="宋体"/>
          <w:b/>
          <w:color w:val="000000" w:themeColor="text1"/>
          <w:spacing w:val="6"/>
          <w:sz w:val="32"/>
          <w:szCs w:val="32"/>
          <w14:textFill>
            <w14:solidFill>
              <w14:schemeClr w14:val="tx1"/>
            </w14:solidFill>
          </w14:textFill>
        </w:rPr>
      </w:pPr>
    </w:p>
    <w:p w14:paraId="1E07B7E1">
      <w:pPr>
        <w:spacing w:line="360" w:lineRule="auto"/>
        <w:jc w:val="center"/>
        <w:rPr>
          <w:rFonts w:ascii="宋体" w:hAnsi="宋体" w:cs="宋体"/>
          <w:b/>
          <w:color w:val="000000" w:themeColor="text1"/>
          <w:spacing w:val="6"/>
          <w:sz w:val="32"/>
          <w:szCs w:val="32"/>
          <w14:textFill>
            <w14:solidFill>
              <w14:schemeClr w14:val="tx1"/>
            </w14:solidFill>
          </w14:textFill>
        </w:rPr>
      </w:pPr>
    </w:p>
    <w:p w14:paraId="52E4B39F">
      <w:pPr>
        <w:spacing w:line="360" w:lineRule="auto"/>
        <w:jc w:val="center"/>
        <w:rPr>
          <w:rFonts w:ascii="宋体" w:hAnsi="宋体" w:cs="宋体"/>
          <w:b/>
          <w:color w:val="000000" w:themeColor="text1"/>
          <w:spacing w:val="6"/>
          <w:sz w:val="32"/>
          <w:szCs w:val="32"/>
          <w14:textFill>
            <w14:solidFill>
              <w14:schemeClr w14:val="tx1"/>
            </w14:solidFill>
          </w14:textFill>
        </w:rPr>
      </w:pPr>
    </w:p>
    <w:p w14:paraId="7CEF241F">
      <w:pPr>
        <w:spacing w:line="360" w:lineRule="auto"/>
        <w:jc w:val="left"/>
        <w:rPr>
          <w:rFonts w:ascii="宋体" w:hAnsi="宋体" w:cs="宋体"/>
          <w:b/>
          <w:color w:val="000000" w:themeColor="text1"/>
          <w:spacing w:val="6"/>
          <w:sz w:val="32"/>
          <w:szCs w:val="32"/>
          <w14:textFill>
            <w14:solidFill>
              <w14:schemeClr w14:val="tx1"/>
            </w14:solidFill>
          </w14:textFill>
        </w:rPr>
      </w:pPr>
    </w:p>
    <w:p w14:paraId="1FEF7EB9">
      <w:pPr>
        <w:spacing w:line="360" w:lineRule="auto"/>
        <w:jc w:val="left"/>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附件3：投诉书范本及制作说明</w:t>
      </w:r>
    </w:p>
    <w:p w14:paraId="5BEF68B5">
      <w:pPr>
        <w:spacing w:line="360" w:lineRule="auto"/>
        <w:jc w:val="center"/>
        <w:rPr>
          <w:rFonts w:ascii="宋体" w:hAnsi="宋体" w:cs="宋体"/>
          <w:b/>
          <w:color w:val="000000" w:themeColor="text1"/>
          <w:sz w:val="24"/>
          <w14:textFill>
            <w14:solidFill>
              <w14:schemeClr w14:val="tx1"/>
            </w14:solidFill>
          </w14:textFill>
        </w:rPr>
      </w:pPr>
    </w:p>
    <w:p w14:paraId="5FE8690B">
      <w:pPr>
        <w:spacing w:line="360" w:lineRule="auto"/>
        <w:jc w:val="center"/>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投诉书范本</w:t>
      </w:r>
    </w:p>
    <w:p w14:paraId="1881737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一、投诉相关主体基本情况</w:t>
      </w:r>
    </w:p>
    <w:p w14:paraId="196936F9">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投诉人：</w:t>
      </w:r>
      <w:r>
        <w:rPr>
          <w:rFonts w:hint="eastAsia" w:ascii="宋体" w:hAnsi="宋体" w:cs="宋体"/>
          <w:color w:val="000000" w:themeColor="text1"/>
          <w:sz w:val="24"/>
          <w:u w:val="dotted"/>
          <w14:textFill>
            <w14:solidFill>
              <w14:schemeClr w14:val="tx1"/>
            </w14:solidFill>
          </w14:textFill>
        </w:rPr>
        <w:t xml:space="preserve">                                               </w:t>
      </w:r>
    </w:p>
    <w:p w14:paraId="2AF7F013">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2F91DDBB">
      <w:pPr>
        <w:tabs>
          <w:tab w:val="left" w:pos="6510"/>
        </w:tabs>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法定代表人/主要负责人：</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170B0A0D">
      <w:pPr>
        <w:tabs>
          <w:tab w:val="left" w:pos="6510"/>
        </w:tabs>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p>
    <w:p w14:paraId="32B99C27">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授权代表：</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p>
    <w:p w14:paraId="1D036252">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dotted"/>
          <w14:textFill>
            <w14:solidFill>
              <w14:schemeClr w14:val="tx1"/>
            </w14:solidFill>
          </w14:textFill>
        </w:rPr>
        <w:t xml:space="preserve">                   </w:t>
      </w:r>
    </w:p>
    <w:p w14:paraId="457AE8F6">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被投诉人1：</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2CA9184B">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588A6523">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32E6B62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被投诉人2</w:t>
      </w:r>
    </w:p>
    <w:p w14:paraId="339EDA66">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51BFFD02">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相关供应商：</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14BA84EC">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09FC4153">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748E61B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二、投诉项目基本情况</w:t>
      </w:r>
    </w:p>
    <w:p w14:paraId="624BF959">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采购项目名称：</w:t>
      </w:r>
      <w:r>
        <w:rPr>
          <w:rFonts w:hint="eastAsia" w:ascii="宋体" w:hAnsi="宋体" w:cs="宋体"/>
          <w:color w:val="000000" w:themeColor="text1"/>
          <w:sz w:val="24"/>
          <w:u w:val="dotted"/>
          <w14:textFill>
            <w14:solidFill>
              <w14:schemeClr w14:val="tx1"/>
            </w14:solidFill>
          </w14:textFill>
        </w:rPr>
        <w:t xml:space="preserve">                                        </w:t>
      </w:r>
    </w:p>
    <w:p w14:paraId="5C3727C6">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采购项目编号：</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包号：</w:t>
      </w:r>
      <w:r>
        <w:rPr>
          <w:rFonts w:hint="eastAsia" w:ascii="宋体" w:hAnsi="宋体" w:cs="宋体"/>
          <w:color w:val="000000" w:themeColor="text1"/>
          <w:sz w:val="24"/>
          <w:u w:val="dotted"/>
          <w14:textFill>
            <w14:solidFill>
              <w14:schemeClr w14:val="tx1"/>
            </w14:solidFill>
          </w14:textFill>
        </w:rPr>
        <w:t xml:space="preserve">              </w:t>
      </w:r>
    </w:p>
    <w:p w14:paraId="2D17543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采购人名称：</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35002ACE">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代理机构名称：</w:t>
      </w:r>
      <w:r>
        <w:rPr>
          <w:rFonts w:hint="eastAsia" w:ascii="宋体" w:hAnsi="宋体" w:cs="宋体"/>
          <w:color w:val="000000" w:themeColor="text1"/>
          <w:sz w:val="24"/>
          <w:u w:val="dotted"/>
          <w14:textFill>
            <w14:solidFill>
              <w14:schemeClr w14:val="tx1"/>
            </w14:solidFill>
          </w14:textFill>
        </w:rPr>
        <w:t xml:space="preserve">                                         </w:t>
      </w:r>
    </w:p>
    <w:p w14:paraId="46333E71">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采购文件公告:</w:t>
      </w:r>
      <w:r>
        <w:rPr>
          <w:rFonts w:hint="eastAsia" w:ascii="宋体" w:hAnsi="宋体" w:cs="宋体"/>
          <w:color w:val="000000" w:themeColor="text1"/>
          <w:sz w:val="24"/>
          <w:u w:val="dotted"/>
          <w14:textFill>
            <w14:solidFill>
              <w14:schemeClr w14:val="tx1"/>
            </w14:solidFill>
          </w14:textFill>
        </w:rPr>
        <w:t xml:space="preserve">是/否 </w:t>
      </w:r>
      <w:r>
        <w:rPr>
          <w:rFonts w:hint="eastAsia" w:ascii="宋体" w:hAnsi="宋体" w:cs="宋体"/>
          <w:color w:val="000000" w:themeColor="text1"/>
          <w:sz w:val="24"/>
          <w14:textFill>
            <w14:solidFill>
              <w14:schemeClr w14:val="tx1"/>
            </w14:solidFill>
          </w14:textFill>
        </w:rPr>
        <w:t>公告期限：</w:t>
      </w:r>
      <w:r>
        <w:rPr>
          <w:rFonts w:hint="eastAsia" w:ascii="宋体" w:hAnsi="宋体" w:cs="宋体"/>
          <w:color w:val="000000" w:themeColor="text1"/>
          <w:sz w:val="24"/>
          <w:u w:val="dotted"/>
          <w14:textFill>
            <w14:solidFill>
              <w14:schemeClr w14:val="tx1"/>
            </w14:solidFill>
          </w14:textFill>
        </w:rPr>
        <w:t xml:space="preserve">                                 </w:t>
      </w:r>
    </w:p>
    <w:p w14:paraId="4F3361CD">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采购结果公告:</w:t>
      </w:r>
      <w:r>
        <w:rPr>
          <w:rFonts w:hint="eastAsia" w:ascii="宋体" w:hAnsi="宋体" w:cs="宋体"/>
          <w:color w:val="000000" w:themeColor="text1"/>
          <w:sz w:val="24"/>
          <w:u w:val="dotted"/>
          <w14:textFill>
            <w14:solidFill>
              <w14:schemeClr w14:val="tx1"/>
            </w14:solidFill>
          </w14:textFill>
        </w:rPr>
        <w:t xml:space="preserve">是/否 </w:t>
      </w:r>
      <w:r>
        <w:rPr>
          <w:rFonts w:hint="eastAsia" w:ascii="宋体" w:hAnsi="宋体" w:cs="宋体"/>
          <w:color w:val="000000" w:themeColor="text1"/>
          <w:sz w:val="24"/>
          <w14:textFill>
            <w14:solidFill>
              <w14:schemeClr w14:val="tx1"/>
            </w14:solidFill>
          </w14:textFill>
        </w:rPr>
        <w:t>公告期限：</w:t>
      </w:r>
      <w:r>
        <w:rPr>
          <w:rFonts w:hint="eastAsia" w:ascii="宋体" w:hAnsi="宋体" w:cs="宋体"/>
          <w:color w:val="000000" w:themeColor="text1"/>
          <w:sz w:val="24"/>
          <w:u w:val="dotted"/>
          <w14:textFill>
            <w14:solidFill>
              <w14:schemeClr w14:val="tx1"/>
            </w14:solidFill>
          </w14:textFill>
        </w:rPr>
        <w:t xml:space="preserve">                        </w:t>
      </w:r>
    </w:p>
    <w:p w14:paraId="2035597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三、质疑基本情况</w:t>
      </w:r>
    </w:p>
    <w:p w14:paraId="40B258A5">
      <w:pPr>
        <w:spacing w:line="360" w:lineRule="auto"/>
        <w:ind w:firstLine="480" w:firstLineChars="200"/>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投诉人于</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日,向</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提出质疑，质疑事项为：</w:t>
      </w:r>
      <w:r>
        <w:rPr>
          <w:rFonts w:hint="eastAsia" w:ascii="宋体" w:hAnsi="宋体" w:cs="宋体"/>
          <w:color w:val="000000" w:themeColor="text1"/>
          <w:sz w:val="24"/>
          <w:u w:val="dotted"/>
          <w14:textFill>
            <w14:solidFill>
              <w14:schemeClr w14:val="tx1"/>
            </w14:solidFill>
          </w14:textFill>
        </w:rPr>
        <w:t xml:space="preserve">                                </w:t>
      </w:r>
    </w:p>
    <w:p w14:paraId="5EB77D17">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4C102D8F">
      <w:pPr>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采购人/代理机构</w:t>
      </w:r>
      <w:r>
        <w:rPr>
          <w:rFonts w:hint="eastAsia" w:ascii="宋体" w:hAnsi="宋体" w:cs="宋体"/>
          <w:color w:val="000000" w:themeColor="text1"/>
          <w:sz w:val="24"/>
          <w14:textFill>
            <w14:solidFill>
              <w14:schemeClr w14:val="tx1"/>
            </w14:solidFill>
          </w14:textFill>
        </w:rPr>
        <w:t>于</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日,就质疑事项作出了答复/没有在法定期限内作出答复。</w:t>
      </w:r>
    </w:p>
    <w:p w14:paraId="4C24A68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四、投诉事项具体内容</w:t>
      </w:r>
    </w:p>
    <w:p w14:paraId="63F2E8BF">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投诉事项 1：</w:t>
      </w:r>
      <w:r>
        <w:rPr>
          <w:rFonts w:hint="eastAsia" w:ascii="宋体" w:hAnsi="宋体" w:cs="宋体"/>
          <w:color w:val="000000" w:themeColor="text1"/>
          <w:sz w:val="24"/>
          <w:u w:val="dotted"/>
          <w14:textFill>
            <w14:solidFill>
              <w14:schemeClr w14:val="tx1"/>
            </w14:solidFill>
          </w14:textFill>
        </w:rPr>
        <w:t xml:space="preserve">                                       </w:t>
      </w:r>
    </w:p>
    <w:p w14:paraId="5E849C8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事实依据：</w:t>
      </w:r>
      <w:r>
        <w:rPr>
          <w:rFonts w:hint="eastAsia" w:ascii="宋体" w:hAnsi="宋体" w:cs="宋体"/>
          <w:color w:val="000000" w:themeColor="text1"/>
          <w:sz w:val="24"/>
          <w:u w:val="dotted"/>
          <w14:textFill>
            <w14:solidFill>
              <w14:schemeClr w14:val="tx1"/>
            </w14:solidFill>
          </w14:textFill>
        </w:rPr>
        <w:t xml:space="preserve">                                         </w:t>
      </w:r>
    </w:p>
    <w:p w14:paraId="2B1E3E97">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p>
    <w:p w14:paraId="1657A567">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法律依据：</w:t>
      </w:r>
      <w:r>
        <w:rPr>
          <w:rFonts w:hint="eastAsia" w:ascii="宋体" w:hAnsi="宋体" w:cs="宋体"/>
          <w:color w:val="000000" w:themeColor="text1"/>
          <w:sz w:val="24"/>
          <w:u w:val="dotted"/>
          <w14:textFill>
            <w14:solidFill>
              <w14:schemeClr w14:val="tx1"/>
            </w14:solidFill>
          </w14:textFill>
        </w:rPr>
        <w:t xml:space="preserve">                                          </w:t>
      </w:r>
    </w:p>
    <w:p w14:paraId="12B5EA65">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p>
    <w:p w14:paraId="21E2F53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投诉事项2</w:t>
      </w:r>
    </w:p>
    <w:p w14:paraId="5E240CCC">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03A0D00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五、与投诉事项相关的投诉请求</w:t>
      </w:r>
    </w:p>
    <w:p w14:paraId="5A488F0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请求：</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271B095E">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72771EE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签字(签章)：                   公章：                      </w:t>
      </w:r>
    </w:p>
    <w:p w14:paraId="4551493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日期：    </w:t>
      </w:r>
    </w:p>
    <w:p w14:paraId="091F2FA9">
      <w:pPr>
        <w:spacing w:line="360" w:lineRule="auto"/>
        <w:rPr>
          <w:rFonts w:ascii="宋体" w:hAnsi="宋体" w:cs="宋体"/>
          <w:b/>
          <w:color w:val="000000" w:themeColor="text1"/>
          <w:sz w:val="24"/>
          <w14:textFill>
            <w14:solidFill>
              <w14:schemeClr w14:val="tx1"/>
            </w14:solidFill>
          </w14:textFill>
        </w:rPr>
      </w:pPr>
    </w:p>
    <w:p w14:paraId="7B8421F8">
      <w:pPr>
        <w:spacing w:line="360" w:lineRule="auto"/>
        <w:rPr>
          <w:rFonts w:ascii="宋体" w:hAnsi="宋体" w:cs="宋体"/>
          <w:b/>
          <w:color w:val="000000" w:themeColor="text1"/>
          <w:sz w:val="24"/>
          <w14:textFill>
            <w14:solidFill>
              <w14:schemeClr w14:val="tx1"/>
            </w14:solidFill>
          </w14:textFill>
        </w:rPr>
      </w:pPr>
    </w:p>
    <w:p w14:paraId="2B764C5D">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投诉书制作说明：</w:t>
      </w:r>
    </w:p>
    <w:p w14:paraId="6C9ABF1B">
      <w:pPr>
        <w:widowControl/>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1.投诉人提起投诉时，应当提交投诉书和必要的证明材料，并按照被投诉人和与投诉事项有关的供应商数量提供投诉书副本。</w:t>
      </w:r>
    </w:p>
    <w:p w14:paraId="023DEEB7">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2.投诉人若委托代理人进行投诉的，投诉书应按照要求列明“授权代表”的有关内容，并在附件中提交由</w:t>
      </w:r>
      <w:r>
        <w:rPr>
          <w:rFonts w:hint="eastAsia" w:ascii="宋体" w:hAnsi="宋体" w:cs="宋体"/>
          <w:color w:val="000000" w:themeColor="text1"/>
          <w:kern w:val="0"/>
          <w:sz w:val="24"/>
          <w14:textFill>
            <w14:solidFill>
              <w14:schemeClr w14:val="tx1"/>
            </w14:solidFill>
          </w14:textFill>
        </w:rPr>
        <w:t>投诉人签署的授权委托书。授权委托书应当载明代理人的姓名或者名称、代理事项、具体权限、期限和相关事项。</w:t>
      </w:r>
    </w:p>
    <w:p w14:paraId="146D8CD5">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3.投诉书应简要列明质疑事项，质疑函、质疑答复等作为附件材料提供。</w:t>
      </w:r>
    </w:p>
    <w:p w14:paraId="3C740240">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4.投诉书的投诉事项应具体、明确，并有必要的事实依据和法律依据。</w:t>
      </w:r>
    </w:p>
    <w:p w14:paraId="53EFE845">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5.投诉书的投诉请求应与投诉事项相关。</w:t>
      </w:r>
    </w:p>
    <w:p w14:paraId="32557092">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6.投诉人为自然人的，投诉书应当由本人签字；投诉人为法人或者其他组织的，投诉书应当由法定代表人、主要负责人，或者其授权代表签字或者盖章，并加盖公章。</w:t>
      </w:r>
    </w:p>
    <w:p w14:paraId="0159CFCE">
      <w:pPr>
        <w:autoSpaceDE w:val="0"/>
        <w:autoSpaceDN w:val="0"/>
        <w:rPr>
          <w:rFonts w:ascii="宋体" w:hAnsi="宋体" w:cs="宋体"/>
          <w:b/>
          <w:color w:val="000000" w:themeColor="text1"/>
          <w:spacing w:val="6"/>
          <w:sz w:val="32"/>
          <w:szCs w:val="32"/>
          <w14:textFill>
            <w14:solidFill>
              <w14:schemeClr w14:val="tx1"/>
            </w14:solidFill>
          </w14:textFill>
        </w:rPr>
      </w:pPr>
    </w:p>
    <w:p w14:paraId="2570EBEC">
      <w:pPr>
        <w:pStyle w:val="2"/>
        <w:rPr>
          <w:lang w:val="en-US"/>
        </w:rPr>
      </w:pPr>
    </w:p>
    <w:p w14:paraId="49241E6A"/>
    <w:p w14:paraId="708D658E">
      <w:pPr>
        <w:pStyle w:val="2"/>
        <w:rPr>
          <w:lang w:val="en-US"/>
        </w:rPr>
      </w:pPr>
    </w:p>
    <w:p w14:paraId="2834EA02">
      <w:pPr>
        <w:autoSpaceDE w:val="0"/>
        <w:autoSpaceDN w:val="0"/>
        <w:rPr>
          <w:rFonts w:ascii="宋体" w:hAnsi="宋体" w:cs="宋体"/>
          <w:b/>
          <w:bCs/>
          <w:color w:val="000000" w:themeColor="text1"/>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附件4：</w:t>
      </w:r>
      <w:r>
        <w:rPr>
          <w:rFonts w:hint="eastAsia" w:ascii="宋体" w:hAnsi="宋体" w:cs="宋体"/>
          <w:b/>
          <w:bCs/>
          <w:color w:val="000000" w:themeColor="text1"/>
          <w:sz w:val="32"/>
          <w:szCs w:val="32"/>
          <w14:textFill>
            <w14:solidFill>
              <w14:schemeClr w14:val="tx1"/>
            </w14:solidFill>
          </w14:textFill>
        </w:rPr>
        <w:t>业务专用章使用说明函</w:t>
      </w:r>
    </w:p>
    <w:p w14:paraId="0D37519E">
      <w:pPr>
        <w:spacing w:line="360" w:lineRule="auto"/>
        <w:rPr>
          <w:rFonts w:ascii="宋体" w:hAnsi="宋体" w:cs="宋体"/>
          <w:color w:val="000000" w:themeColor="text1"/>
          <w:sz w:val="24"/>
          <w:u w:val="single"/>
          <w14:textFill>
            <w14:solidFill>
              <w14:schemeClr w14:val="tx1"/>
            </w14:solidFill>
          </w14:textFill>
        </w:rPr>
      </w:pPr>
    </w:p>
    <w:p w14:paraId="055FD3E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（采购人）、（采购代理机构）：</w:t>
      </w:r>
    </w:p>
    <w:p w14:paraId="4143B53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我方</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(投标人全称)是中华人民共和国依法登记注册的合法企业，</w:t>
      </w:r>
      <w:r>
        <w:rPr>
          <w:rFonts w:hint="eastAsia" w:ascii="宋体" w:hAnsi="宋体" w:cs="宋体"/>
          <w:bCs/>
          <w:color w:val="000000" w:themeColor="text1"/>
          <w:sz w:val="24"/>
          <w14:textFill>
            <w14:solidFill>
              <w14:schemeClr w14:val="tx1"/>
            </w14:solidFill>
          </w14:textFill>
        </w:rPr>
        <w:t>在参加</w:t>
      </w:r>
      <w:r>
        <w:rPr>
          <w:rFonts w:hint="eastAsia" w:ascii="宋体" w:hAnsi="宋体" w:cs="宋体"/>
          <w:color w:val="000000" w:themeColor="text1"/>
          <w:sz w:val="24"/>
          <w14:textFill>
            <w14:solidFill>
              <w14:schemeClr w14:val="tx1"/>
            </w14:solidFill>
          </w14:textFill>
        </w:rPr>
        <w:t>你方组织的（项目名称）【招标编号：（采购编号）】</w:t>
      </w:r>
      <w:r>
        <w:rPr>
          <w:rFonts w:hint="eastAsia" w:ascii="宋体" w:hAnsi="宋体" w:cs="宋体"/>
          <w:bCs/>
          <w:color w:val="000000" w:themeColor="text1"/>
          <w:sz w:val="24"/>
          <w14:textFill>
            <w14:solidFill>
              <w14:schemeClr w14:val="tx1"/>
            </w14:solidFill>
          </w14:textFill>
        </w:rPr>
        <w:t>投标活动中作如下说明：</w:t>
      </w:r>
      <w:r>
        <w:rPr>
          <w:rFonts w:hint="eastAsia" w:ascii="宋体" w:hAnsi="宋体" w:cs="宋体"/>
          <w:color w:val="000000" w:themeColor="text1"/>
          <w:sz w:val="24"/>
          <w14:textFill>
            <w14:solidFill>
              <w14:schemeClr w14:val="tx1"/>
            </w14:solidFill>
          </w14:textFill>
        </w:rPr>
        <w:t xml:space="preserve">我方所使用的“XX专用章”与法定名称章具有同等的法律效力，对使用“XX专用章”的行为予以完全承认，并愿意承担相应责任。   </w:t>
      </w:r>
    </w:p>
    <w:p w14:paraId="5DFE325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特此说明。</w:t>
      </w:r>
    </w:p>
    <w:p w14:paraId="778FAAA1">
      <w:pPr>
        <w:spacing w:line="360" w:lineRule="auto"/>
        <w:ind w:firstLine="494"/>
        <w:rPr>
          <w:rFonts w:ascii="宋体" w:hAnsi="宋体" w:cs="宋体"/>
          <w:color w:val="000000" w:themeColor="text1"/>
          <w:sz w:val="24"/>
          <w14:textFill>
            <w14:solidFill>
              <w14:schemeClr w14:val="tx1"/>
            </w14:solidFill>
          </w14:textFill>
        </w:rPr>
      </w:pPr>
    </w:p>
    <w:p w14:paraId="694A14CA">
      <w:pPr>
        <w:spacing w:line="360" w:lineRule="auto"/>
        <w:ind w:firstLine="494"/>
        <w:rPr>
          <w:rFonts w:ascii="宋体" w:hAnsi="宋体" w:cs="宋体"/>
          <w:color w:val="000000" w:themeColor="text1"/>
          <w:sz w:val="24"/>
          <w14:textFill>
            <w14:solidFill>
              <w14:schemeClr w14:val="tx1"/>
            </w14:solidFill>
          </w14:textFill>
        </w:rPr>
      </w:pPr>
    </w:p>
    <w:p w14:paraId="31E5A503">
      <w:pPr>
        <w:spacing w:line="360" w:lineRule="auto"/>
        <w:ind w:firstLine="494"/>
        <w:rPr>
          <w:rFonts w:ascii="宋体" w:hAnsi="宋体" w:cs="宋体"/>
          <w:color w:val="000000" w:themeColor="text1"/>
          <w:sz w:val="24"/>
          <w14:textFill>
            <w14:solidFill>
              <w14:schemeClr w14:val="tx1"/>
            </w14:solidFill>
          </w14:textFill>
        </w:rPr>
      </w:pPr>
    </w:p>
    <w:p w14:paraId="32209956">
      <w:pPr>
        <w:spacing w:line="360" w:lineRule="auto"/>
        <w:ind w:firstLine="494"/>
        <w:rPr>
          <w:rFonts w:ascii="宋体" w:hAnsi="宋体" w:cs="宋体"/>
          <w:color w:val="000000" w:themeColor="text1"/>
          <w:sz w:val="24"/>
          <w14:textFill>
            <w14:solidFill>
              <w14:schemeClr w14:val="tx1"/>
            </w14:solidFill>
          </w14:textFill>
        </w:rPr>
      </w:pPr>
    </w:p>
    <w:p w14:paraId="36FF6A4D">
      <w:pPr>
        <w:spacing w:line="360" w:lineRule="auto"/>
        <w:ind w:right="480" w:firstLine="4080" w:firstLineChars="17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投标单位（法定名称章）：</w:t>
      </w:r>
    </w:p>
    <w:p w14:paraId="79918CFC">
      <w:pPr>
        <w:ind w:right="1440" w:firstLine="494"/>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5FD92C22">
      <w:pP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附：</w:t>
      </w:r>
    </w:p>
    <w:p w14:paraId="759D4F68">
      <w:p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000000" w:themeColor="text1"/>
          <w:sz w:val="24"/>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000000" w:themeColor="text1"/>
          <w:sz w:val="24"/>
          <w14:textFill>
            <w14:solidFill>
              <w14:schemeClr w14:val="tx1"/>
            </w14:solidFill>
          </w14:textFill>
        </w:rPr>
        <w:t>投标单位法定名称章（印模）                投标单位“XX专用章”（印模）</w:t>
      </w:r>
    </w:p>
    <w:p w14:paraId="376F52F5">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E160A65">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B9E9CE1">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0B6759C">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0A2E182">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52CFB3B">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3171F6B2">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00F3B5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94F48FB">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646432B">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EEC6D9A">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EDD0A87">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1F688C2">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1DF3D82">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C67000F">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F530DEE">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B000540">
      <w:pPr>
        <w:autoSpaceDE w:val="0"/>
        <w:autoSpaceDN w:val="0"/>
        <w:rPr>
          <w:rFonts w:hint="eastAsia" w:ascii="宋体" w:hAnsi="宋体" w:cs="宋体"/>
          <w:b/>
          <w:kern w:val="0"/>
          <w:sz w:val="32"/>
          <w:szCs w:val="32"/>
          <w:lang w:val="zh-CN"/>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w:t>
      </w:r>
      <w:r>
        <w:rPr>
          <w:rFonts w:hint="eastAsia" w:ascii="宋体" w:hAnsi="宋体" w:cs="宋体"/>
          <w:b/>
          <w:kern w:val="0"/>
          <w:sz w:val="32"/>
          <w:szCs w:val="32"/>
          <w:lang w:val="zh-CN"/>
        </w:rPr>
        <w:t>联合协议</w:t>
      </w:r>
    </w:p>
    <w:p w14:paraId="5AD63E91">
      <w:pPr>
        <w:widowControl/>
        <w:spacing w:line="360" w:lineRule="auto"/>
        <w:ind w:firstLine="482" w:firstLineChars="200"/>
        <w:jc w:val="left"/>
        <w:rPr>
          <w:rFonts w:hint="eastAsia"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682B241A">
      <w:pPr>
        <w:snapToGrid w:val="0"/>
        <w:spacing w:line="360" w:lineRule="auto"/>
        <w:ind w:firstLine="576"/>
        <w:rPr>
          <w:rFonts w:hint="eastAsia"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rPr>
        <w:t>（项目名称）【招标编号：（采购编号）】</w:t>
      </w:r>
      <w:r>
        <w:rPr>
          <w:rFonts w:hint="eastAsia" w:ascii="宋体" w:hAnsi="宋体" w:cs="宋体"/>
          <w:kern w:val="0"/>
          <w:sz w:val="24"/>
          <w:lang w:val="zh-CN"/>
        </w:rPr>
        <w:t xml:space="preserve">投标。 </w:t>
      </w:r>
    </w:p>
    <w:p w14:paraId="5A14FB12">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71F0C484">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授权代表根据招标文件规定及投标内容而对采购人、采购代理机构所作的任何合法承诺，包括书面澄清及相应等均对联合投标各方产生约束力。</w:t>
      </w:r>
    </w:p>
    <w:p w14:paraId="3CAFFA22">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三、本次联合投标中，分工如下：</w:t>
      </w:r>
    </w:p>
    <w:p w14:paraId="461BBFB2">
      <w:pPr>
        <w:snapToGrid w:val="0"/>
        <w:spacing w:line="360" w:lineRule="auto"/>
        <w:ind w:firstLine="576"/>
        <w:rPr>
          <w:rFonts w:hint="eastAsia" w:ascii="宋体" w:hAnsi="宋体" w:cs="宋体"/>
          <w:kern w:val="0"/>
          <w:sz w:val="24"/>
          <w:lang w:val="zh-CN"/>
        </w:rPr>
      </w:pPr>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3195E53C">
      <w:pPr>
        <w:snapToGrid w:val="0"/>
        <w:spacing w:line="360" w:lineRule="auto"/>
        <w:ind w:firstLine="576"/>
        <w:rPr>
          <w:rFonts w:hint="eastAsia"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5E87F2E8">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w:t>
      </w:r>
    </w:p>
    <w:p w14:paraId="207E8C65">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四、联合体成员中小企业合同份额。</w:t>
      </w:r>
    </w:p>
    <w:p w14:paraId="31DCB790">
      <w:pPr>
        <w:snapToGrid w:val="0"/>
        <w:spacing w:line="360" w:lineRule="auto"/>
        <w:ind w:firstLine="576"/>
        <w:rPr>
          <w:rFonts w:hint="eastAsia"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w:t>
      </w:r>
      <w:bookmarkStart w:id="521" w:name="_Hlk101131882"/>
      <w:r>
        <w:rPr>
          <w:rFonts w:hint="eastAsia" w:ascii="宋体" w:hAnsi="宋体" w:cs="宋体"/>
          <w:kern w:val="0"/>
          <w:sz w:val="24"/>
          <w:u w:val="single"/>
        </w:rPr>
        <w:t>联合体成员X</w:t>
      </w:r>
      <w:r>
        <w:rPr>
          <w:rFonts w:ascii="宋体" w:hAnsi="宋体" w:cs="宋体"/>
          <w:kern w:val="0"/>
          <w:sz w:val="24"/>
          <w:u w:val="single"/>
        </w:rPr>
        <w:t>,</w:t>
      </w:r>
      <w:r>
        <w:rPr>
          <w:rFonts w:hint="eastAsia" w:ascii="宋体" w:hAnsi="宋体" w:cs="宋体"/>
          <w:kern w:val="0"/>
          <w:sz w:val="24"/>
          <w:u w:val="single"/>
        </w:rPr>
        <w:t>……</w:t>
      </w:r>
      <w:bookmarkEnd w:id="521"/>
      <w:r>
        <w:rPr>
          <w:rFonts w:hint="eastAsia" w:ascii="宋体" w:hAnsi="宋体" w:cs="宋体"/>
          <w:kern w:val="0"/>
          <w:sz w:val="24"/>
          <w:u w:val="single"/>
        </w:rPr>
        <w:t>）</w:t>
      </w:r>
      <w:r>
        <w:rPr>
          <w:rFonts w:hint="eastAsia" w:ascii="宋体" w:hAnsi="宋体" w:cs="宋体"/>
          <w:kern w:val="0"/>
          <w:sz w:val="24"/>
        </w:rPr>
        <w:t>提供的服务由小微企业承接，其合同份额占到合同总金额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w:t>
      </w:r>
      <w:bookmarkStart w:id="522" w:name="_Hlk101133598"/>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bookmarkEnd w:id="522"/>
      <w:r>
        <w:rPr>
          <w:rFonts w:hint="eastAsia" w:ascii="宋体" w:hAnsi="宋体" w:cs="宋体"/>
          <w:b/>
          <w:kern w:val="0"/>
          <w:sz w:val="24"/>
          <w:lang w:val="zh-CN"/>
        </w:rPr>
        <w:t>）</w:t>
      </w:r>
    </w:p>
    <w:p w14:paraId="7B7AE3FA">
      <w:pPr>
        <w:spacing w:line="360" w:lineRule="auto"/>
        <w:ind w:firstLine="480" w:firstLineChars="200"/>
        <w:rPr>
          <w:rFonts w:hint="eastAsia" w:ascii="宋体" w:hAnsi="宋体" w:cs="宋体"/>
          <w:b/>
          <w:bCs/>
          <w:kern w:val="0"/>
          <w:sz w:val="24"/>
          <w:lang w:val="zh-CN"/>
        </w:rPr>
      </w:pPr>
      <w:r>
        <w:rPr>
          <w:rFonts w:hint="eastAsia" w:ascii="宋体" w:hAnsi="宋体" w:cs="宋体"/>
          <w:sz w:val="24"/>
        </w:rPr>
        <w:t>2、</w:t>
      </w:r>
      <w:bookmarkStart w:id="523"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bookmarkEnd w:id="523"/>
    </w:p>
    <w:p w14:paraId="3488F7C4">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0595DD1E">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六、有关本次联合投标的其他事宜：</w:t>
      </w:r>
    </w:p>
    <w:p w14:paraId="6150833D">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68C7B5F7">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509CB9C5">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278F89C4">
      <w:pPr>
        <w:snapToGrid w:val="0"/>
        <w:spacing w:line="360" w:lineRule="auto"/>
        <w:ind w:firstLine="5040" w:firstLineChars="2100"/>
        <w:rPr>
          <w:rFonts w:hint="eastAsia" w:ascii="宋体" w:hAnsi="宋体" w:cs="宋体"/>
          <w:kern w:val="0"/>
          <w:sz w:val="24"/>
          <w:lang w:val="zh-CN"/>
        </w:rPr>
      </w:pPr>
      <w:r>
        <w:rPr>
          <w:rFonts w:hint="eastAsia" w:ascii="宋体" w:hAnsi="宋体" w:cs="宋体"/>
          <w:kern w:val="0"/>
          <w:sz w:val="24"/>
          <w:lang w:val="zh-CN"/>
        </w:rPr>
        <w:t>联合体成员名称(公章)：</w:t>
      </w:r>
    </w:p>
    <w:p w14:paraId="48A4FDD1">
      <w:pPr>
        <w:snapToGrid w:val="0"/>
        <w:spacing w:line="360" w:lineRule="auto"/>
        <w:ind w:firstLine="5040" w:firstLineChars="2100"/>
        <w:rPr>
          <w:rStyle w:val="81"/>
          <w:rFonts w:hint="eastAsia"/>
        </w:rPr>
      </w:pPr>
      <w:r>
        <w:rPr>
          <w:rStyle w:val="81"/>
          <w:rFonts w:hint="eastAsia"/>
        </w:rPr>
        <w:t>法定代表人（负责人） (签名)：</w:t>
      </w:r>
    </w:p>
    <w:p w14:paraId="7CAA1E0D">
      <w:pPr>
        <w:snapToGrid w:val="0"/>
        <w:spacing w:line="360" w:lineRule="auto"/>
        <w:ind w:firstLine="5040" w:firstLineChars="2100"/>
        <w:rPr>
          <w:rFonts w:hint="eastAsia" w:ascii="宋体" w:hAnsi="宋体" w:cs="宋体"/>
          <w:kern w:val="0"/>
          <w:sz w:val="24"/>
          <w:lang w:val="zh-CN"/>
        </w:rPr>
      </w:pPr>
      <w:r>
        <w:rPr>
          <w:rStyle w:val="81"/>
          <w:rFonts w:hint="eastAsia"/>
        </w:rPr>
        <w:t>联合体成</w:t>
      </w:r>
      <w:r>
        <w:rPr>
          <w:rFonts w:hint="eastAsia" w:ascii="宋体" w:hAnsi="宋体" w:cs="宋体"/>
          <w:kern w:val="0"/>
          <w:sz w:val="24"/>
          <w:lang w:val="zh-CN"/>
        </w:rPr>
        <w:t>员名称(公章)：</w:t>
      </w:r>
    </w:p>
    <w:p w14:paraId="254FE4D7">
      <w:pPr>
        <w:snapToGrid w:val="0"/>
        <w:spacing w:line="360" w:lineRule="auto"/>
        <w:ind w:firstLine="5040" w:firstLineChars="2100"/>
        <w:rPr>
          <w:rFonts w:hint="eastAsia" w:ascii="宋体" w:hAnsi="宋体" w:cs="宋体"/>
          <w:kern w:val="0"/>
          <w:sz w:val="24"/>
          <w:lang w:val="zh-CN"/>
        </w:rPr>
      </w:pPr>
      <w:r>
        <w:rPr>
          <w:rFonts w:hint="eastAsia" w:ascii="宋体" w:hAnsi="宋体" w:cs="宋体"/>
          <w:kern w:val="0"/>
          <w:sz w:val="24"/>
          <w:lang w:val="zh-CN"/>
        </w:rPr>
        <w:t>法定代表人（负责人） (签名)：</w:t>
      </w:r>
    </w:p>
    <w:p w14:paraId="050AD95C">
      <w:pPr>
        <w:snapToGrid w:val="0"/>
        <w:spacing w:line="360" w:lineRule="auto"/>
        <w:ind w:right="960"/>
        <w:jc w:val="center"/>
        <w:rPr>
          <w:rFonts w:hint="eastAsia" w:ascii="宋体" w:hAnsi="宋体" w:cs="宋体"/>
          <w:kern w:val="0"/>
          <w:sz w:val="24"/>
          <w:lang w:val="zh-CN"/>
        </w:rPr>
      </w:pPr>
      <w:r>
        <w:rPr>
          <w:rFonts w:hint="eastAsia" w:ascii="宋体" w:hAnsi="宋体" w:cs="宋体"/>
          <w:kern w:val="0"/>
          <w:sz w:val="24"/>
          <w:lang w:val="zh-CN"/>
        </w:rPr>
        <w:t xml:space="preserve">                   ……</w:t>
      </w:r>
    </w:p>
    <w:p w14:paraId="0C415C51">
      <w:pPr>
        <w:snapToGrid w:val="0"/>
        <w:spacing w:line="360" w:lineRule="auto"/>
        <w:jc w:val="right"/>
        <w:rPr>
          <w:rFonts w:hint="eastAsia" w:ascii="宋体" w:hAnsi="宋体" w:cs="宋体"/>
          <w:kern w:val="0"/>
          <w:sz w:val="24"/>
          <w:lang w:val="zh-CN"/>
        </w:rPr>
      </w:pPr>
      <w:r>
        <w:rPr>
          <w:rFonts w:hint="eastAsia" w:ascii="宋体" w:hAnsi="宋体" w:cs="宋体"/>
          <w:kern w:val="0"/>
          <w:sz w:val="24"/>
          <w:lang w:val="zh-CN"/>
        </w:rPr>
        <w:t>日期：  年  月   日</w:t>
      </w:r>
    </w:p>
    <w:p w14:paraId="427F4440">
      <w:pPr>
        <w:spacing w:line="360" w:lineRule="auto"/>
        <w:ind w:right="420"/>
        <w:rPr>
          <w:rFonts w:hint="eastAsia" w:ascii="宋体" w:hAnsi="宋体" w:cs="宋体"/>
          <w:sz w:val="24"/>
        </w:rPr>
      </w:pPr>
      <w:r>
        <w:rPr>
          <w:rFonts w:hint="eastAsia" w:ascii="宋体" w:hAnsi="宋体" w:cs="宋体"/>
          <w:sz w:val="24"/>
        </w:rPr>
        <w:t>注：按本格式和要求提供。</w:t>
      </w:r>
    </w:p>
    <w:p w14:paraId="276A2744">
      <w:pPr>
        <w:autoSpaceDE w:val="0"/>
        <w:autoSpaceDN w:val="0"/>
        <w:jc w:val="center"/>
        <w:rPr>
          <w:rFonts w:hint="eastAsia" w:ascii="宋体" w:hAnsi="宋体" w:cs="宋体"/>
          <w:b/>
          <w:spacing w:val="6"/>
          <w:sz w:val="32"/>
          <w:szCs w:val="32"/>
        </w:rPr>
      </w:pPr>
    </w:p>
    <w:p w14:paraId="2E711147">
      <w:pPr>
        <w:autoSpaceDE w:val="0"/>
        <w:autoSpaceDN w:val="0"/>
        <w:jc w:val="center"/>
        <w:rPr>
          <w:rFonts w:hint="eastAsia" w:ascii="宋体" w:hAnsi="宋体" w:cs="宋体"/>
          <w:b/>
          <w:spacing w:val="6"/>
          <w:sz w:val="32"/>
          <w:szCs w:val="32"/>
        </w:rPr>
      </w:pPr>
    </w:p>
    <w:p w14:paraId="42B0A5C3">
      <w:pPr>
        <w:autoSpaceDE w:val="0"/>
        <w:autoSpaceDN w:val="0"/>
        <w:jc w:val="center"/>
        <w:rPr>
          <w:rFonts w:hint="eastAsia" w:ascii="宋体" w:hAnsi="宋体" w:cs="宋体"/>
          <w:b/>
          <w:spacing w:val="6"/>
          <w:sz w:val="32"/>
          <w:szCs w:val="32"/>
        </w:rPr>
      </w:pPr>
    </w:p>
    <w:p w14:paraId="0DD402EF">
      <w:pPr>
        <w:autoSpaceDE w:val="0"/>
        <w:autoSpaceDN w:val="0"/>
        <w:jc w:val="center"/>
        <w:rPr>
          <w:rFonts w:hint="eastAsia" w:ascii="宋体" w:hAnsi="宋体" w:cs="宋体"/>
          <w:b/>
          <w:spacing w:val="6"/>
          <w:sz w:val="32"/>
          <w:szCs w:val="32"/>
        </w:rPr>
      </w:pPr>
    </w:p>
    <w:p w14:paraId="19813D2E">
      <w:pPr>
        <w:autoSpaceDE w:val="0"/>
        <w:autoSpaceDN w:val="0"/>
        <w:jc w:val="center"/>
        <w:rPr>
          <w:rFonts w:hint="eastAsia" w:ascii="宋体" w:hAnsi="宋体" w:cs="宋体"/>
          <w:b/>
          <w:spacing w:val="6"/>
          <w:sz w:val="32"/>
          <w:szCs w:val="32"/>
        </w:rPr>
      </w:pPr>
    </w:p>
    <w:p w14:paraId="0E14C396">
      <w:pPr>
        <w:autoSpaceDE w:val="0"/>
        <w:autoSpaceDN w:val="0"/>
        <w:jc w:val="center"/>
        <w:rPr>
          <w:rFonts w:hint="eastAsia" w:ascii="宋体" w:hAnsi="宋体" w:cs="宋体"/>
          <w:b/>
          <w:spacing w:val="6"/>
          <w:sz w:val="32"/>
          <w:szCs w:val="32"/>
        </w:rPr>
      </w:pPr>
    </w:p>
    <w:p w14:paraId="4DA01BF8">
      <w:pPr>
        <w:autoSpaceDE w:val="0"/>
        <w:autoSpaceDN w:val="0"/>
        <w:jc w:val="center"/>
        <w:rPr>
          <w:rFonts w:hint="eastAsia" w:ascii="宋体" w:hAnsi="宋体" w:cs="宋体"/>
          <w:b/>
          <w:spacing w:val="6"/>
          <w:sz w:val="32"/>
          <w:szCs w:val="32"/>
        </w:rPr>
      </w:pPr>
    </w:p>
    <w:p w14:paraId="125DE811">
      <w:pPr>
        <w:autoSpaceDE w:val="0"/>
        <w:autoSpaceDN w:val="0"/>
        <w:jc w:val="center"/>
        <w:rPr>
          <w:rFonts w:hint="eastAsia" w:ascii="宋体" w:hAnsi="宋体" w:cs="宋体"/>
          <w:b/>
          <w:spacing w:val="6"/>
          <w:sz w:val="32"/>
          <w:szCs w:val="32"/>
        </w:rPr>
      </w:pPr>
    </w:p>
    <w:p w14:paraId="379C8807">
      <w:pPr>
        <w:autoSpaceDE w:val="0"/>
        <w:autoSpaceDN w:val="0"/>
        <w:jc w:val="center"/>
        <w:rPr>
          <w:rFonts w:hint="eastAsia" w:ascii="宋体" w:hAnsi="宋体" w:cs="宋体"/>
          <w:b/>
          <w:spacing w:val="6"/>
          <w:sz w:val="32"/>
          <w:szCs w:val="32"/>
        </w:rPr>
      </w:pPr>
    </w:p>
    <w:p w14:paraId="0B1B42B2">
      <w:pPr>
        <w:autoSpaceDE w:val="0"/>
        <w:autoSpaceDN w:val="0"/>
        <w:jc w:val="center"/>
        <w:rPr>
          <w:rFonts w:hint="eastAsia" w:ascii="宋体" w:hAnsi="宋体" w:cs="宋体"/>
          <w:b/>
          <w:spacing w:val="6"/>
          <w:sz w:val="32"/>
          <w:szCs w:val="32"/>
        </w:rPr>
      </w:pPr>
    </w:p>
    <w:p w14:paraId="2FDA6B73">
      <w:pPr>
        <w:autoSpaceDE w:val="0"/>
        <w:autoSpaceDN w:val="0"/>
        <w:jc w:val="center"/>
        <w:rPr>
          <w:rFonts w:hint="eastAsia" w:ascii="宋体" w:hAnsi="宋体" w:cs="宋体"/>
          <w:b/>
          <w:spacing w:val="6"/>
          <w:sz w:val="32"/>
          <w:szCs w:val="32"/>
        </w:rPr>
      </w:pPr>
    </w:p>
    <w:p w14:paraId="6958EAE0">
      <w:pPr>
        <w:autoSpaceDE w:val="0"/>
        <w:autoSpaceDN w:val="0"/>
        <w:jc w:val="center"/>
        <w:rPr>
          <w:rFonts w:hint="eastAsia" w:ascii="宋体" w:hAnsi="宋体" w:cs="宋体"/>
          <w:b/>
          <w:spacing w:val="6"/>
          <w:sz w:val="32"/>
          <w:szCs w:val="32"/>
        </w:rPr>
      </w:pPr>
    </w:p>
    <w:p w14:paraId="133773E3">
      <w:pPr>
        <w:autoSpaceDE w:val="0"/>
        <w:autoSpaceDN w:val="0"/>
        <w:jc w:val="center"/>
        <w:rPr>
          <w:rFonts w:hint="eastAsia" w:ascii="宋体" w:hAnsi="宋体" w:cs="宋体"/>
          <w:b/>
          <w:spacing w:val="6"/>
          <w:sz w:val="32"/>
          <w:szCs w:val="32"/>
        </w:rPr>
      </w:pPr>
    </w:p>
    <w:p w14:paraId="51657D24">
      <w:pPr>
        <w:autoSpaceDE w:val="0"/>
        <w:autoSpaceDN w:val="0"/>
        <w:jc w:val="center"/>
        <w:rPr>
          <w:rFonts w:hint="eastAsia" w:ascii="宋体" w:hAnsi="宋体" w:cs="宋体"/>
          <w:b/>
          <w:spacing w:val="6"/>
          <w:sz w:val="32"/>
          <w:szCs w:val="32"/>
        </w:rPr>
      </w:pPr>
    </w:p>
    <w:p w14:paraId="3D7EB854">
      <w:pPr>
        <w:autoSpaceDE w:val="0"/>
        <w:autoSpaceDN w:val="0"/>
        <w:jc w:val="center"/>
        <w:rPr>
          <w:rFonts w:hint="eastAsia" w:ascii="宋体" w:hAnsi="宋体" w:cs="宋体"/>
          <w:b/>
          <w:spacing w:val="6"/>
          <w:sz w:val="32"/>
          <w:szCs w:val="32"/>
        </w:rPr>
      </w:pPr>
    </w:p>
    <w:p w14:paraId="417237B9">
      <w:pPr>
        <w:autoSpaceDE w:val="0"/>
        <w:autoSpaceDN w:val="0"/>
        <w:jc w:val="center"/>
        <w:rPr>
          <w:rFonts w:hint="eastAsia" w:ascii="宋体" w:hAnsi="宋体" w:cs="宋体"/>
          <w:b/>
          <w:spacing w:val="6"/>
          <w:sz w:val="32"/>
          <w:szCs w:val="32"/>
        </w:rPr>
      </w:pPr>
    </w:p>
    <w:p w14:paraId="55D07971">
      <w:pPr>
        <w:autoSpaceDE w:val="0"/>
        <w:autoSpaceDN w:val="0"/>
        <w:jc w:val="center"/>
        <w:rPr>
          <w:rFonts w:hint="eastAsia" w:ascii="宋体" w:hAnsi="宋体" w:cs="宋体"/>
          <w:b/>
          <w:spacing w:val="6"/>
          <w:sz w:val="32"/>
          <w:szCs w:val="32"/>
        </w:rPr>
      </w:pPr>
    </w:p>
    <w:p w14:paraId="39CFB799">
      <w:pPr>
        <w:autoSpaceDE w:val="0"/>
        <w:autoSpaceDN w:val="0"/>
        <w:jc w:val="center"/>
        <w:rPr>
          <w:rFonts w:hint="eastAsia" w:ascii="宋体" w:hAnsi="宋体" w:cs="宋体"/>
          <w:b/>
          <w:spacing w:val="6"/>
          <w:sz w:val="32"/>
          <w:szCs w:val="32"/>
        </w:rPr>
      </w:pPr>
    </w:p>
    <w:p w14:paraId="70C3305C">
      <w:pPr>
        <w:autoSpaceDE w:val="0"/>
        <w:autoSpaceDN w:val="0"/>
        <w:jc w:val="center"/>
        <w:rPr>
          <w:rFonts w:hint="eastAsia" w:ascii="宋体" w:hAnsi="宋体" w:cs="宋体"/>
          <w:b/>
          <w:spacing w:val="6"/>
          <w:sz w:val="32"/>
          <w:szCs w:val="32"/>
        </w:rPr>
      </w:pPr>
    </w:p>
    <w:p w14:paraId="0B233A14">
      <w:pPr>
        <w:autoSpaceDE w:val="0"/>
        <w:autoSpaceDN w:val="0"/>
        <w:jc w:val="center"/>
        <w:rPr>
          <w:rFonts w:hint="eastAsia" w:ascii="宋体" w:hAnsi="宋体" w:cs="宋体"/>
          <w:b/>
          <w:spacing w:val="6"/>
          <w:sz w:val="32"/>
          <w:szCs w:val="32"/>
        </w:rPr>
      </w:pPr>
    </w:p>
    <w:p w14:paraId="6177C018">
      <w:pPr>
        <w:autoSpaceDE w:val="0"/>
        <w:autoSpaceDN w:val="0"/>
        <w:jc w:val="center"/>
        <w:rPr>
          <w:rFonts w:hint="eastAsia" w:ascii="宋体" w:hAnsi="宋体" w:cs="宋体"/>
          <w:b/>
          <w:spacing w:val="6"/>
          <w:sz w:val="32"/>
          <w:szCs w:val="32"/>
        </w:rPr>
      </w:pPr>
    </w:p>
    <w:p w14:paraId="4A1146B7">
      <w:pPr>
        <w:autoSpaceDE w:val="0"/>
        <w:autoSpaceDN w:val="0"/>
        <w:jc w:val="center"/>
        <w:rPr>
          <w:rFonts w:hint="eastAsia" w:ascii="宋体" w:hAnsi="宋体" w:cs="宋体"/>
          <w:b/>
          <w:spacing w:val="6"/>
          <w:sz w:val="32"/>
          <w:szCs w:val="32"/>
        </w:rPr>
      </w:pPr>
    </w:p>
    <w:p w14:paraId="13D2A6D6">
      <w:pPr>
        <w:autoSpaceDE w:val="0"/>
        <w:autoSpaceDN w:val="0"/>
        <w:jc w:val="center"/>
        <w:rPr>
          <w:rFonts w:hint="eastAsia" w:ascii="宋体" w:hAnsi="宋体" w:cs="宋体"/>
          <w:b/>
          <w:spacing w:val="6"/>
          <w:sz w:val="32"/>
          <w:szCs w:val="32"/>
        </w:rPr>
      </w:pPr>
    </w:p>
    <w:p w14:paraId="135716BE">
      <w:pPr>
        <w:widowControl/>
        <w:adjustRightInd/>
        <w:jc w:val="left"/>
        <w:rPr>
          <w:rFonts w:hint="eastAsia" w:ascii="宋体" w:hAnsi="宋体" w:cs="宋体"/>
          <w:b/>
          <w:spacing w:val="6"/>
          <w:sz w:val="32"/>
          <w:szCs w:val="32"/>
        </w:rPr>
      </w:pPr>
    </w:p>
    <w:p w14:paraId="0F1036F1">
      <w:pPr>
        <w:snapToGrid w:val="0"/>
        <w:spacing w:line="360" w:lineRule="auto"/>
        <w:rPr>
          <w:rFonts w:hint="eastAsia" w:ascii="宋体" w:hAnsi="宋体" w:cs="宋体"/>
          <w:b/>
          <w:spacing w:val="6"/>
          <w:sz w:val="32"/>
          <w:szCs w:val="32"/>
        </w:rPr>
      </w:pPr>
    </w:p>
    <w:p w14:paraId="7C186CB3">
      <w:pPr>
        <w:snapToGrid w:val="0"/>
        <w:spacing w:line="360" w:lineRule="auto"/>
        <w:rPr>
          <w:rFonts w:hint="eastAsia" w:ascii="宋体" w:hAnsi="宋体" w:cs="宋体"/>
          <w:b/>
          <w:kern w:val="0"/>
          <w:sz w:val="32"/>
          <w:szCs w:val="32"/>
        </w:rPr>
      </w:pPr>
      <w:r>
        <w:rPr>
          <w:rFonts w:hint="eastAsia" w:ascii="宋体" w:hAnsi="宋体" w:cs="宋体"/>
          <w:b/>
          <w:spacing w:val="6"/>
          <w:sz w:val="32"/>
          <w:szCs w:val="32"/>
        </w:rPr>
        <w:t>附件</w:t>
      </w:r>
      <w:r>
        <w:rPr>
          <w:rFonts w:ascii="宋体" w:hAnsi="宋体" w:cs="宋体"/>
          <w:b/>
          <w:spacing w:val="6"/>
          <w:sz w:val="32"/>
          <w:szCs w:val="32"/>
        </w:rPr>
        <w:t>6</w:t>
      </w:r>
      <w:r>
        <w:rPr>
          <w:rFonts w:hint="eastAsia" w:ascii="宋体" w:hAnsi="宋体" w:cs="宋体"/>
          <w:b/>
          <w:spacing w:val="6"/>
          <w:sz w:val="32"/>
          <w:szCs w:val="32"/>
        </w:rPr>
        <w:t>：</w:t>
      </w:r>
      <w:r>
        <w:rPr>
          <w:rFonts w:hint="eastAsia" w:ascii="宋体" w:hAnsi="宋体" w:cs="宋体"/>
          <w:b/>
          <w:kern w:val="0"/>
          <w:sz w:val="32"/>
          <w:szCs w:val="32"/>
        </w:rPr>
        <w:t>分包意向协议</w:t>
      </w:r>
    </w:p>
    <w:p w14:paraId="500F1539">
      <w:pPr>
        <w:widowControl/>
        <w:spacing w:line="360" w:lineRule="auto"/>
        <w:ind w:firstLine="120" w:firstLineChars="50"/>
        <w:jc w:val="left"/>
        <w:rPr>
          <w:rFonts w:hint="eastAsia"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6DAE11D5">
      <w:pPr>
        <w:snapToGrid w:val="0"/>
        <w:spacing w:line="360" w:lineRule="auto"/>
        <w:ind w:firstLine="576"/>
        <w:rPr>
          <w:rFonts w:hint="eastAsia"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sz w:val="24"/>
        </w:rPr>
        <w:t>（项目名称）【招标编号：（采购编号）】</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49EF0852">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一、分包标的及数量</w:t>
      </w:r>
    </w:p>
    <w:p w14:paraId="721F1A03">
      <w:pPr>
        <w:snapToGrid w:val="0"/>
        <w:spacing w:line="360" w:lineRule="auto"/>
        <w:ind w:firstLine="576"/>
        <w:rPr>
          <w:rFonts w:hint="eastAsia"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（分包供应商2名称），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2E35D855">
      <w:pPr>
        <w:pStyle w:val="82"/>
        <w:rPr>
          <w:rFonts w:hint="eastAsia"/>
        </w:rPr>
      </w:pPr>
      <w:r>
        <w:rPr>
          <w:rFonts w:hint="eastAsia"/>
        </w:rPr>
        <w:t>……</w:t>
      </w:r>
    </w:p>
    <w:p w14:paraId="62B8F670">
      <w:r>
        <w:rPr>
          <w:rFonts w:hint="eastAsia"/>
          <w:lang w:val="zh-CN"/>
        </w:rPr>
        <w:t xml:space="preserve"> </w:t>
      </w:r>
    </w:p>
    <w:p w14:paraId="6CD3246A">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二、分包供应商中小企业合同份额</w:t>
      </w:r>
    </w:p>
    <w:p w14:paraId="7B28EEC4">
      <w:pPr>
        <w:snapToGrid w:val="0"/>
        <w:spacing w:line="360" w:lineRule="auto"/>
        <w:ind w:firstLine="576"/>
        <w:rPr>
          <w:rFonts w:hint="eastAsia"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……）提供的服务全部由小微企业承接，</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6C5CC392">
      <w:pPr>
        <w:spacing w:line="360" w:lineRule="auto"/>
        <w:ind w:firstLine="480" w:firstLineChars="200"/>
        <w:rPr>
          <w:rFonts w:hint="eastAsia" w:ascii="宋体" w:hAnsi="宋体" w:cs="宋体"/>
          <w:b/>
          <w:bCs/>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p>
    <w:p w14:paraId="3DC7A74F">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三、分包工作履行期限、地点、方式</w:t>
      </w:r>
    </w:p>
    <w:p w14:paraId="2F6A5180">
      <w:pPr>
        <w:snapToGrid w:val="0"/>
        <w:spacing w:line="360" w:lineRule="auto"/>
        <w:ind w:firstLine="576"/>
        <w:rPr>
          <w:rFonts w:hint="eastAsia" w:ascii="宋体" w:hAnsi="宋体" w:cs="宋体"/>
          <w:u w:val="single"/>
        </w:rPr>
      </w:pPr>
      <w:r>
        <w:rPr>
          <w:rFonts w:hint="eastAsia" w:ascii="宋体" w:hAnsi="宋体" w:cs="宋体"/>
          <w:u w:val="single"/>
        </w:rPr>
        <w:t xml:space="preserve">                                                                                  </w:t>
      </w:r>
    </w:p>
    <w:p w14:paraId="1CC56023">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四、质量</w:t>
      </w:r>
    </w:p>
    <w:p w14:paraId="5B05E0E0">
      <w:pPr>
        <w:snapToGrid w:val="0"/>
        <w:spacing w:line="360" w:lineRule="auto"/>
        <w:ind w:firstLine="576"/>
        <w:rPr>
          <w:rFonts w:hint="eastAsia" w:ascii="宋体" w:hAnsi="宋体" w:cs="宋体"/>
          <w:kern w:val="0"/>
          <w:sz w:val="24"/>
          <w:lang w:val="zh-CN"/>
        </w:rPr>
      </w:pPr>
      <w:r>
        <w:rPr>
          <w:rFonts w:hint="eastAsia" w:ascii="宋体" w:hAnsi="宋体" w:cs="宋体"/>
          <w:u w:val="single"/>
        </w:rPr>
        <w:t xml:space="preserve">                                                                                       </w:t>
      </w:r>
    </w:p>
    <w:p w14:paraId="0B90DA21">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五、价款或者报酬</w:t>
      </w:r>
    </w:p>
    <w:p w14:paraId="4F0CD4EA">
      <w:pPr>
        <w:snapToGrid w:val="0"/>
        <w:spacing w:line="360" w:lineRule="auto"/>
        <w:ind w:left="573" w:leftChars="273"/>
        <w:rPr>
          <w:rFonts w:hint="eastAsia" w:ascii="宋体" w:hAnsi="宋体" w:cs="宋体"/>
          <w:kern w:val="0"/>
          <w:sz w:val="24"/>
          <w:lang w:val="zh-CN"/>
        </w:rPr>
      </w:pPr>
      <w:r>
        <w:rPr>
          <w:rFonts w:hint="eastAsia" w:ascii="宋体" w:hAnsi="宋体" w:cs="宋体"/>
          <w:u w:val="single"/>
        </w:rPr>
        <w:t xml:space="preserve">                                                                                     </w:t>
      </w:r>
    </w:p>
    <w:p w14:paraId="3A51064D">
      <w:pPr>
        <w:snapToGrid w:val="0"/>
        <w:spacing w:line="360" w:lineRule="auto"/>
        <w:ind w:left="573" w:leftChars="273"/>
        <w:rPr>
          <w:rFonts w:hint="eastAsia" w:ascii="宋体" w:hAnsi="宋体" w:cs="宋体"/>
          <w:kern w:val="0"/>
          <w:sz w:val="24"/>
          <w:lang w:val="zh-CN"/>
        </w:rPr>
      </w:pPr>
      <w:r>
        <w:rPr>
          <w:rFonts w:hint="eastAsia" w:ascii="宋体" w:hAnsi="宋体" w:cs="宋体"/>
          <w:kern w:val="0"/>
          <w:sz w:val="24"/>
          <w:lang w:val="zh-CN"/>
        </w:rPr>
        <w:t>六、违约责任</w:t>
      </w:r>
    </w:p>
    <w:p w14:paraId="516B8406">
      <w:pPr>
        <w:snapToGrid w:val="0"/>
        <w:spacing w:line="360" w:lineRule="auto"/>
        <w:ind w:firstLine="576"/>
        <w:rPr>
          <w:rFonts w:hint="eastAsia" w:ascii="宋体" w:hAnsi="宋体" w:cs="宋体"/>
          <w:kern w:val="0"/>
          <w:sz w:val="24"/>
          <w:lang w:val="zh-CN"/>
        </w:rPr>
      </w:pPr>
      <w:r>
        <w:rPr>
          <w:rFonts w:hint="eastAsia" w:ascii="宋体" w:hAnsi="宋体" w:cs="宋体"/>
          <w:u w:val="single"/>
        </w:rPr>
        <w:t xml:space="preserve">                                                                                     </w:t>
      </w:r>
    </w:p>
    <w:p w14:paraId="24B4C208">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七、争议解决的办法</w:t>
      </w:r>
    </w:p>
    <w:p w14:paraId="45847D4E">
      <w:pPr>
        <w:snapToGrid w:val="0"/>
        <w:spacing w:line="360" w:lineRule="auto"/>
        <w:ind w:firstLine="576"/>
        <w:rPr>
          <w:rFonts w:hint="eastAsia" w:ascii="宋体" w:hAnsi="宋体" w:cs="宋体"/>
          <w:kern w:val="0"/>
          <w:sz w:val="24"/>
          <w:lang w:val="zh-CN"/>
        </w:rPr>
      </w:pPr>
      <w:r>
        <w:rPr>
          <w:rFonts w:hint="eastAsia" w:ascii="宋体" w:hAnsi="宋体" w:cs="宋体"/>
          <w:u w:val="single"/>
        </w:rPr>
        <w:t xml:space="preserve">                                                                                  </w:t>
      </w:r>
    </w:p>
    <w:p w14:paraId="06C7EF5C">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八、其他</w:t>
      </w:r>
    </w:p>
    <w:p w14:paraId="3F363D9E">
      <w:pPr>
        <w:snapToGrid w:val="0"/>
        <w:spacing w:line="360" w:lineRule="auto"/>
        <w:ind w:left="5758" w:leftChars="342" w:hanging="5040" w:hangingChars="2100"/>
        <w:rPr>
          <w:rFonts w:hint="eastAsia" w:ascii="宋体" w:hAnsi="宋体" w:cs="宋体"/>
          <w:kern w:val="0"/>
          <w:sz w:val="24"/>
          <w:lang w:val="zh-CN"/>
        </w:rPr>
      </w:pPr>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 xml:space="preserve">  。                                           投标人名称(公章)：</w:t>
      </w:r>
    </w:p>
    <w:p w14:paraId="1EE69BC9">
      <w:pPr>
        <w:snapToGrid w:val="0"/>
        <w:spacing w:line="360" w:lineRule="auto"/>
        <w:ind w:left="5758" w:leftChars="2742"/>
        <w:rPr>
          <w:rFonts w:hint="eastAsia" w:ascii="宋体" w:hAnsi="宋体" w:cs="宋体"/>
          <w:kern w:val="0"/>
          <w:sz w:val="24"/>
          <w:lang w:val="zh-CN"/>
        </w:rPr>
      </w:pPr>
      <w:r>
        <w:rPr>
          <w:rStyle w:val="81"/>
          <w:rFonts w:hint="eastAsia"/>
        </w:rPr>
        <w:t>法定代表人（负责人） (签名)：</w:t>
      </w:r>
      <w:r>
        <w:rPr>
          <w:rFonts w:hint="eastAsia" w:ascii="宋体" w:hAnsi="宋体" w:cs="宋体"/>
          <w:kern w:val="0"/>
          <w:sz w:val="24"/>
          <w:lang w:val="zh-CN"/>
        </w:rPr>
        <w:t>分包供应商名称(公章)：</w:t>
      </w:r>
    </w:p>
    <w:p w14:paraId="0FF32924">
      <w:pPr>
        <w:pStyle w:val="82"/>
        <w:ind w:firstLine="5760" w:firstLineChars="2400"/>
        <w:rPr>
          <w:rFonts w:hint="eastAsia"/>
        </w:rPr>
      </w:pPr>
      <w:r>
        <w:rPr>
          <w:rStyle w:val="81"/>
          <w:rFonts w:hint="eastAsia"/>
        </w:rPr>
        <w:t>法定代表人（负责人） (签名)：</w:t>
      </w:r>
    </w:p>
    <w:p w14:paraId="7E7E099D">
      <w:pPr>
        <w:snapToGrid w:val="0"/>
        <w:spacing w:line="360" w:lineRule="auto"/>
        <w:jc w:val="right"/>
        <w:rPr>
          <w:rFonts w:hint="eastAsia" w:ascii="宋体" w:hAnsi="宋体" w:cs="宋体"/>
          <w:kern w:val="0"/>
          <w:sz w:val="24"/>
          <w:lang w:val="zh-CN"/>
        </w:rPr>
      </w:pPr>
    </w:p>
    <w:p w14:paraId="4443CD70">
      <w:pPr>
        <w:snapToGrid w:val="0"/>
        <w:spacing w:line="360" w:lineRule="auto"/>
        <w:ind w:firstLine="5760" w:firstLineChars="2400"/>
        <w:rPr>
          <w:rFonts w:hint="eastAsia" w:ascii="宋体" w:hAnsi="宋体" w:cs="宋体"/>
        </w:rPr>
      </w:pPr>
      <w:r>
        <w:rPr>
          <w:rFonts w:hint="eastAsia" w:ascii="宋体" w:hAnsi="宋体" w:cs="宋体"/>
          <w:kern w:val="0"/>
          <w:sz w:val="24"/>
          <w:lang w:val="zh-CN"/>
        </w:rPr>
        <w:t>……</w:t>
      </w:r>
    </w:p>
    <w:p w14:paraId="782D0FD6">
      <w:pPr>
        <w:snapToGrid w:val="0"/>
        <w:spacing w:line="360" w:lineRule="auto"/>
        <w:ind w:left="5758" w:leftChars="342" w:hanging="5040" w:hangingChars="2100"/>
        <w:rPr>
          <w:rFonts w:hint="eastAsia" w:ascii="宋体" w:hAnsi="宋体" w:cs="宋体"/>
          <w:kern w:val="0"/>
          <w:sz w:val="24"/>
          <w:lang w:val="zh-CN"/>
        </w:rPr>
      </w:pPr>
      <w:r>
        <w:rPr>
          <w:rFonts w:hint="eastAsia" w:ascii="宋体" w:hAnsi="宋体" w:cs="宋体"/>
          <w:kern w:val="0"/>
          <w:sz w:val="24"/>
          <w:lang w:val="zh-CN"/>
        </w:rPr>
        <w:t xml:space="preserve">                                        日期：  年  月   日</w:t>
      </w:r>
    </w:p>
    <w:p w14:paraId="73C56FE3">
      <w:pPr>
        <w:spacing w:line="360" w:lineRule="auto"/>
        <w:ind w:right="420"/>
        <w:rPr>
          <w:rFonts w:hint="eastAsia" w:ascii="宋体" w:hAnsi="宋体" w:cs="宋体"/>
          <w:sz w:val="24"/>
        </w:rPr>
      </w:pPr>
      <w:r>
        <w:rPr>
          <w:rFonts w:hint="eastAsia" w:ascii="宋体" w:hAnsi="宋体" w:cs="宋体"/>
          <w:sz w:val="24"/>
        </w:rPr>
        <w:t>注：按本格式和要求提供。</w:t>
      </w:r>
    </w:p>
    <w:p w14:paraId="14B9D99B">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2C6F8C7">
      <w:pPr>
        <w:spacing w:line="360" w:lineRule="auto"/>
        <w:jc w:val="left"/>
        <w:rPr>
          <w:rFonts w:hint="eastAsia" w:ascii="宋体" w:hAnsi="宋体" w:cs="宋体"/>
          <w:b/>
          <w:color w:val="000000" w:themeColor="text1"/>
          <w:sz w:val="32"/>
          <w:szCs w:val="32"/>
          <w14:textFill>
            <w14:solidFill>
              <w14:schemeClr w14:val="tx1"/>
            </w14:solidFill>
          </w14:textFill>
        </w:rPr>
        <w:sectPr>
          <w:headerReference r:id="rId27" w:type="first"/>
          <w:footerReference r:id="rId30" w:type="first"/>
          <w:headerReference r:id="rId26" w:type="default"/>
          <w:footerReference r:id="rId28" w:type="default"/>
          <w:footerReference r:id="rId29" w:type="even"/>
          <w:pgSz w:w="11906" w:h="16838"/>
          <w:pgMar w:top="1276" w:right="1418" w:bottom="1247" w:left="1418" w:header="851" w:footer="992" w:gutter="0"/>
          <w:cols w:space="720" w:num="1"/>
          <w:titlePg/>
          <w:docGrid w:linePitch="312" w:charSpace="0"/>
        </w:sectPr>
      </w:pPr>
    </w:p>
    <w:p w14:paraId="1BBFCF1A">
      <w:pPr>
        <w:spacing w:line="360" w:lineRule="auto"/>
        <w:jc w:val="left"/>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附件</w:t>
      </w:r>
      <w:r>
        <w:rPr>
          <w:rFonts w:hint="eastAsia" w:ascii="宋体" w:hAnsi="宋体" w:cs="宋体"/>
          <w:b/>
          <w:color w:val="000000" w:themeColor="text1"/>
          <w:sz w:val="32"/>
          <w:szCs w:val="32"/>
          <w:lang w:val="en-US" w:eastAsia="zh-CN"/>
          <w14:textFill>
            <w14:solidFill>
              <w14:schemeClr w14:val="tx1"/>
            </w14:solidFill>
          </w14:textFill>
        </w:rPr>
        <w:t>7</w:t>
      </w:r>
      <w:r>
        <w:rPr>
          <w:rFonts w:hint="eastAsia" w:ascii="宋体" w:hAnsi="宋体" w:cs="宋体"/>
          <w:b/>
          <w:color w:val="000000" w:themeColor="text1"/>
          <w:sz w:val="32"/>
          <w:szCs w:val="32"/>
          <w14:textFill>
            <w14:solidFill>
              <w14:schemeClr w14:val="tx1"/>
            </w14:solidFill>
          </w14:textFill>
        </w:rPr>
        <w:t>：中小企业声明函</w:t>
      </w:r>
    </w:p>
    <w:p w14:paraId="4E5CC030">
      <w:pPr>
        <w:spacing w:line="360" w:lineRule="auto"/>
        <w:jc w:val="center"/>
        <w:rPr>
          <w:rFonts w:ascii="宋体" w:hAnsi="宋体" w:cs="宋体"/>
          <w:color w:val="000000" w:themeColor="text1"/>
          <w:sz w:val="24"/>
          <w:u w:val="single"/>
          <w14:textFill>
            <w14:solidFill>
              <w14:schemeClr w14:val="tx1"/>
            </w14:solidFill>
          </w14:textFill>
        </w:rPr>
      </w:pPr>
    </w:p>
    <w:p w14:paraId="5B542694">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中小企业声明函（服务）</w:t>
      </w:r>
    </w:p>
    <w:p w14:paraId="6F02960A">
      <w:pPr>
        <w:spacing w:line="360" w:lineRule="auto"/>
        <w:ind w:firstLine="360" w:firstLineChars="1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本公司郑重声明，根据《政府采购促进中小企业发展管理办法》（财库﹝2020﹞46 号）的规定，本公司参加 </w:t>
      </w:r>
      <w:r>
        <w:rPr>
          <w:rFonts w:hint="eastAsia" w:ascii="宋体" w:hAnsi="宋体" w:cs="宋体"/>
          <w:color w:val="000000" w:themeColor="text1"/>
          <w:sz w:val="24"/>
          <w:u w:val="single"/>
          <w14:textFill>
            <w14:solidFill>
              <w14:schemeClr w14:val="tx1"/>
            </w14:solidFill>
          </w14:textFill>
        </w:rPr>
        <w:t xml:space="preserve">（采购人） </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 xml:space="preserve"> （项目名称） </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采购活动，工程的施工单位全部为符合政策要求的中小企业（或者：服务全部由符合政策要求的中小企业承接）。相关企业的具体情况如下：</w:t>
      </w:r>
    </w:p>
    <w:p w14:paraId="66226861">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 xml:space="preserve"> （采购文件中明确的所属行业）</w:t>
      </w:r>
      <w:r>
        <w:rPr>
          <w:rFonts w:hint="eastAsia" w:ascii="宋体" w:hAnsi="宋体" w:cs="宋体"/>
          <w:color w:val="000000" w:themeColor="text1"/>
          <w:sz w:val="24"/>
          <w14:textFill>
            <w14:solidFill>
              <w14:schemeClr w14:val="tx1"/>
            </w14:solidFill>
          </w14:textFill>
        </w:rPr>
        <w:t xml:space="preserve"> ；承建（承接）企业为 </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 xml:space="preserve"> ，从业人员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 xml:space="preserve"> （中型企业、小型企业、微型企业） </w:t>
      </w:r>
      <w:r>
        <w:rPr>
          <w:rFonts w:hint="eastAsia" w:ascii="宋体" w:hAnsi="宋体" w:cs="宋体"/>
          <w:color w:val="000000" w:themeColor="text1"/>
          <w:sz w:val="24"/>
          <w14:textFill>
            <w14:solidFill>
              <w14:schemeClr w14:val="tx1"/>
            </w14:solidFill>
          </w14:textFill>
        </w:rPr>
        <w:t>；</w:t>
      </w:r>
    </w:p>
    <w:p w14:paraId="555DCE89">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 xml:space="preserve"> （标的名称），</w:t>
      </w:r>
      <w:r>
        <w:rPr>
          <w:rFonts w:hint="eastAsia" w:ascii="宋体" w:hAnsi="宋体" w:cs="宋体"/>
          <w:color w:val="000000" w:themeColor="text1"/>
          <w:sz w:val="24"/>
          <w14:textFill>
            <w14:solidFill>
              <w14:schemeClr w14:val="tx1"/>
            </w14:solidFill>
          </w14:textFill>
        </w:rPr>
        <w:t xml:space="preserve">属于 </w:t>
      </w:r>
      <w:r>
        <w:rPr>
          <w:rFonts w:hint="eastAsia" w:ascii="宋体" w:hAnsi="宋体" w:cs="宋体"/>
          <w:color w:val="000000" w:themeColor="text1"/>
          <w:sz w:val="24"/>
          <w:u w:val="single"/>
          <w14:textFill>
            <w14:solidFill>
              <w14:schemeClr w14:val="tx1"/>
            </w14:solidFill>
          </w14:textFill>
        </w:rPr>
        <w:t xml:space="preserve">（采购文件中明确的所属行业） </w:t>
      </w:r>
      <w:r>
        <w:rPr>
          <w:rFonts w:hint="eastAsia" w:ascii="宋体" w:hAnsi="宋体" w:cs="宋体"/>
          <w:color w:val="000000" w:themeColor="text1"/>
          <w:sz w:val="24"/>
          <w14:textFill>
            <w14:solidFill>
              <w14:schemeClr w14:val="tx1"/>
            </w14:solidFill>
          </w14:textFill>
        </w:rPr>
        <w:t xml:space="preserve">；承建（承接）企业为 </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 xml:space="preserve"> ，从业人员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 xml:space="preserve"> （中型企业、小型企业、微型企业） </w:t>
      </w:r>
      <w:r>
        <w:rPr>
          <w:rFonts w:hint="eastAsia" w:ascii="宋体" w:hAnsi="宋体" w:cs="宋体"/>
          <w:color w:val="000000" w:themeColor="text1"/>
          <w:sz w:val="24"/>
          <w14:textFill>
            <w14:solidFill>
              <w14:schemeClr w14:val="tx1"/>
            </w14:solidFill>
          </w14:textFill>
        </w:rPr>
        <w:t>；</w:t>
      </w:r>
    </w:p>
    <w:p w14:paraId="58B7450C">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6FD9F4E1">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1ACBE29B">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14:paraId="5764B90B">
      <w:pPr>
        <w:snapToGrid w:val="0"/>
        <w:spacing w:line="360" w:lineRule="auto"/>
        <w:ind w:firstLine="5160" w:firstLineChars="21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投标人名称(公章)：</w:t>
      </w:r>
    </w:p>
    <w:p w14:paraId="506A96A2">
      <w:pPr>
        <w:snapToGrid w:val="0"/>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1B50E8AC">
      <w:pPr>
        <w:spacing w:line="360" w:lineRule="auto"/>
        <w:ind w:right="420"/>
        <w:rPr>
          <w:rFonts w:ascii="宋体" w:hAnsi="宋体" w:cs="宋体"/>
          <w:color w:val="000000" w:themeColor="text1"/>
          <w:sz w:val="24"/>
          <w14:textFill>
            <w14:solidFill>
              <w14:schemeClr w14:val="tx1"/>
            </w14:solidFill>
          </w14:textFill>
        </w:rPr>
      </w:pPr>
    </w:p>
    <w:p w14:paraId="35FAFCD4">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w:t>
      </w:r>
    </w:p>
    <w:p w14:paraId="77C5BE90">
      <w:pPr>
        <w:spacing w:line="360" w:lineRule="auto"/>
        <w:ind w:right="42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3EB573EC">
      <w:pPr>
        <w:spacing w:line="360" w:lineRule="auto"/>
        <w:ind w:right="420"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718CF246">
      <w:pPr>
        <w:pStyle w:val="82"/>
        <w:rPr>
          <w:color w:val="000000" w:themeColor="text1"/>
          <w14:textFill>
            <w14:solidFill>
              <w14:schemeClr w14:val="tx1"/>
            </w14:solidFill>
          </w14:textFill>
        </w:rPr>
      </w:pPr>
    </w:p>
    <w:p w14:paraId="3B7458CF">
      <w:pPr>
        <w:spacing w:line="360" w:lineRule="auto"/>
        <w:ind w:right="420"/>
        <w:rPr>
          <w:rFonts w:ascii="宋体" w:hAnsi="宋体" w:cs="宋体"/>
          <w:color w:val="000000" w:themeColor="text1"/>
          <w14:textFill>
            <w14:solidFill>
              <w14:schemeClr w14:val="tx1"/>
            </w14:solidFill>
          </w14:textFill>
        </w:rPr>
      </w:pPr>
    </w:p>
    <w:p w14:paraId="344BDEA8">
      <w:pPr>
        <w:spacing w:line="360" w:lineRule="auto"/>
        <w:rPr>
          <w:rFonts w:ascii="宋体" w:hAnsi="宋体" w:cs="宋体"/>
          <w:bCs/>
          <w:color w:val="000000" w:themeColor="text1"/>
          <w:sz w:val="24"/>
          <w14:textFill>
            <w14:solidFill>
              <w14:schemeClr w14:val="tx1"/>
            </w14:solidFill>
          </w14:textFill>
        </w:rPr>
      </w:pPr>
    </w:p>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Century Gothic">
    <w:altName w:val="Segoe Print"/>
    <w:panose1 w:val="020B0502020202020204"/>
    <w:charset w:val="00"/>
    <w:family w:val="swiss"/>
    <w:pitch w:val="default"/>
    <w:sig w:usb0="00000000" w:usb1="00000000" w:usb2="00000000" w:usb3="00000000" w:csb0="0000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17131">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067E">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CD95A50">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A56F9">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09A4523">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DEE7">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629ACFE">
    <w:pPr>
      <w:rPr>
        <w:rFonts w:ascii="仿宋_GB2312" w:eastAsia="仿宋_GB2312"/>
        <w:szCs w:val="2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BC766">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BBCC5">
    <w:pPr>
      <w:pStyle w:val="39"/>
      <w:framePr w:wrap="around" w:vAnchor="text" w:hAnchor="margin" w:xAlign="right" w:y="1"/>
      <w:rPr>
        <w:rStyle w:val="72"/>
      </w:rPr>
    </w:pPr>
    <w:r>
      <w:fldChar w:fldCharType="begin"/>
    </w:r>
    <w:r>
      <w:rPr>
        <w:rStyle w:val="72"/>
      </w:rPr>
      <w:instrText xml:space="preserve">PAGE  </w:instrText>
    </w:r>
    <w:r>
      <w:fldChar w:fldCharType="end"/>
    </w:r>
  </w:p>
  <w:p w14:paraId="7874906A">
    <w:pPr>
      <w:pStyle w:val="39"/>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24E4">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69</w:t>
    </w:r>
    <w:r>
      <w:rPr>
        <w:rFonts w:hint="eastAsia" w:ascii="仿宋_GB2312" w:eastAsia="仿宋_GB2312"/>
        <w:kern w:val="0"/>
        <w:sz w:val="21"/>
        <w:szCs w:val="21"/>
      </w:rPr>
      <w:fldChar w:fldCharType="end"/>
    </w:r>
    <w:bookmarkStart w:id="524" w:name="_Toc36110187"/>
    <w:bookmarkStart w:id="525" w:name="_Toc131845147"/>
    <w:bookmarkStart w:id="526" w:name="_Toc91899912"/>
    <w:bookmarkStart w:id="527" w:name="_Toc164085800"/>
    <w:r>
      <w:rPr>
        <w:rFonts w:hint="eastAsia" w:ascii="仿宋_GB2312" w:eastAsia="仿宋_GB2312"/>
        <w:kern w:val="0"/>
        <w:sz w:val="21"/>
        <w:szCs w:val="21"/>
      </w:rPr>
      <w:t xml:space="preserve"> 页</w:t>
    </w:r>
    <w:bookmarkEnd w:id="524"/>
    <w:bookmarkEnd w:id="525"/>
    <w:bookmarkEnd w:id="526"/>
    <w:bookmarkEnd w:id="52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42FF7">
    <w:pPr>
      <w:pStyle w:val="39"/>
      <w:framePr w:wrap="around" w:vAnchor="text" w:hAnchor="margin" w:xAlign="right" w:y="1"/>
      <w:rPr>
        <w:rStyle w:val="72"/>
      </w:rPr>
    </w:pPr>
    <w:r>
      <w:fldChar w:fldCharType="begin"/>
    </w:r>
    <w:r>
      <w:rPr>
        <w:rStyle w:val="72"/>
      </w:rPr>
      <w:instrText xml:space="preserve">PAGE  </w:instrText>
    </w:r>
    <w:r>
      <w:fldChar w:fldCharType="end"/>
    </w:r>
  </w:p>
  <w:p w14:paraId="5D800161">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A3977">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8F20C">
    <w:pPr>
      <w:pStyle w:val="39"/>
    </w:pPr>
    <w:r>
      <w:pict>
        <v:shape id="文本框 5"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989401A">
                <w:pPr>
                  <w:pStyle w:val="39"/>
                  <w:rPr>
                    <w:rStyle w:val="72"/>
                    <w:rFonts w:ascii="宋体" w:hAnsi="宋体" w:cs="宋体"/>
                    <w:sz w:val="28"/>
                    <w:szCs w:val="28"/>
                  </w:rPr>
                </w:pPr>
                <w:r>
                  <w:rPr>
                    <w:rFonts w:hint="eastAsia" w:ascii="宋体" w:hAnsi="宋体" w:cs="宋体"/>
                    <w:sz w:val="28"/>
                    <w:szCs w:val="28"/>
                  </w:rPr>
                  <w:fldChar w:fldCharType="begin"/>
                </w:r>
                <w:r>
                  <w:rPr>
                    <w:rStyle w:val="7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72"/>
                    <w:rFonts w:ascii="宋体" w:hAnsi="宋体" w:cs="宋体"/>
                    <w:sz w:val="28"/>
                    <w:szCs w:val="28"/>
                  </w:rPr>
                  <w:t>- 26 -</w:t>
                </w:r>
                <w:r>
                  <w:rPr>
                    <w:rFonts w:hint="eastAsia" w:ascii="宋体" w:hAnsi="宋体" w:cs="宋体"/>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57C4F">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43A11CF">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05EA8">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2F08A1CF">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BB263">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805F228">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183D2">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A9B0EAB">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E5AB5">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BF3D0B5">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38363">
    <w:pPr>
      <w:snapToGrid w:val="0"/>
      <w:spacing w:line="360" w:lineRule="auto"/>
      <w:jc w:val="center"/>
      <w:rPr>
        <w:rFonts w:ascii="仿宋_GB2312" w:eastAsia="仿宋_GB2312"/>
        <w:b w:val="0"/>
        <w:sz w:val="18"/>
        <w:u w:val="single"/>
        <w:lang w:val="en-US"/>
      </w:rPr>
    </w:pPr>
    <w:r>
      <w:rPr>
        <w:szCs w:val="21"/>
        <w:lang w:val="zh-CN"/>
      </w:rPr>
      <w:t>北海市政府采购</w:t>
    </w:r>
    <w:r>
      <w:rPr>
        <w:rFonts w:hint="eastAsia"/>
        <w:szCs w:val="21"/>
        <w:lang w:val="zh-CN"/>
      </w:rPr>
      <w:t>中心</w:t>
    </w:r>
    <w:r>
      <w:rPr>
        <w:szCs w:val="21"/>
        <w:lang w:val="zh-CN"/>
      </w:rPr>
      <w:t>公开招标文件</w:t>
    </w:r>
    <w:r>
      <w:rPr>
        <w:rFonts w:hint="eastAsia"/>
        <w:szCs w:val="21"/>
        <w:lang w:val="zh-CN"/>
      </w:rPr>
      <w:t>（</w:t>
    </w:r>
    <w:r>
      <w:rPr>
        <w:rFonts w:hint="eastAsia"/>
        <w:szCs w:val="21"/>
        <w:lang w:val="zh-CN" w:eastAsia="zh-CN"/>
      </w:rPr>
      <w:t>项目</w:t>
    </w:r>
    <w:r>
      <w:rPr>
        <w:rFonts w:hint="eastAsia"/>
        <w:szCs w:val="21"/>
        <w:lang w:val="zh-CN"/>
      </w:rPr>
      <w:t>编号：BHZC2026-G3-990036-CGZX）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9B376">
    <w:pPr>
      <w:pStyle w:val="40"/>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sz w:val="21"/>
        <w:szCs w:val="21"/>
      </w:rPr>
      <w:t>北海市政府采购公开招标文件</w:t>
    </w:r>
  </w:p>
  <w:p w14:paraId="0D3154E9">
    <w:pPr>
      <w:rPr>
        <w:rFonts w:ascii="仿宋_GB2312" w:eastAsia="仿宋_GB2312"/>
        <w:b/>
        <w:i/>
        <w:sz w:val="18"/>
        <w:u w:val="singl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194F4">
    <w:pPr>
      <w:pStyle w:val="40"/>
      <w:jc w:val="right"/>
      <w:rPr>
        <w:sz w:val="21"/>
        <w:szCs w:val="21"/>
      </w:rPr>
    </w:pPr>
    <w:r>
      <w:rPr>
        <w:rFonts w:hint="eastAsia"/>
      </w:rPr>
      <w:t xml:space="preserve">                                                                                                        </w:t>
    </w:r>
    <w:r>
      <w:rPr>
        <w:sz w:val="21"/>
        <w:szCs w:val="21"/>
      </w:rPr>
      <w:t>北海市政府采购公开招标文件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B040">
    <w:pPr>
      <w:pStyle w:val="40"/>
      <w:jc w:val="right"/>
      <w:rPr>
        <w:rFonts w:ascii="仿宋_GB2312" w:eastAsia="仿宋_GB2312"/>
        <w:b/>
        <w:i/>
        <w:iCs/>
        <w:u w:val="single"/>
      </w:rPr>
    </w:pPr>
    <w:r>
      <w:t></w:t>
    </w:r>
    <w:r>
      <w:rPr>
        <w:sz w:val="21"/>
        <w:szCs w:val="21"/>
      </w:rPr>
      <w:t>北海市政府采购公开招标文件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42B27">
    <w:pPr>
      <w:pStyle w:val="40"/>
    </w:pP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26705">
    <w:pPr>
      <w:snapToGrid w:val="0"/>
      <w:spacing w:line="360" w:lineRule="auto"/>
      <w:jc w:val="center"/>
      <w:rPr>
        <w:szCs w:val="21"/>
        <w:lang w:val="zh-CN"/>
      </w:rPr>
    </w:pPr>
    <w:r>
      <w:rPr>
        <w:szCs w:val="21"/>
        <w:lang w:val="zh-CN"/>
      </w:rPr>
      <w:t>北海市政府采购公开招标文件</w:t>
    </w:r>
    <w:r>
      <w:rPr>
        <w:rFonts w:hint="eastAsia"/>
        <w:szCs w:val="21"/>
        <w:lang w:val="zh-CN"/>
      </w:rPr>
      <w:t>(编号BHZC2026-G3-990036-CGZX</w:t>
    </w:r>
    <w:r>
      <w:rPr>
        <w:szCs w:val="21"/>
        <w:lang w:val="zh-CN"/>
      </w:rPr>
      <w:t>)</w:t>
    </w:r>
  </w:p>
  <w:p w14:paraId="204D986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7E676">
    <w:pPr>
      <w:pStyle w:val="40"/>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54674">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7840F">
    <w:pPr>
      <w:pStyle w:val="40"/>
    </w:pPr>
    <w:r>
      <w:t></w:t>
    </w:r>
    <w:r>
      <w:rPr>
        <w:rFonts w:hint="eastAsia"/>
      </w:rPr>
      <w:t xml:space="preserve">         </w:t>
    </w:r>
  </w:p>
  <w:p w14:paraId="0A4DDCB9">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D61E4">
    <w:pPr>
      <w:pStyle w:val="40"/>
      <w:rPr>
        <w:rFonts w:ascii="仿宋_GB2312" w:eastAsia="仿宋_GB2312"/>
        <w:b/>
        <w:i/>
        <w:sz w:val="21"/>
        <w:szCs w:val="21"/>
        <w:u w:val="single"/>
      </w:rPr>
    </w:pPr>
    <w:r>
      <w:t></w:t>
    </w:r>
    <w:r>
      <w:rPr>
        <w:rFonts w:hint="eastAsia"/>
      </w:rPr>
      <w:t xml:space="preserve">                                                  </w:t>
    </w:r>
    <w:r>
      <w:t xml:space="preserve">           </w:t>
    </w:r>
    <w:r>
      <w:rPr>
        <w:sz w:val="21"/>
        <w:szCs w:val="21"/>
      </w:rPr>
      <w:t xml:space="preserve">  北海市政府采购公开招标文件</w:t>
    </w:r>
  </w:p>
  <w:p w14:paraId="6475AED5">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C7A74">
    <w:pPr>
      <w:pStyle w:val="40"/>
    </w:pPr>
    <w:r>
      <w:t></w:t>
    </w:r>
    <w:r>
      <w:rPr>
        <w:rFonts w:hint="eastAsia"/>
      </w:rPr>
      <w:t xml:space="preserve">         </w:t>
    </w:r>
  </w:p>
  <w:p w14:paraId="711CD27C">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9A3B3">
    <w:pPr>
      <w:pStyle w:val="40"/>
      <w:rPr>
        <w:rFonts w:ascii="仿宋_GB2312" w:eastAsia="仿宋_GB2312"/>
        <w:b/>
        <w:i/>
        <w:u w:val="single"/>
      </w:rPr>
    </w:pPr>
    <w:r>
      <w:t></w:t>
    </w:r>
    <w:r>
      <w:rPr>
        <w:rFonts w:hint="eastAsia"/>
      </w:rPr>
      <w:t xml:space="preserve">                                                </w:t>
    </w:r>
    <w:r>
      <w:rPr>
        <w:rFonts w:hint="eastAsia"/>
        <w:sz w:val="21"/>
        <w:szCs w:val="21"/>
      </w:rPr>
      <w:t xml:space="preserve">  </w:t>
    </w:r>
    <w:r>
      <w:rPr>
        <w:sz w:val="21"/>
        <w:szCs w:val="21"/>
      </w:rPr>
      <w:t>北海市政府采购公开招标文件</w:t>
    </w:r>
  </w:p>
  <w:p w14:paraId="0E506AF1">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9C67C">
    <w:pPr>
      <w:pStyle w:val="40"/>
      <w:jc w:val="right"/>
    </w:pPr>
    <w:r>
      <w:t></w:t>
    </w:r>
    <w:r>
      <w:rPr>
        <w:rFonts w:hint="eastAsia"/>
      </w:rPr>
      <w:t xml:space="preserve">                 </w:t>
    </w:r>
    <w:r>
      <w:t xml:space="preserve">                                </w:t>
    </w:r>
    <w:r>
      <w:rPr>
        <w:rFonts w:hint="eastAsia"/>
      </w:rPr>
      <w:t xml:space="preserve">         </w:t>
    </w:r>
    <w:r>
      <w:rPr>
        <w:sz w:val="21"/>
        <w:szCs w:val="21"/>
      </w:rPr>
      <w:t>北海市政府采购公开招标文件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0A7EAD"/>
    <w:multiLevelType w:val="singleLevel"/>
    <w:tmpl w:val="FA0A7EAD"/>
    <w:lvl w:ilvl="0" w:tentative="0">
      <w:start w:val="1"/>
      <w:numFmt w:val="chineseCounting"/>
      <w:suff w:val="nothing"/>
      <w:lvlText w:val="%1、"/>
      <w:lvlJc w:val="left"/>
      <w:rPr>
        <w:rFonts w:hint="eastAsia"/>
      </w:rPr>
    </w:lvl>
  </w:abstractNum>
  <w:abstractNum w:abstractNumId="1">
    <w:nsid w:val="0000000D"/>
    <w:multiLevelType w:val="multilevel"/>
    <w:tmpl w:val="0000000D"/>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0D60762"/>
    <w:multiLevelType w:val="multilevel"/>
    <w:tmpl w:val="40D60762"/>
    <w:lvl w:ilvl="0" w:tentative="0">
      <w:start w:val="2"/>
      <w:numFmt w:val="decimalEnclosedCircle"/>
      <w:lvlText w:val="%1"/>
      <w:lvlJc w:val="left"/>
      <w:pPr>
        <w:ind w:left="1200" w:hanging="360"/>
      </w:pPr>
      <w:rPr>
        <w:rFonts w:hint="default"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537CC51A"/>
    <w:multiLevelType w:val="singleLevel"/>
    <w:tmpl w:val="537CC51A"/>
    <w:lvl w:ilvl="0" w:tentative="0">
      <w:start w:val="27"/>
      <w:numFmt w:val="decimal"/>
      <w:lvlText w:val="%1."/>
      <w:lvlJc w:val="left"/>
      <w:pPr>
        <w:tabs>
          <w:tab w:val="left" w:pos="312"/>
        </w:tabs>
      </w:pPr>
    </w:lvl>
  </w:abstractNum>
  <w:abstractNum w:abstractNumId="4">
    <w:nsid w:val="62C17AF3"/>
    <w:multiLevelType w:val="singleLevel"/>
    <w:tmpl w:val="62C17AF3"/>
    <w:lvl w:ilvl="0" w:tentative="0">
      <w:start w:val="1"/>
      <w:numFmt w:val="chineseCounting"/>
      <w:suff w:val="space"/>
      <w:lvlText w:val="第%1部分"/>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B53"/>
    <w:rsid w:val="00001E3F"/>
    <w:rsid w:val="000032B2"/>
    <w:rsid w:val="0000363B"/>
    <w:rsid w:val="000058BD"/>
    <w:rsid w:val="00006109"/>
    <w:rsid w:val="00006150"/>
    <w:rsid w:val="000063E8"/>
    <w:rsid w:val="00006725"/>
    <w:rsid w:val="0000675E"/>
    <w:rsid w:val="000071E3"/>
    <w:rsid w:val="00007676"/>
    <w:rsid w:val="00007CAA"/>
    <w:rsid w:val="000103F4"/>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63FB"/>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27A"/>
    <w:rsid w:val="000665C4"/>
    <w:rsid w:val="00066965"/>
    <w:rsid w:val="00067821"/>
    <w:rsid w:val="0006785E"/>
    <w:rsid w:val="00067AFB"/>
    <w:rsid w:val="00067C39"/>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D16"/>
    <w:rsid w:val="000A1F98"/>
    <w:rsid w:val="000A3C99"/>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091"/>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AF5"/>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493"/>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109"/>
    <w:rsid w:val="0013773D"/>
    <w:rsid w:val="0014042F"/>
    <w:rsid w:val="00140693"/>
    <w:rsid w:val="00140D7A"/>
    <w:rsid w:val="00141D28"/>
    <w:rsid w:val="00141DFE"/>
    <w:rsid w:val="00142185"/>
    <w:rsid w:val="001422E2"/>
    <w:rsid w:val="0014233D"/>
    <w:rsid w:val="001433BC"/>
    <w:rsid w:val="00143872"/>
    <w:rsid w:val="00143A85"/>
    <w:rsid w:val="00144649"/>
    <w:rsid w:val="00145022"/>
    <w:rsid w:val="00145662"/>
    <w:rsid w:val="00145C6D"/>
    <w:rsid w:val="001460FC"/>
    <w:rsid w:val="00146151"/>
    <w:rsid w:val="001462D6"/>
    <w:rsid w:val="00146326"/>
    <w:rsid w:val="0014648C"/>
    <w:rsid w:val="00146EA3"/>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2F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370"/>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693F"/>
    <w:rsid w:val="001E7F81"/>
    <w:rsid w:val="001F0FD1"/>
    <w:rsid w:val="001F125D"/>
    <w:rsid w:val="001F1526"/>
    <w:rsid w:val="001F19D1"/>
    <w:rsid w:val="001F1CB9"/>
    <w:rsid w:val="001F1F18"/>
    <w:rsid w:val="001F2E65"/>
    <w:rsid w:val="001F2F92"/>
    <w:rsid w:val="001F456F"/>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315"/>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C3A"/>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2CA"/>
    <w:rsid w:val="0025631F"/>
    <w:rsid w:val="00256986"/>
    <w:rsid w:val="00256D61"/>
    <w:rsid w:val="00256E23"/>
    <w:rsid w:val="00257246"/>
    <w:rsid w:val="00257438"/>
    <w:rsid w:val="00261025"/>
    <w:rsid w:val="0026119C"/>
    <w:rsid w:val="00261386"/>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B9"/>
    <w:rsid w:val="002866EC"/>
    <w:rsid w:val="0028744E"/>
    <w:rsid w:val="002876D2"/>
    <w:rsid w:val="00287936"/>
    <w:rsid w:val="00287BB7"/>
    <w:rsid w:val="002903C5"/>
    <w:rsid w:val="0029041B"/>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02"/>
    <w:rsid w:val="002A02D6"/>
    <w:rsid w:val="002A07C4"/>
    <w:rsid w:val="002A0921"/>
    <w:rsid w:val="002A0CB3"/>
    <w:rsid w:val="002A1887"/>
    <w:rsid w:val="002A2001"/>
    <w:rsid w:val="002A3F21"/>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2B8"/>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6CD0"/>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6C2"/>
    <w:rsid w:val="00314919"/>
    <w:rsid w:val="00314C5A"/>
    <w:rsid w:val="00315275"/>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6E9"/>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5AE"/>
    <w:rsid w:val="003879CE"/>
    <w:rsid w:val="00387B88"/>
    <w:rsid w:val="00390B8F"/>
    <w:rsid w:val="00390C0D"/>
    <w:rsid w:val="00391447"/>
    <w:rsid w:val="003919D9"/>
    <w:rsid w:val="00391BDD"/>
    <w:rsid w:val="003922DE"/>
    <w:rsid w:val="00392E35"/>
    <w:rsid w:val="00393247"/>
    <w:rsid w:val="00393551"/>
    <w:rsid w:val="0039359E"/>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B16"/>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1CBF"/>
    <w:rsid w:val="003C247B"/>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5C5"/>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CE5"/>
    <w:rsid w:val="003E51FF"/>
    <w:rsid w:val="003E532B"/>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0F6"/>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3452"/>
    <w:rsid w:val="0049418F"/>
    <w:rsid w:val="0049570D"/>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0D7"/>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1B7"/>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530"/>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607C"/>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15"/>
    <w:rsid w:val="00532AA5"/>
    <w:rsid w:val="00532C5F"/>
    <w:rsid w:val="00532C6B"/>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3DD8"/>
    <w:rsid w:val="005846C3"/>
    <w:rsid w:val="00584F04"/>
    <w:rsid w:val="0058544C"/>
    <w:rsid w:val="00585623"/>
    <w:rsid w:val="005857F7"/>
    <w:rsid w:val="00585CB4"/>
    <w:rsid w:val="005865E9"/>
    <w:rsid w:val="005868FD"/>
    <w:rsid w:val="00587D7B"/>
    <w:rsid w:val="005904DB"/>
    <w:rsid w:val="005905ED"/>
    <w:rsid w:val="00590D11"/>
    <w:rsid w:val="00591539"/>
    <w:rsid w:val="00591BA6"/>
    <w:rsid w:val="00592825"/>
    <w:rsid w:val="00594437"/>
    <w:rsid w:val="00594B70"/>
    <w:rsid w:val="005968EB"/>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E21"/>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31E"/>
    <w:rsid w:val="005D05FF"/>
    <w:rsid w:val="005D0FB4"/>
    <w:rsid w:val="005D1176"/>
    <w:rsid w:val="005D1747"/>
    <w:rsid w:val="005D1937"/>
    <w:rsid w:val="005D266D"/>
    <w:rsid w:val="005D306D"/>
    <w:rsid w:val="005D3327"/>
    <w:rsid w:val="005D4854"/>
    <w:rsid w:val="005D51D8"/>
    <w:rsid w:val="005D5417"/>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96"/>
    <w:rsid w:val="005F6ED2"/>
    <w:rsid w:val="005F745B"/>
    <w:rsid w:val="005F77F8"/>
    <w:rsid w:val="005F7CA8"/>
    <w:rsid w:val="0060091E"/>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78A"/>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CAF"/>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ECE"/>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2F61"/>
    <w:rsid w:val="006F311E"/>
    <w:rsid w:val="006F3442"/>
    <w:rsid w:val="006F36A5"/>
    <w:rsid w:val="006F41F4"/>
    <w:rsid w:val="006F4576"/>
    <w:rsid w:val="006F49D2"/>
    <w:rsid w:val="006F5813"/>
    <w:rsid w:val="006F59A8"/>
    <w:rsid w:val="006F5A1D"/>
    <w:rsid w:val="006F71A6"/>
    <w:rsid w:val="006F788D"/>
    <w:rsid w:val="006F7974"/>
    <w:rsid w:val="006F7C2C"/>
    <w:rsid w:val="006F7FD5"/>
    <w:rsid w:val="00700405"/>
    <w:rsid w:val="00700D18"/>
    <w:rsid w:val="0070168D"/>
    <w:rsid w:val="00701C36"/>
    <w:rsid w:val="0070207E"/>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647"/>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7B5"/>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4FBE"/>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BA5"/>
    <w:rsid w:val="007C3590"/>
    <w:rsid w:val="007C387A"/>
    <w:rsid w:val="007C3A0D"/>
    <w:rsid w:val="007C3EB0"/>
    <w:rsid w:val="007C43D6"/>
    <w:rsid w:val="007C47FF"/>
    <w:rsid w:val="007C60A8"/>
    <w:rsid w:val="007C660F"/>
    <w:rsid w:val="007C6664"/>
    <w:rsid w:val="007C66FF"/>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B37"/>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258C"/>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4AFF"/>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B90"/>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749"/>
    <w:rsid w:val="008A3C76"/>
    <w:rsid w:val="008A3D54"/>
    <w:rsid w:val="008A3E10"/>
    <w:rsid w:val="008A411C"/>
    <w:rsid w:val="008A45AC"/>
    <w:rsid w:val="008A4630"/>
    <w:rsid w:val="008A47CE"/>
    <w:rsid w:val="008A4808"/>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6D67"/>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27C"/>
    <w:rsid w:val="008E6A39"/>
    <w:rsid w:val="008E76BB"/>
    <w:rsid w:val="008F1764"/>
    <w:rsid w:val="008F1E3D"/>
    <w:rsid w:val="008F235C"/>
    <w:rsid w:val="008F290B"/>
    <w:rsid w:val="008F2F11"/>
    <w:rsid w:val="008F3369"/>
    <w:rsid w:val="008F33A6"/>
    <w:rsid w:val="008F35EC"/>
    <w:rsid w:val="008F4FE8"/>
    <w:rsid w:val="008F4FED"/>
    <w:rsid w:val="008F5279"/>
    <w:rsid w:val="008F5D5A"/>
    <w:rsid w:val="008F60F3"/>
    <w:rsid w:val="008F6200"/>
    <w:rsid w:val="008F62F8"/>
    <w:rsid w:val="008F6893"/>
    <w:rsid w:val="008F7292"/>
    <w:rsid w:val="008F76C0"/>
    <w:rsid w:val="008F7E3D"/>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3630"/>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5942"/>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7"/>
    <w:rsid w:val="00962FB8"/>
    <w:rsid w:val="00963183"/>
    <w:rsid w:val="0096373F"/>
    <w:rsid w:val="00963E18"/>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3560"/>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1DE1"/>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13"/>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0D0"/>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6DC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9F7B8B"/>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CD3"/>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136"/>
    <w:rsid w:val="00A2334E"/>
    <w:rsid w:val="00A23442"/>
    <w:rsid w:val="00A23F39"/>
    <w:rsid w:val="00A249D2"/>
    <w:rsid w:val="00A254AB"/>
    <w:rsid w:val="00A259F2"/>
    <w:rsid w:val="00A266CC"/>
    <w:rsid w:val="00A26DB4"/>
    <w:rsid w:val="00A26E49"/>
    <w:rsid w:val="00A27425"/>
    <w:rsid w:val="00A27CB4"/>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575EF"/>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C6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D24"/>
    <w:rsid w:val="00AC6E18"/>
    <w:rsid w:val="00AC7F64"/>
    <w:rsid w:val="00AD0DD3"/>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0CEA"/>
    <w:rsid w:val="00AF0F6F"/>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4D1"/>
    <w:rsid w:val="00B42743"/>
    <w:rsid w:val="00B430E9"/>
    <w:rsid w:val="00B4311F"/>
    <w:rsid w:val="00B431AE"/>
    <w:rsid w:val="00B431C3"/>
    <w:rsid w:val="00B44288"/>
    <w:rsid w:val="00B448BF"/>
    <w:rsid w:val="00B45A59"/>
    <w:rsid w:val="00B45F9F"/>
    <w:rsid w:val="00B4627C"/>
    <w:rsid w:val="00B4641F"/>
    <w:rsid w:val="00B46793"/>
    <w:rsid w:val="00B46953"/>
    <w:rsid w:val="00B47455"/>
    <w:rsid w:val="00B47979"/>
    <w:rsid w:val="00B47A59"/>
    <w:rsid w:val="00B47ECD"/>
    <w:rsid w:val="00B47FF3"/>
    <w:rsid w:val="00B500A5"/>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4F7"/>
    <w:rsid w:val="00B718FA"/>
    <w:rsid w:val="00B72A0B"/>
    <w:rsid w:val="00B72CF0"/>
    <w:rsid w:val="00B7380E"/>
    <w:rsid w:val="00B740F6"/>
    <w:rsid w:val="00B74615"/>
    <w:rsid w:val="00B74789"/>
    <w:rsid w:val="00B753B6"/>
    <w:rsid w:val="00B755B6"/>
    <w:rsid w:val="00B75977"/>
    <w:rsid w:val="00B75A48"/>
    <w:rsid w:val="00B75CC0"/>
    <w:rsid w:val="00B76021"/>
    <w:rsid w:val="00B76FCD"/>
    <w:rsid w:val="00B7764D"/>
    <w:rsid w:val="00B80350"/>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1CD5"/>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51B"/>
    <w:rsid w:val="00BC089F"/>
    <w:rsid w:val="00BC0A0C"/>
    <w:rsid w:val="00BC0A5A"/>
    <w:rsid w:val="00BC0E64"/>
    <w:rsid w:val="00BC25D1"/>
    <w:rsid w:val="00BC2DBD"/>
    <w:rsid w:val="00BC3BCB"/>
    <w:rsid w:val="00BC3CF1"/>
    <w:rsid w:val="00BC4202"/>
    <w:rsid w:val="00BC428A"/>
    <w:rsid w:val="00BC4BAE"/>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5CC9"/>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7CD"/>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1FA5"/>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AD1"/>
    <w:rsid w:val="00C304E9"/>
    <w:rsid w:val="00C30B0B"/>
    <w:rsid w:val="00C31320"/>
    <w:rsid w:val="00C316B4"/>
    <w:rsid w:val="00C332D4"/>
    <w:rsid w:val="00C33A66"/>
    <w:rsid w:val="00C33E51"/>
    <w:rsid w:val="00C34659"/>
    <w:rsid w:val="00C34C45"/>
    <w:rsid w:val="00C34C47"/>
    <w:rsid w:val="00C34FCE"/>
    <w:rsid w:val="00C35411"/>
    <w:rsid w:val="00C35EED"/>
    <w:rsid w:val="00C36B2C"/>
    <w:rsid w:val="00C3701A"/>
    <w:rsid w:val="00C37799"/>
    <w:rsid w:val="00C379EF"/>
    <w:rsid w:val="00C405C8"/>
    <w:rsid w:val="00C40C2F"/>
    <w:rsid w:val="00C415AC"/>
    <w:rsid w:val="00C41D31"/>
    <w:rsid w:val="00C4297A"/>
    <w:rsid w:val="00C42C50"/>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6BD"/>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5F9"/>
    <w:rsid w:val="00C618A8"/>
    <w:rsid w:val="00C61A78"/>
    <w:rsid w:val="00C629F3"/>
    <w:rsid w:val="00C62B88"/>
    <w:rsid w:val="00C62CD3"/>
    <w:rsid w:val="00C634F9"/>
    <w:rsid w:val="00C63CDE"/>
    <w:rsid w:val="00C643ED"/>
    <w:rsid w:val="00C64534"/>
    <w:rsid w:val="00C64953"/>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2B"/>
    <w:rsid w:val="00C727B9"/>
    <w:rsid w:val="00C72F44"/>
    <w:rsid w:val="00C73670"/>
    <w:rsid w:val="00C737D1"/>
    <w:rsid w:val="00C738A0"/>
    <w:rsid w:val="00C73DE0"/>
    <w:rsid w:val="00C74609"/>
    <w:rsid w:val="00C749AB"/>
    <w:rsid w:val="00C74C1D"/>
    <w:rsid w:val="00C75A8F"/>
    <w:rsid w:val="00C76129"/>
    <w:rsid w:val="00C76C0C"/>
    <w:rsid w:val="00C76FFC"/>
    <w:rsid w:val="00C774E0"/>
    <w:rsid w:val="00C776BA"/>
    <w:rsid w:val="00C7791E"/>
    <w:rsid w:val="00C809F2"/>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96A"/>
    <w:rsid w:val="00C95C2F"/>
    <w:rsid w:val="00C95F87"/>
    <w:rsid w:val="00C96035"/>
    <w:rsid w:val="00C968EF"/>
    <w:rsid w:val="00C972CE"/>
    <w:rsid w:val="00CA0492"/>
    <w:rsid w:val="00CA05B0"/>
    <w:rsid w:val="00CA0632"/>
    <w:rsid w:val="00CA0A04"/>
    <w:rsid w:val="00CA17F5"/>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5DAE"/>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BEC"/>
    <w:rsid w:val="00D774F4"/>
    <w:rsid w:val="00D77687"/>
    <w:rsid w:val="00D77AF6"/>
    <w:rsid w:val="00D804C5"/>
    <w:rsid w:val="00D815E6"/>
    <w:rsid w:val="00D81A28"/>
    <w:rsid w:val="00D81BDE"/>
    <w:rsid w:val="00D8201D"/>
    <w:rsid w:val="00D82B00"/>
    <w:rsid w:val="00D82B04"/>
    <w:rsid w:val="00D82BE4"/>
    <w:rsid w:val="00D82E05"/>
    <w:rsid w:val="00D83673"/>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A7F81"/>
    <w:rsid w:val="00DB052F"/>
    <w:rsid w:val="00DB14D3"/>
    <w:rsid w:val="00DB154B"/>
    <w:rsid w:val="00DB1BDC"/>
    <w:rsid w:val="00DB3490"/>
    <w:rsid w:val="00DB3593"/>
    <w:rsid w:val="00DB3B4F"/>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3C3"/>
    <w:rsid w:val="00DD6CE2"/>
    <w:rsid w:val="00DD720D"/>
    <w:rsid w:val="00DE0229"/>
    <w:rsid w:val="00DE04E0"/>
    <w:rsid w:val="00DE0AC5"/>
    <w:rsid w:val="00DE12F1"/>
    <w:rsid w:val="00DE1A9D"/>
    <w:rsid w:val="00DE1CB1"/>
    <w:rsid w:val="00DE2073"/>
    <w:rsid w:val="00DE30AC"/>
    <w:rsid w:val="00DE38D1"/>
    <w:rsid w:val="00DE4106"/>
    <w:rsid w:val="00DE466B"/>
    <w:rsid w:val="00DE48F4"/>
    <w:rsid w:val="00DE4F6B"/>
    <w:rsid w:val="00DE5563"/>
    <w:rsid w:val="00DE5C19"/>
    <w:rsid w:val="00DE5D48"/>
    <w:rsid w:val="00DE5FF2"/>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2BA"/>
    <w:rsid w:val="00DF6FD2"/>
    <w:rsid w:val="00DF72EF"/>
    <w:rsid w:val="00DF743D"/>
    <w:rsid w:val="00DF7724"/>
    <w:rsid w:val="00E000D8"/>
    <w:rsid w:val="00E00C1E"/>
    <w:rsid w:val="00E00F5F"/>
    <w:rsid w:val="00E010E6"/>
    <w:rsid w:val="00E01377"/>
    <w:rsid w:val="00E014E7"/>
    <w:rsid w:val="00E0232F"/>
    <w:rsid w:val="00E026A9"/>
    <w:rsid w:val="00E03063"/>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149"/>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496D"/>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59BC"/>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1A4"/>
    <w:rsid w:val="00EC7371"/>
    <w:rsid w:val="00EC73F5"/>
    <w:rsid w:val="00EC7894"/>
    <w:rsid w:val="00EC7A28"/>
    <w:rsid w:val="00EC7B48"/>
    <w:rsid w:val="00ED0151"/>
    <w:rsid w:val="00ED0257"/>
    <w:rsid w:val="00ED071B"/>
    <w:rsid w:val="00ED0B8F"/>
    <w:rsid w:val="00ED18B1"/>
    <w:rsid w:val="00ED1ADE"/>
    <w:rsid w:val="00ED3692"/>
    <w:rsid w:val="00ED4A77"/>
    <w:rsid w:val="00ED4B6E"/>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654"/>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85B"/>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4B"/>
    <w:rsid w:val="00F26265"/>
    <w:rsid w:val="00F266E3"/>
    <w:rsid w:val="00F2689C"/>
    <w:rsid w:val="00F26BE3"/>
    <w:rsid w:val="00F26E76"/>
    <w:rsid w:val="00F27E44"/>
    <w:rsid w:val="00F30313"/>
    <w:rsid w:val="00F303BC"/>
    <w:rsid w:val="00F30472"/>
    <w:rsid w:val="00F30961"/>
    <w:rsid w:val="00F31052"/>
    <w:rsid w:val="00F31068"/>
    <w:rsid w:val="00F31369"/>
    <w:rsid w:val="00F318A1"/>
    <w:rsid w:val="00F31CF5"/>
    <w:rsid w:val="00F3265C"/>
    <w:rsid w:val="00F32C4A"/>
    <w:rsid w:val="00F33262"/>
    <w:rsid w:val="00F343EE"/>
    <w:rsid w:val="00F34EC6"/>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42B2"/>
    <w:rsid w:val="00F97A34"/>
    <w:rsid w:val="00F97E4A"/>
    <w:rsid w:val="00F97EA1"/>
    <w:rsid w:val="00FA003A"/>
    <w:rsid w:val="00FA02B8"/>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24D7"/>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6DE8"/>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9F7441"/>
    <w:rsid w:val="01AB3108"/>
    <w:rsid w:val="01B37585"/>
    <w:rsid w:val="01D55165"/>
    <w:rsid w:val="01DF6BF8"/>
    <w:rsid w:val="01EC2C57"/>
    <w:rsid w:val="02094F64"/>
    <w:rsid w:val="025F0711"/>
    <w:rsid w:val="026B2E25"/>
    <w:rsid w:val="02824D4D"/>
    <w:rsid w:val="02B7449E"/>
    <w:rsid w:val="02DC4B10"/>
    <w:rsid w:val="02DD76CE"/>
    <w:rsid w:val="02F36323"/>
    <w:rsid w:val="02F5619C"/>
    <w:rsid w:val="031B45E5"/>
    <w:rsid w:val="0326446A"/>
    <w:rsid w:val="032D5555"/>
    <w:rsid w:val="036634D2"/>
    <w:rsid w:val="038B1487"/>
    <w:rsid w:val="03D96696"/>
    <w:rsid w:val="03DD35E4"/>
    <w:rsid w:val="04076900"/>
    <w:rsid w:val="04133956"/>
    <w:rsid w:val="041A5A3B"/>
    <w:rsid w:val="042311BA"/>
    <w:rsid w:val="042B157A"/>
    <w:rsid w:val="047347B6"/>
    <w:rsid w:val="048F763B"/>
    <w:rsid w:val="049F330E"/>
    <w:rsid w:val="04AA775C"/>
    <w:rsid w:val="04AF1889"/>
    <w:rsid w:val="04F66F48"/>
    <w:rsid w:val="05164FAF"/>
    <w:rsid w:val="05251E14"/>
    <w:rsid w:val="05A16594"/>
    <w:rsid w:val="05A7762D"/>
    <w:rsid w:val="060E5941"/>
    <w:rsid w:val="06110FAF"/>
    <w:rsid w:val="06493CA7"/>
    <w:rsid w:val="065A6178"/>
    <w:rsid w:val="066F1CF3"/>
    <w:rsid w:val="06930BB8"/>
    <w:rsid w:val="07245D42"/>
    <w:rsid w:val="07264C62"/>
    <w:rsid w:val="07724E37"/>
    <w:rsid w:val="07760A6F"/>
    <w:rsid w:val="0779354C"/>
    <w:rsid w:val="08061376"/>
    <w:rsid w:val="08452D77"/>
    <w:rsid w:val="086401F8"/>
    <w:rsid w:val="08751CAA"/>
    <w:rsid w:val="087E4C40"/>
    <w:rsid w:val="08A871D0"/>
    <w:rsid w:val="08AC4379"/>
    <w:rsid w:val="08D66AD6"/>
    <w:rsid w:val="08DA33A3"/>
    <w:rsid w:val="08E80F13"/>
    <w:rsid w:val="09272BCC"/>
    <w:rsid w:val="09335624"/>
    <w:rsid w:val="0944690F"/>
    <w:rsid w:val="09535675"/>
    <w:rsid w:val="095F057D"/>
    <w:rsid w:val="09642282"/>
    <w:rsid w:val="09733572"/>
    <w:rsid w:val="09772C16"/>
    <w:rsid w:val="098353B5"/>
    <w:rsid w:val="09A92330"/>
    <w:rsid w:val="09B06B87"/>
    <w:rsid w:val="09C13146"/>
    <w:rsid w:val="09E04166"/>
    <w:rsid w:val="0A140077"/>
    <w:rsid w:val="0A1C0718"/>
    <w:rsid w:val="0A3E7710"/>
    <w:rsid w:val="0A5B7E63"/>
    <w:rsid w:val="0AA374A5"/>
    <w:rsid w:val="0AAB7649"/>
    <w:rsid w:val="0ABB5096"/>
    <w:rsid w:val="0ABC5606"/>
    <w:rsid w:val="0B30404E"/>
    <w:rsid w:val="0B4C6C14"/>
    <w:rsid w:val="0B547599"/>
    <w:rsid w:val="0B631A88"/>
    <w:rsid w:val="0B683D45"/>
    <w:rsid w:val="0B7F3F11"/>
    <w:rsid w:val="0B884417"/>
    <w:rsid w:val="0BB974D9"/>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4A08BC"/>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57FB7"/>
    <w:rsid w:val="0FBF3FD2"/>
    <w:rsid w:val="0FBF7FF3"/>
    <w:rsid w:val="10646583"/>
    <w:rsid w:val="107D4B15"/>
    <w:rsid w:val="108A3C80"/>
    <w:rsid w:val="10AD6C41"/>
    <w:rsid w:val="10C26171"/>
    <w:rsid w:val="10F33360"/>
    <w:rsid w:val="10FC16EA"/>
    <w:rsid w:val="110F1D40"/>
    <w:rsid w:val="11266F33"/>
    <w:rsid w:val="11627746"/>
    <w:rsid w:val="118963A1"/>
    <w:rsid w:val="11B60016"/>
    <w:rsid w:val="11BF511D"/>
    <w:rsid w:val="11C6522A"/>
    <w:rsid w:val="11E104CC"/>
    <w:rsid w:val="11E20309"/>
    <w:rsid w:val="12255233"/>
    <w:rsid w:val="12530213"/>
    <w:rsid w:val="12631F4C"/>
    <w:rsid w:val="127723A9"/>
    <w:rsid w:val="12862074"/>
    <w:rsid w:val="12883966"/>
    <w:rsid w:val="129E45B4"/>
    <w:rsid w:val="12D81596"/>
    <w:rsid w:val="13072A44"/>
    <w:rsid w:val="135F4BE2"/>
    <w:rsid w:val="139B1A0A"/>
    <w:rsid w:val="139D25C7"/>
    <w:rsid w:val="13BF3CE4"/>
    <w:rsid w:val="141008D8"/>
    <w:rsid w:val="14125FE6"/>
    <w:rsid w:val="146D271E"/>
    <w:rsid w:val="147865F1"/>
    <w:rsid w:val="14982588"/>
    <w:rsid w:val="149A5AD9"/>
    <w:rsid w:val="14A7619D"/>
    <w:rsid w:val="150536C3"/>
    <w:rsid w:val="150C1963"/>
    <w:rsid w:val="151447A0"/>
    <w:rsid w:val="154A6454"/>
    <w:rsid w:val="15762120"/>
    <w:rsid w:val="16517C2C"/>
    <w:rsid w:val="16A8729C"/>
    <w:rsid w:val="16B33777"/>
    <w:rsid w:val="16BC70A7"/>
    <w:rsid w:val="16C6339E"/>
    <w:rsid w:val="172F2D79"/>
    <w:rsid w:val="17557BEF"/>
    <w:rsid w:val="17BD3EAD"/>
    <w:rsid w:val="17CA0DE6"/>
    <w:rsid w:val="17D349C1"/>
    <w:rsid w:val="17F43647"/>
    <w:rsid w:val="1820443C"/>
    <w:rsid w:val="1830729E"/>
    <w:rsid w:val="1870062C"/>
    <w:rsid w:val="18817102"/>
    <w:rsid w:val="18830A15"/>
    <w:rsid w:val="18852B28"/>
    <w:rsid w:val="188B5321"/>
    <w:rsid w:val="18B03A11"/>
    <w:rsid w:val="19932372"/>
    <w:rsid w:val="19A20DD5"/>
    <w:rsid w:val="19AE03F1"/>
    <w:rsid w:val="1A071A03"/>
    <w:rsid w:val="1A1F16AE"/>
    <w:rsid w:val="1A3B5C77"/>
    <w:rsid w:val="1A766595"/>
    <w:rsid w:val="1A984BAD"/>
    <w:rsid w:val="1AB8220E"/>
    <w:rsid w:val="1AE4166C"/>
    <w:rsid w:val="1AF06CFB"/>
    <w:rsid w:val="1AF11B8D"/>
    <w:rsid w:val="1AFA5418"/>
    <w:rsid w:val="1B11359C"/>
    <w:rsid w:val="1B2A271F"/>
    <w:rsid w:val="1B530544"/>
    <w:rsid w:val="1B713184"/>
    <w:rsid w:val="1BA209CF"/>
    <w:rsid w:val="1BB4777D"/>
    <w:rsid w:val="1BCB46BE"/>
    <w:rsid w:val="1BD75AB8"/>
    <w:rsid w:val="1C0459C2"/>
    <w:rsid w:val="1C1B3B4A"/>
    <w:rsid w:val="1C88086E"/>
    <w:rsid w:val="1CE84332"/>
    <w:rsid w:val="1D085BCA"/>
    <w:rsid w:val="1D266CE1"/>
    <w:rsid w:val="1D3963AF"/>
    <w:rsid w:val="1D6A673C"/>
    <w:rsid w:val="1D756FD8"/>
    <w:rsid w:val="1D9247AE"/>
    <w:rsid w:val="1D9B4C90"/>
    <w:rsid w:val="1DB567EC"/>
    <w:rsid w:val="1DF51A98"/>
    <w:rsid w:val="1E3D060F"/>
    <w:rsid w:val="1E3F7D2E"/>
    <w:rsid w:val="1E4134E4"/>
    <w:rsid w:val="1E5062B3"/>
    <w:rsid w:val="1E523514"/>
    <w:rsid w:val="1E714A66"/>
    <w:rsid w:val="1E802593"/>
    <w:rsid w:val="1E803E86"/>
    <w:rsid w:val="1E8B6156"/>
    <w:rsid w:val="1E944556"/>
    <w:rsid w:val="1EA703CC"/>
    <w:rsid w:val="1EB7330C"/>
    <w:rsid w:val="1EDE09F7"/>
    <w:rsid w:val="1F0A0FF3"/>
    <w:rsid w:val="1F5771FF"/>
    <w:rsid w:val="1FD52DD5"/>
    <w:rsid w:val="1FE868A9"/>
    <w:rsid w:val="20034907"/>
    <w:rsid w:val="20173E4B"/>
    <w:rsid w:val="204809D3"/>
    <w:rsid w:val="204E48BC"/>
    <w:rsid w:val="208921B3"/>
    <w:rsid w:val="20973DEB"/>
    <w:rsid w:val="20B26522"/>
    <w:rsid w:val="20B44310"/>
    <w:rsid w:val="20B6691B"/>
    <w:rsid w:val="211116EB"/>
    <w:rsid w:val="216133FC"/>
    <w:rsid w:val="21AA36F4"/>
    <w:rsid w:val="21D56769"/>
    <w:rsid w:val="21D9539E"/>
    <w:rsid w:val="21E52EF3"/>
    <w:rsid w:val="21FB5D7B"/>
    <w:rsid w:val="22015E94"/>
    <w:rsid w:val="220B1C3D"/>
    <w:rsid w:val="22176E67"/>
    <w:rsid w:val="221D1D20"/>
    <w:rsid w:val="222D1C2F"/>
    <w:rsid w:val="22334A87"/>
    <w:rsid w:val="228C455F"/>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9636D"/>
    <w:rsid w:val="24CA7C09"/>
    <w:rsid w:val="24CF5825"/>
    <w:rsid w:val="24D663E6"/>
    <w:rsid w:val="24D77F2B"/>
    <w:rsid w:val="258B00E2"/>
    <w:rsid w:val="25911F50"/>
    <w:rsid w:val="25A917A6"/>
    <w:rsid w:val="25BE27CC"/>
    <w:rsid w:val="25F74A5C"/>
    <w:rsid w:val="2628662C"/>
    <w:rsid w:val="262D45DE"/>
    <w:rsid w:val="26871DC8"/>
    <w:rsid w:val="26A53EF9"/>
    <w:rsid w:val="26A94201"/>
    <w:rsid w:val="26AC274F"/>
    <w:rsid w:val="26FE1DEC"/>
    <w:rsid w:val="27044A29"/>
    <w:rsid w:val="271716A2"/>
    <w:rsid w:val="271D34C8"/>
    <w:rsid w:val="2753038A"/>
    <w:rsid w:val="276142BF"/>
    <w:rsid w:val="27783712"/>
    <w:rsid w:val="27840543"/>
    <w:rsid w:val="27907362"/>
    <w:rsid w:val="27F751B9"/>
    <w:rsid w:val="28333E1D"/>
    <w:rsid w:val="28454BD6"/>
    <w:rsid w:val="28455253"/>
    <w:rsid w:val="28551971"/>
    <w:rsid w:val="285B1C53"/>
    <w:rsid w:val="289F7086"/>
    <w:rsid w:val="28C32028"/>
    <w:rsid w:val="28CC490F"/>
    <w:rsid w:val="28DE40AA"/>
    <w:rsid w:val="28F16AC5"/>
    <w:rsid w:val="29345E77"/>
    <w:rsid w:val="294C65AD"/>
    <w:rsid w:val="295D47A9"/>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8903AA"/>
    <w:rsid w:val="2CE82D6F"/>
    <w:rsid w:val="2D343236"/>
    <w:rsid w:val="2D3447B9"/>
    <w:rsid w:val="2DD15014"/>
    <w:rsid w:val="2DF72DE4"/>
    <w:rsid w:val="2E0220AF"/>
    <w:rsid w:val="2E4B082A"/>
    <w:rsid w:val="2E5D4E86"/>
    <w:rsid w:val="2E5D790B"/>
    <w:rsid w:val="2E7A26A0"/>
    <w:rsid w:val="2E9A3C18"/>
    <w:rsid w:val="2EBB0FEE"/>
    <w:rsid w:val="2EC63002"/>
    <w:rsid w:val="2F0A6B38"/>
    <w:rsid w:val="2F946CCB"/>
    <w:rsid w:val="2FD25781"/>
    <w:rsid w:val="2FDC745C"/>
    <w:rsid w:val="2FFD7934"/>
    <w:rsid w:val="30564A47"/>
    <w:rsid w:val="30733ACD"/>
    <w:rsid w:val="308C3862"/>
    <w:rsid w:val="309379D8"/>
    <w:rsid w:val="309713F2"/>
    <w:rsid w:val="30A270F7"/>
    <w:rsid w:val="30DF1478"/>
    <w:rsid w:val="30EC586F"/>
    <w:rsid w:val="314550B7"/>
    <w:rsid w:val="3173175F"/>
    <w:rsid w:val="319C6071"/>
    <w:rsid w:val="31AC537E"/>
    <w:rsid w:val="31E3679B"/>
    <w:rsid w:val="31E732FD"/>
    <w:rsid w:val="3212499D"/>
    <w:rsid w:val="32335040"/>
    <w:rsid w:val="32517576"/>
    <w:rsid w:val="326C1A8B"/>
    <w:rsid w:val="32BE5C2C"/>
    <w:rsid w:val="32FB6478"/>
    <w:rsid w:val="33263B3F"/>
    <w:rsid w:val="336963EB"/>
    <w:rsid w:val="33816EEB"/>
    <w:rsid w:val="338418CB"/>
    <w:rsid w:val="339C6C14"/>
    <w:rsid w:val="33EB55CD"/>
    <w:rsid w:val="33EC4C02"/>
    <w:rsid w:val="340D2360"/>
    <w:rsid w:val="3410665D"/>
    <w:rsid w:val="34211214"/>
    <w:rsid w:val="342E63AB"/>
    <w:rsid w:val="34433534"/>
    <w:rsid w:val="34950E68"/>
    <w:rsid w:val="34986E94"/>
    <w:rsid w:val="34AF62C9"/>
    <w:rsid w:val="34CB4388"/>
    <w:rsid w:val="34FA6E12"/>
    <w:rsid w:val="352B46F4"/>
    <w:rsid w:val="354D7158"/>
    <w:rsid w:val="358D5588"/>
    <w:rsid w:val="36151B19"/>
    <w:rsid w:val="36174C78"/>
    <w:rsid w:val="36321A36"/>
    <w:rsid w:val="363A3B40"/>
    <w:rsid w:val="365302AE"/>
    <w:rsid w:val="36607A0A"/>
    <w:rsid w:val="366E227C"/>
    <w:rsid w:val="366F2E0D"/>
    <w:rsid w:val="367B6A5C"/>
    <w:rsid w:val="36A74ADA"/>
    <w:rsid w:val="36AD60D5"/>
    <w:rsid w:val="36B224F9"/>
    <w:rsid w:val="36EC0CC9"/>
    <w:rsid w:val="373F410B"/>
    <w:rsid w:val="374D6BA3"/>
    <w:rsid w:val="37C56499"/>
    <w:rsid w:val="37EE7094"/>
    <w:rsid w:val="37FF425B"/>
    <w:rsid w:val="380D00E1"/>
    <w:rsid w:val="38296C89"/>
    <w:rsid w:val="383002EB"/>
    <w:rsid w:val="38586797"/>
    <w:rsid w:val="38BC0149"/>
    <w:rsid w:val="38D87D1C"/>
    <w:rsid w:val="39636459"/>
    <w:rsid w:val="396436F7"/>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C550F5"/>
    <w:rsid w:val="3DE041CB"/>
    <w:rsid w:val="3E0D48F6"/>
    <w:rsid w:val="3E1868B4"/>
    <w:rsid w:val="3E377251"/>
    <w:rsid w:val="3E42664B"/>
    <w:rsid w:val="3E5A7334"/>
    <w:rsid w:val="3E7B5D6B"/>
    <w:rsid w:val="3E843E66"/>
    <w:rsid w:val="3E8F51FE"/>
    <w:rsid w:val="3E926F87"/>
    <w:rsid w:val="3E9A59DE"/>
    <w:rsid w:val="3E9E3E95"/>
    <w:rsid w:val="3EAF4836"/>
    <w:rsid w:val="3EC33DFA"/>
    <w:rsid w:val="3F060E16"/>
    <w:rsid w:val="3F1D1096"/>
    <w:rsid w:val="3F243D3C"/>
    <w:rsid w:val="3F2F0234"/>
    <w:rsid w:val="3F6363FE"/>
    <w:rsid w:val="3F756B8F"/>
    <w:rsid w:val="3F95482B"/>
    <w:rsid w:val="4019356B"/>
    <w:rsid w:val="40592157"/>
    <w:rsid w:val="406E1CAE"/>
    <w:rsid w:val="40A0133A"/>
    <w:rsid w:val="40A63FCE"/>
    <w:rsid w:val="40B43A0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1B0A9A"/>
    <w:rsid w:val="434B790E"/>
    <w:rsid w:val="4360274F"/>
    <w:rsid w:val="43977AB6"/>
    <w:rsid w:val="43A3342B"/>
    <w:rsid w:val="43A51B15"/>
    <w:rsid w:val="43C77C27"/>
    <w:rsid w:val="43DE09EE"/>
    <w:rsid w:val="44002FAD"/>
    <w:rsid w:val="440E1469"/>
    <w:rsid w:val="44150C13"/>
    <w:rsid w:val="449101DD"/>
    <w:rsid w:val="44B02520"/>
    <w:rsid w:val="44DE1391"/>
    <w:rsid w:val="451B225C"/>
    <w:rsid w:val="452410C9"/>
    <w:rsid w:val="45317DFB"/>
    <w:rsid w:val="456D3CE4"/>
    <w:rsid w:val="457052B2"/>
    <w:rsid w:val="4579042C"/>
    <w:rsid w:val="457F0571"/>
    <w:rsid w:val="45851176"/>
    <w:rsid w:val="45A04342"/>
    <w:rsid w:val="45C63B94"/>
    <w:rsid w:val="460E7DA5"/>
    <w:rsid w:val="46422483"/>
    <w:rsid w:val="4659254A"/>
    <w:rsid w:val="465B0637"/>
    <w:rsid w:val="465E3F0D"/>
    <w:rsid w:val="466A16E6"/>
    <w:rsid w:val="46893F2B"/>
    <w:rsid w:val="46C4686E"/>
    <w:rsid w:val="471C5BC5"/>
    <w:rsid w:val="477B778F"/>
    <w:rsid w:val="478203EC"/>
    <w:rsid w:val="47B025FA"/>
    <w:rsid w:val="4809698F"/>
    <w:rsid w:val="48110588"/>
    <w:rsid w:val="4811697D"/>
    <w:rsid w:val="487A3E25"/>
    <w:rsid w:val="488B5503"/>
    <w:rsid w:val="48937E21"/>
    <w:rsid w:val="489A0361"/>
    <w:rsid w:val="48A07715"/>
    <w:rsid w:val="48B94FF3"/>
    <w:rsid w:val="48E37AAB"/>
    <w:rsid w:val="48FD4B4C"/>
    <w:rsid w:val="49080B7C"/>
    <w:rsid w:val="490A68E0"/>
    <w:rsid w:val="491055FE"/>
    <w:rsid w:val="495F5B3E"/>
    <w:rsid w:val="496F77D7"/>
    <w:rsid w:val="497654FD"/>
    <w:rsid w:val="49B64211"/>
    <w:rsid w:val="49E56AF9"/>
    <w:rsid w:val="49EF7324"/>
    <w:rsid w:val="49F6167F"/>
    <w:rsid w:val="4A064FA0"/>
    <w:rsid w:val="4A16615C"/>
    <w:rsid w:val="4A4424D7"/>
    <w:rsid w:val="4AB82D0F"/>
    <w:rsid w:val="4AEB7664"/>
    <w:rsid w:val="4AFD7C19"/>
    <w:rsid w:val="4B0567D1"/>
    <w:rsid w:val="4B236AAE"/>
    <w:rsid w:val="4B707271"/>
    <w:rsid w:val="4B9739F7"/>
    <w:rsid w:val="4BEE2503"/>
    <w:rsid w:val="4C245A30"/>
    <w:rsid w:val="4CA010CC"/>
    <w:rsid w:val="4CB6685F"/>
    <w:rsid w:val="4CC367FE"/>
    <w:rsid w:val="4CFB27A6"/>
    <w:rsid w:val="4CFE5DF2"/>
    <w:rsid w:val="4D077F3C"/>
    <w:rsid w:val="4D123355"/>
    <w:rsid w:val="4D2A3B31"/>
    <w:rsid w:val="4D312C52"/>
    <w:rsid w:val="4D461C73"/>
    <w:rsid w:val="4D905305"/>
    <w:rsid w:val="4D964A72"/>
    <w:rsid w:val="4D986247"/>
    <w:rsid w:val="4D9C1254"/>
    <w:rsid w:val="4E793892"/>
    <w:rsid w:val="4E800872"/>
    <w:rsid w:val="4EC569ED"/>
    <w:rsid w:val="4ED50EA1"/>
    <w:rsid w:val="4EEC050C"/>
    <w:rsid w:val="4F104EC3"/>
    <w:rsid w:val="4F47354A"/>
    <w:rsid w:val="4F7345B4"/>
    <w:rsid w:val="4F911C54"/>
    <w:rsid w:val="4F980780"/>
    <w:rsid w:val="4FE625E0"/>
    <w:rsid w:val="5021480F"/>
    <w:rsid w:val="50424033"/>
    <w:rsid w:val="50553766"/>
    <w:rsid w:val="50962ECB"/>
    <w:rsid w:val="50A42E38"/>
    <w:rsid w:val="50A4577F"/>
    <w:rsid w:val="50B73D1F"/>
    <w:rsid w:val="50BD5BC9"/>
    <w:rsid w:val="50C11EEE"/>
    <w:rsid w:val="50E97CFC"/>
    <w:rsid w:val="50FA4028"/>
    <w:rsid w:val="510D65B7"/>
    <w:rsid w:val="511157AB"/>
    <w:rsid w:val="5142540C"/>
    <w:rsid w:val="515B1A65"/>
    <w:rsid w:val="518832C8"/>
    <w:rsid w:val="518B395F"/>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332C9A"/>
    <w:rsid w:val="53544462"/>
    <w:rsid w:val="5397158E"/>
    <w:rsid w:val="54013861"/>
    <w:rsid w:val="54487265"/>
    <w:rsid w:val="544D6070"/>
    <w:rsid w:val="54605E1E"/>
    <w:rsid w:val="546E7D01"/>
    <w:rsid w:val="547F1F0F"/>
    <w:rsid w:val="54B3506A"/>
    <w:rsid w:val="54CA0D16"/>
    <w:rsid w:val="54DD4057"/>
    <w:rsid w:val="54E7490F"/>
    <w:rsid w:val="550764A4"/>
    <w:rsid w:val="550B2BF6"/>
    <w:rsid w:val="55214EB5"/>
    <w:rsid w:val="55364EFD"/>
    <w:rsid w:val="555775BD"/>
    <w:rsid w:val="555D4828"/>
    <w:rsid w:val="557A4C8B"/>
    <w:rsid w:val="558931E1"/>
    <w:rsid w:val="55923347"/>
    <w:rsid w:val="55925180"/>
    <w:rsid w:val="55983B1B"/>
    <w:rsid w:val="55A8376B"/>
    <w:rsid w:val="55DC29B6"/>
    <w:rsid w:val="55DD4241"/>
    <w:rsid w:val="566B6D1E"/>
    <w:rsid w:val="57032A2C"/>
    <w:rsid w:val="570F5219"/>
    <w:rsid w:val="5717642E"/>
    <w:rsid w:val="571903F8"/>
    <w:rsid w:val="575D12B5"/>
    <w:rsid w:val="57610A87"/>
    <w:rsid w:val="577B1140"/>
    <w:rsid w:val="577B7F21"/>
    <w:rsid w:val="577F181B"/>
    <w:rsid w:val="57921984"/>
    <w:rsid w:val="579737F0"/>
    <w:rsid w:val="57AB7B30"/>
    <w:rsid w:val="57AF5251"/>
    <w:rsid w:val="57B26373"/>
    <w:rsid w:val="57B63F04"/>
    <w:rsid w:val="57BB14B0"/>
    <w:rsid w:val="57CD20C2"/>
    <w:rsid w:val="57D675AB"/>
    <w:rsid w:val="57D95FDD"/>
    <w:rsid w:val="58917D2F"/>
    <w:rsid w:val="5894085C"/>
    <w:rsid w:val="58AE4F0C"/>
    <w:rsid w:val="58B85899"/>
    <w:rsid w:val="58E363A9"/>
    <w:rsid w:val="58F05189"/>
    <w:rsid w:val="595E1678"/>
    <w:rsid w:val="596D5BD4"/>
    <w:rsid w:val="597E3DD8"/>
    <w:rsid w:val="59F80043"/>
    <w:rsid w:val="5A09252F"/>
    <w:rsid w:val="5A0B2778"/>
    <w:rsid w:val="5A2A7C7B"/>
    <w:rsid w:val="5A3E2560"/>
    <w:rsid w:val="5A5A6D5E"/>
    <w:rsid w:val="5A5D3B6E"/>
    <w:rsid w:val="5A637A76"/>
    <w:rsid w:val="5A6D33BA"/>
    <w:rsid w:val="5A792B1F"/>
    <w:rsid w:val="5A874767"/>
    <w:rsid w:val="5AA85BE2"/>
    <w:rsid w:val="5AAD6F28"/>
    <w:rsid w:val="5AD63A24"/>
    <w:rsid w:val="5ADD1EAF"/>
    <w:rsid w:val="5B1E7A67"/>
    <w:rsid w:val="5B2E1A1D"/>
    <w:rsid w:val="5B61411C"/>
    <w:rsid w:val="5B843A1C"/>
    <w:rsid w:val="5B873E3F"/>
    <w:rsid w:val="5BCA3A6F"/>
    <w:rsid w:val="5C02690E"/>
    <w:rsid w:val="5C196DA7"/>
    <w:rsid w:val="5C2A048C"/>
    <w:rsid w:val="5C80234E"/>
    <w:rsid w:val="5C8A680C"/>
    <w:rsid w:val="5D0C4701"/>
    <w:rsid w:val="5D0F0395"/>
    <w:rsid w:val="5D221076"/>
    <w:rsid w:val="5D397964"/>
    <w:rsid w:val="5D52173B"/>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61941"/>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BF1B9C"/>
    <w:rsid w:val="61F94C26"/>
    <w:rsid w:val="62000E56"/>
    <w:rsid w:val="624F3E49"/>
    <w:rsid w:val="62632286"/>
    <w:rsid w:val="62885958"/>
    <w:rsid w:val="62966DA1"/>
    <w:rsid w:val="62F40B65"/>
    <w:rsid w:val="62FC2CFE"/>
    <w:rsid w:val="63024505"/>
    <w:rsid w:val="635600A5"/>
    <w:rsid w:val="635B1DB5"/>
    <w:rsid w:val="63711FED"/>
    <w:rsid w:val="63880DDC"/>
    <w:rsid w:val="638D750D"/>
    <w:rsid w:val="63AC6CC0"/>
    <w:rsid w:val="63B219B9"/>
    <w:rsid w:val="64055776"/>
    <w:rsid w:val="64240056"/>
    <w:rsid w:val="643E143A"/>
    <w:rsid w:val="64491666"/>
    <w:rsid w:val="648B6EEF"/>
    <w:rsid w:val="649E21B9"/>
    <w:rsid w:val="64C158BF"/>
    <w:rsid w:val="64CE2EAA"/>
    <w:rsid w:val="64FD353D"/>
    <w:rsid w:val="653C3090"/>
    <w:rsid w:val="65854376"/>
    <w:rsid w:val="658767BE"/>
    <w:rsid w:val="65892531"/>
    <w:rsid w:val="66195831"/>
    <w:rsid w:val="662E75B1"/>
    <w:rsid w:val="66342C2E"/>
    <w:rsid w:val="663E784C"/>
    <w:rsid w:val="668B6A45"/>
    <w:rsid w:val="67011F07"/>
    <w:rsid w:val="672F3F24"/>
    <w:rsid w:val="673E055F"/>
    <w:rsid w:val="67551CE3"/>
    <w:rsid w:val="67783630"/>
    <w:rsid w:val="678E0047"/>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627681"/>
    <w:rsid w:val="6977531D"/>
    <w:rsid w:val="69CC2BFF"/>
    <w:rsid w:val="69FD55B8"/>
    <w:rsid w:val="6A0B1C62"/>
    <w:rsid w:val="6A2406C8"/>
    <w:rsid w:val="6ABF195F"/>
    <w:rsid w:val="6ADE0BD1"/>
    <w:rsid w:val="6AE96859"/>
    <w:rsid w:val="6B147746"/>
    <w:rsid w:val="6B24787C"/>
    <w:rsid w:val="6B573233"/>
    <w:rsid w:val="6B5B6274"/>
    <w:rsid w:val="6B935D53"/>
    <w:rsid w:val="6BDD5BD0"/>
    <w:rsid w:val="6C045F83"/>
    <w:rsid w:val="6C196F71"/>
    <w:rsid w:val="6C226FCB"/>
    <w:rsid w:val="6C31226F"/>
    <w:rsid w:val="6C552F0B"/>
    <w:rsid w:val="6C8C67B7"/>
    <w:rsid w:val="6C9D744C"/>
    <w:rsid w:val="6CAD5413"/>
    <w:rsid w:val="6D167928"/>
    <w:rsid w:val="6D26299B"/>
    <w:rsid w:val="6D4772EC"/>
    <w:rsid w:val="6D9078AF"/>
    <w:rsid w:val="6D941C58"/>
    <w:rsid w:val="6DAA3FEF"/>
    <w:rsid w:val="6DC0172B"/>
    <w:rsid w:val="6DCB690C"/>
    <w:rsid w:val="6DD41A5B"/>
    <w:rsid w:val="6DF43C2E"/>
    <w:rsid w:val="6DF51CA3"/>
    <w:rsid w:val="6E106816"/>
    <w:rsid w:val="6E8335BD"/>
    <w:rsid w:val="6E8E12EF"/>
    <w:rsid w:val="6E972936"/>
    <w:rsid w:val="6ED446C5"/>
    <w:rsid w:val="6F2A7D94"/>
    <w:rsid w:val="6F3045BC"/>
    <w:rsid w:val="6F5002D8"/>
    <w:rsid w:val="6F8331F1"/>
    <w:rsid w:val="6FAE1A09"/>
    <w:rsid w:val="6FD75BF8"/>
    <w:rsid w:val="704B4683"/>
    <w:rsid w:val="707723D0"/>
    <w:rsid w:val="70F5661B"/>
    <w:rsid w:val="71360107"/>
    <w:rsid w:val="713B688E"/>
    <w:rsid w:val="71C07658"/>
    <w:rsid w:val="71D43752"/>
    <w:rsid w:val="71F1796A"/>
    <w:rsid w:val="72154626"/>
    <w:rsid w:val="72262B5D"/>
    <w:rsid w:val="72283FF7"/>
    <w:rsid w:val="722E7212"/>
    <w:rsid w:val="723A0474"/>
    <w:rsid w:val="725923E4"/>
    <w:rsid w:val="72864BF7"/>
    <w:rsid w:val="729023FC"/>
    <w:rsid w:val="730438B3"/>
    <w:rsid w:val="734D40AD"/>
    <w:rsid w:val="737A3B75"/>
    <w:rsid w:val="73C0646E"/>
    <w:rsid w:val="742222F5"/>
    <w:rsid w:val="74476126"/>
    <w:rsid w:val="745D14CD"/>
    <w:rsid w:val="74654825"/>
    <w:rsid w:val="74706664"/>
    <w:rsid w:val="747F3682"/>
    <w:rsid w:val="749C4185"/>
    <w:rsid w:val="74C432FA"/>
    <w:rsid w:val="75067759"/>
    <w:rsid w:val="752E6DCD"/>
    <w:rsid w:val="7551380D"/>
    <w:rsid w:val="75600BE5"/>
    <w:rsid w:val="7564475C"/>
    <w:rsid w:val="7583797F"/>
    <w:rsid w:val="75D20F1D"/>
    <w:rsid w:val="75DA2C18"/>
    <w:rsid w:val="75F54412"/>
    <w:rsid w:val="761D08E0"/>
    <w:rsid w:val="762A1882"/>
    <w:rsid w:val="763D2463"/>
    <w:rsid w:val="765D347C"/>
    <w:rsid w:val="76826699"/>
    <w:rsid w:val="768D5B7F"/>
    <w:rsid w:val="76A333E3"/>
    <w:rsid w:val="76C87133"/>
    <w:rsid w:val="76CD08D5"/>
    <w:rsid w:val="76DB4B92"/>
    <w:rsid w:val="76FD013A"/>
    <w:rsid w:val="77052AA4"/>
    <w:rsid w:val="77136511"/>
    <w:rsid w:val="77297D8C"/>
    <w:rsid w:val="772D28AD"/>
    <w:rsid w:val="77340A39"/>
    <w:rsid w:val="77351FD0"/>
    <w:rsid w:val="77472422"/>
    <w:rsid w:val="777F31F2"/>
    <w:rsid w:val="77954AC0"/>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3E76AA"/>
    <w:rsid w:val="7A4670D6"/>
    <w:rsid w:val="7A534B63"/>
    <w:rsid w:val="7A6143EA"/>
    <w:rsid w:val="7A615382"/>
    <w:rsid w:val="7A67303B"/>
    <w:rsid w:val="7A7A1BA8"/>
    <w:rsid w:val="7AAB1D04"/>
    <w:rsid w:val="7ABA4368"/>
    <w:rsid w:val="7AD05746"/>
    <w:rsid w:val="7B257FFD"/>
    <w:rsid w:val="7B273D20"/>
    <w:rsid w:val="7B343476"/>
    <w:rsid w:val="7B5A2978"/>
    <w:rsid w:val="7B5A7E4C"/>
    <w:rsid w:val="7B667AF9"/>
    <w:rsid w:val="7B7468F8"/>
    <w:rsid w:val="7BEE0103"/>
    <w:rsid w:val="7C0A0FE4"/>
    <w:rsid w:val="7C254906"/>
    <w:rsid w:val="7C346DC2"/>
    <w:rsid w:val="7C570EF7"/>
    <w:rsid w:val="7C590818"/>
    <w:rsid w:val="7C7C10F6"/>
    <w:rsid w:val="7C7E6484"/>
    <w:rsid w:val="7C80077A"/>
    <w:rsid w:val="7C853BEA"/>
    <w:rsid w:val="7C881368"/>
    <w:rsid w:val="7CE27788"/>
    <w:rsid w:val="7D0C32F1"/>
    <w:rsid w:val="7D0F408D"/>
    <w:rsid w:val="7D491C6C"/>
    <w:rsid w:val="7D5429C0"/>
    <w:rsid w:val="7D6E6D43"/>
    <w:rsid w:val="7DB57A34"/>
    <w:rsid w:val="7DE60973"/>
    <w:rsid w:val="7DEF0916"/>
    <w:rsid w:val="7E1E5218"/>
    <w:rsid w:val="7E802D85"/>
    <w:rsid w:val="7E9A4E1F"/>
    <w:rsid w:val="7EA7723A"/>
    <w:rsid w:val="7EF56FBB"/>
    <w:rsid w:val="7F0768EB"/>
    <w:rsid w:val="7F143BEC"/>
    <w:rsid w:val="7F220BEF"/>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4"/>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0"/>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4"/>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7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0"/>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6"/>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199"/>
    <w:qFormat/>
    <w:uiPriority w:val="0"/>
    <w:pPr>
      <w:shd w:val="clear" w:color="auto" w:fill="000080"/>
    </w:pPr>
  </w:style>
  <w:style w:type="paragraph" w:styleId="19">
    <w:name w:val="annotation text"/>
    <w:basedOn w:val="1"/>
    <w:link w:val="341"/>
    <w:qFormat/>
    <w:uiPriority w:val="99"/>
    <w:pPr>
      <w:jc w:val="left"/>
    </w:pPr>
  </w:style>
  <w:style w:type="paragraph" w:styleId="20">
    <w:name w:val="Salutation"/>
    <w:basedOn w:val="1"/>
    <w:next w:val="1"/>
    <w:link w:val="295"/>
    <w:qFormat/>
    <w:uiPriority w:val="0"/>
    <w:rPr>
      <w:rFonts w:ascii="仿宋_GB2312" w:eastAsia="仿宋_GB2312"/>
      <w:sz w:val="28"/>
      <w:szCs w:val="20"/>
    </w:rPr>
  </w:style>
  <w:style w:type="paragraph" w:styleId="21">
    <w:name w:val="Body Text 3"/>
    <w:basedOn w:val="1"/>
    <w:link w:val="327"/>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1"/>
    <w:link w:val="427"/>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2"/>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6"/>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2"/>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78"/>
    <w:qFormat/>
    <w:uiPriority w:val="0"/>
    <w:pPr>
      <w:ind w:left="100" w:leftChars="2500"/>
    </w:pPr>
    <w:rPr>
      <w:rFonts w:ascii="宋体"/>
      <w:sz w:val="24"/>
      <w:szCs w:val="21"/>
      <w:lang w:val="zh-CN"/>
    </w:rPr>
  </w:style>
  <w:style w:type="paragraph" w:styleId="36">
    <w:name w:val="Body Text Indent 2"/>
    <w:basedOn w:val="1"/>
    <w:link w:val="305"/>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5"/>
    <w:qFormat/>
    <w:uiPriority w:val="0"/>
    <w:rPr>
      <w:sz w:val="18"/>
      <w:szCs w:val="18"/>
    </w:rPr>
  </w:style>
  <w:style w:type="paragraph" w:styleId="39">
    <w:name w:val="footer"/>
    <w:basedOn w:val="1"/>
    <w:link w:val="380"/>
    <w:qFormat/>
    <w:uiPriority w:val="99"/>
    <w:pPr>
      <w:tabs>
        <w:tab w:val="center" w:pos="4153"/>
        <w:tab w:val="right" w:pos="8306"/>
      </w:tabs>
      <w:snapToGrid w:val="0"/>
      <w:jc w:val="left"/>
    </w:pPr>
    <w:rPr>
      <w:sz w:val="18"/>
      <w:szCs w:val="18"/>
    </w:rPr>
  </w:style>
  <w:style w:type="paragraph" w:styleId="40">
    <w:name w:val="header"/>
    <w:basedOn w:val="1"/>
    <w:link w:val="389"/>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2"/>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07"/>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2"/>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299"/>
    <w:qFormat/>
    <w:uiPriority w:val="0"/>
    <w:pPr>
      <w:spacing w:after="120" w:line="480" w:lineRule="auto"/>
    </w:pPr>
  </w:style>
  <w:style w:type="paragraph" w:styleId="56">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3"/>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3"/>
    <w:qFormat/>
    <w:uiPriority w:val="0"/>
    <w:rPr>
      <w:b/>
      <w:bCs/>
    </w:rPr>
  </w:style>
  <w:style w:type="paragraph" w:styleId="60">
    <w:name w:val="Body Text First Indent"/>
    <w:basedOn w:val="23"/>
    <w:link w:val="318"/>
    <w:qFormat/>
    <w:uiPriority w:val="0"/>
    <w:pPr>
      <w:ind w:firstLine="420"/>
    </w:pPr>
    <w:rPr>
      <w:rFonts w:hAnsi="Calibri" w:cs="Times New Roman"/>
      <w:snapToGrid/>
      <w:szCs w:val="20"/>
    </w:rPr>
  </w:style>
  <w:style w:type="paragraph" w:styleId="61">
    <w:name w:val="Body Text First Indent 2"/>
    <w:basedOn w:val="24"/>
    <w:link w:val="118"/>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表格非标题文字 Char"/>
    <w:link w:val="80"/>
    <w:qFormat/>
    <w:uiPriority w:val="0"/>
    <w:rPr>
      <w:rFonts w:ascii="Futura Bk" w:hAnsi="Futura Bk"/>
      <w:kern w:val="2"/>
      <w:sz w:val="18"/>
      <w:szCs w:val="21"/>
      <w:lang w:val="en-US" w:eastAsia="zh-CN" w:bidi="ar-SA"/>
    </w:rPr>
  </w:style>
  <w:style w:type="paragraph" w:customStyle="1" w:styleId="80">
    <w:name w:val="表格非标题文字"/>
    <w:link w:val="7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qFormat/>
    <w:locked/>
    <w:uiPriority w:val="0"/>
    <w:rPr>
      <w:rFonts w:ascii="宋体" w:hAnsi="宋体"/>
      <w:sz w:val="24"/>
    </w:rPr>
  </w:style>
  <w:style w:type="paragraph" w:customStyle="1" w:styleId="82">
    <w:name w:val="*正文"/>
    <w:basedOn w:val="1"/>
    <w:link w:val="81"/>
    <w:qFormat/>
    <w:uiPriority w:val="0"/>
    <w:pPr>
      <w:snapToGrid w:val="0"/>
      <w:spacing w:line="360" w:lineRule="auto"/>
      <w:ind w:firstLine="482"/>
      <w:jc w:val="left"/>
    </w:pPr>
    <w:rPr>
      <w:rFonts w:ascii="宋体" w:hAnsi="宋体"/>
      <w:kern w:val="0"/>
      <w:sz w:val="24"/>
      <w:szCs w:val="20"/>
    </w:rPr>
  </w:style>
  <w:style w:type="character" w:customStyle="1" w:styleId="83">
    <w:name w:val="Char Char71"/>
    <w:semiHidden/>
    <w:qFormat/>
    <w:uiPriority w:val="0"/>
    <w:rPr>
      <w:rFonts w:eastAsia="宋体"/>
      <w:kern w:val="2"/>
      <w:sz w:val="21"/>
      <w:szCs w:val="24"/>
      <w:lang w:val="en-US" w:eastAsia="zh-CN" w:bidi="ar-SA"/>
    </w:rPr>
  </w:style>
  <w:style w:type="character" w:customStyle="1" w:styleId="84">
    <w:name w:val="Char Char6"/>
    <w:qFormat/>
    <w:uiPriority w:val="0"/>
    <w:rPr>
      <w:rFonts w:eastAsia="宋体"/>
      <w:kern w:val="2"/>
      <w:sz w:val="21"/>
      <w:szCs w:val="24"/>
      <w:lang w:val="en-US" w:eastAsia="zh-CN" w:bidi="ar-SA"/>
    </w:rPr>
  </w:style>
  <w:style w:type="character" w:customStyle="1" w:styleId="85">
    <w:name w:val="正文缩进 Char"/>
    <w:qFormat/>
    <w:uiPriority w:val="0"/>
    <w:rPr>
      <w:rFonts w:eastAsia="宋体"/>
      <w:kern w:val="2"/>
      <w:sz w:val="21"/>
      <w:lang w:val="en-US" w:eastAsia="zh-CN"/>
    </w:rPr>
  </w:style>
  <w:style w:type="character" w:customStyle="1" w:styleId="86">
    <w:name w:val="正文首行缩进 Char1"/>
    <w:qFormat/>
    <w:uiPriority w:val="0"/>
    <w:rPr>
      <w:rFonts w:ascii="宋体" w:hAnsi="Times New Roman" w:eastAsia="宋体" w:cs="Times New Roman"/>
      <w:snapToGrid w:val="0"/>
      <w:kern w:val="2"/>
      <w:sz w:val="24"/>
      <w:szCs w:val="21"/>
      <w:lang w:val="zh-CN"/>
    </w:rPr>
  </w:style>
  <w:style w:type="character" w:customStyle="1" w:styleId="87">
    <w:name w:val="Char Char28"/>
    <w:qFormat/>
    <w:uiPriority w:val="6"/>
    <w:rPr>
      <w:rFonts w:ascii="仿宋_GB2312" w:hAnsi="仿宋_GB2312" w:eastAsia="仿宋_GB2312"/>
      <w:kern w:val="1"/>
      <w:sz w:val="28"/>
    </w:rPr>
  </w:style>
  <w:style w:type="character" w:customStyle="1" w:styleId="8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
    <w:qFormat/>
    <w:uiPriority w:val="6"/>
    <w:rPr>
      <w:rFonts w:ascii="Times New Roman" w:hAnsi="Times New Roman" w:eastAsia="黑体" w:cs="Times New Roman"/>
      <w:b/>
      <w:kern w:val="0"/>
      <w:sz w:val="24"/>
      <w:szCs w:val="24"/>
    </w:rPr>
  </w:style>
  <w:style w:type="character" w:customStyle="1" w:styleId="90">
    <w:name w:val="U_正文 Char"/>
    <w:link w:val="91"/>
    <w:qFormat/>
    <w:uiPriority w:val="0"/>
    <w:rPr>
      <w:sz w:val="24"/>
      <w:szCs w:val="24"/>
    </w:rPr>
  </w:style>
  <w:style w:type="paragraph" w:customStyle="1" w:styleId="91">
    <w:name w:val="U_正文"/>
    <w:basedOn w:val="1"/>
    <w:link w:val="90"/>
    <w:qFormat/>
    <w:uiPriority w:val="0"/>
    <w:pPr>
      <w:adjustRightInd/>
      <w:spacing w:beforeLines="20" w:afterLines="20" w:line="300" w:lineRule="auto"/>
      <w:ind w:firstLine="200" w:firstLineChars="200"/>
    </w:pPr>
    <w:rPr>
      <w:kern w:val="0"/>
      <w:sz w:val="24"/>
    </w:rPr>
  </w:style>
  <w:style w:type="character" w:customStyle="1" w:styleId="92">
    <w:name w:val="HTML 地址 Char1"/>
    <w:qFormat/>
    <w:uiPriority w:val="0"/>
    <w:rPr>
      <w:rFonts w:ascii="Times New Roman" w:hAnsi="Times New Roman" w:eastAsia="宋体" w:cs="Times New Roman"/>
      <w:i/>
      <w:iCs/>
      <w:szCs w:val="24"/>
    </w:rPr>
  </w:style>
  <w:style w:type="character" w:customStyle="1" w:styleId="93">
    <w:name w:val="批注主题 Char1"/>
    <w:link w:val="59"/>
    <w:qFormat/>
    <w:uiPriority w:val="0"/>
    <w:rPr>
      <w:b/>
      <w:bCs/>
      <w:kern w:val="2"/>
      <w:sz w:val="21"/>
      <w:szCs w:val="24"/>
    </w:rPr>
  </w:style>
  <w:style w:type="character" w:customStyle="1" w:styleId="94">
    <w:name w:val="Char Char51"/>
    <w:qFormat/>
    <w:uiPriority w:val="0"/>
    <w:rPr>
      <w:rFonts w:ascii="宋体" w:hAnsi="Courier New" w:eastAsia="宋体"/>
      <w:kern w:val="2"/>
      <w:sz w:val="21"/>
      <w:lang w:val="en-US" w:eastAsia="zh-CN"/>
    </w:rPr>
  </w:style>
  <w:style w:type="character" w:customStyle="1" w:styleId="95">
    <w:name w:val="表正文 Char"/>
    <w:qFormat/>
    <w:uiPriority w:val="0"/>
    <w:rPr>
      <w:rFonts w:ascii="宋体" w:eastAsia="宋体"/>
      <w:snapToGrid w:val="0"/>
      <w:color w:val="000000"/>
      <w:kern w:val="28"/>
      <w:sz w:val="28"/>
      <w:lang w:val="en-US" w:eastAsia="zh-CN" w:bidi="ar-SA"/>
    </w:rPr>
  </w:style>
  <w:style w:type="character" w:customStyle="1" w:styleId="96">
    <w:name w:val="Char Char34"/>
    <w:qFormat/>
    <w:uiPriority w:val="6"/>
    <w:rPr>
      <w:b/>
      <w:kern w:val="1"/>
      <w:sz w:val="28"/>
      <w:szCs w:val="28"/>
    </w:rPr>
  </w:style>
  <w:style w:type="character" w:customStyle="1" w:styleId="9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qFormat/>
    <w:uiPriority w:val="0"/>
    <w:rPr>
      <w:rFonts w:ascii="宋体" w:hAnsi="宋体" w:eastAsia="宋体"/>
      <w:kern w:val="2"/>
      <w:sz w:val="24"/>
      <w:lang w:bidi="ar-SA"/>
    </w:rPr>
  </w:style>
  <w:style w:type="paragraph" w:customStyle="1" w:styleId="99">
    <w:name w:val="哈哈正文"/>
    <w:basedOn w:val="1"/>
    <w:link w:val="98"/>
    <w:qFormat/>
    <w:uiPriority w:val="0"/>
    <w:pPr>
      <w:adjustRightInd/>
      <w:spacing w:line="360" w:lineRule="auto"/>
      <w:ind w:firstLine="200" w:firstLineChars="200"/>
    </w:pPr>
    <w:rPr>
      <w:rFonts w:ascii="宋体" w:hAnsi="宋体"/>
      <w:sz w:val="24"/>
      <w:szCs w:val="20"/>
    </w:rPr>
  </w:style>
  <w:style w:type="character" w:customStyle="1" w:styleId="100">
    <w:name w:val="未处理的提及1"/>
    <w:qFormat/>
    <w:uiPriority w:val="0"/>
    <w:rPr>
      <w:color w:val="808080"/>
      <w:shd w:val="clear" w:color="auto" w:fill="E6E6E6"/>
    </w:rPr>
  </w:style>
  <w:style w:type="character" w:customStyle="1" w:styleId="101">
    <w:name w:val="txt"/>
    <w:qFormat/>
    <w:uiPriority w:val="0"/>
    <w:rPr>
      <w:rFonts w:ascii="仿宋_GB2312" w:eastAsia="微软雅黑"/>
      <w:b/>
      <w:kern w:val="2"/>
      <w:sz w:val="32"/>
      <w:szCs w:val="32"/>
      <w:lang w:val="en-US" w:eastAsia="zh-CN" w:bidi="ar-SA"/>
    </w:rPr>
  </w:style>
  <w:style w:type="character" w:customStyle="1" w:styleId="102">
    <w:name w:val="二级标题 Char Char"/>
    <w:qFormat/>
    <w:uiPriority w:val="0"/>
    <w:rPr>
      <w:rFonts w:ascii="宋体" w:hAnsi="宋体" w:eastAsia="宋体"/>
      <w:b/>
      <w:snapToGrid w:val="0"/>
      <w:kern w:val="2"/>
      <w:sz w:val="24"/>
      <w:szCs w:val="24"/>
      <w:lang w:val="en-US" w:eastAsia="zh-CN" w:bidi="ar-SA"/>
    </w:rPr>
  </w:style>
  <w:style w:type="character" w:customStyle="1" w:styleId="103">
    <w:name w:val="Char Char32"/>
    <w:qFormat/>
    <w:uiPriority w:val="6"/>
    <w:rPr>
      <w:b/>
      <w:kern w:val="1"/>
      <w:sz w:val="24"/>
      <w:szCs w:val="24"/>
    </w:rPr>
  </w:style>
  <w:style w:type="character" w:customStyle="1" w:styleId="104">
    <w:name w:val="PI Char1"/>
    <w:qFormat/>
    <w:uiPriority w:val="0"/>
    <w:rPr>
      <w:rFonts w:ascii="宋体" w:hAnsi="宋体"/>
      <w:kern w:val="2"/>
      <w:sz w:val="24"/>
      <w:szCs w:val="24"/>
    </w:rPr>
  </w:style>
  <w:style w:type="character" w:customStyle="1" w:styleId="105">
    <w:name w:val="tw4winTerm"/>
    <w:qFormat/>
    <w:uiPriority w:val="0"/>
    <w:rPr>
      <w:color w:val="0000FF"/>
    </w:rPr>
  </w:style>
  <w:style w:type="character" w:customStyle="1" w:styleId="106">
    <w:name w:val="Footer Char"/>
    <w:qFormat/>
    <w:locked/>
    <w:uiPriority w:val="0"/>
    <w:rPr>
      <w:rFonts w:eastAsia="宋体"/>
      <w:kern w:val="2"/>
      <w:sz w:val="18"/>
      <w:lang w:val="en-US" w:eastAsia="zh-CN" w:bidi="ar-SA"/>
    </w:rPr>
  </w:style>
  <w:style w:type="character" w:customStyle="1" w:styleId="107">
    <w:name w:val="普通文字 Char Char1"/>
    <w:qFormat/>
    <w:uiPriority w:val="0"/>
    <w:rPr>
      <w:rFonts w:ascii="宋体" w:hAnsi="Courier New"/>
      <w:kern w:val="2"/>
      <w:sz w:val="21"/>
    </w:rPr>
  </w:style>
  <w:style w:type="character" w:customStyle="1" w:styleId="108">
    <w:name w:val="Char Char101"/>
    <w:qFormat/>
    <w:uiPriority w:val="6"/>
    <w:rPr>
      <w:rFonts w:ascii="宋体" w:hAnsi="宋体"/>
      <w:kern w:val="2"/>
      <w:sz w:val="21"/>
      <w:szCs w:val="24"/>
      <w:lang w:val="en-US" w:eastAsia="zh-CN"/>
    </w:rPr>
  </w:style>
  <w:style w:type="character" w:customStyle="1" w:styleId="109">
    <w:name w:val="标题 4 Char"/>
    <w:qFormat/>
    <w:uiPriority w:val="0"/>
    <w:rPr>
      <w:rFonts w:ascii="Arial" w:hAnsi="Arial" w:eastAsia="黑体"/>
      <w:b/>
      <w:kern w:val="2"/>
      <w:sz w:val="28"/>
    </w:rPr>
  </w:style>
  <w:style w:type="character" w:customStyle="1" w:styleId="110">
    <w:name w:val="链接"/>
    <w:qFormat/>
    <w:uiPriority w:val="0"/>
    <w:rPr>
      <w:color w:val="0000FF"/>
      <w:sz w:val="21"/>
      <w:szCs w:val="21"/>
      <w:u w:val="single"/>
    </w:rPr>
  </w:style>
  <w:style w:type="character" w:customStyle="1" w:styleId="111">
    <w:name w:val="h4 Char"/>
    <w:qFormat/>
    <w:uiPriority w:val="0"/>
    <w:rPr>
      <w:rFonts w:ascii="Arial" w:hAnsi="Arial" w:eastAsia="黑体"/>
      <w:b/>
      <w:bCs/>
      <w:kern w:val="2"/>
      <w:sz w:val="28"/>
      <w:szCs w:val="28"/>
      <w:lang w:val="zh-CN" w:eastAsia="zh-CN" w:bidi="ar-SA"/>
    </w:rPr>
  </w:style>
  <w:style w:type="character" w:customStyle="1" w:styleId="112">
    <w:name w:val="5正文 Char"/>
    <w:link w:val="113"/>
    <w:qFormat/>
    <w:uiPriority w:val="0"/>
    <w:rPr>
      <w:rFonts w:ascii="仿宋_GB2312" w:hAnsi="微软雅黑" w:eastAsia="仿宋_GB2312"/>
      <w:sz w:val="28"/>
      <w:szCs w:val="21"/>
    </w:rPr>
  </w:style>
  <w:style w:type="paragraph" w:customStyle="1" w:styleId="113">
    <w:name w:val="5正文"/>
    <w:basedOn w:val="1"/>
    <w:link w:val="11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qFormat/>
    <w:uiPriority w:val="9"/>
    <w:rPr>
      <w:b/>
      <w:bCs/>
      <w:kern w:val="2"/>
      <w:sz w:val="32"/>
      <w:szCs w:val="32"/>
    </w:rPr>
  </w:style>
  <w:style w:type="character" w:customStyle="1" w:styleId="115">
    <w:name w:val="样式6 Char"/>
    <w:qFormat/>
    <w:uiPriority w:val="0"/>
    <w:rPr>
      <w:rFonts w:ascii="仿宋_GB2312" w:hAnsi="宋体" w:eastAsia="仿宋_GB2312"/>
      <w:b/>
      <w:bCs/>
      <w:kern w:val="2"/>
      <w:sz w:val="24"/>
      <w:szCs w:val="24"/>
      <w:lang w:val="en-US" w:eastAsia="zh-CN" w:bidi="ar-SA"/>
    </w:rPr>
  </w:style>
  <w:style w:type="character" w:customStyle="1" w:styleId="116">
    <w:name w:val="Char Char14"/>
    <w:qFormat/>
    <w:uiPriority w:val="6"/>
    <w:rPr>
      <w:rFonts w:ascii="黑体" w:hAnsi="黑体" w:eastAsia="黑体"/>
    </w:rPr>
  </w:style>
  <w:style w:type="character" w:customStyle="1" w:styleId="117">
    <w:name w:val="Heading 2 Hidden Char"/>
    <w:qFormat/>
    <w:uiPriority w:val="0"/>
    <w:rPr>
      <w:rFonts w:ascii="仿宋_GB2312" w:eastAsia="仿宋_GB2312"/>
      <w:b/>
      <w:bCs/>
      <w:kern w:val="2"/>
      <w:sz w:val="24"/>
      <w:szCs w:val="24"/>
      <w:lang w:val="zh-CN" w:eastAsia="zh-CN" w:bidi="ar-SA"/>
    </w:rPr>
  </w:style>
  <w:style w:type="character" w:customStyle="1" w:styleId="118">
    <w:name w:val="正文首行缩进 2 Char"/>
    <w:link w:val="61"/>
    <w:qFormat/>
    <w:uiPriority w:val="0"/>
    <w:rPr>
      <w:rFonts w:ascii="宋体" w:hAnsi="宋体"/>
      <w:kern w:val="2"/>
      <w:sz w:val="21"/>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表正文 Char1"/>
    <w:qFormat/>
    <w:uiPriority w:val="0"/>
    <w:rPr>
      <w:rFonts w:ascii="宋体" w:eastAsia="宋体"/>
      <w:snapToGrid w:val="0"/>
      <w:color w:val="000000"/>
      <w:kern w:val="28"/>
      <w:sz w:val="28"/>
    </w:rPr>
  </w:style>
  <w:style w:type="character" w:customStyle="1" w:styleId="121">
    <w:name w:val="blue1"/>
    <w:basedOn w:val="69"/>
    <w:qFormat/>
    <w:uiPriority w:val="0"/>
    <w:rPr>
      <w:rFonts w:ascii="Arial" w:hAnsi="Arial" w:eastAsia="黑体" w:cs="Arial"/>
      <w:snapToGrid w:val="0"/>
      <w:kern w:val="0"/>
      <w:szCs w:val="21"/>
    </w:rPr>
  </w:style>
  <w:style w:type="character" w:customStyle="1" w:styleId="122">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3">
    <w:name w:val="标书1 Char"/>
    <w:qFormat/>
    <w:uiPriority w:val="0"/>
    <w:rPr>
      <w:rFonts w:eastAsia="宋体"/>
      <w:b/>
      <w:bCs/>
      <w:kern w:val="44"/>
      <w:sz w:val="44"/>
      <w:szCs w:val="44"/>
      <w:lang w:val="en-US" w:eastAsia="zh-CN" w:bidi="ar-SA"/>
    </w:rPr>
  </w:style>
  <w:style w:type="character" w:customStyle="1" w:styleId="124">
    <w:name w:val="样式5 Char"/>
    <w:qFormat/>
    <w:uiPriority w:val="0"/>
    <w:rPr>
      <w:rFonts w:ascii="仿宋_GB2312" w:hAnsi="仿宋" w:eastAsia="仿宋_GB2312"/>
      <w:kern w:val="2"/>
      <w:sz w:val="24"/>
      <w:szCs w:val="24"/>
    </w:rPr>
  </w:style>
  <w:style w:type="character" w:customStyle="1" w:styleId="125">
    <w:name w:val="样式4 Char"/>
    <w:qFormat/>
    <w:uiPriority w:val="0"/>
    <w:rPr>
      <w:rFonts w:ascii="仿宋_GB2312" w:hAnsi="仿宋" w:eastAsia="仿宋_GB2312"/>
      <w:b/>
      <w:kern w:val="2"/>
      <w:sz w:val="32"/>
      <w:szCs w:val="32"/>
      <w:lang w:bidi="ar-SA"/>
    </w:rPr>
  </w:style>
  <w:style w:type="character" w:customStyle="1" w:styleId="126">
    <w:name w:val="插图说明 Char"/>
    <w:qFormat/>
    <w:uiPriority w:val="0"/>
    <w:rPr>
      <w:rFonts w:eastAsia="黑体"/>
      <w:sz w:val="24"/>
      <w:lang w:val="en-US" w:eastAsia="zh-CN"/>
    </w:rPr>
  </w:style>
  <w:style w:type="character" w:customStyle="1" w:styleId="127">
    <w:name w:val="正文2 Char Char"/>
    <w:link w:val="128"/>
    <w:qFormat/>
    <w:uiPriority w:val="0"/>
    <w:rPr>
      <w:rFonts w:eastAsia="宋体"/>
      <w:kern w:val="2"/>
      <w:sz w:val="24"/>
      <w:lang w:val="en-US" w:eastAsia="zh-CN" w:bidi="ar-SA"/>
    </w:rPr>
  </w:style>
  <w:style w:type="paragraph" w:customStyle="1" w:styleId="128">
    <w:name w:val="正文2"/>
    <w:basedOn w:val="1"/>
    <w:link w:val="127"/>
    <w:qFormat/>
    <w:uiPriority w:val="0"/>
    <w:pPr>
      <w:spacing w:before="156" w:line="360" w:lineRule="auto"/>
      <w:ind w:firstLine="510" w:firstLineChars="200"/>
    </w:pPr>
    <w:rPr>
      <w:sz w:val="24"/>
      <w:szCs w:val="20"/>
    </w:rPr>
  </w:style>
  <w:style w:type="character" w:customStyle="1" w:styleId="129">
    <w:name w:val="Char Char24"/>
    <w:qFormat/>
    <w:uiPriority w:val="6"/>
    <w:rPr>
      <w:kern w:val="1"/>
      <w:sz w:val="21"/>
    </w:rPr>
  </w:style>
  <w:style w:type="character" w:customStyle="1" w:styleId="130">
    <w:name w:val="副标题 Char"/>
    <w:link w:val="46"/>
    <w:qFormat/>
    <w:uiPriority w:val="0"/>
    <w:rPr>
      <w:rFonts w:ascii="Arial" w:hAnsi="Arial" w:eastAsia="隶书"/>
      <w:b/>
      <w:bCs/>
      <w:kern w:val="28"/>
      <w:sz w:val="44"/>
      <w:szCs w:val="32"/>
      <w:lang w:val="en-US" w:eastAsia="zh-CN" w:bidi="ar-SA"/>
    </w:rPr>
  </w:style>
  <w:style w:type="character" w:customStyle="1" w:styleId="131">
    <w:name w:val="普通文字 Char1 Char"/>
    <w:qFormat/>
    <w:uiPriority w:val="0"/>
    <w:rPr>
      <w:rFonts w:ascii="宋体" w:hAnsi="Courier New" w:eastAsia="宋体"/>
      <w:kern w:val="2"/>
      <w:sz w:val="21"/>
      <w:szCs w:val="24"/>
      <w:lang w:val="en-US" w:eastAsia="zh-CN" w:bidi="ar-SA"/>
    </w:rPr>
  </w:style>
  <w:style w:type="character" w:customStyle="1" w:styleId="132">
    <w:name w:val="h3 Char1"/>
    <w:qFormat/>
    <w:uiPriority w:val="0"/>
    <w:rPr>
      <w:rFonts w:eastAsia="宋体"/>
      <w:b/>
      <w:bCs/>
      <w:kern w:val="2"/>
      <w:sz w:val="32"/>
      <w:szCs w:val="32"/>
      <w:lang w:bidi="ar-SA"/>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gf正文1 Char"/>
    <w:qFormat/>
    <w:uiPriority w:val="0"/>
    <w:rPr>
      <w:rFonts w:ascii="宋体" w:hAnsi="宋体" w:eastAsia="宋体" w:cs="宋体"/>
      <w:kern w:val="2"/>
      <w:sz w:val="24"/>
      <w:szCs w:val="24"/>
      <w:lang w:val="en-US" w:eastAsia="zh-CN" w:bidi="ar-SA"/>
    </w:rPr>
  </w:style>
  <w:style w:type="character" w:customStyle="1" w:styleId="135">
    <w:name w:val="正文文本缩进 Char1"/>
    <w:qFormat/>
    <w:uiPriority w:val="0"/>
    <w:rPr>
      <w:rFonts w:ascii="Calibri" w:hAnsi="Calibri"/>
      <w:sz w:val="28"/>
    </w:rPr>
  </w:style>
  <w:style w:type="character" w:customStyle="1" w:styleId="136">
    <w:name w:val="No Spacing Char"/>
    <w:link w:val="137"/>
    <w:qFormat/>
    <w:uiPriority w:val="1"/>
    <w:rPr>
      <w:sz w:val="22"/>
      <w:szCs w:val="22"/>
      <w:lang w:val="en-US" w:eastAsia="zh-CN" w:bidi="ar-SA"/>
    </w:rPr>
  </w:style>
  <w:style w:type="paragraph" w:customStyle="1" w:styleId="137">
    <w:name w:val="无间隔1"/>
    <w:link w:val="136"/>
    <w:qFormat/>
    <w:uiPriority w:val="1"/>
    <w:rPr>
      <w:rFonts w:ascii="Times New Roman" w:hAnsi="Times New Roman" w:eastAsia="宋体" w:cs="Times New Roman"/>
      <w:sz w:val="22"/>
      <w:szCs w:val="22"/>
      <w:lang w:val="en-US" w:eastAsia="zh-CN" w:bidi="ar-SA"/>
    </w:rPr>
  </w:style>
  <w:style w:type="character" w:customStyle="1" w:styleId="138">
    <w:name w:val="样式7 Char"/>
    <w:qFormat/>
    <w:uiPriority w:val="0"/>
    <w:rPr>
      <w:rFonts w:ascii="仿宋_GB2312" w:hAnsi="仿宋" w:eastAsia="仿宋_GB2312"/>
      <w:b/>
      <w:kern w:val="2"/>
      <w:sz w:val="24"/>
      <w:szCs w:val="24"/>
    </w:rPr>
  </w:style>
  <w:style w:type="character" w:customStyle="1" w:styleId="139">
    <w:name w:val="font12gray1"/>
    <w:qFormat/>
    <w:uiPriority w:val="0"/>
    <w:rPr>
      <w:rFonts w:ascii="仿宋_GB2312" w:eastAsia="微软雅黑"/>
      <w:b/>
      <w:spacing w:val="300"/>
      <w:kern w:val="2"/>
      <w:sz w:val="18"/>
      <w:szCs w:val="18"/>
      <w:lang w:val="en-US" w:eastAsia="zh-CN" w:bidi="ar-SA"/>
    </w:rPr>
  </w:style>
  <w:style w:type="character" w:customStyle="1" w:styleId="140">
    <w:name w:val="Char Char7"/>
    <w:semiHidden/>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locked/>
    <w:uiPriority w:val="0"/>
    <w:rPr>
      <w:rFonts w:eastAsia="宋体"/>
      <w:kern w:val="2"/>
      <w:sz w:val="21"/>
      <w:szCs w:val="24"/>
      <w:lang w:val="en-US" w:eastAsia="zh-CN" w:bidi="ar-SA"/>
    </w:rPr>
  </w:style>
  <w:style w:type="character" w:customStyle="1" w:styleId="143">
    <w:name w:val="font41"/>
    <w:qFormat/>
    <w:uiPriority w:val="0"/>
    <w:rPr>
      <w:rFonts w:hint="eastAsia" w:ascii="仿宋_GB2312" w:eastAsia="仿宋_GB2312" w:cs="仿宋_GB2312"/>
      <w:color w:val="000000"/>
      <w:sz w:val="22"/>
      <w:szCs w:val="22"/>
      <w:u w:val="none"/>
    </w:rPr>
  </w:style>
  <w:style w:type="character" w:customStyle="1" w:styleId="144">
    <w:name w:val="标题 6 Char"/>
    <w:link w:val="8"/>
    <w:qFormat/>
    <w:uiPriority w:val="0"/>
    <w:rPr>
      <w:rFonts w:ascii="Arial" w:hAnsi="Arial" w:eastAsia="黑体"/>
      <w:b/>
      <w:bCs/>
      <w:kern w:val="2"/>
      <w:sz w:val="24"/>
      <w:szCs w:val="24"/>
    </w:rPr>
  </w:style>
  <w:style w:type="character" w:customStyle="1" w:styleId="145">
    <w:name w:val="纯文本 Char_0"/>
    <w:link w:val="146"/>
    <w:qFormat/>
    <w:uiPriority w:val="0"/>
    <w:rPr>
      <w:rFonts w:ascii="宋体" w:hAnsi="Courier New"/>
      <w:kern w:val="2"/>
      <w:sz w:val="21"/>
      <w:szCs w:val="21"/>
      <w:lang w:val="en-US" w:eastAsia="zh-CN"/>
    </w:rPr>
  </w:style>
  <w:style w:type="paragraph" w:customStyle="1" w:styleId="146">
    <w:name w:val="纯文本_0_0"/>
    <w:basedOn w:val="147"/>
    <w:link w:val="145"/>
    <w:qFormat/>
    <w:uiPriority w:val="0"/>
    <w:rPr>
      <w:rFonts w:ascii="宋体" w:hAnsi="Courier New"/>
      <w:szCs w:val="21"/>
    </w:rPr>
  </w:style>
  <w:style w:type="paragraph" w:customStyle="1" w:styleId="1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qFormat/>
    <w:locked/>
    <w:uiPriority w:val="0"/>
    <w:rPr>
      <w:rFonts w:eastAsia="宋体"/>
      <w:kern w:val="2"/>
      <w:sz w:val="18"/>
      <w:szCs w:val="18"/>
      <w:lang w:val="en-US" w:eastAsia="zh-CN" w:bidi="ar-SA"/>
    </w:rPr>
  </w:style>
  <w:style w:type="character" w:customStyle="1" w:styleId="149">
    <w:name w:val="正文 项目2 Char"/>
    <w:basedOn w:val="150"/>
    <w:qFormat/>
    <w:uiPriority w:val="0"/>
    <w:rPr>
      <w:rFonts w:ascii="仿宋_GB2312" w:hAnsi="仿宋_GB2312" w:eastAsia="仿宋_GB2312"/>
      <w:kern w:val="2"/>
      <w:sz w:val="24"/>
      <w:lang w:bidi="ar-SA"/>
    </w:rPr>
  </w:style>
  <w:style w:type="character" w:customStyle="1" w:styleId="150">
    <w:name w:val="正文 项目 Char"/>
    <w:qFormat/>
    <w:uiPriority w:val="0"/>
    <w:rPr>
      <w:rFonts w:ascii="仿宋_GB2312" w:hAnsi="仿宋_GB2312" w:eastAsia="仿宋_GB2312"/>
      <w:kern w:val="2"/>
      <w:sz w:val="24"/>
      <w:lang w:bidi="ar-SA"/>
    </w:rPr>
  </w:style>
  <w:style w:type="character" w:customStyle="1" w:styleId="151">
    <w:name w:val="h Char Char1"/>
    <w:qFormat/>
    <w:uiPriority w:val="0"/>
    <w:rPr>
      <w:rFonts w:eastAsia="宋体"/>
      <w:kern w:val="2"/>
      <w:sz w:val="18"/>
      <w:szCs w:val="18"/>
      <w:lang w:val="en-US" w:eastAsia="zh-CN" w:bidi="ar-SA"/>
    </w:rPr>
  </w:style>
  <w:style w:type="character" w:customStyle="1" w:styleId="152">
    <w:name w:val="Char Char27"/>
    <w:qFormat/>
    <w:uiPriority w:val="6"/>
    <w:rPr>
      <w:rFonts w:ascii="宋体" w:hAnsi="宋体" w:eastAsia="宋体"/>
      <w:color w:val="000000"/>
      <w:kern w:val="1"/>
      <w:sz w:val="28"/>
      <w:lang w:val="en-US" w:eastAsia="zh-CN" w:bidi="ar-SA"/>
    </w:rPr>
  </w:style>
  <w:style w:type="character" w:customStyle="1" w:styleId="153">
    <w:name w:val="px14"/>
    <w:qFormat/>
    <w:uiPriority w:val="0"/>
    <w:rPr>
      <w:rFonts w:ascii="仿宋_GB2312" w:eastAsia="微软雅黑" w:cs="Times New Roman"/>
      <w:b/>
      <w:kern w:val="2"/>
      <w:sz w:val="32"/>
      <w:szCs w:val="32"/>
      <w:lang w:val="en-US" w:eastAsia="zh-CN" w:bidi="ar-SA"/>
    </w:rPr>
  </w:style>
  <w:style w:type="character" w:customStyle="1" w:styleId="154">
    <w:name w:val="HTML 预设格式 Char1"/>
    <w:qFormat/>
    <w:uiPriority w:val="0"/>
    <w:rPr>
      <w:rFonts w:ascii="Courier New" w:hAnsi="Courier New" w:eastAsia="宋体" w:cs="Courier New"/>
      <w:sz w:val="20"/>
      <w:szCs w:val="20"/>
    </w:rPr>
  </w:style>
  <w:style w:type="character" w:customStyle="1" w:styleId="155">
    <w:name w:val="普通文字 Char1"/>
    <w:qFormat/>
    <w:uiPriority w:val="0"/>
    <w:rPr>
      <w:rFonts w:ascii="宋体" w:hAnsi="Courier New" w:eastAsia="宋体"/>
      <w:kern w:val="2"/>
      <w:sz w:val="21"/>
      <w:lang w:val="en-US" w:eastAsia="zh-CN"/>
    </w:rPr>
  </w:style>
  <w:style w:type="character" w:customStyle="1" w:styleId="156">
    <w:name w:val="hei16b1"/>
    <w:qFormat/>
    <w:uiPriority w:val="0"/>
    <w:rPr>
      <w:rFonts w:hint="default" w:ascii="Arial" w:hAnsi="Arial" w:cs="Arial"/>
      <w:b/>
      <w:bCs/>
      <w:color w:val="000000"/>
      <w:sz w:val="24"/>
      <w:szCs w:val="24"/>
    </w:rPr>
  </w:style>
  <w:style w:type="character" w:customStyle="1" w:styleId="157">
    <w:name w:val="正文（绿盟科技） Char"/>
    <w:link w:val="158"/>
    <w:qFormat/>
    <w:uiPriority w:val="0"/>
    <w:rPr>
      <w:rFonts w:ascii="Arial" w:hAnsi="Arial"/>
      <w:sz w:val="21"/>
      <w:szCs w:val="21"/>
    </w:rPr>
  </w:style>
  <w:style w:type="paragraph" w:customStyle="1" w:styleId="158">
    <w:name w:val="正文（绿盟科技）"/>
    <w:link w:val="157"/>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qFormat/>
    <w:uiPriority w:val="6"/>
    <w:rPr>
      <w:rFonts w:ascii="宋体" w:hAnsi="宋体"/>
      <w:i/>
      <w:sz w:val="24"/>
      <w:szCs w:val="24"/>
    </w:rPr>
  </w:style>
  <w:style w:type="character" w:customStyle="1" w:styleId="160">
    <w:name w:val="页脚 Char"/>
    <w:qFormat/>
    <w:uiPriority w:val="0"/>
    <w:rPr>
      <w:rFonts w:eastAsia="仿宋_GB2312"/>
      <w:kern w:val="2"/>
      <w:sz w:val="18"/>
      <w:lang w:val="en-US" w:eastAsia="zh-CN"/>
    </w:rPr>
  </w:style>
  <w:style w:type="character" w:customStyle="1" w:styleId="161">
    <w:name w:val="批注主题 Char"/>
    <w:qFormat/>
    <w:uiPriority w:val="0"/>
    <w:rPr>
      <w:rFonts w:eastAsia="宋体"/>
      <w:b/>
      <w:bCs/>
      <w:kern w:val="2"/>
      <w:sz w:val="21"/>
      <w:szCs w:val="24"/>
      <w:lang w:val="en-US" w:eastAsia="zh-CN" w:bidi="ar-SA"/>
    </w:rPr>
  </w:style>
  <w:style w:type="character" w:customStyle="1" w:styleId="162">
    <w:name w:val="Comment Text Char"/>
    <w:qFormat/>
    <w:locked/>
    <w:uiPriority w:val="0"/>
    <w:rPr>
      <w:rFonts w:ascii="宋体" w:hAnsi="宋体" w:eastAsia="宋体"/>
      <w:kern w:val="2"/>
      <w:sz w:val="24"/>
      <w:lang w:val="en-US" w:eastAsia="zh-CN" w:bidi="ar-SA"/>
    </w:rPr>
  </w:style>
  <w:style w:type="character" w:customStyle="1" w:styleId="163">
    <w:name w:val="标题 2 字符"/>
    <w:qFormat/>
    <w:uiPriority w:val="1"/>
    <w:rPr>
      <w:rFonts w:ascii="仿宋_GB2312" w:hAnsi="Times New Roman" w:eastAsia="仿宋_GB2312" w:cs="Times New Roman"/>
      <w:b/>
      <w:kern w:val="2"/>
      <w:sz w:val="24"/>
      <w:lang w:val="zh-CN"/>
    </w:rPr>
  </w:style>
  <w:style w:type="character" w:customStyle="1" w:styleId="164">
    <w:name w:val="Char Char72"/>
    <w:qFormat/>
    <w:uiPriority w:val="0"/>
    <w:rPr>
      <w:rFonts w:eastAsia="宋体"/>
      <w:kern w:val="2"/>
      <w:sz w:val="21"/>
      <w:szCs w:val="24"/>
      <w:lang w:val="en-US" w:eastAsia="zh-CN" w:bidi="ar-SA"/>
    </w:rPr>
  </w:style>
  <w:style w:type="character" w:customStyle="1" w:styleId="165">
    <w:name w:val="正文文本缩进 Char2"/>
    <w:qFormat/>
    <w:uiPriority w:val="0"/>
    <w:rPr>
      <w:rFonts w:ascii="Times New Roman" w:hAnsi="Times New Roman" w:eastAsia="宋体" w:cs="Times New Roman"/>
      <w:snapToGrid w:val="0"/>
      <w:kern w:val="0"/>
      <w:szCs w:val="24"/>
    </w:rPr>
  </w:style>
  <w:style w:type="character" w:customStyle="1" w:styleId="166">
    <w:name w:val="样式2 Char"/>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qFormat/>
    <w:uiPriority w:val="0"/>
    <w:rPr>
      <w:sz w:val="32"/>
    </w:rPr>
  </w:style>
  <w:style w:type="paragraph" w:customStyle="1" w:styleId="168">
    <w:name w:val="表格名称"/>
    <w:basedOn w:val="2"/>
    <w:link w:val="16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qFormat/>
    <w:uiPriority w:val="0"/>
    <w:rPr>
      <w:rFonts w:eastAsia="宋体"/>
      <w:b/>
      <w:sz w:val="24"/>
      <w:lang w:val="en-GB" w:eastAsia="zh-CN" w:bidi="ar-SA"/>
    </w:rPr>
  </w:style>
  <w:style w:type="character" w:customStyle="1" w:styleId="170">
    <w:name w:val="c7 style3"/>
    <w:qFormat/>
    <w:uiPriority w:val="0"/>
  </w:style>
  <w:style w:type="character" w:customStyle="1" w:styleId="171">
    <w:name w:val="正文文本 3 Char1"/>
    <w:semiHidden/>
    <w:qFormat/>
    <w:uiPriority w:val="99"/>
    <w:rPr>
      <w:rFonts w:ascii="Times New Roman" w:hAnsi="Times New Roman" w:eastAsia="宋体" w:cs="Times New Roman"/>
      <w:sz w:val="16"/>
      <w:szCs w:val="16"/>
    </w:rPr>
  </w:style>
  <w:style w:type="character" w:customStyle="1" w:styleId="172">
    <w:name w:val="tw4winInternal"/>
    <w:qFormat/>
    <w:uiPriority w:val="0"/>
    <w:rPr>
      <w:rFonts w:ascii="Courier New" w:hAnsi="Courier New" w:cs="Courier New"/>
      <w:color w:val="FF0000"/>
      <w:lang w:val="en-US" w:eastAsia="zh-CN"/>
    </w:rPr>
  </w:style>
  <w:style w:type="character" w:customStyle="1" w:styleId="173">
    <w:name w:val="Char Char10"/>
    <w:semiHidden/>
    <w:qFormat/>
    <w:uiPriority w:val="0"/>
    <w:rPr>
      <w:rFonts w:ascii="宋体" w:hAnsi="宋体"/>
      <w:kern w:val="2"/>
      <w:sz w:val="21"/>
      <w:szCs w:val="24"/>
      <w:lang w:val="en-US" w:eastAsia="zh-CN"/>
    </w:rPr>
  </w:style>
  <w:style w:type="character" w:customStyle="1" w:styleId="174">
    <w:name w:val="shadow11"/>
    <w:qFormat/>
    <w:uiPriority w:val="0"/>
    <w:rPr>
      <w:color w:val="000000"/>
      <w:sz w:val="21"/>
    </w:rPr>
  </w:style>
  <w:style w:type="character" w:customStyle="1" w:styleId="175">
    <w:name w:val="正文非缩进 Char3"/>
    <w:qFormat/>
    <w:uiPriority w:val="0"/>
    <w:rPr>
      <w:rFonts w:ascii="宋体" w:eastAsia="宋体"/>
      <w:snapToGrid w:val="0"/>
      <w:color w:val="000000"/>
      <w:kern w:val="28"/>
      <w:sz w:val="28"/>
      <w:lang w:val="en-US" w:eastAsia="zh-CN" w:bidi="ar-SA"/>
    </w:rPr>
  </w:style>
  <w:style w:type="character" w:customStyle="1" w:styleId="176">
    <w:name w:val="Char Char"/>
    <w:qFormat/>
    <w:uiPriority w:val="0"/>
    <w:rPr>
      <w:rFonts w:ascii="宋体" w:hAnsi="Courier New" w:eastAsia="宋体"/>
      <w:kern w:val="2"/>
      <w:sz w:val="21"/>
      <w:lang w:val="en-US" w:eastAsia="zh-CN" w:bidi="ar-SA"/>
    </w:rPr>
  </w:style>
  <w:style w:type="character" w:customStyle="1" w:styleId="177">
    <w:name w:val="签名 Char1"/>
    <w:qFormat/>
    <w:uiPriority w:val="0"/>
    <w:rPr>
      <w:rFonts w:ascii="Times New Roman" w:hAnsi="Times New Roman" w:eastAsia="宋体" w:cs="Times New Roman"/>
      <w:szCs w:val="24"/>
    </w:rPr>
  </w:style>
  <w:style w:type="character" w:customStyle="1" w:styleId="178">
    <w:name w:val="日期 Char"/>
    <w:link w:val="35"/>
    <w:qFormat/>
    <w:uiPriority w:val="0"/>
    <w:rPr>
      <w:rFonts w:ascii="宋体"/>
      <w:kern w:val="2"/>
      <w:sz w:val="24"/>
      <w:szCs w:val="21"/>
      <w:lang w:val="zh-CN"/>
    </w:rPr>
  </w:style>
  <w:style w:type="character" w:customStyle="1" w:styleId="179">
    <w:name w:val="标题 9 Char"/>
    <w:link w:val="11"/>
    <w:qFormat/>
    <w:uiPriority w:val="0"/>
    <w:rPr>
      <w:rFonts w:ascii="Arial" w:hAnsi="Arial" w:eastAsia="黑体"/>
      <w:kern w:val="2"/>
      <w:sz w:val="21"/>
      <w:szCs w:val="21"/>
    </w:rPr>
  </w:style>
  <w:style w:type="character" w:customStyle="1" w:styleId="180">
    <w:name w:val="Char Char18"/>
    <w:qFormat/>
    <w:uiPriority w:val="6"/>
    <w:rPr>
      <w:rFonts w:ascii="宋体" w:hAnsi="宋体"/>
      <w:sz w:val="28"/>
    </w:rPr>
  </w:style>
  <w:style w:type="character" w:customStyle="1" w:styleId="181">
    <w:name w:val="批注文字 Char"/>
    <w:qFormat/>
    <w:uiPriority w:val="99"/>
    <w:rPr>
      <w:kern w:val="2"/>
      <w:sz w:val="21"/>
      <w:szCs w:val="24"/>
    </w:rPr>
  </w:style>
  <w:style w:type="character" w:customStyle="1" w:styleId="182">
    <w:name w:val="Char Char22"/>
    <w:qFormat/>
    <w:uiPriority w:val="6"/>
    <w:rPr>
      <w:rFonts w:ascii="宋体" w:hAnsi="宋体"/>
      <w:kern w:val="1"/>
      <w:sz w:val="24"/>
      <w:szCs w:val="24"/>
    </w:rPr>
  </w:style>
  <w:style w:type="character" w:customStyle="1" w:styleId="183">
    <w:name w:val="pt141"/>
    <w:qFormat/>
    <w:uiPriority w:val="0"/>
    <w:rPr>
      <w:color w:val="330066"/>
      <w:sz w:val="22"/>
      <w:szCs w:val="22"/>
    </w:rPr>
  </w:style>
  <w:style w:type="character" w:customStyle="1" w:styleId="184">
    <w:name w:val="正文文本缩进 2 Char1"/>
    <w:semiHidden/>
    <w:qFormat/>
    <w:uiPriority w:val="99"/>
    <w:rPr>
      <w:rFonts w:ascii="Times New Roman" w:hAnsi="Times New Roman" w:eastAsia="宋体" w:cs="Times New Roman"/>
      <w:szCs w:val="24"/>
    </w:rPr>
  </w:style>
  <w:style w:type="character" w:customStyle="1" w:styleId="185">
    <w:name w:val="批注框文本 Char"/>
    <w:link w:val="38"/>
    <w:qFormat/>
    <w:uiPriority w:val="0"/>
    <w:rPr>
      <w:kern w:val="2"/>
      <w:sz w:val="18"/>
      <w:szCs w:val="18"/>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qFormat/>
    <w:uiPriority w:val="0"/>
    <w:rPr>
      <w:rFonts w:ascii="仿宋_GB2312" w:eastAsia="微软雅黑"/>
      <w:b/>
      <w:kern w:val="2"/>
      <w:sz w:val="23"/>
      <w:szCs w:val="23"/>
      <w:lang w:val="en-US" w:eastAsia="zh-CN" w:bidi="ar-SA"/>
    </w:rPr>
  </w:style>
  <w:style w:type="character" w:customStyle="1" w:styleId="188">
    <w:name w:val="my正文 Char"/>
    <w:link w:val="189"/>
    <w:qFormat/>
    <w:locked/>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Char2"/>
    <w:link w:val="5"/>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qFormat/>
    <w:uiPriority w:val="0"/>
    <w:rPr>
      <w:rFonts w:eastAsia="仿宋_GB2312"/>
      <w:kern w:val="2"/>
      <w:sz w:val="18"/>
      <w:lang w:val="en-US" w:eastAsia="zh-CN"/>
    </w:rPr>
  </w:style>
  <w:style w:type="character" w:customStyle="1" w:styleId="193">
    <w:name w:val="FA正文 Char Char"/>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qFormat/>
    <w:uiPriority w:val="0"/>
    <w:rPr>
      <w:rFonts w:ascii="仿宋_GB2312" w:eastAsia="微软雅黑"/>
      <w:b/>
      <w:kern w:val="2"/>
      <w:sz w:val="32"/>
      <w:szCs w:val="32"/>
      <w:lang w:val="en-US" w:eastAsia="zh-CN" w:bidi="ar-SA"/>
    </w:rPr>
  </w:style>
  <w:style w:type="character" w:customStyle="1" w:styleId="199">
    <w:name w:val="文档结构图 Char1"/>
    <w:link w:val="18"/>
    <w:qFormat/>
    <w:uiPriority w:val="0"/>
    <w:rPr>
      <w:kern w:val="2"/>
      <w:sz w:val="21"/>
      <w:szCs w:val="24"/>
      <w:shd w:val="clear" w:color="auto" w:fill="000080"/>
    </w:rPr>
  </w:style>
  <w:style w:type="character" w:customStyle="1" w:styleId="200">
    <w:name w:val="H6 Char"/>
    <w:qFormat/>
    <w:uiPriority w:val="0"/>
    <w:rPr>
      <w:rFonts w:ascii="Arial" w:hAnsi="Arial" w:eastAsia="黑体"/>
      <w:b/>
      <w:bCs/>
      <w:kern w:val="2"/>
      <w:sz w:val="24"/>
      <w:szCs w:val="24"/>
    </w:rPr>
  </w:style>
  <w:style w:type="character" w:customStyle="1" w:styleId="201">
    <w:name w:val="Char Char91"/>
    <w:qFormat/>
    <w:uiPriority w:val="0"/>
    <w:rPr>
      <w:rFonts w:eastAsia="宋体"/>
      <w:kern w:val="2"/>
      <w:sz w:val="18"/>
      <w:szCs w:val="18"/>
      <w:lang w:val="en-US" w:eastAsia="zh-CN" w:bidi="ar-SA"/>
    </w:rPr>
  </w:style>
  <w:style w:type="character" w:customStyle="1" w:styleId="202">
    <w:name w:val="副标题 Char1"/>
    <w:qFormat/>
    <w:uiPriority w:val="0"/>
    <w:rPr>
      <w:rFonts w:ascii="Cambria" w:hAnsi="Cambria" w:eastAsia="宋体" w:cs="Times New Roman"/>
      <w:b/>
      <w:bCs/>
      <w:snapToGrid w:val="0"/>
      <w:kern w:val="28"/>
      <w:sz w:val="32"/>
      <w:szCs w:val="32"/>
    </w:rPr>
  </w:style>
  <w:style w:type="character" w:customStyle="1" w:styleId="203">
    <w:name w:val="font61"/>
    <w:qFormat/>
    <w:uiPriority w:val="0"/>
    <w:rPr>
      <w:rFonts w:hint="eastAsia" w:ascii="仿宋" w:hAnsi="仿宋" w:eastAsia="仿宋" w:cs="仿宋"/>
      <w:color w:val="000000"/>
      <w:sz w:val="20"/>
      <w:szCs w:val="20"/>
      <w:u w:val="none"/>
    </w:rPr>
  </w:style>
  <w:style w:type="character" w:customStyle="1" w:styleId="20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qFormat/>
    <w:uiPriority w:val="0"/>
    <w:rPr>
      <w:color w:val="366FB6"/>
      <w:u w:val="none"/>
    </w:rPr>
  </w:style>
  <w:style w:type="character" w:customStyle="1" w:styleId="208">
    <w:name w:val="正文文本缩进 Char"/>
    <w:qFormat/>
    <w:uiPriority w:val="0"/>
    <w:rPr>
      <w:rFonts w:ascii="宋体" w:hAnsi="宋体"/>
      <w:kern w:val="2"/>
      <w:sz w:val="24"/>
      <w:szCs w:val="24"/>
    </w:rPr>
  </w:style>
  <w:style w:type="character" w:customStyle="1" w:styleId="209">
    <w:name w:val="Char Char102"/>
    <w:semiHidden/>
    <w:qFormat/>
    <w:uiPriority w:val="0"/>
    <w:rPr>
      <w:rFonts w:ascii="宋体" w:hAnsi="宋体"/>
      <w:kern w:val="2"/>
      <w:sz w:val="21"/>
      <w:szCs w:val="24"/>
      <w:lang w:val="en-US" w:eastAsia="zh-CN"/>
    </w:rPr>
  </w:style>
  <w:style w:type="character" w:customStyle="1" w:styleId="210">
    <w:name w:val="页眉 Char1"/>
    <w:qFormat/>
    <w:uiPriority w:val="0"/>
    <w:rPr>
      <w:rFonts w:eastAsia="宋体"/>
      <w:kern w:val="2"/>
      <w:sz w:val="18"/>
      <w:szCs w:val="18"/>
      <w:lang w:val="en-US" w:eastAsia="zh-CN" w:bidi="ar-SA"/>
    </w:rPr>
  </w:style>
  <w:style w:type="character" w:customStyle="1" w:styleId="211">
    <w:name w:val="md"/>
    <w:basedOn w:val="69"/>
    <w:qFormat/>
    <w:uiPriority w:val="0"/>
    <w:rPr>
      <w:rFonts w:ascii="Arial" w:hAnsi="Arial" w:eastAsia="黑体" w:cs="Arial"/>
      <w:snapToGrid w:val="0"/>
      <w:kern w:val="0"/>
      <w:szCs w:val="21"/>
    </w:rPr>
  </w:style>
  <w:style w:type="character" w:customStyle="1" w:styleId="212">
    <w:name w:val="big1"/>
    <w:qFormat/>
    <w:uiPriority w:val="0"/>
    <w:rPr>
      <w:rFonts w:hint="eastAsia" w:ascii="宋体" w:hAnsi="宋体" w:eastAsia="宋体"/>
      <w:color w:val="333333"/>
      <w:sz w:val="22"/>
      <w:szCs w:val="22"/>
    </w:rPr>
  </w:style>
  <w:style w:type="character" w:customStyle="1" w:styleId="213">
    <w:name w:val="Char Char311"/>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6"/>
    <w:qFormat/>
    <w:uiPriority w:val="0"/>
    <w:rPr>
      <w:rFonts w:ascii="仿宋_GB2312" w:hAnsi="仿宋" w:eastAsia="仿宋_GB2312" w:cs="仿宋_GB2312"/>
      <w:sz w:val="32"/>
      <w:szCs w:val="30"/>
      <w:lang w:val="zh-CN"/>
    </w:rPr>
  </w:style>
  <w:style w:type="character" w:customStyle="1" w:styleId="216">
    <w:name w:val="HTML 地址 Char"/>
    <w:link w:val="29"/>
    <w:qFormat/>
    <w:uiPriority w:val="0"/>
    <w:rPr>
      <w:rFonts w:ascii="宋体" w:hAnsi="宋体"/>
      <w:i/>
      <w:iCs/>
      <w:sz w:val="24"/>
      <w:szCs w:val="24"/>
    </w:rPr>
  </w:style>
  <w:style w:type="character" w:customStyle="1" w:styleId="217">
    <w:name w:val="正文首行缩进 2 Char1"/>
    <w:qFormat/>
    <w:uiPriority w:val="0"/>
    <w:rPr>
      <w:rFonts w:ascii="Times New Roman" w:hAnsi="Times New Roman" w:eastAsia="宋体" w:cs="Times New Roman"/>
      <w:kern w:val="2"/>
      <w:sz w:val="24"/>
      <w:szCs w:val="24"/>
    </w:rPr>
  </w:style>
  <w:style w:type="character" w:customStyle="1" w:styleId="218">
    <w:name w:val="副标题 Char2"/>
    <w:qFormat/>
    <w:uiPriority w:val="0"/>
    <w:rPr>
      <w:rFonts w:ascii="Cambria" w:hAnsi="Cambria" w:eastAsia="宋体" w:cs="Times New Roman"/>
      <w:b/>
      <w:bCs/>
      <w:snapToGrid w:val="0"/>
      <w:kern w:val="28"/>
      <w:sz w:val="32"/>
      <w:szCs w:val="32"/>
    </w:rPr>
  </w:style>
  <w:style w:type="character" w:customStyle="1" w:styleId="219">
    <w:name w:val="标题4-dyf Char"/>
    <w:link w:val="220"/>
    <w:qFormat/>
    <w:uiPriority w:val="0"/>
    <w:rPr>
      <w:rFonts w:ascii="Cambria" w:hAnsi="Cambria"/>
      <w:b/>
      <w:bCs/>
      <w:color w:val="000000"/>
      <w:kern w:val="2"/>
      <w:sz w:val="21"/>
      <w:szCs w:val="21"/>
    </w:rPr>
  </w:style>
  <w:style w:type="paragraph" w:customStyle="1" w:styleId="220">
    <w:name w:val="标题4-dyf"/>
    <w:basedOn w:val="6"/>
    <w:link w:val="21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qFormat/>
    <w:uiPriority w:val="0"/>
    <w:rPr>
      <w:rFonts w:ascii="宋体" w:hAnsi="宋体" w:eastAsia="宋体"/>
      <w:color w:val="333333"/>
      <w:sz w:val="21"/>
      <w:szCs w:val="21"/>
      <w:u w:val="none"/>
    </w:rPr>
  </w:style>
  <w:style w:type="character" w:customStyle="1" w:styleId="222">
    <w:name w:val="冯 Char"/>
    <w:link w:val="223"/>
    <w:qFormat/>
    <w:uiPriority w:val="0"/>
    <w:rPr>
      <w:rFonts w:ascii="宋体" w:hAnsi="宋体"/>
      <w:color w:val="000000"/>
      <w:sz w:val="24"/>
      <w:szCs w:val="24"/>
    </w:rPr>
  </w:style>
  <w:style w:type="paragraph" w:customStyle="1" w:styleId="223">
    <w:name w:val="冯"/>
    <w:basedOn w:val="1"/>
    <w:link w:val="222"/>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qFormat/>
    <w:locked/>
    <w:uiPriority w:val="0"/>
    <w:rPr>
      <w:rFonts w:eastAsia="宋体"/>
      <w:kern w:val="2"/>
      <w:sz w:val="18"/>
      <w:szCs w:val="18"/>
      <w:lang w:val="en-US" w:eastAsia="zh-CN" w:bidi="ar-SA"/>
    </w:rPr>
  </w:style>
  <w:style w:type="character" w:customStyle="1" w:styleId="225">
    <w:name w:val="Char Char12"/>
    <w:qFormat/>
    <w:uiPriority w:val="0"/>
    <w:rPr>
      <w:rFonts w:ascii="仿宋_GB2312" w:eastAsia="仿宋_GB2312"/>
      <w:b/>
      <w:bCs/>
      <w:kern w:val="2"/>
      <w:sz w:val="24"/>
      <w:szCs w:val="24"/>
      <w:lang w:val="zh-CN" w:eastAsia="zh-CN" w:bidi="ar-SA"/>
    </w:rPr>
  </w:style>
  <w:style w:type="character" w:customStyle="1" w:styleId="226">
    <w:name w:val="题注 Char"/>
    <w:link w:val="16"/>
    <w:qFormat/>
    <w:uiPriority w:val="0"/>
    <w:rPr>
      <w:b/>
      <w:kern w:val="2"/>
      <w:sz w:val="28"/>
    </w:rPr>
  </w:style>
  <w:style w:type="character" w:customStyle="1" w:styleId="227">
    <w:name w:val="普通文字 Char3"/>
    <w:qFormat/>
    <w:uiPriority w:val="0"/>
    <w:rPr>
      <w:rFonts w:ascii="宋体" w:hAnsi="Courier New" w:eastAsia="宋体"/>
      <w:kern w:val="2"/>
      <w:sz w:val="21"/>
      <w:lang w:val="en-US" w:eastAsia="zh-CN" w:bidi="ar-SA"/>
    </w:rPr>
  </w:style>
  <w:style w:type="character" w:customStyle="1" w:styleId="228">
    <w:name w:val="公文正文 Char"/>
    <w:qFormat/>
    <w:uiPriority w:val="0"/>
    <w:rPr>
      <w:rFonts w:ascii="仿宋_GB2312" w:eastAsia="仿宋_GB2312"/>
      <w:kern w:val="2"/>
      <w:sz w:val="24"/>
      <w:szCs w:val="24"/>
      <w:lang w:val="en-US" w:eastAsia="zh-CN" w:bidi="ar-SA"/>
    </w:rPr>
  </w:style>
  <w:style w:type="character" w:customStyle="1" w:styleId="229">
    <w:name w:val="正文首行缩进 Char Char Char Char Char"/>
    <w:qFormat/>
    <w:uiPriority w:val="0"/>
    <w:rPr>
      <w:rFonts w:ascii="宋体"/>
      <w:kern w:val="2"/>
      <w:sz w:val="24"/>
      <w:lang w:val="zh-CN"/>
    </w:rPr>
  </w:style>
  <w:style w:type="character" w:customStyle="1" w:styleId="230">
    <w:name w:val="PI Char"/>
    <w:qFormat/>
    <w:uiPriority w:val="0"/>
    <w:rPr>
      <w:rFonts w:ascii="宋体" w:hAnsi="宋体" w:eastAsia="宋体"/>
      <w:kern w:val="2"/>
      <w:sz w:val="24"/>
      <w:szCs w:val="24"/>
      <w:lang w:val="en-US" w:eastAsia="zh-CN" w:bidi="ar-SA"/>
    </w:rPr>
  </w:style>
  <w:style w:type="character" w:customStyle="1" w:styleId="231">
    <w:name w:val="Default Char"/>
    <w:link w:val="232"/>
    <w:qFormat/>
    <w:uiPriority w:val="0"/>
    <w:rPr>
      <w:rFonts w:ascii="仿宋_GB2312" w:eastAsia="仿宋_GB2312" w:cs="仿宋_GB2312"/>
      <w:color w:val="000000"/>
      <w:sz w:val="24"/>
      <w:szCs w:val="24"/>
      <w:lang w:val="en-US" w:eastAsia="zh-CN" w:bidi="ar-SA"/>
    </w:rPr>
  </w:style>
  <w:style w:type="paragraph" w:customStyle="1" w:styleId="232">
    <w:name w:val="Default"/>
    <w:link w:val="23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qFormat/>
    <w:uiPriority w:val="0"/>
    <w:rPr>
      <w:color w:val="333333"/>
    </w:rPr>
  </w:style>
  <w:style w:type="character" w:customStyle="1" w:styleId="234">
    <w:name w:val="列出段落 Char2"/>
    <w:qFormat/>
    <w:uiPriority w:val="34"/>
    <w:rPr>
      <w:rFonts w:ascii="Calibri" w:hAnsi="Calibri"/>
      <w:kern w:val="2"/>
      <w:sz w:val="28"/>
    </w:rPr>
  </w:style>
  <w:style w:type="character" w:customStyle="1" w:styleId="235">
    <w:name w:val="mdeck"/>
    <w:qFormat/>
    <w:uiPriority w:val="0"/>
    <w:rPr>
      <w:rFonts w:ascii="仿宋_GB2312" w:eastAsia="微软雅黑"/>
      <w:b/>
      <w:kern w:val="2"/>
      <w:sz w:val="32"/>
      <w:szCs w:val="32"/>
      <w:lang w:val="en-US" w:eastAsia="zh-CN" w:bidi="ar-SA"/>
    </w:rPr>
  </w:style>
  <w:style w:type="character" w:customStyle="1" w:styleId="236">
    <w:name w:val="unnamed11"/>
    <w:qFormat/>
    <w:uiPriority w:val="0"/>
    <w:rPr>
      <w:sz w:val="20"/>
      <w:szCs w:val="20"/>
    </w:rPr>
  </w:style>
  <w:style w:type="character" w:customStyle="1" w:styleId="237">
    <w:name w:val="正文文本 Char2"/>
    <w:semiHidden/>
    <w:qFormat/>
    <w:uiPriority w:val="99"/>
    <w:rPr>
      <w:rFonts w:ascii="Times New Roman" w:hAnsi="Times New Roman" w:eastAsia="宋体" w:cs="Times New Roman"/>
      <w:snapToGrid w:val="0"/>
      <w:kern w:val="0"/>
      <w:szCs w:val="24"/>
    </w:rPr>
  </w:style>
  <w:style w:type="character" w:customStyle="1" w:styleId="238">
    <w:name w:val="标书正文格式 Char"/>
    <w:qFormat/>
    <w:uiPriority w:val="0"/>
    <w:rPr>
      <w:rFonts w:eastAsia="楷体_GB2312"/>
      <w:kern w:val="2"/>
      <w:sz w:val="24"/>
      <w:szCs w:val="24"/>
      <w:lang w:bidi="ar-SA"/>
    </w:rPr>
  </w:style>
  <w:style w:type="character" w:customStyle="1" w:styleId="239">
    <w:name w:val="Char Char11"/>
    <w:qFormat/>
    <w:locked/>
    <w:uiPriority w:val="0"/>
    <w:rPr>
      <w:rFonts w:ascii="宋体" w:hAnsi="宋体" w:eastAsia="宋体"/>
      <w:b/>
      <w:kern w:val="2"/>
      <w:sz w:val="24"/>
      <w:szCs w:val="24"/>
      <w:lang w:val="en-US" w:eastAsia="zh-CN" w:bidi="ar-SA"/>
    </w:rPr>
  </w:style>
  <w:style w:type="character" w:customStyle="1" w:styleId="240">
    <w:name w:val="ca-131"/>
    <w:qFormat/>
    <w:uiPriority w:val="0"/>
    <w:rPr>
      <w:rFonts w:hint="eastAsia" w:ascii="仿宋_GB2312" w:eastAsia="仿宋_GB2312"/>
      <w:b/>
      <w:bCs/>
      <w:color w:val="000000"/>
      <w:spacing w:val="-20"/>
      <w:sz w:val="24"/>
      <w:szCs w:val="24"/>
    </w:rPr>
  </w:style>
  <w:style w:type="character" w:customStyle="1" w:styleId="241">
    <w:name w:val="tw4winMark"/>
    <w:qFormat/>
    <w:uiPriority w:val="0"/>
    <w:rPr>
      <w:rFonts w:ascii="Courier New" w:hAnsi="Courier New" w:cs="Courier New"/>
      <w:vanish/>
      <w:color w:val="800080"/>
      <w:sz w:val="24"/>
      <w:szCs w:val="24"/>
      <w:vertAlign w:val="subscript"/>
    </w:rPr>
  </w:style>
  <w:style w:type="character" w:customStyle="1" w:styleId="242">
    <w:name w:val="正文样式 Char"/>
    <w:link w:val="243"/>
    <w:qFormat/>
    <w:uiPriority w:val="0"/>
    <w:rPr>
      <w:rFonts w:ascii="Calibri" w:hAnsi="Calibri"/>
      <w:sz w:val="24"/>
      <w:szCs w:val="24"/>
    </w:rPr>
  </w:style>
  <w:style w:type="paragraph" w:customStyle="1" w:styleId="243">
    <w:name w:val="正文样式"/>
    <w:basedOn w:val="1"/>
    <w:link w:val="242"/>
    <w:qFormat/>
    <w:uiPriority w:val="0"/>
    <w:pPr>
      <w:adjustRightInd/>
      <w:spacing w:line="360" w:lineRule="auto"/>
      <w:ind w:firstLine="480" w:firstLineChars="200"/>
    </w:pPr>
    <w:rPr>
      <w:kern w:val="0"/>
      <w:sz w:val="24"/>
    </w:rPr>
  </w:style>
  <w:style w:type="character" w:customStyle="1" w:styleId="244">
    <w:name w:val="表正文 Char3"/>
    <w:qFormat/>
    <w:uiPriority w:val="0"/>
    <w:rPr>
      <w:rFonts w:eastAsia="宋体"/>
    </w:rPr>
  </w:style>
  <w:style w:type="character" w:customStyle="1" w:styleId="245">
    <w:name w:val="H5 Char"/>
    <w:qFormat/>
    <w:uiPriority w:val="0"/>
    <w:rPr>
      <w:b/>
      <w:bCs/>
      <w:kern w:val="2"/>
      <w:sz w:val="28"/>
      <w:szCs w:val="28"/>
    </w:rPr>
  </w:style>
  <w:style w:type="character" w:customStyle="1" w:styleId="246">
    <w:name w:val="Char Char3"/>
    <w:qFormat/>
    <w:uiPriority w:val="0"/>
    <w:rPr>
      <w:rFonts w:eastAsia="宋体"/>
      <w:kern w:val="2"/>
      <w:sz w:val="21"/>
      <w:szCs w:val="24"/>
      <w:lang w:val="en-US" w:eastAsia="zh-CN" w:bidi="ar-SA"/>
    </w:rPr>
  </w:style>
  <w:style w:type="character" w:customStyle="1" w:styleId="247">
    <w:name w:val="正文 编号 Char"/>
    <w:qFormat/>
    <w:uiPriority w:val="0"/>
    <w:rPr>
      <w:rFonts w:ascii="仿宋_GB2312" w:hAnsi="仿宋_GB2312" w:eastAsia="仿宋_GB2312"/>
      <w:kern w:val="2"/>
      <w:sz w:val="24"/>
      <w:lang w:bidi="ar-SA"/>
    </w:rPr>
  </w:style>
  <w:style w:type="character" w:customStyle="1" w:styleId="248">
    <w:name w:val="question-title2"/>
    <w:qFormat/>
    <w:uiPriority w:val="6"/>
    <w:rPr>
      <w:rFonts w:ascii="Arial" w:hAnsi="Arial" w:eastAsia="黑体" w:cs="Arial"/>
      <w:snapToGrid w:val="0"/>
      <w:kern w:val="0"/>
      <w:szCs w:val="21"/>
    </w:rPr>
  </w:style>
  <w:style w:type="character" w:customStyle="1" w:styleId="249">
    <w:name w:val="gf正文1 Char Char"/>
    <w:link w:val="250"/>
    <w:qFormat/>
    <w:uiPriority w:val="0"/>
    <w:rPr>
      <w:rFonts w:ascii="宋体" w:hAnsi="宋体" w:cs="宋体"/>
      <w:kern w:val="2"/>
      <w:sz w:val="24"/>
      <w:szCs w:val="24"/>
    </w:rPr>
  </w:style>
  <w:style w:type="paragraph" w:customStyle="1" w:styleId="250">
    <w:name w:val="gf正文1"/>
    <w:basedOn w:val="1"/>
    <w:link w:val="24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qFormat/>
    <w:uiPriority w:val="6"/>
    <w:rPr>
      <w:rFonts w:ascii="宋体" w:hAnsi="宋体"/>
      <w:kern w:val="1"/>
      <w:sz w:val="21"/>
    </w:rPr>
  </w:style>
  <w:style w:type="character" w:customStyle="1" w:styleId="252">
    <w:name w:val="正文缩进 Char3"/>
    <w:qFormat/>
    <w:uiPriority w:val="0"/>
    <w:rPr>
      <w:rFonts w:ascii="宋体" w:eastAsia="宋体"/>
      <w:snapToGrid w:val="0"/>
      <w:color w:val="000000"/>
      <w:kern w:val="28"/>
      <w:sz w:val="28"/>
      <w:lang w:val="en-US" w:eastAsia="zh-CN" w:bidi="ar-SA"/>
    </w:rPr>
  </w:style>
  <w:style w:type="character" w:customStyle="1" w:styleId="253">
    <w:name w:val="列出段落 Char1"/>
    <w:link w:val="254"/>
    <w:qFormat/>
    <w:uiPriority w:val="0"/>
    <w:rPr>
      <w:rFonts w:ascii="Calibri" w:hAnsi="Calibri"/>
      <w:sz w:val="24"/>
      <w:lang w:eastAsia="en-US"/>
    </w:rPr>
  </w:style>
  <w:style w:type="paragraph" w:customStyle="1" w:styleId="254">
    <w:name w:val="列表1"/>
    <w:basedOn w:val="1"/>
    <w:next w:val="255"/>
    <w:link w:val="253"/>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qFormat/>
    <w:uiPriority w:val="34"/>
    <w:pPr>
      <w:spacing w:line="360" w:lineRule="auto"/>
      <w:ind w:firstLine="200" w:firstLineChars="200"/>
    </w:pPr>
    <w:rPr>
      <w:rFonts w:eastAsia="楷体_GB2312" w:cs="Lucida Sans"/>
      <w:sz w:val="24"/>
    </w:rPr>
  </w:style>
  <w:style w:type="character" w:customStyle="1" w:styleId="256">
    <w:name w:val="Char Char8"/>
    <w:qFormat/>
    <w:uiPriority w:val="0"/>
    <w:rPr>
      <w:rFonts w:eastAsia="宋体"/>
      <w:b/>
      <w:sz w:val="24"/>
      <w:lang w:val="en-GB" w:eastAsia="zh-CN"/>
    </w:rPr>
  </w:style>
  <w:style w:type="character" w:customStyle="1" w:styleId="257">
    <w:name w:val="Normal Indent Char Char"/>
    <w:qFormat/>
    <w:uiPriority w:val="0"/>
    <w:rPr>
      <w:rFonts w:eastAsia="宋体"/>
      <w:kern w:val="2"/>
      <w:sz w:val="21"/>
      <w:lang w:val="en-US" w:eastAsia="zh-CN" w:bidi="ar-SA"/>
    </w:rPr>
  </w:style>
  <w:style w:type="character" w:customStyle="1" w:styleId="258">
    <w:name w:val="列表段落 字符"/>
    <w:qFormat/>
    <w:uiPriority w:val="99"/>
  </w:style>
  <w:style w:type="character" w:customStyle="1" w:styleId="259">
    <w:name w:val="Ò³Ã¼ Char Char1"/>
    <w:qFormat/>
    <w:uiPriority w:val="0"/>
    <w:rPr>
      <w:rFonts w:eastAsia="宋体"/>
      <w:kern w:val="2"/>
      <w:sz w:val="18"/>
      <w:szCs w:val="18"/>
      <w:lang w:val="en-US" w:eastAsia="zh-CN" w:bidi="ar-SA"/>
    </w:rPr>
  </w:style>
  <w:style w:type="character" w:customStyle="1" w:styleId="260">
    <w:name w:val="方案正文 Char"/>
    <w:qFormat/>
    <w:uiPriority w:val="0"/>
    <w:rPr>
      <w:rFonts w:ascii="仿宋_GB2312" w:eastAsia="仿宋_GB2312"/>
      <w:b/>
      <w:color w:val="000000"/>
      <w:kern w:val="2"/>
      <w:sz w:val="24"/>
      <w:lang w:val="en-US" w:eastAsia="zh-CN" w:bidi="ar-SA"/>
    </w:rPr>
  </w:style>
  <w:style w:type="character" w:customStyle="1" w:styleId="261">
    <w:name w:val="Char Char30"/>
    <w:qFormat/>
    <w:uiPriority w:val="6"/>
    <w:rPr>
      <w:rFonts w:ascii="Arial" w:hAnsi="Arial" w:eastAsia="黑体"/>
      <w:kern w:val="1"/>
      <w:sz w:val="21"/>
      <w:szCs w:val="21"/>
    </w:rPr>
  </w:style>
  <w:style w:type="character" w:customStyle="1" w:styleId="262">
    <w:name w:val="正文文本缩进 Char3"/>
    <w:link w:val="24"/>
    <w:qFormat/>
    <w:uiPriority w:val="0"/>
    <w:rPr>
      <w:rFonts w:ascii="宋体" w:hAnsi="宋体"/>
      <w:kern w:val="2"/>
      <w:sz w:val="24"/>
      <w:szCs w:val="24"/>
    </w:rPr>
  </w:style>
  <w:style w:type="character" w:customStyle="1" w:styleId="263">
    <w:name w:val="font01"/>
    <w:qFormat/>
    <w:uiPriority w:val="0"/>
    <w:rPr>
      <w:rFonts w:hint="eastAsia" w:ascii="微软雅黑" w:hAnsi="微软雅黑" w:eastAsia="微软雅黑" w:cs="微软雅黑"/>
      <w:color w:val="000000"/>
      <w:sz w:val="20"/>
      <w:szCs w:val="20"/>
      <w:u w:val="none"/>
    </w:rPr>
  </w:style>
  <w:style w:type="character" w:customStyle="1" w:styleId="264">
    <w:name w:val="Char Char20"/>
    <w:qFormat/>
    <w:uiPriority w:val="6"/>
    <w:rPr>
      <w:kern w:val="1"/>
      <w:sz w:val="24"/>
    </w:rPr>
  </w:style>
  <w:style w:type="character" w:customStyle="1" w:styleId="265">
    <w:name w:val="tw4winExternal"/>
    <w:qFormat/>
    <w:uiPriority w:val="0"/>
    <w:rPr>
      <w:rFonts w:ascii="Courier New" w:hAnsi="Courier New" w:cs="Courier New"/>
      <w:color w:val="808080"/>
      <w:lang w:val="en-US" w:eastAsia="zh-CN"/>
    </w:rPr>
  </w:style>
  <w:style w:type="character" w:customStyle="1" w:styleId="266">
    <w:name w:val="标题 4 Char1"/>
    <w:qFormat/>
    <w:uiPriority w:val="9"/>
    <w:rPr>
      <w:rFonts w:ascii="Cambria" w:hAnsi="Cambria" w:eastAsia="宋体" w:cs="Times New Roman"/>
      <w:b/>
      <w:bCs/>
      <w:kern w:val="2"/>
      <w:sz w:val="28"/>
      <w:szCs w:val="28"/>
    </w:rPr>
  </w:style>
  <w:style w:type="character" w:customStyle="1" w:styleId="267">
    <w:name w:val="批注文字 Char2"/>
    <w:qFormat/>
    <w:uiPriority w:val="99"/>
    <w:rPr>
      <w:rFonts w:ascii="Times New Roman" w:hAnsi="Times New Roman" w:eastAsia="宋体" w:cs="Times New Roman"/>
      <w:snapToGrid w:val="0"/>
      <w:kern w:val="0"/>
      <w:szCs w:val="24"/>
    </w:rPr>
  </w:style>
  <w:style w:type="character" w:customStyle="1" w:styleId="268">
    <w:name w:val="正文文本 2 Char"/>
    <w:qFormat/>
    <w:uiPriority w:val="0"/>
    <w:rPr>
      <w:rFonts w:eastAsia="宋体"/>
      <w:kern w:val="2"/>
      <w:sz w:val="21"/>
      <w:szCs w:val="24"/>
      <w:lang w:val="en-US" w:eastAsia="zh-CN" w:bidi="ar-SA"/>
    </w:rPr>
  </w:style>
  <w:style w:type="character" w:customStyle="1" w:styleId="269">
    <w:name w:val="Ò³Ã¼ Char Char"/>
    <w:qFormat/>
    <w:uiPriority w:val="0"/>
    <w:rPr>
      <w:rFonts w:eastAsia="宋体"/>
      <w:kern w:val="2"/>
      <w:sz w:val="18"/>
      <w:lang w:val="en-US" w:eastAsia="zh-CN" w:bidi="ar-SA"/>
    </w:rPr>
  </w:style>
  <w:style w:type="character" w:customStyle="1" w:styleId="270">
    <w:name w:val="message1"/>
    <w:qFormat/>
    <w:uiPriority w:val="0"/>
    <w:rPr>
      <w:rFonts w:hint="default" w:ascii="Tahoma" w:hAnsi="Tahoma" w:cs="Tahoma"/>
      <w:sz w:val="18"/>
      <w:szCs w:val="18"/>
    </w:rPr>
  </w:style>
  <w:style w:type="character" w:customStyle="1" w:styleId="271">
    <w:name w:val="Char Char23"/>
    <w:qFormat/>
    <w:uiPriority w:val="6"/>
    <w:rPr>
      <w:color w:val="0000FF"/>
      <w:sz w:val="21"/>
    </w:rPr>
  </w:style>
  <w:style w:type="character" w:customStyle="1" w:styleId="272">
    <w:name w:val="批注框文本 字符"/>
    <w:qFormat/>
    <w:uiPriority w:val="0"/>
    <w:rPr>
      <w:rFonts w:ascii="Arial" w:hAnsi="Arial" w:eastAsia="黑体" w:cs="Arial"/>
      <w:snapToGrid w:val="0"/>
      <w:kern w:val="0"/>
      <w:sz w:val="18"/>
      <w:szCs w:val="18"/>
    </w:rPr>
  </w:style>
  <w:style w:type="character" w:customStyle="1" w:styleId="273">
    <w:name w:val="纯文本 Char2"/>
    <w:semiHidden/>
    <w:qFormat/>
    <w:uiPriority w:val="99"/>
    <w:rPr>
      <w:rFonts w:ascii="宋体" w:hAnsi="Courier New" w:eastAsia="宋体" w:cs="Courier New"/>
    </w:rPr>
  </w:style>
  <w:style w:type="character" w:customStyle="1" w:styleId="274">
    <w:name w:val="Char Char25"/>
    <w:qFormat/>
    <w:uiPriority w:val="6"/>
    <w:rPr>
      <w:rFonts w:ascii="宋体" w:hAnsi="宋体"/>
      <w:kern w:val="1"/>
      <w:sz w:val="24"/>
      <w:lang w:val="zh-CN"/>
    </w:rPr>
  </w:style>
  <w:style w:type="character" w:customStyle="1" w:styleId="275">
    <w:name w:val="Char Char411"/>
    <w:qFormat/>
    <w:uiPriority w:val="0"/>
    <w:rPr>
      <w:rFonts w:eastAsia="宋体"/>
      <w:b/>
      <w:sz w:val="24"/>
      <w:lang w:val="en-GB" w:eastAsia="zh-CN" w:bidi="ar-SA"/>
    </w:rPr>
  </w:style>
  <w:style w:type="character" w:customStyle="1" w:styleId="276">
    <w:name w:val="Heading 7 Char"/>
    <w:qFormat/>
    <w:locked/>
    <w:uiPriority w:val="0"/>
    <w:rPr>
      <w:rFonts w:ascii="宋体" w:hAnsi="宋体" w:eastAsia="宋体"/>
      <w:b/>
      <w:bCs/>
      <w:kern w:val="2"/>
      <w:sz w:val="24"/>
      <w:szCs w:val="24"/>
      <w:lang w:val="en-US" w:eastAsia="zh-CN" w:bidi="ar-SA"/>
    </w:rPr>
  </w:style>
  <w:style w:type="character" w:customStyle="1" w:styleId="277">
    <w:name w:val="此正文 Char"/>
    <w:link w:val="278"/>
    <w:qFormat/>
    <w:uiPriority w:val="0"/>
    <w:rPr>
      <w:kern w:val="2"/>
      <w:sz w:val="24"/>
      <w:szCs w:val="24"/>
    </w:rPr>
  </w:style>
  <w:style w:type="paragraph" w:customStyle="1" w:styleId="278">
    <w:name w:val="此正文"/>
    <w:basedOn w:val="1"/>
    <w:link w:val="277"/>
    <w:qFormat/>
    <w:uiPriority w:val="0"/>
    <w:pPr>
      <w:adjustRightInd/>
      <w:spacing w:line="360" w:lineRule="auto"/>
      <w:ind w:firstLine="200" w:firstLineChars="200"/>
    </w:pPr>
    <w:rPr>
      <w:sz w:val="24"/>
    </w:rPr>
  </w:style>
  <w:style w:type="character" w:customStyle="1" w:styleId="279">
    <w:name w:val="Char Char2"/>
    <w:qFormat/>
    <w:uiPriority w:val="0"/>
    <w:rPr>
      <w:rFonts w:eastAsia="宋体"/>
      <w:b/>
      <w:bCs/>
      <w:kern w:val="2"/>
      <w:sz w:val="21"/>
      <w:szCs w:val="24"/>
      <w:lang w:val="en-US" w:eastAsia="zh-CN" w:bidi="ar-SA"/>
    </w:rPr>
  </w:style>
  <w:style w:type="character" w:customStyle="1" w:styleId="280">
    <w:name w:val="标题 1 Char"/>
    <w:link w:val="3"/>
    <w:qFormat/>
    <w:uiPriority w:val="9"/>
    <w:rPr>
      <w:b/>
      <w:bCs/>
      <w:kern w:val="44"/>
      <w:sz w:val="44"/>
      <w:szCs w:val="44"/>
    </w:rPr>
  </w:style>
  <w:style w:type="character" w:customStyle="1" w:styleId="281">
    <w:name w:val="Footer-Even Char1"/>
    <w:qFormat/>
    <w:uiPriority w:val="0"/>
    <w:rPr>
      <w:rFonts w:eastAsia="宋体"/>
      <w:kern w:val="2"/>
      <w:sz w:val="18"/>
      <w:szCs w:val="18"/>
      <w:lang w:val="en-US" w:eastAsia="zh-CN" w:bidi="ar-SA"/>
    </w:rPr>
  </w:style>
  <w:style w:type="character" w:customStyle="1" w:styleId="282">
    <w:name w:val="Char Char29"/>
    <w:qFormat/>
    <w:uiPriority w:val="6"/>
    <w:rPr>
      <w:rFonts w:ascii="Arial" w:hAnsi="Arial" w:eastAsia="微软雅黑"/>
      <w:b/>
      <w:kern w:val="1"/>
      <w:sz w:val="44"/>
      <w:szCs w:val="32"/>
      <w:lang w:val="en-US" w:eastAsia="zh-CN" w:bidi="ar-SA"/>
    </w:rPr>
  </w:style>
  <w:style w:type="character" w:customStyle="1" w:styleId="283">
    <w:name w:val="标题 Char2"/>
    <w:link w:val="58"/>
    <w:qFormat/>
    <w:uiPriority w:val="10"/>
    <w:rPr>
      <w:b/>
      <w:sz w:val="24"/>
      <w:lang w:val="en-GB"/>
    </w:rPr>
  </w:style>
  <w:style w:type="character" w:customStyle="1" w:styleId="284">
    <w:name w:val="font81"/>
    <w:qFormat/>
    <w:uiPriority w:val="0"/>
    <w:rPr>
      <w:rFonts w:ascii="微软雅黑" w:hAnsi="微软雅黑" w:eastAsia="微软雅黑" w:cs="微软雅黑"/>
      <w:color w:val="000000"/>
      <w:sz w:val="20"/>
      <w:szCs w:val="20"/>
      <w:u w:val="none"/>
    </w:rPr>
  </w:style>
  <w:style w:type="character" w:customStyle="1" w:styleId="285">
    <w:name w:val="Char Char312"/>
    <w:qFormat/>
    <w:uiPriority w:val="0"/>
    <w:rPr>
      <w:rFonts w:ascii="Times New Roman" w:hAnsi="Times New Roman" w:eastAsia="宋体" w:cs="Times New Roman"/>
      <w:b/>
      <w:kern w:val="2"/>
      <w:sz w:val="32"/>
      <w:szCs w:val="24"/>
      <w:lang w:val="en-US" w:eastAsia="zh-CN" w:bidi="ar-SA"/>
    </w:rPr>
  </w:style>
  <w:style w:type="character" w:customStyle="1" w:styleId="286">
    <w:name w:val="t21"/>
    <w:qFormat/>
    <w:uiPriority w:val="0"/>
    <w:rPr>
      <w:rFonts w:ascii="仿宋_GB2312" w:eastAsia="微软雅黑"/>
      <w:b/>
      <w:kern w:val="2"/>
      <w:sz w:val="23"/>
      <w:szCs w:val="23"/>
      <w:lang w:val="en-US" w:eastAsia="zh-CN" w:bidi="ar-SA"/>
    </w:rPr>
  </w:style>
  <w:style w:type="character" w:customStyle="1" w:styleId="287">
    <w:name w:val="样式8 Char"/>
    <w:qFormat/>
    <w:uiPriority w:val="0"/>
    <w:rPr>
      <w:rFonts w:ascii="仿宋_GB2312" w:hAnsi="宋体" w:eastAsia="仿宋_GB2312"/>
      <w:b/>
      <w:bCs/>
      <w:kern w:val="2"/>
      <w:sz w:val="24"/>
      <w:szCs w:val="24"/>
    </w:rPr>
  </w:style>
  <w:style w:type="character" w:customStyle="1" w:styleId="288">
    <w:name w:val="表格 Char Char"/>
    <w:qFormat/>
    <w:uiPriority w:val="0"/>
    <w:rPr>
      <w:rFonts w:ascii="宋体" w:hAnsi="宋体" w:eastAsia="宋体"/>
      <w:lang w:bidi="ar-SA"/>
    </w:rPr>
  </w:style>
  <w:style w:type="character" w:customStyle="1" w:styleId="289">
    <w:name w:val="正文文本 字符1"/>
    <w:qFormat/>
    <w:uiPriority w:val="0"/>
    <w:rPr>
      <w:rFonts w:ascii="Calibri" w:hAnsi="Calibri" w:eastAsia="黑体" w:cs="Arial"/>
      <w:snapToGrid w:val="0"/>
      <w:kern w:val="2"/>
      <w:sz w:val="28"/>
      <w:szCs w:val="21"/>
    </w:rPr>
  </w:style>
  <w:style w:type="character" w:customStyle="1" w:styleId="290">
    <w:name w:val="标题 5 Char"/>
    <w:link w:val="7"/>
    <w:qFormat/>
    <w:uiPriority w:val="9"/>
    <w:rPr>
      <w:b/>
      <w:bCs/>
      <w:kern w:val="2"/>
      <w:sz w:val="28"/>
      <w:szCs w:val="28"/>
    </w:rPr>
  </w:style>
  <w:style w:type="character" w:customStyle="1" w:styleId="291">
    <w:name w:val="标题 6 Char1"/>
    <w:qFormat/>
    <w:uiPriority w:val="0"/>
    <w:rPr>
      <w:rFonts w:ascii="Arial" w:hAnsi="Arial" w:eastAsia="黑体" w:cs="Times New Roman"/>
      <w:b/>
      <w:sz w:val="24"/>
      <w:szCs w:val="20"/>
      <w:lang w:bidi="ar-SA"/>
    </w:rPr>
  </w:style>
  <w:style w:type="character" w:customStyle="1" w:styleId="292">
    <w:name w:val="带编号样式 Char"/>
    <w:qFormat/>
    <w:uiPriority w:val="0"/>
    <w:rPr>
      <w:rFonts w:ascii="仿宋_GB2312" w:eastAsia="仿宋_GB2312"/>
      <w:color w:val="000000"/>
      <w:sz w:val="24"/>
      <w:lang w:bidi="ar-SA"/>
    </w:rPr>
  </w:style>
  <w:style w:type="character" w:customStyle="1" w:styleId="293">
    <w:name w:val="unnamed31"/>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qFormat/>
    <w:uiPriority w:val="0"/>
    <w:rPr>
      <w:rFonts w:ascii="宋体" w:eastAsia="宋体"/>
      <w:kern w:val="2"/>
      <w:sz w:val="24"/>
      <w:szCs w:val="24"/>
      <w:lang w:val="zh-CN" w:bidi="ar-SA"/>
    </w:rPr>
  </w:style>
  <w:style w:type="character" w:customStyle="1" w:styleId="295">
    <w:name w:val="称呼 Char"/>
    <w:link w:val="20"/>
    <w:qFormat/>
    <w:uiPriority w:val="0"/>
    <w:rPr>
      <w:rFonts w:ascii="仿宋_GB2312" w:eastAsia="仿宋_GB2312"/>
      <w:kern w:val="2"/>
      <w:sz w:val="28"/>
    </w:rPr>
  </w:style>
  <w:style w:type="character" w:customStyle="1" w:styleId="296">
    <w:name w:val="文本正文 Char Char"/>
    <w:qFormat/>
    <w:locked/>
    <w:uiPriority w:val="0"/>
    <w:rPr>
      <w:sz w:val="24"/>
      <w:lang w:bidi="ar-SA"/>
    </w:rPr>
  </w:style>
  <w:style w:type="character" w:customStyle="1" w:styleId="297">
    <w:name w:val="正文缩进 字符"/>
    <w:qFormat/>
    <w:uiPriority w:val="0"/>
    <w:rPr>
      <w:rFonts w:ascii="宋体" w:eastAsia="宋体"/>
      <w:snapToGrid w:val="0"/>
      <w:color w:val="000000"/>
      <w:kern w:val="28"/>
      <w:sz w:val="28"/>
      <w:lang w:val="en-US" w:eastAsia="zh-CN" w:bidi="ar-SA"/>
    </w:rPr>
  </w:style>
  <w:style w:type="character" w:customStyle="1" w:styleId="298">
    <w:name w:val="HTML 预设格式 Char"/>
    <w:link w:val="56"/>
    <w:qFormat/>
    <w:uiPriority w:val="0"/>
    <w:rPr>
      <w:rFonts w:ascii="黑体" w:hAnsi="Courier New" w:eastAsia="黑体"/>
    </w:rPr>
  </w:style>
  <w:style w:type="character" w:customStyle="1" w:styleId="299">
    <w:name w:val="正文文本 2 Char1"/>
    <w:link w:val="55"/>
    <w:qFormat/>
    <w:uiPriority w:val="0"/>
    <w:rPr>
      <w:kern w:val="2"/>
      <w:sz w:val="21"/>
      <w:szCs w:val="24"/>
    </w:rPr>
  </w:style>
  <w:style w:type="character" w:customStyle="1" w:styleId="300">
    <w:name w:val="样式 样式 标题 4h4H4Fab-4T5Ref Heading 1rh1Heading sqlsect 1.2.3.... +... Char"/>
    <w:link w:val="301"/>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qFormat/>
    <w:uiPriority w:val="0"/>
    <w:pPr>
      <w:tabs>
        <w:tab w:val="left" w:pos="2356"/>
      </w:tabs>
    </w:pPr>
  </w:style>
  <w:style w:type="paragraph" w:customStyle="1" w:styleId="302">
    <w:name w:val="样式 标题 4h4H4Fab-4T5Ref Heading 1rh1Heading sqlsect 1.2.3...."/>
    <w:basedOn w:val="6"/>
    <w:link w:val="41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qFormat/>
    <w:uiPriority w:val="0"/>
    <w:rPr>
      <w:rFonts w:ascii="宋体" w:eastAsia="宋体"/>
      <w:snapToGrid w:val="0"/>
      <w:color w:val="000000"/>
      <w:kern w:val="28"/>
      <w:sz w:val="28"/>
      <w:lang w:val="en-US" w:eastAsia="zh-CN" w:bidi="ar-SA"/>
    </w:rPr>
  </w:style>
  <w:style w:type="character" w:customStyle="1" w:styleId="304">
    <w:name w:val="标题 7 Char"/>
    <w:link w:val="9"/>
    <w:qFormat/>
    <w:uiPriority w:val="0"/>
    <w:rPr>
      <w:b/>
      <w:bCs/>
      <w:kern w:val="2"/>
      <w:sz w:val="24"/>
      <w:szCs w:val="24"/>
    </w:rPr>
  </w:style>
  <w:style w:type="character" w:customStyle="1" w:styleId="305">
    <w:name w:val="正文文本缩进 2 Char"/>
    <w:link w:val="36"/>
    <w:qFormat/>
    <w:uiPriority w:val="0"/>
    <w:rPr>
      <w:rFonts w:ascii="宋体"/>
      <w:sz w:val="28"/>
    </w:rPr>
  </w:style>
  <w:style w:type="character" w:customStyle="1" w:styleId="306">
    <w:name w:val="Char Char5"/>
    <w:qFormat/>
    <w:uiPriority w:val="0"/>
    <w:rPr>
      <w:rFonts w:ascii="宋体" w:hAnsi="Courier New" w:eastAsia="宋体"/>
      <w:kern w:val="2"/>
      <w:sz w:val="21"/>
      <w:lang w:val="en-US" w:eastAsia="zh-CN"/>
    </w:rPr>
  </w:style>
  <w:style w:type="character" w:customStyle="1" w:styleId="307">
    <w:name w:val="脚注文本 Char"/>
    <w:link w:val="49"/>
    <w:qFormat/>
    <w:uiPriority w:val="0"/>
    <w:rPr>
      <w:color w:val="0000FF"/>
      <w:sz w:val="21"/>
    </w:rPr>
  </w:style>
  <w:style w:type="character" w:customStyle="1" w:styleId="308">
    <w:name w:val="称呼 Char1"/>
    <w:qFormat/>
    <w:uiPriority w:val="0"/>
    <w:rPr>
      <w:rFonts w:ascii="Times New Roman" w:hAnsi="Times New Roman" w:eastAsia="宋体" w:cs="Times New Roman"/>
      <w:szCs w:val="24"/>
    </w:rPr>
  </w:style>
  <w:style w:type="character" w:customStyle="1" w:styleId="309">
    <w:name w:val="正文1 Char"/>
    <w:qFormat/>
    <w:uiPriority w:val="0"/>
    <w:rPr>
      <w:rFonts w:ascii="宋体" w:eastAsia="宋体"/>
      <w:snapToGrid w:val="0"/>
      <w:color w:val="000000"/>
      <w:kern w:val="28"/>
      <w:sz w:val="28"/>
      <w:lang w:val="en-US" w:eastAsia="zh-CN" w:bidi="ar-SA"/>
    </w:rPr>
  </w:style>
  <w:style w:type="character" w:customStyle="1" w:styleId="310">
    <w:name w:val="正文缩进 Char1"/>
    <w:qFormat/>
    <w:uiPriority w:val="0"/>
    <w:rPr>
      <w:rFonts w:ascii="宋体" w:eastAsia="宋体"/>
      <w:snapToGrid w:val="0"/>
      <w:color w:val="000000"/>
      <w:kern w:val="28"/>
      <w:sz w:val="28"/>
      <w:lang w:val="en-US" w:eastAsia="zh-CN" w:bidi="ar-SA"/>
    </w:rPr>
  </w:style>
  <w:style w:type="character" w:customStyle="1" w:styleId="311">
    <w:name w:val="font21"/>
    <w:qFormat/>
    <w:uiPriority w:val="0"/>
    <w:rPr>
      <w:rFonts w:hint="eastAsia" w:ascii="宋体" w:hAnsi="宋体" w:eastAsia="宋体"/>
      <w:kern w:val="2"/>
      <w:sz w:val="28"/>
      <w:szCs w:val="28"/>
      <w:lang w:val="en-US" w:eastAsia="zh-CN" w:bidi="ar-SA"/>
    </w:rPr>
  </w:style>
  <w:style w:type="character" w:customStyle="1" w:styleId="312">
    <w:name w:val="Char Char26"/>
    <w:qFormat/>
    <w:uiPriority w:val="6"/>
    <w:rPr>
      <w:kern w:val="1"/>
      <w:sz w:val="21"/>
      <w:szCs w:val="24"/>
    </w:rPr>
  </w:style>
  <w:style w:type="character" w:customStyle="1" w:styleId="313">
    <w:name w:val="Item List Char"/>
    <w:link w:val="314"/>
    <w:qFormat/>
    <w:uiPriority w:val="0"/>
    <w:rPr>
      <w:rFonts w:ascii="Arial"/>
      <w:bCs/>
      <w:sz w:val="21"/>
      <w:szCs w:val="21"/>
      <w:lang w:val="en-US" w:eastAsia="zh-CN" w:bidi="ar-SA"/>
    </w:rPr>
  </w:style>
  <w:style w:type="paragraph" w:customStyle="1" w:styleId="314">
    <w:name w:val="Item List"/>
    <w:link w:val="31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纯文本 Char1"/>
    <w:link w:val="317"/>
    <w:qFormat/>
    <w:uiPriority w:val="0"/>
    <w:rPr>
      <w:rFonts w:ascii="宋体" w:hAnsi="Courier New"/>
    </w:rPr>
  </w:style>
  <w:style w:type="paragraph" w:customStyle="1" w:styleId="317">
    <w:name w:val="纯文本1"/>
    <w:basedOn w:val="1"/>
    <w:link w:val="316"/>
    <w:qFormat/>
    <w:uiPriority w:val="0"/>
    <w:pPr>
      <w:adjustRightInd/>
    </w:pPr>
    <w:rPr>
      <w:rFonts w:ascii="宋体" w:hAnsi="Courier New"/>
      <w:kern w:val="0"/>
      <w:sz w:val="20"/>
      <w:szCs w:val="20"/>
    </w:rPr>
  </w:style>
  <w:style w:type="character" w:customStyle="1" w:styleId="318">
    <w:name w:val="正文首行缩进 Char"/>
    <w:link w:val="60"/>
    <w:qFormat/>
    <w:uiPriority w:val="0"/>
    <w:rPr>
      <w:rFonts w:ascii="宋体"/>
      <w:kern w:val="2"/>
      <w:sz w:val="24"/>
      <w:lang w:val="zh-CN"/>
    </w:rPr>
  </w:style>
  <w:style w:type="character" w:customStyle="1" w:styleId="319">
    <w:name w:val="h3 Char"/>
    <w:qFormat/>
    <w:uiPriority w:val="0"/>
    <w:rPr>
      <w:rFonts w:eastAsia="宋体"/>
      <w:b/>
      <w:kern w:val="2"/>
      <w:sz w:val="32"/>
      <w:lang w:val="en-US" w:eastAsia="zh-CN" w:bidi="ar-SA"/>
    </w:rPr>
  </w:style>
  <w:style w:type="character" w:customStyle="1" w:styleId="320">
    <w:name w:val="dandyren_title1"/>
    <w:qFormat/>
    <w:uiPriority w:val="0"/>
    <w:rPr>
      <w:b/>
      <w:bCs/>
      <w:color w:val="FF6633"/>
      <w:sz w:val="18"/>
      <w:szCs w:val="18"/>
    </w:rPr>
  </w:style>
  <w:style w:type="character" w:customStyle="1" w:styleId="321">
    <w:name w:val="Char Char31"/>
    <w:qFormat/>
    <w:uiPriority w:val="6"/>
    <w:rPr>
      <w:rFonts w:ascii="Arial" w:hAnsi="Arial" w:eastAsia="黑体"/>
      <w:kern w:val="1"/>
      <w:sz w:val="24"/>
      <w:szCs w:val="24"/>
    </w:rPr>
  </w:style>
  <w:style w:type="character" w:customStyle="1" w:styleId="322">
    <w:name w:val="h Char1"/>
    <w:qFormat/>
    <w:uiPriority w:val="0"/>
    <w:rPr>
      <w:sz w:val="18"/>
      <w:szCs w:val="18"/>
    </w:rPr>
  </w:style>
  <w:style w:type="character" w:customStyle="1" w:styleId="323">
    <w:name w:val="solutionfonts"/>
    <w:qFormat/>
    <w:uiPriority w:val="0"/>
  </w:style>
  <w:style w:type="character" w:customStyle="1" w:styleId="324">
    <w:name w:val="标题 4 Char2"/>
    <w:link w:val="6"/>
    <w:qFormat/>
    <w:uiPriority w:val="9"/>
    <w:rPr>
      <w:rFonts w:ascii="Arial" w:hAnsi="Arial" w:eastAsia="黑体"/>
      <w:b/>
      <w:bCs/>
      <w:kern w:val="2"/>
      <w:sz w:val="28"/>
      <w:szCs w:val="28"/>
      <w:lang w:val="zh-CN"/>
    </w:rPr>
  </w:style>
  <w:style w:type="character" w:customStyle="1" w:styleId="325">
    <w:name w:val="首行缩进 Char"/>
    <w:qFormat/>
    <w:uiPriority w:val="0"/>
    <w:rPr>
      <w:rFonts w:ascii="宋体" w:eastAsia="宋体"/>
      <w:kern w:val="2"/>
      <w:sz w:val="24"/>
      <w:lang w:val="en-US" w:eastAsia="zh-CN" w:bidi="ar-SA"/>
    </w:rPr>
  </w:style>
  <w:style w:type="character" w:customStyle="1" w:styleId="326">
    <w:name w:val="Char Char52"/>
    <w:qFormat/>
    <w:uiPriority w:val="0"/>
    <w:rPr>
      <w:rFonts w:ascii="宋体" w:hAnsi="Courier New" w:eastAsia="宋体"/>
      <w:kern w:val="2"/>
      <w:sz w:val="21"/>
      <w:lang w:val="en-US" w:eastAsia="zh-CN"/>
    </w:rPr>
  </w:style>
  <w:style w:type="character" w:customStyle="1" w:styleId="327">
    <w:name w:val="正文文本 3 Char"/>
    <w:link w:val="21"/>
    <w:qFormat/>
    <w:uiPriority w:val="0"/>
    <w:rPr>
      <w:kern w:val="2"/>
      <w:sz w:val="21"/>
    </w:rPr>
  </w:style>
  <w:style w:type="character" w:customStyle="1" w:styleId="328">
    <w:name w:val="font31"/>
    <w:qFormat/>
    <w:uiPriority w:val="0"/>
    <w:rPr>
      <w:rFonts w:hint="eastAsia" w:ascii="仿宋" w:hAnsi="仿宋" w:eastAsia="仿宋" w:cs="仿宋"/>
      <w:color w:val="000000"/>
      <w:sz w:val="20"/>
      <w:szCs w:val="20"/>
      <w:u w:val="none"/>
    </w:rPr>
  </w:style>
  <w:style w:type="character" w:customStyle="1" w:styleId="329">
    <w:name w:val="正文说明 Char"/>
    <w:link w:val="330"/>
    <w:qFormat/>
    <w:uiPriority w:val="0"/>
    <w:rPr>
      <w:sz w:val="24"/>
      <w:szCs w:val="24"/>
    </w:rPr>
  </w:style>
  <w:style w:type="paragraph" w:customStyle="1" w:styleId="330">
    <w:name w:val="正文说明"/>
    <w:basedOn w:val="1"/>
    <w:link w:val="329"/>
    <w:qFormat/>
    <w:uiPriority w:val="0"/>
    <w:pPr>
      <w:adjustRightInd/>
      <w:spacing w:line="360" w:lineRule="auto"/>
    </w:pPr>
    <w:rPr>
      <w:kern w:val="0"/>
      <w:sz w:val="24"/>
    </w:rPr>
  </w:style>
  <w:style w:type="character" w:customStyle="1" w:styleId="331">
    <w:name w:val="脚注文本 Char1"/>
    <w:qFormat/>
    <w:uiPriority w:val="0"/>
    <w:rPr>
      <w:rFonts w:ascii="Times New Roman" w:hAnsi="Times New Roman" w:eastAsia="宋体" w:cs="Times New Roman"/>
      <w:sz w:val="18"/>
      <w:szCs w:val="18"/>
    </w:rPr>
  </w:style>
  <w:style w:type="character" w:customStyle="1" w:styleId="332">
    <w:name w:val="Char Char1211"/>
    <w:qFormat/>
    <w:uiPriority w:val="0"/>
    <w:rPr>
      <w:rFonts w:ascii="仿宋_GB2312" w:eastAsia="仿宋_GB2312"/>
      <w:b/>
      <w:bCs/>
      <w:kern w:val="2"/>
      <w:sz w:val="24"/>
      <w:szCs w:val="24"/>
      <w:lang w:val="zh-CN" w:eastAsia="zh-CN" w:bidi="ar-SA"/>
    </w:rPr>
  </w:style>
  <w:style w:type="character" w:customStyle="1" w:styleId="333">
    <w:name w:val="标题 Char"/>
    <w:qFormat/>
    <w:uiPriority w:val="0"/>
    <w:rPr>
      <w:rFonts w:eastAsia="宋体"/>
      <w:b/>
      <w:sz w:val="24"/>
      <w:lang w:val="en-GB" w:eastAsia="zh-CN" w:bidi="ar-SA"/>
    </w:rPr>
  </w:style>
  <w:style w:type="character" w:customStyle="1" w:styleId="334">
    <w:name w:val="Char Char35"/>
    <w:qFormat/>
    <w:uiPriority w:val="6"/>
    <w:rPr>
      <w:rFonts w:ascii="Arial" w:hAnsi="Arial" w:eastAsia="黑体"/>
      <w:b/>
      <w:kern w:val="1"/>
      <w:sz w:val="28"/>
      <w:szCs w:val="28"/>
      <w:lang w:val="zh-CN"/>
    </w:rPr>
  </w:style>
  <w:style w:type="character" w:customStyle="1" w:styleId="335">
    <w:name w:val="纯文本 Char Char Char"/>
    <w:qFormat/>
    <w:uiPriority w:val="0"/>
    <w:rPr>
      <w:rFonts w:ascii="宋体" w:hAnsi="Courier New" w:eastAsia="宋体"/>
      <w:kern w:val="2"/>
      <w:sz w:val="21"/>
      <w:lang w:val="en-US" w:eastAsia="zh-CN" w:bidi="ar-SA"/>
    </w:rPr>
  </w:style>
  <w:style w:type="character" w:customStyle="1" w:styleId="336">
    <w:name w:val="Table Text Char"/>
    <w:link w:val="337"/>
    <w:qFormat/>
    <w:uiPriority w:val="0"/>
    <w:rPr>
      <w:sz w:val="24"/>
      <w:szCs w:val="24"/>
    </w:rPr>
  </w:style>
  <w:style w:type="paragraph" w:customStyle="1" w:styleId="337">
    <w:name w:val="Table Text"/>
    <w:basedOn w:val="1"/>
    <w:link w:val="336"/>
    <w:qFormat/>
    <w:uiPriority w:val="0"/>
    <w:pPr>
      <w:widowControl/>
      <w:spacing w:before="60" w:after="60"/>
      <w:jc w:val="left"/>
    </w:pPr>
    <w:rPr>
      <w:kern w:val="0"/>
      <w:sz w:val="24"/>
    </w:rPr>
  </w:style>
  <w:style w:type="character" w:customStyle="1" w:styleId="338">
    <w:name w:val="正文1 Char1"/>
    <w:qFormat/>
    <w:uiPriority w:val="0"/>
    <w:rPr>
      <w:rFonts w:ascii="仿宋_GB2312" w:hAnsi="Courier New" w:eastAsia="仿宋_GB2312"/>
      <w:kern w:val="28"/>
      <w:sz w:val="24"/>
      <w:szCs w:val="24"/>
      <w:lang w:val="en-US" w:eastAsia="zh-CN"/>
    </w:rPr>
  </w:style>
  <w:style w:type="character" w:customStyle="1" w:styleId="339">
    <w:name w:val="页脚 Char1"/>
    <w:qFormat/>
    <w:uiPriority w:val="0"/>
    <w:rPr>
      <w:rFonts w:eastAsia="宋体"/>
      <w:kern w:val="2"/>
      <w:sz w:val="18"/>
      <w:szCs w:val="18"/>
      <w:lang w:val="en-US" w:eastAsia="zh-CN" w:bidi="ar-SA"/>
    </w:rPr>
  </w:style>
  <w:style w:type="character" w:customStyle="1" w:styleId="340">
    <w:name w:val="Bold"/>
    <w:qFormat/>
    <w:uiPriority w:val="0"/>
    <w:rPr>
      <w:rFonts w:ascii="Arial" w:hAnsi="Arial" w:eastAsia="黑体" w:cs="Times New Roman"/>
      <w:b/>
      <w:kern w:val="2"/>
      <w:sz w:val="32"/>
      <w:szCs w:val="32"/>
      <w:lang w:val="en-US" w:eastAsia="zh-CN" w:bidi="ar-SA"/>
    </w:rPr>
  </w:style>
  <w:style w:type="character" w:customStyle="1" w:styleId="341">
    <w:name w:val="批注文字 Char1"/>
    <w:link w:val="19"/>
    <w:qFormat/>
    <w:uiPriority w:val="99"/>
    <w:rPr>
      <w:kern w:val="2"/>
      <w:sz w:val="21"/>
      <w:szCs w:val="24"/>
    </w:rPr>
  </w:style>
  <w:style w:type="character" w:customStyle="1" w:styleId="342">
    <w:name w:val="签名 Char"/>
    <w:link w:val="41"/>
    <w:qFormat/>
    <w:uiPriority w:val="0"/>
    <w:rPr>
      <w:rFonts w:eastAsia="仿宋_GB2312"/>
      <w:sz w:val="24"/>
    </w:rPr>
  </w:style>
  <w:style w:type="character" w:customStyle="1" w:styleId="343">
    <w:name w:val="hui3"/>
    <w:qFormat/>
    <w:uiPriority w:val="0"/>
    <w:rPr>
      <w:color w:val="333333"/>
    </w:rPr>
  </w:style>
  <w:style w:type="character" w:customStyle="1" w:styleId="344">
    <w:name w:val="Char Char17"/>
    <w:qFormat/>
    <w:uiPriority w:val="6"/>
    <w:rPr>
      <w:rFonts w:eastAsia="仿宋_GB2312"/>
      <w:sz w:val="24"/>
    </w:rPr>
  </w:style>
  <w:style w:type="character" w:customStyle="1" w:styleId="345">
    <w:name w:val="标题 4 字符"/>
    <w:qFormat/>
    <w:uiPriority w:val="9"/>
    <w:rPr>
      <w:rFonts w:ascii="等线 Light" w:hAnsi="等线 Light" w:eastAsia="等线 Light" w:cs="Times New Roman"/>
      <w:b/>
      <w:bCs/>
      <w:snapToGrid w:val="0"/>
      <w:kern w:val="0"/>
      <w:sz w:val="28"/>
      <w:szCs w:val="28"/>
    </w:rPr>
  </w:style>
  <w:style w:type="character" w:customStyle="1" w:styleId="346">
    <w:name w:val="Char Char37"/>
    <w:qFormat/>
    <w:uiPriority w:val="6"/>
    <w:rPr>
      <w:b/>
      <w:kern w:val="1"/>
      <w:sz w:val="44"/>
      <w:szCs w:val="44"/>
    </w:rPr>
  </w:style>
  <w:style w:type="character" w:customStyle="1" w:styleId="347">
    <w:name w:val="列出段落 Char"/>
    <w:qFormat/>
    <w:uiPriority w:val="0"/>
    <w:rPr>
      <w:rFonts w:eastAsia="楷体_GB2312" w:cs="Lucida Sans"/>
      <w:kern w:val="2"/>
      <w:sz w:val="24"/>
      <w:szCs w:val="24"/>
      <w:lang w:val="en-US" w:eastAsia="zh-CN" w:bidi="ar-SA"/>
    </w:rPr>
  </w:style>
  <w:style w:type="character" w:customStyle="1" w:styleId="348">
    <w:name w:val="正文文本缩进 3 Char1"/>
    <w:semiHidden/>
    <w:qFormat/>
    <w:uiPriority w:val="99"/>
    <w:rPr>
      <w:rFonts w:ascii="Times New Roman" w:hAnsi="Times New Roman" w:eastAsia="宋体" w:cs="Times New Roman"/>
      <w:sz w:val="16"/>
      <w:szCs w:val="16"/>
    </w:rPr>
  </w:style>
  <w:style w:type="character" w:customStyle="1" w:styleId="349">
    <w:name w:val="公文正文 Char Char"/>
    <w:link w:val="350"/>
    <w:qFormat/>
    <w:uiPriority w:val="0"/>
    <w:rPr>
      <w:rFonts w:ascii="仿宋_GB2312" w:eastAsia="仿宋_GB2312"/>
      <w:kern w:val="2"/>
      <w:sz w:val="24"/>
      <w:szCs w:val="24"/>
    </w:rPr>
  </w:style>
  <w:style w:type="paragraph" w:customStyle="1" w:styleId="350">
    <w:name w:val="公文正文"/>
    <w:basedOn w:val="1"/>
    <w:link w:val="349"/>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qFormat/>
    <w:uiPriority w:val="0"/>
    <w:rPr>
      <w:rFonts w:eastAsia="宋体"/>
      <w:sz w:val="24"/>
      <w:szCs w:val="24"/>
      <w:lang w:val="en-US" w:eastAsia="zh-CN" w:bidi="ar-SA"/>
    </w:rPr>
  </w:style>
  <w:style w:type="character" w:customStyle="1" w:styleId="352">
    <w:name w:val="标题 1 Char Char"/>
    <w:qFormat/>
    <w:uiPriority w:val="0"/>
    <w:rPr>
      <w:rFonts w:hint="eastAsia" w:ascii="宋体" w:hAnsi="宋体" w:eastAsia="宋体"/>
      <w:b/>
      <w:spacing w:val="-2"/>
      <w:sz w:val="24"/>
      <w:lang w:val="en-US" w:eastAsia="zh-CN" w:bidi="ar-SA"/>
    </w:rPr>
  </w:style>
  <w:style w:type="character" w:customStyle="1" w:styleId="353">
    <w:name w:val="正文（缩进2汉字） Char"/>
    <w:link w:val="354"/>
    <w:qFormat/>
    <w:uiPriority w:val="0"/>
    <w:rPr>
      <w:rFonts w:ascii="宋体"/>
    </w:rPr>
  </w:style>
  <w:style w:type="paragraph" w:customStyle="1" w:styleId="354">
    <w:name w:val="正文（缩进2汉字）"/>
    <w:basedOn w:val="1"/>
    <w:link w:val="35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Char"/>
    <w:link w:val="10"/>
    <w:qFormat/>
    <w:uiPriority w:val="0"/>
    <w:rPr>
      <w:rFonts w:ascii="Arial" w:hAnsi="Arial" w:eastAsia="黑体"/>
      <w:kern w:val="2"/>
      <w:sz w:val="24"/>
      <w:szCs w:val="24"/>
    </w:rPr>
  </w:style>
  <w:style w:type="character" w:customStyle="1" w:styleId="356">
    <w:name w:val="标书表格字体格式 Char"/>
    <w:qFormat/>
    <w:uiPriority w:val="0"/>
    <w:rPr>
      <w:kern w:val="2"/>
      <w:sz w:val="21"/>
      <w:szCs w:val="24"/>
      <w:lang w:bidi="ar-SA"/>
    </w:rPr>
  </w:style>
  <w:style w:type="character" w:customStyle="1" w:styleId="357">
    <w:name w:val="tw4winError"/>
    <w:qFormat/>
    <w:uiPriority w:val="0"/>
    <w:rPr>
      <w:rFonts w:ascii="Courier New" w:hAnsi="Courier New" w:cs="Courier New"/>
      <w:color w:val="00FF00"/>
      <w:sz w:val="40"/>
      <w:szCs w:val="40"/>
    </w:rPr>
  </w:style>
  <w:style w:type="character" w:customStyle="1" w:styleId="358">
    <w:name w:val="Body Text(ch) Char Char"/>
    <w:qFormat/>
    <w:uiPriority w:val="0"/>
    <w:rPr>
      <w:rFonts w:ascii="宋体"/>
      <w:kern w:val="2"/>
      <w:sz w:val="24"/>
      <w:szCs w:val="21"/>
      <w:lang w:val="zh-CN"/>
    </w:rPr>
  </w:style>
  <w:style w:type="character" w:customStyle="1" w:styleId="359">
    <w:name w:val="正文首行缩进两字 Char"/>
    <w:qFormat/>
    <w:uiPriority w:val="0"/>
    <w:rPr>
      <w:sz w:val="24"/>
      <w:szCs w:val="24"/>
      <w:lang w:val="en-US" w:eastAsia="zh-CN" w:bidi="ar-SA"/>
    </w:rPr>
  </w:style>
  <w:style w:type="character" w:customStyle="1" w:styleId="360">
    <w:name w:val="正文文本 Char"/>
    <w:qFormat/>
    <w:uiPriority w:val="0"/>
    <w:rPr>
      <w:rFonts w:eastAsia="宋体"/>
      <w:kern w:val="2"/>
      <w:sz w:val="24"/>
      <w:szCs w:val="24"/>
      <w:lang w:val="en-US" w:eastAsia="zh-CN" w:bidi="ar-SA"/>
    </w:rPr>
  </w:style>
  <w:style w:type="character" w:customStyle="1" w:styleId="361">
    <w:name w:val="文档结构图 字符1"/>
    <w:qFormat/>
    <w:uiPriority w:val="0"/>
    <w:rPr>
      <w:rFonts w:ascii="宋体" w:hAnsi="Calibri" w:eastAsia="黑体" w:cs="Arial"/>
      <w:snapToGrid w:val="0"/>
      <w:kern w:val="2"/>
      <w:sz w:val="18"/>
      <w:szCs w:val="18"/>
    </w:rPr>
  </w:style>
  <w:style w:type="character" w:customStyle="1" w:styleId="362">
    <w:name w:val="content"/>
    <w:qFormat/>
    <w:uiPriority w:val="0"/>
  </w:style>
  <w:style w:type="character" w:customStyle="1" w:styleId="363">
    <w:name w:val="tw4winPopup"/>
    <w:qFormat/>
    <w:uiPriority w:val="0"/>
    <w:rPr>
      <w:rFonts w:ascii="Courier New" w:hAnsi="Courier New" w:cs="Courier New"/>
      <w:color w:val="008000"/>
      <w:lang w:val="en-US" w:eastAsia="zh-CN"/>
    </w:rPr>
  </w:style>
  <w:style w:type="character" w:customStyle="1" w:styleId="364">
    <w:name w:val="param-name"/>
    <w:qFormat/>
    <w:uiPriority w:val="99"/>
    <w:rPr>
      <w:rFonts w:ascii="Arial" w:hAnsi="Arial" w:eastAsia="黑体" w:cs="Arial"/>
      <w:snapToGrid w:val="0"/>
      <w:kern w:val="0"/>
      <w:szCs w:val="21"/>
    </w:rPr>
  </w:style>
  <w:style w:type="character" w:customStyle="1" w:styleId="365">
    <w:name w:val="标准正文格式 Char"/>
    <w:qFormat/>
    <w:uiPriority w:val="0"/>
    <w:rPr>
      <w:rFonts w:ascii="宋体" w:eastAsia="仿宋_GB2312" w:cs="宋体"/>
      <w:color w:val="000000"/>
      <w:sz w:val="24"/>
      <w:lang w:val="en-US" w:eastAsia="zh-CN" w:bidi="ar-SA"/>
    </w:rPr>
  </w:style>
  <w:style w:type="character" w:customStyle="1" w:styleId="366">
    <w:name w:val="Char Char212"/>
    <w:qFormat/>
    <w:uiPriority w:val="0"/>
    <w:rPr>
      <w:rFonts w:eastAsia="宋体"/>
      <w:b/>
      <w:bCs/>
      <w:kern w:val="2"/>
      <w:sz w:val="21"/>
      <w:szCs w:val="24"/>
      <w:lang w:val="en-US" w:eastAsia="zh-CN" w:bidi="ar-SA"/>
    </w:rPr>
  </w:style>
  <w:style w:type="character" w:customStyle="1" w:styleId="367">
    <w:name w:val="文档结构图 Char"/>
    <w:qFormat/>
    <w:uiPriority w:val="0"/>
    <w:rPr>
      <w:rFonts w:eastAsia="宋体"/>
      <w:kern w:val="2"/>
      <w:sz w:val="21"/>
      <w:szCs w:val="24"/>
      <w:lang w:val="en-US" w:eastAsia="zh-CN" w:bidi="ar-SA"/>
    </w:rPr>
  </w:style>
  <w:style w:type="character" w:customStyle="1" w:styleId="368">
    <w:name w:val="zbggmain style9"/>
    <w:qFormat/>
    <w:uiPriority w:val="0"/>
  </w:style>
  <w:style w:type="character" w:customStyle="1" w:styleId="369">
    <w:name w:val="Char Char16"/>
    <w:qFormat/>
    <w:uiPriority w:val="6"/>
    <w:rPr>
      <w:kern w:val="1"/>
      <w:sz w:val="18"/>
      <w:szCs w:val="18"/>
    </w:rPr>
  </w:style>
  <w:style w:type="character" w:customStyle="1" w:styleId="370">
    <w:name w:val="font51"/>
    <w:qFormat/>
    <w:uiPriority w:val="0"/>
    <w:rPr>
      <w:rFonts w:hint="eastAsia" w:ascii="仿宋" w:hAnsi="仿宋" w:eastAsia="仿宋" w:cs="仿宋"/>
      <w:color w:val="000000"/>
      <w:sz w:val="20"/>
      <w:szCs w:val="20"/>
      <w:u w:val="none"/>
    </w:rPr>
  </w:style>
  <w:style w:type="character" w:customStyle="1" w:styleId="371">
    <w:name w:val="Char Char82"/>
    <w:qFormat/>
    <w:uiPriority w:val="0"/>
    <w:rPr>
      <w:rFonts w:eastAsia="宋体"/>
      <w:b/>
      <w:sz w:val="24"/>
      <w:lang w:val="en-GB" w:eastAsia="zh-CN"/>
    </w:rPr>
  </w:style>
  <w:style w:type="character" w:customStyle="1" w:styleId="372">
    <w:name w:val="正文文本缩进 3 Char"/>
    <w:link w:val="52"/>
    <w:qFormat/>
    <w:uiPriority w:val="0"/>
    <w:rPr>
      <w:kern w:val="2"/>
      <w:sz w:val="24"/>
    </w:rPr>
  </w:style>
  <w:style w:type="character" w:customStyle="1" w:styleId="373">
    <w:name w:val="日期 Char1"/>
    <w:semiHidden/>
    <w:qFormat/>
    <w:uiPriority w:val="99"/>
    <w:rPr>
      <w:rFonts w:ascii="Times New Roman" w:hAnsi="Times New Roman" w:eastAsia="宋体" w:cs="Times New Roman"/>
      <w:szCs w:val="24"/>
    </w:rPr>
  </w:style>
  <w:style w:type="character" w:customStyle="1" w:styleId="374">
    <w:name w:val="页眉 字符"/>
    <w:qFormat/>
    <w:uiPriority w:val="99"/>
    <w:rPr>
      <w:kern w:val="2"/>
      <w:sz w:val="18"/>
      <w:szCs w:val="18"/>
    </w:rPr>
  </w:style>
  <w:style w:type="character" w:customStyle="1" w:styleId="375">
    <w:name w:val="Char Char33"/>
    <w:qFormat/>
    <w:uiPriority w:val="6"/>
    <w:rPr>
      <w:rFonts w:ascii="Arial" w:hAnsi="Arial" w:eastAsia="黑体"/>
      <w:b/>
      <w:kern w:val="1"/>
      <w:sz w:val="24"/>
      <w:szCs w:val="24"/>
    </w:rPr>
  </w:style>
  <w:style w:type="character" w:customStyle="1" w:styleId="376">
    <w:name w:val="b11_01b Char"/>
    <w:link w:val="377"/>
    <w:qFormat/>
    <w:uiPriority w:val="0"/>
    <w:rPr>
      <w:rFonts w:ascii="Verdana" w:hAnsi="Verdana"/>
      <w:b/>
      <w:bCs/>
      <w:color w:val="4A82CA"/>
      <w:sz w:val="17"/>
      <w:szCs w:val="17"/>
    </w:rPr>
  </w:style>
  <w:style w:type="paragraph" w:customStyle="1" w:styleId="377">
    <w:name w:val="b11_01b"/>
    <w:basedOn w:val="1"/>
    <w:next w:val="1"/>
    <w:link w:val="37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qFormat/>
    <w:uiPriority w:val="6"/>
    <w:rPr>
      <w:rFonts w:ascii="仿宋_GB2312" w:eastAsia="仿宋_GB2312"/>
      <w:b/>
      <w:bCs/>
      <w:kern w:val="2"/>
      <w:sz w:val="24"/>
      <w:szCs w:val="24"/>
      <w:lang w:val="zh-CN" w:eastAsia="zh-CN" w:bidi="ar-SA"/>
    </w:rPr>
  </w:style>
  <w:style w:type="character" w:customStyle="1" w:styleId="379">
    <w:name w:val="Footer-Even Char"/>
    <w:qFormat/>
    <w:uiPriority w:val="0"/>
    <w:rPr>
      <w:rFonts w:eastAsia="宋体"/>
      <w:kern w:val="2"/>
      <w:sz w:val="18"/>
      <w:lang w:val="en-US" w:eastAsia="zh-CN" w:bidi="ar-SA"/>
    </w:rPr>
  </w:style>
  <w:style w:type="character" w:customStyle="1" w:styleId="380">
    <w:name w:val="页脚 Char2"/>
    <w:link w:val="39"/>
    <w:qFormat/>
    <w:locked/>
    <w:uiPriority w:val="99"/>
    <w:rPr>
      <w:kern w:val="2"/>
      <w:sz w:val="18"/>
      <w:szCs w:val="18"/>
    </w:rPr>
  </w:style>
  <w:style w:type="character" w:customStyle="1" w:styleId="381">
    <w:name w:val="Char Char36"/>
    <w:qFormat/>
    <w:uiPriority w:val="6"/>
    <w:rPr>
      <w:rFonts w:ascii="仿宋_GB2312" w:hAnsi="仿宋_GB2312" w:eastAsia="仿宋_GB2312" w:cs="Arial"/>
      <w:b/>
      <w:kern w:val="1"/>
      <w:sz w:val="32"/>
      <w:szCs w:val="32"/>
      <w:lang w:val="zh-CN" w:eastAsia="zh-CN" w:bidi="ar-SA"/>
    </w:rPr>
  </w:style>
  <w:style w:type="character" w:customStyle="1" w:styleId="382">
    <w:name w:val="Char Char61"/>
    <w:qFormat/>
    <w:uiPriority w:val="6"/>
    <w:rPr>
      <w:rFonts w:eastAsia="宋体"/>
      <w:kern w:val="2"/>
      <w:sz w:val="21"/>
      <w:szCs w:val="24"/>
      <w:lang w:val="en-US" w:eastAsia="zh-CN" w:bidi="ar-SA"/>
    </w:rPr>
  </w:style>
  <w:style w:type="character" w:customStyle="1" w:styleId="383">
    <w:name w:val="正文文字缩进 2 Char Char"/>
    <w:qFormat/>
    <w:uiPriority w:val="0"/>
    <w:rPr>
      <w:rFonts w:ascii="宋体"/>
      <w:sz w:val="28"/>
    </w:rPr>
  </w:style>
  <w:style w:type="character" w:customStyle="1" w:styleId="384">
    <w:name w:val="f141"/>
    <w:qFormat/>
    <w:uiPriority w:val="0"/>
    <w:rPr>
      <w:rFonts w:ascii="Tahoma" w:hAnsi="Tahoma" w:eastAsia="宋体"/>
      <w:b/>
      <w:kern w:val="2"/>
      <w:sz w:val="21"/>
      <w:szCs w:val="21"/>
      <w:lang w:val="en-US" w:eastAsia="zh-CN" w:bidi="ar-SA"/>
    </w:rPr>
  </w:style>
  <w:style w:type="character" w:customStyle="1" w:styleId="385">
    <w:name w:val="段落 Char Char"/>
    <w:link w:val="386"/>
    <w:qFormat/>
    <w:uiPriority w:val="0"/>
    <w:rPr>
      <w:rFonts w:ascii="宋体" w:hAnsi="宋体"/>
      <w:sz w:val="24"/>
    </w:rPr>
  </w:style>
  <w:style w:type="paragraph" w:customStyle="1" w:styleId="386">
    <w:name w:val="段落"/>
    <w:basedOn w:val="1"/>
    <w:link w:val="385"/>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qFormat/>
    <w:uiPriority w:val="0"/>
    <w:rPr>
      <w:rFonts w:eastAsia="宋体"/>
      <w:b/>
      <w:bCs/>
      <w:kern w:val="2"/>
      <w:sz w:val="32"/>
      <w:szCs w:val="32"/>
      <w:lang w:val="en-US" w:eastAsia="zh-CN" w:bidi="ar-SA"/>
    </w:rPr>
  </w:style>
  <w:style w:type="character" w:customStyle="1" w:styleId="388">
    <w:name w:val="apple-converted-space"/>
    <w:qFormat/>
    <w:uiPriority w:val="0"/>
  </w:style>
  <w:style w:type="character" w:customStyle="1" w:styleId="389">
    <w:name w:val="页眉 Char2"/>
    <w:link w:val="40"/>
    <w:qFormat/>
    <w:uiPriority w:val="99"/>
    <w:rPr>
      <w:kern w:val="2"/>
      <w:sz w:val="18"/>
      <w:szCs w:val="18"/>
    </w:rPr>
  </w:style>
  <w:style w:type="character" w:customStyle="1" w:styleId="390">
    <w:name w:val="Char Char9"/>
    <w:qFormat/>
    <w:uiPriority w:val="0"/>
    <w:rPr>
      <w:rFonts w:eastAsia="宋体"/>
      <w:kern w:val="2"/>
      <w:sz w:val="18"/>
      <w:szCs w:val="18"/>
      <w:lang w:val="en-US" w:eastAsia="zh-CN" w:bidi="ar-SA"/>
    </w:rPr>
  </w:style>
  <w:style w:type="character" w:customStyle="1" w:styleId="391">
    <w:name w:val="Char Char41"/>
    <w:qFormat/>
    <w:uiPriority w:val="0"/>
    <w:rPr>
      <w:rFonts w:eastAsia="宋体"/>
      <w:b/>
      <w:sz w:val="24"/>
      <w:lang w:val="en-GB" w:eastAsia="zh-CN" w:bidi="ar-SA"/>
    </w:rPr>
  </w:style>
  <w:style w:type="character" w:customStyle="1" w:styleId="392">
    <w:name w:val="large1"/>
    <w:qFormat/>
    <w:uiPriority w:val="0"/>
    <w:rPr>
      <w:rFonts w:hint="eastAsia" w:ascii="宋体" w:hAnsi="宋体" w:eastAsia="宋体"/>
      <w:sz w:val="21"/>
      <w:szCs w:val="21"/>
    </w:rPr>
  </w:style>
  <w:style w:type="character" w:customStyle="1" w:styleId="393">
    <w:name w:val="正文段 Char"/>
    <w:link w:val="394"/>
    <w:qFormat/>
    <w:uiPriority w:val="0"/>
    <w:rPr>
      <w:sz w:val="24"/>
    </w:rPr>
  </w:style>
  <w:style w:type="paragraph" w:customStyle="1" w:styleId="394">
    <w:name w:val="正文段"/>
    <w:basedOn w:val="1"/>
    <w:link w:val="393"/>
    <w:qFormat/>
    <w:uiPriority w:val="0"/>
    <w:pPr>
      <w:widowControl/>
      <w:snapToGrid w:val="0"/>
      <w:spacing w:after="156" w:afterLines="50"/>
      <w:ind w:firstLine="200" w:firstLineChars="200"/>
    </w:pPr>
    <w:rPr>
      <w:kern w:val="0"/>
      <w:sz w:val="24"/>
      <w:szCs w:val="20"/>
    </w:rPr>
  </w:style>
  <w:style w:type="character" w:customStyle="1" w:styleId="395">
    <w:name w:val="Char Char13"/>
    <w:qFormat/>
    <w:uiPriority w:val="6"/>
    <w:rPr>
      <w:rFonts w:ascii="宋体" w:hAnsi="宋体"/>
      <w:kern w:val="1"/>
      <w:sz w:val="21"/>
      <w:szCs w:val="24"/>
    </w:rPr>
  </w:style>
  <w:style w:type="character" w:customStyle="1" w:styleId="39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qFormat/>
    <w:uiPriority w:val="0"/>
    <w:rPr>
      <w:rFonts w:ascii="宋体" w:hAnsi="宋体"/>
      <w:kern w:val="2"/>
      <w:sz w:val="24"/>
      <w:szCs w:val="22"/>
    </w:rPr>
  </w:style>
  <w:style w:type="paragraph" w:customStyle="1" w:styleId="398">
    <w:name w:val="冯广丽"/>
    <w:basedOn w:val="1"/>
    <w:link w:val="397"/>
    <w:qFormat/>
    <w:uiPriority w:val="0"/>
    <w:pPr>
      <w:adjustRightInd/>
      <w:spacing w:line="360" w:lineRule="auto"/>
      <w:ind w:firstLine="480" w:firstLineChars="200"/>
    </w:pPr>
    <w:rPr>
      <w:rFonts w:ascii="宋体" w:hAnsi="宋体"/>
      <w:sz w:val="24"/>
      <w:szCs w:val="22"/>
    </w:rPr>
  </w:style>
  <w:style w:type="character" w:customStyle="1" w:styleId="399">
    <w:name w:val="批注文字 字符"/>
    <w:qFormat/>
    <w:uiPriority w:val="0"/>
    <w:rPr>
      <w:rFonts w:ascii="Arial" w:hAnsi="Arial" w:eastAsia="黑体" w:cs="Arial"/>
      <w:snapToGrid w:val="0"/>
      <w:kern w:val="0"/>
      <w:szCs w:val="21"/>
    </w:rPr>
  </w:style>
  <w:style w:type="character" w:customStyle="1" w:styleId="400">
    <w:name w:val="Char Char161"/>
    <w:qFormat/>
    <w:uiPriority w:val="0"/>
    <w:rPr>
      <w:rFonts w:eastAsia="宋体"/>
      <w:b/>
      <w:kern w:val="2"/>
      <w:sz w:val="32"/>
      <w:lang w:val="en-US" w:eastAsia="zh-CN"/>
    </w:rPr>
  </w:style>
  <w:style w:type="character" w:customStyle="1" w:styleId="401">
    <w:name w:val="javascript"/>
    <w:qFormat/>
    <w:uiPriority w:val="0"/>
  </w:style>
  <w:style w:type="character" w:customStyle="1" w:styleId="402">
    <w:name w:val="图名 Char"/>
    <w:qFormat/>
    <w:uiPriority w:val="0"/>
    <w:rPr>
      <w:rFonts w:ascii="Arial" w:hAnsi="Arial" w:eastAsia="黑体"/>
      <w:kern w:val="2"/>
      <w:sz w:val="24"/>
      <w:szCs w:val="24"/>
      <w:lang w:val="en-US" w:eastAsia="zh-CN" w:bidi="ar-SA"/>
    </w:rPr>
  </w:style>
  <w:style w:type="character" w:customStyle="1" w:styleId="403">
    <w:name w:val="Used by Word for text of Help footnotes Char Char"/>
    <w:qFormat/>
    <w:uiPriority w:val="0"/>
    <w:rPr>
      <w:rFonts w:ascii="Times New Roman" w:hAnsi="Times New Roman" w:eastAsia="宋体" w:cs="Times New Roman"/>
      <w:sz w:val="20"/>
      <w:szCs w:val="20"/>
    </w:rPr>
  </w:style>
  <w:style w:type="character" w:customStyle="1" w:styleId="404">
    <w:name w:val="编号，小四 Char"/>
    <w:link w:val="405"/>
    <w:qFormat/>
    <w:uiPriority w:val="0"/>
    <w:rPr>
      <w:rFonts w:ascii="Arial" w:hAnsi="Arial"/>
      <w:sz w:val="24"/>
    </w:rPr>
  </w:style>
  <w:style w:type="paragraph" w:customStyle="1" w:styleId="405">
    <w:name w:val="编号，小四"/>
    <w:basedOn w:val="1"/>
    <w:link w:val="404"/>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qFormat/>
    <w:uiPriority w:val="99"/>
    <w:rPr>
      <w:rFonts w:ascii="宋体" w:eastAsia="宋体" w:cs="宋体"/>
      <w:color w:val="000000"/>
      <w:sz w:val="14"/>
      <w:szCs w:val="14"/>
    </w:rPr>
  </w:style>
  <w:style w:type="character" w:customStyle="1" w:styleId="407">
    <w:name w:val="标题 2 Char Char"/>
    <w:qFormat/>
    <w:uiPriority w:val="0"/>
    <w:rPr>
      <w:rFonts w:ascii="楷体_GB2312" w:hAnsi="Arial" w:eastAsia="楷体_GB2312"/>
      <w:b/>
      <w:bCs/>
      <w:kern w:val="2"/>
      <w:sz w:val="24"/>
      <w:szCs w:val="32"/>
      <w:lang w:val="en-US" w:eastAsia="zh-CN" w:bidi="ar-SA"/>
    </w:rPr>
  </w:style>
  <w:style w:type="character" w:customStyle="1" w:styleId="408">
    <w:name w:val="未用 Char"/>
    <w:qFormat/>
    <w:uiPriority w:val="0"/>
    <w:rPr>
      <w:rFonts w:ascii="Arial" w:hAnsi="Arial" w:eastAsia="黑体"/>
      <w:kern w:val="2"/>
      <w:sz w:val="21"/>
      <w:szCs w:val="21"/>
      <w:lang w:val="en-US" w:eastAsia="zh-CN" w:bidi="ar-SA"/>
    </w:rPr>
  </w:style>
  <w:style w:type="character" w:customStyle="1" w:styleId="409">
    <w:name w:val="myp1111"/>
    <w:qFormat/>
    <w:uiPriority w:val="0"/>
    <w:rPr>
      <w:rFonts w:hint="default" w:ascii="ˎ̥" w:hAnsi="ˎ̥"/>
      <w:color w:val="000000"/>
      <w:sz w:val="20"/>
      <w:szCs w:val="20"/>
      <w:u w:val="none"/>
    </w:rPr>
  </w:style>
  <w:style w:type="character" w:customStyle="1" w:styleId="410">
    <w:name w:val="样式 标题 4h4H4Fab-4T5Ref Heading 1rh1Heading sqlsect 1.2.3.... Char"/>
    <w:link w:val="302"/>
    <w:qFormat/>
    <w:uiPriority w:val="0"/>
    <w:rPr>
      <w:rFonts w:ascii="微软雅黑" w:hAnsi="微软雅黑" w:eastAsia="微软雅黑"/>
      <w:b/>
      <w:bCs/>
      <w:kern w:val="2"/>
      <w:sz w:val="24"/>
      <w:szCs w:val="28"/>
    </w:rPr>
  </w:style>
  <w:style w:type="character" w:customStyle="1" w:styleId="411">
    <w:name w:val="h Char Char"/>
    <w:qFormat/>
    <w:uiPriority w:val="0"/>
    <w:rPr>
      <w:rFonts w:eastAsia="宋体"/>
      <w:kern w:val="2"/>
      <w:sz w:val="18"/>
      <w:lang w:val="en-US" w:eastAsia="zh-CN" w:bidi="ar-SA"/>
    </w:rPr>
  </w:style>
  <w:style w:type="character" w:customStyle="1" w:styleId="412">
    <w:name w:val="仿宋正文 Char"/>
    <w:link w:val="413"/>
    <w:qFormat/>
    <w:uiPriority w:val="0"/>
    <w:rPr>
      <w:rFonts w:ascii="仿宋_GB2312" w:eastAsia="仿宋_GB2312"/>
      <w:kern w:val="2"/>
      <w:sz w:val="24"/>
      <w:lang w:val="en-US" w:eastAsia="zh-CN" w:bidi="ar-SA"/>
    </w:rPr>
  </w:style>
  <w:style w:type="paragraph" w:customStyle="1" w:styleId="413">
    <w:name w:val="仿宋正文"/>
    <w:basedOn w:val="1"/>
    <w:link w:val="412"/>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qFormat/>
    <w:uiPriority w:val="0"/>
    <w:rPr>
      <w:rFonts w:ascii="宋体" w:eastAsia="宋体"/>
      <w:kern w:val="2"/>
      <w:sz w:val="24"/>
      <w:lang w:val="zh-CN" w:bidi="ar-SA"/>
    </w:rPr>
  </w:style>
  <w:style w:type="character" w:customStyle="1" w:styleId="415">
    <w:name w:val="样式 宋体"/>
    <w:qFormat/>
    <w:uiPriority w:val="0"/>
    <w:rPr>
      <w:rFonts w:ascii="宋体" w:hAnsi="宋体"/>
      <w:sz w:val="24"/>
    </w:rPr>
  </w:style>
  <w:style w:type="character" w:customStyle="1" w:styleId="416">
    <w:name w:val="tw4winJump"/>
    <w:qFormat/>
    <w:uiPriority w:val="0"/>
    <w:rPr>
      <w:rFonts w:ascii="Courier New" w:hAnsi="Courier New" w:cs="Courier New"/>
      <w:color w:val="008080"/>
      <w:lang w:val="en-US" w:eastAsia="zh-CN"/>
    </w:rPr>
  </w:style>
  <w:style w:type="character" w:customStyle="1" w:styleId="417">
    <w:name w:val="标题 1 字符"/>
    <w:qFormat/>
    <w:uiPriority w:val="9"/>
    <w:rPr>
      <w:rFonts w:ascii="Arial" w:hAnsi="Arial" w:eastAsia="黑体" w:cs="Arial"/>
      <w:b/>
      <w:bCs/>
      <w:snapToGrid w:val="0"/>
      <w:kern w:val="44"/>
      <w:sz w:val="44"/>
      <w:szCs w:val="44"/>
    </w:rPr>
  </w:style>
  <w:style w:type="character" w:customStyle="1" w:styleId="418">
    <w:name w:val="style36"/>
    <w:basedOn w:val="69"/>
    <w:qFormat/>
    <w:uiPriority w:val="0"/>
    <w:rPr>
      <w:rFonts w:ascii="Arial" w:hAnsi="Arial" w:eastAsia="黑体" w:cs="Arial"/>
      <w:snapToGrid w:val="0"/>
      <w:kern w:val="0"/>
      <w:szCs w:val="21"/>
    </w:rPr>
  </w:style>
  <w:style w:type="character" w:customStyle="1" w:styleId="419">
    <w:name w:val="pt9"/>
    <w:qFormat/>
    <w:uiPriority w:val="0"/>
    <w:rPr>
      <w:rFonts w:ascii="仿宋_GB2312" w:eastAsia="微软雅黑"/>
      <w:b/>
      <w:kern w:val="2"/>
      <w:sz w:val="32"/>
      <w:szCs w:val="32"/>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书1 Char1"/>
    <w:qFormat/>
    <w:uiPriority w:val="0"/>
    <w:rPr>
      <w:rFonts w:eastAsia="宋体"/>
      <w:b/>
      <w:bCs/>
      <w:kern w:val="44"/>
      <w:sz w:val="44"/>
      <w:szCs w:val="44"/>
      <w:lang w:val="en-US" w:eastAsia="zh-CN" w:bidi="ar-SA"/>
    </w:rPr>
  </w:style>
  <w:style w:type="character" w:customStyle="1" w:styleId="422">
    <w:name w:val="页脚 字符"/>
    <w:qFormat/>
    <w:uiPriority w:val="99"/>
    <w:rPr>
      <w:kern w:val="2"/>
      <w:sz w:val="18"/>
      <w:szCs w:val="18"/>
    </w:rPr>
  </w:style>
  <w:style w:type="character" w:customStyle="1" w:styleId="423">
    <w:name w:val="正文2 Char"/>
    <w:qFormat/>
    <w:uiPriority w:val="0"/>
    <w:rPr>
      <w:rFonts w:eastAsia="宋体"/>
      <w:kern w:val="2"/>
      <w:sz w:val="24"/>
      <w:lang w:val="en-US" w:eastAsia="zh-CN" w:bidi="ar-SA"/>
    </w:rPr>
  </w:style>
  <w:style w:type="character" w:customStyle="1" w:styleId="424">
    <w:name w:val="Char Char21"/>
    <w:qFormat/>
    <w:uiPriority w:val="6"/>
    <w:rPr>
      <w:rFonts w:ascii="宋体" w:hAnsi="宋体"/>
      <w:kern w:val="1"/>
      <w:sz w:val="24"/>
      <w:szCs w:val="21"/>
      <w:lang w:val="zh-CN"/>
    </w:rPr>
  </w:style>
  <w:style w:type="character" w:customStyle="1" w:styleId="425">
    <w:name w:val="样式 正文缩进 + 首行缩进:  2 字符 Char Char"/>
    <w:link w:val="426"/>
    <w:qFormat/>
    <w:uiPriority w:val="0"/>
    <w:rPr>
      <w:rFonts w:cs="宋体"/>
      <w:kern w:val="2"/>
      <w:sz w:val="24"/>
    </w:rPr>
  </w:style>
  <w:style w:type="paragraph" w:customStyle="1" w:styleId="426">
    <w:name w:val="样式 正文缩进 + 首行缩进:  2 字符"/>
    <w:basedOn w:val="5"/>
    <w:link w:val="42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28">
    <w:name w:val="gray6"/>
    <w:basedOn w:val="69"/>
    <w:qFormat/>
    <w:uiPriority w:val="0"/>
    <w:rPr>
      <w:rFonts w:ascii="Arial" w:hAnsi="Arial" w:eastAsia="黑体" w:cs="Arial"/>
      <w:snapToGrid w:val="0"/>
      <w:kern w:val="0"/>
      <w:szCs w:val="21"/>
    </w:rPr>
  </w:style>
  <w:style w:type="character" w:customStyle="1" w:styleId="429">
    <w:name w:val="hui"/>
    <w:basedOn w:val="69"/>
    <w:qFormat/>
    <w:uiPriority w:val="0"/>
    <w:rPr>
      <w:rFonts w:ascii="Arial" w:hAnsi="Arial" w:eastAsia="黑体" w:cs="Arial"/>
      <w:snapToGrid w:val="0"/>
      <w:kern w:val="0"/>
      <w:szCs w:val="21"/>
    </w:rPr>
  </w:style>
  <w:style w:type="character" w:customStyle="1" w:styleId="430">
    <w:name w:val="哈哈正文 Char Char"/>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6"/>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qFormat/>
    <w:uiPriority w:val="0"/>
    <w:pPr>
      <w:spacing w:before="120" w:line="360" w:lineRule="auto"/>
      <w:ind w:firstLine="567"/>
    </w:pPr>
    <w:rPr>
      <w:rFonts w:ascii="Arial" w:hAnsi="Arial"/>
      <w:sz w:val="20"/>
      <w:szCs w:val="20"/>
    </w:rPr>
  </w:style>
  <w:style w:type="paragraph" w:customStyle="1" w:styleId="44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qFormat/>
    <w:uiPriority w:val="0"/>
    <w:pPr>
      <w:adjustRightInd/>
      <w:ind w:firstLine="200" w:firstLineChars="200"/>
    </w:pPr>
    <w:rPr>
      <w:rFonts w:ascii="Tahoma" w:hAnsi="Tahoma"/>
      <w:sz w:val="24"/>
      <w:szCs w:val="20"/>
    </w:rPr>
  </w:style>
  <w:style w:type="paragraph" w:customStyle="1" w:styleId="45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qFormat/>
    <w:uiPriority w:val="0"/>
    <w:pPr>
      <w:tabs>
        <w:tab w:val="left" w:pos="360"/>
      </w:tabs>
    </w:pPr>
    <w:rPr>
      <w:sz w:val="24"/>
      <w:szCs w:val="20"/>
    </w:rPr>
  </w:style>
  <w:style w:type="paragraph" w:customStyle="1" w:styleId="453">
    <w:name w:val="Char Char11 Char Char Char"/>
    <w:basedOn w:val="1"/>
    <w:qFormat/>
    <w:uiPriority w:val="0"/>
    <w:pPr>
      <w:spacing w:line="360" w:lineRule="auto"/>
    </w:pPr>
    <w:rPr>
      <w:szCs w:val="20"/>
    </w:rPr>
  </w:style>
  <w:style w:type="paragraph" w:customStyle="1" w:styleId="45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qFormat/>
    <w:uiPriority w:val="0"/>
    <w:pPr>
      <w:tabs>
        <w:tab w:val="left" w:pos="2790"/>
        <w:tab w:val="left" w:pos="4230"/>
      </w:tabs>
      <w:spacing w:before="312" w:beforeLines="100"/>
      <w:jc w:val="left"/>
    </w:pPr>
  </w:style>
  <w:style w:type="paragraph" w:customStyle="1" w:styleId="45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qFormat/>
    <w:uiPriority w:val="0"/>
    <w:pPr>
      <w:tabs>
        <w:tab w:val="left" w:pos="840"/>
      </w:tabs>
      <w:ind w:left="840" w:hanging="420"/>
    </w:pPr>
    <w:rPr>
      <w:rFonts w:ascii="Tahoma" w:hAnsi="Tahoma"/>
      <w:sz w:val="24"/>
    </w:rPr>
  </w:style>
  <w:style w:type="paragraph" w:customStyle="1" w:styleId="45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2"/>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qFormat/>
    <w:uiPriority w:val="0"/>
    <w:pPr>
      <w:adjustRightInd/>
      <w:spacing w:before="156" w:line="360" w:lineRule="auto"/>
      <w:ind w:firstLine="510" w:firstLineChars="200"/>
    </w:pPr>
    <w:rPr>
      <w:sz w:val="24"/>
      <w:szCs w:val="20"/>
    </w:rPr>
  </w:style>
  <w:style w:type="paragraph" w:customStyle="1" w:styleId="463">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qFormat/>
    <w:uiPriority w:val="0"/>
    <w:rPr>
      <w:rFonts w:ascii="仿宋_GB2312" w:eastAsia="仿宋_GB2312"/>
      <w:b/>
      <w:sz w:val="32"/>
      <w:szCs w:val="32"/>
    </w:rPr>
  </w:style>
  <w:style w:type="paragraph" w:customStyle="1" w:styleId="4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6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qFormat/>
    <w:uiPriority w:val="0"/>
    <w:pPr>
      <w:keepNext/>
      <w:tabs>
        <w:tab w:val="left" w:pos="360"/>
      </w:tabs>
      <w:spacing w:before="0" w:after="0"/>
      <w:outlineLvl w:val="5"/>
    </w:pPr>
  </w:style>
  <w:style w:type="paragraph" w:customStyle="1" w:styleId="471">
    <w:name w:val="5级标题"/>
    <w:basedOn w:val="472"/>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qFormat/>
    <w:uiPriority w:val="0"/>
    <w:pPr>
      <w:adjustRightInd/>
      <w:ind w:left="420" w:leftChars="200"/>
      <w:jc w:val="left"/>
    </w:pPr>
    <w:rPr>
      <w:sz w:val="28"/>
      <w:szCs w:val="20"/>
      <w:lang w:eastAsia="zh-TW"/>
    </w:rPr>
  </w:style>
  <w:style w:type="paragraph" w:customStyle="1" w:styleId="474">
    <w:name w:val="Char2 Char Char"/>
    <w:basedOn w:val="1"/>
    <w:qFormat/>
    <w:uiPriority w:val="0"/>
    <w:pPr>
      <w:adjustRightInd/>
    </w:pPr>
    <w:rPr>
      <w:rFonts w:ascii="Tahoma" w:hAnsi="Tahoma"/>
      <w:sz w:val="24"/>
      <w:szCs w:val="20"/>
    </w:rPr>
  </w:style>
  <w:style w:type="paragraph" w:customStyle="1" w:styleId="475">
    <w:name w:val="_Style 11"/>
    <w:basedOn w:val="1"/>
    <w:qFormat/>
    <w:uiPriority w:val="34"/>
    <w:pPr>
      <w:adjustRightInd/>
      <w:ind w:firstLine="420" w:firstLineChars="200"/>
    </w:pPr>
    <w:rPr>
      <w:rFonts w:eastAsia="仿宋_GB2312"/>
      <w:sz w:val="28"/>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qFormat/>
    <w:uiPriority w:val="0"/>
    <w:rPr>
      <w:rFonts w:ascii="Tahoma" w:hAnsi="Tahoma"/>
      <w:sz w:val="24"/>
      <w:szCs w:val="20"/>
    </w:rPr>
  </w:style>
  <w:style w:type="paragraph" w:customStyle="1" w:styleId="478">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7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qFormat/>
    <w:uiPriority w:val="99"/>
    <w:rPr>
      <w:szCs w:val="22"/>
    </w:rPr>
  </w:style>
  <w:style w:type="paragraph" w:customStyle="1" w:styleId="4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qFormat/>
    <w:uiPriority w:val="6"/>
    <w:rPr>
      <w:rFonts w:ascii="Tahoma" w:hAnsi="Tahoma" w:cs="仿宋_GB2312"/>
      <w:sz w:val="24"/>
      <w:szCs w:val="20"/>
    </w:rPr>
  </w:style>
  <w:style w:type="paragraph" w:customStyle="1" w:styleId="48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2"/>
    <w:qFormat/>
    <w:uiPriority w:val="0"/>
    <w:pPr>
      <w:tabs>
        <w:tab w:val="left" w:pos="1260"/>
      </w:tabs>
      <w:ind w:left="1260" w:hanging="420"/>
    </w:pPr>
    <w:rPr>
      <w:rFonts w:ascii="Arial" w:hAnsi="Arial" w:eastAsia="黑体"/>
      <w:lang w:val="en-US"/>
    </w:rPr>
  </w:style>
  <w:style w:type="paragraph" w:customStyle="1" w:styleId="487">
    <w:name w:val="五级无标题条"/>
    <w:basedOn w:val="1"/>
    <w:qFormat/>
    <w:uiPriority w:val="0"/>
    <w:pPr>
      <w:adjustRightInd/>
    </w:pPr>
  </w:style>
  <w:style w:type="paragraph" w:customStyle="1" w:styleId="488">
    <w:name w:val="Char5"/>
    <w:basedOn w:val="1"/>
    <w:qFormat/>
    <w:uiPriority w:val="0"/>
    <w:rPr>
      <w:rFonts w:ascii="仿宋_GB2312" w:eastAsia="仿宋_GB2312"/>
      <w:b/>
      <w:sz w:val="32"/>
      <w:szCs w:val="32"/>
    </w:rPr>
  </w:style>
  <w:style w:type="paragraph" w:customStyle="1" w:styleId="489">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qFormat/>
    <w:uiPriority w:val="0"/>
    <w:rPr>
      <w:rFonts w:ascii="仿宋_GB2312" w:eastAsia="仿宋_GB2312"/>
      <w:b/>
      <w:sz w:val="32"/>
      <w:szCs w:val="32"/>
    </w:rPr>
  </w:style>
  <w:style w:type="paragraph" w:customStyle="1" w:styleId="493">
    <w:name w:val="数字标题3"/>
    <w:basedOn w:val="4"/>
    <w:next w:val="1"/>
    <w:qFormat/>
    <w:uiPriority w:val="0"/>
    <w:pPr>
      <w:spacing w:line="240" w:lineRule="auto"/>
    </w:pPr>
    <w:rPr>
      <w:sz w:val="28"/>
      <w:szCs w:val="28"/>
    </w:rPr>
  </w:style>
  <w:style w:type="paragraph" w:customStyle="1" w:styleId="494">
    <w:name w:val="FA正文"/>
    <w:basedOn w:val="1"/>
    <w:qFormat/>
    <w:uiPriority w:val="0"/>
    <w:pPr>
      <w:spacing w:line="360" w:lineRule="auto"/>
      <w:ind w:firstLine="480" w:firstLineChars="200"/>
    </w:pPr>
    <w:rPr>
      <w:rFonts w:hAnsi="宋体"/>
      <w:sz w:val="24"/>
      <w:szCs w:val="20"/>
    </w:rPr>
  </w:style>
  <w:style w:type="paragraph" w:customStyle="1" w:styleId="495">
    <w:name w:val="MM Topic 5"/>
    <w:basedOn w:val="7"/>
    <w:qFormat/>
    <w:uiPriority w:val="0"/>
    <w:pPr>
      <w:tabs>
        <w:tab w:val="left" w:pos="2520"/>
      </w:tabs>
      <w:adjustRightInd/>
      <w:ind w:left="2520" w:hanging="420"/>
    </w:pPr>
  </w:style>
  <w:style w:type="paragraph" w:customStyle="1" w:styleId="496">
    <w:name w:val="Char Char Char Char Char Char Char Char Char Char1"/>
    <w:basedOn w:val="1"/>
    <w:qFormat/>
    <w:uiPriority w:val="0"/>
    <w:rPr>
      <w:rFonts w:ascii="仿宋_GB2312" w:eastAsia="仿宋_GB2312"/>
      <w:b/>
      <w:sz w:val="32"/>
      <w:szCs w:val="32"/>
    </w:rPr>
  </w:style>
  <w:style w:type="paragraph" w:customStyle="1" w:styleId="49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qFormat/>
    <w:uiPriority w:val="0"/>
    <w:rPr>
      <w:rFonts w:ascii="仿宋_GB2312" w:eastAsia="仿宋_GB2312"/>
      <w:b/>
      <w:sz w:val="32"/>
      <w:szCs w:val="32"/>
    </w:rPr>
  </w:style>
  <w:style w:type="paragraph" w:customStyle="1" w:styleId="500">
    <w:name w:val="Char2 Char Char Char1"/>
    <w:basedOn w:val="1"/>
    <w:qFormat/>
    <w:uiPriority w:val="6"/>
    <w:rPr>
      <w:rFonts w:ascii="仿宋_GB2312" w:eastAsia="仿宋_GB2312"/>
      <w:b/>
      <w:sz w:val="32"/>
      <w:szCs w:val="32"/>
    </w:rPr>
  </w:style>
  <w:style w:type="paragraph" w:customStyle="1" w:styleId="501">
    <w:name w:val="默认段落样式"/>
    <w:basedOn w:val="128"/>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qFormat/>
    <w:uiPriority w:val="0"/>
    <w:pPr>
      <w:snapToGrid w:val="0"/>
      <w:spacing w:line="0" w:lineRule="atLeast"/>
      <w:ind w:firstLine="200" w:firstLineChars="200"/>
      <w:jc w:val="center"/>
    </w:pPr>
    <w:rPr>
      <w:sz w:val="24"/>
      <w:szCs w:val="20"/>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4"/>
    <w:qFormat/>
    <w:uiPriority w:val="0"/>
    <w:pPr>
      <w:tabs>
        <w:tab w:val="left" w:pos="1680"/>
      </w:tabs>
      <w:adjustRightInd/>
      <w:ind w:left="1680" w:hanging="420"/>
    </w:pPr>
  </w:style>
  <w:style w:type="paragraph" w:customStyle="1" w:styleId="505">
    <w:name w:val="标准小四"/>
    <w:basedOn w:val="1"/>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qFormat/>
    <w:uiPriority w:val="6"/>
    <w:pPr>
      <w:adjustRightInd/>
    </w:pPr>
    <w:rPr>
      <w:rFonts w:ascii="Tahoma" w:hAnsi="Tahoma"/>
      <w:sz w:val="24"/>
      <w:szCs w:val="20"/>
    </w:rPr>
  </w:style>
  <w:style w:type="paragraph" w:customStyle="1" w:styleId="510">
    <w:name w:val="列出段落5"/>
    <w:basedOn w:val="1"/>
    <w:qFormat/>
    <w:uiPriority w:val="0"/>
    <w:pPr>
      <w:spacing w:line="360" w:lineRule="auto"/>
      <w:ind w:firstLine="200" w:firstLineChars="200"/>
    </w:pPr>
    <w:rPr>
      <w:rFonts w:eastAsia="楷体_GB2312" w:cs="Lucida Sans"/>
      <w:sz w:val="24"/>
    </w:rPr>
  </w:style>
  <w:style w:type="paragraph" w:customStyle="1" w:styleId="51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qFormat/>
    <w:uiPriority w:val="99"/>
    <w:pPr>
      <w:adjustRightInd/>
      <w:ind w:firstLine="200" w:firstLineChars="200"/>
    </w:pPr>
    <w:rPr>
      <w:rFonts w:ascii="Arial" w:hAnsi="Arial"/>
      <w:spacing w:val="-5"/>
      <w:kern w:val="0"/>
      <w:sz w:val="24"/>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6"/>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3"/>
    <w:qFormat/>
    <w:uiPriority w:val="0"/>
    <w:pPr>
      <w:tabs>
        <w:tab w:val="left" w:pos="840"/>
      </w:tabs>
      <w:adjustRightInd/>
      <w:ind w:left="840" w:hanging="420"/>
    </w:pPr>
  </w:style>
  <w:style w:type="paragraph" w:customStyle="1" w:styleId="623">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6"/>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3"/>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7"/>
    <w:qFormat/>
    <w:uiPriority w:val="0"/>
    <w:rPr>
      <w:kern w:val="2"/>
      <w:sz w:val="21"/>
      <w:szCs w:val="24"/>
      <w:lang w:val="zh-CN"/>
    </w:rPr>
  </w:style>
  <w:style w:type="character" w:customStyle="1" w:styleId="930">
    <w:name w:val="无间隔 Char"/>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basedOn w:val="69"/>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2">
    <w:name w:val="纯文本 字符2"/>
    <w:qFormat/>
    <w:uiPriority w:val="0"/>
    <w:rPr>
      <w:rFonts w:ascii="宋体" w:hAnsi="Courier New" w:eastAsia="宋体" w:cs="Courier New"/>
      <w:szCs w:val="21"/>
    </w:rPr>
  </w:style>
  <w:style w:type="paragraph" w:customStyle="1" w:styleId="963">
    <w:name w:val="样式 标题 2 + 宋体"/>
    <w:basedOn w:val="2"/>
    <w:qFormat/>
    <w:uiPriority w:val="99"/>
    <w:pPr>
      <w:tabs>
        <w:tab w:val="left" w:pos="360"/>
        <w:tab w:val="clear" w:pos="432"/>
      </w:tabs>
      <w:spacing w:before="60" w:after="60" w:line="413" w:lineRule="auto"/>
      <w:ind w:left="0" w:firstLine="0"/>
      <w:jc w:val="both"/>
    </w:pPr>
    <w:rPr>
      <w:rFonts w:ascii="宋体" w:hAnsi="宋体" w:eastAsia="黑体"/>
      <w:kern w:val="0"/>
      <w:sz w:val="30"/>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42FCCE-B946-4434-88D4-B18B3B138DDC}">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81</Pages>
  <Words>11302</Words>
  <Characters>12635</Characters>
  <Lines>296</Lines>
  <Paragraphs>83</Paragraphs>
  <TotalTime>7</TotalTime>
  <ScaleCrop>false</ScaleCrop>
  <LinksUpToDate>false</LinksUpToDate>
  <CharactersWithSpaces>12820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2025-10-14T08:44:00Z</dcterms:created>
  <dc:creator>北海市政府采购中心</dc:creator>
  <cp:lastModifiedBy>wxh</cp:lastModifiedBy>
  <cp:lastPrinted>2026-05-11T03:46:00Z</cp:lastPrinted>
  <dcterms:modified xsi:type="dcterms:W3CDTF">2026-05-12T02:02:02Z</dcterms:modified>
  <dc:title>北海市政府采购中心</dc:title>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92B301AE886C4EA796237F8A952F6D86_13</vt:lpwstr>
  </property>
  <property fmtid="{D5CDD505-2E9C-101B-9397-08002B2CF9AE}" pid="5" name="KSOTemplateDocerSaveRecord">
    <vt:lpwstr>eyJoZGlkIjoiYTg0NTcxNDhkNGI3MjQ2MDVjZDE3OGFhZjRiY2U4NTciLCJ1c2VySWQiOiIxNTYwMjA5NTE4In0=</vt:lpwstr>
  </property>
</Properties>
</file>