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人物形象设计智慧专业课程建设</w:t>
      </w:r>
    </w:p>
    <w:p>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pPr>
        <w:adjustRightInd/>
        <w:spacing w:line="360" w:lineRule="auto"/>
        <w:jc w:val="center"/>
        <w:rPr>
          <w:rFonts w:hint="eastAsia"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hint="eastAsia" w:cs="仿宋_GB2312" w:asciiTheme="minorEastAsia" w:hAnsiTheme="minorEastAsia" w:eastAsiaTheme="minorEastAsia"/>
          <w:color w:val="auto"/>
          <w:sz w:val="30"/>
          <w:szCs w:val="30"/>
          <w:highlight w:val="none"/>
        </w:rPr>
      </w:pPr>
    </w:p>
    <w:p>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BHZC2026-C3-990081-CGZX</w:t>
      </w:r>
    </w:p>
    <w:p>
      <w:pPr>
        <w:pStyle w:val="183"/>
        <w:widowControl w:val="0"/>
        <w:spacing w:before="0" w:beforeAutospacing="0" w:after="0" w:afterAutospacing="0" w:line="360" w:lineRule="auto"/>
        <w:jc w:val="both"/>
        <w:textAlignment w:val="auto"/>
        <w:rPr>
          <w:rFonts w:cs="仿宋_GB2312" w:asciiTheme="minorEastAsia" w:hAnsiTheme="minorEastAsia" w:eastAsiaTheme="minorEastAsia"/>
          <w:color w:val="auto"/>
          <w:kern w:val="2"/>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hint="eastAsia"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北海职业学院</w:t>
      </w:r>
      <w:r>
        <w:rPr>
          <w:rFonts w:hint="eastAsia" w:ascii="宋体" w:hAnsi="宋体" w:cs="宋体"/>
          <w:color w:val="auto"/>
          <w:sz w:val="32"/>
          <w:szCs w:val="32"/>
          <w:highlight w:val="none"/>
        </w:rPr>
        <w:t>）</w:t>
      </w:r>
    </w:p>
    <w:p>
      <w:pPr>
        <w:spacing w:line="360" w:lineRule="auto"/>
        <w:jc w:val="center"/>
        <w:rPr>
          <w:rFonts w:hint="eastAsia"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w:t>
      </w:r>
      <w:r>
        <w:rPr>
          <w:rFonts w:hint="eastAsia" w:cs="仿宋_GB2312" w:asciiTheme="minorEastAsia" w:hAnsiTheme="minorEastAsia" w:eastAsiaTheme="minorEastAsia"/>
          <w:bCs/>
          <w:color w:val="auto"/>
          <w:sz w:val="32"/>
          <w:szCs w:val="32"/>
          <w:highlight w:val="none"/>
          <w:lang w:val="en-US" w:eastAsia="zh-CN"/>
        </w:rPr>
        <w:t>6</w:t>
      </w:r>
      <w:r>
        <w:rPr>
          <w:rFonts w:hint="eastAsia" w:cs="仿宋_GB2312" w:asciiTheme="minorEastAsia" w:hAnsiTheme="minorEastAsia" w:eastAsiaTheme="minorEastAsia"/>
          <w:bCs/>
          <w:color w:val="auto"/>
          <w:sz w:val="32"/>
          <w:szCs w:val="32"/>
          <w:highlight w:val="none"/>
          <w:lang w:eastAsia="zh-CN"/>
        </w:rPr>
        <w:t>年</w:t>
      </w:r>
      <w:r>
        <w:rPr>
          <w:rFonts w:hint="eastAsia" w:cs="仿宋_GB2312" w:asciiTheme="minorEastAsia" w:hAnsiTheme="minorEastAsia" w:eastAsiaTheme="minorEastAsia"/>
          <w:bCs/>
          <w:color w:val="auto"/>
          <w:sz w:val="32"/>
          <w:szCs w:val="32"/>
          <w:highlight w:val="none"/>
          <w:lang w:val="en-US" w:eastAsia="zh-CN"/>
        </w:rPr>
        <w:t>5</w:t>
      </w:r>
      <w:r>
        <w:rPr>
          <w:rFonts w:hint="eastAsia" w:cs="仿宋_GB2312" w:asciiTheme="minorEastAsia" w:hAnsiTheme="minorEastAsia" w:eastAsiaTheme="minorEastAsia"/>
          <w:bCs/>
          <w:color w:val="auto"/>
          <w:sz w:val="32"/>
          <w:szCs w:val="32"/>
          <w:highlight w:val="none"/>
          <w:lang w:eastAsia="zh-CN"/>
        </w:rPr>
        <w:t>月</w:t>
      </w:r>
      <w:r>
        <w:rPr>
          <w:rFonts w:hint="eastAsia" w:cs="仿宋_GB2312" w:asciiTheme="minorEastAsia" w:hAnsiTheme="minorEastAsia" w:eastAsiaTheme="minorEastAsia"/>
          <w:bCs/>
          <w:color w:val="auto"/>
          <w:sz w:val="32"/>
          <w:szCs w:val="32"/>
          <w:highlight w:val="none"/>
          <w:lang w:val="en-US" w:eastAsia="zh-CN"/>
        </w:rPr>
        <w:t>18</w:t>
      </w:r>
      <w:r>
        <w:rPr>
          <w:rFonts w:hint="eastAsia" w:cs="仿宋_GB2312" w:asciiTheme="minorEastAsia" w:hAnsiTheme="minorEastAsia" w:eastAsiaTheme="minorEastAsia"/>
          <w:bCs/>
          <w:color w:val="auto"/>
          <w:sz w:val="32"/>
          <w:szCs w:val="32"/>
          <w:highlight w:val="none"/>
          <w:lang w:eastAsia="zh-CN"/>
        </w:rPr>
        <w:t>日</w:t>
      </w:r>
    </w:p>
    <w:p>
      <w:pPr>
        <w:tabs>
          <w:tab w:val="left" w:pos="2268"/>
        </w:tabs>
        <w:spacing w:line="360" w:lineRule="auto"/>
        <w:jc w:val="center"/>
        <w:rPr>
          <w:rFonts w:hint="eastAsia"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pgNumType w:fmt="decimal"/>
          <w:cols w:space="720" w:num="1"/>
          <w:titlePg/>
          <w:docGrid w:linePitch="312" w:charSpace="0"/>
        </w:sectPr>
      </w:pPr>
    </w:p>
    <w:p>
      <w:pPr>
        <w:tabs>
          <w:tab w:val="left" w:pos="2268"/>
        </w:tabs>
        <w:spacing w:line="360" w:lineRule="auto"/>
        <w:jc w:val="center"/>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32"/>
          <w:szCs w:val="32"/>
          <w:highlight w:val="none"/>
        </w:rPr>
      </w:pPr>
    </w:p>
    <w:p>
      <w:pPr>
        <w:spacing w:line="360" w:lineRule="auto"/>
        <w:rPr>
          <w:rFonts w:hint="eastAsia" w:cs="仿宋_GB2312" w:asciiTheme="minorEastAsia" w:hAnsiTheme="minorEastAsia" w:eastAsiaTheme="minorEastAsia"/>
          <w:color w:val="auto"/>
          <w:sz w:val="32"/>
          <w:szCs w:val="32"/>
          <w:highlight w:val="none"/>
        </w:rPr>
      </w:pPr>
    </w:p>
    <w:sdt>
      <w:sdtPr>
        <w:rPr>
          <w:rFonts w:ascii="宋体" w:hAnsi="宋体" w:eastAsia="宋体" w:cs="Times New Roman"/>
          <w:color w:val="auto"/>
          <w:kern w:val="2"/>
          <w:sz w:val="44"/>
          <w:szCs w:val="44"/>
          <w:highlight w:val="none"/>
          <w:lang w:val="en-US" w:eastAsia="zh-CN" w:bidi="ar-SA"/>
        </w:rPr>
        <w:id w:val="147476142"/>
        <w15:color w:val="DBDBDB"/>
        <w:docPartObj>
          <w:docPartGallery w:val="Table of Contents"/>
          <w:docPartUnique/>
        </w:docPartObj>
      </w:sdtPr>
      <w:sdtEndPr>
        <w:rPr>
          <w:rFonts w:ascii="宋体" w:hAnsi="宋体" w:eastAsia="宋体" w:cs="Times New Roman"/>
          <w:color w:val="auto"/>
          <w:kern w:val="2"/>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olor w:val="auto"/>
              <w:sz w:val="44"/>
              <w:szCs w:val="44"/>
              <w:highlight w:val="none"/>
            </w:rPr>
          </w:pPr>
          <w:bookmarkStart w:id="0" w:name="_Hlt91233176"/>
          <w:bookmarkEnd w:id="0"/>
          <w:bookmarkStart w:id="1" w:name="_Toc91899869"/>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4"/>
            <w:numPr>
              <w:ilvl w:val="0"/>
              <w:numId w:val="0"/>
            </w:numPr>
            <w:ind w:leftChars="0"/>
            <w:rPr>
              <w:color w:val="auto"/>
              <w:highlight w:val="none"/>
            </w:rPr>
          </w:pP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_Toc11577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_Toc7323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竞争性磋商流程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_Toc7323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_Toc10282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_Toc10282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评审方法及评审标准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_Toc5537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_Toc15409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_Toc15409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_Toc30004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_Toc30004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keepNext w:val="0"/>
            <w:keepLines w:val="0"/>
            <w:pageBreakBefore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z w:val="28"/>
              <w:szCs w:val="28"/>
              <w:highlight w:val="none"/>
            </w:rPr>
            <w:fldChar w:fldCharType="end"/>
          </w:r>
        </w:p>
      </w:sdtContent>
    </w:sdt>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bookmarkEnd w:id="1"/>
    <w:p>
      <w:pPr>
        <w:adjustRightInd/>
        <w:jc w:val="center"/>
        <w:outlineLvl w:val="0"/>
        <w:rPr>
          <w:rFonts w:hint="eastAsia" w:cs="仿宋_GB2312" w:asciiTheme="minorEastAsia" w:hAnsiTheme="minorEastAsia" w:eastAsiaTheme="minorEastAsia"/>
          <w:b/>
          <w:color w:val="auto"/>
          <w:sz w:val="36"/>
          <w:szCs w:val="20"/>
          <w:highlight w:val="none"/>
        </w:rPr>
        <w:sectPr>
          <w:footerReference r:id="rId6" w:type="default"/>
          <w:pgSz w:w="11906" w:h="16838"/>
          <w:pgMar w:top="1247" w:right="1418" w:bottom="1276" w:left="1418" w:header="851" w:footer="992" w:gutter="0"/>
          <w:pgNumType w:fmt="decimal" w:start="1"/>
          <w:cols w:space="720" w:num="1"/>
          <w:docGrid w:linePitch="312" w:charSpace="0"/>
        </w:sectPr>
      </w:pPr>
      <w:bookmarkStart w:id="2" w:name="_Hlt74707423"/>
      <w:bookmarkEnd w:id="2"/>
      <w:bookmarkStart w:id="3" w:name="_Hlt74729822"/>
      <w:bookmarkEnd w:id="3"/>
      <w:bookmarkStart w:id="4" w:name="_Hlt74649545"/>
      <w:bookmarkEnd w:id="4"/>
      <w:bookmarkStart w:id="5" w:name="_Hlt74728647"/>
      <w:bookmarkEnd w:id="5"/>
      <w:bookmarkStart w:id="6" w:name="_Toc11577"/>
      <w:bookmarkStart w:id="7" w:name="_Toc20653"/>
      <w:bookmarkStart w:id="8" w:name="第二部分"/>
      <w:bookmarkStart w:id="9" w:name="_Toc91899870"/>
      <w:bookmarkStart w:id="10" w:name="_Toc91899871"/>
    </w:p>
    <w:p>
      <w:pPr>
        <w:adjustRightInd/>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6"/>
          <w:szCs w:val="20"/>
          <w:highlight w:val="none"/>
        </w:rPr>
        <w:t>第一部分  邀请供应商</w:t>
      </w:r>
      <w:bookmarkEnd w:id="6"/>
      <w:bookmarkEnd w:id="7"/>
    </w:p>
    <w:p>
      <w:pPr>
        <w:adjustRightInd/>
        <w:jc w:val="center"/>
        <w:outlineLvl w:val="9"/>
        <w:rPr>
          <w:rFonts w:hint="eastAsia" w:cs="仿宋_GB2312" w:asciiTheme="minorEastAsia" w:hAnsiTheme="minorEastAsia" w:eastAsiaTheme="minor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2"/>
          <w:szCs w:val="32"/>
          <w:highlight w:val="none"/>
        </w:rPr>
        <w:t>北海市政府采购中心关于</w:t>
      </w:r>
      <w:r>
        <w:rPr>
          <w:rFonts w:hint="eastAsia" w:cs="仿宋_GB2312" w:asciiTheme="minorEastAsia" w:hAnsiTheme="minorEastAsia" w:eastAsiaTheme="minorEastAsia"/>
          <w:b/>
          <w:color w:val="auto"/>
          <w:sz w:val="32"/>
          <w:szCs w:val="32"/>
          <w:highlight w:val="none"/>
          <w:lang w:eastAsia="zh-CN"/>
        </w:rPr>
        <w:t>北海职业学院人物形象设计智慧专业课程建设</w:t>
      </w:r>
      <w:r>
        <w:rPr>
          <w:rFonts w:hint="eastAsia" w:cs="仿宋_GB2312" w:asciiTheme="minorEastAsia" w:hAnsiTheme="minorEastAsia" w:eastAsiaTheme="minorEastAsia"/>
          <w:b/>
          <w:color w:val="auto"/>
          <w:sz w:val="32"/>
          <w:szCs w:val="32"/>
          <w:highlight w:val="none"/>
        </w:rPr>
        <w:t>(</w:t>
      </w:r>
      <w:r>
        <w:rPr>
          <w:rFonts w:hint="eastAsia" w:cs="仿宋_GB2312" w:asciiTheme="minorEastAsia" w:hAnsiTheme="minorEastAsia" w:eastAsiaTheme="minorEastAsia"/>
          <w:b/>
          <w:color w:val="auto"/>
          <w:sz w:val="32"/>
          <w:szCs w:val="32"/>
          <w:highlight w:val="none"/>
          <w:lang w:eastAsia="zh-CN"/>
        </w:rPr>
        <w:t>BHZC2026-C3-990081-CGZX</w:t>
      </w:r>
      <w:r>
        <w:rPr>
          <w:rFonts w:hint="eastAsia" w:cs="仿宋_GB2312" w:asciiTheme="minorEastAsia" w:hAnsiTheme="minorEastAsia" w:eastAsiaTheme="minorEastAsia"/>
          <w:b/>
          <w:color w:val="auto"/>
          <w:sz w:val="32"/>
          <w:szCs w:val="32"/>
          <w:highlight w:val="none"/>
        </w:rPr>
        <w:t>)竞争性磋商公告（远程异地评标）</w:t>
      </w:r>
    </w:p>
    <w:p>
      <w:pPr>
        <w:spacing w:line="360" w:lineRule="auto"/>
        <w:rPr>
          <w:rFonts w:hint="eastAsia" w:asciiTheme="minorEastAsia" w:hAnsiTheme="minorEastAsia" w:eastAsiaTheme="minorEastAsia"/>
          <w:color w:val="auto"/>
          <w:sz w:val="24"/>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人物形象设计智慧专业课程建设</w:t>
      </w:r>
      <w:r>
        <w:rPr>
          <w:rFonts w:hint="eastAsia" w:ascii="宋体" w:hAnsi="宋体" w:eastAsia="宋体" w:cs="宋体"/>
          <w:color w:val="auto"/>
          <w:sz w:val="24"/>
          <w:szCs w:val="24"/>
          <w:highlight w:val="none"/>
        </w:rPr>
        <w:t>的潜在供应商应在广西政府采购云平台（网址：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"http://www.gcy.zfcg.gxzf.gov.cn）获取采购文件，并于2026年" </w:instrText>
      </w:r>
      <w:r>
        <w:rPr>
          <w:rFonts w:hint="eastAsia" w:ascii="宋体" w:hAnsi="宋体" w:eastAsia="宋体" w:cs="宋体"/>
          <w:color w:val="auto"/>
          <w:sz w:val="24"/>
          <w:szCs w:val="24"/>
          <w:highlight w:val="none"/>
        </w:rPr>
        <w:fldChar w:fldCharType="separate"/>
      </w:r>
      <w:r>
        <w:rPr>
          <w:rStyle w:val="69"/>
          <w:rFonts w:hint="eastAsia" w:ascii="宋体" w:hAnsi="宋体" w:eastAsia="宋体" w:cs="宋体"/>
          <w:color w:val="auto"/>
          <w:sz w:val="24"/>
          <w:szCs w:val="24"/>
          <w:highlight w:val="none"/>
        </w:rPr>
        <w:t>http://www.gcy.zfcg.gxzf.gov.cn）获取采购文件，并于</w:t>
      </w:r>
      <w:r>
        <w:rPr>
          <w:rStyle w:val="69"/>
          <w:rFonts w:hint="eastAsia" w:ascii="宋体" w:hAnsi="宋体" w:eastAsia="宋体" w:cs="宋体"/>
          <w:color w:val="auto"/>
          <w:sz w:val="24"/>
          <w:szCs w:val="24"/>
          <w:highlight w:val="none"/>
          <w:lang w:eastAsia="zh-CN"/>
        </w:rPr>
        <w:t>202</w:t>
      </w:r>
      <w:r>
        <w:rPr>
          <w:rStyle w:val="69"/>
          <w:rFonts w:hint="eastAsia" w:ascii="宋体" w:hAnsi="宋体" w:eastAsia="宋体" w:cs="宋体"/>
          <w:color w:val="auto"/>
          <w:sz w:val="24"/>
          <w:szCs w:val="24"/>
          <w:highlight w:val="none"/>
          <w:lang w:val="en-US" w:eastAsia="zh-CN"/>
        </w:rPr>
        <w:t>6</w:t>
      </w:r>
      <w:r>
        <w:rPr>
          <w:rStyle w:val="69"/>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（北京时间）前提交响应文件。</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bookmarkStart w:id="11" w:name="OLE_LINK3"/>
      <w:r>
        <w:rPr>
          <w:rFonts w:hint="eastAsia" w:ascii="宋体" w:hAnsi="宋体" w:cs="宋体"/>
          <w:color w:val="auto"/>
          <w:sz w:val="24"/>
          <w:szCs w:val="24"/>
          <w:highlight w:val="none"/>
          <w:lang w:eastAsia="zh-CN"/>
        </w:rPr>
        <w:t>BHZC2026-C3-990081-CGZX</w:t>
      </w:r>
      <w:bookmarkEnd w:id="11"/>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人物形象设计智慧专业课程建设</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预算总金额（元）：858,400.00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lang w:eastAsia="zh-CN"/>
        </w:rPr>
        <w:t>人物形象设计智慧专业课程建设</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预算金额（元）:858,400.00</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lang w:eastAsia="zh-CN"/>
        </w:rPr>
        <w:t>人物形象设计智慧专业课程建设</w:t>
      </w:r>
      <w:r>
        <w:rPr>
          <w:rFonts w:hint="eastAsia" w:ascii="宋体" w:hAnsi="宋体" w:eastAsia="宋体" w:cs="宋体"/>
          <w:color w:val="auto"/>
          <w:sz w:val="24"/>
          <w:szCs w:val="24"/>
          <w:highlight w:val="none"/>
        </w:rPr>
        <w:t>，详见磋商文件。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最高限价（如有）：858,400.00</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合同履约期限：自签订合同之日起180个自然日内全部安装调试完毕，经验收合格并交付使用。</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w:t>
      </w:r>
      <w:r>
        <w:rPr>
          <w:rFonts w:hint="eastAsia" w:ascii="宋体" w:hAnsi="宋体" w:eastAsia="宋体" w:cs="宋体"/>
          <w:color w:val="auto"/>
          <w:sz w:val="24"/>
          <w:szCs w:val="24"/>
          <w:highlight w:val="none"/>
          <w:lang w:eastAsia="zh-CN"/>
        </w:rPr>
        <w:t>中小微</w:t>
      </w:r>
      <w:r>
        <w:rPr>
          <w:rFonts w:hint="eastAsia" w:ascii="宋体" w:hAnsi="宋体" w:eastAsia="宋体" w:cs="宋体"/>
          <w:color w:val="auto"/>
          <w:sz w:val="24"/>
          <w:szCs w:val="24"/>
          <w:highlight w:val="none"/>
        </w:rPr>
        <w:t>企业采购，监狱企业、残疾人福利性单位视同</w:t>
      </w:r>
      <w:r>
        <w:rPr>
          <w:rFonts w:hint="eastAsia" w:ascii="宋体" w:hAnsi="宋体" w:eastAsia="宋体" w:cs="宋体"/>
          <w:color w:val="auto"/>
          <w:sz w:val="24"/>
          <w:szCs w:val="24"/>
          <w:highlight w:val="none"/>
          <w:lang w:eastAsia="zh-CN"/>
        </w:rPr>
        <w:t>小微</w:t>
      </w:r>
      <w:r>
        <w:rPr>
          <w:rFonts w:hint="eastAsia" w:ascii="宋体" w:hAnsi="宋体" w:eastAsia="宋体" w:cs="宋体"/>
          <w:color w:val="auto"/>
          <w:sz w:val="24"/>
          <w:szCs w:val="24"/>
          <w:highlight w:val="none"/>
        </w:rPr>
        <w:t>企业；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日，每天上午00:00至12:00，下午12:00至23:59（北京时间，法定节假日除外）</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地点（网址）：广西政府采购云平台（网址：http://www.gcy.zfcg.gxzf.gov.cn）</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 </w:t>
      </w:r>
      <w:bookmarkStart w:id="252" w:name="_GoBack"/>
      <w:bookmarkEnd w:id="252"/>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提交响应文件截止时间、开标时间和地点</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提交响应文件截止时间：</w:t>
      </w:r>
      <w:bookmarkStart w:id="12" w:name="OLE_LINK4"/>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日9时</w:t>
      </w:r>
      <w:bookmarkEnd w:id="12"/>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投标地点（网址）：通过广西政府采购云平台实行在线投标</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开标地点：通过广西政府采购云平台实行在线开标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五、响应文件开启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地点：通过广西政府采购云平台实行在线解密开启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七、其他补充事宜</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1.本项目不收取磋商保证金。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企业采购的政府采购项目。（5）支持监狱企业、残疾人福利性单位发展：监狱企业、残疾人福利性单位视同小型和微型企业。</w:t>
      </w:r>
      <w:r>
        <w:rPr>
          <w:rFonts w:hint="eastAsia" w:ascii="宋体" w:hAnsi="宋体" w:eastAsia="宋体" w:cs="宋体"/>
          <w:strike w:val="0"/>
          <w:dstrike w:val="0"/>
          <w:color w:val="auto"/>
          <w:sz w:val="24"/>
          <w:szCs w:val="24"/>
          <w:highlight w:val="none"/>
        </w:rPr>
        <w:t>（6</w:t>
      </w:r>
      <w:r>
        <w:rPr>
          <w:rFonts w:hint="eastAsia" w:ascii="宋体" w:hAnsi="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平等对待内外资企业和符合条件的破产重整企业。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4.网上公告媒体查询：中国政府采购网、广西政府采购网、北海市政府采购监管网。</w:t>
      </w:r>
    </w:p>
    <w:p>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7.本项目采用远程异地评标。</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八、凡对本次磋商提出询问，请按以下方式联系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北海职业学院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广西北海市西藏路48号</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项目联系人：苫晓梦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项目联系方式：0779-3902121</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称：北海市政府采购中心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bookmarkStart w:id="13" w:name="OLE_LINK63"/>
      <w:bookmarkStart w:id="14" w:name="OLE_LINK62"/>
      <w:r>
        <w:rPr>
          <w:rFonts w:hint="eastAsia" w:ascii="宋体" w:hAnsi="宋体" w:eastAsia="宋体" w:cs="宋体"/>
          <w:color w:val="auto"/>
          <w:sz w:val="24"/>
          <w:szCs w:val="24"/>
          <w:highlight w:val="none"/>
        </w:rPr>
        <w:t>北海市海城区陈文村北路7号市直机关第三办公区2号楼一层</w:t>
      </w:r>
      <w:bookmarkEnd w:id="13"/>
      <w:bookmarkEnd w:id="14"/>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lang w:eastAsia="zh-CN"/>
        </w:rPr>
        <w:t>欧呈东</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项目联系方式(询问)：0779-3071101 </w:t>
      </w:r>
    </w:p>
    <w:p>
      <w:pPr>
        <w:pStyle w:val="63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hint="eastAsia" w:cs="仿宋_GB2312" w:asciiTheme="minorEastAsia" w:hAnsiTheme="minorEastAsia" w:eastAsiaTheme="minorEastAsia"/>
          <w:color w:val="auto"/>
          <w:sz w:val="24"/>
          <w:highlight w:val="none"/>
        </w:rPr>
      </w:pP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bookmarkStart w:id="15" w:name="_Toc24088"/>
      <w:bookmarkStart w:id="16" w:name="_Toc7323"/>
      <w:r>
        <w:rPr>
          <w:rFonts w:hint="eastAsia" w:cs="仿宋_GB2312" w:asciiTheme="minorEastAsia" w:hAnsiTheme="minorEastAsia" w:eastAsiaTheme="minorEastAsia"/>
          <w:b/>
          <w:color w:val="auto"/>
          <w:sz w:val="36"/>
          <w:szCs w:val="20"/>
          <w:highlight w:val="none"/>
        </w:rPr>
        <w:t>第二部分  竞争性磋商流程</w:t>
      </w:r>
      <w:bookmarkEnd w:id="15"/>
      <w:bookmarkEnd w:id="16"/>
    </w:p>
    <w:p>
      <w:pPr>
        <w:pStyle w:val="393"/>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3"/>
        <w:spacing w:before="0"/>
        <w:ind w:firstLine="480"/>
        <w:rPr>
          <w:rFonts w:hint="eastAsia"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pPr>
        <w:pStyle w:val="393"/>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pPr>
        <w:pStyle w:val="393"/>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pPr>
        <w:pStyle w:val="393"/>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3"/>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pPr>
        <w:pStyle w:val="393"/>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3"/>
        <w:spacing w:before="0"/>
        <w:ind w:firstLine="0" w:firstLineChars="0"/>
        <w:rPr>
          <w:rFonts w:hint="eastAsia"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3"/>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3"/>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pPr>
        <w:pStyle w:val="393"/>
        <w:spacing w:before="0"/>
        <w:ind w:firstLine="0" w:firstLineChars="0"/>
        <w:rPr>
          <w:rFonts w:hint="eastAsia" w:asciiTheme="minorEastAsia" w:hAnsiTheme="minorEastAsia" w:eastAsiaTheme="minorEastAsia"/>
          <w:b/>
          <w:color w:val="auto"/>
          <w:highlight w:val="none"/>
        </w:rPr>
      </w:pPr>
    </w:p>
    <w:p>
      <w:pPr>
        <w:widowControl/>
        <w:adjustRightInd/>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7" w:name="_Toc15110"/>
      <w:bookmarkStart w:id="18" w:name="_Toc10282"/>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17"/>
      <w:bookmarkEnd w:id="18"/>
    </w:p>
    <w:p>
      <w:pPr>
        <w:adjustRightInd/>
        <w:spacing w:line="360" w:lineRule="auto"/>
        <w:jc w:val="center"/>
        <w:outlineLvl w:val="1"/>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人物形象设计智慧专业课程建设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软件和信息技术服务业 </w:t>
            </w:r>
            <w:r>
              <w:rPr>
                <w:rFonts w:hint="eastAsia" w:cs="宋体" w:asciiTheme="minorEastAsia" w:hAnsiTheme="minorEastAsia" w:eastAsiaTheme="minorEastAsia"/>
                <w:color w:val="auto"/>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本项目不允许采购进口产品。</w:t>
            </w:r>
          </w:p>
          <w:p>
            <w:pPr>
              <w:spacing w:line="360" w:lineRule="auto"/>
              <w:rPr>
                <w:rFonts w:hint="eastAsia"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highlight w:val="none"/>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B组织。</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b/>
                <w:bCs/>
                <w:color w:val="auto"/>
                <w:kern w:val="0"/>
                <w:sz w:val="24"/>
                <w:highlight w:val="none"/>
                <w:u w:val="single"/>
                <w:lang w:val="en-US" w:eastAsia="zh-CN"/>
              </w:rPr>
              <w:t>25</w:t>
            </w:r>
            <w:r>
              <w:rPr>
                <w:rFonts w:hint="eastAsia" w:cs="宋体" w:asciiTheme="minorEastAsia" w:hAnsiTheme="minorEastAsia" w:eastAsiaTheme="minorEastAsia"/>
                <w:b/>
                <w:bCs/>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b/>
                <w:bCs/>
                <w:color w:val="auto"/>
                <w:kern w:val="0"/>
                <w:sz w:val="24"/>
                <w:highlight w:val="none"/>
                <w:u w:val="single"/>
              </w:rPr>
              <w:t>3</w:t>
            </w:r>
            <w:r>
              <w:rPr>
                <w:rFonts w:hint="eastAsia" w:cs="宋体" w:asciiTheme="minorEastAsia" w:hAnsiTheme="minorEastAsia" w:eastAsiaTheme="minorEastAsia"/>
                <w:b/>
                <w:bCs/>
                <w:color w:val="auto"/>
                <w:kern w:val="0"/>
                <w:sz w:val="24"/>
                <w:highlight w:val="none"/>
              </w:rPr>
              <w:t>人。讲解演示结束后按要求解答评标委员会提问。</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（2）方案讲解演示选择</w:t>
            </w:r>
            <w:r>
              <w:rPr>
                <w:rFonts w:hint="eastAsia" w:cs="宋体" w:asciiTheme="minorEastAsia" w:hAnsiTheme="minorEastAsia" w:eastAsiaTheme="minorEastAsia"/>
                <w:b/>
                <w:bCs/>
                <w:color w:val="auto"/>
                <w:kern w:val="0"/>
                <w:sz w:val="24"/>
                <w:highlight w:val="none"/>
                <w:lang w:eastAsia="zh-CN"/>
              </w:rPr>
              <w:t>方式一</w:t>
            </w:r>
            <w:r>
              <w:rPr>
                <w:rFonts w:hint="eastAsia" w:cs="宋体" w:asciiTheme="minorEastAsia" w:hAnsiTheme="minorEastAsia" w:eastAsiaTheme="minorEastAsia"/>
                <w:b/>
                <w:bCs/>
                <w:color w:val="auto"/>
                <w:kern w:val="0"/>
                <w:sz w:val="24"/>
                <w:highlight w:val="none"/>
              </w:rPr>
              <w:t>进行：</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pPr>
              <w:spacing w:line="360" w:lineRule="auto"/>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pPr>
              <w:spacing w:line="360" w:lineRule="auto"/>
              <w:ind w:firstLine="482" w:firstLineChars="200"/>
              <w:rPr>
                <w:rFonts w:ascii="宋体" w:hAnsi="宋体" w:cs="宋体"/>
                <w:color w:val="auto"/>
                <w:kern w:val="0"/>
                <w:sz w:val="24"/>
                <w:highlight w:val="none"/>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pPr>
              <w:spacing w:line="360" w:lineRule="auto"/>
              <w:ind w:firstLine="482" w:firstLineChars="200"/>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最后报价属于磋商文件规定的政府采购异常低价情形之一，且供应商不能提供书面说明、证明材料，或者提供的书面说明、证明材料不能证明其报价合理性的;</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2"/>
              <w:spacing w:line="360" w:lineRule="auto"/>
              <w:rPr>
                <w:rFonts w:hint="eastAsia"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pPr>
        <w:snapToGrid w:val="0"/>
        <w:jc w:val="center"/>
        <w:rPr>
          <w:rFonts w:hint="eastAsia" w:cs="仿宋_GB2312" w:asciiTheme="minorEastAsia" w:hAnsiTheme="minorEastAsia" w:eastAsiaTheme="minorEastAsia"/>
          <w:b/>
          <w:color w:val="auto"/>
          <w:sz w:val="32"/>
          <w:szCs w:val="20"/>
          <w:highlight w:val="none"/>
        </w:rPr>
      </w:pPr>
    </w:p>
    <w:p>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pPr>
        <w:snapToGrid w:val="0"/>
        <w:spacing w:line="360" w:lineRule="auto"/>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hint="eastAsia"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pPr>
        <w:pStyle w:val="393"/>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3"/>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pPr>
        <w:tabs>
          <w:tab w:val="left" w:pos="378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3"/>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2.实施本国产品标准及相关政策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color w:val="auto"/>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color w:val="auto"/>
          <w:highlight w:val="none"/>
        </w:rPr>
      </w:pPr>
      <w:r>
        <w:rPr>
          <w:rFonts w:hint="eastAsia" w:ascii="宋体" w:hAnsi="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rPr>
          <w:rFonts w:hint="eastAsia" w:asciiTheme="minorEastAsia" w:hAnsiTheme="minorEastAsia" w:eastAsiaTheme="minorEastAsia"/>
          <w:b/>
          <w:color w:val="auto"/>
          <w:sz w:val="24"/>
          <w:highlight w:val="none"/>
        </w:rPr>
      </w:pPr>
      <w:r>
        <w:rPr>
          <w:rFonts w:hint="eastAsia" w:ascii="宋体" w:hAnsi="宋体" w:cs="宋体"/>
          <w:color w:val="auto"/>
          <w:sz w:val="24"/>
          <w:highlight w:val="none"/>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.支持绿色发展</w:t>
      </w:r>
    </w:p>
    <w:p>
      <w:pPr>
        <w:spacing w:line="360" w:lineRule="auto"/>
        <w:ind w:firstLine="480"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.2</w:t>
      </w:r>
      <w:r>
        <w:rPr>
          <w:rFonts w:hint="eastAsia" w:ascii="宋体" w:hAnsi="宋体" w:cs="宋体"/>
          <w:color w:val="auto"/>
          <w:sz w:val="24"/>
          <w:highlight w:val="none"/>
        </w:rPr>
        <w:t>纳入政府采购管理的修缮、装修类项目采购建材的，鼓励采购人将绿色建材性能、指标等作为实质性条件纳入采购文件和合同，具体性能指标要求参考相关绿色建材政府采购需求标准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鼓励采购人优先采购秸秆环保板材等资源综合利用产品。鼓励采购人优先采购绿色物流配送服务、提供新能源交通工具的租赁服务。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 xml:space="preserve">.4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鼓励供应商在参加政府采购过程中开展绿色设计、选择绿色材料、打造绿色制造工艺、开展绿色运输、做好废弃产品回收处理，实现产品全周期的绿色环保。鼓励采购人对其提高预付款比例、免收履约保证金。</w:t>
      </w:r>
    </w:p>
    <w:p>
      <w:pPr>
        <w:pStyle w:val="32"/>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4</w:t>
      </w:r>
      <w:r>
        <w:rPr>
          <w:rFonts w:hint="eastAsia" w:asciiTheme="minorEastAsia" w:hAnsiTheme="minorEastAsia" w:eastAsiaTheme="minorEastAsia"/>
          <w:b/>
          <w:color w:val="auto"/>
          <w:sz w:val="24"/>
          <w:szCs w:val="24"/>
          <w:highlight w:val="none"/>
        </w:rPr>
        <w:t>.支持中小企业发展。</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Cs/>
          <w:color w:val="auto"/>
          <w:sz w:val="24"/>
          <w:highlight w:val="none"/>
          <w:lang w:val="en-US" w:eastAsia="zh-CN"/>
        </w:rPr>
        <w:t>4</w:t>
      </w:r>
      <w:r>
        <w:rPr>
          <w:rFonts w:cs="宋体" w:asciiTheme="minorEastAsia" w:hAnsiTheme="minorEastAsia" w:eastAsiaTheme="minorEastAsia"/>
          <w:bCs/>
          <w:color w:val="auto"/>
          <w:sz w:val="24"/>
          <w:highlight w:val="none"/>
        </w:rPr>
        <w:t>.2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.7中小企业享受扶持政策获得政府采购合同的，小微企业不得将合同分包给大中型企业，中型企业不得将合同分包给大型企业。</w:t>
      </w:r>
    </w:p>
    <w:p>
      <w:pPr>
        <w:spacing w:line="360" w:lineRule="auto"/>
        <w:rPr>
          <w:rFonts w:hint="eastAsia" w:ascii="宋体" w:hAnsi="宋体" w:cs="宋体"/>
          <w:b/>
          <w:color w:val="auto"/>
          <w:sz w:val="24"/>
          <w:highlight w:val="none"/>
        </w:rPr>
      </w:pPr>
      <w:r>
        <w:rPr>
          <w:rFonts w:hint="eastAsia" w:cs="宋体" w:asciiTheme="minorEastAsia" w:hAnsiTheme="minorEastAsia" w:eastAsiaTheme="minorEastAsia"/>
          <w:b/>
          <w:color w:val="auto"/>
          <w:sz w:val="24"/>
          <w:highlight w:val="none"/>
          <w:lang w:val="en-US" w:eastAsia="zh-CN"/>
        </w:rPr>
        <w:t>5</w:t>
      </w:r>
      <w:r>
        <w:rPr>
          <w:rFonts w:hint="eastAsia" w:cs="宋体" w:asciiTheme="minorEastAsia" w:hAnsiTheme="minorEastAsia" w:eastAsiaTheme="minorEastAsia"/>
          <w:b/>
          <w:color w:val="auto"/>
          <w:sz w:val="24"/>
          <w:highlight w:val="none"/>
        </w:rPr>
        <w:t>.</w:t>
      </w:r>
      <w:r>
        <w:rPr>
          <w:rFonts w:hint="eastAsia" w:ascii="宋体" w:hAnsi="宋体" w:cs="宋体"/>
          <w:b/>
          <w:color w:val="auto"/>
          <w:sz w:val="24"/>
          <w:highlight w:val="none"/>
        </w:rPr>
        <w:t>平等对待内外资企业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ind w:firstLine="0"/>
        <w:rPr>
          <w:rFonts w:hint="eastAsia"/>
          <w:b/>
          <w:bCs/>
          <w:color w:val="auto"/>
          <w:highlight w:val="none"/>
        </w:rPr>
      </w:pPr>
      <w:r>
        <w:rPr>
          <w:rFonts w:hint="eastAsia" w:cs="宋体" w:asciiTheme="minorEastAsia" w:hAnsiTheme="minorEastAsia" w:eastAsiaTheme="minorEastAsia"/>
          <w:b/>
          <w:color w:val="auto"/>
          <w:highlight w:val="none"/>
          <w:lang w:val="en-US" w:eastAsia="zh-CN"/>
        </w:rPr>
        <w:t>6</w:t>
      </w:r>
      <w:r>
        <w:rPr>
          <w:rFonts w:hint="eastAsia" w:cs="宋体" w:asciiTheme="minorEastAsia" w:hAnsiTheme="minorEastAsia" w:eastAsiaTheme="minorEastAsia"/>
          <w:b/>
          <w:color w:val="auto"/>
          <w:highlight w:val="none"/>
        </w:rPr>
        <w:t>.</w:t>
      </w:r>
      <w:r>
        <w:rPr>
          <w:rFonts w:hint="eastAsia"/>
          <w:b/>
          <w:color w:val="auto"/>
          <w:highlight w:val="none"/>
        </w:rPr>
        <w:t>平等对待符合条件的破产重整企业</w:t>
      </w:r>
    </w:p>
    <w:p>
      <w:pPr>
        <w:pStyle w:val="632"/>
        <w:rPr>
          <w:rFonts w:hint="eastAsia"/>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hint="eastAsia"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询问联系部门：北海市政府采购中心采购一科，联系电话：0779-</w:t>
      </w:r>
      <w:r>
        <w:rPr>
          <w:rFonts w:hint="eastAsia" w:asciiTheme="minorEastAsia" w:hAnsiTheme="minorEastAsia" w:eastAsiaTheme="minorEastAsia"/>
          <w:color w:val="auto"/>
          <w:sz w:val="24"/>
          <w:highlight w:val="none"/>
          <w:lang w:val="en-US" w:eastAsia="zh-CN"/>
        </w:rPr>
        <w:t>3071101</w:t>
      </w:r>
      <w:r>
        <w:rPr>
          <w:rFonts w:hint="eastAsia" w:asciiTheme="minorEastAsia" w:hAnsiTheme="minorEastAsia" w:eastAsiaTheme="minorEastAsia"/>
          <w:color w:val="auto"/>
          <w:sz w:val="24"/>
          <w:highlight w:val="none"/>
          <w:lang w:val="zh-CN"/>
        </w:rPr>
        <w:t>，地址：北海市海城区陈文村北路7号市直机关第三办公区2号楼一层。</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投诉联系部门：北海市财政局，联系电话：0779-3063975，地址：广西壮族自治区北海市海城区北部湾西路19号。</w:t>
      </w:r>
    </w:p>
    <w:p>
      <w:pPr>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hint="eastAsia"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hint="eastAsia"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pPr>
        <w:autoSpaceDE w:val="0"/>
        <w:autoSpaceDN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pPr>
        <w:pStyle w:val="393"/>
        <w:snapToGrid w:val="0"/>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pPr>
        <w:pStyle w:val="393"/>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pPr>
        <w:pStyle w:val="393"/>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pPr>
        <w:pStyle w:val="393"/>
        <w:snapToGrid w:val="0"/>
        <w:spacing w:before="0"/>
        <w:ind w:firstLine="482"/>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pPr>
        <w:pStyle w:val="22"/>
        <w:rPr>
          <w:rFonts w:hint="eastAsia"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w:t>
      </w:r>
      <w:r>
        <w:rPr>
          <w:rFonts w:hint="eastAsia" w:hAnsi="宋体" w:cs="宋体"/>
          <w:b/>
          <w:color w:val="auto"/>
          <w:sz w:val="24"/>
          <w:szCs w:val="24"/>
          <w:highlight w:val="none"/>
        </w:rPr>
        <w:t>具体标注由采购人根据项目需要确定。</w:t>
      </w:r>
      <w:r>
        <w:rPr>
          <w:rFonts w:hint="eastAsia" w:asciiTheme="minorEastAsia" w:hAnsiTheme="minorEastAsia" w:eastAsiaTheme="minorEastAsia"/>
          <w:color w:val="auto"/>
          <w:sz w:val="24"/>
          <w:highlight w:val="none"/>
        </w:rPr>
        <w:t>相关格式见磋商文件第七部分）：</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w:t>
      </w:r>
      <w:r>
        <w:rPr>
          <w:rFonts w:hint="eastAsia" w:cs="宋体" w:asciiTheme="minorEastAsia" w:hAnsiTheme="minorEastAsia" w:eastAsiaTheme="minorEastAsia"/>
          <w:snapToGrid w:val="0"/>
          <w:color w:val="auto"/>
          <w:kern w:val="28"/>
          <w:sz w:val="24"/>
          <w:highlight w:val="none"/>
          <w:lang w:eastAsia="zh-CN"/>
        </w:rPr>
        <w:t>《中小企业声明函》</w:t>
      </w:r>
      <w:r>
        <w:rPr>
          <w:rFonts w:hint="eastAsia" w:cs="宋体" w:asciiTheme="minorEastAsia" w:hAnsiTheme="minorEastAsia" w:eastAsiaTheme="minorEastAsia"/>
          <w:snapToGrid w:val="0"/>
          <w:color w:val="auto"/>
          <w:kern w:val="28"/>
          <w:sz w:val="24"/>
          <w:highlight w:val="none"/>
        </w:rPr>
        <w:t>)；</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sz w:val="24"/>
          <w:highlight w:val="none"/>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（11）售后服务方案</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▲（19）商务、服务（技术）响应、偏离情况说明表；</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r>
        <w:rPr>
          <w:rFonts w:hint="eastAsia" w:asciiTheme="minorEastAsia" w:hAnsiTheme="minorEastAsia" w:eastAsiaTheme="minorEastAsia"/>
          <w:color w:val="auto"/>
          <w:sz w:val="24"/>
          <w:szCs w:val="24"/>
          <w:highlight w:val="none"/>
        </w:rPr>
        <w:t>各轮报价的审查要求均按照最后报价的要求执行</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3"/>
        <w:snapToGrid w:val="0"/>
        <w:spacing w:before="0"/>
        <w:ind w:firstLine="48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pPr>
        <w:pStyle w:val="393"/>
        <w:snapToGrid w:val="0"/>
        <w:spacing w:before="0"/>
        <w:ind w:firstLine="480"/>
        <w:rPr>
          <w:rFonts w:hint="eastAsia"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3"/>
        <w:snapToGrid w:val="0"/>
        <w:spacing w:before="0"/>
        <w:ind w:firstLine="48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3"/>
        <w:spacing w:before="0"/>
        <w:ind w:firstLine="0" w:firstLineChars="0"/>
        <w:rPr>
          <w:rFonts w:hint="eastAsia" w:cs="仿宋_GB2312" w:asciiTheme="minorEastAsia" w:hAnsiTheme="minorEastAsia" w:eastAsiaTheme="minorEastAsia"/>
          <w:b/>
          <w:color w:val="auto"/>
          <w:szCs w:val="24"/>
          <w:highlight w:val="none"/>
        </w:rPr>
      </w:pPr>
    </w:p>
    <w:p>
      <w:pPr>
        <w:pStyle w:val="393"/>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3"/>
        <w:ind w:firstLine="480"/>
        <w:rPr>
          <w:rFonts w:hint="eastAsia"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pPr>
        <w:spacing w:line="360" w:lineRule="auto"/>
        <w:rPr>
          <w:rFonts w:hint="eastAsia"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pPr>
        <w:widowControl/>
        <w:snapToGrid w:val="0"/>
        <w:spacing w:line="360" w:lineRule="auto"/>
        <w:ind w:firstLine="470" w:firstLineChars="196"/>
        <w:rPr>
          <w:rFonts w:hint="eastAsia" w:ascii="宋体" w:hAnsi="宋体" w:cs="宋体"/>
          <w:strike/>
          <w:snapToGrid w:val="0"/>
          <w:color w:val="auto"/>
          <w:kern w:val="28"/>
          <w:sz w:val="24"/>
          <w:szCs w:val="20"/>
          <w:highlight w:val="none"/>
        </w:rPr>
      </w:pPr>
      <w:r>
        <w:rPr>
          <w:rFonts w:hint="eastAsia" w:ascii="宋体" w:hAnsi="宋体" w:cs="宋体"/>
          <w:strike w:val="0"/>
          <w:snapToGrid w:val="0"/>
          <w:color w:val="auto"/>
          <w:kern w:val="28"/>
          <w:sz w:val="24"/>
          <w:szCs w:val="20"/>
          <w:highlight w:val="none"/>
          <w:lang w:eastAsia="zh-CN"/>
        </w:rPr>
        <w:t>本项目不收取磋商保证金。</w:t>
      </w:r>
    </w:p>
    <w:p>
      <w:pPr>
        <w:pStyle w:val="32"/>
        <w:spacing w:line="360" w:lineRule="auto"/>
        <w:ind w:firstLine="360" w:firstLineChars="15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3"/>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3"/>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3"/>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3"/>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3"/>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hint="eastAsia" w:cs="仿宋_GB2312" w:asciiTheme="minorEastAsia" w:hAnsiTheme="minorEastAsia" w:eastAsiaTheme="minorEastAsia"/>
          <w:b/>
          <w:color w:val="auto"/>
          <w:sz w:val="24"/>
          <w:szCs w:val="24"/>
          <w:highlight w:val="none"/>
        </w:rPr>
      </w:pPr>
    </w:p>
    <w:p>
      <w:pPr>
        <w:adjustRightInd/>
        <w:spacing w:line="360" w:lineRule="auto"/>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hint="eastAsia"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pPr>
        <w:snapToGrid w:val="0"/>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highlight w:val="none"/>
        </w:rPr>
        <w:t>1.2中小企业声明函（如果有）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1.3关于符合本国产品标准的声明函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 xml:space="preserve"> ；</w:t>
      </w:r>
    </w:p>
    <w:p>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ascii="宋体" w:hAnsi="宋体" w:cs="宋体"/>
          <w:color w:val="auto"/>
          <w:sz w:val="24"/>
          <w:highlight w:val="none"/>
        </w:rPr>
        <w:t>1.4关于符合本国产品标准的产品成本之和占所提供的全部产品成本之和的比例达到80%以上的声明函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3"/>
        <w:spacing w:before="0"/>
        <w:ind w:firstLine="0" w:firstLineChars="0"/>
        <w:rPr>
          <w:rFonts w:hint="eastAsia"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pPr>
        <w:pStyle w:val="393"/>
        <w:spacing w:before="0"/>
        <w:ind w:firstLine="0" w:firstLineChars="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pPr>
        <w:pStyle w:val="393"/>
        <w:spacing w:before="0"/>
        <w:ind w:firstLine="0" w:firstLineChars="0"/>
        <w:rPr>
          <w:rFonts w:hint="eastAsia"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pPr>
        <w:adjustRightInd/>
        <w:spacing w:line="360" w:lineRule="auto"/>
        <w:jc w:val="center"/>
        <w:rPr>
          <w:rFonts w:hint="eastAsia" w:cs="仿宋_GB2312"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hint="eastAsia"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19" w:name="_Hlk101184471"/>
      <w:r>
        <w:rPr>
          <w:rFonts w:hint="eastAsia" w:cs="宋体" w:asciiTheme="minorEastAsia" w:hAnsiTheme="minorEastAsia" w:eastAsiaTheme="minorEastAsia"/>
          <w:color w:val="auto"/>
          <w:sz w:val="24"/>
          <w:highlight w:val="none"/>
        </w:rPr>
        <w:t>评审专家抽取规则、</w:t>
      </w:r>
      <w:bookmarkEnd w:id="19"/>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hint="eastAsia"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3"/>
        <w:snapToGrid w:val="0"/>
        <w:spacing w:before="0"/>
        <w:ind w:firstLine="48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3"/>
        <w:snapToGrid w:val="0"/>
        <w:spacing w:before="0" w:after="120"/>
        <w:ind w:firstLine="480"/>
        <w:rPr>
          <w:rFonts w:hint="eastAsia"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pPr>
        <w:pStyle w:val="393"/>
        <w:snapToGrid w:val="0"/>
        <w:spacing w:before="0"/>
        <w:ind w:firstLine="480"/>
        <w:rPr>
          <w:rFonts w:hint="eastAsia"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人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（五）按期还款。供应商获得贷款后应自觉履行政府采购合同，合同履行完毕后，采购人根据合同约定时间和账户信息，严格按照财政资金管理的相关规定，及时将资金支付到采购合同收款账户。</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2"/>
        <w:rPr>
          <w:rFonts w:hint="eastAsia"/>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hint="eastAsia"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p>
        </w:tc>
        <w:tc>
          <w:tcPr>
            <w:tcW w:w="993" w:type="dxa"/>
            <w:vAlign w:val="center"/>
          </w:tcPr>
          <w:p>
            <w:pPr>
              <w:snapToGrid w:val="0"/>
              <w:spacing w:line="360" w:lineRule="auto"/>
              <w:jc w:val="center"/>
              <w:rPr>
                <w:rFonts w:hint="eastAsia" w:ascii="宋体" w:hAnsi="宋体"/>
                <w:color w:val="auto"/>
                <w:kern w:val="0"/>
                <w:sz w:val="24"/>
                <w:szCs w:val="20"/>
                <w:highlight w:val="none"/>
              </w:rPr>
            </w:pPr>
          </w:p>
        </w:tc>
        <w:tc>
          <w:tcPr>
            <w:tcW w:w="850" w:type="dxa"/>
            <w:vAlign w:val="center"/>
          </w:tcPr>
          <w:p>
            <w:pPr>
              <w:snapToGrid w:val="0"/>
              <w:spacing w:line="360" w:lineRule="auto"/>
              <w:jc w:val="center"/>
              <w:rPr>
                <w:rFonts w:hint="eastAsia" w:ascii="宋体" w:hAnsi="宋体"/>
                <w:color w:val="auto"/>
                <w:kern w:val="0"/>
                <w:sz w:val="24"/>
                <w:szCs w:val="20"/>
                <w:highlight w:val="none"/>
              </w:rPr>
            </w:pP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2"/>
        <w:rPr>
          <w:rFonts w:hint="eastAsia"/>
          <w:color w:val="auto"/>
          <w:highlight w:val="none"/>
        </w:rPr>
      </w:pPr>
      <w:r>
        <w:rPr>
          <w:rFonts w:hint="eastAsia"/>
          <w:color w:val="auto"/>
          <w:highlight w:val="none"/>
        </w:rPr>
        <w:t>注：表中联系电话、授信金额、授信期限、最低利率等信息可能动态更新，仅供参考，具体以办理时相关银行公布的为准。</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pPr>
        <w:pStyle w:val="632"/>
        <w:rPr>
          <w:rFonts w:hint="eastAsia" w:eastAsia="宋体"/>
          <w:color w:val="auto"/>
          <w:highlight w:val="none"/>
          <w:lang w:eastAsia="zh-CN"/>
        </w:rPr>
      </w:pPr>
      <w:r>
        <w:rPr>
          <w:rFonts w:hint="eastAsia" w:cs="宋体"/>
          <w:color w:val="auto"/>
          <w:kern w:val="0"/>
          <w:sz w:val="24"/>
          <w:highlight w:val="none"/>
          <w:lang w:eastAsia="zh-CN"/>
        </w:rPr>
        <w:t>本项目不收取履约保证金。成交供应商未按合同约定履行合同义务，给采购人造成损失的，按实际损失进行赔偿。</w:t>
      </w:r>
    </w:p>
    <w:p>
      <w:pPr>
        <w:pStyle w:val="632"/>
        <w:ind w:firstLine="0"/>
        <w:rPr>
          <w:rFonts w:hint="eastAsia" w:eastAsia="宋体"/>
          <w:color w:val="auto"/>
          <w:highlight w:val="none"/>
          <w:lang w:eastAsia="zh-CN"/>
        </w:rPr>
      </w:pPr>
      <w:r>
        <w:rPr>
          <w:b/>
          <w:bCs/>
          <w:color w:val="auto"/>
          <w:highlight w:val="none"/>
        </w:rPr>
        <w:t>4.</w:t>
      </w:r>
      <w:r>
        <w:rPr>
          <w:rFonts w:hint="eastAsia"/>
          <w:b/>
          <w:bCs/>
          <w:color w:val="auto"/>
          <w:highlight w:val="none"/>
        </w:rPr>
        <w:t>预付款</w:t>
      </w:r>
      <w:r>
        <w:rPr>
          <w:rFonts w:hint="eastAsia"/>
          <w:b/>
          <w:bCs/>
          <w:color w:val="auto"/>
          <w:highlight w:val="none"/>
          <w:lang w:eastAsia="zh-CN"/>
        </w:rPr>
        <w:t>（</w:t>
      </w:r>
      <w:r>
        <w:rPr>
          <w:rFonts w:hint="eastAsia"/>
          <w:b/>
          <w:bCs/>
          <w:color w:val="auto"/>
          <w:highlight w:val="none"/>
          <w:lang w:val="en-US" w:eastAsia="zh-CN"/>
        </w:rPr>
        <w:t>50%</w:t>
      </w:r>
      <w:r>
        <w:rPr>
          <w:rFonts w:hint="eastAsia"/>
          <w:b/>
          <w:bCs/>
          <w:color w:val="auto"/>
          <w:highlight w:val="none"/>
          <w:lang w:eastAsia="zh-CN"/>
        </w:rPr>
        <w:t>）</w:t>
      </w:r>
    </w:p>
    <w:p>
      <w:pPr>
        <w:adjustRightIn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采购人</w:t>
      </w:r>
      <w:r>
        <w:rPr>
          <w:rFonts w:ascii="宋体" w:hAnsi="宋体"/>
          <w:color w:val="auto"/>
          <w:sz w:val="24"/>
          <w:highlight w:val="none"/>
        </w:rPr>
        <w:t>可不适用前述规定。</w:t>
      </w:r>
      <w:r>
        <w:rPr>
          <w:rFonts w:hint="eastAsia" w:ascii="宋体" w:hAnsi="宋体"/>
          <w:color w:val="auto"/>
          <w:sz w:val="24"/>
          <w:highlight w:val="none"/>
        </w:rPr>
        <w:t>采购人</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pPr>
        <w:tabs>
          <w:tab w:val="left" w:pos="0"/>
        </w:tabs>
        <w:spacing w:line="360" w:lineRule="auto"/>
        <w:ind w:firstLine="480" w:firstLineChars="200"/>
        <w:rPr>
          <w:rFonts w:hint="eastAsia" w:cs="宋体" w:asciiTheme="minorEastAsia" w:hAnsiTheme="minorEastAsia" w:eastAsiaTheme="minorEastAsia"/>
          <w:snapToGrid w:val="0"/>
          <w:color w:val="auto"/>
          <w:kern w:val="28"/>
          <w:sz w:val="24"/>
          <w:highlight w:val="none"/>
          <w:lang w:eastAsia="zh-CN"/>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20" w:name="_Hlt68072990"/>
      <w:bookmarkEnd w:id="20"/>
      <w:bookmarkStart w:id="21" w:name="_Hlt74729768"/>
      <w:bookmarkEnd w:id="21"/>
      <w:bookmarkStart w:id="22" w:name="_Hlt68057669"/>
      <w:bookmarkEnd w:id="22"/>
      <w:bookmarkStart w:id="23" w:name="_Hlt75236290"/>
      <w:bookmarkEnd w:id="23"/>
      <w:bookmarkStart w:id="24" w:name="_Hlt74714665"/>
      <w:bookmarkEnd w:id="24"/>
      <w:bookmarkStart w:id="25" w:name="_Hlt75236101"/>
      <w:bookmarkEnd w:id="25"/>
      <w:bookmarkStart w:id="26" w:name="_Hlt74707468"/>
      <w:bookmarkEnd w:id="26"/>
      <w:bookmarkStart w:id="27" w:name="_Hlt74730295"/>
      <w:bookmarkEnd w:id="27"/>
      <w:bookmarkStart w:id="28" w:name="_Hlt75236011"/>
      <w:bookmarkEnd w:id="28"/>
      <w:bookmarkStart w:id="29" w:name="_Toc164416483"/>
      <w:bookmarkStart w:id="30" w:name="第三部分"/>
    </w:p>
    <w:p>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hint="eastAsia" w:cs="宋体"/>
          <w:b/>
          <w:color w:val="auto"/>
          <w:highlight w:val="none"/>
        </w:rPr>
      </w:pPr>
      <w:r>
        <w:rPr>
          <w:rFonts w:hint="eastAsia" w:cs="宋体"/>
          <w:b/>
          <w:color w:val="auto"/>
          <w:highlight w:val="none"/>
        </w:rPr>
        <w:t>1.代理费用的收取标准和方式（适用于收取代理费用的采购代理机构，本中心不收取代理费用。）</w:t>
      </w:r>
    </w:p>
    <w:p>
      <w:pPr>
        <w:snapToGrid w:val="0"/>
        <w:spacing w:line="360" w:lineRule="auto"/>
        <w:ind w:firstLine="723" w:firstLineChars="200"/>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1" w:name="_Toc25691"/>
      <w:bookmarkStart w:id="32" w:name="_Toc13197"/>
      <w:r>
        <w:rPr>
          <w:rFonts w:hint="eastAsia" w:cs="仿宋_GB2312" w:asciiTheme="minorEastAsia" w:hAnsiTheme="minorEastAsia" w:eastAsiaTheme="minorEastAsia"/>
          <w:b/>
          <w:color w:val="auto"/>
          <w:sz w:val="36"/>
          <w:szCs w:val="36"/>
          <w:highlight w:val="none"/>
        </w:rPr>
        <w:t>第四部分  采购需求</w:t>
      </w:r>
      <w:bookmarkEnd w:id="31"/>
      <w:bookmarkEnd w:id="32"/>
    </w:p>
    <w:p>
      <w:pPr>
        <w:rPr>
          <w:color w:val="auto"/>
          <w:highlight w:val="none"/>
        </w:rPr>
      </w:pP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说明：</w:t>
      </w:r>
      <w:r>
        <w:rPr>
          <w:rFonts w:hint="eastAsia" w:asciiTheme="minorEastAsia" w:hAnsiTheme="minorEastAsia" w:eastAsiaTheme="minorEastAsia" w:cstheme="minorEastAsia"/>
          <w:color w:val="auto"/>
          <w:kern w:val="0"/>
          <w:sz w:val="24"/>
          <w:szCs w:val="24"/>
          <w:highlight w:val="none"/>
        </w:rPr>
        <w:t>“实质性要求”是指采购需求中标注“▲”的条款或者不能负偏离的条款或者已经指明不满足按响应文件按无效处理的条款，若有一项负偏离，响应文件按无效处理，标注“★”的技术条款系指与项目实际紧密相关的功能条款、技术指标，将作为</w:t>
      </w:r>
      <w:r>
        <w:rPr>
          <w:rFonts w:hint="eastAsia" w:asciiTheme="minorEastAsia" w:hAnsiTheme="minorEastAsia" w:eastAsiaTheme="minorEastAsia" w:cstheme="minorEastAsia"/>
          <w:color w:val="auto"/>
          <w:kern w:val="0"/>
          <w:sz w:val="24"/>
          <w:szCs w:val="24"/>
          <w:highlight w:val="none"/>
          <w:lang w:val="en-US" w:eastAsia="zh-CN"/>
        </w:rPr>
        <w:t>产品</w:t>
      </w:r>
      <w:r>
        <w:rPr>
          <w:rFonts w:hint="eastAsia" w:asciiTheme="minorEastAsia" w:hAnsiTheme="minorEastAsia" w:eastAsiaTheme="minorEastAsia" w:cstheme="minorEastAsia"/>
          <w:color w:val="auto"/>
          <w:kern w:val="0"/>
          <w:sz w:val="24"/>
          <w:szCs w:val="24"/>
          <w:highlight w:val="none"/>
        </w:rPr>
        <w:t>性能评审依据。</w:t>
      </w:r>
    </w:p>
    <w:tbl>
      <w:tblPr>
        <w:tblStyle w:val="61"/>
        <w:tblW w:w="9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
        <w:gridCol w:w="587"/>
        <w:gridCol w:w="587"/>
        <w:gridCol w:w="7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577" w:type="dxa"/>
            <w:gridSpan w:val="4"/>
            <w:vAlign w:val="center"/>
          </w:tcPr>
          <w:p>
            <w:pPr>
              <w:tabs>
                <w:tab w:val="left" w:pos="180"/>
                <w:tab w:val="left" w:pos="1620"/>
              </w:tabs>
              <w:spacing w:line="32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482" w:type="dxa"/>
            <w:tcBorders>
              <w:right w:val="single" w:color="auto" w:sz="4" w:space="0"/>
            </w:tcBorders>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587" w:type="dxa"/>
            <w:tcBorders>
              <w:left w:val="single" w:color="auto" w:sz="4" w:space="0"/>
            </w:tcBorders>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587" w:type="dxa"/>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7921" w:type="dxa"/>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482" w:type="dxa"/>
            <w:tcBorders>
              <w:right w:val="single" w:color="auto" w:sz="4" w:space="0"/>
            </w:tcBorders>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7" w:type="dxa"/>
            <w:tcBorders>
              <w:left w:val="single" w:color="auto" w:sz="4" w:space="0"/>
            </w:tcBorders>
            <w:vAlign w:val="center"/>
          </w:tcPr>
          <w:p>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《人物形象设计》智慧专业建设</w:t>
            </w:r>
            <w:r>
              <w:rPr>
                <w:rFonts w:hint="eastAsia" w:ascii="宋体" w:hAnsi="宋体" w:eastAsia="宋体" w:cs="宋体"/>
                <w:color w:val="auto"/>
                <w:sz w:val="21"/>
                <w:szCs w:val="21"/>
                <w:highlight w:val="none"/>
              </w:rPr>
              <w:t>服务</w:t>
            </w:r>
          </w:p>
        </w:tc>
        <w:tc>
          <w:tcPr>
            <w:tcW w:w="587" w:type="dxa"/>
            <w:vAlign w:val="center"/>
          </w:tcPr>
          <w:p>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921" w:type="dxa"/>
            <w:vAlign w:val="center"/>
          </w:tcPr>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（一）专业建设管理</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33" w:name="_Toc31223"/>
            <w:bookmarkStart w:id="34" w:name="_Toc16270"/>
            <w:bookmarkStart w:id="35" w:name="_Toc30598"/>
            <w:bookmarkStart w:id="36" w:name="_Toc15000"/>
            <w:bookmarkStart w:id="37" w:name="_Toc1511"/>
            <w:bookmarkStart w:id="38" w:name="_Toc14396"/>
            <w:bookmarkStart w:id="39" w:name="_Toc8758"/>
            <w:bookmarkStart w:id="40" w:name="_Toc1886544275"/>
            <w:bookmarkStart w:id="41" w:name="_Toc1052249226"/>
            <w:bookmarkStart w:id="42" w:name="_Toc1659914842"/>
            <w:bookmarkStart w:id="43" w:name="_Toc1054385429"/>
            <w:bookmarkStart w:id="44" w:name="_Toc1047818073"/>
            <w:bookmarkStart w:id="45" w:name="_Toc459187047"/>
            <w:r>
              <w:rPr>
                <w:rFonts w:hint="eastAsia" w:ascii="宋体" w:hAnsi="宋体" w:eastAsia="宋体" w:cs="宋体"/>
                <w:color w:val="auto"/>
                <w:sz w:val="21"/>
                <w:szCs w:val="21"/>
                <w:highlight w:val="none"/>
              </w:rPr>
              <w:t>1.岗位能力模型</w:t>
            </w:r>
            <w:bookmarkEnd w:id="33"/>
            <w:bookmarkEnd w:id="34"/>
            <w:bookmarkEnd w:id="35"/>
            <w:bookmarkEnd w:id="36"/>
            <w:bookmarkEnd w:id="37"/>
            <w:bookmarkEnd w:id="38"/>
            <w:bookmarkEnd w:id="39"/>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查看学科专业信息，提供各学科相关专业的专业概述、人才培养类型、专业培养目标、专业课程、专业证书、发展前景等。同时，结合大数据分析，提取了国内热门专业、高薪专业、热门区域TOP5、热门行业TOP5、热门企业TOP5等数据。</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(2)支持查看相关专业的行业信息，并提供对应的匹配岗位及岗位数量。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某个岗位，支持按地区、按行业类型、按企业类型查看岗位信息，包括岗位需求数量、平均薪资、岗位能力要求、经验要求、学历要求等。其中，岗位能力要求以词云形式，展示该岗位对专业人才的能力需求，并以列表形式，对各项能力的需求占比进行排名。</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(4)岗位能力需求分析中支持按岗位招聘溯源查看原始招聘网站招聘信息。需要支持通过大模型自动抽取岗位招聘信息为岗位能力要求并可对比展示。</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(5)支持按行业类型、企业类型对区域岗位进行分析，展示区域岗位的岗位需求人数和平均薪资，并对城市需求人数以及城市平均薪资进行排名。</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(6)用色块的颜色和大小来展示岗位相关的行业分布，并在色块中标注招聘的需求量。同时支持展示不同企业规模、企业类型在行业中的占比。</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(7)可以在岗位薪资分析中，按不同地区、不同行业类型查看岗位分析。支持薪资分析中查看薪资的区间分布以及人才经验、学历对薪资的影响。</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查看专业相关的AI分析趋势，包括该专业所对应的各类行业在未来的人才发展走势，例如哪些行业呈上升趋势、哪些保持平稳，并提供对岗位技能需求变化的智能预测。同时支持对相关院校布局和重点建设情况进行趋势分析与预测。</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46" w:name="_Toc2943"/>
            <w:r>
              <w:rPr>
                <w:rFonts w:hint="eastAsia" w:ascii="宋体" w:hAnsi="宋体" w:eastAsia="宋体" w:cs="宋体"/>
                <w:color w:val="auto"/>
                <w:sz w:val="21"/>
                <w:szCs w:val="21"/>
                <w:highlight w:val="none"/>
                <w:lang w:val="en-US" w:eastAsia="zh-CN"/>
              </w:rPr>
              <w:t>2.专业调研管理</w:t>
            </w:r>
            <w:bookmarkEnd w:id="46"/>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校企需求对接功能：支持企业岗位需求多维度调研，对接行业专家、企业人力及岗位主管，采集岗位职责、技能要求、行业标准等信息，构建多行业岗位能力模型库；模型库需拆解岗位能力核心维度，明确各维度能力要求、评估标准及学习方法，支持跨行业岗位能力模型参考，助力校企共建人才培养方案，实现企业需求与课程内容、教学目标精准衔接，提供行业实践案例、技术支持及实习岗位资源对接渠道。</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学内容动态调整功能：搭建校企实时反馈机制，支持企业根据行业技术变革、岗位能力变化，提交教学调整建议，助力学校快速优化教学计划、更新教学素材，保障教学内容与行业前沿同步，提升人才职场适配能力。</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专业数据采集表单</w:t>
            </w:r>
            <w:r>
              <w:rPr>
                <w:rFonts w:hint="eastAsia" w:ascii="宋体" w:hAnsi="宋体" w:eastAsia="宋体" w:cs="宋体"/>
                <w:color w:val="auto"/>
                <w:sz w:val="21"/>
                <w:szCs w:val="21"/>
                <w:highlight w:val="none"/>
              </w:rPr>
              <w:t>引擎：支持新建表单、AI对话创建、Excel导入、复制已有应用等多方式创建表单采集数据；支持字段显隐规则设置，满足条件时显示对应字段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支持动态审批流程配置，可在业务流转中实时获取节点人员，适配学校专业调研数据采集及业务审批需求，可灵活调整审核人员。</w:t>
            </w:r>
            <w:r>
              <w:rPr>
                <w:rFonts w:hint="eastAsia" w:ascii="宋体" w:hAnsi="宋体" w:eastAsia="宋体" w:cs="宋体"/>
                <w:b/>
                <w:color w:val="auto"/>
                <w:sz w:val="21"/>
                <w:szCs w:val="21"/>
                <w:highlight w:val="none"/>
              </w:rPr>
              <w:t>（该条技术参数需现场进行产品功能演示）</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专业数据填写</w:t>
            </w:r>
            <w:r>
              <w:rPr>
                <w:rFonts w:hint="eastAsia" w:ascii="宋体" w:hAnsi="宋体" w:eastAsia="宋体" w:cs="宋体"/>
                <w:color w:val="auto"/>
                <w:sz w:val="21"/>
                <w:szCs w:val="21"/>
                <w:highlight w:val="none"/>
              </w:rPr>
              <w:t>引擎：支持AI智能填表，支持粘贴文本或上传文档，由AI自动识别关键信息并精准填充至对应表单字段，提升数据填报效率与准确性；支持AI公式智能编辑，支持通过自然语言对话方式描述公式需求，系统自动完成公式编写、符号匹配及目标字段自动插入，无需人工手动输入公式及符号，保障公式规范性与填报准确率。</w:t>
            </w:r>
            <w:r>
              <w:rPr>
                <w:rFonts w:hint="eastAsia" w:ascii="宋体" w:hAnsi="宋体" w:eastAsia="宋体" w:cs="宋体"/>
                <w:b/>
                <w:color w:val="auto"/>
                <w:sz w:val="21"/>
                <w:szCs w:val="21"/>
                <w:highlight w:val="none"/>
              </w:rPr>
              <w:t>（该条技术参数需现场进行产品功能演示）</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47" w:name="_Toc27686"/>
            <w:bookmarkStart w:id="48" w:name="_Toc27534"/>
            <w:bookmarkStart w:id="49" w:name="_Toc19379"/>
            <w:bookmarkStart w:id="50" w:name="_Toc10241"/>
            <w:bookmarkStart w:id="51" w:name="_Toc27158"/>
            <w:bookmarkStart w:id="52" w:name="_Toc20643"/>
            <w:bookmarkStart w:id="53" w:name="_Toc30166"/>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.人培方案管理</w:t>
            </w:r>
            <w:bookmarkEnd w:id="47"/>
            <w:bookmarkEnd w:id="48"/>
            <w:bookmarkEnd w:id="49"/>
            <w:bookmarkEnd w:id="50"/>
            <w:bookmarkEnd w:id="51"/>
            <w:bookmarkEnd w:id="52"/>
            <w:bookmarkEnd w:id="53"/>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(1)基础数据管理，需要能够灵活管理基础数据表，包括院系表、课程表、专业表等，要求基础数据表格能够灵活自定义扩展字段。</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数据定义管理，要求能够自定义管理常用数据定义项，如课程性质、课程类别、考核方式、学科类别等内容。</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系统配置，要求能够自定义调整系统功能菜单，包括层级关系、功能命名等，并支持按角色控制菜单功能权限；需要按账号自定义配置数据权限范围，控制不同类型的人员只能编辑与维护与自己相关的数据。</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培养方案模板管理，需要能够自定义建设、管理培养方案模板，能够定义模板的目录结构、固定文本内容以及内置的结构化数据组件；支持通过导入培养方案文件创建模板，支持模板的复制</w:t>
            </w:r>
          </w:p>
          <w:p>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培养方案修订</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①修订任务管理，需要支持创建以及管理全校培养方案建设任务，支持按专业设置负责人，任务下发后专业负责人即可开始修订方案。</w:t>
            </w:r>
          </w:p>
          <w:p>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★②在线修订编辑</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集成式的培养方案在线编辑器，在一个编辑器内完成对人才培养方案的在线编辑修订。编辑器支持富文本格式，支持常用的内容格式控制，如字体、字号、颜色、多级标题、行间距、对齐控制、分页功能等，支持添加特殊字符。</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2）需要支持导入培养方案文件，支持将当前方案存为模板。</w:t>
            </w:r>
          </w:p>
          <w:p>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③结构化数据管理</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3）要求能够将培养方案中具有结构化属性的内容转化为结构化数据，通过组件的方式融入到培养方案编辑器中，统一进行修订维护。</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需要内置符合学校培养方案标准和样式的课程体系维护组件，内置的组件至少包含：培养目标、毕业要求、毕业要求指标、课程支撑毕业要求关系表、毕业要求支撑培养目标关系表、标准教学计划进度表、学时学分统计表、课程拓扑图等。支持根据学校实际表结构定制相关组件。</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5）支持按照规则要求，实现课程类型学分占比自动计算。 </w:t>
            </w:r>
          </w:p>
          <w:p>
            <w:pPr>
              <w:pageBreakBefore w:val="0"/>
              <w:tabs>
                <w:tab w:val="left" w:pos="420"/>
              </w:tabs>
              <w:kinsoku/>
              <w:wordWrap/>
              <w:overflowPunct/>
              <w:topLinePunct w:val="0"/>
              <w:bidi w:val="0"/>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6）需要提供自定义组件编辑器，能够通过改编辑器自主定制结构化数据组件，支持定义字段匹配的内容，如课程、学时、学分等。</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④数据自动校验，支持按照规则对结构化数据进行自动校验并给出提醒，如学时分配、学分总和等内容。</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★⑤智能导入与粘贴识别，支持导入培养方案能识别结构化数据功能，支持通过从word中拷贝并在对应组件中粘贴自动识别并提取内容。</w:t>
            </w:r>
          </w:p>
          <w:p>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培养方案导出，支持按学校需求进行排版格式设置和导出。</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培养方案对比，需提供培养方案对比功能，支持选择不同版本的两份培养方案进行对比，按模块给出对比结果，包括相似度结果以及标红显示不同的内容</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培养方案审核，要求提供完全灵活的自定义审批流机制，支持设置电子签名，支持设置或签及会签及打回规则，支持设置自动提醒功能。支持管理及设置评审专家库。支持按照审批流设置对教师提交的培养方案进行评审。</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监督与统计，管理员、领导能够方便查找已完成或未完成的修订任务，能够对进度缓慢的任务进行提醒督促。能够按照院系等不同维度对培养方案修订进度进行统计分析，全面掌握修订进展。</w:t>
            </w:r>
          </w:p>
          <w:p>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数据对接</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①支持同教务系统进行对接，自动从教务系统获取基础数据，如教师库、课程库、专业表等。同时要求能够按需要将教学计划进度表等数据回传给教务系统，作为开选课的依据。</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②要求能够同教学系统、专业达程度等系统无缝对接，将培养方案的相关结构化数据按需推送，为后续专业建设业务提供底层支持。</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lang w:val="en-US" w:eastAsia="zh-CN"/>
              </w:rPr>
            </w:pPr>
            <w:bookmarkStart w:id="54" w:name="_Toc1313"/>
            <w:bookmarkStart w:id="55" w:name="_Toc15816"/>
            <w:bookmarkStart w:id="56" w:name="_Toc29304"/>
            <w:bookmarkStart w:id="57" w:name="_Toc548"/>
            <w:bookmarkStart w:id="58" w:name="_Toc21490"/>
            <w:bookmarkStart w:id="59" w:name="_Toc20929"/>
            <w:bookmarkStart w:id="60" w:name="_Toc25592"/>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.教学大纲建设</w:t>
            </w:r>
            <w:bookmarkEnd w:id="54"/>
            <w:bookmarkEnd w:id="55"/>
            <w:bookmarkEnd w:id="56"/>
            <w:bookmarkEnd w:id="57"/>
            <w:bookmarkEnd w:id="58"/>
            <w:bookmarkEnd w:id="59"/>
            <w:bookmarkEnd w:id="60"/>
            <w:r>
              <w:rPr>
                <w:rFonts w:hint="eastAsia" w:ascii="宋体" w:hAnsi="宋体" w:eastAsia="宋体" w:cs="宋体"/>
                <w:color w:val="auto"/>
                <w:sz w:val="21"/>
                <w:szCs w:val="21"/>
                <w:highlight w:val="none"/>
                <w:lang w:val="en-US" w:eastAsia="zh-CN"/>
              </w:rPr>
              <w:t>管理</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(1)课程信息管理，支持同步专业课程数据，确保课程编号、课程名称等基础信息字段与教务课程信息一致；支持课程基础信息的维护与管理，满足后续课程图谱与课程内容调用需求。</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★(2)课程目标与毕业要求支撑管理</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支持设置课程目标内容及目标权重，权重总和应为100%。 </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支持AI自动生成课程目标文本，提高编辑效率。 </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支持课程目标与毕业要求指标点建立支撑关系，并可配置支撑度等级（高H/中M/低L）。</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(3)课程内容管理 </w:t>
            </w:r>
          </w:p>
          <w:p>
            <w:pPr>
              <w:pageBreakBefore w:val="0"/>
              <w:kinsoku/>
              <w:wordWrap/>
              <w:overflowPunct/>
              <w:topLinePunct w:val="0"/>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w:t>
            </w:r>
            <w:r>
              <w:rPr>
                <w:rFonts w:hint="eastAsia" w:ascii="宋体" w:hAnsi="宋体" w:eastAsia="宋体" w:cs="宋体"/>
                <w:color w:val="auto"/>
                <w:sz w:val="21"/>
                <w:szCs w:val="21"/>
                <w:highlight w:val="none"/>
              </w:rPr>
              <w:t>支持按章节维护教学内容，支持章节与课程目标自动关联。</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w:t>
            </w:r>
            <w:r>
              <w:rPr>
                <w:rFonts w:hint="eastAsia" w:ascii="宋体" w:hAnsi="宋体" w:eastAsia="宋体" w:cs="宋体"/>
                <w:color w:val="auto"/>
                <w:sz w:val="21"/>
                <w:szCs w:val="21"/>
                <w:highlight w:val="none"/>
              </w:rPr>
              <w:t xml:space="preserve">支持横向表格与纵向表格两种内容展示方式，适配不同课程样式要求。 </w:t>
            </w:r>
          </w:p>
          <w:p>
            <w:pPr>
              <w:pageBreakBefore w:val="0"/>
              <w:kinsoku/>
              <w:wordWrap/>
              <w:overflowPunct/>
              <w:topLinePunct w:val="0"/>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w:t>
            </w:r>
            <w:r>
              <w:rPr>
                <w:rFonts w:hint="eastAsia" w:ascii="宋体" w:hAnsi="宋体" w:eastAsia="宋体" w:cs="宋体"/>
                <w:color w:val="auto"/>
                <w:sz w:val="21"/>
                <w:szCs w:val="21"/>
                <w:highlight w:val="none"/>
              </w:rPr>
              <w:t xml:space="preserve">支持AI生成教学内容，并AI生成课程目标图谱。 </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w:t>
            </w:r>
            <w:r>
              <w:rPr>
                <w:rFonts w:hint="eastAsia" w:ascii="宋体" w:hAnsi="宋体" w:eastAsia="宋体" w:cs="宋体"/>
                <w:color w:val="auto"/>
                <w:sz w:val="21"/>
                <w:szCs w:val="21"/>
                <w:highlight w:val="none"/>
              </w:rPr>
              <w:t>支持课程章节内容编辑，支持批量删除、自定义字段（教学内容、重难点、思政点等）编辑与维护</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(4)考核与评价管理</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支持配置多级考核方式及权重分配，支持至二级子项结构。 </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支持基于课程目标或考核项设置课程考核评价标准。</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支持设置课程成绩组成结构，支持配置分值区间及评分逻辑调整。</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(5)授课计划管理，支持引用教学章节内容，构建授课计划，支持计划内容的在线编辑与维护。</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(6)教师管理，支持课程教师团队增删改管理。 </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(7)教材管理，支持课程教材增删改管理。</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(8)知识图谱建设，支持构建和维护课程知识图谱、知识点列表、问题图谱、思政图谱、目标图谱等多维图谱，并支持基于课程个性化展示需求，自定义图谱标题、样式、内容，构建个性化图谱。 </w:t>
            </w:r>
          </w:p>
          <w:p>
            <w:pPr>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(9)智能导入功能 </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支持Word、PDF格式文件导入关键课程数据。</w:t>
            </w:r>
          </w:p>
          <w:p>
            <w:pPr>
              <w:pStyle w:val="105"/>
              <w:pageBreakBefore w:val="0"/>
              <w:kinsoku/>
              <w:wordWrap/>
              <w:overflowPunct/>
              <w:topLinePunct w:val="0"/>
              <w:bidi w:val="0"/>
              <w:adjustRightInd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具备智能解析并提取课程目标、支撑关系、教学内容等结构化信息的能力。</w:t>
            </w:r>
          </w:p>
          <w:p>
            <w:pPr>
              <w:pStyle w:val="105"/>
              <w:pageBreakBefore w:val="0"/>
              <w:kinsoku/>
              <w:wordWrap/>
              <w:overflowPunct/>
              <w:topLinePunct w:val="0"/>
              <w:bidi w:val="0"/>
              <w:adjustRightInd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(10)生成课程大纲功能 支持基于课程关键数据选择模板生成课程大纲，并支持导出大纲文件。</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61" w:name="_Toc20088"/>
            <w:bookmarkStart w:id="62" w:name="_Toc24163"/>
            <w:bookmarkStart w:id="63" w:name="_Toc21220"/>
            <w:bookmarkStart w:id="64" w:name="_Toc32230"/>
            <w:bookmarkStart w:id="65" w:name="_Toc2296"/>
            <w:bookmarkStart w:id="66" w:name="_Toc19318"/>
            <w:bookmarkStart w:id="67" w:name="_Toc6343"/>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.专业图谱</w:t>
            </w:r>
            <w:bookmarkEnd w:id="61"/>
            <w:bookmarkEnd w:id="62"/>
            <w:bookmarkEnd w:id="63"/>
            <w:bookmarkEnd w:id="64"/>
            <w:bookmarkEnd w:id="65"/>
            <w:bookmarkEnd w:id="66"/>
            <w:bookmarkEnd w:id="67"/>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(1)在专业门户中支持展示专业体系、专业预览、课程体系、知识图谱、问题图谱、目标图谱、能力图谱、岗位图谱、竞赛图谱等。</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(2)支持在门户界面和课程知识图谱展示互相切换便于搜索相关课程。</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(3)支持在专业图谱门户中显示多门课程汇总展示，可展示课程数量。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(4)支持查看培养方案中的培养目标以及专业毕业要求等指标点。</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(5)支持查看培养目标和毕业目标矩阵对应图。</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在专业体系中展示3D立体样式的专业层级关系包括毕业要求、毕业要求指标点、课程、课程目标等，支持切换2D平面样式；清晰的查看本专业的毕业要求、毕业要求指标点以及毕业要求与课程之间的支撑关系；支持查看毕业要求与课程目标、知识点、技能点之间的关联关系，将质保体系的顶层设计内涵直观展示给师生。</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(7)支持查看专业体系中培养目标、毕业要求、毕业要求指标点、专业课程、课程目标等各层次的详细内容及对应支撑关系，包括知识点与课程、课程与毕业要求指标点等。</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(8)支持对培养目标、毕业要求、毕业要求指标点等添加详细描述，并在专业体系中展示。</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(9)支持在课程体系中展示专业中的课程，支持查看专业课程拓扑图。</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(10)支持展示专业下的知识图谱。</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(11)支持展示专业下的课程问题图谱。</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(12)支持教师进行问题图谱建设，支持自定义名称及描述，建设时可添加问题卡片，同一层级的卡片支持拖动移动、拖动连线串联及删除连接等快捷操作，同时可进行标签以及知识点的关联关系建立。</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(13)支持查看此问题关联的知识点小图谱，基于问题支线进行知识串联，能更好的进行同一问题场景下的知识学习，支持学生通过问题层面进行知识点的学习。</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(14)支持展示该专业的目标图谱（包含课程目标和知识点的关联关系）。</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(15)支持查看目标达成情况。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(16)支持选取后台设置完成的课程目标添加到教师自己的课程，将目标与知识点关联，便于学生进行成果导向式学习。</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(17)自动统计课程达成度、课程目标达成度、课程目标关联知识点个数，使统计数据可视化，便于师生快捷查看学习进程。</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(18)支持展示该专业的学生毕业要求能力达成的数据。</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(19)支持对接教务课程数据或由单位管理员手动添加课程数据。</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课程负责人可以在个人空间管理课程关键数据，进行课程目标、课程目标支撑毕业要求指标、课程内容、知识图谱等数据管理，并支持自动同步人才培养方案该门课程的关键数据，实现人才培养方案一次录入课程关键数据后，课程负责人可直接引用，保证人培数据准确性、唯一性；</w:t>
            </w:r>
            <w:r>
              <w:rPr>
                <w:rFonts w:hint="eastAsia" w:ascii="宋体" w:hAnsi="宋体" w:eastAsia="宋体" w:cs="宋体"/>
                <w:b/>
                <w:color w:val="auto"/>
                <w:sz w:val="21"/>
                <w:szCs w:val="21"/>
                <w:highlight w:val="none"/>
              </w:rPr>
              <w:t>（该条技术参数需现场进行产品功能演示）</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(21)专业负责人可以在个人工作台根据学校培养方案按专业、版本管理专业关键数据，设定专业培养目标、毕业要求、毕业要求指标、专业课程等数据。</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(22)支持维护专业与课程、目标与毕业要求的关联关系。支持添加、编辑、删除专业课程和目标，可设置课程目标和毕业要求指标点的关联关系。</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(23)支持构建课程个性化知识图谱，图谱可基于课程内容与课程目标自动生成，并支持手动编辑与补充；图谱名称支持自定义命名。</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支持构建专业层级的图谱；系统可快速新建图谱，图谱名称支持自定义命名，便于管理多个专业图谱版本。</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(25)课程自定义图谱建设具备完整的知识分类及知识点工具，可根据知识点之间的关系快速设置知识点的前后置关系，同时支持添加知识点属性标签。</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(26)专业个性化图谱支持建设专业相关的结构化关系图谱，如：培养目标、毕业要求、专业课程、知识点等。</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68" w:name="_Toc3471"/>
            <w:bookmarkStart w:id="69" w:name="_Toc6842"/>
            <w:bookmarkStart w:id="70" w:name="_Toc25494"/>
            <w:bookmarkStart w:id="71" w:name="_Toc7234"/>
            <w:bookmarkStart w:id="72" w:name="_Toc26412"/>
            <w:bookmarkStart w:id="73" w:name="_Toc1069"/>
            <w:bookmarkStart w:id="74" w:name="_Toc1596"/>
            <w:r>
              <w:rPr>
                <w:rFonts w:hint="eastAsia" w:ascii="宋体" w:hAnsi="宋体" w:eastAsia="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rPr>
              <w:t>专业数据分析</w:t>
            </w:r>
            <w:bookmarkEnd w:id="68"/>
            <w:bookmarkEnd w:id="69"/>
            <w:bookmarkEnd w:id="70"/>
            <w:bookmarkEnd w:id="71"/>
            <w:bookmarkEnd w:id="72"/>
            <w:bookmarkEnd w:id="73"/>
            <w:bookmarkEnd w:id="74"/>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筛选专业，并且全局查看该专业-版本毕业要求、毕业要求二级指标点、专业课程的数量，以及未设置毕业要求二级指标点的毕业要求一级指标点、未设置支撑课程的毕业要求二级指标点、未设置知识点的课程目标数量，方便校级管理员、专业负责人把握本专业建设完成度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(2)支持查看毕业要求指标点及课程目标重复度情况。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★(3)支持专业建设的指标重复度情况，设置课程分析维度后，系统自动从学分、课程目标、知识点维度分析出达到相似度要求的课程，并呈现重合数据情况。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(4)支持专业对比分析，从毕业要求、毕业要求指标点、课程、课程目标四个维度进行比对总体数量及重复个数。</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(5)支持可视化大屏展示专业建设数据汇总。</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(6)支持可视化大屏展示专业建设进度排行。</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(7)支持可视化大屏方式展示专业知识资源建设情况。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(8)支持可视化大屏方式展示专业活跃度等。</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(9)支持可视化编辑流程，拖拽式页面布局。</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(10)提供多种大屏模板，选择模板后可快速生新大屏。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大屏支持添加和设置应用基础模块，包含图文列表、轮播图、多图列表、表格、文本、图片、按钮、视频、天气、日期、内嵌网页、地图、柱状图、饼图、折线图、雷达图等多种基础模块用满足绝大部分大屏内容的展现形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(12)支持大屏网站内增加、修改、删除新页面。新页面包含所有的编辑功能，可拖拽式编辑的页面、建设多个新页面，并支持设置多个大屏页面的自动轮播/手动轮播方式。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(13)支持将自定义组件及大屏设为模板复用。</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(14)模块数据内容支持对接标准接口规范的外部数据源。</w:t>
            </w:r>
          </w:p>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rPr>
            </w:pPr>
            <w:bookmarkStart w:id="75" w:name="_Toc23040"/>
            <w:bookmarkStart w:id="76" w:name="_Toc18926"/>
            <w:bookmarkStart w:id="77" w:name="_Toc30728"/>
            <w:bookmarkStart w:id="78" w:name="_Toc6474"/>
            <w:bookmarkStart w:id="79" w:name="_Toc9228"/>
            <w:bookmarkStart w:id="80" w:name="_Toc25384"/>
            <w:bookmarkStart w:id="81" w:name="_Toc19486"/>
            <w:r>
              <w:rPr>
                <w:rFonts w:hint="eastAsia" w:ascii="宋体" w:hAnsi="宋体" w:eastAsia="宋体" w:cs="宋体"/>
                <w:color w:val="auto"/>
                <w:sz w:val="21"/>
                <w:szCs w:val="21"/>
                <w:highlight w:val="none"/>
              </w:rPr>
              <w:t>（二）专业达成度</w:t>
            </w:r>
            <w:bookmarkEnd w:id="75"/>
            <w:bookmarkEnd w:id="76"/>
            <w:bookmarkEnd w:id="77"/>
            <w:bookmarkEnd w:id="78"/>
            <w:bookmarkEnd w:id="79"/>
            <w:bookmarkEnd w:id="80"/>
            <w:bookmarkEnd w:id="81"/>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82" w:name="_Toc8597"/>
            <w:bookmarkStart w:id="83" w:name="_Toc20552"/>
            <w:bookmarkStart w:id="84" w:name="_Toc11617"/>
            <w:bookmarkStart w:id="85" w:name="_Toc12507"/>
            <w:bookmarkStart w:id="86" w:name="_Toc28999"/>
            <w:bookmarkStart w:id="87" w:name="_Toc14020"/>
            <w:bookmarkStart w:id="88" w:name="_Toc24846"/>
            <w:r>
              <w:rPr>
                <w:rFonts w:hint="eastAsia" w:ascii="宋体" w:hAnsi="宋体" w:eastAsia="宋体" w:cs="宋体"/>
                <w:bCs w:val="0"/>
                <w:color w:val="auto"/>
                <w:sz w:val="21"/>
                <w:szCs w:val="21"/>
                <w:highlight w:val="none"/>
              </w:rPr>
              <w:t>1.</w:t>
            </w:r>
            <w:r>
              <w:rPr>
                <w:rFonts w:hint="eastAsia" w:ascii="宋体" w:hAnsi="宋体" w:eastAsia="宋体" w:cs="宋体"/>
                <w:color w:val="auto"/>
                <w:sz w:val="21"/>
                <w:szCs w:val="21"/>
                <w:highlight w:val="none"/>
              </w:rPr>
              <w:t>课程达成度分析</w:t>
            </w:r>
            <w:bookmarkEnd w:id="82"/>
            <w:bookmarkEnd w:id="83"/>
            <w:bookmarkEnd w:id="84"/>
            <w:bookmarkEnd w:id="85"/>
            <w:bookmarkEnd w:id="86"/>
            <w:bookmarkEnd w:id="87"/>
            <w:bookmarkEnd w:id="88"/>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(1)支持从课程目标和学生两个层面展示综合达成度统计、课程目标达成度分析、学生数据分析等内容，全面体现课程教学基于成果导向的教学质量分析数据。</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(2)支持AI一键生成课程达成度报告。</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按班级、专业双维度自动输出课程达成度结果，报告支持自定义表格、标题、内容，内容包括课程基本信息、课程目标信息、考核与评价表、课程目标与毕业要求权重表等。在专业建设的课程层达成度数据输出上，高效准确的自动生成整体分析报告。</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89" w:name="_Toc28572"/>
            <w:bookmarkStart w:id="90" w:name="_Toc18083"/>
            <w:bookmarkStart w:id="91" w:name="_Toc31397"/>
            <w:bookmarkStart w:id="92" w:name="_Toc5495"/>
            <w:bookmarkStart w:id="93" w:name="_Toc13992"/>
            <w:bookmarkStart w:id="94" w:name="_Toc16658"/>
            <w:bookmarkStart w:id="95" w:name="_Toc13468"/>
            <w:r>
              <w:rPr>
                <w:rFonts w:hint="eastAsia" w:ascii="宋体" w:hAnsi="宋体" w:eastAsia="宋体" w:cs="宋体"/>
                <w:bCs w:val="0"/>
                <w:color w:val="auto"/>
                <w:sz w:val="21"/>
                <w:szCs w:val="21"/>
                <w:highlight w:val="none"/>
              </w:rPr>
              <w:t>2.</w:t>
            </w:r>
            <w:r>
              <w:rPr>
                <w:rFonts w:hint="eastAsia" w:ascii="宋体" w:hAnsi="宋体" w:eastAsia="宋体" w:cs="宋体"/>
                <w:color w:val="auto"/>
                <w:sz w:val="21"/>
                <w:szCs w:val="21"/>
                <w:highlight w:val="none"/>
              </w:rPr>
              <w:t>专业达成度分析</w:t>
            </w:r>
            <w:bookmarkEnd w:id="89"/>
            <w:bookmarkEnd w:id="90"/>
            <w:bookmarkEnd w:id="91"/>
            <w:bookmarkEnd w:id="92"/>
            <w:bookmarkEnd w:id="93"/>
            <w:bookmarkEnd w:id="94"/>
            <w:bookmarkEnd w:id="95"/>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筛选专业，并且全局查看该专业-版本毕业要求、毕业要求二级指标点、专业课程的数量，以及未设置毕业要求二级指标点的毕业要求一级指标点、未设置支撑课程的毕业要求二级指标点、未设置知识点的课程目标数量，方便校级管理员、专业负责人把握本专业建设完成度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个专业支持按专业维度分析：该年级-专业要求达成度目标、学生平均达成度目标、达标率；各专业点的统计表，统计表包括：各能力点达成度分布情况雷达图、各能力点达成度平均分对比柱状图、各能力点标签分布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(3)每个专业支持按毕业要求、毕业要求指标点维度分析；</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个专业支持按课程维度分析：各课程的每个专业能力要求点达成度，每门课程的达成度分析情况；课程目标维度数据结果，数据项包括：课程目标的学生最高达成度、最低达成度、平均达成度；可查看课程目标下学生达成度的详情；</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(5)每个专业支持按人维度分析每位学生的课程目标达成度；</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(6)支持多专业达成结果进行对比分析，支持添加对比专业，通过专业达成度、专业毕业要求达成度等方面进行对比分析。</w:t>
            </w:r>
          </w:p>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rPr>
            </w:pPr>
            <w:bookmarkStart w:id="96" w:name="_Toc4584"/>
            <w:bookmarkStart w:id="97" w:name="_Toc3108"/>
            <w:bookmarkStart w:id="98" w:name="_Toc17184"/>
            <w:r>
              <w:rPr>
                <w:rFonts w:hint="eastAsia" w:ascii="宋体" w:hAnsi="宋体" w:eastAsia="宋体" w:cs="宋体"/>
                <w:color w:val="auto"/>
                <w:sz w:val="21"/>
                <w:szCs w:val="21"/>
                <w:highlight w:val="none"/>
              </w:rPr>
              <w:t>（三）专业智能体</w:t>
            </w:r>
            <w:bookmarkEnd w:id="96"/>
            <w:bookmarkEnd w:id="97"/>
            <w:bookmarkEnd w:id="98"/>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★(1)支持通过AI知识库快速检索专业相关内容，满足教学、科研及实践等多样化知识使用需求，机器人输出的答案支持显示来源，可直接截取显示与答案有关的原文内容，实现来源可溯。</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(3)支持微应用智能推荐和问题联想，提升问题输入智能化体验。</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(4)支持专业负责人查看和管理本专业下的知识资源，提升团队协作效率与知识传承质量。</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(5)支持开启转人工设置，并可进行关键词逻辑触发配置，满足复杂问答需求。</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(6)支持构建专业智能体，并引用课程AI知识库，为用户提供专业问题的智能问答服务。</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(7)支持前后台对话大模型切换，包含两种及以上大模型类型可选，满足不同模型策略应用。</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(8)提问时支持通过文字、语音输入问题，并支持上传图片、文件进行提问，文件格式支持DOC/DOCX、PDF等。</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(9)机器人可自动对没有答案的问题进行关键词识别并统计聚类，支持按问答频率排序、编辑、删除、批量导出和清空未知问题。</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课程智能体任务流编辑与配置：支持自定义新建、编辑任务流，任务流数量无限制，可单个或批量删除、启用、停用。任务流编辑中支持设定功能节点（代码、条件选择、知识库等）、交互节点（动态选项、问答、静态选项等）、大模型节点（变量赋值、生成等）和消息节点，自由拖拽排布任务流，任务流编辑中支持大模型变量赋值和生成（大模型支持接入deepseek，文心一言等通用大模型），提升问答智能。</w:t>
            </w:r>
          </w:p>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rPr>
            </w:pPr>
            <w:bookmarkStart w:id="99" w:name="_Toc16694"/>
            <w:bookmarkStart w:id="100" w:name="_Toc3865"/>
            <w:bookmarkStart w:id="101" w:name="_Toc3637"/>
            <w:r>
              <w:rPr>
                <w:rFonts w:hint="eastAsia" w:ascii="宋体" w:hAnsi="宋体" w:eastAsia="宋体" w:cs="宋体"/>
                <w:color w:val="auto"/>
                <w:sz w:val="21"/>
                <w:szCs w:val="21"/>
                <w:highlight w:val="none"/>
              </w:rPr>
              <w:t>（四）专业建设工作台</w:t>
            </w:r>
            <w:bookmarkEnd w:id="99"/>
            <w:bookmarkEnd w:id="100"/>
            <w:bookmarkEnd w:id="101"/>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为专业负责人提供专属工作台界面，聚焦专业全周期管理核心事项提升专业负责人信息获取效率，支持将专业建设总览、AI工作台、专业调研、专业建设、教学运行、专业达成等相关模块以集中视图形式聚合展示。</w:t>
            </w:r>
          </w:p>
          <w:p>
            <w:pPr>
              <w:pageBreakBefore w:val="0"/>
              <w:tabs>
                <w:tab w:val="left" w:pos="312"/>
              </w:tabs>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★(2)AI工作台中包括课程相似度分析、岗位支撑度分析、培养方案对比分析、专业分析报告、AI知识库、智能体管理。</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★(3)支持将岗位能力模型、人培方案、校本调研资料库、国家专业教学质量标准等结果在工作台中进行统一汇总查看。</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(4)支持对接已有的人才培养方案模块，实现方案修订状态与审核进度的可视化呈现。</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(5)支持跳转链接调用已有各子系统功能模块，无需重复登录或切换系统。</w:t>
            </w:r>
          </w:p>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rPr>
            </w:pPr>
            <w:bookmarkStart w:id="102" w:name="_Toc6887"/>
            <w:bookmarkStart w:id="103" w:name="_Toc24936"/>
            <w:bookmarkStart w:id="104" w:name="_Toc29980"/>
            <w:bookmarkStart w:id="105" w:name="_Toc1992"/>
            <w:bookmarkStart w:id="106" w:name="_Toc19335"/>
            <w:bookmarkStart w:id="107" w:name="_Toc13543"/>
            <w:bookmarkStart w:id="108" w:name="_Toc14977"/>
            <w:r>
              <w:rPr>
                <w:rFonts w:hint="eastAsia" w:ascii="宋体" w:hAnsi="宋体" w:eastAsia="宋体" w:cs="宋体"/>
                <w:color w:val="auto"/>
                <w:sz w:val="21"/>
                <w:szCs w:val="21"/>
                <w:highlight w:val="none"/>
              </w:rPr>
              <w:t>（五）专业建设成果展示</w:t>
            </w:r>
            <w:bookmarkEnd w:id="102"/>
            <w:bookmarkEnd w:id="103"/>
            <w:bookmarkEnd w:id="104"/>
            <w:bookmarkEnd w:id="105"/>
            <w:bookmarkEnd w:id="106"/>
            <w:bookmarkEnd w:id="107"/>
            <w:bookmarkEnd w:id="108"/>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109" w:name="_Toc11475"/>
            <w:bookmarkStart w:id="110" w:name="_Toc19064"/>
            <w:bookmarkStart w:id="111" w:name="_Toc20888"/>
            <w:bookmarkStart w:id="112" w:name="_Toc31414"/>
            <w:bookmarkStart w:id="113" w:name="_Toc32396"/>
            <w:bookmarkStart w:id="114" w:name="_Toc25261"/>
            <w:bookmarkStart w:id="115" w:name="_Toc17261"/>
            <w:r>
              <w:rPr>
                <w:rFonts w:hint="eastAsia" w:ascii="宋体" w:hAnsi="宋体" w:eastAsia="宋体" w:cs="宋体"/>
                <w:bCs w:val="0"/>
                <w:color w:val="auto"/>
                <w:sz w:val="21"/>
                <w:szCs w:val="21"/>
                <w:highlight w:val="none"/>
              </w:rPr>
              <w:t>1.</w:t>
            </w:r>
            <w:r>
              <w:rPr>
                <w:rFonts w:hint="eastAsia" w:ascii="宋体" w:hAnsi="宋体" w:eastAsia="宋体" w:cs="宋体"/>
                <w:color w:val="auto"/>
                <w:sz w:val="21"/>
                <w:szCs w:val="21"/>
                <w:highlight w:val="none"/>
              </w:rPr>
              <w:t>专业建设门户</w:t>
            </w:r>
            <w:bookmarkEnd w:id="109"/>
            <w:bookmarkEnd w:id="110"/>
            <w:bookmarkEnd w:id="111"/>
            <w:bookmarkEnd w:id="112"/>
            <w:bookmarkEnd w:id="113"/>
            <w:bookmarkEnd w:id="114"/>
            <w:bookmarkEnd w:id="115"/>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(1)支持在门户界面和课程知识图谱展示互相切换便于搜索相关课程。</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(2)支持在门户中显示多门课程汇总展示，可展示课程数量。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(3)需要能通过虚拟展厅进行专业成果展示，满足专业成果的展厅可视化。</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(4)支持展示培养体系、专业介绍、知识体系、专业图谱等内容。</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(5)支持查看当前专业基本信息，包括培养目标、毕业要求、知识点等构建的数量情况。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(6)支持展示专业基本信息介绍，以图文形式进行呈现。</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(7)支持展示专业培养体系，包括专业下建设课程总数、公共基础课程、专业核心等课程的建设情况。</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(8)支持展示专业图谱建设情况，包括知识图谱、问题图谱、目标图谱、能力图谱等。</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(9)支持展示专业课程体系图谱，查看到专业各个学期开设课程情况，以及显示课程之间的先修后继关系。</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★(10)可以查看专业知识森林，知识森林下包含所有课程的所有知识点，支持切换3d专业图谱，可以通过3d图谱形式查看专业下所有课程所有知识点以及知识点的关系。</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(11)支持展示特色课程等其他和该专业相关的模块。</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模块工具：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(13)布局设置：门户支持设置全局模块，包含头部、全局轮播图、底部、飘窗、快捷入口等模块，支持隐藏或开启全局模块。</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(14)编辑方式：具有可视化页面设计后台，支持拖拽式布局管理，各应用模块自由调整。</w:t>
            </w:r>
          </w:p>
          <w:p>
            <w:pPr>
              <w:pStyle w:val="5"/>
              <w:pageBreakBefore w:val="0"/>
              <w:numPr>
                <w:ilvl w:val="2"/>
                <w:numId w:val="0"/>
              </w:numPr>
              <w:kinsoku/>
              <w:wordWrap/>
              <w:overflowPunct/>
              <w:topLinePunct w:val="0"/>
              <w:bidi w:val="0"/>
              <w:spacing w:line="360" w:lineRule="auto"/>
              <w:rPr>
                <w:rFonts w:hint="eastAsia" w:ascii="宋体" w:hAnsi="宋体" w:eastAsia="宋体" w:cs="宋体"/>
                <w:color w:val="auto"/>
                <w:sz w:val="21"/>
                <w:szCs w:val="21"/>
                <w:highlight w:val="none"/>
              </w:rPr>
            </w:pPr>
            <w:bookmarkStart w:id="116" w:name="_Toc15607"/>
            <w:bookmarkStart w:id="117" w:name="_Toc8692"/>
            <w:bookmarkStart w:id="118" w:name="_Toc14495"/>
            <w:r>
              <w:rPr>
                <w:rFonts w:hint="eastAsia" w:ascii="宋体" w:hAnsi="宋体" w:eastAsia="宋体" w:cs="宋体"/>
                <w:bCs w:val="0"/>
                <w:color w:val="auto"/>
                <w:sz w:val="21"/>
                <w:szCs w:val="21"/>
                <w:highlight w:val="none"/>
              </w:rPr>
              <w:t>2.</w:t>
            </w:r>
            <w:r>
              <w:rPr>
                <w:rFonts w:hint="eastAsia" w:ascii="宋体" w:hAnsi="宋体" w:eastAsia="宋体" w:cs="宋体"/>
                <w:color w:val="auto"/>
                <w:sz w:val="21"/>
                <w:szCs w:val="21"/>
                <w:highlight w:val="none"/>
              </w:rPr>
              <w:t>专业虚拟展厅</w:t>
            </w:r>
            <w:bookmarkEnd w:id="116"/>
            <w:bookmarkEnd w:id="117"/>
            <w:bookmarkEnd w:id="118"/>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(1)通过3D建模技术构建虚拟展馆的空间模型，虚拟展厅面积不少于400m2。</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(2)用户可在空间内实现任意漫游行走，可自由参观展厅，而非热点间短距离漫游，可通过点击展厅地面任意区域，移动至目标位置，实现点位行走的功能。</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(3)支持用户以第一视角和第三视角切换形式参观展厅，支持用户在展厅中通过场景切换的方式导航到不同的场景视角，用户可以通过快捷导航功能快速浏览展厅中的各个特定区域。</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(4)通过地图，参观者将对展厅的布局有清晰印象，能明确自身实时所处位置和方向，支持对导览图进行缩放、显示和隐藏。</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(5)虚拟IP人物可在特定场景和区域，进行智能语音讲解导览，支持设计简单IP人物动画，并为其添加基本的动画效果，如行走、跳跃、挥手等。</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(6)采用响应式技术，支持兼容多终端设备展示：手机移动、电脑PC、iPad、歌德机、大屏、报刊机、一体机、壁挂机、智能屏。</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用户通过后台修改前端内容数据，并且前端实时监听后台变化，做到后台修改完成，前端实时显示。编辑器允许用户自主上传、编辑、使用展厅所需素材。允许用户为素材创建文件夹，并进行自定义分类及命名。</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(8)编辑器内配有公共素材，供策展人选择布展。编辑器支持上传多种多媒体素材类型，如：JPG、PNG、JPEG等格式图像，MP4、AVI、MOV等格式视频，MP3、WAV等格式音频，obj、FBX、glb等格式模型。</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(9)支持输入网页链接内嵌网页展示；支持添加超链接，用户通过点击展板、模型即可从当前页面或新页面打开；支持设置区域热点触发，以使音视频内容在用户进入该区域时实现自动播放。</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(10)可添加所有场景及快捷导航，支持对场景进行管理、编辑、删除等操作，支持自定义场景视角，支持初始化取展板聚焦模式视角。</w:t>
            </w:r>
          </w:p>
          <w:p>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(11)支持用户直接在编辑器中创建和编辑2D、3D文本，包括字体、大小、颜色等属性的自定义。</w:t>
            </w:r>
            <w:bookmarkEnd w:id="40"/>
            <w:bookmarkEnd w:id="41"/>
            <w:bookmarkEnd w:id="42"/>
            <w:bookmarkEnd w:id="43"/>
            <w:bookmarkEnd w:id="44"/>
            <w:bookmarkEnd w:id="45"/>
          </w:p>
          <w:p>
            <w:pPr>
              <w:pStyle w:val="4"/>
              <w:keepNext w:val="0"/>
              <w:keepLines w:val="0"/>
              <w:pageBreakBefore w:val="0"/>
              <w:numPr>
                <w:ilvl w:val="1"/>
                <w:numId w:val="0"/>
              </w:numPr>
              <w:kinsoku/>
              <w:wordWrap/>
              <w:overflowPunct/>
              <w:topLinePunct w:val="0"/>
              <w:bidi w:val="0"/>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人物形象设计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专业AI知识库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1、AI知识库构建</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提供相关专业及产业的知识内容，包含整合图书、报纸、期刊等资源，与权威机构合作加工发布公共AI知识库。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配备专属知识服务专员，全程配合专业主任就知识库建设进行主题定位策划，理清知识边界，梳理知识范围及脉络，配合专业老师确保知识内容的权威性与系统性。从产业、企业、专业、学业、就业的五业联动的闭环机制，构建知识库分类体系。分析学校现有职业教育关键要素建设基础，理清学校现有资源体系，构建学校知识中枢建设框架，为学校融入职业教育知识星链体系制定路线图。</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（2）支持人培方案、岗位手册、企业案例、设备手册、产业政策、职业等级标准、SOP（标准作业流程）、实习实训书，以及专业对应的图书、论文、专利、报纸、期刊等多种类型资源组建AI知识库。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（3）支持图片、视频、音频、文本等数据进行向量化处理。</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（4）支持结构化数据以及非结构化数据。</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（5）支持通过整合多渠道数据资源，以及行业数据构建学科专业AI知识库。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（6）支持与同类院校兄弟单位建立知识共同体联盟，共建AI知识库。支持跨界融通共建，与文博、图书馆、科研院所行业机构等多元主体共建AI知识库。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2、AI知识库订阅</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（1）支持不少于2000个AI知识库订阅使用服务。</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（2）支持订阅后使用，业务随问，持续提升专业综合能力，支持一键调用。</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（3）支持AI知识库赋能多场景专业智能体，通过AI知识库的配置让智能体达到更高水平，支持科研、教学、学习等。</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（4）支持订阅跨领域公共AI知识库，进行后续的关联多场景业务端智能体。</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3、AI知识库应用</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（1）支持通过分层次的溯源策略，确保知识库中的信息来源可追溯、可信度高。</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（2）支持知识边界约束：限制大模型自由发挥范围。</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（3）支持双重校验机制：AI生成结果 vs 知识库基准答案。</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4、优质语料资源</w:t>
            </w:r>
            <w:r>
              <w:rPr>
                <w:rFonts w:hint="eastAsia" w:ascii="宋体" w:hAnsi="宋体" w:eastAsia="宋体" w:cs="宋体"/>
                <w:color w:val="auto"/>
                <w:kern w:val="2"/>
                <w:sz w:val="21"/>
                <w:szCs w:val="21"/>
                <w:highlight w:val="none"/>
                <w:lang w:val="en-US" w:eastAsia="zh-CN" w:bidi="ar-SA"/>
              </w:rPr>
              <w:tab/>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（1）可与学校教务系统进行基础数据对接，包含老师基础信息、学生基础信息、学生选课表、老师排课表、课程表信息等实现数据联通，将人才培养方案的课程管理与教务排课信息进行有机融合。</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可上传学校积累的专业教学资源（教案、大纲、实训报告）、教师科研成果（论文、课题资料）等，并能调用泛雅平台接口同步教师在该平台的建课资料（课程课件、教学视频、习题题库等）与教学数据（学生学习进度、课堂互动记录、作业提交情况等），实现校内教学与科研资源的集中汇聚与统一管理，为 AI 知识库提供专属且优质的校本化知识来源。</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支撑AI知识库建设的知识出版物素材。基于相关专业，围绕知识库主体拆解核心要素，深度挖掘最新科研材料、出版文献，提供单个专业不少于3000单位的基础知识素材。专业群知识库包含该领域教学资源，以及相关期刊不低于10000篇、图书不低于3000本、报纸不低于5000篇、学术论文不低于10000篇，内容应聚焦前沿知识，聚焦专业群核心应用。</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5、AI知识库技术路径要求</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（1）语料向量化过程</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各种类型的文件进行向量处理，如PDF扫描版支持通过OCR之后提供文字内容，文档中包括的图片以及表格通过识别转换成md格式，文章内容进行关键词提取，文章目录提取，标记段落等等。针对音频文件和视频文件进行语音转文字处理。</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支持多种分片方式：定长分片，定长+段落分片，语义分片。</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支持对HTML相关标签的过滤。</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支持中文对多语种向量库数据无障碍问答。</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向量数据入库，支持使用Milvirs等向量数据库存储。</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（2）交互问答机制</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提出问题，通过大模型进行问题分析，做关键词提取。</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问题进行向量化提交到向量库召回，根据不同学科处理会涉及多个知识库的内容同时召回。</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通过问题提取的关键词进行搜索引擎的检索，根据不同情况会涉及到多轮检索，直到能够匹配到足够数量的相关数据。</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知识库返回的片段及搜索引擎返回的内容汇总结果集。</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针对返回内容通过Rerank模型进行重排，特别是搜索引擎返回数据，若语义上跟问题不匹配，通过重排模型过滤不匹配的内容。</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撰写提示词，定义角色、技能、限制、输出格式等。</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支持选择不同大模型，可基于商用大模型和自建大模型。</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支持大模型输出内容，同时准确返回并展示可溯源文档名称及内容片段。</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（3）知识共识机制</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配合老师提供资料线索、审核建议、技术实施和整理。</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语料建议：提供或推荐核心权威资料（如教材、重点期刊、案例来源）。</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知识审核：对知识库结构设计进行把关，如确认分类、主题词是否符合学科规范。</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优先级标注：需标注核心概念优先级。</w:t>
            </w:r>
          </w:p>
          <w:p>
            <w:pPr>
              <w:pStyle w:val="36"/>
              <w:pageBreakBefore w:val="0"/>
              <w:kinsoku/>
              <w:wordWrap/>
              <w:overflowPunct/>
              <w:topLinePunct w:val="0"/>
              <w:bidi w:val="0"/>
              <w:spacing w:line="360" w:lineRule="auto"/>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测评反馈：参与阶段性验收测试，提供反馈意见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482" w:type="dxa"/>
            <w:tcBorders>
              <w:right w:val="single" w:color="auto" w:sz="4" w:space="0"/>
            </w:tcBorders>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7" w:type="dxa"/>
            <w:tcBorders>
              <w:left w:val="single" w:color="auto" w:sz="4" w:space="0"/>
            </w:tcBorders>
            <w:vAlign w:val="center"/>
          </w:tcPr>
          <w:p>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智慧课程建设服务</w:t>
            </w:r>
          </w:p>
        </w:tc>
        <w:tc>
          <w:tcPr>
            <w:tcW w:w="587" w:type="dxa"/>
            <w:vAlign w:val="center"/>
          </w:tcPr>
          <w:p>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921" w:type="dxa"/>
            <w:vAlign w:val="center"/>
          </w:tcPr>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总体建设要求：</w:t>
            </w:r>
          </w:p>
          <w:p>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基于人物形象设计专业资源库原有10门课程打造智慧课程，</w:t>
            </w:r>
            <w:r>
              <w:rPr>
                <w:rFonts w:hint="eastAsia" w:ascii="宋体" w:hAnsi="宋体" w:eastAsia="宋体" w:cs="宋体"/>
                <w:b/>
                <w:bCs/>
                <w:color w:val="auto"/>
                <w:sz w:val="21"/>
                <w:szCs w:val="21"/>
                <w:highlight w:val="none"/>
                <w:lang w:val="en-US" w:eastAsia="zh-CN"/>
              </w:rPr>
              <w:t>其中重点打造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人物造型手绘设计</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美业商业运营</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服饰设计</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形象管理与策划</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门</w:t>
            </w:r>
            <w:r>
              <w:rPr>
                <w:rFonts w:hint="eastAsia" w:ascii="宋体" w:hAnsi="宋体" w:eastAsia="宋体" w:cs="宋体"/>
                <w:b/>
                <w:bCs/>
                <w:color w:val="auto"/>
                <w:sz w:val="21"/>
                <w:szCs w:val="21"/>
                <w:highlight w:val="none"/>
                <w:lang w:val="en-US" w:eastAsia="zh-CN"/>
              </w:rPr>
              <w:t>智慧</w:t>
            </w:r>
            <w:r>
              <w:rPr>
                <w:rFonts w:hint="eastAsia" w:ascii="宋体" w:hAnsi="宋体" w:eastAsia="宋体" w:cs="宋体"/>
                <w:b/>
                <w:bCs/>
                <w:color w:val="auto"/>
                <w:sz w:val="21"/>
                <w:szCs w:val="21"/>
                <w:highlight w:val="none"/>
              </w:rPr>
              <w:t>课程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围绕资源库视频资源更新、AI工作台、智能体搭建、AI知识库（即语料库）搭建、AI实践、3D任务引擎、3D课程虚拟展厅、AI教师数字人形象（具体看老师的需求而定）、多元知识图谱搭建（包含知识图谱、问题图谱、目标能力图谱、思政图谱、岗位图谱（如有）、竞赛图谱（如有）、证书图谱（如有）等），其余6门课程仅搭建知识图谱、问题图谱。</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（一）课程专属AI环境搭建</w:t>
            </w:r>
          </w:p>
          <w:p>
            <w:pPr>
              <w:pStyle w:val="58"/>
              <w:pageBreakBefore w:val="0"/>
              <w:kinsoku/>
              <w:wordWrap/>
              <w:overflowPunct/>
              <w:topLinePunct w:val="0"/>
              <w:bidi w:val="0"/>
              <w:adjustRightInd w:val="0"/>
              <w:spacing w:after="0" w:line="360" w:lineRule="auto"/>
              <w:ind w:firstLine="0" w:firstLineChars="0"/>
              <w:textAlignment w:val="baseline"/>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1.通用大语言模型对接</w:t>
            </w:r>
          </w:p>
          <w:p>
            <w:pPr>
              <w:pStyle w:val="58"/>
              <w:pageBreakBefore w:val="0"/>
              <w:kinsoku/>
              <w:wordWrap/>
              <w:overflowPunct/>
              <w:topLinePunct w:val="0"/>
              <w:bidi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根据学校配置，完成指定通用大语言模型或多个通用大模型对接。</w:t>
            </w:r>
          </w:p>
          <w:p>
            <w:pPr>
              <w:pStyle w:val="58"/>
              <w:pageBreakBefore w:val="0"/>
              <w:kinsoku/>
              <w:wordWrap/>
              <w:overflowPunct/>
              <w:topLinePunct w:val="0"/>
              <w:bidi w:val="0"/>
              <w:adjustRightInd w:val="0"/>
              <w:spacing w:after="0" w:line="360" w:lineRule="auto"/>
              <w:ind w:firstLine="0" w:firstLineChars="0"/>
              <w:textAlignment w:val="baseline"/>
              <w:outlineLvl w:val="2"/>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2.课程专属AI知识库模块</w:t>
            </w:r>
          </w:p>
          <w:p>
            <w:pPr>
              <w:pStyle w:val="58"/>
              <w:pageBreakBefore w:val="0"/>
              <w:kinsoku/>
              <w:wordWrap/>
              <w:overflowPunct/>
              <w:topLinePunct w:val="0"/>
              <w:bidi w:val="0"/>
              <w:spacing w:after="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（1）支持在线课程自我训练</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①支持一键同步在线课程，对已有资源进行智能化训练。</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②支持增量同步在线课程，保持与课程内容的一致。</w:t>
            </w:r>
          </w:p>
          <w:p>
            <w:pPr>
              <w:pStyle w:val="58"/>
              <w:pageBreakBefore w:val="0"/>
              <w:kinsoku/>
              <w:wordWrap/>
              <w:overflowPunct/>
              <w:topLinePunct w:val="0"/>
              <w:bidi w:val="0"/>
              <w:spacing w:after="0"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（2）支持资源上传与训练</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①课程单元内容建设，可编辑视频、文档、图片、音频、图书、公式、符号、附件、网页、动画等。</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②支持直接将从word中将内容复制粘贴到编辑器内，并完整保留里面的文字和图片等内容。</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③视频上传与播放支持rmvb、3gp、mpg、mpeg、mov、wmv、avi、mkv、mp4、flv、vob、f4v等高清和网络格式。</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④支持2G以上文件上传。支持查看资源上传与训练状态，支持查看训练资源来源。支持按时间范围查看资源上传情况。</w:t>
            </w:r>
          </w:p>
          <w:p>
            <w:pPr>
              <w:pStyle w:val="58"/>
              <w:pageBreakBefore w:val="0"/>
              <w:kinsoku/>
              <w:wordWrap/>
              <w:overflowPunct/>
              <w:topLinePunct w:val="0"/>
              <w:bidi w:val="0"/>
              <w:spacing w:after="0"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（3）学术文献一键对接训练 </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①支持对接文献库，一次性导入不超过30本课程相关书籍，进行训练。</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②支持反复导入。</w:t>
            </w:r>
          </w:p>
          <w:p>
            <w:pPr>
              <w:pStyle w:val="58"/>
              <w:pageBreakBefore w:val="0"/>
              <w:kinsoku/>
              <w:wordWrap/>
              <w:overflowPunct/>
              <w:topLinePunct w:val="0"/>
              <w:bidi w:val="0"/>
              <w:adjustRightInd w:val="0"/>
              <w:spacing w:after="0" w:line="360" w:lineRule="auto"/>
              <w:ind w:firstLine="0" w:firstLineChars="0"/>
              <w:textAlignment w:val="baseline"/>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3.AI问答库模块</w:t>
            </w:r>
          </w:p>
          <w:p>
            <w:pPr>
              <w:pageBreakBefore w:val="0"/>
              <w:kinsoku/>
              <w:wordWrap/>
              <w:overflowPunct/>
              <w:topLinePunct w:val="0"/>
              <w:autoSpaceDE w:val="0"/>
              <w:autoSpaceDN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课程问答库，涵盖常见问题、重点难点问题与拓展性问题，为教师与学生提供即时问题解决支持。同时，问答库应支持智能检索与语义理解，提升答疑效率与精准度。</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（1）需求调研与主题确定</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①合作沟通：供应商与课程教学团队进行深入沟通，了解各学科的教学需求、痛点及期望。</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②主题界定：根据课程设计和师生需求，明确问答库的主题范围。</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③目标设定：确立问答库的使用目标，如辅助教学、自学辅导、考试复习等。</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（2）问答库数据结构设计</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①数据结构规划：设计高效的数据存储与检索结构，确保问答对的快速响应与准确匹配。</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②技术选型：选择适合的人工智能技术框架，如自然语言处理（NLP）引擎，以支持问答对的智能匹配与语义理解。</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（3）问答对收集与验证</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①内容收集：通过多渠道收集问答对素材，包括课程现有资源、电子书、论文、网络资源等。</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②质量审核：由课程负责人对问答对进行逐条审核，确保内容的准确性、适用性和教育性。</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③标准化处理：对问答对进行标准化处理，统一格式与表述风格，提高问答库的整体质量。</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（4）实施与测试优化</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①功能测试：进行全面的功能测试，包括问答匹配准确性、响应速度、用户界面友好性等。</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②优化调整：根据测试结果及用户反馈，对系统进行必要的优化调整，提升系统性能与用户体验。</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（5）技术支持与更新维护</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①业务问答支持关联微应用，支持关联本单位的已有应用与自建应用；</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②支持用户手动上传文档至问答库，上传后系统可对上传的文档进行解析，解析后可智能回答文档相关问题；</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支持同步校本网络教学平台已建设的网络课程资料进行智能解析，解析后可围绕课程内容进行人机问答；支持根据用户输入问题进行匹配提示；支持问答无匹配时，提供语义相似度最高的热门问题；支持未知问题回复语自定义设置。</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④支持根据学科发展及用户需求，定期更新问答库内容，保持问答库的时效性与准确性，跟踪周期至少一学期。支持对系统进行定期维护与升级，修复潜在漏洞，提升系统安全性与稳定性。</w:t>
            </w:r>
          </w:p>
          <w:p>
            <w:pPr>
              <w:pStyle w:val="58"/>
              <w:pageBreakBefore w:val="0"/>
              <w:kinsoku/>
              <w:wordWrap/>
              <w:overflowPunct/>
              <w:topLinePunct w:val="0"/>
              <w:bidi w:val="0"/>
              <w:adjustRightInd w:val="0"/>
              <w:spacing w:after="0" w:line="360" w:lineRule="auto"/>
              <w:ind w:firstLine="0" w:firstLineChars="0"/>
              <w:textAlignment w:val="baseline"/>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4.AI助教问答与资源推荐</w:t>
            </w:r>
          </w:p>
          <w:p>
            <w:pPr>
              <w:pageBreakBefore w:val="0"/>
              <w:kinsoku/>
              <w:wordWrap/>
              <w:overflowPunct/>
              <w:topLinePunct w:val="0"/>
              <w:autoSpaceDE w:val="0"/>
              <w:autoSpaceDN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AI助教可支持问答与资源推荐。</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(1)支持多轮对话，可基于上一个问题的回答继续进行后续问答；提问时支持通过语音输入问题；</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(2)提问时支持上传图片通过读取图片内的问题进行提问；</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(3)提问时支持用户上传文档，让大模型围绕此份文档智能回答相关问题；</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(4)支持用户自主选择是否需要大模型回复；</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(5)助教输出的答案支持显示来源，可截取显示与答案有关的原文内容，也可通过来源跳转回原文全文展开学习。</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(6)支持查询图书、期刊等文献，根据用户输入问题推荐相关文献，图书、期刊等推荐文献支持通过在线查看原文、文献传递等途径获取；</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(7)支持针对用户网络课程学习进度和掌握情况，个性化推荐学习资源；</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(8)支持移动端、PC端多种使用渠道。</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AI助教可自动对没有答案的问题描述进行关键词识别并统计聚类，按照关键词问答频率由高到低排序，同时可以批量导出未知问题；支持统计历史会话，可按照时间范围、使用渠道等维度进行筛选，并可查看、导出会话具体内容。</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(10)教学资源推荐</w:t>
            </w:r>
          </w:p>
          <w:p>
            <w:pPr>
              <w:pageBreakBefore w:val="0"/>
              <w:kinsoku/>
              <w:wordWrap/>
              <w:overflowPunct/>
              <w:topLinePunct w:val="0"/>
              <w:autoSpaceDE w:val="0"/>
              <w:autoSpaceDN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教学资源提供教师备课、制作课件、制作网络课程等工作中随时需要查阅、引用的海量资源。</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整合全国高校各院系的本、专科课程信息，课程目录包含教育部规定的10个学科门类，10000门课程。并以课程为中心，整合与课程相关的各种精品资源，包括各高校的名师视频课程、网络精品共享课程，以及与课程相关的电子图书、期刊、论文、视频讲座等。</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②教学资源能够与网络教学平台无缝对接，教师在使用网络教学平台进行课程建设、备课、授课过程中随时可以搜索、引用、无缝插入网络教学平台中的资源。</w:t>
            </w:r>
          </w:p>
          <w:p>
            <w:pPr>
              <w:pStyle w:val="58"/>
              <w:pageBreakBefore w:val="0"/>
              <w:kinsoku/>
              <w:wordWrap/>
              <w:overflowPunct/>
              <w:topLinePunct w:val="0"/>
              <w:bidi w:val="0"/>
              <w:adjustRightInd w:val="0"/>
              <w:spacing w:after="0" w:line="360" w:lineRule="auto"/>
              <w:ind w:firstLine="0" w:firstLineChars="0"/>
              <w:textAlignment w:val="baseline"/>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5.私有知识库及公共知识库</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课程及专业AI助手需支持实时智能咨询，可自建私有知识库、订阅公共 AI 知识库；兼容豆包、DeepSeek、通义千问等主流国产大模型，支持管理员、师生多角色切换使用。具备教案生成、论文辅助等应用功能，公共 AI 知识库数量不少于 1500 个，支持订阅后挂载关联至课程或专业 AI 助手，同时可单独进行知识库对话使用。</w:t>
            </w:r>
            <w:r>
              <w:rPr>
                <w:rFonts w:hint="eastAsia" w:ascii="宋体" w:hAnsi="宋体" w:eastAsia="宋体" w:cs="宋体"/>
                <w:b/>
                <w:bCs/>
                <w:strike w:val="0"/>
                <w:dstrike w:val="0"/>
                <w:color w:val="auto"/>
                <w:kern w:val="2"/>
                <w:sz w:val="21"/>
                <w:szCs w:val="21"/>
                <w:highlight w:val="none"/>
                <w:lang w:val="en-US" w:eastAsia="zh-CN" w:bidi="ar-SA"/>
              </w:rPr>
              <w:t>(</w:t>
            </w:r>
            <w:bookmarkStart w:id="119" w:name="OLE_LINK2"/>
            <w:r>
              <w:rPr>
                <w:rFonts w:hint="eastAsia" w:ascii="宋体" w:hAnsi="宋体" w:eastAsia="宋体" w:cs="宋体"/>
                <w:b/>
                <w:bCs/>
                <w:strike w:val="0"/>
                <w:dstrike w:val="0"/>
                <w:color w:val="auto"/>
                <w:kern w:val="2"/>
                <w:sz w:val="21"/>
                <w:szCs w:val="21"/>
                <w:highlight w:val="none"/>
                <w:lang w:val="en-US" w:eastAsia="zh-CN" w:bidi="ar-SA"/>
              </w:rPr>
              <w:t>该条技术参数需现场进行产品功能演示</w:t>
            </w:r>
            <w:bookmarkEnd w:id="119"/>
            <w:r>
              <w:rPr>
                <w:rFonts w:hint="eastAsia" w:ascii="宋体" w:hAnsi="宋体" w:eastAsia="宋体" w:cs="宋体"/>
                <w:b/>
                <w:bCs/>
                <w:strike w:val="0"/>
                <w:dstrike w:val="0"/>
                <w:color w:val="auto"/>
                <w:kern w:val="2"/>
                <w:sz w:val="21"/>
                <w:szCs w:val="21"/>
                <w:highlight w:val="none"/>
                <w:lang w:val="en-US" w:eastAsia="zh-CN" w:bidi="ar-SA"/>
              </w:rPr>
              <w:t>)</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（二）课程专属图谱建设</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1.课程知识图谱建设</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(1)支持多层级知识架构建设，提供手动添加、批量导入、AI智能生成、XMind文件解析等多种图谱构建方式，支持知识点属性编辑、关系设置、标签分类及富媒体内容嵌入。</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对课程章节内容进行知识点标记，支持视频智能匹配知识点并生成词云分析，学生可精准定位知识点讲解片段，形成任务化学习路径，并关联微课、作业、考试等资源，实现按知识点管理题目、错题解析及自适应推荐学习。</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可视化界面展示学习进度和掌握程度，教师可查看知识点建设情况、班级学情数据，支持多班级对比分析及学生画像生成。学生可查看个人知识点统计，支持知识点自测和强化学习。支持跨课程知识点智能关联与同步，构建完整的跨学科知识体系。</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用户通过移动端访问知识图谱，支持图谱模式和大纲模式自由切换。导航模式通过可视化节点直观展示知识体系，支持分类展开、同级切换和详情查看；全局模式完整呈现知识层级结构，支持横屏优化浏览体验。</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多元</w:t>
            </w:r>
            <w:r>
              <w:rPr>
                <w:rFonts w:hint="eastAsia" w:ascii="宋体" w:hAnsi="宋体" w:eastAsia="宋体" w:cs="宋体"/>
                <w:color w:val="auto"/>
                <w:sz w:val="21"/>
                <w:szCs w:val="21"/>
                <w:highlight w:val="none"/>
              </w:rPr>
              <w:t>知识图谱建设，支持构建和维护课程知识图谱、知识点列表、问题图谱、思政图谱、目标图谱等多维图谱，并支持基于课程个性化展示需求；自定义图谱提供至少6种图谱形态，用户可依据课程性质选择合适形态编辑，还能自定义图谱标题、样式与内容，以构建个性化图谱。</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课程考试管理：提供智能考情监控功能，支持监考老师实时查看考生行为时间轴（含进入考试人脸识别结果、考试IP、考试切屏记录、抓拍记录、屏幕抓拍识别记录、直播监考日志、监考教师操作记录等），并可对单题答题时长进行限时设置、只允许指定IP参加考试等，满足各类考试场景。</w:t>
            </w:r>
            <w:r>
              <w:rPr>
                <w:rFonts w:hint="eastAsia" w:ascii="宋体" w:hAnsi="宋体" w:eastAsia="宋体" w:cs="宋体"/>
                <w:b/>
                <w:color w:val="auto"/>
                <w:sz w:val="21"/>
                <w:szCs w:val="21"/>
                <w:highlight w:val="none"/>
              </w:rPr>
              <w:t>（该条技术参数需现场进行产品功能演示）</w:t>
            </w:r>
          </w:p>
          <w:p>
            <w:pPr>
              <w:pageBreakBefore w:val="0"/>
              <w:kinsoku/>
              <w:wordWrap/>
              <w:overflowPunct/>
              <w:topLinePunct w:val="0"/>
              <w:autoSpaceDE w:val="0"/>
              <w:autoSpaceDN w:val="0"/>
              <w:bidi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(7)★智能组卷管理：支持按预设组卷逻辑从指定题库抽取或 AI 智能组卷（单次组卷数量不低于20套），支持按知识点、文件夹、题型、难易度等多维度组合抽题，支持设置题目重复率，组卷逻辑可保存为模板复用；同时题库支持安全口令保护。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课程作业管理：支持智能作业查重，支持将班级内学生作业班级内查重，以及与系统自带的图书、期刊、论文、报纸、网络全文等丰富的对比资源库进行对比检测并生成检测报告，支持在线查看学生作业相似度、下载检测报告、打回作业。</w:t>
            </w:r>
            <w:r>
              <w:rPr>
                <w:rFonts w:hint="eastAsia" w:ascii="宋体" w:hAnsi="宋体" w:eastAsia="宋体" w:cs="宋体"/>
                <w:b/>
                <w:color w:val="auto"/>
                <w:sz w:val="21"/>
                <w:szCs w:val="21"/>
                <w:highlight w:val="none"/>
              </w:rPr>
              <w:t>（该条技术参数需现场进行产品功能演示）</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2.课程问题图谱建设</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(1)基于课程知识图谱，建设不少于三层的问题体系，系统提供对每层级问题的定义能力，允许用户添加问题详情及其与知识点的关联。</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(2)支持用户可根据教学需求，自定义栏目标题和描述，以适应多样化的教学情境。支持用户对栏目中节点的名称、描述、标签和知识点进行修改，保持内容的时效性和准确性。</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(3)支持通过图谱形式展现问题与知识点的关联，使用户能够直观理解知识间的联系。</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(4)提供两种子级问题关联方式，包括层级连线和板块关联功能，以展示问题间的层级结构。</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(5)支持批量导入问题数据和一键导出问题图谱数据，简化教学资源的准备工作。</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开启探索模式，模拟学生学习路径，通过问题选择和知识点关联，促进学生的深入思考。在探索模式中，用户被引导将核心问题与子问题连接，形成知识网络，并通过提交与标准答案对比，实现自我评估。支持在探索过程中查看相关知识点并进行相关知识点的知识内容学习，有效提高在探索过程中思考解决问题的能力和获取信息的能力。</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(7)系统支持用户在问题图谱讨论区发起新话题，激发学生参与讨论，通过交流深化理解，促进知识共享。</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3.目标图谱建设</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(1)系统允许根据不同班级特点定制课程目标，以满足特定教学需求。支持课程目标模板导入/一键导出功能，便于教师对于课程目标可以直观浏览和整理，同时也能有效的和其他工具同时使用。</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(2)支持课程目标与知识点进行关联，以展示目标与教学内容的直接联系。</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(3)支持以柱状图展示课程目标关联知识点的个数，提供直观的统计信息；支持以列表形式展示课程目标总数、课程目标名称、课程目标说明、课程目标标签以及所关联的知识点个数，方便用户快速浏览和了解。</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(4)支持以图谱形式展示每个课程目标所关联的知识点情况，增强信息的可视化效果。</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4.课程思政图谱建设与应用</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(1)支持自动根据现有的图谱信息生成课程思政图谱的功能。支持将标签为“课程思政”的知识点以花朵的形式呈现，以视觉突出其在课程中的核心地位，同时以花苞的形式展示其他的知识点。</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(2)支持搜索功能覆盖知识点、分类和标签，实现全面性，满足用户不同维度的搜索需求。</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(3)支持通过点击操作，可深入分类卡片获取详细信息，知识点用户也可以选择开启卡片，直接跳转至微课进行学习，实现知识获取的快速通道。</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5.自定义图谱建设</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(1)具备自定义图谱功能，提供多种可视化样式选择，用户可根据需求自由构建和展示专属知识图谱。</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(2)提供多种图谱样式，满足教师不同教学场景，供自由选择。</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6.基于知识图谱的数智驱动数据分析与统计</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教师查看不同班级的学情数据，包括每个知识点的完成率与掌握率、知识点热度、完成率与掌握率的学情分段人数、学生完成率与掌握率排行情况等数据。支持教师选择多个不同班级进行学情数据对比，对比内容包括班级掌握率、班级完成率、完成率区间对比与掌握率区间对比等数据。通过班级对比分析，便于教师更好的了解不同班级间的学习差异。</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(3)支持教师依据知识点的属性或分类层级，灵活选取多样的评价维度，进而生成学生或班级画像。通过统计各维度知识点的完成率与掌握率，精准了解和分析班级或学生的学习状况。</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7.移动端知识图谱应用</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(1)支持用户通过移动端设备访问知识图谱，移动端提供图谱模式、大纲模式和学习地图模式。</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移动端图谱模式下，用户可以选择导航模式或全局模式，分别深入探索或宏观把握知识结构。移动端图谱模式下左侧导航区域以列表形式展示分类和知识点，支持快速定位和子级展开。支持基于关键字的搜索和模糊匹配，帮助用户迅速找到目标知识点及相关全面信息。</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(3)移动端导航模式下，图谱以一种集中的形态展示最高层级的分类或知识点，允许用户通过交互进一步探索其子级和它们之间的联系。</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移动端直观展示知识点掌握率和完成率，反映用户个人学习情况。支持从宏观和微观视角展示用户的知识点掌握情况，并允许与班级整体表现进行比较。支持查看和该知识点相关的错题集，帮助用户更有针对性地进行复习。</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支持点击知识点跳转至微课进行深入学习。移动端微课提供分析、学习内容、自测、资料、错题集、讨论等多功能模块。用户可以根据个人需求在移动端微课选择自测模式，包括时间限制和题目选择，以创建专属的自测体验。自测功能支持仅从未尝试过的题目中抽取，确保每次自测的新鲜感和有效性。</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支持对课程所有资源进行智能安全检测。可通过后台配置关键词、忽略词，便于系统审核时，针对关键词和忽略词进行屏蔽与忽略，降低人工审核的错误率。多维度审核：支持针对文本、图片、文档、课程进行在线审核，审查资源中是否包括多类敏感违规文本或图片。文本纠错：对日常公文、网站文章等多类型来源的文本进行自动化、智能化的纠错校对，快速识别拼写、语法、搭配、机构名称等问题并给出提示和纠错建议。</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（三）配置课程专属AI</w:t>
            </w:r>
            <w:r>
              <w:rPr>
                <w:rFonts w:hint="eastAsia" w:ascii="宋体" w:hAnsi="宋体" w:eastAsia="宋体" w:cs="宋体"/>
                <w:color w:val="auto"/>
                <w:sz w:val="21"/>
                <w:szCs w:val="21"/>
                <w:highlight w:val="none"/>
                <w:lang w:val="en-US" w:eastAsia="zh-CN"/>
              </w:rPr>
              <w:t>工作台</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1.配置40+AI应用工具，指导老师在备课、教学、学习、教研、科研、评价等全流程深度融合应用，实现数字素养提升，并实现AI赋能的“师/生/机”深度交互教学模式改革。</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2.具有AI 生成PPT、AI智能写作与校正、章节视频与文档AI解析、AIGC检测、智能翻译、资料查询助手等AI工具应用于教学。</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支持教师通过AI辅助出题，支持通过知识点、输入文本、上传附件文档和视频、选定章节等多种方式，搭配补充出题要求说明，由AI自动生成相应试题。支持选择多种题型，如：选择题、填空题、判断题、简答题等，满足不同类型考题需求。支持设置出题要求，比如：适用学段、难易度、题目方向等。教师可以在线编辑调整AI生成的试题，也可以一键加入题库,组成作业考试发布给学生,并且支持跨课程使用生成的题目。支持AI口语测评题出题、听力题AI语音生成。</w:t>
            </w:r>
          </w:p>
          <w:p>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AI程序题出题，支持AI自动对学生提交的代码进行评分和反馈。AI会根据预先设定的评分标准和规则，对学生提交的代码进行自动评分，包括代码质量、逻辑正确性、语法规范等方面，AI可以分析代码的复杂度，指出可能存在的改进空间，帮助学生提高代码的效率和可读性，程序题提供可支持代码运行环境支持学生提交代码在线运行。</w:t>
            </w:r>
          </w:p>
          <w:p>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支持AI智能批阅：支持通过先进的 AI 技术，根据不同的年级标准、文体进行中英文作文智能批阅。系统可从结构、内容、语言等6个大维度，12～16个细分维度进行打分，并给出推荐总分。细致评估：AI 批阅系统不仅提供整体评价，还支持对精彩句子进行点评，并给出提升建议。同时，支持揪出学生作文中的错别字，提供修改建议，帮助学生提高写作水平。</w:t>
            </w:r>
          </w:p>
          <w:p>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kern w:val="0"/>
                <w:sz w:val="21"/>
                <w:szCs w:val="21"/>
                <w:highlight w:val="none"/>
              </w:rPr>
              <w:t>支持AI学情分析：支持根据平台学生整体学习数据及专项数据，或者上传excel文档，教师可自定义分析维度，AI自动进行学生学情分析并提供建议提醒。支持多班对比分析：对多个班级的数据进行深度分析，洞察每个班级的独特学情，为教育决策提供科学依据。支持内置常见问题：智能解答，即刻响应。精准识别并预测用户常见问题，提供即时、精准的智能回复。支持图表产出：引入多种统计图表，包括饼图、散点图、面积图、箱线图等，提供丰富的数据可视化选项，帮助教师把握数据背后的趋势与洞见。需支持生成详细的分析报告，报告可导出图片、PDF、Word完整的分析报告文档。</w:t>
            </w:r>
          </w:p>
          <w:p>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kern w:val="0"/>
                <w:sz w:val="21"/>
                <w:szCs w:val="21"/>
                <w:highlight w:val="none"/>
              </w:rPr>
              <w:t>支持智能查重，可选择不同的比对库进行作业、考试等对比分析，比对基础库中的数据包含图书、报纸、期刊、网络文档等多种文献类型。</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智能体开发与应用</w:t>
            </w:r>
          </w:p>
          <w:p>
            <w:pPr>
              <w:pStyle w:val="22"/>
              <w:pageBreakBefore w:val="0"/>
              <w:kinsoku/>
              <w:wordWrap/>
              <w:overflowPunct/>
              <w:topLinePunct w:val="0"/>
              <w:bidi w:val="0"/>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1.个性化智能体定制</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供定制个性化智能体服务，通过充分调研与沟通，明确智能体服务的具体需求，如课程引导答疑、情感支持、智能问诊、案例生成、编程助手等，进行需求分析，针对性完成智能体开发，经过测试、优化、审核后能够上线。</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(2)设计智能体接口支持与学校现有教学管理系统、学习平台等进行集成，确保数据的流畅传递和系统的协同工作。并支持PC、移动端、平板等多种终端设备，确保师生在不同设备上都能顺畅使用智能体服务。</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课程智能体任务流编辑与配置：支持自定义新建、编辑任务流，任务流数量无限制，可单个或批量删除、启用、停用。任务流编辑中支持设定功能节点（代码、条件选择、知识库等）、交互节点（动态选项、问答、静态选项等）、大模型节点（变量赋值、生成等）和消息节点，自由拖拽排布任务流，任务流编辑中支持大模型变量赋值和生成（大模型支持接入deepseek，文心一言等通用大模型），提升问答智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★(4)提供多类型应用引擎工具（含表单、审批、预约、查询、图表、报告、活动、网页、资讯采集、应用包、知识挑战、共读、资源、自测、评审、推荐、评价等），支持灵活定制单位个性化应用。</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(5)★支持训练课程专属智能体，支持一键同步在线课程，并增量同步在线课程，支持对接文献库，一次性导入不少于25本课程相关书籍，进行大模型训练。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(6)★提供不低于100个全国高校已建开放教学智能体，支持一键引用至课程；支持自定义新增 AI 教学应用、指令及教学智能体，并提供功能配置与角色权限管理。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Style w:val="22"/>
              <w:pageBreakBefore w:val="0"/>
              <w:kinsoku/>
              <w:wordWrap/>
              <w:overflowPunct/>
              <w:topLinePunct w:val="0"/>
              <w:bidi w:val="0"/>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AI实践智能体设计</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教师进行多维AI实践任务设计。支持一键发布AI实践任务，AI精准智能评估，覆盖多元教学场景。通过构建虚拟场景、提交作品等方式，使学生可以完成AI实践任务。通过多模态数据采集与分析，实现对学生实践成果的自动化评估与智能反馈。</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自由设置至少2种AI实践模式，其中情景对话模式支持系统随机分配对话情景，模拟互动环境，让学生与AI进行对话，获得即时反馈，AI评估打分；提交作品模式支持学生将完成的作品以图片的格式上传到系统，AI根据预设的评估标准进行评估。支持教师设置评估角色，可以从角色、背景、目标、技能、限制等方面进行填写。可以点击“一键完善”由AI进行生成。支持设置评分细则，规定具体的分数和评分要求。支持教师设置达标标准，达到标准分数后，认为学生完成了此实践任务，并按任务完成个数统计综合成绩。支持学生多次进行AI实践练习。支持选择取平均分或最后一次分数作为最终成绩。</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AI实践思维阶梯系统，教师可创建、预览任务，支持按教学班发布实践任务，支持查看统计与学生答题详情；学生能多方式答题，错题有系统分析及新题练习，完成练习或经提示答对后有巩固测验，所有任务完成还会自动生成知识点总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3D</w:t>
            </w:r>
            <w:r>
              <w:rPr>
                <w:rFonts w:hint="eastAsia" w:ascii="宋体" w:hAnsi="宋体" w:eastAsia="宋体" w:cs="宋体"/>
                <w:color w:val="auto"/>
                <w:sz w:val="21"/>
                <w:szCs w:val="21"/>
                <w:highlight w:val="none"/>
              </w:rPr>
              <w:t>课程虚拟展厅建设</w:t>
            </w:r>
          </w:p>
          <w:p>
            <w:pPr>
              <w:pageBreakBefore w:val="0"/>
              <w:kinsoku/>
              <w:wordWrap/>
              <w:overflowPunct/>
              <w:topLinePunct w:val="0"/>
              <w:autoSpaceDE w:val="0"/>
              <w:autoSpaceDN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支持课程虚拟展厅一站式创建与动态管理：</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课程展厅快速生成：基于智慧课程门户，用户通过填写基础课程信息并选用预设三维空间模板，即可高效生成标准化虚拟展厅，并自动嵌入课程门户页面，实现课程资源的统一集成展示。课程展厅采用WebGL与三维建模技术构建的虚拟空间，支持网页端免插件访问（兼容PC/移动端）。</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2.提供多模式沉浸式交互，包括：</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1）自由探索：用户可操控虚拟角色行走，或通过点击地面自动行走；</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2）智能导览：内置场景导航系统，支持自动漫游播放与场景列表跳转浏览；</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3）多媒体内容融合展示：展厅内集成图文、视频、音频及3D模型，用户靠近展区时自动触发空间音频讲解；</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4）AI伴学服务：集成3D版AI助教，用户可随时唤醒进行实时交流问答，实现沉浸式学习体验。</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3.支持课程展厅灵活编辑与管理：提供专属课程虚拟展厅可视化编辑后台，支持授权用户对已生成展厅进行动态内容维护，包括：</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1）实时更新文案/图文/音视频等素材；</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2）模块化编排：通过可视化拖拽进行增删或调整内容模块（如课程大纲、师资团队、成果展示等）；</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3）平台内置几十种不同风格的展板样式及公共3D模型库，也支持自定义上传3D模型，供用户灵活选择使用。</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4）同时也可以支持配置语音讲解和设置区域触发，实现个性化展厅建设与持续内容维护。</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4.虚拟IP人物讲解：虚拟IP人物可在特定场景和区域，进行智能语音讲解导览；在特定场景区域，用户角色靠近后可触发自动播放。</w:t>
            </w:r>
            <w:r>
              <w:rPr>
                <w:rFonts w:hint="eastAsia" w:ascii="宋体" w:hAnsi="宋体" w:eastAsia="宋体" w:cs="宋体"/>
                <w:b/>
                <w:color w:val="auto"/>
                <w:sz w:val="21"/>
                <w:szCs w:val="21"/>
                <w:highlight w:val="none"/>
              </w:rPr>
              <w:t>（该条技术参数需现场进行产品功能演示）</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虚拟IP人物支持对接AI智能体，内置虚拟角色和角色动画，可实现与AI智能体进行文字、语音交流问答，智能体输出的答案支持显示来源，可截取显示与答案有关的原文内容，也可通过来源跳转回原文全文展开学习。</w:t>
            </w:r>
            <w:r>
              <w:rPr>
                <w:rFonts w:hint="eastAsia" w:ascii="宋体" w:hAnsi="宋体" w:eastAsia="宋体" w:cs="宋体"/>
                <w:b/>
                <w:color w:val="auto"/>
                <w:sz w:val="21"/>
                <w:szCs w:val="21"/>
                <w:highlight w:val="none"/>
              </w:rPr>
              <w:t>（该条技术参数需现场进行产品功能演示）</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（六）课程任务引擎搭建</w:t>
            </w:r>
          </w:p>
          <w:p>
            <w:pPr>
              <w:pStyle w:val="2"/>
              <w:pageBreakBefore w:val="0"/>
              <w:numPr>
                <w:ilvl w:val="3"/>
                <w:numId w:val="0"/>
              </w:numPr>
              <w:kinsoku/>
              <w:wordWrap/>
              <w:overflowPunct/>
              <w:topLinePunct w:val="0"/>
              <w:autoSpaceDE w:val="0"/>
              <w:autoSpaceDN w:val="0"/>
              <w:bidi w:val="0"/>
              <w:spacing w:before="0" w:after="0"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能力导向的</w:t>
            </w:r>
            <w:r>
              <w:rPr>
                <w:rFonts w:hint="eastAsia" w:ascii="宋体" w:hAnsi="宋体" w:eastAsia="宋体" w:cs="宋体"/>
                <w:color w:val="auto"/>
                <w:sz w:val="21"/>
                <w:szCs w:val="21"/>
                <w:highlight w:val="none"/>
                <w:lang w:val="en-US" w:eastAsia="zh-CN"/>
              </w:rPr>
              <w:t>3D</w:t>
            </w:r>
            <w:r>
              <w:rPr>
                <w:rFonts w:hint="eastAsia" w:ascii="宋体" w:hAnsi="宋体" w:eastAsia="宋体" w:cs="宋体"/>
                <w:color w:val="auto"/>
                <w:sz w:val="21"/>
                <w:szCs w:val="21"/>
                <w:highlight w:val="none"/>
              </w:rPr>
              <w:t>任务设计</w:t>
            </w:r>
          </w:p>
          <w:p>
            <w:pPr>
              <w:pageBreakBefore w:val="0"/>
              <w:kinsoku/>
              <w:wordWrap/>
              <w:overflowPunct/>
              <w:topLinePunct w:val="0"/>
              <w:autoSpaceDE w:val="0"/>
              <w:autoSpaceDN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p>
          <w:p>
            <w:pPr>
              <w:pStyle w:val="2"/>
              <w:pageBreakBefore w:val="0"/>
              <w:numPr>
                <w:ilvl w:val="3"/>
                <w:numId w:val="0"/>
              </w:numPr>
              <w:kinsoku/>
              <w:wordWrap/>
              <w:overflowPunct/>
              <w:topLinePunct w:val="0"/>
              <w:autoSpaceDE w:val="0"/>
              <w:autoSpaceDN w:val="0"/>
              <w:bidi w:val="0"/>
              <w:spacing w:before="0" w:after="0"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2.任务功能模块配置</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★(3)支持在任务的分组下添加任务点，任务点类型包括：视频，文档（笔记），课程，章节，知识点，线下课堂，线上课堂，主题讨论，AI实践，作业，测验，自测，问卷，审批，任务，自定义等至少15种类型。</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★(4)支持直接添加当前课下资源和当前登录用户的其他课程资源到任务引擎的任务下，同时支持点击添加章节，支持跳转到指定页面进行课程教学资源添加。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提供功能截图</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(5)支持在任务点上设置闯关条件，学生需要达到任务点设置的完成条件才能够学习下个任务点，不同类型任务点闯关条件不同。</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(6)支持在任务分组上设置组间闯关条件，学生需要达到组间闯关设置的完成条件后才能够学习下个分组，不同类型任务点闯关条件不同。</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(7)支持在任务设计上设置达标标准，学生完成达标标准后，整个任务学习完成，学生可以领取相应的任务达标证书。</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(8)针对视频、文档、线上课堂、线下课堂、主题讨论、问卷、审批、自定义类型任务点，增加“成绩”按钮，方便教师录入线下教学成绩；针对自定义类型任务点，增加“签到”按钮，方便老师发放签到给学生。</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任务中可插入PBL教学：支持开展分组教学活动，支持多种分组方式，包含固定分组、自选分组、组长建组、随机分组、面对面建组、不分组等分组方式；活动支持教师评价、组内评价、组间评价、自评等多种评价相结合，支任务引擎列表持分项评分指标设置；课程成绩权重支持分组任务明细分配，不同活动可设置不同考核权重。</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(10)支持针对单个任务点设置“是否选学”开关，开启后学生可自主决定是否学习，同时学习成绩不作任务闯关和任务达标的参考项。</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(11)支持针对任务点开启高阶闯关模式，使不同成绩学生后续学习的内容不一样，满足教师个性化教学的场景；</w:t>
            </w:r>
            <w:r>
              <w:rPr>
                <w:rFonts w:hint="eastAsia" w:ascii="宋体" w:hAnsi="宋体" w:eastAsia="宋体" w:cs="宋体"/>
                <w:b/>
                <w:color w:val="auto"/>
                <w:sz w:val="21"/>
                <w:szCs w:val="21"/>
                <w:highlight w:val="none"/>
              </w:rPr>
              <w:t>（该条技术参数需现场进行产品功能演示）</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(12)任务引擎支持选课功能，支持教师选择部分资源作为任务包，学生选择部分任务点进行选择性学习；</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(13)支持评价功能，教师可设置评分权重/指标，评分方式等信息，学员提交任务点后，以学生自评，互评，教师评多种方式进行评价。</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(15)任务运行达成数据统计：学情分析页面展示学生、任务点数据和概览统计情况，方便教师一键明确学生和任务点的完成情况。</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任务学情支持督学功能，有督学和批量督学按钮，支持针对不满足学习进度的学生、单个学生、多个学生进行发放督学通知，督促学生学习，判断条件如任务点完成率、作业成绩分数、问卷提交、自定义审批任务；</w:t>
            </w:r>
          </w:p>
          <w:p>
            <w:pPr>
              <w:pageBreakBefore w:val="0"/>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(17)提供移动端应用功能，教师可以通过移动端进行简单的任务管理工作；学生可以通过移动端进行任务学习、查看达标状态、查看证书的工作。</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val="en-US" w:eastAsia="zh-CN"/>
              </w:rPr>
              <w:t>智慧</w:t>
            </w: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val="en-US" w:eastAsia="zh-CN"/>
              </w:rPr>
              <w:t>中心</w:t>
            </w:r>
            <w:r>
              <w:rPr>
                <w:rFonts w:hint="eastAsia" w:ascii="宋体" w:hAnsi="宋体" w:eastAsia="宋体" w:cs="宋体"/>
                <w:color w:val="auto"/>
                <w:sz w:val="21"/>
                <w:szCs w:val="21"/>
                <w:highlight w:val="none"/>
              </w:rPr>
              <w:t>门户建设</w:t>
            </w:r>
          </w:p>
          <w:p>
            <w:pPr>
              <w:pageBreakBefore w:val="0"/>
              <w:kinsoku/>
              <w:wordWrap/>
              <w:overflowPunct/>
              <w:topLinePunct w:val="0"/>
              <w:autoSpaceDE w:val="0"/>
              <w:autoSpaceDN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1.专有课程域名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分别完成10门课程的智慧课程门户搭建，并搭建智慧课程中心门户</w:t>
            </w:r>
            <w:r>
              <w:rPr>
                <w:rFonts w:hint="eastAsia" w:ascii="宋体" w:hAnsi="宋体" w:eastAsia="宋体" w:cs="宋体"/>
                <w:b/>
                <w:bCs/>
                <w:color w:val="auto"/>
                <w:sz w:val="21"/>
                <w:szCs w:val="21"/>
                <w:highlight w:val="none"/>
              </w:rPr>
              <w:t>。</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2.支持对课程门户进行二次编辑。</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3.支持呈现课程基本信息，包含课程名称、封面、宣传片、主讲教师、教师团队、学时学分、课程说明等。支持编辑课程简介，展示课程所属院校、专业、教师团队详情等信息。</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4.支持展示课程虚拟展厅，步入式查看内容。</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5.展示课程知识图谱、问题图谱、目标图谱、课程思政图谱等，支持自定义添加展示的数量。</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6.支持教学运行数据呈现。对课程建设、运行数据进行详情分析，包含教师团队、学生人数、知识点资源数、知识点属性、知识点学情统计等。</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7.支持教学设计可视化呈现，能在课程门户看到课程项目式教学或任务式教学等的设计流程。</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vertAlign w:val="baseline"/>
                <w:lang w:val="en-US" w:eastAsia="zh-CN"/>
              </w:rPr>
              <w:t>在线课程视频资源建设</w:t>
            </w:r>
          </w:p>
          <w:p>
            <w:pPr>
              <w:pStyle w:val="15"/>
              <w:pageBreakBefore w:val="0"/>
              <w:kinsoku/>
              <w:wordWrap/>
              <w:overflowPunct/>
              <w:topLinePunct w:val="0"/>
              <w:bidi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微课视频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建设微课视频数量不少于400个，每个视频时长5-10分钟，总时长2000--4000分钟。</w:t>
            </w:r>
          </w:p>
          <w:p>
            <w:pPr>
              <w:pStyle w:val="15"/>
              <w:pageBreakBefore w:val="0"/>
              <w:kinsoku/>
              <w:wordWrap/>
              <w:overflowPunct/>
              <w:topLinePunct w:val="0"/>
              <w:bidi w:val="0"/>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二维动画制作：每个动画时长30--60秒，课程总时长不超过15分钟（具体动画时长由学校确定）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（3）、技术要求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1.知识点设计:</w:t>
            </w:r>
            <w:r>
              <w:rPr>
                <w:rFonts w:hint="eastAsia" w:ascii="宋体" w:hAnsi="宋体" w:eastAsia="宋体" w:cs="宋体"/>
                <w:b w:val="0"/>
                <w:bCs w:val="0"/>
                <w:color w:val="auto"/>
                <w:sz w:val="21"/>
                <w:szCs w:val="21"/>
                <w:highlight w:val="none"/>
                <w:lang w:val="en-US" w:eastAsia="zh-CN"/>
              </w:rPr>
              <w:t>根据课程的内容，知识点应涵盖整门课程章节，可以以知识讲解、练习、实训操作、真实案例模拟训练等模块进行呈现。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2.拍摄模式要求：</w:t>
            </w:r>
            <w:r>
              <w:rPr>
                <w:rFonts w:hint="eastAsia" w:ascii="宋体" w:hAnsi="宋体" w:eastAsia="宋体" w:cs="宋体"/>
                <w:b w:val="0"/>
                <w:bCs w:val="0"/>
                <w:color w:val="auto"/>
                <w:sz w:val="21"/>
                <w:szCs w:val="21"/>
                <w:highlight w:val="none"/>
                <w:lang w:val="en-US" w:eastAsia="zh-CN"/>
              </w:rPr>
              <w:t>根据课程性质，课程拍摄团队与教师一起确定课程最合理拍摄方式，提供不少于9种的课件拍摄制作类型可供老师选择，如访谈交流类、特效包装类、虚拟抠像类、实景拍摄类、场景实操类、实验实操类、动画类、动态课件类、游戏操作类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3.课程拍摄场地：</w:t>
            </w:r>
            <w:r>
              <w:rPr>
                <w:rFonts w:hint="eastAsia" w:ascii="宋体" w:hAnsi="宋体" w:eastAsia="宋体" w:cs="宋体"/>
                <w:b w:val="0"/>
                <w:bCs w:val="0"/>
                <w:color w:val="auto"/>
                <w:sz w:val="21"/>
                <w:szCs w:val="21"/>
                <w:highlight w:val="none"/>
                <w:lang w:val="en-US" w:eastAsia="zh-CN"/>
              </w:rPr>
              <w:t>视频录制场地为教室、演播室、实训室及外景实景等地点。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4.视频制作参数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4.1视频信号源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稳定性:全片图像同步性能稳定，不存在失帧现象，CTL 同步控制信号必须连续，图像无抖动跳跃，色彩无突变，编辑点处图像稳定。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信噪比:图像信噪比不低于55dB，无明显杂波。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色调:白平衡正确，无明显偏色，多机拍摄的镜头衔接处无明显色差。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视频电平:视频全讯号幅度为1Vp-p，最大不超过11Vp-p。其中，消隐电平为OV时，白电平幅度0.7Vp-p同步信号03Vp-p，色同步信号幅度03Vp-p(以消隐线上下对称)，全片一致。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4.2颜色数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视频类素材每帧图像颜色数不低于256色或灰度级不低于128 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4.3视频处理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格式编码：视频压缩采用H.264格式编码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视频帧率:25帧/秒、逐行扫描。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视频比例:16:9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视频分辨率：分辨率1920*1080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视频格式:mp4格式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视频码率:码率为1024----2000Kbps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音频格式:音频压缩采用AAC(MPEG4 Part3)格式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音频采样率:采样率48KHz，量化位数至少16位0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音频类型:音乐类、音效声、语音等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电平指标:2db-8db声音应无明显失真、放音过冲、过弱。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4.4音频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声道:必须是双声道，输出通道为立体声，做混音处理。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音频码率:音频码流率128Kbps(恒定)音频信噪比:不低于48db</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4.5声音效果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声音和画面同步声音清晰，无杂音，无干扰，无破音和电流音伴音清晰、饱满、圆润，无失真、无音量忽大忽小现解说声与现场声无明显比例失调，解说声与背景音乐无明显比例失调。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4.6剪辑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剪辑衔接自然，景别丰富、组接流畅、色彩和曝光统一，无跳帧，无跳跃感。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4.7音频处理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必须使用专业级话筒及音频处理设备，保证录音质量。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平指标:-2db--8db声音应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4.8音频压缩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采用AAC(MPEG4 Part3)格式。采样率48KHz。音频码流率 128Kbps(恒定)。双声道。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4.9视音频课程交付文件要求:</w:t>
            </w:r>
          </w:p>
          <w:p>
            <w:pPr>
              <w:pStyle w:val="15"/>
              <w:pageBreakBefore w:val="0"/>
              <w:kinsoku/>
              <w:wordWrap/>
              <w:overflowPunct/>
              <w:topLinePunct w:val="0"/>
              <w:bidi w:val="0"/>
              <w:spacing w:line="360" w:lineRule="auto"/>
              <w:ind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所有完成视频课程文件提供刻录在DVD+R光盘，每张DVD+R光盘上注明光盘中的内容清单(标记学校名称、课程名称、主讲教师、时长等);制作完成的课程需上线学校指定的校内教学平台和校外开放平台运行数据。</w:t>
            </w:r>
          </w:p>
          <w:p>
            <w:pPr>
              <w:pStyle w:val="5"/>
              <w:pageBreakBefore w:val="0"/>
              <w:numPr>
                <w:ilvl w:val="2"/>
                <w:numId w:val="0"/>
              </w:numPr>
              <w:kinsoku/>
              <w:wordWrap/>
              <w:overflowPunct/>
              <w:topLinePunct w:val="0"/>
              <w:autoSpaceDE w:val="0"/>
              <w:autoSpaceDN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（九）智慧课程运行</w:t>
            </w:r>
            <w:r>
              <w:rPr>
                <w:rFonts w:hint="eastAsia" w:ascii="宋体" w:hAnsi="宋体" w:eastAsia="宋体" w:cs="宋体"/>
                <w:color w:val="auto"/>
                <w:sz w:val="21"/>
                <w:szCs w:val="21"/>
                <w:highlight w:val="none"/>
                <w:lang w:val="en-US" w:eastAsia="zh-CN"/>
              </w:rPr>
              <w:t>服务</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lang w:val="en-US" w:eastAsia="zh-CN"/>
              </w:rPr>
            </w:pPr>
            <w:bookmarkStart w:id="120" w:name="_Toc4945"/>
            <w:r>
              <w:rPr>
                <w:rFonts w:hint="eastAsia" w:ascii="宋体" w:hAnsi="宋体" w:eastAsia="宋体" w:cs="宋体"/>
                <w:bCs/>
                <w:color w:val="auto"/>
                <w:sz w:val="21"/>
                <w:szCs w:val="21"/>
                <w:highlight w:val="none"/>
              </w:rPr>
              <w:t>1.课程运行平台是应用计算机技术、多媒体技术、网络通信技术、数字技术、虚拟现实技术等现代信息技术手段构建的一种新型教学模式，是融合现代教育理念、教学内容和现代信息技术的具有多种功能的开放式的教与学交互系统</w:t>
            </w:r>
            <w:bookmarkEnd w:id="120"/>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提供</w:t>
            </w:r>
            <w:r>
              <w:rPr>
                <w:rFonts w:hint="eastAsia" w:ascii="宋体" w:hAnsi="宋体" w:eastAsia="宋体" w:cs="宋体"/>
                <w:bCs/>
                <w:color w:val="auto"/>
                <w:sz w:val="21"/>
                <w:szCs w:val="21"/>
                <w:highlight w:val="none"/>
              </w:rPr>
              <w:t>学期运行跟踪</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运行数据实时统计、学情监督管理、课程运维服务</w:t>
            </w:r>
            <w:r>
              <w:rPr>
                <w:rFonts w:hint="eastAsia" w:ascii="宋体" w:hAnsi="宋体" w:eastAsia="宋体" w:cs="宋体"/>
                <w:bCs/>
                <w:color w:val="auto"/>
                <w:sz w:val="21"/>
                <w:szCs w:val="21"/>
                <w:highlight w:val="none"/>
                <w:lang w:val="en-US" w:eastAsia="zh-CN"/>
              </w:rPr>
              <w:t>等。</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2.成交供应商需拟派课程顾问进行线上教学技术支持，支持进校为采购人进行使用培训、线上教学培训、多场名校名师讲座、会议交流、操作手册等。</w:t>
            </w:r>
          </w:p>
          <w:p>
            <w:pPr>
              <w:pStyle w:val="22"/>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3.支持给采购人提供平台的管理权限，包括后台功能及数据管理、前端功能管理、课程门户管理等。</w:t>
            </w:r>
          </w:p>
          <w:p>
            <w:pPr>
              <w:pStyle w:val="22"/>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4.提供智慧课程内容安全检测：支持对平台用户发布的文本、图片、文档、视频等内容的分析和监控，可按时间筛选查看、编辑、删除内容以及自定义修改监控内容；具备文本智能纠错，可对文本的拼写、错别字、组合搭配等进行正确性检查，实现内容安全预警与智能纠错。</w:t>
            </w:r>
            <w:r>
              <w:rPr>
                <w:rFonts w:hint="eastAsia" w:ascii="宋体" w:hAnsi="宋体" w:eastAsia="宋体" w:cs="宋体"/>
                <w:b/>
                <w:bCs/>
                <w:color w:val="auto"/>
                <w:sz w:val="21"/>
                <w:szCs w:val="21"/>
                <w:highlight w:val="none"/>
              </w:rPr>
              <w:t>（该条技术参数需现场进行产品功能演示）</w:t>
            </w:r>
          </w:p>
          <w:p>
            <w:pPr>
              <w:pStyle w:val="59"/>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5.课程示范教学推广：智慧课程设计大赛、优秀案例展播、教师教学模式创新直播等方式协助推广，提供各类会议、公众号、官网、直播讲座、纸质物料等多种渠道宣传推广。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577" w:type="dxa"/>
            <w:gridSpan w:val="4"/>
            <w:vAlign w:val="center"/>
          </w:tcPr>
          <w:p>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（一）售后</w:t>
            </w:r>
            <w:r>
              <w:rPr>
                <w:rFonts w:hint="eastAsia" w:ascii="宋体" w:hAnsi="宋体" w:eastAsia="宋体" w:cs="宋体"/>
                <w:b/>
                <w:color w:val="auto"/>
                <w:spacing w:val="-2"/>
                <w:sz w:val="21"/>
                <w:szCs w:val="21"/>
                <w:highlight w:val="none"/>
              </w:rPr>
              <w:t>服务</w:t>
            </w:r>
          </w:p>
        </w:tc>
        <w:tc>
          <w:tcPr>
            <w:tcW w:w="7921" w:type="dxa"/>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（1）质保期：自交付验收通过之日起</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在质保期内，课程运行出现故障，接到采购人处理问题通知后，技术工程师必须2小时内采取相应响应措施；无法在4小时内解决的，应在6小时内派出专业人员进行技术支持，8小时内解决一般性故障并恢复课程运行，终身提供免费技术支持。</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（3）成交供应商能提供7×24响应服务，通过远程、上门服务、电话、E-mail等方式为用户提供终身完善的售后技术咨询服务。</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（4）在质保期内，如果成交供应商产品技术升级，成交供应商应及时通知采购人，如采购人有相应要求，成交供应商应对采购人进行升级服务。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21" w:name="OLE_LINK7"/>
            <w:bookmarkStart w:id="122" w:name="OLE_LINK8"/>
            <w:bookmarkStart w:id="123" w:name="OLE_LINK9"/>
            <w:r>
              <w:rPr>
                <w:rFonts w:hint="eastAsia" w:ascii="宋体" w:hAnsi="宋体" w:eastAsia="宋体" w:cs="宋体"/>
                <w:b/>
                <w:color w:val="auto"/>
                <w:sz w:val="21"/>
                <w:szCs w:val="21"/>
                <w:highlight w:val="none"/>
              </w:rPr>
              <w:t>交付时间和地点</w:t>
            </w:r>
            <w:bookmarkEnd w:id="121"/>
            <w:bookmarkEnd w:id="122"/>
            <w:bookmarkEnd w:id="123"/>
          </w:p>
        </w:tc>
        <w:tc>
          <w:tcPr>
            <w:tcW w:w="7921" w:type="dxa"/>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1.交付时间：自签订合同之日起180个自然日内全部安装调试完毕，经验收合格并交付使用。</w:t>
            </w:r>
          </w:p>
          <w:p>
            <w:pPr>
              <w:spacing w:line="40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2.交付地点：</w:t>
            </w:r>
            <w:r>
              <w:rPr>
                <w:rFonts w:hint="eastAsia" w:ascii="宋体" w:hAnsi="宋体" w:eastAsia="宋体" w:cs="宋体"/>
                <w:b w:val="0"/>
                <w:bCs w:val="0"/>
                <w:color w:val="auto"/>
                <w:sz w:val="21"/>
                <w:szCs w:val="21"/>
                <w:highlight w:val="none"/>
                <w:lang w:eastAsia="zh-CN"/>
              </w:rPr>
              <w:t>北海职业学院</w:t>
            </w:r>
            <w:r>
              <w:rPr>
                <w:rFonts w:hint="eastAsia" w:ascii="宋体" w:hAnsi="宋体" w:cs="宋体"/>
                <w:b w:val="0"/>
                <w:bCs w:val="0"/>
                <w:color w:val="auto"/>
                <w:sz w:val="21"/>
                <w:szCs w:val="21"/>
                <w:highlight w:val="none"/>
                <w:lang w:eastAsia="zh-CN"/>
              </w:rPr>
              <w:t>内</w:t>
            </w:r>
            <w:r>
              <w:rPr>
                <w:rFonts w:hint="eastAsia" w:ascii="宋体" w:hAnsi="宋体" w:eastAsia="宋体" w:cs="宋体"/>
                <w:b w:val="0"/>
                <w:bCs w:val="0"/>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bookmarkStart w:id="124" w:name="OLE_LINK10"/>
            <w:r>
              <w:rPr>
                <w:rFonts w:hint="eastAsia" w:ascii="宋体" w:hAnsi="宋体" w:eastAsia="宋体" w:cs="宋体"/>
                <w:b/>
                <w:color w:val="auto"/>
                <w:sz w:val="21"/>
                <w:szCs w:val="21"/>
                <w:highlight w:val="none"/>
              </w:rPr>
              <w:t>合同签订时间</w:t>
            </w:r>
            <w:bookmarkEnd w:id="124"/>
          </w:p>
        </w:tc>
        <w:tc>
          <w:tcPr>
            <w:tcW w:w="7921" w:type="dxa"/>
            <w:vAlign w:val="center"/>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自成交通知书发出之日起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）付款方式</w:t>
            </w:r>
          </w:p>
        </w:tc>
        <w:tc>
          <w:tcPr>
            <w:tcW w:w="7921" w:type="dxa"/>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自签订合同之日起七个工作日内，采购人支付合同款总额</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0%作为预付款，交货验收合格后十个工作日内，采购人支付剩余</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0%的合同款。采购人在付款之前，供应商应开具相应金额正式发票给采购人。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）保险</w:t>
            </w:r>
          </w:p>
        </w:tc>
        <w:tc>
          <w:tcPr>
            <w:tcW w:w="7921" w:type="dxa"/>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本项目采购标的涉及的相关材料、设备、人员、运输等购买保险的，相关费用由供应商自行承担。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656" w:type="dxa"/>
            <w:gridSpan w:val="3"/>
            <w:vAlign w:val="center"/>
          </w:tcPr>
          <w:p>
            <w:pPr>
              <w:spacing w:line="3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w:t>
            </w:r>
            <w:bookmarkStart w:id="125" w:name="OLE_LINK17"/>
            <w:r>
              <w:rPr>
                <w:rFonts w:hint="eastAsia" w:ascii="宋体" w:hAnsi="宋体" w:eastAsia="宋体" w:cs="宋体"/>
                <w:b/>
                <w:color w:val="auto"/>
                <w:sz w:val="21"/>
                <w:szCs w:val="21"/>
                <w:highlight w:val="none"/>
              </w:rPr>
              <w:t>验收</w:t>
            </w:r>
            <w:bookmarkEnd w:id="125"/>
            <w:r>
              <w:rPr>
                <w:rFonts w:hint="eastAsia" w:ascii="宋体" w:hAnsi="宋体" w:eastAsia="宋体" w:cs="宋体"/>
                <w:b/>
                <w:color w:val="auto"/>
                <w:sz w:val="21"/>
                <w:szCs w:val="21"/>
                <w:highlight w:val="none"/>
              </w:rPr>
              <w:t>标准</w:t>
            </w:r>
          </w:p>
        </w:tc>
        <w:tc>
          <w:tcPr>
            <w:tcW w:w="7921" w:type="dxa"/>
          </w:tcPr>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执行国家相关标准、行业标准、地方标准或者其他标准、规范。如具体采购需求与标准、规范不一致的，高于标准、规范的按具体采购需求执行；低于标准、规范的按标准、规范执行。供应商所提供的系统必须是全新、完好、无破损、未经使用的，在正常安装、使用和保养条件下，其使用寿命期内各项指标均达到质量要求。</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产品到货后，采购人现场根据竞争性磋商文件要求及响应文件承诺逐条对应进行核验（含测试或试运行演示），核验不合格的，采购人有权不予验收，同时报相关监督管理部门，由此造成采购人经济损失的由成交供应商负责承担全部赔偿责任。</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3.因产品质量问题发生争议的，应邀请国家认可的质量检测机构对产品质量进行鉴定。</w:t>
            </w:r>
          </w:p>
          <w:p>
            <w:pPr>
              <w:spacing w:line="4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4.相关检验检测和验收费用全部由成交供应商承担。</w:t>
            </w:r>
          </w:p>
        </w:tc>
      </w:tr>
    </w:tbl>
    <w:p>
      <w:pPr>
        <w:widowControl/>
        <w:adjustRightInd/>
        <w:jc w:val="left"/>
        <w:rPr>
          <w:rFonts w:hint="eastAsia" w:cs="仿宋_GB2312" w:asciiTheme="minorEastAsia" w:hAnsiTheme="minorEastAsia" w:eastAsiaTheme="minorEastAsia"/>
          <w:b/>
          <w:color w:val="auto"/>
          <w:sz w:val="24"/>
          <w:szCs w:val="24"/>
          <w:highlight w:val="none"/>
        </w:rPr>
      </w:pPr>
      <w:r>
        <w:rPr>
          <w:rFonts w:cs="仿宋_GB2312" w:asciiTheme="minorEastAsia" w:hAnsiTheme="minorEastAsia" w:eastAsiaTheme="minorEastAsia"/>
          <w:b/>
          <w:color w:val="auto"/>
          <w:sz w:val="24"/>
          <w:szCs w:val="24"/>
          <w:highlight w:val="none"/>
        </w:rPr>
        <w:br w:type="page"/>
      </w:r>
    </w:p>
    <w:p>
      <w:pPr>
        <w:adjustRightInd/>
        <w:spacing w:line="360" w:lineRule="auto"/>
        <w:jc w:val="center"/>
        <w:outlineLvl w:val="0"/>
        <w:rPr>
          <w:rFonts w:hint="eastAsia" w:ascii="宋体" w:hAnsi="宋体" w:cs="宋体"/>
          <w:b/>
          <w:color w:val="auto"/>
          <w:sz w:val="32"/>
          <w:szCs w:val="20"/>
          <w:highlight w:val="none"/>
        </w:rPr>
      </w:pPr>
      <w:bookmarkStart w:id="126" w:name="_Toc5537"/>
      <w:bookmarkStart w:id="127" w:name="_Toc30958"/>
      <w:r>
        <w:rPr>
          <w:rFonts w:hint="eastAsia" w:cs="仿宋_GB2312" w:asciiTheme="minorEastAsia" w:hAnsiTheme="minorEastAsia" w:eastAsiaTheme="minorEastAsia"/>
          <w:b/>
          <w:color w:val="auto"/>
          <w:sz w:val="36"/>
          <w:szCs w:val="36"/>
          <w:highlight w:val="none"/>
        </w:rPr>
        <w:t xml:space="preserve">第五部分  </w:t>
      </w:r>
      <w:bookmarkEnd w:id="29"/>
      <w:bookmarkEnd w:id="30"/>
      <w:bookmarkStart w:id="128" w:name="第四部分"/>
      <w:r>
        <w:rPr>
          <w:rFonts w:hint="eastAsia" w:cs="仿宋_GB2312" w:asciiTheme="minorEastAsia" w:hAnsiTheme="minorEastAsia" w:eastAsiaTheme="minorEastAsia"/>
          <w:b/>
          <w:color w:val="auto"/>
          <w:sz w:val="36"/>
          <w:szCs w:val="36"/>
          <w:highlight w:val="none"/>
        </w:rPr>
        <w:t>评审方法及评审标准</w:t>
      </w:r>
      <w:bookmarkEnd w:id="126"/>
      <w:bookmarkEnd w:id="127"/>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一、评审方法</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（一）本项目评审方法采用综合评分法。</w:t>
      </w:r>
    </w:p>
    <w:p>
      <w:pPr>
        <w:pStyle w:val="56"/>
        <w:ind w:firstLine="480" w:firstLineChars="200"/>
        <w:jc w:val="both"/>
        <w:rPr>
          <w:rFonts w:hint="eastAsia" w:asciiTheme="minorEastAsia" w:hAnsiTheme="minorEastAsia" w:eastAsiaTheme="minorEastAsia" w:cstheme="minorEastAsia"/>
          <w:b w:val="0"/>
          <w:color w:val="auto"/>
          <w:kern w:val="2"/>
          <w:szCs w:val="24"/>
          <w:highlight w:val="none"/>
          <w:lang w:val="en-US"/>
        </w:rPr>
      </w:pPr>
      <w:r>
        <w:rPr>
          <w:rFonts w:hint="eastAsia" w:asciiTheme="minorEastAsia" w:hAnsiTheme="minorEastAsia" w:eastAsiaTheme="minorEastAsia" w:cstheme="minorEastAsia"/>
          <w:b w:val="0"/>
          <w:color w:val="auto"/>
          <w:kern w:val="2"/>
          <w:szCs w:val="24"/>
          <w:highlight w:val="none"/>
          <w:lang w:val="en-US"/>
        </w:rPr>
        <w:t>（二）计分办法（按四舍五入取至百分位）：</w:t>
      </w:r>
    </w:p>
    <w:tbl>
      <w:tblPr>
        <w:tblStyle w:val="61"/>
        <w:tblW w:w="48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258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446"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评分分类</w:t>
            </w:r>
          </w:p>
        </w:tc>
        <w:tc>
          <w:tcPr>
            <w:tcW w:w="3289" w:type="pct"/>
            <w:vAlign w:val="center"/>
          </w:tcPr>
          <w:p>
            <w:pPr>
              <w:snapToGrid w:val="0"/>
              <w:spacing w:line="32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446"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宋体" w:hAnsi="宋体" w:cs="Tahoma"/>
                <w:color w:val="auto"/>
                <w:kern w:val="0"/>
                <w:szCs w:val="21"/>
                <w:highlight w:val="none"/>
              </w:rPr>
              <w:t>价格分</w:t>
            </w:r>
            <w:r>
              <w:rPr>
                <w:rFonts w:hint="eastAsia" w:ascii="宋体" w:hAnsi="宋体"/>
                <w:color w:val="auto"/>
                <w:szCs w:val="21"/>
                <w:highlight w:val="none"/>
              </w:rPr>
              <w:t>（满分</w:t>
            </w:r>
            <w:r>
              <w:rPr>
                <w:rFonts w:hint="eastAsia" w:ascii="宋体" w:hAnsi="宋体"/>
                <w:color w:val="auto"/>
                <w:szCs w:val="21"/>
                <w:highlight w:val="none"/>
                <w:lang w:val="en-US" w:eastAsia="zh-CN"/>
              </w:rPr>
              <w:t>3</w:t>
            </w:r>
            <w:r>
              <w:rPr>
                <w:rFonts w:ascii="宋体" w:hAnsi="宋体"/>
                <w:color w:val="auto"/>
                <w:szCs w:val="21"/>
                <w:highlight w:val="none"/>
              </w:rPr>
              <w:t>0</w:t>
            </w:r>
            <w:r>
              <w:rPr>
                <w:rFonts w:hint="eastAsia" w:ascii="宋体" w:hAnsi="宋体"/>
                <w:color w:val="auto"/>
                <w:szCs w:val="21"/>
                <w:highlight w:val="none"/>
              </w:rPr>
              <w:t>分）</w:t>
            </w:r>
          </w:p>
        </w:tc>
        <w:tc>
          <w:tcPr>
            <w:tcW w:w="3289" w:type="pct"/>
            <w:vAlign w:val="center"/>
          </w:tcPr>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eastAsia="宋体"/>
                <w:color w:val="auto"/>
                <w:highlight w:val="none"/>
                <w:lang w:eastAsia="zh-CN"/>
              </w:rPr>
            </w:pPr>
            <w:r>
              <w:rPr>
                <w:rFonts w:hint="eastAsia"/>
                <w:color w:val="auto"/>
                <w:highlight w:val="none"/>
              </w:rPr>
              <w:t>有效磋商报价的最低价作为评标基准价，其最低报价为满分；按［磋商</w:t>
            </w:r>
            <w:r>
              <w:rPr>
                <w:rFonts w:hint="eastAsia" w:ascii="Times New Roman" w:hAnsi="Times New Roman" w:eastAsia="宋体" w:cs="Times New Roman"/>
                <w:color w:val="auto"/>
                <w:highlight w:val="none"/>
              </w:rPr>
              <w:t>报价得分=（基准价/最后报价）×</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0分</w:t>
            </w:r>
            <w:r>
              <w:rPr>
                <w:rFonts w:hint="eastAsia"/>
                <w:color w:val="auto"/>
                <w:highlight w:val="none"/>
              </w:rPr>
              <w:t>］的计算公式计算。</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color w:val="auto"/>
                <w:highlight w:val="none"/>
              </w:rPr>
            </w:pPr>
            <w:r>
              <w:rPr>
                <w:rFonts w:hint="eastAsia"/>
                <w:color w:val="auto"/>
                <w:highlight w:val="none"/>
              </w:rPr>
              <w:t>评审过程中，不得去掉报价中的最高报价和最低报价。</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color w:val="auto"/>
                <w:highlight w:val="none"/>
              </w:rPr>
            </w:pPr>
            <w:r>
              <w:rPr>
                <w:rFonts w:hint="eastAsia"/>
                <w:color w:val="auto"/>
                <w:highlight w:val="none"/>
              </w:rPr>
              <w:t>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监狱企业属于小型、微型企业的，不重复享受政策。</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color w:val="auto"/>
                <w:highlight w:val="none"/>
              </w:rPr>
            </w:pPr>
            <w:r>
              <w:rPr>
                <w:rFonts w:hint="eastAsia"/>
                <w:color w:val="auto"/>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585" w:type="dxa"/>
            <w:vAlign w:val="center"/>
          </w:tcPr>
          <w:p>
            <w:pPr>
              <w:adjustRightInd w:val="0"/>
              <w:spacing w:line="360" w:lineRule="auto"/>
              <w:jc w:val="center"/>
              <w:textAlignment w:val="baseline"/>
              <w:rPr>
                <w:rFonts w:hint="eastAsia" w:ascii="宋体" w:hAnsi="宋体" w:eastAsia="宋体" w:cs="Times New Roman"/>
                <w:bCs/>
                <w:color w:val="auto"/>
                <w:kern w:val="0"/>
                <w:sz w:val="21"/>
                <w:szCs w:val="21"/>
                <w:highlight w:val="none"/>
                <w:lang w:val="en-US" w:eastAsia="zh-CN" w:bidi="ar-SA"/>
              </w:rPr>
            </w:pPr>
            <w:r>
              <w:rPr>
                <w:rFonts w:hint="eastAsia" w:ascii="宋体" w:hAnsi="宋体"/>
                <w:bCs/>
                <w:kern w:val="0"/>
                <w:szCs w:val="21"/>
                <w:highlight w:val="none"/>
              </w:rPr>
              <w:t>技术分</w:t>
            </w:r>
            <w:r>
              <w:rPr>
                <w:rFonts w:hint="eastAsia" w:ascii="宋体" w:hAnsi="宋体"/>
                <w:szCs w:val="21"/>
                <w:highlight w:val="none"/>
              </w:rPr>
              <w:t>（满分</w:t>
            </w:r>
            <w:r>
              <w:rPr>
                <w:rFonts w:hint="eastAsia" w:ascii="宋体" w:hAnsi="宋体"/>
                <w:szCs w:val="21"/>
                <w:highlight w:val="none"/>
                <w:lang w:val="en-US" w:eastAsia="zh-CN"/>
              </w:rPr>
              <w:t>15</w:t>
            </w:r>
            <w:r>
              <w:rPr>
                <w:rFonts w:hint="eastAsia" w:ascii="宋体" w:hAnsi="宋体"/>
                <w:szCs w:val="21"/>
                <w:highlight w:val="none"/>
              </w:rPr>
              <w:t>分）</w:t>
            </w:r>
          </w:p>
        </w:tc>
        <w:tc>
          <w:tcPr>
            <w:tcW w:w="5880" w:type="dxa"/>
            <w:vAlign w:val="center"/>
          </w:tcPr>
          <w:p>
            <w:pPr>
              <w:widowControl/>
              <w:wordWrap w:val="0"/>
              <w:spacing w:line="360" w:lineRule="auto"/>
              <w:ind w:firstLine="420" w:firstLineChars="200"/>
              <w:jc w:val="left"/>
              <w:rPr>
                <w:rFonts w:ascii="宋体" w:hAnsi="宋体" w:cs="Tahoma"/>
                <w:kern w:val="0"/>
                <w:szCs w:val="21"/>
                <w:highlight w:val="none"/>
              </w:rPr>
            </w:pPr>
            <w:r>
              <w:rPr>
                <w:rFonts w:hint="eastAsia" w:ascii="宋体" w:hAnsi="宋体" w:cs="Tahoma"/>
                <w:kern w:val="0"/>
                <w:szCs w:val="21"/>
                <w:highlight w:val="none"/>
              </w:rPr>
              <w:t>评委根据竞争性磋商文件要求，对满足竞争性磋商文件全部实质性要求进入详评的各供应商响应文件对“技术（服务）要求”的响应情况进行独立评审，并按如下计分方式确定得分：</w:t>
            </w:r>
          </w:p>
          <w:p>
            <w:pPr>
              <w:widowControl/>
              <w:wordWrap w:val="0"/>
              <w:spacing w:line="360" w:lineRule="auto"/>
              <w:ind w:firstLine="420" w:firstLineChars="200"/>
              <w:jc w:val="left"/>
              <w:rPr>
                <w:rFonts w:ascii="宋体" w:hAnsi="宋体" w:cs="Tahoma"/>
                <w:kern w:val="0"/>
                <w:szCs w:val="21"/>
                <w:highlight w:val="none"/>
              </w:rPr>
            </w:pPr>
            <w:r>
              <w:rPr>
                <w:rFonts w:hint="eastAsia" w:ascii="宋体" w:hAnsi="宋体" w:cs="Tahoma"/>
                <w:kern w:val="0"/>
                <w:szCs w:val="21"/>
                <w:highlight w:val="none"/>
              </w:rPr>
              <w:t>经评委独立评审，供应商响应文件满足竞争性磋商文件“技术（服务）要求”中标注“</w:t>
            </w:r>
            <w:r>
              <w:rPr>
                <w:kern w:val="0"/>
                <w:szCs w:val="21"/>
                <w:highlight w:val="none"/>
              </w:rPr>
              <w:t>★</w:t>
            </w:r>
            <w:r>
              <w:rPr>
                <w:rFonts w:hint="eastAsia" w:ascii="宋体" w:hAnsi="宋体" w:cs="Tahoma"/>
                <w:kern w:val="0"/>
                <w:szCs w:val="21"/>
                <w:highlight w:val="none"/>
              </w:rPr>
              <w:t>”号参数要求的的，每提供1项得</w:t>
            </w:r>
            <w:r>
              <w:rPr>
                <w:rFonts w:hint="eastAsia" w:ascii="宋体" w:hAnsi="宋体" w:cs="Tahoma"/>
                <w:kern w:val="0"/>
                <w:szCs w:val="21"/>
                <w:highlight w:val="none"/>
                <w:lang w:val="en-US" w:eastAsia="zh-CN"/>
              </w:rPr>
              <w:t>0.5</w:t>
            </w:r>
            <w:r>
              <w:rPr>
                <w:rFonts w:hint="eastAsia" w:ascii="宋体" w:hAnsi="宋体" w:cs="Tahoma"/>
                <w:kern w:val="0"/>
                <w:szCs w:val="21"/>
                <w:highlight w:val="none"/>
              </w:rPr>
              <w:t>分，满分</w:t>
            </w:r>
            <w:r>
              <w:rPr>
                <w:rFonts w:hint="eastAsia" w:ascii="宋体" w:hAnsi="宋体" w:cs="Tahoma"/>
                <w:kern w:val="0"/>
                <w:szCs w:val="21"/>
                <w:highlight w:val="none"/>
                <w:lang w:val="en-US" w:eastAsia="zh-CN"/>
              </w:rPr>
              <w:t>15</w:t>
            </w:r>
            <w:r>
              <w:rPr>
                <w:rFonts w:hint="eastAsia" w:ascii="宋体" w:hAnsi="宋体" w:cs="Tahoma"/>
                <w:kern w:val="0"/>
                <w:szCs w:val="21"/>
                <w:highlight w:val="none"/>
              </w:rPr>
              <w:t>分。</w:t>
            </w:r>
          </w:p>
          <w:p>
            <w:pPr>
              <w:wordWrap w:val="0"/>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宋体" w:hAnsi="宋体" w:cs="宋体"/>
                <w:b/>
                <w:bCs/>
                <w:szCs w:val="21"/>
                <w:highlight w:val="none"/>
              </w:rPr>
              <w:t>注：标注</w:t>
            </w:r>
            <w:r>
              <w:rPr>
                <w:rFonts w:hint="eastAsia" w:ascii="宋体" w:hAnsi="宋体" w:cs="Segoe UI Symbol"/>
                <w:kern w:val="0"/>
                <w:szCs w:val="21"/>
                <w:highlight w:val="none"/>
              </w:rPr>
              <w:t>★</w:t>
            </w:r>
            <w:r>
              <w:rPr>
                <w:rFonts w:hint="eastAsia" w:ascii="宋体" w:hAnsi="宋体" w:cs="宋体"/>
                <w:b/>
                <w:bCs/>
                <w:szCs w:val="21"/>
                <w:highlight w:val="none"/>
              </w:rPr>
              <w:t>号技术性能及功能，供应商须在响应文件中提供对应参数的功能截图作为佐证资料，以上材料均需加盖供应商</w:t>
            </w:r>
            <w:r>
              <w:rPr>
                <w:rFonts w:hint="eastAsia" w:ascii="宋体" w:hAnsi="宋体" w:cs="宋体"/>
                <w:b/>
                <w:bCs/>
                <w:szCs w:val="21"/>
                <w:highlight w:val="none"/>
                <w:lang w:val="en-US" w:eastAsia="zh-CN"/>
              </w:rPr>
              <w:t>公章</w:t>
            </w:r>
            <w:r>
              <w:rPr>
                <w:rFonts w:hint="eastAsia" w:ascii="宋体" w:hAnsi="宋体" w:cs="宋体"/>
                <w:b/>
                <w:bCs/>
                <w:szCs w:val="21"/>
                <w:highlight w:val="none"/>
              </w:rPr>
              <w:t>，否则磋商小组有权不接受。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585" w:type="dxa"/>
            <w:vAlign w:val="center"/>
          </w:tcPr>
          <w:p>
            <w:pPr>
              <w:adjustRightInd w:val="0"/>
              <w:spacing w:line="320" w:lineRule="exact"/>
              <w:jc w:val="center"/>
              <w:textAlignment w:val="baseline"/>
              <w:rPr>
                <w:rFonts w:hint="eastAsia" w:ascii="宋体" w:hAnsi="宋体" w:eastAsia="宋体" w:cs="Times New Roman"/>
                <w:bCs/>
                <w:color w:val="auto"/>
                <w:kern w:val="0"/>
                <w:sz w:val="21"/>
                <w:szCs w:val="21"/>
                <w:highlight w:val="none"/>
                <w:lang w:val="en-US" w:eastAsia="zh-CN" w:bidi="ar-SA"/>
              </w:rPr>
            </w:pPr>
            <w:r>
              <w:rPr>
                <w:rFonts w:hint="eastAsia" w:ascii="宋体" w:hAnsi="宋体"/>
                <w:bCs/>
                <w:color w:val="auto"/>
                <w:kern w:val="0"/>
                <w:szCs w:val="21"/>
                <w:highlight w:val="none"/>
              </w:rPr>
              <w:t>项目实施方案分（满</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12</w:t>
            </w:r>
            <w:r>
              <w:rPr>
                <w:rFonts w:hint="eastAsia" w:ascii="宋体" w:hAnsi="宋体"/>
                <w:bCs/>
                <w:color w:val="auto"/>
                <w:kern w:val="0"/>
                <w:szCs w:val="21"/>
                <w:highlight w:val="none"/>
              </w:rPr>
              <w:t>分）</w:t>
            </w:r>
          </w:p>
        </w:tc>
        <w:tc>
          <w:tcPr>
            <w:tcW w:w="5880" w:type="dxa"/>
            <w:vAlign w:val="center"/>
          </w:tcPr>
          <w:p>
            <w:pPr>
              <w:pStyle w:val="223"/>
              <w:spacing w:line="360" w:lineRule="auto"/>
              <w:ind w:firstLine="452"/>
              <w:rPr>
                <w:color w:val="auto"/>
                <w:spacing w:val="8"/>
                <w:sz w:val="21"/>
                <w:szCs w:val="21"/>
                <w:highlight w:val="none"/>
                <w:lang w:eastAsia="zh-CN"/>
              </w:rPr>
            </w:pPr>
            <w:r>
              <w:rPr>
                <w:rFonts w:hint="eastAsia"/>
                <w:color w:val="auto"/>
                <w:spacing w:val="8"/>
                <w:sz w:val="21"/>
                <w:szCs w:val="21"/>
                <w:highlight w:val="none"/>
                <w:lang w:eastAsia="zh-CN"/>
              </w:rPr>
              <w:t>由磋商小组根据供应商提供的项目实施方案中“技术力量和人力资</w:t>
            </w:r>
            <w:r>
              <w:rPr>
                <w:rFonts w:hint="eastAsia"/>
                <w:color w:val="auto"/>
                <w:spacing w:val="3"/>
                <w:sz w:val="21"/>
                <w:szCs w:val="21"/>
                <w:highlight w:val="none"/>
                <w:lang w:eastAsia="zh-CN"/>
              </w:rPr>
              <w:t xml:space="preserve"> </w:t>
            </w:r>
            <w:r>
              <w:rPr>
                <w:rFonts w:hint="eastAsia"/>
                <w:color w:val="auto"/>
                <w:spacing w:val="9"/>
                <w:sz w:val="21"/>
                <w:szCs w:val="21"/>
                <w:highlight w:val="none"/>
                <w:lang w:eastAsia="zh-CN"/>
              </w:rPr>
              <w:t>源安排，技术服务和服务质量保障措施，安装、调试方案，建议的</w:t>
            </w:r>
            <w:r>
              <w:rPr>
                <w:rFonts w:hint="eastAsia"/>
                <w:color w:val="auto"/>
                <w:sz w:val="21"/>
                <w:szCs w:val="21"/>
                <w:highlight w:val="none"/>
                <w:lang w:eastAsia="zh-CN"/>
              </w:rPr>
              <w:t xml:space="preserve"> </w:t>
            </w:r>
            <w:r>
              <w:rPr>
                <w:rFonts w:hint="eastAsia"/>
                <w:color w:val="auto"/>
                <w:spacing w:val="6"/>
                <w:sz w:val="21"/>
                <w:szCs w:val="21"/>
                <w:highlight w:val="none"/>
                <w:lang w:eastAsia="zh-CN"/>
              </w:rPr>
              <w:t>验收方案等</w:t>
            </w:r>
            <w:r>
              <w:rPr>
                <w:rFonts w:hint="eastAsia"/>
                <w:color w:val="auto"/>
                <w:spacing w:val="-60"/>
                <w:sz w:val="21"/>
                <w:szCs w:val="21"/>
                <w:highlight w:val="none"/>
                <w:lang w:eastAsia="zh-CN"/>
              </w:rPr>
              <w:t xml:space="preserve"> </w:t>
            </w:r>
            <w:r>
              <w:rPr>
                <w:rFonts w:hint="eastAsia"/>
                <w:color w:val="auto"/>
                <w:spacing w:val="6"/>
                <w:sz w:val="21"/>
                <w:szCs w:val="21"/>
                <w:highlight w:val="none"/>
                <w:lang w:eastAsia="zh-CN"/>
              </w:rPr>
              <w:t>”内容进行综合评审并独立打分：满分</w:t>
            </w:r>
            <w:r>
              <w:rPr>
                <w:rFonts w:hint="eastAsia"/>
                <w:color w:val="auto"/>
                <w:spacing w:val="-24"/>
                <w:sz w:val="21"/>
                <w:szCs w:val="21"/>
                <w:highlight w:val="none"/>
                <w:lang w:val="en-US" w:eastAsia="zh-CN"/>
              </w:rPr>
              <w:t>12</w:t>
            </w:r>
            <w:r>
              <w:rPr>
                <w:rFonts w:hint="eastAsia"/>
                <w:color w:val="auto"/>
                <w:spacing w:val="-35"/>
                <w:sz w:val="21"/>
                <w:szCs w:val="21"/>
                <w:highlight w:val="none"/>
                <w:lang w:eastAsia="zh-CN"/>
              </w:rPr>
              <w:t xml:space="preserve"> </w:t>
            </w:r>
            <w:r>
              <w:rPr>
                <w:rFonts w:hint="eastAsia"/>
                <w:color w:val="auto"/>
                <w:spacing w:val="6"/>
                <w:sz w:val="21"/>
                <w:szCs w:val="21"/>
                <w:highlight w:val="none"/>
                <w:lang w:eastAsia="zh-CN"/>
              </w:rPr>
              <w:t>分（未提供</w:t>
            </w:r>
            <w:r>
              <w:rPr>
                <w:rFonts w:hint="eastAsia"/>
                <w:color w:val="auto"/>
                <w:spacing w:val="8"/>
                <w:sz w:val="21"/>
                <w:szCs w:val="21"/>
                <w:highlight w:val="none"/>
                <w:lang w:eastAsia="zh-CN"/>
              </w:rPr>
              <w:t>相应评审内容，不得分）</w:t>
            </w:r>
          </w:p>
          <w:p>
            <w:pPr>
              <w:pStyle w:val="223"/>
              <w:spacing w:line="360" w:lineRule="auto"/>
              <w:ind w:firstLine="452"/>
              <w:rPr>
                <w:color w:val="auto"/>
                <w:spacing w:val="8"/>
                <w:sz w:val="21"/>
                <w:szCs w:val="21"/>
                <w:highlight w:val="none"/>
                <w:lang w:eastAsia="zh-CN"/>
              </w:rPr>
            </w:pPr>
            <w:r>
              <w:rPr>
                <w:rFonts w:hint="eastAsia"/>
                <w:color w:val="auto"/>
                <w:spacing w:val="8"/>
                <w:sz w:val="21"/>
                <w:szCs w:val="21"/>
                <w:highlight w:val="none"/>
                <w:lang w:eastAsia="zh-CN"/>
              </w:rPr>
              <w:t>一档（0分）：</w:t>
            </w:r>
            <w:r>
              <w:rPr>
                <w:rFonts w:hint="eastAsia"/>
                <w:color w:val="auto"/>
                <w:spacing w:val="6"/>
                <w:sz w:val="21"/>
                <w:szCs w:val="21"/>
                <w:highlight w:val="none"/>
                <w:lang w:eastAsia="zh-CN"/>
              </w:rPr>
              <w:t>未提供</w:t>
            </w:r>
            <w:r>
              <w:rPr>
                <w:rFonts w:hint="eastAsia"/>
                <w:color w:val="auto"/>
                <w:spacing w:val="8"/>
                <w:sz w:val="21"/>
                <w:szCs w:val="21"/>
                <w:highlight w:val="none"/>
                <w:lang w:eastAsia="zh-CN"/>
              </w:rPr>
              <w:t>相应评审内容，不得分。</w:t>
            </w:r>
          </w:p>
          <w:p>
            <w:pPr>
              <w:pStyle w:val="223"/>
              <w:spacing w:line="360" w:lineRule="auto"/>
              <w:ind w:firstLine="460"/>
              <w:rPr>
                <w:color w:val="auto"/>
                <w:sz w:val="21"/>
                <w:szCs w:val="21"/>
                <w:highlight w:val="none"/>
                <w:lang w:eastAsia="zh-CN"/>
              </w:rPr>
            </w:pPr>
            <w:r>
              <w:rPr>
                <w:rFonts w:hint="eastAsia"/>
                <w:color w:val="auto"/>
                <w:spacing w:val="10"/>
                <w:sz w:val="21"/>
                <w:szCs w:val="21"/>
                <w:highlight w:val="none"/>
                <w:lang w:eastAsia="zh-CN"/>
              </w:rPr>
              <w:t>二档（</w:t>
            </w:r>
            <w:r>
              <w:rPr>
                <w:rFonts w:hint="eastAsia"/>
                <w:color w:val="auto"/>
                <w:spacing w:val="10"/>
                <w:sz w:val="21"/>
                <w:szCs w:val="21"/>
                <w:highlight w:val="none"/>
                <w:lang w:val="en-US" w:eastAsia="zh-CN"/>
              </w:rPr>
              <w:t>4</w:t>
            </w:r>
            <w:r>
              <w:rPr>
                <w:rFonts w:hint="eastAsia"/>
                <w:color w:val="auto"/>
                <w:spacing w:val="10"/>
                <w:sz w:val="21"/>
                <w:szCs w:val="21"/>
                <w:highlight w:val="none"/>
                <w:lang w:eastAsia="zh-CN"/>
              </w:rPr>
              <w:t>分）：实施方案基本完整，措施基本符合项目实施需求，具</w:t>
            </w:r>
            <w:r>
              <w:rPr>
                <w:rFonts w:hint="eastAsia"/>
                <w:color w:val="auto"/>
                <w:spacing w:val="9"/>
                <w:sz w:val="21"/>
                <w:szCs w:val="21"/>
                <w:highlight w:val="none"/>
                <w:lang w:eastAsia="zh-CN"/>
              </w:rPr>
              <w:t>备安全保密管理措施，人员配置基本符合要求</w:t>
            </w:r>
            <w:r>
              <w:rPr>
                <w:rFonts w:hint="eastAsia"/>
                <w:color w:val="auto"/>
                <w:spacing w:val="1"/>
                <w:sz w:val="21"/>
                <w:szCs w:val="21"/>
                <w:highlight w:val="none"/>
                <w:lang w:eastAsia="zh-CN"/>
              </w:rPr>
              <w:t>。</w:t>
            </w:r>
          </w:p>
          <w:p>
            <w:pPr>
              <w:pStyle w:val="223"/>
              <w:spacing w:line="360" w:lineRule="auto"/>
              <w:ind w:firstLine="460"/>
              <w:rPr>
                <w:color w:val="auto"/>
                <w:sz w:val="21"/>
                <w:szCs w:val="21"/>
                <w:highlight w:val="none"/>
                <w:lang w:eastAsia="zh-CN"/>
              </w:rPr>
            </w:pPr>
            <w:r>
              <w:rPr>
                <w:rFonts w:hint="eastAsia"/>
                <w:color w:val="auto"/>
                <w:spacing w:val="10"/>
                <w:sz w:val="21"/>
                <w:szCs w:val="21"/>
                <w:highlight w:val="none"/>
                <w:lang w:eastAsia="zh-CN"/>
              </w:rPr>
              <w:t>三档（</w:t>
            </w:r>
            <w:r>
              <w:rPr>
                <w:rFonts w:hint="eastAsia"/>
                <w:color w:val="auto"/>
                <w:spacing w:val="10"/>
                <w:sz w:val="21"/>
                <w:szCs w:val="21"/>
                <w:highlight w:val="none"/>
                <w:lang w:val="en-US" w:eastAsia="zh-CN"/>
              </w:rPr>
              <w:t>8</w:t>
            </w:r>
            <w:r>
              <w:rPr>
                <w:rFonts w:hint="eastAsia"/>
                <w:color w:val="auto"/>
                <w:spacing w:val="10"/>
                <w:sz w:val="21"/>
                <w:szCs w:val="21"/>
                <w:highlight w:val="none"/>
                <w:lang w:eastAsia="zh-CN"/>
              </w:rPr>
              <w:t>分）：在二档的基础上，实施方案合理，实施方案设计较为</w:t>
            </w:r>
            <w:r>
              <w:rPr>
                <w:rFonts w:hint="eastAsia"/>
                <w:color w:val="auto"/>
                <w:spacing w:val="4"/>
                <w:sz w:val="21"/>
                <w:szCs w:val="21"/>
                <w:highlight w:val="none"/>
                <w:lang w:eastAsia="zh-CN"/>
              </w:rPr>
              <w:t>完整，有切实合理的安装进度安排，安装调试方案和</w:t>
            </w:r>
            <w:r>
              <w:rPr>
                <w:rFonts w:hint="eastAsia"/>
                <w:color w:val="auto"/>
                <w:spacing w:val="3"/>
                <w:sz w:val="21"/>
                <w:szCs w:val="21"/>
                <w:highlight w:val="none"/>
                <w:lang w:eastAsia="zh-CN"/>
              </w:rPr>
              <w:t>验收措施合理，</w:t>
            </w:r>
            <w:r>
              <w:rPr>
                <w:rFonts w:hint="eastAsia"/>
                <w:color w:val="auto"/>
                <w:spacing w:val="9"/>
                <w:sz w:val="21"/>
                <w:szCs w:val="21"/>
                <w:highlight w:val="none"/>
                <w:lang w:eastAsia="zh-CN"/>
              </w:rPr>
              <w:t>项目配置人员较好，安全保密管理措施比较完善，项目管理制度和</w:t>
            </w:r>
            <w:r>
              <w:rPr>
                <w:rFonts w:hint="eastAsia"/>
                <w:color w:val="auto"/>
                <w:spacing w:val="5"/>
                <w:sz w:val="21"/>
                <w:szCs w:val="21"/>
                <w:highlight w:val="none"/>
                <w:lang w:eastAsia="zh-CN"/>
              </w:rPr>
              <w:t>方法严谨。</w:t>
            </w:r>
          </w:p>
          <w:p>
            <w:pPr>
              <w:pStyle w:val="223"/>
              <w:spacing w:line="360" w:lineRule="auto"/>
              <w:ind w:firstLine="460" w:firstLineChars="0"/>
              <w:rPr>
                <w:rFonts w:hint="eastAsia" w:asciiTheme="minorEastAsia" w:hAnsiTheme="minorEastAsia" w:eastAsiaTheme="minorEastAsia" w:cstheme="minorEastAsia"/>
                <w:color w:val="auto"/>
                <w:szCs w:val="21"/>
                <w:highlight w:val="none"/>
              </w:rPr>
            </w:pPr>
            <w:r>
              <w:rPr>
                <w:rFonts w:hint="eastAsia"/>
                <w:color w:val="auto"/>
                <w:spacing w:val="4"/>
                <w:sz w:val="21"/>
                <w:szCs w:val="21"/>
                <w:highlight w:val="none"/>
                <w:lang w:eastAsia="zh-CN"/>
              </w:rPr>
              <w:t>四档（</w:t>
            </w:r>
            <w:r>
              <w:rPr>
                <w:rFonts w:hint="eastAsia"/>
                <w:color w:val="auto"/>
                <w:spacing w:val="4"/>
                <w:sz w:val="21"/>
                <w:szCs w:val="21"/>
                <w:highlight w:val="none"/>
                <w:lang w:val="en-US" w:eastAsia="zh-CN"/>
              </w:rPr>
              <w:t>12</w:t>
            </w:r>
            <w:r>
              <w:rPr>
                <w:rFonts w:hint="eastAsia"/>
                <w:color w:val="auto"/>
                <w:spacing w:val="4"/>
                <w:sz w:val="21"/>
                <w:szCs w:val="21"/>
                <w:highlight w:val="none"/>
                <w:lang w:eastAsia="zh-CN"/>
              </w:rPr>
              <w:t>分）：在三档的基础上，实施方案</w:t>
            </w:r>
            <w:r>
              <w:rPr>
                <w:rFonts w:hint="eastAsia"/>
                <w:color w:val="auto"/>
                <w:spacing w:val="4"/>
                <w:sz w:val="21"/>
                <w:szCs w:val="21"/>
                <w:highlight w:val="none"/>
                <w:lang w:val="en-US" w:eastAsia="zh-CN"/>
              </w:rPr>
              <w:t>条理</w:t>
            </w:r>
            <w:r>
              <w:rPr>
                <w:rFonts w:hint="eastAsia"/>
                <w:color w:val="auto"/>
                <w:spacing w:val="4"/>
                <w:sz w:val="21"/>
                <w:szCs w:val="21"/>
                <w:highlight w:val="none"/>
                <w:lang w:eastAsia="zh-CN"/>
              </w:rPr>
              <w:t>清晰、方案明确、实施方案科学合理，设计完整，有明确的实施进度和管理措施，有明确的项目实施保障措施，针对性强，对项目实施质量有详细的控制方案和措施，能保证工程质量的各项技术措施实施到位，进度计划合理。具备完善的调试方案和验收方案，安全保障措施完善细致。投标人具备较强的实施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585" w:type="dxa"/>
            <w:vAlign w:val="center"/>
          </w:tcPr>
          <w:p>
            <w:pPr>
              <w:adjustRightInd w:val="0"/>
              <w:spacing w:line="320" w:lineRule="exact"/>
              <w:jc w:val="center"/>
              <w:textAlignment w:val="baseline"/>
              <w:rPr>
                <w:rFonts w:hint="eastAsia" w:ascii="宋体" w:hAnsi="宋体" w:eastAsia="宋体" w:cs="Times New Roman"/>
                <w:bCs/>
                <w:color w:val="auto"/>
                <w:kern w:val="0"/>
                <w:sz w:val="21"/>
                <w:szCs w:val="21"/>
                <w:highlight w:val="none"/>
                <w:lang w:val="en-US" w:eastAsia="zh-CN" w:bidi="ar-SA"/>
              </w:rPr>
            </w:pPr>
            <w:r>
              <w:rPr>
                <w:rFonts w:hint="eastAsia" w:ascii="宋体" w:hAnsi="宋体" w:cs="Arial"/>
                <w:color w:val="auto"/>
                <w:szCs w:val="21"/>
                <w:highlight w:val="none"/>
              </w:rPr>
              <w:t>现场演示分</w:t>
            </w:r>
            <w:r>
              <w:rPr>
                <w:rFonts w:hint="eastAsia" w:ascii="宋体" w:hAnsi="宋体"/>
                <w:bCs/>
                <w:color w:val="auto"/>
                <w:kern w:val="0"/>
                <w:szCs w:val="21"/>
                <w:highlight w:val="none"/>
              </w:rPr>
              <w:t>（满</w:t>
            </w:r>
            <w:r>
              <w:rPr>
                <w:rFonts w:hint="eastAsia" w:ascii="宋体" w:hAnsi="宋体"/>
                <w:bCs/>
                <w:color w:val="auto"/>
                <w:kern w:val="0"/>
                <w:szCs w:val="21"/>
                <w:highlight w:val="none"/>
                <w:lang w:eastAsia="zh-CN"/>
              </w:rPr>
              <w:t>分</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rPr>
              <w:t>分）</w:t>
            </w:r>
          </w:p>
        </w:tc>
        <w:tc>
          <w:tcPr>
            <w:tcW w:w="5880" w:type="dxa"/>
            <w:vAlign w:val="center"/>
          </w:tcPr>
          <w:p>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注：投标供应商基于真实平台（不接受PPT、Demo、视频等演示形式）进行现场演示，演示控制在25分钟内，展示参数功能，后期该演示材料将作为验收环节重要条款，每项演示必须展示前后页面跳转，</w:t>
            </w:r>
            <w:r>
              <w:rPr>
                <w:rFonts w:hint="eastAsia" w:ascii="宋体" w:hAnsi="宋体" w:cs="宋体"/>
                <w:color w:val="auto"/>
                <w:szCs w:val="21"/>
                <w:highlight w:val="none"/>
                <w:lang w:eastAsia="zh-CN"/>
              </w:rPr>
              <w:t>每有一项演示成功得</w:t>
            </w:r>
            <w:r>
              <w:rPr>
                <w:rFonts w:hint="eastAsia" w:ascii="宋体" w:hAnsi="宋体" w:cs="宋体"/>
                <w:color w:val="auto"/>
                <w:szCs w:val="21"/>
                <w:highlight w:val="none"/>
                <w:lang w:val="en-US" w:eastAsia="zh-CN"/>
              </w:rPr>
              <w:t>1.5分，</w:t>
            </w:r>
            <w:r>
              <w:rPr>
                <w:rFonts w:hint="eastAsia" w:ascii="宋体" w:hAnsi="宋体" w:cs="宋体"/>
                <w:color w:val="auto"/>
                <w:szCs w:val="21"/>
                <w:highlight w:val="none"/>
              </w:rPr>
              <w:t>演示功能不全或未演示的</w:t>
            </w:r>
            <w:r>
              <w:rPr>
                <w:rFonts w:hint="eastAsia" w:ascii="宋体" w:hAnsi="宋体" w:cs="宋体"/>
                <w:color w:val="auto"/>
                <w:szCs w:val="21"/>
                <w:highlight w:val="none"/>
                <w:lang w:eastAsia="zh-CN"/>
              </w:rPr>
              <w:t>不得分，满分</w:t>
            </w:r>
            <w:r>
              <w:rPr>
                <w:rFonts w:hint="eastAsia" w:ascii="宋体" w:hAnsi="宋体" w:cs="宋体"/>
                <w:color w:val="auto"/>
                <w:szCs w:val="21"/>
                <w:highlight w:val="none"/>
                <w:lang w:val="en-US" w:eastAsia="zh-CN"/>
              </w:rPr>
              <w:t>15分。</w:t>
            </w:r>
          </w:p>
          <w:p>
            <w:pPr>
              <w:spacing w:line="360" w:lineRule="auto"/>
              <w:jc w:val="left"/>
              <w:rPr>
                <w:rFonts w:hint="eastAsia"/>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专业数据采集表单引擎：支持新建表单、AI对话创建、Excel导入、复制已有应用等多方式创建表单采集数据；支持字段显隐规则设置，满足条件时显示对应字段；支持动态审批流程配置，可在业务流转中实时获取节点人员，适配学校专业调研数据采集及业务审批需求，可灵活调整审核人员。</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专业数据填写引擎：支持AI智能填表，支持粘贴文本或上传文档，由AI自动识别关键信息并精准填充至对应表单字段，提升数据填报效率与准确性；支持AI公式智能编辑，支持通过自然语言对话方式描述公式需求，系统自动完成公式编写、符号匹配及目标字段自动插入，无需人工手动输入公式及符号，保障公式规范性与填报准确率。</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课程负责人可以在个人空间管理课程关键数据，进行课程目标、课程目标支撑毕业要求指标、课程内容、知识图谱等数据管理，并支持自动同步人才培养方案该门课程的关键数据，实现人才培养方案一次录入课程关键数据后，课程负责人可直接引用，保证人培数据准确性、唯一性；</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课程考试管理：提供智能考情监控功能，支持监考老师实时查看考生行为时间轴（含进入考试人脸识别结果、考试IP、考试切屏记录、抓拍记录、屏幕抓拍识别记录、直播监考日志、监考教师操作记录等），并可对单题答题时长进行限时设置、只允许指定IP参加考试等，满足各类考试场景。</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课程作业管理：支持智能作业查重，支持将班级内学生作业班级内查重，以及与系统自带的图书、期刊、论文、报纸、网络全文等丰富的对比资源库进行对比检测并生成检测报告，支持在线查看学生作业相似度、下载检测报告、打回作业。</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.虚拟IP人物讲解：虚拟IP人物可在特定场景和区域，进行智能语音讲解导览；在特定场景区域，用户角色靠近后可触发自动播放。</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虚拟IP人物支持对接AI智能体，内置虚拟角色和角色动画，可实现与AI智能体进行文字、语音交流问答，智能体输出的答案支持显示来源，可截取显示与答案有关的原文内容，也可通过来源跳转回原文全文展开学习。</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.课程及专业AI助手需支持实时智能咨询，可自建私有知识库、订阅公共 AI 知识库；兼容豆包、DeepSeek、通义千问等主流国产大模型，支持管理员、师生多角色切换使用。具备教案生成、论文辅助等应用功能，公共AI知识库数量不少于1500个，支持订阅后挂载关联至课程或专业 AI 助手，同时可单独进行知识库对话使用。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.支持针对任务点开启高阶闯关模式，使不同成绩学生后续学习的内容不一样，满足教师个性化教学的场景；</w:t>
            </w:r>
          </w:p>
          <w:p>
            <w:pPr>
              <w:spacing w:line="360" w:lineRule="auto"/>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提供智慧课程内容安全检测：支持对平台用户发布的文本、图片、文档、视频等内容的分析和监控，可按时间筛选查看、编辑、删除内容以及自定义修改监控内容；具备文本智能纠错，可对文本的拼写、错别字、组合搭配等进行正确性检查，实现内容安全预警与智能纠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585" w:type="dxa"/>
            <w:vAlign w:val="center"/>
          </w:tcPr>
          <w:p>
            <w:pPr>
              <w:adjustRightInd w:val="0"/>
              <w:spacing w:line="320" w:lineRule="exact"/>
              <w:jc w:val="center"/>
              <w:textAlignment w:val="baseline"/>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Cs w:val="21"/>
                <w:highlight w:val="none"/>
              </w:rPr>
              <w:t>售后服务方案（</w:t>
            </w:r>
            <w:r>
              <w:rPr>
                <w:rFonts w:hint="eastAsia" w:ascii="宋体" w:hAnsi="宋体"/>
                <w:bCs/>
                <w:color w:val="auto"/>
                <w:kern w:val="0"/>
                <w:szCs w:val="21"/>
                <w:highlight w:val="none"/>
              </w:rPr>
              <w:t>满</w:t>
            </w:r>
            <w:r>
              <w:rPr>
                <w:rFonts w:hint="eastAsia" w:ascii="宋体" w:hAnsi="宋体"/>
                <w:bCs/>
                <w:color w:val="auto"/>
                <w:kern w:val="0"/>
                <w:szCs w:val="21"/>
                <w:highlight w:val="none"/>
                <w:lang w:eastAsia="zh-CN"/>
              </w:rPr>
              <w:t>分</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w:t>
            </w:r>
          </w:p>
        </w:tc>
        <w:tc>
          <w:tcPr>
            <w:tcW w:w="5880" w:type="dxa"/>
            <w:vAlign w:val="top"/>
          </w:tcPr>
          <w:p>
            <w:pPr>
              <w:wordWrap w:val="0"/>
              <w:spacing w:line="360" w:lineRule="auto"/>
              <w:rPr>
                <w:rFonts w:ascii="宋体" w:hAnsi="宋体"/>
                <w:color w:val="auto"/>
                <w:highlight w:val="none"/>
              </w:rPr>
            </w:pPr>
            <w:r>
              <w:rPr>
                <w:rFonts w:hint="eastAsia" w:ascii="宋体" w:hAnsi="宋体"/>
                <w:color w:val="auto"/>
                <w:highlight w:val="none"/>
              </w:rPr>
              <w:t>根据本次采购内容及要求，制定详细的售后服务方案，内容包括但不限于：教师培训方案、运行服务体系、售后服务计划等。根据方案内容进行综合评审：</w:t>
            </w:r>
          </w:p>
          <w:p>
            <w:pPr>
              <w:wordWrap w:val="0"/>
              <w:spacing w:line="360" w:lineRule="auto"/>
              <w:rPr>
                <w:rFonts w:ascii="宋体" w:hAnsi="宋体"/>
                <w:color w:val="auto"/>
                <w:highlight w:val="none"/>
              </w:rPr>
            </w:pPr>
            <w:r>
              <w:rPr>
                <w:rFonts w:hint="eastAsia" w:ascii="宋体" w:hAnsi="宋体"/>
                <w:color w:val="auto"/>
                <w:highlight w:val="none"/>
              </w:rPr>
              <w:t>一档（0分）：未提供售后服务方案，或方案未覆盖核心服务要求（如响应时间、质保、培训），完全不符合采购需求。</w:t>
            </w:r>
          </w:p>
          <w:p>
            <w:pPr>
              <w:wordWrap w:val="0"/>
              <w:spacing w:line="360" w:lineRule="auto"/>
              <w:rPr>
                <w:rFonts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4</w:t>
            </w:r>
            <w:r>
              <w:rPr>
                <w:rFonts w:hint="eastAsia" w:ascii="宋体" w:hAnsi="宋体"/>
                <w:color w:val="auto"/>
                <w:highlight w:val="none"/>
              </w:rPr>
              <w:t>分）：售后服务仅满足基础运行需求，响应时间达标但现场支持滞后，质保服务覆盖核心功能，培训次数与学时不足（≤2 次、累计≤6 学时），数据备份与应急机制简单，缺乏 AI 相关服务优化与持续跟踪支持，部分采购要求未落实。</w:t>
            </w:r>
          </w:p>
          <w:p>
            <w:pPr>
              <w:wordWrap w:val="0"/>
              <w:spacing w:line="360" w:lineRule="auto"/>
              <w:rPr>
                <w:rFonts w:ascii="宋体" w:hAnsi="宋体"/>
                <w:color w:val="auto"/>
                <w:highlight w:val="none"/>
              </w:rPr>
            </w:pPr>
            <w:r>
              <w:rPr>
                <w:rFonts w:hint="eastAsia" w:ascii="宋体" w:hAnsi="宋体"/>
                <w:color w:val="auto"/>
                <w:highlight w:val="none"/>
              </w:rPr>
              <w:t>三档（</w:t>
            </w:r>
            <w:r>
              <w:rPr>
                <w:rFonts w:hint="eastAsia" w:ascii="宋体" w:hAnsi="宋体"/>
                <w:color w:val="auto"/>
                <w:highlight w:val="none"/>
                <w:lang w:val="en-US" w:eastAsia="zh-CN"/>
              </w:rPr>
              <w:t>7</w:t>
            </w:r>
            <w:r>
              <w:rPr>
                <w:rFonts w:hint="eastAsia" w:ascii="宋体" w:hAnsi="宋体"/>
                <w:color w:val="auto"/>
                <w:highlight w:val="none"/>
              </w:rPr>
              <w:t>分）：售后服务满足核心要求，响应时间与质保服务符合标准，提供基础技术升级与培训（不少于 3 次、累计不低于 8 学时），具备基本数据保障与应急措施，但现场支持效率、个性化服务（如智能体优化）、持续跟踪服务细节不够完善，未明确课程申报协助支持。</w:t>
            </w:r>
          </w:p>
          <w:p>
            <w:pPr>
              <w:wordWrap w:val="0"/>
              <w:spacing w:line="360" w:lineRule="auto"/>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四档（</w:t>
            </w:r>
            <w:r>
              <w:rPr>
                <w:rFonts w:hint="eastAsia" w:ascii="宋体" w:hAnsi="宋体"/>
                <w:color w:val="auto"/>
                <w:highlight w:val="none"/>
                <w:lang w:val="en-US" w:eastAsia="zh-CN"/>
              </w:rPr>
              <w:t>10</w:t>
            </w:r>
            <w:r>
              <w:rPr>
                <w:rFonts w:hint="eastAsia" w:ascii="宋体" w:hAnsi="宋体"/>
                <w:color w:val="auto"/>
                <w:highlight w:val="none"/>
              </w:rPr>
              <w:t>分）：售后服务体系全面覆盖项目全生命周期，响应高效（2 小时内电话响应、4 小时内初步解决、6 小时内专业人员现场支持），质保期内提供免费技术升级及两年跟踪服务，包含不少于 5 次专项培训（累计不低于 15 学时），支持多终端适配与 AI 知识库、智能体持续优化，具备完善的数据备份、应急保障及安全检测机制，可协助课程申报与成果培育，完全满足采购需求。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64" w:type="pct"/>
            <w:vAlign w:val="center"/>
          </w:tcPr>
          <w:p>
            <w:pPr>
              <w:snapToGrid w:val="0"/>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2585" w:type="dxa"/>
            <w:vAlign w:val="center"/>
          </w:tcPr>
          <w:p>
            <w:pPr>
              <w:adjustRightInd w:val="0"/>
              <w:spacing w:line="360" w:lineRule="auto"/>
              <w:jc w:val="center"/>
              <w:textAlignment w:val="baseline"/>
              <w:rPr>
                <w:rFonts w:hint="eastAsia" w:ascii="宋体" w:hAnsi="宋体" w:eastAsia="宋体" w:cs="Times New Roman"/>
                <w:bCs/>
                <w:color w:val="auto"/>
                <w:kern w:val="0"/>
                <w:sz w:val="21"/>
                <w:szCs w:val="21"/>
                <w:highlight w:val="none"/>
                <w:lang w:val="en-US" w:eastAsia="zh-CN" w:bidi="ar-SA"/>
              </w:rPr>
            </w:pPr>
            <w:r>
              <w:rPr>
                <w:rFonts w:hint="eastAsia" w:ascii="宋体" w:hAnsi="宋体"/>
                <w:bCs/>
                <w:kern w:val="0"/>
                <w:szCs w:val="21"/>
                <w:highlight w:val="none"/>
              </w:rPr>
              <w:t>履约能力分（满</w:t>
            </w:r>
            <w:r>
              <w:rPr>
                <w:rFonts w:hint="eastAsia" w:ascii="宋体" w:hAnsi="宋体"/>
                <w:bCs/>
                <w:kern w:val="0"/>
                <w:szCs w:val="21"/>
                <w:highlight w:val="none"/>
                <w:lang w:eastAsia="zh-CN"/>
              </w:rPr>
              <w:t>分</w:t>
            </w:r>
            <w:r>
              <w:rPr>
                <w:rFonts w:hint="eastAsia" w:ascii="宋体" w:hAnsi="宋体"/>
                <w:bCs/>
                <w:kern w:val="0"/>
                <w:szCs w:val="21"/>
                <w:highlight w:val="none"/>
                <w:lang w:val="en-US" w:eastAsia="zh-CN"/>
              </w:rPr>
              <w:t>18</w:t>
            </w:r>
            <w:r>
              <w:rPr>
                <w:rFonts w:hint="eastAsia" w:ascii="宋体" w:hAnsi="宋体"/>
                <w:bCs/>
                <w:kern w:val="0"/>
                <w:szCs w:val="21"/>
                <w:highlight w:val="none"/>
              </w:rPr>
              <w:t>分）</w:t>
            </w:r>
          </w:p>
        </w:tc>
        <w:tc>
          <w:tcPr>
            <w:tcW w:w="5880" w:type="dxa"/>
            <w:vAlign w:val="top"/>
          </w:tcPr>
          <w:p>
            <w:pPr>
              <w:numPr>
                <w:ilvl w:val="0"/>
                <w:numId w:val="7"/>
              </w:numPr>
              <w:wordWrap w:val="0"/>
              <w:spacing w:line="360" w:lineRule="auto"/>
              <w:rPr>
                <w:rFonts w:hint="eastAsia" w:ascii="宋体" w:hAnsi="宋体"/>
                <w:szCs w:val="21"/>
                <w:highlight w:val="none"/>
              </w:rPr>
            </w:pPr>
            <w:r>
              <w:rPr>
                <w:rFonts w:hint="eastAsia" w:ascii="宋体" w:hAnsi="宋体"/>
                <w:szCs w:val="21"/>
                <w:highlight w:val="none"/>
              </w:rPr>
              <w:t>业绩分：供应商自</w:t>
            </w:r>
            <w:r>
              <w:rPr>
                <w:rFonts w:ascii="宋体" w:hAnsi="宋体" w:cs="Arial"/>
                <w:szCs w:val="21"/>
                <w:highlight w:val="none"/>
              </w:rPr>
              <w:t>2023年1月1日</w:t>
            </w:r>
            <w:r>
              <w:rPr>
                <w:rFonts w:hint="eastAsia" w:ascii="宋体" w:hAnsi="宋体"/>
                <w:szCs w:val="21"/>
                <w:highlight w:val="none"/>
              </w:rPr>
              <w:t>以来具有完成同类项目的业绩，每提供一项业绩的得</w:t>
            </w:r>
            <w:r>
              <w:rPr>
                <w:rFonts w:ascii="宋体" w:hAnsi="宋体"/>
                <w:szCs w:val="21"/>
                <w:highlight w:val="none"/>
              </w:rPr>
              <w:t>0.5</w:t>
            </w:r>
            <w:r>
              <w:rPr>
                <w:rFonts w:hint="eastAsia" w:ascii="宋体" w:hAnsi="宋体"/>
                <w:szCs w:val="21"/>
                <w:highlight w:val="none"/>
              </w:rPr>
              <w:t>分，本条最多得</w:t>
            </w:r>
            <w:r>
              <w:rPr>
                <w:rFonts w:ascii="宋体" w:hAnsi="宋体"/>
                <w:szCs w:val="21"/>
                <w:highlight w:val="none"/>
              </w:rPr>
              <w:t>2</w:t>
            </w:r>
            <w:r>
              <w:rPr>
                <w:rFonts w:hint="eastAsia" w:ascii="宋体" w:hAnsi="宋体"/>
                <w:szCs w:val="21"/>
                <w:highlight w:val="none"/>
              </w:rPr>
              <w:t>分。</w:t>
            </w:r>
          </w:p>
          <w:p>
            <w:pPr>
              <w:numPr>
                <w:ilvl w:val="0"/>
                <w:numId w:val="7"/>
              </w:numPr>
              <w:wordWrap w:val="0"/>
              <w:spacing w:line="360" w:lineRule="auto"/>
              <w:rPr>
                <w:rFonts w:hint="eastAsia" w:ascii="宋体" w:hAnsi="宋体"/>
                <w:szCs w:val="21"/>
                <w:highlight w:val="none"/>
              </w:rPr>
            </w:pPr>
            <w:r>
              <w:rPr>
                <w:rFonts w:hint="eastAsia"/>
                <w:highlight w:val="none"/>
                <w:lang w:val="en-US" w:eastAsia="zh-CN"/>
              </w:rPr>
              <w:t>为保障项目实施质量，磋商供应商</w:t>
            </w:r>
            <w:r>
              <w:rPr>
                <w:rFonts w:hint="eastAsia" w:ascii="宋体" w:hAnsi="宋体"/>
                <w:szCs w:val="21"/>
                <w:highlight w:val="none"/>
              </w:rPr>
              <w:t>配备的实施人员具备PMP、信息系统项目管理师（高项）、CSPM任意一项项目管理相关证书，并提供对应人员近</w:t>
            </w:r>
            <w:r>
              <w:rPr>
                <w:rFonts w:hint="eastAsia" w:ascii="宋体" w:hAnsi="宋体"/>
                <w:szCs w:val="21"/>
                <w:highlight w:val="none"/>
                <w:lang w:val="en-US" w:eastAsia="zh-CN"/>
              </w:rPr>
              <w:t>1</w:t>
            </w:r>
            <w:r>
              <w:rPr>
                <w:rFonts w:hint="eastAsia" w:ascii="宋体" w:hAnsi="宋体"/>
                <w:szCs w:val="21"/>
                <w:highlight w:val="none"/>
              </w:rPr>
              <w:t>个月社保证明的，每1名得0.5分，本项满分2分。材料不全或无效、无符合条件人员的本项得0分。</w:t>
            </w:r>
          </w:p>
          <w:p>
            <w:pPr>
              <w:numPr>
                <w:ilvl w:val="0"/>
                <w:numId w:val="7"/>
              </w:numPr>
              <w:wordWrap w:val="0"/>
              <w:spacing w:line="360" w:lineRule="auto"/>
              <w:rPr>
                <w:rFonts w:ascii="宋体" w:hAnsi="宋体"/>
                <w:szCs w:val="21"/>
                <w:highlight w:val="none"/>
              </w:rPr>
            </w:pPr>
            <w:r>
              <w:rPr>
                <w:rFonts w:hint="eastAsia" w:ascii="宋体" w:hAnsi="宋体"/>
                <w:szCs w:val="21"/>
                <w:highlight w:val="none"/>
              </w:rPr>
              <w:t>磋商供应商具有专业图谱建设、OBE智慧教学相关计算机软件著作权证书，每提供1个得0.5分，满分1分；</w:t>
            </w:r>
          </w:p>
          <w:p>
            <w:pPr>
              <w:numPr>
                <w:ilvl w:val="0"/>
                <w:numId w:val="7"/>
              </w:numPr>
              <w:wordWrap w:val="0"/>
              <w:spacing w:line="360" w:lineRule="auto"/>
              <w:rPr>
                <w:rFonts w:ascii="宋体" w:hAnsi="宋体"/>
                <w:szCs w:val="21"/>
                <w:highlight w:val="none"/>
              </w:rPr>
            </w:pPr>
            <w:r>
              <w:rPr>
                <w:rFonts w:hint="eastAsia" w:ascii="宋体" w:hAnsi="宋体"/>
                <w:szCs w:val="21"/>
                <w:highlight w:val="none"/>
              </w:rPr>
              <w:t>磋商供应商具有微服务平台相关的计算机软件著作权登记证书得1分；</w:t>
            </w:r>
          </w:p>
          <w:p>
            <w:pPr>
              <w:numPr>
                <w:ilvl w:val="0"/>
                <w:numId w:val="7"/>
              </w:numPr>
              <w:wordWrap w:val="0"/>
              <w:spacing w:line="360" w:lineRule="auto"/>
              <w:rPr>
                <w:rFonts w:ascii="宋体" w:hAnsi="宋体"/>
                <w:szCs w:val="21"/>
                <w:highlight w:val="none"/>
              </w:rPr>
            </w:pPr>
            <w:r>
              <w:rPr>
                <w:rFonts w:hint="eastAsia" w:ascii="宋体" w:hAnsi="宋体"/>
                <w:szCs w:val="21"/>
                <w:highlight w:val="none"/>
              </w:rPr>
              <w:t>为保证供应商提供的资源无版权纠纷问题，投标供应商需提供电子书个人著作权授权书复印件</w:t>
            </w:r>
            <w:r>
              <w:rPr>
                <w:rFonts w:hint="eastAsia" w:ascii="宋体" w:hAnsi="宋体"/>
                <w:szCs w:val="21"/>
                <w:highlight w:val="none"/>
                <w:lang w:val="en-US" w:eastAsia="zh-CN"/>
              </w:rPr>
              <w:t>提供1份得1分</w:t>
            </w:r>
            <w:r>
              <w:rPr>
                <w:rFonts w:hint="eastAsia" w:ascii="宋体" w:hAnsi="宋体"/>
                <w:szCs w:val="21"/>
                <w:highlight w:val="none"/>
              </w:rPr>
              <w:t>，</w:t>
            </w:r>
            <w:r>
              <w:rPr>
                <w:rFonts w:hint="eastAsia" w:ascii="宋体" w:hAnsi="宋体"/>
                <w:szCs w:val="21"/>
                <w:highlight w:val="none"/>
                <w:lang w:val="en-US" w:eastAsia="zh-CN"/>
              </w:rPr>
              <w:t>满分</w:t>
            </w:r>
            <w:r>
              <w:rPr>
                <w:rFonts w:ascii="宋体" w:hAnsi="宋体"/>
                <w:szCs w:val="21"/>
                <w:highlight w:val="none"/>
              </w:rPr>
              <w:t>3</w:t>
            </w:r>
            <w:r>
              <w:rPr>
                <w:rFonts w:hint="eastAsia" w:ascii="宋体" w:hAnsi="宋体"/>
                <w:szCs w:val="21"/>
                <w:highlight w:val="none"/>
              </w:rPr>
              <w:t>分，</w:t>
            </w:r>
            <w:r>
              <w:rPr>
                <w:rFonts w:hint="eastAsia" w:ascii="宋体" w:hAnsi="宋体"/>
                <w:szCs w:val="21"/>
                <w:highlight w:val="none"/>
                <w:lang w:val="en-US" w:eastAsia="zh-CN"/>
              </w:rPr>
              <w:t>不提供不得分</w:t>
            </w:r>
            <w:r>
              <w:rPr>
                <w:rFonts w:hint="eastAsia" w:ascii="宋体" w:hAnsi="宋体"/>
                <w:szCs w:val="21"/>
                <w:highlight w:val="none"/>
              </w:rPr>
              <w:t>。</w:t>
            </w:r>
          </w:p>
          <w:p>
            <w:pPr>
              <w:numPr>
                <w:ilvl w:val="0"/>
                <w:numId w:val="7"/>
              </w:numPr>
              <w:wordWrap w:val="0"/>
              <w:spacing w:line="360" w:lineRule="auto"/>
              <w:rPr>
                <w:rFonts w:ascii="宋体" w:hAnsi="宋体"/>
                <w:szCs w:val="21"/>
                <w:highlight w:val="none"/>
              </w:rPr>
            </w:pPr>
            <w:r>
              <w:rPr>
                <w:rFonts w:hint="eastAsia" w:ascii="宋体" w:hAnsi="宋体"/>
                <w:szCs w:val="21"/>
                <w:highlight w:val="none"/>
              </w:rPr>
              <w:t>为保证供应商提供的资源无版权纠纷问题，投标供应商需提供电子书出版社著作权授权书复印件</w:t>
            </w:r>
            <w:r>
              <w:rPr>
                <w:rFonts w:hint="eastAsia" w:ascii="宋体" w:hAnsi="宋体"/>
                <w:szCs w:val="21"/>
                <w:highlight w:val="none"/>
                <w:lang w:val="en-US" w:eastAsia="zh-CN"/>
              </w:rPr>
              <w:t>提供1份得1分</w:t>
            </w:r>
            <w:r>
              <w:rPr>
                <w:rFonts w:hint="eastAsia" w:ascii="宋体" w:hAnsi="宋体"/>
                <w:szCs w:val="21"/>
                <w:highlight w:val="none"/>
              </w:rPr>
              <w:t>，</w:t>
            </w:r>
            <w:r>
              <w:rPr>
                <w:rFonts w:hint="eastAsia" w:ascii="宋体" w:hAnsi="宋体"/>
                <w:szCs w:val="21"/>
                <w:highlight w:val="none"/>
                <w:lang w:val="en-US" w:eastAsia="zh-CN"/>
              </w:rPr>
              <w:t>满分</w:t>
            </w:r>
            <w:r>
              <w:rPr>
                <w:rFonts w:ascii="宋体" w:hAnsi="宋体"/>
                <w:szCs w:val="21"/>
                <w:highlight w:val="none"/>
              </w:rPr>
              <w:t>3</w:t>
            </w:r>
            <w:r>
              <w:rPr>
                <w:rFonts w:hint="eastAsia" w:ascii="宋体" w:hAnsi="宋体"/>
                <w:szCs w:val="21"/>
                <w:highlight w:val="none"/>
              </w:rPr>
              <w:t>分，</w:t>
            </w:r>
            <w:r>
              <w:rPr>
                <w:rFonts w:hint="eastAsia" w:ascii="宋体" w:hAnsi="宋体"/>
                <w:szCs w:val="21"/>
                <w:highlight w:val="none"/>
                <w:lang w:val="en-US" w:eastAsia="zh-CN"/>
              </w:rPr>
              <w:t>不提供不得分</w:t>
            </w:r>
            <w:r>
              <w:rPr>
                <w:rFonts w:hint="eastAsia" w:ascii="宋体" w:hAnsi="宋体"/>
                <w:szCs w:val="21"/>
                <w:highlight w:val="none"/>
              </w:rPr>
              <w:t>。</w:t>
            </w:r>
          </w:p>
          <w:p>
            <w:pPr>
              <w:numPr>
                <w:ilvl w:val="0"/>
                <w:numId w:val="7"/>
              </w:numPr>
              <w:wordWrap w:val="0"/>
              <w:spacing w:line="360" w:lineRule="auto"/>
              <w:rPr>
                <w:rFonts w:ascii="宋体" w:hAnsi="宋体"/>
                <w:szCs w:val="21"/>
                <w:highlight w:val="none"/>
              </w:rPr>
            </w:pPr>
            <w:r>
              <w:rPr>
                <w:rFonts w:hint="eastAsia" w:ascii="宋体" w:hAnsi="宋体"/>
                <w:szCs w:val="21"/>
                <w:highlight w:val="none"/>
              </w:rPr>
              <w:t>为保证供应商提供的资源无版权纠纷问题，供应商需提供学术视频著作权授权书复印件</w:t>
            </w:r>
            <w:r>
              <w:rPr>
                <w:rFonts w:hint="eastAsia" w:ascii="宋体" w:hAnsi="宋体"/>
                <w:szCs w:val="21"/>
                <w:highlight w:val="none"/>
                <w:lang w:val="en-US" w:eastAsia="zh-CN"/>
              </w:rPr>
              <w:t>提供1份得1分</w:t>
            </w:r>
            <w:r>
              <w:rPr>
                <w:rFonts w:hint="eastAsia" w:ascii="宋体" w:hAnsi="宋体"/>
                <w:szCs w:val="21"/>
                <w:highlight w:val="none"/>
              </w:rPr>
              <w:t>，</w:t>
            </w:r>
            <w:r>
              <w:rPr>
                <w:rFonts w:hint="eastAsia" w:ascii="宋体" w:hAnsi="宋体"/>
                <w:szCs w:val="21"/>
                <w:highlight w:val="none"/>
                <w:lang w:val="en-US" w:eastAsia="zh-CN"/>
              </w:rPr>
              <w:t>满分</w:t>
            </w:r>
            <w:r>
              <w:rPr>
                <w:rFonts w:ascii="宋体" w:hAnsi="宋体"/>
                <w:szCs w:val="21"/>
                <w:highlight w:val="none"/>
              </w:rPr>
              <w:t>3</w:t>
            </w:r>
            <w:r>
              <w:rPr>
                <w:rFonts w:hint="eastAsia" w:ascii="宋体" w:hAnsi="宋体"/>
                <w:szCs w:val="21"/>
                <w:highlight w:val="none"/>
              </w:rPr>
              <w:t>分，</w:t>
            </w:r>
            <w:r>
              <w:rPr>
                <w:rFonts w:hint="eastAsia" w:ascii="宋体" w:hAnsi="宋体"/>
                <w:szCs w:val="21"/>
                <w:highlight w:val="none"/>
                <w:lang w:val="en-US" w:eastAsia="zh-CN"/>
              </w:rPr>
              <w:t>不提供不得分</w:t>
            </w:r>
            <w:r>
              <w:rPr>
                <w:rFonts w:hint="eastAsia" w:ascii="宋体" w:hAnsi="宋体"/>
                <w:szCs w:val="21"/>
                <w:highlight w:val="none"/>
              </w:rPr>
              <w:t>。</w:t>
            </w:r>
          </w:p>
          <w:p>
            <w:pPr>
              <w:numPr>
                <w:ilvl w:val="0"/>
                <w:numId w:val="7"/>
              </w:numPr>
              <w:wordWrap w:val="0"/>
              <w:spacing w:line="360" w:lineRule="auto"/>
              <w:rPr>
                <w:rFonts w:hint="eastAsia" w:asciiTheme="minorEastAsia" w:hAnsiTheme="minorEastAsia" w:eastAsiaTheme="minorEastAsia" w:cstheme="minorEastAsia"/>
                <w:color w:val="auto"/>
                <w:szCs w:val="21"/>
                <w:highlight w:val="none"/>
              </w:rPr>
            </w:pPr>
            <w:bookmarkStart w:id="129" w:name="OLE_LINK5"/>
            <w:r>
              <w:rPr>
                <w:rFonts w:hint="eastAsia" w:ascii="宋体" w:hAnsi="宋体"/>
                <w:szCs w:val="21"/>
                <w:highlight w:val="none"/>
              </w:rPr>
              <w:t>磋商供应商具有信息安全管理体系认证证书得</w:t>
            </w:r>
            <w:r>
              <w:rPr>
                <w:rFonts w:hint="eastAsia" w:ascii="宋体" w:hAnsi="宋体"/>
                <w:szCs w:val="21"/>
                <w:highlight w:val="none"/>
                <w:lang w:val="en-US" w:eastAsia="zh-CN"/>
              </w:rPr>
              <w:t>3</w:t>
            </w:r>
            <w:r>
              <w:rPr>
                <w:rFonts w:hint="eastAsia" w:ascii="宋体" w:hAnsi="宋体"/>
                <w:szCs w:val="21"/>
                <w:highlight w:val="none"/>
              </w:rPr>
              <w:t>分。</w:t>
            </w:r>
            <w:bookmarkEnd w:id="129"/>
          </w:p>
        </w:tc>
      </w:tr>
    </w:tbl>
    <w:p>
      <w:pPr>
        <w:rPr>
          <w:color w:val="auto"/>
          <w:highlight w:val="none"/>
        </w:rPr>
      </w:pPr>
    </w:p>
    <w:p>
      <w:pPr>
        <w:rPr>
          <w:rFonts w:hint="eastAsia"/>
          <w:color w:val="auto"/>
          <w:highlight w:val="none"/>
          <w:lang w:val="en-US"/>
        </w:rPr>
      </w:pP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（三）总得分为上述计分项的汇总。</w:t>
      </w:r>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二</w:t>
      </w:r>
      <w:r>
        <w:rPr>
          <w:rFonts w:hint="eastAsia" w:asciiTheme="minorEastAsia" w:hAnsiTheme="minorEastAsia" w:eastAsiaTheme="minorEastAsia" w:cstheme="minorEastAsia"/>
          <w:b/>
          <w:bCs/>
          <w:color w:val="auto"/>
          <w:sz w:val="24"/>
          <w:highlight w:val="none"/>
        </w:rPr>
        <w:t>、成交候选供应商推荐原则</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磋商小组将根据得分由高到低排列次序（得分相同时，以磋商报价由低到高顺序排列；得分相同且磋商报价相同的，按技术指标优劣顺序排列）并推荐成交候选供应商。采购人应当确定评审委员会推荐排名第一的成交候选供应商为成交供应商。排名第一的成交候选供应商放弃成交、因不可抗力提出不能履行合同，或者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pPr>
        <w:snapToGrid w:val="0"/>
        <w:spacing w:line="360" w:lineRule="auto"/>
        <w:ind w:firstLine="480" w:firstLineChars="200"/>
        <w:outlineLvl w:val="1"/>
        <w:rPr>
          <w:color w:val="auto"/>
          <w:highlight w:val="none"/>
        </w:rPr>
      </w:pPr>
      <w:r>
        <w:rPr>
          <w:rFonts w:hint="eastAsia" w:asciiTheme="minorEastAsia" w:hAnsiTheme="minorEastAsia" w:eastAsiaTheme="minorEastAsia" w:cstheme="minorEastAsia"/>
          <w:color w:val="auto"/>
          <w:sz w:val="24"/>
          <w:highlight w:val="none"/>
        </w:rPr>
        <w:t>（二）磋商小组认为，某磋商供应商的磋商报价属于采购文件规定异常低价情况之一的，应要求其在规定的期限内提供书面文件予以解释说明，并提交相关证明材料，否则磋商无效。</w:t>
      </w:r>
    </w:p>
    <w:p>
      <w:pPr>
        <w:rPr>
          <w:color w:val="auto"/>
          <w:highlight w:val="none"/>
        </w:rPr>
      </w:pPr>
    </w:p>
    <w:p>
      <w:pPr>
        <w:snapToGrid w:val="0"/>
        <w:spacing w:line="360" w:lineRule="auto"/>
        <w:ind w:firstLine="400" w:firstLineChars="200"/>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供应商编制响应文件（商务技术文件部分）时，建议按此目录（序号和内容）提供评标标准相应的商务技术资料。</w:t>
      </w:r>
    </w:p>
    <w:p>
      <w:pPr>
        <w:adjustRightInd/>
        <w:spacing w:line="360" w:lineRule="auto"/>
        <w:ind w:firstLine="482" w:firstLineChars="200"/>
        <w:rPr>
          <w:rFonts w:hint="eastAsia" w:cs="Arial" w:asciiTheme="minorEastAsia" w:hAnsiTheme="minorEastAsia" w:eastAsiaTheme="minorEastAsia"/>
          <w:b/>
          <w:color w:val="auto"/>
          <w:kern w:val="0"/>
          <w:sz w:val="24"/>
          <w:highlight w:val="none"/>
        </w:rPr>
      </w:pPr>
    </w:p>
    <w:p>
      <w:pPr>
        <w:pStyle w:val="393"/>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color w:val="auto"/>
          <w:kern w:val="0"/>
          <w:sz w:val="24"/>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pPr>
        <w:pStyle w:val="393"/>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pPr>
        <w:pStyle w:val="393"/>
        <w:spacing w:before="0"/>
        <w:ind w:firstLine="0" w:firstLineChars="0"/>
        <w:rPr>
          <w:rFonts w:asciiTheme="minorEastAsia" w:hAnsiTheme="minorEastAsia" w:eastAsiaTheme="minorEastAsia"/>
          <w:b/>
          <w:color w:val="auto"/>
          <w:highlight w:val="none"/>
        </w:rPr>
      </w:pPr>
    </w:p>
    <w:p>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3"/>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pPr>
        <w:pStyle w:val="393"/>
        <w:spacing w:before="0"/>
        <w:ind w:firstLine="0" w:firstLineChars="0"/>
        <w:rPr>
          <w:rFonts w:asciiTheme="minorEastAsia" w:hAnsiTheme="minorEastAsia" w:eastAsiaTheme="minorEastAsia"/>
          <w:b/>
          <w:color w:val="auto"/>
          <w:highlight w:val="none"/>
        </w:rPr>
      </w:pPr>
    </w:p>
    <w:p>
      <w:pPr>
        <w:pStyle w:val="393"/>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3.政府采购异常低价审查：</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3.1按照《关于推动解决政府采购异常低价问题的通知》（财库〔2026〕2号）有关规定，本项目评审中出现下列情形之一的，磋商小组应当启动异常低价响应审查程序：</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（1）最后报价低于全部通过符合性审查供应商最后报价平均值50%的，即最后报价&lt;全部通过符合性审查供应商最后报价平均值×50%；</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（2）最后报价低于通过符合性审查的次低报价供应商最后报价50%的，即最后报价&lt;通过符合性审查的次低报价供应商最后报价×50%；</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（3）最后报价低于采购项目最高限价45%的，即最后报价&lt;采购项目最高限价×45%；</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（4）磋商小组基于专业判断，认为供应商报价过低，有可能影响产品质量或者不能诚信履约的其他情形。</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45%</w:t>
      </w:r>
      <w:r>
        <w:rPr>
          <w:rFonts w:hint="eastAsia" w:ascii="宋体" w:hAnsi="宋体" w:cs="宋体"/>
          <w:color w:val="auto"/>
          <w:kern w:val="0"/>
          <w:szCs w:val="24"/>
          <w:highlight w:val="none"/>
        </w:rPr>
        <w:t>。</w:t>
      </w:r>
      <w:r>
        <w:rPr>
          <w:rFonts w:hint="eastAsia" w:ascii="宋体" w:hAnsi="宋体" w:cs="宋体"/>
          <w:color w:val="auto"/>
          <w:kern w:val="0"/>
          <w:highlight w:val="none"/>
        </w:rPr>
        <w:t>采购项目未设定最高限价的，审查时取项目预算金额作为最高限价。</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39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异常低价响应审查的启动原因、审查意见和审查结果应当在评审报告中记录，并随供应商提供的相关书面说明及证明材料，以及磋商小组有关互联网浏览、查询历史一并归档。</w:t>
      </w:r>
    </w:p>
    <w:p>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4.</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4.1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4.5响应文件未按磋商文件的澄清、修改的内容编制，又不符合实质性要求的；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4.8响应文件未按照磋商文件要求签署、盖章的；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4.11响应文件中承诺的响应有效期少于磋商文件中载明的响应有效期的；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4.12供应商所投内容不符合磋商文件中实质性要求的；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最后报价属于磋商文件规定的政府采购异常低价情形之一，且供应商不能提供书面说明、证明材料，或者提供的书面说明、证明材料不能证明其报价合理性的;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.10不同供应商的响应文件载明的项目管理成员或者联系人员为同一人；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.11不同供应商的响应文件异常一致或者最后报价呈规律性差异。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供应商仅提交备份响应文件，没有在电子交易平台传输提交响应文件的，响应无效；</w:t>
      </w:r>
    </w:p>
    <w:p>
      <w:pPr>
        <w:pStyle w:val="632"/>
        <w:rPr>
          <w:rFonts w:cs="宋体"/>
          <w:color w:val="auto"/>
          <w:highlight w:val="none"/>
        </w:rPr>
      </w:pPr>
      <w:r>
        <w:rPr>
          <w:rFonts w:hint="eastAsia"/>
          <w:color w:val="auto"/>
          <w:highlight w:val="none"/>
        </w:rPr>
        <w:t>4.2</w:t>
      </w:r>
      <w:r>
        <w:rPr>
          <w:rFonts w:hint="eastAsia"/>
          <w:color w:val="auto"/>
          <w:highlight w:val="none"/>
          <w:lang w:val="en-US" w:eastAsia="zh-CN"/>
        </w:rPr>
        <w:t>1</w:t>
      </w:r>
      <w:r>
        <w:rPr>
          <w:rFonts w:hint="eastAsia" w:cs="宋体"/>
          <w:color w:val="auto"/>
          <w:highlight w:val="none"/>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法律、法规、规章（适用本市的）及省级以上规范性文件（适用本市的）规定的其他无效情形。</w:t>
      </w:r>
    </w:p>
    <w:p>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6.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 xml:space="preserve">.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3"/>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spacing w:line="360" w:lineRule="auto"/>
        <w:ind w:firstLine="480" w:firstLineChars="200"/>
        <w:rPr>
          <w:rFonts w:hint="eastAsia" w:cs="仿宋_GB2312" w:asciiTheme="minorEastAsia" w:hAnsiTheme="minorEastAsia" w:eastAsiaTheme="minorEastAsia"/>
          <w:color w:val="auto"/>
          <w:sz w:val="24"/>
          <w:highlight w:val="none"/>
        </w:rPr>
      </w:pP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hint="eastAsia" w:cs="仿宋_GB2312" w:asciiTheme="minorEastAsia" w:hAnsiTheme="minorEastAsia" w:eastAsiaTheme="minorEastAsia"/>
          <w:b/>
          <w:color w:val="auto"/>
          <w:sz w:val="36"/>
          <w:szCs w:val="36"/>
          <w:highlight w:val="none"/>
        </w:rPr>
      </w:pPr>
      <w:bookmarkStart w:id="130" w:name="_Toc30557"/>
      <w:bookmarkStart w:id="131" w:name="_Toc22193"/>
      <w:r>
        <w:rPr>
          <w:rFonts w:hint="eastAsia" w:cs="仿宋_GB2312" w:asciiTheme="minorEastAsia" w:hAnsiTheme="minorEastAsia" w:eastAsiaTheme="minorEastAsia"/>
          <w:b/>
          <w:color w:val="auto"/>
          <w:sz w:val="36"/>
          <w:szCs w:val="36"/>
          <w:highlight w:val="none"/>
        </w:rPr>
        <w:t>第六部分</w:t>
      </w:r>
      <w:bookmarkEnd w:id="128"/>
      <w:r>
        <w:rPr>
          <w:rFonts w:hint="eastAsia" w:cs="仿宋_GB2312" w:asciiTheme="minorEastAsia" w:hAnsiTheme="minorEastAsia" w:eastAsiaTheme="minorEastAsia"/>
          <w:b/>
          <w:color w:val="auto"/>
          <w:sz w:val="36"/>
          <w:szCs w:val="36"/>
          <w:highlight w:val="none"/>
        </w:rPr>
        <w:t xml:space="preserve">  拟签订的合同文本</w:t>
      </w:r>
      <w:bookmarkEnd w:id="130"/>
      <w:bookmarkEnd w:id="131"/>
    </w:p>
    <w:p>
      <w:pPr>
        <w:spacing w:line="480" w:lineRule="auto"/>
        <w:jc w:val="center"/>
        <w:rPr>
          <w:rFonts w:hint="eastAsia" w:ascii="宋体" w:hAnsi="宋体" w:cs="宋体"/>
          <w:b/>
          <w:color w:val="auto"/>
          <w:sz w:val="24"/>
          <w:highlight w:val="none"/>
        </w:rPr>
      </w:pPr>
      <w:bookmarkStart w:id="132" w:name="第五部分"/>
      <w:bookmarkStart w:id="133" w:name="_Toc86217003"/>
    </w:p>
    <w:p>
      <w:pPr>
        <w:spacing w:line="480" w:lineRule="auto"/>
        <w:jc w:val="center"/>
        <w:rPr>
          <w:rFonts w:hint="eastAsia" w:ascii="宋体" w:hAnsi="宋体" w:cs="宋体"/>
          <w:b/>
          <w:color w:val="auto"/>
          <w:sz w:val="24"/>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282"/>
        <w:ind w:firstLine="2843" w:firstLineChars="1180"/>
        <w:rPr>
          <w:rFonts w:hint="eastAsia" w:ascii="宋体" w:hAnsi="宋体" w:cs="宋体"/>
          <w:b/>
          <w:color w:val="auto"/>
          <w:szCs w:val="24"/>
          <w:highlight w:val="none"/>
        </w:rPr>
      </w:pPr>
    </w:p>
    <w:p>
      <w:pPr>
        <w:pStyle w:val="24"/>
        <w:spacing w:after="120"/>
        <w:rPr>
          <w:rFonts w:hint="eastAsia"/>
          <w:color w:val="auto"/>
          <w:highlight w:val="none"/>
        </w:rPr>
      </w:pPr>
    </w:p>
    <w:p>
      <w:pPr>
        <w:pStyle w:val="24"/>
        <w:spacing w:after="120"/>
        <w:rPr>
          <w:rFonts w:hint="eastAsia"/>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spacing w:line="360" w:lineRule="auto"/>
        <w:jc w:val="center"/>
        <w:outlineLvl w:val="1"/>
        <w:rPr>
          <w:rFonts w:ascii="宋体" w:hAnsi="宋体" w:cs="宋体"/>
          <w:b/>
          <w:color w:val="auto"/>
          <w:sz w:val="24"/>
          <w:highlight w:val="none"/>
        </w:rPr>
      </w:pPr>
      <w:bookmarkStart w:id="134" w:name="_Toc22209"/>
      <w:r>
        <w:rPr>
          <w:rFonts w:hint="eastAsia" w:ascii="宋体" w:hAnsi="宋体"/>
          <w:b/>
          <w:color w:val="auto"/>
          <w:sz w:val="24"/>
          <w:highlight w:val="none"/>
        </w:rPr>
        <w:t>第一节 政府采购合同协议书</w:t>
      </w:r>
      <w:bookmarkEnd w:id="134"/>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rPr>
          <w:rFonts w:ascii="宋体" w:hAnsi="宋体"/>
          <w:color w:val="auto"/>
          <w:sz w:val="24"/>
          <w:highlight w:val="none"/>
        </w:rPr>
      </w:pPr>
      <w:bookmarkStart w:id="135" w:name="_Toc28855"/>
      <w:bookmarkStart w:id="136" w:name="_Toc19273"/>
      <w:bookmarkStart w:id="137" w:name="_Toc15367"/>
      <w:bookmarkStart w:id="138" w:name="_Toc22967"/>
      <w:bookmarkStart w:id="139"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135"/>
      <w:bookmarkEnd w:id="136"/>
      <w:bookmarkEnd w:id="137"/>
      <w:bookmarkEnd w:id="138"/>
      <w:bookmarkEnd w:id="13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360" w:lineRule="auto"/>
        <w:ind w:firstLine="482" w:firstLineChars="200"/>
        <w:rPr>
          <w:rFonts w:ascii="宋体" w:hAnsi="宋体"/>
          <w:b/>
          <w:color w:val="auto"/>
          <w:sz w:val="24"/>
          <w:highlight w:val="none"/>
        </w:rPr>
      </w:pPr>
      <w:bookmarkStart w:id="140" w:name="_Toc22185"/>
      <w:bookmarkStart w:id="141" w:name="_Toc6311"/>
      <w:bookmarkStart w:id="142" w:name="_Toc18585"/>
      <w:bookmarkStart w:id="143" w:name="_Toc6773"/>
      <w:bookmarkStart w:id="144"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140"/>
      <w:bookmarkEnd w:id="141"/>
      <w:bookmarkEnd w:id="142"/>
      <w:bookmarkEnd w:id="143"/>
      <w:bookmarkEnd w:id="144"/>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63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bookmarkStart w:id="145" w:name="_Toc13918"/>
      <w:bookmarkStart w:id="146" w:name="_Toc21124"/>
      <w:bookmarkStart w:id="147" w:name="_Toc4929"/>
      <w:bookmarkStart w:id="148" w:name="_Toc1386"/>
      <w:bookmarkStart w:id="149"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145"/>
      <w:bookmarkEnd w:id="146"/>
      <w:bookmarkEnd w:id="147"/>
      <w:bookmarkEnd w:id="148"/>
      <w:bookmarkEnd w:id="149"/>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622"/>
              <w:spacing w:line="360" w:lineRule="auto"/>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622"/>
              <w:spacing w:line="360" w:lineRule="auto"/>
              <w:ind w:firstLine="200"/>
              <w:jc w:val="center"/>
              <w:rPr>
                <w:rFonts w:hAnsi="宋体"/>
                <w:color w:val="auto"/>
                <w:sz w:val="24"/>
                <w:szCs w:val="24"/>
                <w:highlight w:val="none"/>
              </w:rPr>
            </w:pPr>
          </w:p>
        </w:tc>
      </w:tr>
    </w:tbl>
    <w:p>
      <w:pPr>
        <w:spacing w:line="360" w:lineRule="auto"/>
        <w:ind w:firstLine="480" w:firstLineChars="200"/>
        <w:rPr>
          <w:rFonts w:ascii="宋体" w:hAnsi="宋体"/>
          <w:color w:val="auto"/>
          <w:sz w:val="24"/>
          <w:highlight w:val="none"/>
        </w:rPr>
      </w:pPr>
      <w:bookmarkStart w:id="150" w:name="_Toc26916"/>
      <w:bookmarkStart w:id="151" w:name="_Toc30506"/>
      <w:bookmarkStart w:id="152" w:name="_Toc14993"/>
      <w:bookmarkStart w:id="153" w:name="_Toc30158"/>
      <w:bookmarkStart w:id="154" w:name="_Toc3654"/>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632"/>
        <w:rPr>
          <w:color w:val="auto"/>
          <w:highlight w:val="none"/>
        </w:rPr>
      </w:pPr>
      <w:r>
        <w:rPr>
          <w:rFonts w:hint="eastAsia"/>
          <w:color w:val="auto"/>
          <w:highlight w:val="none"/>
        </w:rPr>
        <w:t>1.3.3其他计价方式：                   。</w:t>
      </w:r>
    </w:p>
    <w:bookmarkEnd w:id="150"/>
    <w:bookmarkEnd w:id="151"/>
    <w:bookmarkEnd w:id="152"/>
    <w:bookmarkEnd w:id="153"/>
    <w:bookmarkEnd w:id="154"/>
    <w:p>
      <w:pPr>
        <w:pStyle w:val="630"/>
        <w:spacing w:before="0" w:beforeAutospacing="0" w:after="0" w:afterAutospacing="0" w:line="360" w:lineRule="auto"/>
        <w:ind w:firstLine="480"/>
        <w:rPr>
          <w:b/>
          <w:color w:val="auto"/>
          <w:highlight w:val="none"/>
        </w:rPr>
      </w:pPr>
      <w:bookmarkStart w:id="155" w:name="_Toc10340"/>
      <w:bookmarkStart w:id="156" w:name="_Toc1814"/>
      <w:bookmarkStart w:id="157" w:name="_Toc22618"/>
      <w:bookmarkStart w:id="158" w:name="_Toc11108"/>
      <w:bookmarkStart w:id="159" w:name="_Toc3625"/>
      <w:bookmarkStart w:id="160" w:name="_Toc8772"/>
      <w:bookmarkStart w:id="161" w:name="_Toc31421"/>
      <w:bookmarkStart w:id="162" w:name="_Toc4760"/>
      <w:r>
        <w:rPr>
          <w:rFonts w:hint="eastAsia"/>
          <w:b/>
          <w:color w:val="auto"/>
          <w:highlight w:val="none"/>
        </w:rPr>
        <w:t>1.4履约保证金</w:t>
      </w:r>
    </w:p>
    <w:p>
      <w:pPr>
        <w:pStyle w:val="63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32"/>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155"/>
      <w:bookmarkEnd w:id="156"/>
      <w:bookmarkEnd w:id="157"/>
      <w:r>
        <w:rPr>
          <w:rFonts w:hint="eastAsia" w:ascii="宋体" w:hAnsi="宋体" w:cs="宋体"/>
          <w:b/>
          <w:color w:val="auto"/>
          <w:sz w:val="24"/>
          <w:highlight w:val="none"/>
        </w:rPr>
        <w:t>预付款</w:t>
      </w:r>
    </w:p>
    <w:p>
      <w:pPr>
        <w:pStyle w:val="63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3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3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30"/>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63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158"/>
      <w:bookmarkEnd w:id="159"/>
      <w:bookmarkEnd w:id="160"/>
      <w:bookmarkEnd w:id="161"/>
      <w:bookmarkEnd w:id="162"/>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bookmarkStart w:id="163" w:name="_Toc3079"/>
      <w:bookmarkStart w:id="164" w:name="_Toc8586"/>
      <w:bookmarkStart w:id="165" w:name="_Toc5698"/>
      <w:bookmarkStart w:id="166" w:name="_Toc2375"/>
      <w:bookmarkStart w:id="167" w:name="_Toc24662"/>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163"/>
      <w:bookmarkEnd w:id="164"/>
      <w:bookmarkEnd w:id="165"/>
      <w:bookmarkEnd w:id="166"/>
      <w:bookmarkEnd w:id="167"/>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632"/>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168" w:name="_Toc18683"/>
      <w:bookmarkStart w:id="169" w:name="_Toc32454"/>
      <w:bookmarkStart w:id="170" w:name="_Toc9497"/>
      <w:bookmarkStart w:id="171" w:name="_Toc30329"/>
      <w:bookmarkStart w:id="172"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168"/>
    <w:bookmarkEnd w:id="169"/>
    <w:bookmarkEnd w:id="170"/>
    <w:bookmarkEnd w:id="171"/>
    <w:bookmarkEnd w:id="172"/>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360" w:lineRule="auto"/>
        <w:rPr>
          <w:rFonts w:ascii="宋体" w:hAnsi="宋体"/>
          <w:color w:val="auto"/>
          <w:sz w:val="24"/>
          <w:highlight w:val="none"/>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widowControl/>
        <w:spacing w:line="360" w:lineRule="auto"/>
        <w:jc w:val="left"/>
        <w:rPr>
          <w:rFonts w:ascii="宋体" w:hAnsi="宋体"/>
          <w:b/>
          <w:color w:val="auto"/>
          <w:sz w:val="24"/>
          <w:highlight w:val="none"/>
        </w:rPr>
      </w:pPr>
    </w:p>
    <w:p>
      <w:pPr>
        <w:pStyle w:val="282"/>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360" w:lineRule="auto"/>
        <w:ind w:firstLine="482" w:firstLineChars="200"/>
        <w:rPr>
          <w:rFonts w:ascii="宋体" w:hAnsi="宋体"/>
          <w:b/>
          <w:color w:val="auto"/>
          <w:sz w:val="24"/>
          <w:highlight w:val="none"/>
        </w:rPr>
      </w:pPr>
      <w:bookmarkStart w:id="173" w:name="_Toc19680"/>
      <w:bookmarkStart w:id="174" w:name="_Toc31297"/>
      <w:bookmarkStart w:id="175" w:name="_Toc5228"/>
      <w:bookmarkStart w:id="176" w:name="_Toc14021"/>
      <w:bookmarkStart w:id="177" w:name="_Toc25079"/>
      <w:r>
        <w:rPr>
          <w:rFonts w:ascii="宋体" w:hAnsi="宋体"/>
          <w:b/>
          <w:color w:val="auto"/>
          <w:sz w:val="24"/>
          <w:highlight w:val="none"/>
        </w:rPr>
        <w:t>2.1 定义</w:t>
      </w:r>
      <w:bookmarkEnd w:id="173"/>
      <w:bookmarkEnd w:id="174"/>
      <w:bookmarkEnd w:id="175"/>
      <w:bookmarkEnd w:id="176"/>
      <w:bookmarkEnd w:id="177"/>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ascii="宋体" w:hAnsi="宋体"/>
          <w:b/>
          <w:color w:val="auto"/>
          <w:sz w:val="24"/>
          <w:highlight w:val="none"/>
        </w:rPr>
      </w:pPr>
      <w:bookmarkStart w:id="178" w:name="_Toc3769"/>
      <w:bookmarkStart w:id="179" w:name="_Toc19539"/>
      <w:bookmarkStart w:id="180" w:name="_Toc16752"/>
      <w:bookmarkStart w:id="181" w:name="_Toc23289"/>
      <w:bookmarkStart w:id="182" w:name="_Toc31402"/>
      <w:r>
        <w:rPr>
          <w:rFonts w:ascii="宋体" w:hAnsi="宋体"/>
          <w:b/>
          <w:color w:val="auto"/>
          <w:sz w:val="24"/>
          <w:highlight w:val="none"/>
        </w:rPr>
        <w:t>2.2 技术规范</w:t>
      </w:r>
      <w:bookmarkEnd w:id="178"/>
      <w:bookmarkEnd w:id="179"/>
      <w:bookmarkEnd w:id="180"/>
      <w:bookmarkEnd w:id="181"/>
      <w:bookmarkEnd w:id="18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ascii="宋体" w:hAnsi="宋体"/>
          <w:b/>
          <w:color w:val="auto"/>
          <w:sz w:val="24"/>
          <w:highlight w:val="none"/>
        </w:rPr>
      </w:pPr>
      <w:bookmarkStart w:id="183" w:name="_Toc12412"/>
      <w:bookmarkStart w:id="184" w:name="_Toc13673"/>
      <w:bookmarkStart w:id="185" w:name="_Toc27945"/>
      <w:bookmarkStart w:id="186" w:name="_Toc9161"/>
      <w:bookmarkStart w:id="187" w:name="_Toc4133"/>
      <w:r>
        <w:rPr>
          <w:rFonts w:ascii="宋体" w:hAnsi="宋体"/>
          <w:b/>
          <w:color w:val="auto"/>
          <w:sz w:val="24"/>
          <w:highlight w:val="none"/>
        </w:rPr>
        <w:t>2.3 知识产权</w:t>
      </w:r>
      <w:bookmarkEnd w:id="183"/>
      <w:bookmarkEnd w:id="184"/>
      <w:bookmarkEnd w:id="185"/>
      <w:bookmarkEnd w:id="186"/>
      <w:bookmarkEnd w:id="187"/>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highlight w:val="none"/>
        </w:rPr>
      </w:pPr>
      <w:bookmarkStart w:id="188" w:name="_Toc31233"/>
      <w:bookmarkStart w:id="189" w:name="_Toc22011"/>
      <w:bookmarkStart w:id="190" w:name="_Toc26555"/>
      <w:bookmarkStart w:id="191" w:name="_Toc15447"/>
      <w:bookmarkStart w:id="192" w:name="_Toc32670"/>
      <w:r>
        <w:rPr>
          <w:rFonts w:ascii="宋体" w:hAnsi="宋体"/>
          <w:b/>
          <w:color w:val="auto"/>
          <w:sz w:val="24"/>
          <w:highlight w:val="none"/>
        </w:rPr>
        <w:t>2.5 结算方式和付款条件</w:t>
      </w:r>
      <w:bookmarkEnd w:id="188"/>
      <w:bookmarkEnd w:id="189"/>
      <w:bookmarkEnd w:id="190"/>
      <w:bookmarkEnd w:id="191"/>
      <w:bookmarkEnd w:id="192"/>
    </w:p>
    <w:p>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93" w:name="_Toc16163"/>
      <w:bookmarkStart w:id="194" w:name="_Toc18990"/>
      <w:bookmarkStart w:id="195" w:name="_Toc30507"/>
      <w:bookmarkStart w:id="196" w:name="_Toc13154"/>
      <w:bookmarkStart w:id="197" w:name="_Toc13467"/>
      <w:r>
        <w:rPr>
          <w:rFonts w:ascii="宋体" w:hAnsi="宋体"/>
          <w:b/>
          <w:color w:val="auto"/>
          <w:sz w:val="24"/>
          <w:highlight w:val="none"/>
        </w:rPr>
        <w:t>2.6 技术资料和保密义务</w:t>
      </w:r>
      <w:bookmarkEnd w:id="193"/>
      <w:bookmarkEnd w:id="194"/>
      <w:bookmarkEnd w:id="195"/>
      <w:bookmarkEnd w:id="196"/>
      <w:bookmarkEnd w:id="197"/>
    </w:p>
    <w:p>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highlight w:val="none"/>
        </w:rPr>
      </w:pPr>
      <w:bookmarkStart w:id="198"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98"/>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highlight w:val="none"/>
        </w:rPr>
      </w:pPr>
      <w:bookmarkStart w:id="199"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9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ascii="宋体" w:hAnsi="宋体"/>
          <w:b/>
          <w:color w:val="auto"/>
          <w:sz w:val="24"/>
          <w:highlight w:val="none"/>
        </w:rPr>
      </w:pPr>
      <w:bookmarkStart w:id="200"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20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201" w:name="_Toc21830"/>
      <w:bookmarkStart w:id="202" w:name="_Toc10663"/>
      <w:bookmarkStart w:id="203" w:name="_Toc23368"/>
      <w:bookmarkStart w:id="204" w:name="_Toc26689"/>
      <w:bookmarkStart w:id="205" w:name="_Toc42"/>
      <w:r>
        <w:rPr>
          <w:rFonts w:ascii="宋体" w:hAnsi="宋体"/>
          <w:b/>
          <w:color w:val="auto"/>
          <w:sz w:val="24"/>
          <w:highlight w:val="none"/>
        </w:rPr>
        <w:t>2.10 合同转让和分包</w:t>
      </w:r>
      <w:bookmarkEnd w:id="201"/>
      <w:bookmarkEnd w:id="202"/>
      <w:bookmarkEnd w:id="203"/>
      <w:bookmarkEnd w:id="204"/>
      <w:bookmarkEnd w:id="205"/>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ascii="宋体" w:hAnsi="宋体"/>
          <w:b/>
          <w:color w:val="auto"/>
          <w:sz w:val="24"/>
          <w:highlight w:val="none"/>
        </w:rPr>
      </w:pPr>
      <w:bookmarkStart w:id="206" w:name="_Toc32494"/>
      <w:bookmarkStart w:id="207" w:name="_Toc25571"/>
      <w:bookmarkStart w:id="208" w:name="_Toc4720"/>
      <w:bookmarkStart w:id="209" w:name="_Toc26633"/>
      <w:bookmarkStart w:id="210" w:name="_Toc14371"/>
      <w:r>
        <w:rPr>
          <w:rFonts w:ascii="宋体" w:hAnsi="宋体"/>
          <w:b/>
          <w:color w:val="auto"/>
          <w:sz w:val="24"/>
          <w:highlight w:val="none"/>
        </w:rPr>
        <w:t>2.11 不可抗力</w:t>
      </w:r>
      <w:bookmarkEnd w:id="206"/>
      <w:bookmarkEnd w:id="207"/>
      <w:bookmarkEnd w:id="208"/>
      <w:bookmarkEnd w:id="209"/>
      <w:bookmarkEnd w:id="210"/>
    </w:p>
    <w:p>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211" w:name="_Toc23854"/>
      <w:bookmarkStart w:id="212" w:name="_Toc24465"/>
      <w:bookmarkStart w:id="213" w:name="_Toc25783"/>
      <w:bookmarkStart w:id="214" w:name="_Toc14115"/>
      <w:bookmarkStart w:id="215" w:name="_Toc3638"/>
      <w:r>
        <w:rPr>
          <w:rFonts w:ascii="宋体" w:hAnsi="宋体"/>
          <w:b/>
          <w:color w:val="auto"/>
          <w:sz w:val="24"/>
          <w:highlight w:val="none"/>
        </w:rPr>
        <w:t>2.12 税费</w:t>
      </w:r>
      <w:bookmarkEnd w:id="211"/>
      <w:bookmarkEnd w:id="212"/>
      <w:bookmarkEnd w:id="213"/>
      <w:bookmarkEnd w:id="214"/>
      <w:bookmarkEnd w:id="215"/>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ascii="宋体" w:hAnsi="宋体"/>
          <w:b/>
          <w:color w:val="auto"/>
          <w:sz w:val="24"/>
          <w:highlight w:val="none"/>
        </w:rPr>
      </w:pPr>
      <w:bookmarkStart w:id="216" w:name="_Toc26883"/>
      <w:bookmarkStart w:id="217" w:name="_Toc14814"/>
      <w:bookmarkStart w:id="218" w:name="_Toc7315"/>
      <w:bookmarkStart w:id="219" w:name="_Toc30105"/>
      <w:bookmarkStart w:id="220" w:name="_Toc25525"/>
      <w:r>
        <w:rPr>
          <w:rFonts w:ascii="宋体" w:hAnsi="宋体"/>
          <w:b/>
          <w:color w:val="auto"/>
          <w:sz w:val="24"/>
          <w:highlight w:val="none"/>
        </w:rPr>
        <w:t>2.13 乙方破产</w:t>
      </w:r>
      <w:bookmarkEnd w:id="216"/>
      <w:bookmarkEnd w:id="217"/>
      <w:bookmarkEnd w:id="218"/>
      <w:bookmarkEnd w:id="219"/>
      <w:bookmarkEnd w:id="220"/>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221" w:name="_Toc2016"/>
      <w:bookmarkStart w:id="222" w:name="_Toc23323"/>
      <w:bookmarkStart w:id="223" w:name="_Toc1123"/>
      <w:r>
        <w:rPr>
          <w:rFonts w:ascii="宋体" w:hAnsi="宋体"/>
          <w:b/>
          <w:color w:val="auto"/>
          <w:sz w:val="24"/>
          <w:highlight w:val="none"/>
        </w:rPr>
        <w:t>2.14 合同中止、终止</w:t>
      </w:r>
      <w:bookmarkEnd w:id="221"/>
      <w:bookmarkEnd w:id="222"/>
      <w:bookmarkEnd w:id="223"/>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224" w:name="_Toc17363"/>
      <w:bookmarkStart w:id="225" w:name="_Toc14525"/>
      <w:bookmarkStart w:id="226" w:name="_Toc1969"/>
      <w:r>
        <w:rPr>
          <w:rFonts w:ascii="宋体" w:hAnsi="宋体"/>
          <w:b/>
          <w:color w:val="auto"/>
          <w:sz w:val="24"/>
          <w:highlight w:val="none"/>
        </w:rPr>
        <w:t>2.15 检验和验收</w:t>
      </w:r>
      <w:bookmarkEnd w:id="224"/>
      <w:bookmarkEnd w:id="225"/>
      <w:bookmarkEnd w:id="226"/>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227" w:name="_Toc9808"/>
      <w:bookmarkStart w:id="228" w:name="_Toc31892"/>
      <w:bookmarkStart w:id="229" w:name="_Toc25198"/>
      <w:bookmarkStart w:id="230" w:name="_Toc2308"/>
      <w:bookmarkStart w:id="231" w:name="_Toc12666"/>
      <w:r>
        <w:rPr>
          <w:rFonts w:ascii="宋体" w:hAnsi="宋体"/>
          <w:b/>
          <w:color w:val="auto"/>
          <w:sz w:val="24"/>
          <w:highlight w:val="none"/>
        </w:rPr>
        <w:t>2.16 通知和送达</w:t>
      </w:r>
      <w:bookmarkEnd w:id="227"/>
      <w:bookmarkEnd w:id="228"/>
      <w:bookmarkEnd w:id="229"/>
      <w:bookmarkEnd w:id="230"/>
      <w:bookmarkEnd w:id="231"/>
    </w:p>
    <w:p>
      <w:pPr>
        <w:spacing w:line="360" w:lineRule="auto"/>
        <w:ind w:firstLine="480" w:firstLineChars="200"/>
        <w:rPr>
          <w:rFonts w:ascii="宋体" w:hAnsi="宋体"/>
          <w:color w:val="auto"/>
          <w:sz w:val="24"/>
          <w:highlight w:val="none"/>
        </w:rPr>
      </w:pPr>
      <w:bookmarkStart w:id="232" w:name="_Toc27674"/>
      <w:bookmarkStart w:id="233"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232"/>
      <w:bookmarkEnd w:id="233"/>
    </w:p>
    <w:p>
      <w:pPr>
        <w:spacing w:line="360" w:lineRule="auto"/>
        <w:ind w:firstLine="482" w:firstLineChars="200"/>
        <w:rPr>
          <w:rFonts w:ascii="宋体" w:hAnsi="宋体"/>
          <w:b/>
          <w:color w:val="auto"/>
          <w:sz w:val="24"/>
          <w:highlight w:val="none"/>
        </w:rPr>
      </w:pPr>
      <w:bookmarkStart w:id="234" w:name="_Toc5063"/>
      <w:bookmarkStart w:id="235" w:name="_Toc20808"/>
      <w:bookmarkStart w:id="236" w:name="_Toc12254"/>
      <w:bookmarkStart w:id="237" w:name="_Toc28906"/>
      <w:bookmarkStart w:id="238"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234"/>
      <w:bookmarkEnd w:id="235"/>
      <w:bookmarkEnd w:id="236"/>
      <w:bookmarkEnd w:id="237"/>
      <w:bookmarkEnd w:id="238"/>
    </w:p>
    <w:p>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hint="eastAsia" w:ascii="宋体" w:hAnsi="宋体" w:cs="宋体"/>
          <w:color w:val="auto"/>
          <w:sz w:val="24"/>
          <w:highlight w:val="none"/>
        </w:rPr>
      </w:pPr>
    </w:p>
    <w:p>
      <w:pPr>
        <w:spacing w:line="360" w:lineRule="auto"/>
        <w:ind w:firstLine="562" w:firstLineChars="200"/>
        <w:jc w:val="center"/>
        <w:rPr>
          <w:rFonts w:hint="eastAsia" w:asciiTheme="minorEastAsia" w:hAnsiTheme="minorEastAsia" w:eastAsiaTheme="minorEastAsia"/>
          <w:b/>
          <w:color w:val="auto"/>
          <w:sz w:val="28"/>
          <w:szCs w:val="28"/>
          <w:highlight w:val="none"/>
        </w:rPr>
      </w:pPr>
    </w:p>
    <w:p>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239" w:name="_Toc15409"/>
      <w:bookmarkStart w:id="240" w:name="_Toc17252"/>
      <w:r>
        <w:rPr>
          <w:rFonts w:hint="eastAsia" w:cs="仿宋_GB2312" w:asciiTheme="minorEastAsia" w:hAnsiTheme="minorEastAsia" w:eastAsiaTheme="minorEastAsia"/>
          <w:b/>
          <w:color w:val="auto"/>
          <w:sz w:val="36"/>
          <w:szCs w:val="20"/>
          <w:highlight w:val="none"/>
        </w:rPr>
        <w:t>第七部分</w:t>
      </w:r>
      <w:bookmarkEnd w:id="132"/>
      <w:r>
        <w:rPr>
          <w:rFonts w:hint="eastAsia" w:cs="仿宋_GB2312" w:asciiTheme="minorEastAsia" w:hAnsiTheme="minorEastAsia" w:eastAsiaTheme="minorEastAsia"/>
          <w:b/>
          <w:color w:val="auto"/>
          <w:sz w:val="36"/>
          <w:szCs w:val="20"/>
          <w:highlight w:val="none"/>
        </w:rPr>
        <w:t xml:space="preserve">  </w:t>
      </w:r>
      <w:bookmarkEnd w:id="133"/>
      <w:r>
        <w:rPr>
          <w:rFonts w:hint="eastAsia" w:cs="仿宋_GB2312" w:asciiTheme="minorEastAsia" w:hAnsiTheme="minorEastAsia" w:eastAsiaTheme="minorEastAsia"/>
          <w:b/>
          <w:color w:val="auto"/>
          <w:sz w:val="36"/>
          <w:szCs w:val="20"/>
          <w:highlight w:val="none"/>
        </w:rPr>
        <w:t>应提交的有关格式范例</w:t>
      </w:r>
      <w:bookmarkEnd w:id="239"/>
      <w:bookmarkEnd w:id="240"/>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（9）技术设计方案…………………………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w:t>
      </w:r>
      <w:r>
        <w:rPr>
          <w:rFonts w:cs="仿宋_GB2312" w:asciiTheme="minorEastAsia" w:hAnsiTheme="minorEastAsia" w:eastAsiaTheme="minorEastAsia"/>
          <w:color w:val="auto"/>
          <w:kern w:val="0"/>
          <w:sz w:val="24"/>
          <w:highlight w:val="none"/>
        </w:rPr>
        <w:t>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bookmarkStart w:id="241" w:name="OLE_LINK1"/>
      <w:r>
        <w:rPr>
          <w:rFonts w:hint="eastAsia" w:cs="仿宋_GB2312" w:asciiTheme="minorEastAsia" w:hAnsiTheme="minorEastAsia" w:eastAsiaTheme="minorEastAsia"/>
          <w:color w:val="auto"/>
          <w:kern w:val="0"/>
          <w:sz w:val="24"/>
          <w:highlight w:val="none"/>
          <w:lang w:val="zh-CN"/>
        </w:rPr>
        <w:t>…</w:t>
      </w:r>
      <w:bookmarkEnd w:id="241"/>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2"/>
        <w:rPr>
          <w:rFonts w:hint="eastAsia"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宋体"/>
          <w:color w:val="auto"/>
          <w:highlight w:val="none"/>
        </w:rPr>
        <w:t>………（页码）</w:t>
      </w:r>
    </w:p>
    <w:p>
      <w:pPr>
        <w:pStyle w:val="632"/>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Cs w:val="24"/>
          <w:highlight w:val="none"/>
          <w:lang w:val="zh-CN"/>
        </w:rPr>
        <w:t>………（页码）</w:t>
      </w:r>
    </w:p>
    <w:p>
      <w:pPr>
        <w:pStyle w:val="632"/>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r>
        <w:rPr>
          <w:rFonts w:hint="eastAsia" w:cs="仿宋_GB2312" w:asciiTheme="minorEastAsia" w:hAnsiTheme="minorEastAsia" w:eastAsiaTheme="minorEastAsia"/>
          <w:color w:val="auto"/>
          <w:szCs w:val="24"/>
          <w:highlight w:val="none"/>
          <w:lang w:val="zh-CN"/>
        </w:rPr>
        <w:t>……………………………………………………………（页码）</w:t>
      </w:r>
    </w:p>
    <w:p>
      <w:pPr>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注：以上目录是编制供应商响应文件的基本格式要求，各供应商可根据自身情况进一步细化，其中标注“▲”为必须提供的材料。</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5"/>
        <w:numPr>
          <w:ilvl w:val="0"/>
          <w:numId w:val="8"/>
        </w:numPr>
        <w:snapToGrid w:val="0"/>
        <w:ind w:firstLineChars="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pPr>
        <w:numPr>
          <w:ilvl w:val="0"/>
          <w:numId w:val="8"/>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8"/>
        </w:numPr>
        <w:adjustRightInd/>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hint="eastAsia" w:cs="仿宋_GB2312" w:asciiTheme="minorEastAsia" w:hAnsiTheme="minorEastAsia" w:eastAsiaTheme="minorEastAsia"/>
          <w:color w:val="auto"/>
          <w:kern w:val="0"/>
          <w:sz w:val="24"/>
          <w:highlight w:val="none"/>
          <w:lang w:val="zh-CN"/>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pStyle w:val="115"/>
        <w:keepNext w:val="0"/>
        <w:pageBreakBefore w:val="0"/>
        <w:tabs>
          <w:tab w:val="clear" w:pos="720"/>
        </w:tabs>
        <w:jc w:val="both"/>
        <w:outlineLvl w:val="9"/>
        <w:rPr>
          <w:rFonts w:hint="eastAsia" w:cs="仿宋_GB2312" w:asciiTheme="minorEastAsia" w:hAnsiTheme="minorEastAsia" w:eastAsiaTheme="minorEastAsia"/>
          <w:color w:val="auto"/>
          <w:sz w:val="24"/>
          <w:szCs w:val="24"/>
          <w:highlight w:val="none"/>
        </w:rPr>
      </w:pP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18"/>
          <w:szCs w:val="18"/>
          <w:highlight w:val="none"/>
        </w:rPr>
      </w:pPr>
    </w:p>
    <w:p>
      <w:pPr>
        <w:spacing w:line="360" w:lineRule="auto"/>
        <w:rPr>
          <w:rFonts w:hint="eastAsia" w:cs="仿宋_GB2312" w:asciiTheme="minorEastAsia" w:hAnsiTheme="minorEastAsia" w:eastAsiaTheme="minorEastAsia"/>
          <w:color w:val="auto"/>
          <w:sz w:val="18"/>
          <w:szCs w:val="1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pPr>
        <w:pStyle w:val="105"/>
        <w:widowControl/>
        <w:tabs>
          <w:tab w:val="left" w:pos="1200"/>
          <w:tab w:val="left" w:pos="1560"/>
        </w:tabs>
        <w:adjustRightInd/>
        <w:ind w:left="1560" w:firstLine="0" w:firstLineChars="0"/>
        <w:jc w:val="left"/>
        <w:rPr>
          <w:rFonts w:hint="eastAsia" w:cs="仿宋_GB2312" w:asciiTheme="minorEastAsia" w:hAnsiTheme="minorEastAsia" w:eastAsiaTheme="minorEastAsia"/>
          <w:b/>
          <w:color w:val="auto"/>
          <w:sz w:val="30"/>
          <w:szCs w:val="30"/>
          <w:highlight w:val="none"/>
        </w:rPr>
      </w:pP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hint="eastAsia" w:ascii="宋体" w:hAnsi="宋体" w:cs="宋体"/>
          <w:color w:val="auto"/>
          <w:sz w:val="24"/>
          <w:highlight w:val="none"/>
        </w:rPr>
      </w:pPr>
    </w:p>
    <w:p>
      <w:pPr>
        <w:snapToGrid w:val="0"/>
        <w:spacing w:line="360" w:lineRule="auto"/>
        <w:ind w:right="480"/>
        <w:jc w:val="center"/>
        <w:rPr>
          <w:rFonts w:hint="eastAsia"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hint="eastAsia" w:ascii="宋体" w:hAnsi="宋体" w:cs="宋体"/>
          <w:color w:val="auto"/>
          <w:sz w:val="24"/>
          <w:highlight w:val="none"/>
        </w:rPr>
      </w:pP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hint="eastAsia" w:ascii="宋体" w:hAnsi="宋体" w:cs="宋体"/>
          <w:color w:val="auto"/>
          <w:sz w:val="24"/>
          <w:highlight w:val="none"/>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hint="eastAsia"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242"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242"/>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243"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243"/>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244"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244"/>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hint="eastAsia" w:cs="宋体" w:asciiTheme="minorEastAsia" w:hAnsiTheme="minorEastAsia" w:eastAsiaTheme="minorEastAsia"/>
          <w:color w:val="auto"/>
          <w:kern w:val="0"/>
          <w:sz w:val="24"/>
          <w:highlight w:val="none"/>
          <w:lang w:val="zh-CN"/>
        </w:rPr>
      </w:pPr>
      <w:r>
        <w:rPr>
          <w:rStyle w:val="631"/>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hint="eastAsia" w:cs="宋体" w:asciiTheme="minorEastAsia" w:hAnsiTheme="minorEastAsia" w:eastAsiaTheme="minorEastAsia"/>
          <w:color w:val="auto"/>
          <w:sz w:val="24"/>
          <w:highlight w:val="none"/>
        </w:rPr>
      </w:pPr>
    </w:p>
    <w:p>
      <w:pPr>
        <w:widowControl/>
        <w:spacing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hint="eastAsia" w:cs="仿宋_GB2312" w:asciiTheme="minorEastAsia" w:hAnsiTheme="minorEastAsia" w:eastAsiaTheme="minorEastAsia"/>
          <w:b/>
          <w:color w:val="auto"/>
          <w:kern w:val="0"/>
          <w:sz w:val="32"/>
          <w:szCs w:val="32"/>
          <w:highlight w:val="none"/>
          <w:lang w:val="zh-CN"/>
        </w:rPr>
        <w:sectPr>
          <w:footerReference r:id="rId7" w:type="default"/>
          <w:pgSz w:w="11906" w:h="16838"/>
          <w:pgMar w:top="1247" w:right="1418" w:bottom="1276" w:left="1418" w:header="851" w:footer="992" w:gutter="0"/>
          <w:pgNumType w:fmt="decimal" w:start="1"/>
          <w:cols w:space="720" w:num="1"/>
          <w:docGrid w:linePitch="312" w:charSpace="0"/>
        </w:sectPr>
      </w:pPr>
    </w:p>
    <w:p>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pacing w:line="360" w:lineRule="auto"/>
        <w:ind w:left="4649" w:leftChars="2214" w:firstLine="3600" w:firstLineChars="1500"/>
        <w:rPr>
          <w:rFonts w:hint="eastAsia"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pPr>
        <w:snapToGrid w:val="0"/>
        <w:spacing w:line="360" w:lineRule="auto"/>
        <w:ind w:left="4649" w:leftChars="2214"/>
        <w:rPr>
          <w:rFonts w:hint="eastAsia"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pPr>
        <w:snapToGrid w:val="0"/>
        <w:spacing w:line="360" w:lineRule="auto"/>
        <w:jc w:val="center"/>
        <w:rPr>
          <w:rFonts w:hint="eastAsia"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pPr>
        <w:pStyle w:val="619"/>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19"/>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pPr>
              <w:pStyle w:val="619"/>
              <w:spacing w:line="360" w:lineRule="auto"/>
              <w:rPr>
                <w:rFonts w:hint="eastAsia" w:asciiTheme="minorEastAsia" w:hAnsiTheme="minorEastAsia" w:eastAsiaTheme="minorEastAsia"/>
                <w:bCs/>
                <w:color w:val="auto"/>
                <w:sz w:val="24"/>
                <w:highlight w:val="none"/>
              </w:rPr>
            </w:pPr>
          </w:p>
        </w:tc>
      </w:tr>
    </w:tbl>
    <w:p>
      <w:pPr>
        <w:snapToGrid w:val="0"/>
        <w:spacing w:line="360" w:lineRule="auto"/>
        <w:ind w:firstLine="576"/>
        <w:jc w:val="right"/>
        <w:rPr>
          <w:rFonts w:hint="eastAsia" w:cs="仿宋_GB2312" w:asciiTheme="minorEastAsia" w:hAnsiTheme="minorEastAsia" w:eastAsiaTheme="minorEastAsia"/>
          <w:color w:val="auto"/>
          <w:kern w:val="0"/>
          <w:sz w:val="24"/>
          <w:highlight w:val="none"/>
          <w:lang w:val="zh-CN"/>
        </w:rPr>
      </w:pPr>
    </w:p>
    <w:p>
      <w:pPr>
        <w:snapToGrid w:val="0"/>
        <w:spacing w:line="360" w:lineRule="auto"/>
        <w:ind w:firstLine="576"/>
        <w:jc w:val="center"/>
        <w:rPr>
          <w:rFonts w:hint="eastAsia"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576"/>
        <w:jc w:val="center"/>
        <w:rPr>
          <w:rFonts w:hint="eastAsia" w:cs="仿宋_GB2312" w:asciiTheme="minorEastAsia" w:hAnsiTheme="minorEastAsia" w:eastAsiaTheme="minorEastAsia"/>
          <w:color w:val="auto"/>
          <w:sz w:val="28"/>
          <w:szCs w:val="2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ind w:firstLine="0" w:firstLineChars="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2"/>
        <w:rPr>
          <w:rFonts w:hint="eastAsia"/>
          <w:color w:val="auto"/>
          <w:highlight w:val="none"/>
        </w:rPr>
      </w:pPr>
      <w:r>
        <w:rPr>
          <w:rFonts w:hint="eastAsia"/>
          <w:color w:val="auto"/>
          <w:highlight w:val="none"/>
        </w:rPr>
        <w:t>……</w:t>
      </w:r>
    </w:p>
    <w:p>
      <w:pPr>
        <w:ind w:firstLine="305"/>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hint="eastAsia"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5520" w:hanging="5520" w:hanging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pPr>
        <w:snapToGrid w:val="0"/>
        <w:spacing w:line="360" w:lineRule="auto"/>
        <w:jc w:val="right"/>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right="480" w:firstLine="5520" w:firstLine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Style w:val="631"/>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hint="eastAsia" w:cs="仿宋_GB2312" w:asciiTheme="minorEastAsia" w:hAnsiTheme="minorEastAsia" w:eastAsiaTheme="minorEastAsia"/>
          <w:b/>
          <w:color w:val="auto"/>
          <w:kern w:val="0"/>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资金</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项目地址与业主</w:t>
            </w:r>
            <w:r>
              <w:rPr>
                <w:rFonts w:hint="eastAsia" w:cs="仿宋_GB2312" w:asciiTheme="minorEastAsia" w:hAnsiTheme="minorEastAsia" w:eastAsiaTheme="minorEastAsia"/>
                <w:color w:val="auto"/>
                <w:sz w:val="24"/>
                <w:highlight w:val="none"/>
              </w:rPr>
              <w:t>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bl>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rPr>
          <w:rFonts w:hint="eastAsia" w:cs="仿宋_GB2312" w:asciiTheme="minorEastAsia" w:hAnsiTheme="minorEastAsia" w:eastAsiaTheme="minorEastAsia"/>
          <w:b/>
          <w:bCs/>
          <w:color w:val="auto"/>
          <w:kern w:val="0"/>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w:t>
      </w:r>
      <w:r>
        <w:rPr>
          <w:rFonts w:hint="eastAsia" w:cs="仿宋_GB2312" w:asciiTheme="minorEastAsia" w:hAnsiTheme="minorEastAsia" w:eastAsiaTheme="minorEastAsia"/>
          <w:b/>
          <w:bCs/>
          <w:color w:val="auto"/>
          <w:sz w:val="32"/>
          <w:szCs w:val="32"/>
          <w:highlight w:val="none"/>
          <w:lang w:eastAsia="zh-CN"/>
        </w:rPr>
        <w:t>技术设计</w:t>
      </w:r>
      <w:r>
        <w:rPr>
          <w:rFonts w:hint="eastAsia" w:cs="仿宋_GB2312" w:asciiTheme="minorEastAsia" w:hAnsiTheme="minorEastAsia" w:eastAsiaTheme="minorEastAsia"/>
          <w:b/>
          <w:bCs/>
          <w:color w:val="auto"/>
          <w:sz w:val="32"/>
          <w:szCs w:val="32"/>
          <w:highlight w:val="none"/>
        </w:rPr>
        <w:t>方案</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hint="eastAsia"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jc w:val="center"/>
        <w:rPr>
          <w:rFonts w:hint="eastAsia" w:asciiTheme="minorEastAsia" w:hAnsiTheme="minorEastAsia" w:eastAsiaTheme="minorEastAsia"/>
          <w:b/>
          <w:bCs/>
          <w:color w:val="auto"/>
          <w:sz w:val="24"/>
          <w:highlight w:val="none"/>
        </w:rPr>
      </w:pPr>
    </w:p>
    <w:p>
      <w:pPr>
        <w:spacing w:line="360" w:lineRule="auto"/>
        <w:ind w:firstLine="1000" w:firstLineChars="3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hint="eastAsia"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十、项目实施方案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keepNext/>
        <w:autoSpaceDE w:val="0"/>
        <w:autoSpaceDN w:val="0"/>
        <w:spacing w:line="360" w:lineRule="auto"/>
        <w:ind w:firstLine="477"/>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附表:本项目的项目</w:t>
      </w:r>
      <w:r>
        <w:rPr>
          <w:rFonts w:hint="eastAsia" w:cs="仿宋_GB2312" w:asciiTheme="minorEastAsia" w:hAnsiTheme="minorEastAsia" w:eastAsiaTheme="minorEastAsia"/>
          <w:b/>
          <w:color w:val="auto"/>
          <w:sz w:val="24"/>
          <w:highlight w:val="none"/>
          <w:lang w:eastAsia="zh-CN"/>
        </w:rPr>
        <w:t>人员</w:t>
      </w:r>
      <w:r>
        <w:rPr>
          <w:rFonts w:hint="eastAsia" w:cs="仿宋_GB2312" w:asciiTheme="minorEastAsia" w:hAnsiTheme="minorEastAsia" w:eastAsiaTheme="minorEastAsia"/>
          <w:b/>
          <w:color w:val="auto"/>
          <w:sz w:val="24"/>
          <w:highlight w:val="none"/>
        </w:rPr>
        <w:t>情况表</w:t>
      </w:r>
    </w:p>
    <w:tbl>
      <w:tblPr>
        <w:tblStyle w:val="61"/>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865"/>
        <w:gridCol w:w="2060"/>
        <w:gridCol w:w="1449"/>
        <w:gridCol w:w="1988"/>
        <w:gridCol w:w="1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姓名</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职务</w:t>
            </w:r>
          </w:p>
        </w:tc>
        <w:tc>
          <w:tcPr>
            <w:tcW w:w="20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专业技术资格</w:t>
            </w:r>
          </w:p>
        </w:tc>
        <w:tc>
          <w:tcPr>
            <w:tcW w:w="14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证书编号</w:t>
            </w:r>
          </w:p>
        </w:tc>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参加本单位</w:t>
            </w:r>
          </w:p>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工作时间</w:t>
            </w:r>
          </w:p>
        </w:tc>
        <w:tc>
          <w:tcPr>
            <w:tcW w:w="188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bl>
    <w:p>
      <w:pPr>
        <w:pStyle w:val="56"/>
        <w:rPr>
          <w:rFonts w:hint="eastAsia"/>
          <w:color w:val="auto"/>
          <w:highlight w:val="none"/>
        </w:rPr>
      </w:pP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bl>
    <w:p>
      <w:pPr>
        <w:spacing w:line="360" w:lineRule="auto"/>
        <w:ind w:firstLine="470" w:firstLineChars="196"/>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hint="eastAsia"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p>
    <w:p>
      <w:pPr>
        <w:widowControl/>
        <w:adjustRightInd/>
        <w:jc w:val="left"/>
        <w:rPr>
          <w:rFonts w:hint="eastAsia"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cs="仿宋_GB2312" w:asciiTheme="minorEastAsia" w:hAnsiTheme="minorEastAsia" w:eastAsiaTheme="minorEastAsia"/>
          <w:b/>
          <w:color w:val="auto"/>
          <w:sz w:val="36"/>
          <w:szCs w:val="36"/>
          <w:highlight w:val="none"/>
        </w:rPr>
      </w:pP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hint="eastAsia"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hint="eastAsia" w:ascii="宋体" w:hAnsi="宋体" w:cs="宋体"/>
          <w:color w:val="auto"/>
          <w:kern w:val="0"/>
          <w:sz w:val="32"/>
          <w:szCs w:val="21"/>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hint="eastAsia" w:ascii="宋体" w:hAnsi="宋体" w:cs="宋体"/>
          <w:color w:val="auto"/>
          <w:kern w:val="0"/>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ascii="宋体" w:hAnsi="宋体" w:cs="宋体"/>
          <w:b/>
          <w:bCs/>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5"/>
        <w:keepNext w:val="0"/>
        <w:keepLines w:val="0"/>
        <w:pageBreakBefore w:val="0"/>
        <w:widowControl w:val="0"/>
        <w:tabs>
          <w:tab w:val="clear" w:pos="720"/>
        </w:tabs>
        <w:kinsoku/>
        <w:wordWrap/>
        <w:overflowPunct/>
        <w:topLinePunct w:val="0"/>
        <w:autoSpaceDE/>
        <w:autoSpaceDN/>
        <w:bidi w:val="0"/>
        <w:adjustRightInd w:val="0"/>
        <w:snapToGrid/>
        <w:ind w:firstLine="640"/>
        <w:textAlignment w:val="auto"/>
        <w:outlineLvl w:val="9"/>
        <w:rPr>
          <w:rFonts w:hint="eastAsia" w:ascii="宋体" w:hAnsi="宋体" w:eastAsia="宋体" w:cs="宋体"/>
          <w:color w:val="auto"/>
          <w:kern w:val="0"/>
          <w:sz w:val="32"/>
          <w:szCs w:val="21"/>
          <w:highlight w:val="none"/>
        </w:rPr>
      </w:pPr>
    </w:p>
    <w:p>
      <w:pPr>
        <w:pStyle w:val="115"/>
        <w:keepNext w:val="0"/>
        <w:keepLines w:val="0"/>
        <w:pageBreakBefore w:val="0"/>
        <w:widowControl w:val="0"/>
        <w:tabs>
          <w:tab w:val="clear" w:pos="720"/>
        </w:tabs>
        <w:kinsoku/>
        <w:wordWrap/>
        <w:overflowPunct/>
        <w:topLinePunct w:val="0"/>
        <w:autoSpaceDE/>
        <w:autoSpaceDN/>
        <w:bidi w:val="0"/>
        <w:adjustRightInd w:val="0"/>
        <w:snapToGrid/>
        <w:ind w:firstLine="641"/>
        <w:textAlignment w:val="auto"/>
        <w:outlineLvl w:val="9"/>
        <w:rPr>
          <w:rFonts w:ascii="宋体"/>
          <w:color w:val="auto"/>
          <w:spacing w:val="6"/>
          <w:sz w:val="32"/>
          <w:szCs w:val="32"/>
          <w:highlight w:val="none"/>
        </w:rPr>
      </w:pPr>
      <w:bookmarkStart w:id="245" w:name="_Toc8706"/>
      <w:bookmarkStart w:id="246" w:name="_Toc27084"/>
      <w:r>
        <w:rPr>
          <w:rFonts w:hint="eastAsia" w:ascii="宋体" w:hAnsi="宋体" w:eastAsia="宋体" w:cs="宋体"/>
          <w:color w:val="auto"/>
          <w:kern w:val="0"/>
          <w:sz w:val="32"/>
          <w:szCs w:val="21"/>
          <w:highlight w:val="none"/>
        </w:rPr>
        <w:t>十九、商务、服务（技术）响应、偏离情况说明表</w:t>
      </w:r>
      <w:bookmarkEnd w:id="245"/>
      <w:bookmarkEnd w:id="246"/>
    </w:p>
    <w:p>
      <w:pPr>
        <w:spacing w:line="300" w:lineRule="auto"/>
        <w:rPr>
          <w:rFonts w:ascii="宋体"/>
          <w:color w:val="auto"/>
          <w:szCs w:val="21"/>
          <w:highlight w:val="none"/>
        </w:rPr>
      </w:pPr>
    </w:p>
    <w:p>
      <w:pPr>
        <w:spacing w:line="5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500" w:lineRule="exact"/>
        <w:rPr>
          <w:rFonts w:hint="eastAsia" w:asciiTheme="minorEastAsia" w:hAnsiTheme="minorEastAsia" w:eastAsiaTheme="minorEastAsia" w:cstheme="minorEastAsia"/>
          <w:color w:val="auto"/>
          <w:sz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bl>
    <w:p>
      <w:pPr>
        <w:snapToGrid w:val="0"/>
        <w:spacing w:line="360" w:lineRule="exact"/>
        <w:rPr>
          <w:rFonts w:hint="eastAsia" w:asciiTheme="minorEastAsia" w:hAnsiTheme="minorEastAsia" w:eastAsiaTheme="minorEastAsia" w:cstheme="minorEastAsia"/>
          <w:color w:val="auto"/>
          <w:sz w:val="24"/>
          <w:highlight w:val="none"/>
        </w:rPr>
      </w:pPr>
    </w:p>
    <w:p>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pPr>
        <w:spacing w:line="360" w:lineRule="exact"/>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15"/>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15"/>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bookmarkStart w:id="247" w:name="_Toc32297"/>
      <w:bookmarkStart w:id="248" w:name="_Toc13302"/>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247"/>
      <w:bookmarkEnd w:id="248"/>
    </w:p>
    <w:p>
      <w:pPr>
        <w:pStyle w:val="115"/>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2"/>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pStyle w:val="115"/>
        <w:keepNext w:val="0"/>
        <w:pageBreakBefore w:val="0"/>
        <w:tabs>
          <w:tab w:val="clear" w:pos="720"/>
        </w:tabs>
        <w:ind w:firstLine="0"/>
        <w:jc w:val="left"/>
        <w:outlineLvl w:val="9"/>
        <w:rPr>
          <w:rFonts w:hint="eastAsia" w:asciiTheme="minorEastAsia" w:hAnsiTheme="minorEastAsia" w:eastAsiaTheme="minorEastAsia" w:cstheme="minorEastAsia"/>
          <w:color w:val="auto"/>
          <w:sz w:val="24"/>
          <w:szCs w:val="24"/>
          <w:highlight w:val="none"/>
        </w:rPr>
        <w:sectPr>
          <w:headerReference r:id="rId9" w:type="first"/>
          <w:footerReference r:id="rId12" w:type="first"/>
          <w:headerReference r:id="rId8" w:type="default"/>
          <w:footerReference r:id="rId10" w:type="default"/>
          <w:footerReference r:id="rId11" w:type="even"/>
          <w:pgSz w:w="11906" w:h="16838"/>
          <w:pgMar w:top="1247" w:right="1418" w:bottom="1276" w:left="1418" w:header="851" w:footer="992" w:gutter="0"/>
          <w:pgNumType w:fmt="decimal"/>
          <w:cols w:space="720" w:num="1"/>
          <w:titlePg/>
          <w:docGrid w:linePitch="312" w:charSpace="0"/>
        </w:sectPr>
      </w:pPr>
    </w:p>
    <w:p>
      <w:pPr>
        <w:pStyle w:val="393"/>
        <w:ind w:firstLine="0" w:firstLineChars="0"/>
        <w:jc w:val="center"/>
        <w:outlineLvl w:val="0"/>
        <w:rPr>
          <w:rFonts w:hint="eastAsia" w:cs="仿宋_GB2312" w:asciiTheme="minorEastAsia" w:hAnsiTheme="minorEastAsia" w:eastAsiaTheme="minorEastAsia"/>
          <w:b/>
          <w:color w:val="auto"/>
          <w:sz w:val="36"/>
          <w:szCs w:val="36"/>
          <w:highlight w:val="none"/>
        </w:rPr>
      </w:pPr>
      <w:bookmarkStart w:id="249" w:name="_Toc30004"/>
      <w:bookmarkStart w:id="250" w:name="_Toc24801"/>
      <w:r>
        <w:rPr>
          <w:rFonts w:hint="eastAsia" w:cs="仿宋_GB2312" w:asciiTheme="minorEastAsia" w:hAnsiTheme="minorEastAsia" w:eastAsiaTheme="minorEastAsia"/>
          <w:b/>
          <w:color w:val="auto"/>
          <w:sz w:val="36"/>
          <w:szCs w:val="36"/>
          <w:highlight w:val="none"/>
        </w:rPr>
        <w:t>第八部分  最后报价格式</w:t>
      </w:r>
      <w:bookmarkEnd w:id="249"/>
      <w:bookmarkEnd w:id="250"/>
    </w:p>
    <w:p>
      <w:pPr>
        <w:pStyle w:val="632"/>
        <w:jc w:val="center"/>
        <w:rPr>
          <w:rFonts w:hint="eastAsia"/>
          <w:b/>
          <w:color w:val="auto"/>
          <w:sz w:val="32"/>
          <w:szCs w:val="32"/>
          <w:highlight w:val="none"/>
        </w:rPr>
      </w:pPr>
      <w:r>
        <w:rPr>
          <w:rFonts w:hint="eastAsia"/>
          <w:b/>
          <w:color w:val="auto"/>
          <w:sz w:val="32"/>
          <w:szCs w:val="32"/>
          <w:highlight w:val="none"/>
        </w:rPr>
        <w:t>（一）报价一览表</w:t>
      </w:r>
    </w:p>
    <w:p>
      <w:pPr>
        <w:autoSpaceDE w:val="0"/>
        <w:autoSpaceDN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pacing w:line="360" w:lineRule="auto"/>
        <w:ind w:firstLine="72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pPr>
        <w:snapToGrid w:val="0"/>
        <w:spacing w:line="360" w:lineRule="auto"/>
        <w:ind w:left="480"/>
        <w:jc w:val="center"/>
        <w:rPr>
          <w:rFonts w:hint="eastAsia"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418"/>
        <w:gridCol w:w="3246"/>
        <w:gridCol w:w="3449"/>
        <w:gridCol w:w="3246"/>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75"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序号</w:t>
            </w:r>
          </w:p>
        </w:tc>
        <w:tc>
          <w:tcPr>
            <w:tcW w:w="455"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服务内容</w:t>
            </w:r>
          </w:p>
        </w:tc>
        <w:tc>
          <w:tcPr>
            <w:tcW w:w="1042"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数  量</w:t>
            </w:r>
          </w:p>
        </w:tc>
        <w:tc>
          <w:tcPr>
            <w:tcW w:w="1107"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单位</w:t>
            </w: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  额</w:t>
            </w:r>
          </w:p>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（元）</w:t>
            </w:r>
          </w:p>
        </w:tc>
        <w:tc>
          <w:tcPr>
            <w:tcW w:w="977"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kern w:val="0"/>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3</w:t>
            </w:r>
          </w:p>
        </w:tc>
        <w:tc>
          <w:tcPr>
            <w:tcW w:w="455"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107"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1042" w:type="pct"/>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p>
        </w:tc>
        <w:tc>
          <w:tcPr>
            <w:tcW w:w="977" w:type="pct"/>
            <w:vAlign w:val="top"/>
          </w:tcPr>
          <w:p>
            <w:pPr>
              <w:snapToGrid w:val="0"/>
              <w:spacing w:line="40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6"/>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人民币合计金额（大写）：                                 小写金额：</w:t>
            </w:r>
          </w:p>
        </w:tc>
      </w:tr>
    </w:tbl>
    <w:p>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符合磋商文件中列明的可享受</w:t>
      </w:r>
      <w:r>
        <w:rPr>
          <w:rFonts w:hint="eastAsia" w:ascii="宋体" w:hAnsi="宋体" w:cs="宋体"/>
          <w:color w:val="auto"/>
          <w:sz w:val="24"/>
          <w:highlight w:val="none"/>
        </w:rPr>
        <w:t>本国产品标准及相关政策</w:t>
      </w:r>
      <w:r>
        <w:rPr>
          <w:rFonts w:hint="eastAsia" w:ascii="宋体" w:hAnsi="宋体" w:cs="宋体"/>
          <w:color w:val="auto"/>
          <w:kern w:val="0"/>
          <w:sz w:val="24"/>
          <w:highlight w:val="none"/>
          <w:lang w:val="zh-CN"/>
        </w:rPr>
        <w:t>的供应商，请填写</w:t>
      </w:r>
      <w:r>
        <w:rPr>
          <w:rFonts w:hint="eastAsia" w:ascii="宋体" w:hAnsi="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cs="宋体"/>
          <w:color w:val="auto"/>
          <w:kern w:val="0"/>
          <w:sz w:val="24"/>
          <w:highlight w:val="none"/>
          <w:lang w:val="zh-CN"/>
        </w:rPr>
        <w:t>供应商还</w:t>
      </w:r>
      <w:r>
        <w:rPr>
          <w:rFonts w:hint="eastAsia" w:ascii="宋体" w:hAnsi="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highlight w:val="none"/>
          <w:lang w:val="zh-CN"/>
        </w:rPr>
        <w:t>注：供应商提供的</w:t>
      </w:r>
      <w:r>
        <w:rPr>
          <w:rFonts w:hint="eastAsia" w:ascii="宋体" w:hAnsi="宋体" w:cs="宋体"/>
          <w:color w:val="auto"/>
          <w:sz w:val="24"/>
          <w:highlight w:val="none"/>
        </w:rPr>
        <w:t>《声明函》</w:t>
      </w:r>
      <w:r>
        <w:rPr>
          <w:rFonts w:hint="eastAsia" w:ascii="宋体" w:hAnsi="宋体" w:cs="宋体"/>
          <w:color w:val="auto"/>
          <w:kern w:val="0"/>
          <w:sz w:val="24"/>
          <w:highlight w:val="none"/>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rPr>
        <w:t>最后报价属于磋商文件规定的政府采购异常低价情形之一，</w:t>
      </w:r>
      <w:r>
        <w:rPr>
          <w:rFonts w:hint="eastAsia" w:ascii="宋体" w:hAnsi="宋体" w:cs="宋体"/>
          <w:color w:val="auto"/>
          <w:kern w:val="0"/>
          <w:sz w:val="24"/>
          <w:highlight w:val="none"/>
          <w:lang w:val="zh-CN"/>
        </w:rPr>
        <w:t>供应商</w:t>
      </w:r>
      <w:r>
        <w:rPr>
          <w:rFonts w:hint="eastAsia" w:ascii="宋体" w:hAnsi="宋体" w:cs="宋体"/>
          <w:color w:val="auto"/>
          <w:kern w:val="0"/>
          <w:sz w:val="24"/>
          <w:highlight w:val="none"/>
        </w:rPr>
        <w:t>应当按照谈判小组的要求提供书面说明、证明材料。</w:t>
      </w:r>
      <w:r>
        <w:rPr>
          <w:rFonts w:hint="eastAsia" w:ascii="宋体" w:hAnsi="宋体" w:cs="宋体"/>
          <w:color w:val="auto"/>
          <w:kern w:val="0"/>
          <w:sz w:val="24"/>
          <w:highlight w:val="none"/>
          <w:lang w:val="zh-CN"/>
        </w:rPr>
        <w:t>供应商</w:t>
      </w:r>
      <w:r>
        <w:rPr>
          <w:rFonts w:hint="eastAsia" w:ascii="宋体" w:hAnsi="宋体" w:cs="宋体"/>
          <w:color w:val="auto"/>
          <w:kern w:val="0"/>
          <w:sz w:val="24"/>
          <w:highlight w:val="none"/>
        </w:rPr>
        <w:t>不能提供书面说明、证明材料，或者提供的书面说明、证明材料不能证明其报价合理性的，谈判无效</w:t>
      </w:r>
      <w:r>
        <w:rPr>
          <w:rFonts w:hint="eastAsia" w:ascii="宋体" w:hAnsi="宋体" w:cs="宋体"/>
          <w:color w:val="auto"/>
          <w:kern w:val="0"/>
          <w:sz w:val="24"/>
          <w:highlight w:val="none"/>
          <w:lang w:val="zh-CN"/>
        </w:rPr>
        <w:t>。</w:t>
      </w:r>
    </w:p>
    <w:p>
      <w:pPr>
        <w:pStyle w:val="56"/>
        <w:autoSpaceDE/>
        <w:autoSpaceDN/>
        <w:ind w:firstLine="482" w:firstLineChars="200"/>
        <w:jc w:val="both"/>
        <w:rPr>
          <w:rFonts w:hint="eastAsia" w:cs="仿宋_GB2312" w:asciiTheme="minorEastAsia" w:hAnsiTheme="minorEastAsia" w:eastAsiaTheme="minorEastAsia"/>
          <w:b w:val="0"/>
          <w:color w:val="auto"/>
          <w:szCs w:val="24"/>
          <w:highlight w:val="none"/>
          <w:lang w:val="zh-CN"/>
        </w:rPr>
      </w:pPr>
      <w:r>
        <w:rPr>
          <w:rFonts w:hint="eastAsia" w:ascii="宋体" w:hAnsi="宋体" w:cs="宋体"/>
          <w:color w:val="auto"/>
          <w:kern w:val="0"/>
          <w:sz w:val="24"/>
          <w:szCs w:val="22"/>
          <w:highlight w:val="none"/>
          <w:lang w:val="zh-CN"/>
        </w:rPr>
        <w:t>7、</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spacing w:line="360" w:lineRule="auto"/>
        <w:ind w:right="-874" w:rightChars="-416"/>
        <w:rPr>
          <w:rFonts w:hint="eastAsia" w:cs="仿宋_GB2312" w:asciiTheme="minorEastAsia" w:hAnsiTheme="minorEastAsia" w:eastAsiaTheme="minorEastAsia"/>
          <w:color w:val="auto"/>
          <w:sz w:val="24"/>
          <w:highlight w:val="none"/>
        </w:rPr>
      </w:pPr>
    </w:p>
    <w:p>
      <w:pPr>
        <w:spacing w:line="360" w:lineRule="auto"/>
        <w:ind w:right="-874" w:rightChars="-416"/>
        <w:rPr>
          <w:rFonts w:hint="eastAsia" w:cs="仿宋_GB2312" w:asciiTheme="minorEastAsia" w:hAnsiTheme="minorEastAsia" w:eastAsiaTheme="minorEastAsia"/>
          <w:color w:val="auto"/>
          <w:sz w:val="24"/>
          <w:highlight w:val="none"/>
        </w:rPr>
      </w:pPr>
    </w:p>
    <w:p>
      <w:pPr>
        <w:spacing w:line="360" w:lineRule="auto"/>
        <w:ind w:right="-874" w:rightChars="-416"/>
        <w:rPr>
          <w:rFonts w:hint="eastAsia" w:cs="仿宋_GB2312" w:asciiTheme="minorEastAsia" w:hAnsiTheme="minorEastAsia" w:eastAsiaTheme="minorEastAsia"/>
          <w:color w:val="auto"/>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9456" w:firstLineChars="394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4920" w:firstLineChars="205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right="-874" w:rightChars="-416"/>
        <w:rPr>
          <w:rFonts w:hint="eastAsia" w:cs="仿宋_GB2312" w:asciiTheme="minorEastAsia" w:hAnsiTheme="minorEastAsia" w:eastAsiaTheme="minorEastAsia"/>
          <w:color w:val="auto"/>
          <w:kern w:val="0"/>
          <w:sz w:val="24"/>
          <w:highlight w:val="none"/>
          <w:lang w:val="zh-CN"/>
        </w:rPr>
        <w:sectPr>
          <w:pgSz w:w="16838" w:h="11906" w:orient="landscape"/>
          <w:pgMar w:top="1418" w:right="737" w:bottom="1418" w:left="737" w:header="851" w:footer="992" w:gutter="0"/>
          <w:pgNumType w:fmt="decimal"/>
          <w:cols w:space="720" w:num="1"/>
          <w:titlePg/>
          <w:docGrid w:linePitch="312" w:charSpace="0"/>
        </w:sectPr>
      </w:pPr>
    </w:p>
    <w:p>
      <w:pPr>
        <w:widowControl/>
        <w:adjustRightInd/>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251" w:name="_Toc465665161"/>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eastAsia="zh-CN"/>
        </w:rPr>
        <w:t>必须提供</w:t>
      </w:r>
      <w:r>
        <w:rPr>
          <w:rFonts w:hint="eastAsia" w:asciiTheme="minorEastAsia" w:hAnsiTheme="minorEastAsia" w:eastAsiaTheme="minorEastAsia"/>
          <w:b/>
          <w:color w:val="auto"/>
          <w:sz w:val="32"/>
          <w:szCs w:val="32"/>
          <w:highlight w:val="none"/>
        </w:rPr>
        <w:t>）</w:t>
      </w: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hint="eastAsia" w:cs="仿宋_GB2312" w:asciiTheme="minorEastAsia" w:hAnsiTheme="minorEastAsia" w:eastAsiaTheme="minorEastAsia"/>
          <w:color w:val="auto"/>
          <w:sz w:val="24"/>
          <w:highlight w:val="none"/>
        </w:rPr>
      </w:pPr>
    </w:p>
    <w:p>
      <w:pPr>
        <w:widowControl/>
        <w:adjustRightInd/>
        <w:jc w:val="left"/>
        <w:rPr>
          <w:rFonts w:hint="eastAsia"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2"/>
        <w:rPr>
          <w:rFonts w:hint="eastAsia"/>
          <w:color w:val="auto"/>
          <w:highlight w:val="none"/>
        </w:rPr>
      </w:pPr>
      <w:r>
        <w:rPr>
          <w:rFonts w:hint="eastAsia"/>
          <w:color w:val="auto"/>
          <w:highlight w:val="none"/>
        </w:rPr>
        <w:t>附件</w:t>
      </w:r>
      <w:bookmarkEnd w:id="251"/>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cs="仿宋_GB2312" w:asciiTheme="minorEastAsia" w:hAnsiTheme="minorEastAsia" w:eastAsiaTheme="minorEastAsia"/>
          <w:color w:val="auto"/>
          <w:sz w:val="30"/>
          <w:szCs w:val="30"/>
          <w:highlight w:val="none"/>
        </w:rPr>
      </w:pPr>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hint="eastAsia" w:asciiTheme="minorEastAsia" w:hAnsiTheme="minorEastAsia" w:eastAsiaTheme="minorEastAsia"/>
          <w:b/>
          <w:color w:val="auto"/>
          <w:spacing w:val="6"/>
          <w:sz w:val="32"/>
          <w:szCs w:val="32"/>
          <w:highlight w:val="none"/>
        </w:rPr>
      </w:pPr>
    </w:p>
    <w:p>
      <w:pPr>
        <w:spacing w:line="360" w:lineRule="auto"/>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hint="eastAsia" w:asciiTheme="minorEastAsia" w:hAnsiTheme="minorEastAsia" w:eastAsiaTheme="minorEastAsia"/>
          <w:b/>
          <w:color w:val="auto"/>
          <w:spacing w:val="6"/>
          <w:sz w:val="30"/>
          <w:szCs w:val="30"/>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hint="eastAsia" w:cs="仿宋_GB2312" w:asciiTheme="minorEastAsia" w:hAnsiTheme="minorEastAsia" w:eastAsiaTheme="minorEastAsia"/>
          <w:color w:val="auto"/>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hint="eastAsia" w:cs="仿宋_GB2312" w:asciiTheme="minorEastAsia" w:hAnsiTheme="minorEastAsia" w:eastAsiaTheme="minorEastAsia"/>
          <w:b/>
          <w:color w:val="auto"/>
          <w:sz w:val="24"/>
          <w:highlight w:val="none"/>
        </w:rPr>
      </w:pPr>
    </w:p>
    <w:p>
      <w:pPr>
        <w:autoSpaceDE w:val="0"/>
        <w:autoSpaceDN w:val="0"/>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hint="eastAsia" w:asciiTheme="minorEastAsia" w:hAnsiTheme="minorEastAsia" w:eastAsiaTheme="minorEastAsia"/>
          <w:b/>
          <w:bCs/>
          <w:color w:val="auto"/>
          <w:sz w:val="32"/>
          <w:szCs w:val="32"/>
          <w:highlight w:val="none"/>
        </w:rPr>
      </w:pPr>
    </w:p>
    <w:p>
      <w:pPr>
        <w:spacing w:line="360" w:lineRule="auto"/>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hint="eastAsia"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pPr>
        <w:snapToGrid w:val="0"/>
        <w:spacing w:line="360" w:lineRule="auto"/>
        <w:jc w:val="cente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hint="eastAsia" w:cs="宋体" w:asciiTheme="minorEastAsia" w:hAnsiTheme="minorEastAsia" w:eastAsiaTheme="minorEastAsia"/>
          <w:b/>
          <w:color w:val="auto"/>
          <w:sz w:val="32"/>
          <w:szCs w:val="32"/>
          <w:highlight w:val="none"/>
        </w:rPr>
      </w:pPr>
    </w:p>
    <w:p>
      <w:pPr>
        <w:adjustRightInd/>
        <w:spacing w:line="360" w:lineRule="auto"/>
        <w:jc w:val="cente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pPr>
        <w:spacing w:line="360" w:lineRule="auto"/>
        <w:jc w:val="center"/>
        <w:rPr>
          <w:rFonts w:hint="eastAsia" w:cs="宋体" w:asciiTheme="minorEastAsia" w:hAnsiTheme="minorEastAsia" w:eastAsiaTheme="minorEastAsia"/>
          <w:b/>
          <w:color w:val="auto"/>
          <w:sz w:val="32"/>
          <w:szCs w:val="32"/>
          <w:highlight w:val="none"/>
        </w:rPr>
      </w:pPr>
    </w:p>
    <w:p>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pPr>
        <w:spacing w:line="360" w:lineRule="auto"/>
        <w:ind w:right="1760"/>
        <w:jc w:val="right"/>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pPr>
        <w:spacing w:line="360" w:lineRule="auto"/>
        <w:ind w:right="1120" w:firstLine="4680" w:firstLineChars="195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pPr>
        <w:spacing w:line="360" w:lineRule="auto"/>
        <w:ind w:right="42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cs="仿宋_GB2312" w:asciiTheme="minorEastAsia" w:hAnsiTheme="minorEastAsia" w:eastAsiaTheme="minorEastAsia"/>
          <w:b/>
          <w:color w:val="auto"/>
          <w:sz w:val="24"/>
          <w:highlight w:val="none"/>
        </w:rPr>
      </w:pPr>
    </w:p>
    <w:p>
      <w:pPr>
        <w:snapToGrid w:val="0"/>
        <w:spacing w:line="360" w:lineRule="auto"/>
        <w:jc w:val="left"/>
        <w:rPr>
          <w:rFonts w:ascii="宋体" w:hAnsi="宋体" w:cs="宋体"/>
          <w:b/>
          <w:color w:val="auto"/>
          <w:kern w:val="0"/>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ascii="宋体" w:hAnsi="宋体" w:cs="宋体"/>
          <w:b/>
          <w:color w:val="auto"/>
          <w:kern w:val="0"/>
          <w:sz w:val="32"/>
          <w:szCs w:val="32"/>
          <w:highlight w:val="none"/>
        </w:rPr>
        <w:t>附件6：关于符合本国产品标准的声明函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color w:val="auto"/>
          <w:sz w:val="24"/>
          <w:highlight w:val="none"/>
        </w:rPr>
        <w:t>1，生产厂为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2，厂址为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3。</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4在中国境内生产。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5在中国境内完成。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附件7：关于符合本国产品标准的产品成本之和占提供的全部产品成本之和的比例达到80%以上的声明函</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2.当采购项目或者采购包中含有多种产品，供应商拟享受该政策时提供。当采购项目或者采购包中仅含有单一产品时，无须提供本声明函。</w:t>
      </w:r>
    </w:p>
    <w:p>
      <w:pPr>
        <w:rPr>
          <w:rFonts w:hint="eastAsia"/>
          <w:color w:val="auto"/>
          <w:highlight w:val="none"/>
        </w:rPr>
      </w:pPr>
    </w:p>
    <w:sectPr>
      <w:pgSz w:w="11906" w:h="16838"/>
      <w:pgMar w:top="1247" w:right="1418" w:bottom="1276"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both"/>
      <w:rPr>
        <w:rFonts w:ascii="仿宋_GB2312" w:eastAsia="仿宋_GB2312"/>
        <w:b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093DBC02"/>
    <w:multiLevelType w:val="singleLevel"/>
    <w:tmpl w:val="093DBC02"/>
    <w:lvl w:ilvl="0" w:tentative="0">
      <w:start w:val="1"/>
      <w:numFmt w:val="decimal"/>
      <w:suff w:val="space"/>
      <w:lvlText w:val="%1."/>
      <w:lvlJc w:val="left"/>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2"/>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2"/>
  </w:num>
  <w:num w:numId="3">
    <w:abstractNumId w:val="0"/>
  </w:num>
  <w:num w:numId="4">
    <w:abstractNumId w:val="1"/>
  </w:num>
  <w:num w:numId="5">
    <w:abstractNumId w:val="7"/>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488B"/>
    <w:rsid w:val="00005CAC"/>
    <w:rsid w:val="00005E5F"/>
    <w:rsid w:val="00006109"/>
    <w:rsid w:val="00006725"/>
    <w:rsid w:val="0000675E"/>
    <w:rsid w:val="00007CAA"/>
    <w:rsid w:val="00010FE9"/>
    <w:rsid w:val="0001122F"/>
    <w:rsid w:val="00012BE8"/>
    <w:rsid w:val="00013F31"/>
    <w:rsid w:val="000149B3"/>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D30"/>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4E92"/>
    <w:rsid w:val="000960BA"/>
    <w:rsid w:val="0009662A"/>
    <w:rsid w:val="000A1A52"/>
    <w:rsid w:val="000A1F98"/>
    <w:rsid w:val="000A23CE"/>
    <w:rsid w:val="000A2C30"/>
    <w:rsid w:val="000A49BB"/>
    <w:rsid w:val="000A4C67"/>
    <w:rsid w:val="000A5674"/>
    <w:rsid w:val="000A5A46"/>
    <w:rsid w:val="000B0E04"/>
    <w:rsid w:val="000B3E3E"/>
    <w:rsid w:val="000B4938"/>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273"/>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A87"/>
    <w:rsid w:val="00114847"/>
    <w:rsid w:val="0011585B"/>
    <w:rsid w:val="00115B1A"/>
    <w:rsid w:val="001168F8"/>
    <w:rsid w:val="001224AB"/>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062"/>
    <w:rsid w:val="001524DC"/>
    <w:rsid w:val="001525E5"/>
    <w:rsid w:val="00153859"/>
    <w:rsid w:val="00153ED0"/>
    <w:rsid w:val="00155A91"/>
    <w:rsid w:val="00157432"/>
    <w:rsid w:val="00160BE5"/>
    <w:rsid w:val="00161185"/>
    <w:rsid w:val="00161853"/>
    <w:rsid w:val="00161C7D"/>
    <w:rsid w:val="00162E0E"/>
    <w:rsid w:val="00162FD8"/>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0E85"/>
    <w:rsid w:val="001C10BD"/>
    <w:rsid w:val="001C1B4A"/>
    <w:rsid w:val="001C1F01"/>
    <w:rsid w:val="001C2076"/>
    <w:rsid w:val="001C232F"/>
    <w:rsid w:val="001C31F5"/>
    <w:rsid w:val="001C44BC"/>
    <w:rsid w:val="001C5885"/>
    <w:rsid w:val="001C6698"/>
    <w:rsid w:val="001D1D55"/>
    <w:rsid w:val="001D21EF"/>
    <w:rsid w:val="001D330D"/>
    <w:rsid w:val="001D4AD3"/>
    <w:rsid w:val="001D5A94"/>
    <w:rsid w:val="001E1ABC"/>
    <w:rsid w:val="001E59FB"/>
    <w:rsid w:val="001E5AF5"/>
    <w:rsid w:val="001E787E"/>
    <w:rsid w:val="001F087C"/>
    <w:rsid w:val="001F0DA4"/>
    <w:rsid w:val="001F0FD1"/>
    <w:rsid w:val="001F1F18"/>
    <w:rsid w:val="001F2F92"/>
    <w:rsid w:val="001F6095"/>
    <w:rsid w:val="00200E37"/>
    <w:rsid w:val="00201EE3"/>
    <w:rsid w:val="00202D33"/>
    <w:rsid w:val="00202F99"/>
    <w:rsid w:val="00203BF7"/>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496B"/>
    <w:rsid w:val="00245269"/>
    <w:rsid w:val="00247422"/>
    <w:rsid w:val="00247B53"/>
    <w:rsid w:val="00247BA2"/>
    <w:rsid w:val="00251CB4"/>
    <w:rsid w:val="00252862"/>
    <w:rsid w:val="00252C7E"/>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84D"/>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1F56"/>
    <w:rsid w:val="002C22FD"/>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C24"/>
    <w:rsid w:val="002F6EFF"/>
    <w:rsid w:val="002F7DF0"/>
    <w:rsid w:val="002F7FAF"/>
    <w:rsid w:val="00300AFA"/>
    <w:rsid w:val="00301A22"/>
    <w:rsid w:val="00302783"/>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3B6"/>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3D24"/>
    <w:rsid w:val="003944EA"/>
    <w:rsid w:val="00394639"/>
    <w:rsid w:val="003962E6"/>
    <w:rsid w:val="00396831"/>
    <w:rsid w:val="003A03EF"/>
    <w:rsid w:val="003A12B6"/>
    <w:rsid w:val="003A20D5"/>
    <w:rsid w:val="003A24CC"/>
    <w:rsid w:val="003A2EE8"/>
    <w:rsid w:val="003A373C"/>
    <w:rsid w:val="003A3E10"/>
    <w:rsid w:val="003A52DB"/>
    <w:rsid w:val="003A5378"/>
    <w:rsid w:val="003A5567"/>
    <w:rsid w:val="003A7E2B"/>
    <w:rsid w:val="003A7E40"/>
    <w:rsid w:val="003B0336"/>
    <w:rsid w:val="003B0A3A"/>
    <w:rsid w:val="003B4810"/>
    <w:rsid w:val="003B514E"/>
    <w:rsid w:val="003B5E0A"/>
    <w:rsid w:val="003B613B"/>
    <w:rsid w:val="003B6277"/>
    <w:rsid w:val="003B636A"/>
    <w:rsid w:val="003B6AF1"/>
    <w:rsid w:val="003B7D14"/>
    <w:rsid w:val="003C011C"/>
    <w:rsid w:val="003C435B"/>
    <w:rsid w:val="003C4EBE"/>
    <w:rsid w:val="003C685A"/>
    <w:rsid w:val="003C6B25"/>
    <w:rsid w:val="003C6E9C"/>
    <w:rsid w:val="003C781B"/>
    <w:rsid w:val="003C7F12"/>
    <w:rsid w:val="003D03D6"/>
    <w:rsid w:val="003D04C3"/>
    <w:rsid w:val="003D0952"/>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3696"/>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63E8"/>
    <w:rsid w:val="00457CF7"/>
    <w:rsid w:val="00457D37"/>
    <w:rsid w:val="00460E68"/>
    <w:rsid w:val="00461F80"/>
    <w:rsid w:val="0046240D"/>
    <w:rsid w:val="00462C96"/>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783"/>
    <w:rsid w:val="00492B76"/>
    <w:rsid w:val="0049333E"/>
    <w:rsid w:val="0049418F"/>
    <w:rsid w:val="00495DC6"/>
    <w:rsid w:val="00497AAD"/>
    <w:rsid w:val="00497D1A"/>
    <w:rsid w:val="00497EE7"/>
    <w:rsid w:val="004A1DBC"/>
    <w:rsid w:val="004A1EA7"/>
    <w:rsid w:val="004A2C96"/>
    <w:rsid w:val="004A4125"/>
    <w:rsid w:val="004A4689"/>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3BE2"/>
    <w:rsid w:val="004D54A4"/>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27D0"/>
    <w:rsid w:val="00554C03"/>
    <w:rsid w:val="005550F9"/>
    <w:rsid w:val="0055525C"/>
    <w:rsid w:val="00556386"/>
    <w:rsid w:val="00556441"/>
    <w:rsid w:val="00561903"/>
    <w:rsid w:val="00561A9B"/>
    <w:rsid w:val="00562FB1"/>
    <w:rsid w:val="00563068"/>
    <w:rsid w:val="00563380"/>
    <w:rsid w:val="00564DA7"/>
    <w:rsid w:val="00564EFA"/>
    <w:rsid w:val="00565204"/>
    <w:rsid w:val="00565473"/>
    <w:rsid w:val="00565DAC"/>
    <w:rsid w:val="00565F0D"/>
    <w:rsid w:val="005662DC"/>
    <w:rsid w:val="00566329"/>
    <w:rsid w:val="005701C2"/>
    <w:rsid w:val="0057117C"/>
    <w:rsid w:val="005725F4"/>
    <w:rsid w:val="00573560"/>
    <w:rsid w:val="0057438C"/>
    <w:rsid w:val="00574E7B"/>
    <w:rsid w:val="00575D34"/>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97818"/>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D7EE1"/>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5B6"/>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1984"/>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38E9"/>
    <w:rsid w:val="006945A1"/>
    <w:rsid w:val="00694982"/>
    <w:rsid w:val="00695EAC"/>
    <w:rsid w:val="00697062"/>
    <w:rsid w:val="006971F8"/>
    <w:rsid w:val="00697D5F"/>
    <w:rsid w:val="006A060C"/>
    <w:rsid w:val="006A150D"/>
    <w:rsid w:val="006A1526"/>
    <w:rsid w:val="006A39D0"/>
    <w:rsid w:val="006A4321"/>
    <w:rsid w:val="006A5186"/>
    <w:rsid w:val="006A61EE"/>
    <w:rsid w:val="006B0580"/>
    <w:rsid w:val="006B0F30"/>
    <w:rsid w:val="006B1D06"/>
    <w:rsid w:val="006B2823"/>
    <w:rsid w:val="006B33DB"/>
    <w:rsid w:val="006B4CF8"/>
    <w:rsid w:val="006B5FBC"/>
    <w:rsid w:val="006B6ED2"/>
    <w:rsid w:val="006C0230"/>
    <w:rsid w:val="006C09CC"/>
    <w:rsid w:val="006C09F4"/>
    <w:rsid w:val="006C3EFE"/>
    <w:rsid w:val="006C53F3"/>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68D7"/>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0B39"/>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A6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DDC"/>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035"/>
    <w:rsid w:val="0082417A"/>
    <w:rsid w:val="008241F0"/>
    <w:rsid w:val="0082427D"/>
    <w:rsid w:val="00824785"/>
    <w:rsid w:val="00824CB7"/>
    <w:rsid w:val="0082646C"/>
    <w:rsid w:val="008270CE"/>
    <w:rsid w:val="00827E2A"/>
    <w:rsid w:val="00827E3D"/>
    <w:rsid w:val="00830052"/>
    <w:rsid w:val="008300D0"/>
    <w:rsid w:val="0083257C"/>
    <w:rsid w:val="00832755"/>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39EB"/>
    <w:rsid w:val="008A47CE"/>
    <w:rsid w:val="008A5CBF"/>
    <w:rsid w:val="008A6BAE"/>
    <w:rsid w:val="008A7350"/>
    <w:rsid w:val="008B16E6"/>
    <w:rsid w:val="008B18AA"/>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1CC"/>
    <w:rsid w:val="0090079D"/>
    <w:rsid w:val="00900D2C"/>
    <w:rsid w:val="00901F0E"/>
    <w:rsid w:val="0090408F"/>
    <w:rsid w:val="0090446A"/>
    <w:rsid w:val="00904DC3"/>
    <w:rsid w:val="00905469"/>
    <w:rsid w:val="0090629C"/>
    <w:rsid w:val="009065C6"/>
    <w:rsid w:val="00906EA2"/>
    <w:rsid w:val="00907278"/>
    <w:rsid w:val="009128B8"/>
    <w:rsid w:val="0091328F"/>
    <w:rsid w:val="00913B4A"/>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2DFE"/>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AA"/>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165"/>
    <w:rsid w:val="00A61B91"/>
    <w:rsid w:val="00A62864"/>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875B4"/>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B7EF8"/>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176"/>
    <w:rsid w:val="00B10B04"/>
    <w:rsid w:val="00B10CC6"/>
    <w:rsid w:val="00B11AE4"/>
    <w:rsid w:val="00B12082"/>
    <w:rsid w:val="00B13150"/>
    <w:rsid w:val="00B13389"/>
    <w:rsid w:val="00B1364C"/>
    <w:rsid w:val="00B141A5"/>
    <w:rsid w:val="00B14CC6"/>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38A1"/>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1C68"/>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7E1"/>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13F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5FA0"/>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6E64"/>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1209"/>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130"/>
    <w:rsid w:val="00D01590"/>
    <w:rsid w:val="00D030C1"/>
    <w:rsid w:val="00D0336E"/>
    <w:rsid w:val="00D04F01"/>
    <w:rsid w:val="00D04F8B"/>
    <w:rsid w:val="00D054EF"/>
    <w:rsid w:val="00D05637"/>
    <w:rsid w:val="00D05BA9"/>
    <w:rsid w:val="00D06E71"/>
    <w:rsid w:val="00D0764E"/>
    <w:rsid w:val="00D07D82"/>
    <w:rsid w:val="00D1094E"/>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84"/>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D18"/>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B69"/>
    <w:rsid w:val="00E97F7A"/>
    <w:rsid w:val="00EA0143"/>
    <w:rsid w:val="00EA089B"/>
    <w:rsid w:val="00EA2638"/>
    <w:rsid w:val="00EA2E21"/>
    <w:rsid w:val="00EA380C"/>
    <w:rsid w:val="00EA47B5"/>
    <w:rsid w:val="00EA4C84"/>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508"/>
    <w:rsid w:val="00F419B8"/>
    <w:rsid w:val="00F41C0F"/>
    <w:rsid w:val="00F41C84"/>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41D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744613"/>
    <w:rsid w:val="02711604"/>
    <w:rsid w:val="02DA0C0E"/>
    <w:rsid w:val="03DD35E4"/>
    <w:rsid w:val="057378BD"/>
    <w:rsid w:val="05B27812"/>
    <w:rsid w:val="065A6178"/>
    <w:rsid w:val="075562B7"/>
    <w:rsid w:val="07F6164B"/>
    <w:rsid w:val="087A1B7A"/>
    <w:rsid w:val="08D21C83"/>
    <w:rsid w:val="096B2097"/>
    <w:rsid w:val="0972606A"/>
    <w:rsid w:val="09D50CB5"/>
    <w:rsid w:val="0A5B7E63"/>
    <w:rsid w:val="0A945D6F"/>
    <w:rsid w:val="0AE55761"/>
    <w:rsid w:val="0BA332B2"/>
    <w:rsid w:val="0C87121B"/>
    <w:rsid w:val="0DF702FE"/>
    <w:rsid w:val="0E3F698B"/>
    <w:rsid w:val="0F21508F"/>
    <w:rsid w:val="0F816ACD"/>
    <w:rsid w:val="0FB94501"/>
    <w:rsid w:val="10B047CF"/>
    <w:rsid w:val="10FC16EA"/>
    <w:rsid w:val="11235DD3"/>
    <w:rsid w:val="116E1628"/>
    <w:rsid w:val="117B2484"/>
    <w:rsid w:val="118963A1"/>
    <w:rsid w:val="118E4E5C"/>
    <w:rsid w:val="127723A9"/>
    <w:rsid w:val="12FA3E4F"/>
    <w:rsid w:val="13072A44"/>
    <w:rsid w:val="145044FA"/>
    <w:rsid w:val="16304CE1"/>
    <w:rsid w:val="175245F6"/>
    <w:rsid w:val="17BF1FDE"/>
    <w:rsid w:val="186742B0"/>
    <w:rsid w:val="187F096C"/>
    <w:rsid w:val="18EA64A5"/>
    <w:rsid w:val="194D19D1"/>
    <w:rsid w:val="195245AB"/>
    <w:rsid w:val="19553D7C"/>
    <w:rsid w:val="1A423204"/>
    <w:rsid w:val="1B2A271F"/>
    <w:rsid w:val="1B890139"/>
    <w:rsid w:val="1B8B1D3C"/>
    <w:rsid w:val="1C54348C"/>
    <w:rsid w:val="1CC42F8D"/>
    <w:rsid w:val="1D266CE1"/>
    <w:rsid w:val="1D3963AF"/>
    <w:rsid w:val="1DB87416"/>
    <w:rsid w:val="1E2E469B"/>
    <w:rsid w:val="1E714A66"/>
    <w:rsid w:val="1FC57A66"/>
    <w:rsid w:val="1FE868A9"/>
    <w:rsid w:val="2030413F"/>
    <w:rsid w:val="211E26D6"/>
    <w:rsid w:val="21283D08"/>
    <w:rsid w:val="2281282B"/>
    <w:rsid w:val="245F5FE8"/>
    <w:rsid w:val="24D47C66"/>
    <w:rsid w:val="25B440B3"/>
    <w:rsid w:val="25F9109D"/>
    <w:rsid w:val="26A12BEB"/>
    <w:rsid w:val="272917D9"/>
    <w:rsid w:val="27646D45"/>
    <w:rsid w:val="27EF325A"/>
    <w:rsid w:val="28E2053C"/>
    <w:rsid w:val="29376916"/>
    <w:rsid w:val="29854D95"/>
    <w:rsid w:val="299A3DFB"/>
    <w:rsid w:val="2AA1365A"/>
    <w:rsid w:val="2BDC12DF"/>
    <w:rsid w:val="2DD15014"/>
    <w:rsid w:val="2F9B0946"/>
    <w:rsid w:val="2FD25781"/>
    <w:rsid w:val="313A5EF4"/>
    <w:rsid w:val="319C6071"/>
    <w:rsid w:val="32DB72BE"/>
    <w:rsid w:val="339431D7"/>
    <w:rsid w:val="342E63AB"/>
    <w:rsid w:val="345D260B"/>
    <w:rsid w:val="363946D8"/>
    <w:rsid w:val="365302AE"/>
    <w:rsid w:val="372C30DF"/>
    <w:rsid w:val="37F142D2"/>
    <w:rsid w:val="395C4605"/>
    <w:rsid w:val="39A13F14"/>
    <w:rsid w:val="3AEC1764"/>
    <w:rsid w:val="3C5F759A"/>
    <w:rsid w:val="3D5C78D4"/>
    <w:rsid w:val="3FD933C3"/>
    <w:rsid w:val="3FFF72A6"/>
    <w:rsid w:val="402C753B"/>
    <w:rsid w:val="40E31020"/>
    <w:rsid w:val="42CF228D"/>
    <w:rsid w:val="42E1381E"/>
    <w:rsid w:val="4308762F"/>
    <w:rsid w:val="43845483"/>
    <w:rsid w:val="43FB717C"/>
    <w:rsid w:val="451E447A"/>
    <w:rsid w:val="45345B76"/>
    <w:rsid w:val="45C21136"/>
    <w:rsid w:val="45D37B2B"/>
    <w:rsid w:val="47307808"/>
    <w:rsid w:val="481F77AE"/>
    <w:rsid w:val="486F747C"/>
    <w:rsid w:val="49637D2C"/>
    <w:rsid w:val="4ABD3B35"/>
    <w:rsid w:val="4C061231"/>
    <w:rsid w:val="4D861CF6"/>
    <w:rsid w:val="4DEF1265"/>
    <w:rsid w:val="4E8249A2"/>
    <w:rsid w:val="4F103A13"/>
    <w:rsid w:val="4F726AF1"/>
    <w:rsid w:val="51A0432A"/>
    <w:rsid w:val="527140E5"/>
    <w:rsid w:val="5292508F"/>
    <w:rsid w:val="52A96B6F"/>
    <w:rsid w:val="546F3392"/>
    <w:rsid w:val="550764A4"/>
    <w:rsid w:val="551926E0"/>
    <w:rsid w:val="561279B9"/>
    <w:rsid w:val="56515F3B"/>
    <w:rsid w:val="56965A34"/>
    <w:rsid w:val="572B71CA"/>
    <w:rsid w:val="57DD3ED9"/>
    <w:rsid w:val="57E958DA"/>
    <w:rsid w:val="58AE4F0C"/>
    <w:rsid w:val="591848B1"/>
    <w:rsid w:val="59E50E60"/>
    <w:rsid w:val="5A2A7C7B"/>
    <w:rsid w:val="5AB23368"/>
    <w:rsid w:val="5BD2794E"/>
    <w:rsid w:val="5C80234E"/>
    <w:rsid w:val="5E261785"/>
    <w:rsid w:val="5E4B7FE7"/>
    <w:rsid w:val="5FCC5339"/>
    <w:rsid w:val="5FE70807"/>
    <w:rsid w:val="60514D80"/>
    <w:rsid w:val="607730D1"/>
    <w:rsid w:val="60E53485"/>
    <w:rsid w:val="61054A27"/>
    <w:rsid w:val="611D2366"/>
    <w:rsid w:val="6120147F"/>
    <w:rsid w:val="61C86CA3"/>
    <w:rsid w:val="62885958"/>
    <w:rsid w:val="63144820"/>
    <w:rsid w:val="633604BC"/>
    <w:rsid w:val="64CE2EAA"/>
    <w:rsid w:val="662E75B1"/>
    <w:rsid w:val="66342C2E"/>
    <w:rsid w:val="663E784C"/>
    <w:rsid w:val="685867EC"/>
    <w:rsid w:val="69773BA2"/>
    <w:rsid w:val="69AA24B4"/>
    <w:rsid w:val="69E20FDE"/>
    <w:rsid w:val="6A2D651C"/>
    <w:rsid w:val="6A5E3342"/>
    <w:rsid w:val="6B3107E7"/>
    <w:rsid w:val="6BA365DA"/>
    <w:rsid w:val="6BC7252B"/>
    <w:rsid w:val="6C04327E"/>
    <w:rsid w:val="6D581C9A"/>
    <w:rsid w:val="6E8E12EF"/>
    <w:rsid w:val="6FC57F47"/>
    <w:rsid w:val="71926A9D"/>
    <w:rsid w:val="71D43752"/>
    <w:rsid w:val="73DD6243"/>
    <w:rsid w:val="749C4185"/>
    <w:rsid w:val="75DA2C18"/>
    <w:rsid w:val="7688786B"/>
    <w:rsid w:val="775319EF"/>
    <w:rsid w:val="778A283C"/>
    <w:rsid w:val="77BE04D4"/>
    <w:rsid w:val="78F56773"/>
    <w:rsid w:val="790F1C77"/>
    <w:rsid w:val="7A67303B"/>
    <w:rsid w:val="7AAB1D04"/>
    <w:rsid w:val="7ABA4368"/>
    <w:rsid w:val="7B257FFD"/>
    <w:rsid w:val="7B9007B4"/>
    <w:rsid w:val="7C2B1DA5"/>
    <w:rsid w:val="7DF4317E"/>
    <w:rsid w:val="7E64308B"/>
    <w:rsid w:val="7F6E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2">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23"/>
    <w:link w:val="511"/>
    <w:qFormat/>
    <w:uiPriority w:val="0"/>
    <w:pPr>
      <w:autoSpaceDE w:val="0"/>
      <w:autoSpaceDN w:val="0"/>
      <w:spacing w:line="360" w:lineRule="auto"/>
    </w:pPr>
    <w:rPr>
      <w:rFonts w:ascii="宋体"/>
      <w:sz w:val="24"/>
      <w:szCs w:val="21"/>
      <w:lang w:val="zh-CN"/>
    </w:rPr>
  </w:style>
  <w:style w:type="paragraph" w:styleId="23">
    <w:name w:val="Subtitle"/>
    <w:basedOn w:val="1"/>
    <w:next w:val="1"/>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24">
    <w:name w:val="Body Text Indent"/>
    <w:basedOn w:val="1"/>
    <w:next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next w:val="1"/>
    <w:link w:val="544"/>
    <w:qFormat/>
    <w:uiPriority w:val="0"/>
    <w:pPr>
      <w:ind w:firstLine="420"/>
    </w:pPr>
    <w:rPr>
      <w:szCs w:val="20"/>
    </w:rPr>
  </w:style>
  <w:style w:type="paragraph" w:styleId="59">
    <w:name w:val="Body Text First Indent 2"/>
    <w:basedOn w:val="24"/>
    <w:next w:val="60"/>
    <w:link w:val="501"/>
    <w:qFormat/>
    <w:uiPriority w:val="0"/>
    <w:pPr>
      <w:adjustRightInd/>
      <w:spacing w:after="120"/>
      <w:ind w:left="420" w:leftChars="200" w:firstLine="210"/>
    </w:pPr>
  </w:style>
  <w:style w:type="paragraph" w:customStyle="1" w:styleId="60">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2"/>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2"/>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2"/>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2"/>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2"/>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5"/>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2"/>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5"/>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2"/>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字符"/>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字符"/>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字符"/>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字符"/>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字符"/>
    <w:link w:val="8"/>
    <w:qFormat/>
    <w:uiPriority w:val="0"/>
    <w:rPr>
      <w:b/>
      <w:bCs/>
      <w:kern w:val="2"/>
      <w:sz w:val="24"/>
      <w:szCs w:val="24"/>
    </w:rPr>
  </w:style>
  <w:style w:type="character" w:customStyle="1" w:styleId="481">
    <w:name w:val="称呼 字符"/>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字符"/>
    <w:link w:val="23"/>
    <w:qFormat/>
    <w:uiPriority w:val="0"/>
    <w:rPr>
      <w:rFonts w:ascii="Arial" w:hAnsi="Arial" w:eastAsia="隶书"/>
      <w:b/>
      <w:bCs/>
      <w:kern w:val="28"/>
      <w:sz w:val="44"/>
      <w:szCs w:val="32"/>
      <w:lang w:val="en-US" w:eastAsia="zh-CN" w:bidi="ar-SA"/>
    </w:rPr>
  </w:style>
  <w:style w:type="character" w:customStyle="1" w:styleId="488">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文本首行缩进 2 字符"/>
    <w:link w:val="59"/>
    <w:qFormat/>
    <w:uiPriority w:val="0"/>
    <w:rPr>
      <w:rFonts w:ascii="宋体" w:hAnsi="宋体"/>
      <w:kern w:val="2"/>
      <w:sz w:val="21"/>
      <w:szCs w:val="24"/>
    </w:rPr>
  </w:style>
  <w:style w:type="character" w:customStyle="1" w:styleId="502">
    <w:name w:val="正文文本缩进 2 字符"/>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字符"/>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字符"/>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文本首行缩进 字符"/>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字符"/>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字符"/>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字符"/>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字符"/>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字符"/>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字符"/>
    <w:link w:val="35"/>
    <w:qFormat/>
    <w:uiPriority w:val="0"/>
    <w:rPr>
      <w:rFonts w:ascii="宋体"/>
      <w:kern w:val="2"/>
      <w:sz w:val="24"/>
      <w:szCs w:val="21"/>
      <w:lang w:val="zh-CN"/>
    </w:rPr>
  </w:style>
  <w:style w:type="character" w:customStyle="1" w:styleId="598">
    <w:name w:val="标题 4 字符"/>
    <w:link w:val="2"/>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字符"/>
    <w:link w:val="7"/>
    <w:qFormat/>
    <w:uiPriority w:val="0"/>
    <w:rPr>
      <w:rFonts w:ascii="Arial" w:hAnsi="Arial" w:eastAsia="黑体"/>
      <w:b/>
      <w:bCs/>
      <w:kern w:val="2"/>
      <w:sz w:val="24"/>
      <w:szCs w:val="24"/>
    </w:rPr>
  </w:style>
  <w:style w:type="character" w:customStyle="1" w:styleId="612">
    <w:name w:val="正文缩进 字符"/>
    <w:link w:val="15"/>
    <w:qFormat/>
    <w:uiPriority w:val="0"/>
    <w:rPr>
      <w:rFonts w:ascii="宋体" w:eastAsia="宋体"/>
      <w:snapToGrid w:val="0"/>
      <w:color w:val="000000"/>
      <w:kern w:val="28"/>
      <w:sz w:val="28"/>
      <w:lang w:val="en-US" w:eastAsia="zh-CN" w:bidi="ar-SA"/>
    </w:rPr>
  </w:style>
  <w:style w:type="character" w:customStyle="1" w:styleId="613">
    <w:name w:val="批注文字 字符"/>
    <w:link w:val="19"/>
    <w:qFormat/>
    <w:uiPriority w:val="99"/>
    <w:rPr>
      <w:kern w:val="2"/>
      <w:sz w:val="21"/>
      <w:szCs w:val="24"/>
    </w:rPr>
  </w:style>
  <w:style w:type="character" w:customStyle="1" w:styleId="614">
    <w:name w:val="批注框文本 字符"/>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6">
    <w:name w:val="_Style 6"/>
    <w:basedOn w:val="1"/>
    <w:qFormat/>
    <w:uiPriority w:val="34"/>
    <w:pPr>
      <w:adjustRightInd/>
      <w:ind w:firstLine="420" w:firstLineChars="200"/>
    </w:pPr>
    <w:rPr>
      <w:rFonts w:eastAsia="仿宋_GB2312"/>
      <w:sz w:val="28"/>
    </w:rPr>
  </w:style>
  <w:style w:type="character" w:customStyle="1" w:styleId="637">
    <w:name w:val="font01"/>
    <w:basedOn w:val="63"/>
    <w:qFormat/>
    <w:uiPriority w:val="0"/>
    <w:rPr>
      <w:rFonts w:hint="eastAsia" w:ascii="宋体" w:hAnsi="宋体" w:eastAsia="宋体" w:cs="宋体"/>
      <w:color w:val="000000"/>
      <w:sz w:val="22"/>
      <w:szCs w:val="22"/>
      <w:u w:val="none"/>
    </w:rPr>
  </w:style>
  <w:style w:type="paragraph" w:customStyle="1" w:styleId="63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39">
    <w:name w:val="BodyText"/>
    <w:basedOn w:val="1"/>
    <w:next w:val="1"/>
    <w:qFormat/>
    <w:uiPriority w:val="0"/>
    <w:pPr>
      <w:textAlignment w:val="baseline"/>
    </w:pPr>
    <w:rPr>
      <w:sz w:val="32"/>
    </w:rPr>
  </w:style>
  <w:style w:type="paragraph" w:customStyle="1" w:styleId="64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9987</Words>
  <Characters>10622</Characters>
  <Lines>2108</Lines>
  <Paragraphs>1996</Paragraphs>
  <TotalTime>7</TotalTime>
  <ScaleCrop>false</ScaleCrop>
  <LinksUpToDate>false</LinksUpToDate>
  <CharactersWithSpaces>10914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2025-09-16T11:38:00Z</dcterms:created>
  <dc:creator>北海市政府采购中心</dc:creator>
  <cp:lastModifiedBy>wwwww</cp:lastModifiedBy>
  <cp:lastPrinted>2026-05-18T00:42:00Z</cp:lastPrinted>
  <dcterms:modified xsi:type="dcterms:W3CDTF">2026-05-20T03:31:28Z</dcterms:modified>
  <dc:title>北海市政府采购中心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B01FFFD96A99467B86771B85277DB79C_13</vt:lpwstr>
  </property>
  <property fmtid="{D5CDD505-2E9C-101B-9397-08002B2CF9AE}" pid="4" name="KSOTemplateDocerSaveRecord">
    <vt:lpwstr>eyJoZGlkIjoiYWE0MTY0NjlmMjAwNDI5MjliZjdjNzhlNTQxNWNiYjUifQ==</vt:lpwstr>
  </property>
</Properties>
</file>