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cs="仿宋_GB2312" w:asciiTheme="minorEastAsia" w:hAnsiTheme="minorEastAsia" w:eastAsiaTheme="minorEastAsia"/>
          <w:b/>
          <w:color w:val="auto"/>
          <w:sz w:val="24"/>
          <w:highlight w:val="none"/>
        </w:rPr>
      </w:pPr>
    </w:p>
    <w:p>
      <w:pPr>
        <w:spacing w:line="360" w:lineRule="auto"/>
        <w:jc w:val="center"/>
        <w:rPr>
          <w:rFonts w:hint="eastAsia" w:cs="仿宋_GB2312" w:asciiTheme="minorEastAsia" w:hAnsiTheme="minorEastAsia" w:eastAsiaTheme="minorEastAsia"/>
          <w:b/>
          <w:color w:val="auto"/>
          <w:sz w:val="2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rPr>
      </w:pPr>
    </w:p>
    <w:p>
      <w:pPr>
        <w:adjustRightInd/>
        <w:spacing w:line="360" w:lineRule="auto"/>
        <w:jc w:val="center"/>
        <w:rPr>
          <w:rFonts w:hint="eastAsia" w:cs="仿宋_GB2312" w:asciiTheme="minorEastAsia" w:hAnsiTheme="minorEastAsia" w:eastAsiaTheme="minorEastAsia"/>
          <w:b/>
          <w:color w:val="auto"/>
          <w:sz w:val="44"/>
          <w:szCs w:val="44"/>
          <w:highlight w:val="none"/>
          <w:lang w:eastAsia="zh-CN"/>
        </w:rPr>
      </w:pPr>
      <w:r>
        <w:rPr>
          <w:rFonts w:hint="eastAsia" w:cs="仿宋_GB2312" w:asciiTheme="minorEastAsia" w:hAnsiTheme="minorEastAsia" w:eastAsiaTheme="minorEastAsia"/>
          <w:b/>
          <w:color w:val="auto"/>
          <w:sz w:val="44"/>
          <w:szCs w:val="44"/>
          <w:highlight w:val="none"/>
          <w:lang w:eastAsia="zh-CN"/>
        </w:rPr>
        <w:t>电信学院与旅商学院课程与教材建设</w:t>
      </w:r>
    </w:p>
    <w:p>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pPr>
        <w:adjustRightInd/>
        <w:spacing w:line="360" w:lineRule="auto"/>
        <w:jc w:val="center"/>
        <w:rPr>
          <w:rFonts w:hint="eastAsia"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pPr>
        <w:adjustRightInd/>
        <w:spacing w:line="360" w:lineRule="auto"/>
        <w:jc w:val="center"/>
        <w:rPr>
          <w:rFonts w:hint="eastAsia" w:cs="仿宋_GB2312" w:asciiTheme="minorEastAsia" w:hAnsiTheme="minorEastAsia" w:eastAsiaTheme="minorEastAsia"/>
          <w:b/>
          <w:color w:val="auto"/>
          <w:sz w:val="44"/>
          <w:szCs w:val="44"/>
          <w:highlight w:val="none"/>
        </w:rPr>
      </w:pPr>
      <w:r>
        <w:rPr>
          <w:rFonts w:hint="eastAsia" w:cs="仿宋_GB2312" w:asciiTheme="minorEastAsia" w:hAnsiTheme="minorEastAsia" w:eastAsiaTheme="minorEastAsia"/>
          <w:b/>
          <w:color w:val="auto"/>
          <w:sz w:val="44"/>
          <w:szCs w:val="44"/>
          <w:highlight w:val="none"/>
        </w:rPr>
        <w:t>（电子交易）</w:t>
      </w:r>
    </w:p>
    <w:p>
      <w:pPr>
        <w:snapToGrid w:val="0"/>
        <w:spacing w:line="360" w:lineRule="auto"/>
        <w:jc w:val="center"/>
        <w:rPr>
          <w:rFonts w:hint="eastAsia" w:cs="仿宋_GB2312" w:asciiTheme="minorEastAsia" w:hAnsiTheme="minorEastAsia" w:eastAsiaTheme="minorEastAsia"/>
          <w:color w:val="auto"/>
          <w:sz w:val="30"/>
          <w:szCs w:val="30"/>
          <w:highlight w:val="none"/>
        </w:rPr>
      </w:pPr>
    </w:p>
    <w:p>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w:t>
      </w:r>
      <w:r>
        <w:rPr>
          <w:rFonts w:hint="eastAsia" w:cs="仿宋_GB2312" w:asciiTheme="minorEastAsia" w:hAnsiTheme="minorEastAsia" w:eastAsiaTheme="minorEastAsia"/>
          <w:color w:val="auto"/>
          <w:sz w:val="30"/>
          <w:szCs w:val="30"/>
          <w:highlight w:val="none"/>
          <w:lang w:eastAsia="zh-CN"/>
        </w:rPr>
        <w:t>BHZC2026-C3-990086-CGZX</w:t>
      </w:r>
    </w:p>
    <w:p>
      <w:pPr>
        <w:pStyle w:val="184"/>
        <w:widowControl w:val="0"/>
        <w:spacing w:before="0" w:beforeAutospacing="0" w:after="0" w:afterAutospacing="0" w:line="360" w:lineRule="auto"/>
        <w:jc w:val="both"/>
        <w:textAlignment w:val="auto"/>
        <w:rPr>
          <w:rFonts w:cs="仿宋_GB2312" w:asciiTheme="minorEastAsia" w:hAnsiTheme="minorEastAsia" w:eastAsiaTheme="minorEastAsia"/>
          <w:color w:val="auto"/>
          <w:kern w:val="2"/>
          <w:highlight w:val="none"/>
        </w:rPr>
      </w:pP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sz w:val="24"/>
          <w:highlight w:val="none"/>
        </w:rPr>
        <w:t xml:space="preserve">                                       </w:t>
      </w:r>
    </w:p>
    <w:p>
      <w:pPr>
        <w:snapToGrid w:val="0"/>
        <w:spacing w:line="360" w:lineRule="auto"/>
        <w:jc w:val="center"/>
        <w:rPr>
          <w:rFonts w:hint="eastAsia" w:cs="仿宋_GB2312" w:asciiTheme="minorEastAsia" w:hAnsiTheme="minorEastAsia" w:eastAsiaTheme="minorEastAsia"/>
          <w:color w:val="auto"/>
          <w:sz w:val="32"/>
          <w:szCs w:val="32"/>
          <w:highlight w:val="none"/>
        </w:rPr>
      </w:pPr>
    </w:p>
    <w:p>
      <w:pPr>
        <w:snapToGrid w:val="0"/>
        <w:spacing w:line="360" w:lineRule="auto"/>
        <w:jc w:val="center"/>
        <w:rPr>
          <w:rFonts w:hint="eastAsia" w:cs="仿宋_GB2312" w:asciiTheme="minorEastAsia" w:hAnsiTheme="minorEastAsia" w:eastAsiaTheme="minorEastAsia"/>
          <w:color w:val="auto"/>
          <w:sz w:val="32"/>
          <w:szCs w:val="32"/>
          <w:highlight w:val="none"/>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北海职业学院</w:t>
      </w:r>
      <w:r>
        <w:rPr>
          <w:rFonts w:hint="eastAsia" w:ascii="宋体" w:hAnsi="宋体" w:cs="宋体"/>
          <w:color w:val="auto"/>
          <w:sz w:val="32"/>
          <w:szCs w:val="32"/>
          <w:highlight w:val="none"/>
        </w:rPr>
        <w:t>）</w:t>
      </w:r>
    </w:p>
    <w:p>
      <w:pPr>
        <w:spacing w:line="360" w:lineRule="auto"/>
        <w:jc w:val="center"/>
        <w:rPr>
          <w:rFonts w:hint="eastAsia" w:cs="仿宋_GB2312" w:asciiTheme="minorEastAsia" w:hAnsiTheme="minorEastAsia" w:eastAsiaTheme="minorEastAsia"/>
          <w:bCs/>
          <w:color w:val="auto"/>
          <w:sz w:val="32"/>
          <w:szCs w:val="32"/>
          <w:highlight w:val="none"/>
        </w:rPr>
      </w:pPr>
      <w:r>
        <w:rPr>
          <w:rFonts w:hint="eastAsia" w:ascii="宋体" w:hAnsi="宋体" w:cs="宋体"/>
          <w:bCs/>
          <w:color w:val="auto"/>
          <w:sz w:val="32"/>
          <w:szCs w:val="32"/>
          <w:highlight w:val="none"/>
        </w:rPr>
        <w:t>（采购代理机构:北海市政府采购中心）</w:t>
      </w:r>
    </w:p>
    <w:p>
      <w:pPr>
        <w:snapToGrid w:val="0"/>
        <w:spacing w:line="360" w:lineRule="auto"/>
        <w:jc w:val="center"/>
        <w:rPr>
          <w:rFonts w:hint="eastAsia" w:cs="仿宋_GB2312" w:asciiTheme="minorEastAsia" w:hAnsiTheme="minorEastAsia" w:eastAsiaTheme="minorEastAsia"/>
          <w:bCs/>
          <w:color w:val="auto"/>
          <w:sz w:val="32"/>
          <w:szCs w:val="32"/>
          <w:highlight w:val="none"/>
          <w:lang w:eastAsia="zh-CN"/>
        </w:rPr>
      </w:pPr>
      <w:r>
        <w:rPr>
          <w:rFonts w:hint="eastAsia" w:cs="仿宋_GB2312" w:asciiTheme="minorEastAsia" w:hAnsiTheme="minorEastAsia" w:eastAsiaTheme="minorEastAsia"/>
          <w:bCs/>
          <w:color w:val="auto"/>
          <w:sz w:val="32"/>
          <w:szCs w:val="32"/>
          <w:highlight w:val="none"/>
          <w:lang w:eastAsia="zh-CN"/>
        </w:rPr>
        <w:t>202</w:t>
      </w:r>
      <w:r>
        <w:rPr>
          <w:rFonts w:hint="eastAsia" w:cs="仿宋_GB2312" w:asciiTheme="minorEastAsia" w:hAnsiTheme="minorEastAsia" w:eastAsiaTheme="minorEastAsia"/>
          <w:bCs/>
          <w:color w:val="auto"/>
          <w:sz w:val="32"/>
          <w:szCs w:val="32"/>
          <w:highlight w:val="none"/>
          <w:lang w:val="en-US" w:eastAsia="zh-CN"/>
        </w:rPr>
        <w:t>6</w:t>
      </w:r>
      <w:r>
        <w:rPr>
          <w:rFonts w:hint="eastAsia" w:cs="仿宋_GB2312" w:asciiTheme="minorEastAsia" w:hAnsiTheme="minorEastAsia" w:eastAsiaTheme="minorEastAsia"/>
          <w:bCs/>
          <w:color w:val="auto"/>
          <w:sz w:val="32"/>
          <w:szCs w:val="32"/>
          <w:highlight w:val="none"/>
          <w:lang w:eastAsia="zh-CN"/>
        </w:rPr>
        <w:t>年</w:t>
      </w:r>
      <w:r>
        <w:rPr>
          <w:rFonts w:hint="eastAsia" w:cs="仿宋_GB2312" w:asciiTheme="minorEastAsia" w:hAnsiTheme="minorEastAsia" w:eastAsiaTheme="minorEastAsia"/>
          <w:bCs/>
          <w:color w:val="auto"/>
          <w:sz w:val="32"/>
          <w:szCs w:val="32"/>
          <w:highlight w:val="none"/>
          <w:lang w:val="en-US" w:eastAsia="zh-CN"/>
        </w:rPr>
        <w:t>5</w:t>
      </w:r>
      <w:r>
        <w:rPr>
          <w:rFonts w:hint="eastAsia" w:cs="仿宋_GB2312" w:asciiTheme="minorEastAsia" w:hAnsiTheme="minorEastAsia" w:eastAsiaTheme="minorEastAsia"/>
          <w:bCs/>
          <w:color w:val="auto"/>
          <w:sz w:val="32"/>
          <w:szCs w:val="32"/>
          <w:highlight w:val="none"/>
          <w:lang w:eastAsia="zh-CN"/>
        </w:rPr>
        <w:t>月</w:t>
      </w:r>
      <w:r>
        <w:rPr>
          <w:rFonts w:hint="eastAsia" w:cs="仿宋_GB2312" w:asciiTheme="minorEastAsia" w:hAnsiTheme="minorEastAsia" w:eastAsiaTheme="minorEastAsia"/>
          <w:bCs/>
          <w:color w:val="auto"/>
          <w:sz w:val="32"/>
          <w:szCs w:val="32"/>
          <w:highlight w:val="none"/>
          <w:lang w:val="en-US" w:eastAsia="zh-CN"/>
        </w:rPr>
        <w:t>22</w:t>
      </w:r>
      <w:r>
        <w:rPr>
          <w:rFonts w:hint="eastAsia" w:cs="仿宋_GB2312" w:asciiTheme="minorEastAsia" w:hAnsiTheme="minorEastAsia" w:eastAsiaTheme="minorEastAsia"/>
          <w:bCs/>
          <w:color w:val="auto"/>
          <w:sz w:val="32"/>
          <w:szCs w:val="32"/>
          <w:highlight w:val="none"/>
          <w:lang w:eastAsia="zh-CN"/>
        </w:rPr>
        <w:t>日</w:t>
      </w:r>
    </w:p>
    <w:p>
      <w:pPr>
        <w:tabs>
          <w:tab w:val="left" w:pos="2268"/>
        </w:tabs>
        <w:spacing w:line="360" w:lineRule="auto"/>
        <w:jc w:val="center"/>
        <w:rPr>
          <w:rFonts w:hint="eastAsia" w:cs="仿宋_GB2312" w:asciiTheme="minorEastAsia" w:hAnsiTheme="minorEastAsia" w:eastAsiaTheme="minorEastAsia"/>
          <w:color w:val="auto"/>
          <w:sz w:val="24"/>
          <w:highlight w:val="none"/>
        </w:rPr>
        <w:sectPr>
          <w:headerReference r:id="rId4" w:type="first"/>
          <w:headerReference r:id="rId3" w:type="default"/>
          <w:footerReference r:id="rId5" w:type="even"/>
          <w:pgSz w:w="11906" w:h="16838"/>
          <w:pgMar w:top="1247" w:right="1418" w:bottom="1276" w:left="1418" w:header="851" w:footer="992" w:gutter="0"/>
          <w:pgNumType w:fmt="decimal"/>
          <w:cols w:space="720" w:num="1"/>
          <w:titlePg/>
          <w:docGrid w:linePitch="312" w:charSpace="0"/>
        </w:sectPr>
      </w:pPr>
    </w:p>
    <w:p>
      <w:pPr>
        <w:tabs>
          <w:tab w:val="left" w:pos="2268"/>
        </w:tabs>
        <w:spacing w:line="360" w:lineRule="auto"/>
        <w:jc w:val="center"/>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32"/>
          <w:szCs w:val="32"/>
          <w:highlight w:val="none"/>
        </w:rPr>
      </w:pPr>
    </w:p>
    <w:p>
      <w:pPr>
        <w:spacing w:line="360" w:lineRule="auto"/>
        <w:rPr>
          <w:rFonts w:hint="eastAsia" w:cs="仿宋_GB2312" w:asciiTheme="minorEastAsia" w:hAnsiTheme="minorEastAsia" w:eastAsiaTheme="minorEastAsia"/>
          <w:color w:val="auto"/>
          <w:sz w:val="32"/>
          <w:szCs w:val="32"/>
          <w:highlight w:val="none"/>
        </w:rPr>
      </w:pPr>
    </w:p>
    <w:sdt>
      <w:sdtPr>
        <w:rPr>
          <w:rFonts w:ascii="宋体" w:hAnsi="宋体" w:eastAsia="宋体" w:cs="Times New Roman"/>
          <w:color w:val="auto"/>
          <w:kern w:val="2"/>
          <w:sz w:val="44"/>
          <w:szCs w:val="44"/>
          <w:highlight w:val="none"/>
          <w:lang w:val="en-US" w:eastAsia="zh-CN" w:bidi="ar-SA"/>
        </w:rPr>
        <w:id w:val="147476142"/>
        <w15:color w:val="DBDBDB"/>
        <w:docPartObj>
          <w:docPartGallery w:val="Table of Contents"/>
          <w:docPartUnique/>
        </w:docPartObj>
      </w:sdtPr>
      <w:sdtEndPr>
        <w:rPr>
          <w:rFonts w:ascii="宋体" w:hAnsi="宋体" w:eastAsia="宋体" w:cs="Times New Roman"/>
          <w:color w:val="auto"/>
          <w:kern w:val="2"/>
          <w:sz w:val="44"/>
          <w:szCs w:val="44"/>
          <w:highlight w:val="none"/>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color w:val="auto"/>
              <w:sz w:val="44"/>
              <w:szCs w:val="44"/>
              <w:highlight w:val="none"/>
            </w:rPr>
          </w:pPr>
          <w:bookmarkStart w:id="0" w:name="_Hlt91233176"/>
          <w:bookmarkEnd w:id="0"/>
          <w:bookmarkStart w:id="1" w:name="_Toc91899869"/>
          <w:r>
            <w:rPr>
              <w:rFonts w:ascii="宋体" w:hAnsi="宋体" w:eastAsia="宋体"/>
              <w:color w:val="auto"/>
              <w:sz w:val="44"/>
              <w:szCs w:val="44"/>
              <w:highlight w:val="none"/>
            </w:rPr>
            <w:t>目</w:t>
          </w:r>
          <w:r>
            <w:rPr>
              <w:rFonts w:hint="eastAsia" w:ascii="宋体" w:hAnsi="宋体"/>
              <w:color w:val="auto"/>
              <w:sz w:val="44"/>
              <w:szCs w:val="44"/>
              <w:highlight w:val="none"/>
              <w:lang w:val="en-US" w:eastAsia="zh-CN"/>
            </w:rPr>
            <w:t xml:space="preserve"> </w:t>
          </w:r>
          <w:r>
            <w:rPr>
              <w:rFonts w:ascii="宋体" w:hAnsi="宋体" w:eastAsia="宋体"/>
              <w:color w:val="auto"/>
              <w:sz w:val="44"/>
              <w:szCs w:val="44"/>
              <w:highlight w:val="none"/>
            </w:rPr>
            <w:t>录</w:t>
          </w:r>
        </w:p>
        <w:p>
          <w:pPr>
            <w:pStyle w:val="4"/>
            <w:numPr>
              <w:ilvl w:val="0"/>
              <w:numId w:val="0"/>
            </w:numPr>
            <w:ind w:leftChars="0"/>
            <w:rPr>
              <w:color w:val="auto"/>
              <w:highlight w:val="none"/>
            </w:rPr>
          </w:pP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_Toc11577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第一部分  邀请供应商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_Toc11577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_Toc7323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第二部分  竞争性磋商流程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_Toc7323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_Toc10282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第三部分  供应商须知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_Toc10282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_Toc13197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第四部分  采购需求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_Toc13197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_Toc5537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第五部分  评审方法及评审标准</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_Toc5537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_Toc30557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第六部分  拟签订的合同文本</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_Toc30557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79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_Toc15409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第七部分  应提交的有关格式范例</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_Toc15409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41"/>
            <w:keepNext w:val="0"/>
            <w:keepLines w:val="0"/>
            <w:pageBreakBefore w:val="0"/>
            <w:tabs>
              <w:tab w:val="right" w:leader="dot" w:pos="9070"/>
            </w:tabs>
            <w:kinsoku/>
            <w:wordWrap/>
            <w:overflowPunct/>
            <w:topLinePunct w:val="0"/>
            <w:autoSpaceDE/>
            <w:autoSpaceDN/>
            <w:bidi w:val="0"/>
            <w:snapToGrid/>
            <w:spacing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_Toc30004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第八部分  最后报价格式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_Toc30004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110</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keepNext w:val="0"/>
            <w:keepLines w:val="0"/>
            <w:pageBreakBefore w:val="0"/>
            <w:kinsoku/>
            <w:wordWrap/>
            <w:overflowPunct/>
            <w:topLinePunct w:val="0"/>
            <w:autoSpaceDE/>
            <w:autoSpaceDN/>
            <w:bidi w:val="0"/>
            <w:snapToGrid/>
            <w:spacing w:line="360" w:lineRule="auto"/>
            <w:textAlignment w:val="auto"/>
            <w:rPr>
              <w:color w:val="auto"/>
              <w:highlight w:val="none"/>
            </w:rPr>
          </w:pPr>
          <w:r>
            <w:rPr>
              <w:rFonts w:hint="eastAsia" w:ascii="宋体" w:hAnsi="宋体" w:eastAsia="宋体" w:cs="宋体"/>
              <w:color w:val="auto"/>
              <w:sz w:val="28"/>
              <w:szCs w:val="28"/>
              <w:highlight w:val="none"/>
            </w:rPr>
            <w:fldChar w:fldCharType="end"/>
          </w:r>
        </w:p>
      </w:sdtContent>
    </w:sdt>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p>
      <w:pPr>
        <w:spacing w:line="360" w:lineRule="auto"/>
        <w:ind w:firstLine="549" w:firstLineChars="229"/>
        <w:rPr>
          <w:rFonts w:hint="eastAsia" w:cs="仿宋_GB2312" w:asciiTheme="minorEastAsia" w:hAnsiTheme="minorEastAsia" w:eastAsiaTheme="minorEastAsia"/>
          <w:color w:val="auto"/>
          <w:sz w:val="24"/>
          <w:highlight w:val="none"/>
        </w:rPr>
      </w:pPr>
    </w:p>
    <w:bookmarkEnd w:id="1"/>
    <w:p>
      <w:pPr>
        <w:adjustRightInd/>
        <w:jc w:val="center"/>
        <w:outlineLvl w:val="0"/>
        <w:rPr>
          <w:rFonts w:hint="eastAsia" w:cs="仿宋_GB2312" w:asciiTheme="minorEastAsia" w:hAnsiTheme="minorEastAsia" w:eastAsiaTheme="minorEastAsia"/>
          <w:b/>
          <w:color w:val="auto"/>
          <w:sz w:val="36"/>
          <w:szCs w:val="20"/>
          <w:highlight w:val="none"/>
        </w:rPr>
        <w:sectPr>
          <w:footerReference r:id="rId6" w:type="default"/>
          <w:pgSz w:w="11906" w:h="16838"/>
          <w:pgMar w:top="1247" w:right="1418" w:bottom="1276" w:left="1418" w:header="851" w:footer="992" w:gutter="0"/>
          <w:pgNumType w:fmt="decimal" w:start="1"/>
          <w:cols w:space="720" w:num="1"/>
          <w:docGrid w:linePitch="312" w:charSpace="0"/>
        </w:sectPr>
      </w:pPr>
      <w:bookmarkStart w:id="2" w:name="_Hlt74729822"/>
      <w:bookmarkEnd w:id="2"/>
      <w:bookmarkStart w:id="3" w:name="_Hlt74649545"/>
      <w:bookmarkEnd w:id="3"/>
      <w:bookmarkStart w:id="4" w:name="_Hlt74728647"/>
      <w:bookmarkEnd w:id="4"/>
      <w:bookmarkStart w:id="5" w:name="_Hlt74707423"/>
      <w:bookmarkEnd w:id="5"/>
      <w:bookmarkStart w:id="6" w:name="_Toc20653"/>
      <w:bookmarkStart w:id="7" w:name="_Toc11577"/>
      <w:bookmarkStart w:id="8" w:name="第二部分"/>
      <w:bookmarkStart w:id="9" w:name="_Toc91899870"/>
      <w:bookmarkStart w:id="10" w:name="_Toc91899871"/>
    </w:p>
    <w:p>
      <w:pPr>
        <w:adjustRightInd/>
        <w:jc w:val="center"/>
        <w:outlineLvl w:val="0"/>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6"/>
          <w:szCs w:val="20"/>
          <w:highlight w:val="none"/>
        </w:rPr>
        <w:t>第一部分  邀请供应商</w:t>
      </w:r>
      <w:bookmarkEnd w:id="6"/>
      <w:bookmarkEnd w:id="7"/>
    </w:p>
    <w:p>
      <w:pPr>
        <w:adjustRightInd/>
        <w:jc w:val="center"/>
        <w:outlineLvl w:val="9"/>
        <w:rPr>
          <w:rFonts w:hint="eastAsia" w:cs="仿宋_GB2312" w:asciiTheme="minorEastAsia" w:hAnsiTheme="minorEastAsia" w:eastAsiaTheme="minorEastAsia"/>
          <w:b/>
          <w:color w:val="auto"/>
          <w:sz w:val="32"/>
          <w:szCs w:val="32"/>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2"/>
          <w:szCs w:val="32"/>
          <w:highlight w:val="none"/>
        </w:rPr>
        <w:t>北海市政府采购中心关于</w:t>
      </w:r>
      <w:r>
        <w:rPr>
          <w:rFonts w:hint="eastAsia" w:cs="仿宋_GB2312" w:asciiTheme="minorEastAsia" w:hAnsiTheme="minorEastAsia" w:eastAsiaTheme="minorEastAsia"/>
          <w:b/>
          <w:color w:val="auto"/>
          <w:sz w:val="32"/>
          <w:szCs w:val="32"/>
          <w:highlight w:val="none"/>
          <w:lang w:eastAsia="zh-CN"/>
        </w:rPr>
        <w:t>北海职业学院电信学院与旅商学院课程与教材建设</w:t>
      </w:r>
      <w:r>
        <w:rPr>
          <w:rFonts w:hint="eastAsia" w:cs="仿宋_GB2312" w:asciiTheme="minorEastAsia" w:hAnsiTheme="minorEastAsia" w:eastAsiaTheme="minorEastAsia"/>
          <w:b/>
          <w:color w:val="auto"/>
          <w:sz w:val="32"/>
          <w:szCs w:val="32"/>
          <w:highlight w:val="none"/>
        </w:rPr>
        <w:t>(</w:t>
      </w:r>
      <w:r>
        <w:rPr>
          <w:rFonts w:hint="eastAsia" w:cs="仿宋_GB2312" w:asciiTheme="minorEastAsia" w:hAnsiTheme="minorEastAsia" w:eastAsiaTheme="minorEastAsia"/>
          <w:b/>
          <w:color w:val="auto"/>
          <w:sz w:val="32"/>
          <w:szCs w:val="32"/>
          <w:highlight w:val="none"/>
          <w:lang w:eastAsia="zh-CN"/>
        </w:rPr>
        <w:t>BHZC2026-C3-990086-CGZX</w:t>
      </w:r>
      <w:r>
        <w:rPr>
          <w:rFonts w:hint="eastAsia" w:cs="仿宋_GB2312" w:asciiTheme="minorEastAsia" w:hAnsiTheme="minorEastAsia" w:eastAsiaTheme="minorEastAsia"/>
          <w:b/>
          <w:color w:val="auto"/>
          <w:sz w:val="32"/>
          <w:szCs w:val="32"/>
          <w:highlight w:val="none"/>
        </w:rPr>
        <w:t>)竞争性磋商公告（远程异地评标）</w:t>
      </w:r>
    </w:p>
    <w:p>
      <w:pPr>
        <w:spacing w:line="360" w:lineRule="auto"/>
        <w:rPr>
          <w:rFonts w:hint="eastAsia" w:asciiTheme="minorEastAsia" w:hAnsiTheme="minorEastAsia" w:eastAsiaTheme="minorEastAsia"/>
          <w:color w:val="auto"/>
          <w:sz w:val="24"/>
          <w:highlight w:val="none"/>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电信学院与旅商学院课程与教材建设</w:t>
      </w:r>
      <w:r>
        <w:rPr>
          <w:rFonts w:hint="eastAsia" w:ascii="宋体" w:hAnsi="宋体" w:eastAsia="宋体" w:cs="宋体"/>
          <w:color w:val="auto"/>
          <w:sz w:val="24"/>
          <w:szCs w:val="24"/>
          <w:highlight w:val="none"/>
        </w:rPr>
        <w:t>的潜在供应商应在广西政府采购云平台（网址：</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"http://www.gcy.zfcg.gxzf.gov.cn）获取采购文件，并于2026年" </w:instrText>
      </w:r>
      <w:r>
        <w:rPr>
          <w:rFonts w:hint="eastAsia" w:ascii="宋体" w:hAnsi="宋体" w:eastAsia="宋体" w:cs="宋体"/>
          <w:color w:val="auto"/>
          <w:sz w:val="24"/>
          <w:szCs w:val="24"/>
          <w:highlight w:val="none"/>
        </w:rPr>
        <w:fldChar w:fldCharType="separate"/>
      </w:r>
      <w:r>
        <w:rPr>
          <w:rStyle w:val="69"/>
          <w:rFonts w:hint="eastAsia" w:ascii="宋体" w:hAnsi="宋体" w:eastAsia="宋体" w:cs="宋体"/>
          <w:color w:val="auto"/>
          <w:sz w:val="24"/>
          <w:szCs w:val="24"/>
          <w:highlight w:val="none"/>
        </w:rPr>
        <w:t>http://www.gcy.zfcg.gxzf.gov.cn）获取采购文件，并于</w:t>
      </w:r>
      <w:r>
        <w:rPr>
          <w:rStyle w:val="69"/>
          <w:rFonts w:hint="eastAsia" w:ascii="宋体" w:hAnsi="宋体" w:eastAsia="宋体" w:cs="宋体"/>
          <w:color w:val="auto"/>
          <w:sz w:val="24"/>
          <w:szCs w:val="24"/>
          <w:highlight w:val="none"/>
          <w:lang w:eastAsia="zh-CN"/>
        </w:rPr>
        <w:t>202</w:t>
      </w:r>
      <w:r>
        <w:rPr>
          <w:rStyle w:val="69"/>
          <w:rFonts w:hint="eastAsia" w:ascii="宋体" w:hAnsi="宋体" w:eastAsia="宋体" w:cs="宋体"/>
          <w:color w:val="auto"/>
          <w:sz w:val="24"/>
          <w:szCs w:val="24"/>
          <w:highlight w:val="none"/>
          <w:lang w:val="en-US" w:eastAsia="zh-CN"/>
        </w:rPr>
        <w:t>6</w:t>
      </w:r>
      <w:r>
        <w:rPr>
          <w:rStyle w:val="69"/>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rPr>
        <w:fldChar w:fldCharType="end"/>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（北京时间）前提交响应文件。</w:t>
      </w:r>
    </w:p>
    <w:p>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BHZC2026-C3-990086-CGZX</w:t>
      </w:r>
      <w:bookmarkStart w:id="159" w:name="_GoBack"/>
      <w:bookmarkEnd w:id="159"/>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电信学院与旅商学院课程与教材建设</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预算总金额（元）：</w:t>
      </w:r>
      <w:r>
        <w:rPr>
          <w:rFonts w:hint="eastAsia" w:ascii="宋体" w:hAnsi="宋体" w:cs="宋体"/>
          <w:color w:val="auto"/>
          <w:sz w:val="24"/>
          <w:szCs w:val="24"/>
          <w:highlight w:val="none"/>
          <w:lang w:eastAsia="zh-CN"/>
        </w:rPr>
        <w:t>868,000.00</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标项名称:</w:t>
      </w:r>
      <w:r>
        <w:rPr>
          <w:rFonts w:hint="eastAsia" w:ascii="宋体" w:hAnsi="宋体" w:cs="宋体"/>
          <w:color w:val="auto"/>
          <w:sz w:val="24"/>
          <w:szCs w:val="24"/>
          <w:highlight w:val="none"/>
          <w:lang w:eastAsia="zh-CN"/>
        </w:rPr>
        <w:t>电信学院与旅商学院课程与教材建设</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数量:1</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预算金额（元）:</w:t>
      </w:r>
      <w:r>
        <w:rPr>
          <w:rFonts w:hint="eastAsia" w:ascii="宋体" w:hAnsi="宋体" w:cs="宋体"/>
          <w:color w:val="auto"/>
          <w:sz w:val="24"/>
          <w:szCs w:val="24"/>
          <w:highlight w:val="none"/>
          <w:lang w:eastAsia="zh-CN"/>
        </w:rPr>
        <w:t>868,000.00</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简要规格描述或项目基本概况介绍、用途：</w:t>
      </w:r>
      <w:r>
        <w:rPr>
          <w:rFonts w:hint="eastAsia" w:ascii="宋体" w:hAnsi="宋体" w:cs="宋体"/>
          <w:color w:val="auto"/>
          <w:sz w:val="24"/>
          <w:szCs w:val="24"/>
          <w:highlight w:val="none"/>
          <w:lang w:eastAsia="zh-CN"/>
        </w:rPr>
        <w:t>电信学院与旅商学院课程与教材建设</w:t>
      </w:r>
      <w:r>
        <w:rPr>
          <w:rFonts w:hint="eastAsia" w:ascii="宋体" w:hAnsi="宋体" w:eastAsia="宋体" w:cs="宋体"/>
          <w:color w:val="auto"/>
          <w:sz w:val="24"/>
          <w:szCs w:val="24"/>
          <w:highlight w:val="none"/>
        </w:rPr>
        <w:t>，详见磋商文件。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最高限价（如有）：</w:t>
      </w:r>
      <w:r>
        <w:rPr>
          <w:rFonts w:hint="eastAsia" w:ascii="宋体" w:hAnsi="宋体" w:cs="宋体"/>
          <w:color w:val="auto"/>
          <w:sz w:val="24"/>
          <w:szCs w:val="24"/>
          <w:highlight w:val="none"/>
          <w:lang w:eastAsia="zh-CN"/>
        </w:rPr>
        <w:t>868,000.00</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合同履约期限：</w:t>
      </w:r>
      <w:r>
        <w:rPr>
          <w:rFonts w:hint="eastAsia" w:ascii="宋体" w:hAnsi="宋体" w:eastAsia="宋体" w:cs="宋体"/>
          <w:color w:val="auto"/>
          <w:sz w:val="24"/>
          <w:szCs w:val="24"/>
          <w:highlight w:val="none"/>
          <w:lang w:val="en-US" w:eastAsia="zh-CN"/>
        </w:rPr>
        <w:t>2026年9月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日前</w:t>
      </w:r>
      <w:r>
        <w:rPr>
          <w:rFonts w:hint="eastAsia" w:ascii="宋体" w:hAnsi="宋体" w:eastAsia="宋体" w:cs="宋体"/>
          <w:color w:val="auto"/>
          <w:sz w:val="24"/>
          <w:szCs w:val="24"/>
          <w:highlight w:val="none"/>
        </w:rPr>
        <w:t>全部安装调试完毕，经验收合格并交付使用。</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本标项（否）接受联合体投标</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keepNext w:val="0"/>
        <w:keepLines w:val="0"/>
        <w:pageBreakBefore w:val="0"/>
        <w:widowControl w:val="0"/>
        <w:kinsoku/>
        <w:wordWrap/>
        <w:overflowPunct/>
        <w:topLinePunct w:val="0"/>
        <w:autoSpaceDE/>
        <w:autoSpaceDN/>
        <w:bidi w:val="0"/>
        <w:adjustRightInd/>
        <w:spacing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二、申请人的资格要求</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2.落实政府采购政策需满足的资格要求：</w:t>
      </w:r>
      <w:bookmarkStart w:id="11" w:name="OLE_LINK3"/>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专门面向</w:t>
      </w:r>
      <w:r>
        <w:rPr>
          <w:rFonts w:hint="eastAsia" w:ascii="宋体" w:hAnsi="宋体" w:eastAsia="宋体" w:cs="宋体"/>
          <w:color w:val="auto"/>
          <w:sz w:val="24"/>
          <w:szCs w:val="24"/>
          <w:highlight w:val="none"/>
          <w:lang w:eastAsia="zh-CN"/>
        </w:rPr>
        <w:t>中小微</w:t>
      </w:r>
      <w:r>
        <w:rPr>
          <w:rFonts w:hint="eastAsia" w:ascii="宋体" w:hAnsi="宋体" w:eastAsia="宋体" w:cs="宋体"/>
          <w:color w:val="auto"/>
          <w:sz w:val="24"/>
          <w:szCs w:val="24"/>
          <w:highlight w:val="none"/>
        </w:rPr>
        <w:t>企业采购，监狱企业、残疾人福利性单位视同</w:t>
      </w:r>
      <w:r>
        <w:rPr>
          <w:rFonts w:hint="eastAsia" w:ascii="宋体" w:hAnsi="宋体" w:eastAsia="宋体" w:cs="宋体"/>
          <w:color w:val="auto"/>
          <w:sz w:val="24"/>
          <w:szCs w:val="24"/>
          <w:highlight w:val="none"/>
          <w:lang w:eastAsia="zh-CN"/>
        </w:rPr>
        <w:t>小微</w:t>
      </w:r>
      <w:r>
        <w:rPr>
          <w:rFonts w:hint="eastAsia" w:ascii="宋体" w:hAnsi="宋体" w:eastAsia="宋体" w:cs="宋体"/>
          <w:color w:val="auto"/>
          <w:sz w:val="24"/>
          <w:szCs w:val="24"/>
          <w:highlight w:val="none"/>
        </w:rPr>
        <w:t>企业；</w:t>
      </w:r>
      <w:bookmarkEnd w:id="11"/>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3.本项目的特定资格要求：无</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rPr>
        <w:t>至202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29</w:t>
      </w:r>
      <w:r>
        <w:rPr>
          <w:rFonts w:hint="eastAsia" w:ascii="宋体" w:hAnsi="宋体" w:eastAsia="宋体" w:cs="宋体"/>
          <w:color w:val="auto"/>
          <w:sz w:val="24"/>
          <w:szCs w:val="24"/>
          <w:highlight w:val="none"/>
        </w:rPr>
        <w:t>日，每天上午00:00至12:00，下午12:00至23:59（北京时间，法定节假日除外）</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地点（网址）：广西政府采购云平台（网址：http://www.gcy.zfcg.gxzf.gov.cn）</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广西政府采购云平台（网址：http://www.gcy.zfcg.gxzf.gov.cn）进行报名并获取采购文件；未注册的供应商可在广西政府采购云平台完成注册后再进行报名。如在操作过程中遇到问题或需技术支持，请致电广西政府采购云平台客服热线：95763。提示：供应商只有在“广西政府采购云平台”完成获取竞争性磋商文件申请并下载了竞争性磋商文件后才视作依法获取竞争性磋商文件（法律法规所指的供应商获取竞争性磋商文件时间以供应商完成获取竞争性磋商文件申请后下载竞争性磋商文件的时间为准）。 </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售价（元）：0</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b/>
          <w:color w:val="auto"/>
          <w:sz w:val="24"/>
          <w:szCs w:val="24"/>
          <w:highlight w:val="none"/>
        </w:rPr>
        <w:t>提交响应文件截止时间、开标时间和地点</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投标地点（网址）：通过广西政府采购云平台实行在线投标</w:t>
      </w:r>
    </w:p>
    <w:p>
      <w:pPr>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开标地点：通过广西政府采购云平台实行在线开标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五、响应文件开启</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开启时间：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日9时</w:t>
      </w:r>
      <w:r>
        <w:rPr>
          <w:rFonts w:hint="eastAsia" w:ascii="宋体" w:hAnsi="宋体" w:eastAsia="宋体" w:cs="宋体"/>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地点：通过广西政府采购云平台实行在线解密开启 </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六、公告期限</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七、其他补充事宜</w:t>
      </w:r>
      <w:r>
        <w:rPr>
          <w:rFonts w:hint="eastAsia" w:ascii="宋体" w:hAnsi="宋体" w:eastAsia="宋体" w:cs="宋体"/>
          <w:color w:val="auto"/>
          <w:sz w:val="24"/>
          <w:szCs w:val="24"/>
          <w:highlight w:val="none"/>
        </w:rPr>
        <w:t> </w:t>
      </w:r>
    </w:p>
    <w:p>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1.本项目不收取磋商保证金。</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需要落实的政府采购政策：（1）支持采用本国产品：政府采购应当采购本国产品，确需采购进口产品的，实行审核管理。优先采购向我国企业转让技术、与我国企业签订消化吸收再创新方案的供应商的进口产品。（2）实施本国产品标准及相关政策：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3）支持绿色发展：落实强制采购节能产品、鼓励节能政策；鼓励环保政策；推广使用绿色包装；采购绿色建材等。（4）支持中小企业发展：</w:t>
      </w:r>
      <w:r>
        <w:rPr>
          <w:rFonts w:hint="eastAsia" w:ascii="宋体" w:hAnsi="宋体" w:cs="宋体"/>
          <w:color w:val="auto"/>
          <w:sz w:val="24"/>
          <w:szCs w:val="24"/>
          <w:highlight w:val="none"/>
          <w:lang w:eastAsia="zh-CN"/>
        </w:rPr>
        <w:t>本项目</w:t>
      </w:r>
      <w:r>
        <w:rPr>
          <w:rFonts w:hint="eastAsia" w:ascii="宋体" w:hAnsi="宋体" w:eastAsia="宋体" w:cs="宋体"/>
          <w:color w:val="auto"/>
          <w:sz w:val="24"/>
          <w:szCs w:val="24"/>
          <w:highlight w:val="none"/>
        </w:rPr>
        <w:t>专门面向中小</w:t>
      </w:r>
      <w:r>
        <w:rPr>
          <w:rFonts w:hint="eastAsia" w:ascii="宋体" w:hAnsi="宋体" w:cs="宋体"/>
          <w:color w:val="auto"/>
          <w:sz w:val="24"/>
          <w:szCs w:val="24"/>
          <w:highlight w:val="none"/>
          <w:lang w:eastAsia="zh-CN"/>
        </w:rPr>
        <w:t>微</w:t>
      </w:r>
      <w:r>
        <w:rPr>
          <w:rFonts w:hint="eastAsia" w:ascii="宋体" w:hAnsi="宋体" w:eastAsia="宋体" w:cs="宋体"/>
          <w:color w:val="auto"/>
          <w:sz w:val="24"/>
          <w:szCs w:val="24"/>
          <w:highlight w:val="none"/>
        </w:rPr>
        <w:t>企业采购的政府采购项目。（5）支持监狱企业、残疾人福利性单位发展：监狱企业、残疾人福利性单位视同小型和微型企业。</w:t>
      </w:r>
      <w:r>
        <w:rPr>
          <w:rFonts w:hint="eastAsia" w:ascii="宋体" w:hAnsi="宋体" w:eastAsia="宋体" w:cs="宋体"/>
          <w:strike w:val="0"/>
          <w:dstrike w:val="0"/>
          <w:color w:val="auto"/>
          <w:sz w:val="24"/>
          <w:szCs w:val="24"/>
          <w:highlight w:val="none"/>
        </w:rPr>
        <w:t>（6</w:t>
      </w:r>
      <w:r>
        <w:rPr>
          <w:rFonts w:hint="eastAsia" w:ascii="宋体" w:hAnsi="宋体" w:cs="宋体"/>
          <w:strike w:val="0"/>
          <w:dstrike w:val="0"/>
          <w:color w:val="auto"/>
          <w:sz w:val="24"/>
          <w:szCs w:val="24"/>
          <w:highlight w:val="none"/>
          <w:lang w:eastAsia="zh-CN"/>
        </w:rPr>
        <w:t>）</w:t>
      </w:r>
      <w:r>
        <w:rPr>
          <w:rFonts w:hint="eastAsia" w:ascii="宋体" w:hAnsi="宋体" w:eastAsia="宋体" w:cs="宋体"/>
          <w:color w:val="auto"/>
          <w:sz w:val="24"/>
          <w:szCs w:val="24"/>
          <w:highlight w:val="none"/>
        </w:rPr>
        <w:t>平等对待内外资企业和符合条件的破产重整企业。</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4.网上公告媒体查询：中国政府采购网、广西政府采购网、北海市政府采购监管网</w:t>
      </w:r>
      <w:r>
        <w:rPr>
          <w:rFonts w:hint="eastAsia" w:ascii="宋体" w:hAnsi="宋体" w:cs="宋体"/>
          <w:color w:val="auto"/>
          <w:sz w:val="24"/>
          <w:szCs w:val="24"/>
          <w:highlight w:val="none"/>
          <w:lang w:eastAsia="zh-CN"/>
        </w:rPr>
        <w:t>、全国公共资源交易平台（广西</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lang w:eastAsia="zh-CN"/>
        </w:rPr>
        <w:t>北海）、北海市人民政府网</w:t>
      </w:r>
      <w:r>
        <w:rPr>
          <w:rFonts w:hint="eastAsia" w:ascii="宋体" w:hAnsi="宋体" w:cs="宋体"/>
          <w:color w:val="auto"/>
          <w:sz w:val="24"/>
          <w:szCs w:val="24"/>
          <w:highlight w:val="none"/>
          <w:lang w:val="en-US" w:eastAsia="zh-CN"/>
        </w:rPr>
        <w:t>-北海市政府采购中心网站</w:t>
      </w:r>
      <w:r>
        <w:rPr>
          <w:rFonts w:hint="eastAsia" w:ascii="宋体" w:hAnsi="宋体" w:eastAsia="宋体" w:cs="宋体"/>
          <w:color w:val="auto"/>
          <w:sz w:val="24"/>
          <w:szCs w:val="24"/>
          <w:highlight w:val="none"/>
        </w:rPr>
        <w:t>。</w:t>
      </w:r>
    </w:p>
    <w:p>
      <w:pPr>
        <w:keepNext w:val="0"/>
        <w:keepLines w:val="0"/>
        <w:pageBreakBefore w:val="0"/>
        <w:widowControl w:val="0"/>
        <w:kinsoku/>
        <w:wordWrap w:val="0"/>
        <w:overflowPunct/>
        <w:topLinePunct w:val="0"/>
        <w:autoSpaceDE/>
        <w:autoSpaceDN/>
        <w:bidi w:val="0"/>
        <w:adjustRightInd w:val="0"/>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7.本项目采用远程异地评标。</w:t>
      </w:r>
    </w:p>
    <w:p>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八、凡对本次磋商提出询问，请按以下方式联系</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1.采购人信息</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    称：</w:t>
      </w:r>
      <w:r>
        <w:rPr>
          <w:rFonts w:hint="eastAsia" w:ascii="宋体" w:hAnsi="宋体" w:eastAsia="宋体" w:cs="宋体"/>
          <w:color w:val="auto"/>
          <w:sz w:val="24"/>
          <w:szCs w:val="24"/>
          <w:highlight w:val="none"/>
          <w:lang w:eastAsia="zh-CN"/>
        </w:rPr>
        <w:t>北海职业学院</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广西北海市西藏路48号</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项目联系人：苫晓梦</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项目联系方式：0779-3902121</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2.采购代理机构信息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名    称：北海市政府采购中心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bookmarkStart w:id="12" w:name="OLE_LINK63"/>
      <w:bookmarkStart w:id="13" w:name="OLE_LINK62"/>
      <w:r>
        <w:rPr>
          <w:rFonts w:hint="eastAsia" w:ascii="宋体" w:hAnsi="宋体" w:eastAsia="宋体" w:cs="宋体"/>
          <w:color w:val="auto"/>
          <w:sz w:val="24"/>
          <w:szCs w:val="24"/>
          <w:highlight w:val="none"/>
        </w:rPr>
        <w:t>北海市海城区陈文村北路7号市直机关第三办公区2号楼一层</w:t>
      </w:r>
      <w:bookmarkEnd w:id="12"/>
      <w:bookmarkEnd w:id="13"/>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项目联系人(询问)：</w:t>
      </w:r>
      <w:r>
        <w:rPr>
          <w:rFonts w:hint="eastAsia" w:ascii="宋体" w:hAnsi="宋体" w:eastAsia="宋体" w:cs="宋体"/>
          <w:color w:val="auto"/>
          <w:sz w:val="24"/>
          <w:szCs w:val="24"/>
          <w:highlight w:val="none"/>
          <w:lang w:eastAsia="zh-CN"/>
        </w:rPr>
        <w:t>欧呈东</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项目联系方式(询问)：0779-3071101 </w:t>
      </w:r>
    </w:p>
    <w:p>
      <w:pPr>
        <w:pStyle w:val="632"/>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对项目采购电子交易系统操作有疑问，可登录广西政府采购云平台（https://www.gcy.zfcg.gxzf.gov.cn/），点击右侧咨询小采，获取采小蜜智能服务管家帮助，或拨打广西政府采购云平台服务热线95763获取热线服务帮助。</w:t>
      </w:r>
    </w:p>
    <w:p>
      <w:pPr>
        <w:spacing w:line="360" w:lineRule="auto"/>
        <w:rPr>
          <w:rFonts w:hint="eastAsia" w:cs="仿宋_GB2312" w:asciiTheme="minorEastAsia" w:hAnsiTheme="minorEastAsia" w:eastAsiaTheme="minorEastAsia"/>
          <w:color w:val="auto"/>
          <w:sz w:val="24"/>
          <w:highlight w:val="none"/>
        </w:rPr>
      </w:pP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pPr>
        <w:adjustRightInd/>
        <w:spacing w:line="360" w:lineRule="auto"/>
        <w:jc w:val="cente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2"/>
          <w:szCs w:val="20"/>
          <w:highlight w:val="none"/>
        </w:rPr>
      </w:pPr>
      <w:bookmarkStart w:id="14" w:name="_Toc7323"/>
      <w:bookmarkStart w:id="15" w:name="_Toc24088"/>
      <w:r>
        <w:rPr>
          <w:rFonts w:hint="eastAsia" w:cs="仿宋_GB2312" w:asciiTheme="minorEastAsia" w:hAnsiTheme="minorEastAsia" w:eastAsiaTheme="minorEastAsia"/>
          <w:b/>
          <w:color w:val="auto"/>
          <w:sz w:val="36"/>
          <w:szCs w:val="20"/>
          <w:highlight w:val="none"/>
        </w:rPr>
        <w:t>第二部分  竞争性磋商流程</w:t>
      </w:r>
      <w:bookmarkEnd w:id="14"/>
      <w:bookmarkEnd w:id="15"/>
    </w:p>
    <w:p>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pPr>
        <w:pStyle w:val="394"/>
        <w:spacing w:before="0"/>
        <w:ind w:firstLine="480"/>
        <w:rPr>
          <w:rFonts w:hint="eastAsia"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pPr>
        <w:pStyle w:val="394"/>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pPr>
        <w:pStyle w:val="394"/>
        <w:spacing w:before="0"/>
        <w:ind w:firstLine="480"/>
        <w:rPr>
          <w:rFonts w:hint="eastAsia"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pPr>
        <w:pStyle w:val="394"/>
        <w:spacing w:before="0"/>
        <w:ind w:firstLine="0" w:firstLineChars="0"/>
        <w:rPr>
          <w:rFonts w:hint="eastAsia"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tabs>
          <w:tab w:val="left" w:pos="0"/>
        </w:tabs>
        <w:spacing w:line="360" w:lineRule="auto"/>
        <w:ind w:firstLine="48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pPr>
        <w:pStyle w:val="394"/>
        <w:spacing w:before="0"/>
        <w:ind w:firstLine="480"/>
        <w:rPr>
          <w:rFonts w:hint="eastAsia"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pPr>
        <w:widowControl/>
        <w:adjustRightInd/>
        <w:jc w:val="left"/>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pPr>
        <w:pStyle w:val="394"/>
        <w:spacing w:before="0"/>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pPr>
        <w:pStyle w:val="394"/>
        <w:spacing w:before="0"/>
        <w:ind w:firstLine="0" w:firstLineChars="0"/>
        <w:rPr>
          <w:rFonts w:hint="eastAsia" w:asciiTheme="minorEastAsia" w:hAnsiTheme="minorEastAsia" w:eastAsiaTheme="minorEastAsia"/>
          <w:b/>
          <w:color w:val="auto"/>
          <w:highlight w:val="none"/>
        </w:rPr>
      </w:pPr>
    </w:p>
    <w:p>
      <w:pPr>
        <w:widowControl/>
        <w:adjustRightInd/>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pPr>
        <w:widowControl/>
        <w:adjustRightInd/>
        <w:jc w:val="left"/>
        <w:rPr>
          <w:rFonts w:hint="eastAsia"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验收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履约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签订合同</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pPr>
                        <w:rPr>
                          <w:rFonts w:hint="eastAsia" w:asciiTheme="minorEastAsia" w:hAnsiTheme="minorEastAsia" w:eastAsiaTheme="minorEastAsia"/>
                        </w:rPr>
                      </w:pPr>
                      <w:r>
                        <w:rPr>
                          <w:rFonts w:hint="eastAsia" w:asciiTheme="minorEastAsia" w:hAnsiTheme="minorEastAsia" w:eastAsiaTheme="minorEastAsia"/>
                        </w:rPr>
                        <w:t>成交公告；成交通知书</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pPr>
                        <w:ind w:firstLine="105" w:firstLineChars="50"/>
                        <w:rPr>
                          <w:rFonts w:hint="eastAsia" w:asciiTheme="minorEastAsia" w:hAnsiTheme="minorEastAsia" w:eastAsiaTheme="minorEastAsia"/>
                        </w:rPr>
                      </w:pPr>
                      <w:r>
                        <w:rPr>
                          <w:rFonts w:hint="eastAsia" w:asciiTheme="minorEastAsia" w:hAnsiTheme="minorEastAsia" w:eastAsiaTheme="minorEastAsia"/>
                        </w:rPr>
                        <w:t>编写评审报告</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评审打分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供应商提交最后报价</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资格审查</w:t>
                      </w:r>
                    </w:p>
                    <w:p>
                      <w:pPr>
                        <w:jc w:val="center"/>
                        <w:rPr>
                          <w:rFonts w:ascii="仿宋_GB2312" w:eastAsia="仿宋_GB2312"/>
                        </w:rPr>
                      </w:pP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开启响应文件</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pPr>
                        <w:jc w:val="center"/>
                        <w:rPr>
                          <w:rFonts w:hint="eastAsia" w:asciiTheme="minorEastAsia" w:hAnsiTheme="minorEastAsia" w:eastAsiaTheme="minorEastAsia"/>
                        </w:rPr>
                      </w:pPr>
                      <w:r>
                        <w:rPr>
                          <w:rFonts w:hint="eastAsia" w:asciiTheme="minorEastAsia" w:hAnsiTheme="minorEastAsia" w:eastAsiaTheme="minorEastAsia"/>
                        </w:rPr>
                        <w:t>邀请供应商</w:t>
                      </w:r>
                    </w:p>
                    <w:p>
                      <w:pPr>
                        <w:rPr>
                          <w:rFonts w:ascii="仿宋_GB2312" w:eastAsia="仿宋_GB2312"/>
                        </w:rPr>
                      </w:pPr>
                      <w:r>
                        <w:rPr>
                          <w:rFonts w:hint="eastAsia" w:ascii="仿宋_GB2312" w:eastAsia="仿宋_GB2312"/>
                        </w:rPr>
                        <w:t>立项</w:t>
                      </w:r>
                    </w:p>
                    <w:p>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6" w:name="_Toc15110"/>
      <w:bookmarkStart w:id="17" w:name="_Toc10282"/>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16"/>
      <w:bookmarkEnd w:id="17"/>
    </w:p>
    <w:p>
      <w:pPr>
        <w:adjustRightInd/>
        <w:spacing w:line="360" w:lineRule="auto"/>
        <w:jc w:val="center"/>
        <w:outlineLvl w:val="1"/>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43"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（1）标的：</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u w:val="single"/>
                <w:lang w:eastAsia="zh-CN"/>
              </w:rPr>
              <w:t>电信学院与旅商学院课程与教材建设</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 软件和信息技术服务业 </w:t>
            </w:r>
            <w:r>
              <w:rPr>
                <w:rFonts w:hint="eastAsia" w:cs="宋体" w:asciiTheme="minorEastAsia" w:hAnsiTheme="minorEastAsia" w:eastAsiaTheme="minorEastAsia"/>
                <w:color w:val="auto"/>
                <w:kern w:val="0"/>
                <w:sz w:val="24"/>
                <w:highlight w:val="none"/>
              </w:rPr>
              <w:t>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30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本项目不允许采购进口产品。</w:t>
            </w:r>
          </w:p>
          <w:p>
            <w:pPr>
              <w:spacing w:line="360" w:lineRule="auto"/>
              <w:rPr>
                <w:rFonts w:hint="eastAsia"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74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ind w:firstLine="482"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highlight w:val="none"/>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注：不得限制大中型企业向小微企业合理分包。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hint="eastAsia"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pPr>
              <w:spacing w:line="360" w:lineRule="auto"/>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pPr>
              <w:spacing w:line="360" w:lineRule="auto"/>
              <w:rPr>
                <w:rFonts w:hint="eastAsia"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B组织。</w:t>
            </w:r>
          </w:p>
          <w:p>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b/>
                <w:bCs/>
                <w:color w:val="auto"/>
                <w:kern w:val="0"/>
                <w:sz w:val="24"/>
                <w:highlight w:val="none"/>
                <w:u w:val="single"/>
                <w:lang w:val="en-US" w:eastAsia="zh-CN"/>
              </w:rPr>
              <w:t>25</w:t>
            </w:r>
            <w:r>
              <w:rPr>
                <w:rFonts w:hint="eastAsia" w:cs="宋体" w:asciiTheme="minorEastAsia" w:hAnsiTheme="minorEastAsia" w:eastAsiaTheme="minorEastAsia"/>
                <w:b/>
                <w:bCs/>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b/>
                <w:bCs/>
                <w:color w:val="auto"/>
                <w:kern w:val="0"/>
                <w:sz w:val="24"/>
                <w:highlight w:val="none"/>
                <w:u w:val="single"/>
              </w:rPr>
              <w:t>3</w:t>
            </w:r>
            <w:r>
              <w:rPr>
                <w:rFonts w:hint="eastAsia" w:cs="宋体" w:asciiTheme="minorEastAsia" w:hAnsiTheme="minorEastAsia" w:eastAsiaTheme="minorEastAsia"/>
                <w:b/>
                <w:bCs/>
                <w:color w:val="auto"/>
                <w:kern w:val="0"/>
                <w:sz w:val="24"/>
                <w:highlight w:val="none"/>
              </w:rPr>
              <w:t>人。讲解演示结束后按要求解答评标委员会提问。</w:t>
            </w:r>
          </w:p>
          <w:p>
            <w:pPr>
              <w:snapToGrid w:val="0"/>
              <w:spacing w:line="360" w:lineRule="auto"/>
              <w:rPr>
                <w:rFonts w:hint="eastAsia" w:cs="宋体" w:asciiTheme="minorEastAsia" w:hAnsiTheme="minorEastAsia" w:eastAsiaTheme="minorEastAsia"/>
                <w:b/>
                <w:bCs/>
                <w:color w:val="auto"/>
                <w:kern w:val="0"/>
                <w:sz w:val="24"/>
                <w:highlight w:val="none"/>
              </w:rPr>
            </w:pPr>
            <w:r>
              <w:rPr>
                <w:rFonts w:hint="eastAsia" w:cs="宋体" w:asciiTheme="minorEastAsia" w:hAnsiTheme="minorEastAsia" w:eastAsiaTheme="minorEastAsia"/>
                <w:b/>
                <w:bCs/>
                <w:color w:val="auto"/>
                <w:kern w:val="0"/>
                <w:sz w:val="24"/>
                <w:highlight w:val="none"/>
              </w:rPr>
              <w:t>（2）方案讲解演示选择</w:t>
            </w:r>
            <w:r>
              <w:rPr>
                <w:rFonts w:hint="eastAsia" w:cs="宋体" w:asciiTheme="minorEastAsia" w:hAnsiTheme="minorEastAsia" w:eastAsiaTheme="minorEastAsia"/>
                <w:b/>
                <w:bCs/>
                <w:color w:val="auto"/>
                <w:kern w:val="0"/>
                <w:sz w:val="24"/>
                <w:highlight w:val="none"/>
                <w:lang w:eastAsia="zh-CN"/>
              </w:rPr>
              <w:t>方式一</w:t>
            </w:r>
            <w:r>
              <w:rPr>
                <w:rFonts w:hint="eastAsia" w:cs="宋体" w:asciiTheme="minorEastAsia" w:hAnsiTheme="minorEastAsia" w:eastAsiaTheme="minorEastAsia"/>
                <w:b/>
                <w:bCs/>
                <w:color w:val="auto"/>
                <w:kern w:val="0"/>
                <w:sz w:val="24"/>
                <w:highlight w:val="none"/>
              </w:rPr>
              <w:t>进行：</w:t>
            </w:r>
          </w:p>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b/>
                <w:bCs/>
                <w:color w:val="auto"/>
                <w:kern w:val="0"/>
                <w:sz w:val="24"/>
                <w:highlight w:val="none"/>
              </w:rPr>
              <w:t>方式一：广西政府采购云平台在线讲解演示。广西政府采购云平台在线讲解需供应商根据广西政府采购云平台操作要求做好准备工作，提前完善软硬件配置环境。</w:t>
            </w:r>
          </w:p>
          <w:p>
            <w:pPr>
              <w:snapToGrid w:val="0"/>
              <w:spacing w:line="360" w:lineRule="auto"/>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pPr>
              <w:snapToGrid w:val="0"/>
              <w:spacing w:line="360" w:lineRule="auto"/>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注：因供应商自身原因导致无法演示或者演示效果不理想的，责任自负。因平台原因导致本项目方案讲解演示环节无法顺利开展，按照相关规定执行。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61" w:hRule="atLeast"/>
          <w:tblHeader/>
        </w:trPr>
        <w:tc>
          <w:tcPr>
            <w:tcW w:w="629" w:type="dxa"/>
            <w:vMerge w:val="restart"/>
            <w:tcBorders>
              <w:top w:val="single" w:color="auto" w:sz="4" w:space="0"/>
              <w:left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（1）资格证明文件：见磋商文件第三部分。</w:t>
            </w:r>
          </w:p>
          <w:p>
            <w:pPr>
              <w:spacing w:line="360" w:lineRule="auto"/>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38" w:hRule="atLeast"/>
          <w:tblHeader/>
        </w:trPr>
        <w:tc>
          <w:tcPr>
            <w:tcW w:w="629" w:type="dxa"/>
            <w:vMerge w:val="continue"/>
            <w:tcBorders>
              <w:left w:val="single" w:color="auto" w:sz="4" w:space="0"/>
              <w:bottom w:val="single" w:color="auto" w:sz="4" w:space="0"/>
              <w:right w:val="single" w:color="auto" w:sz="4"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（2）资信证明文件：根据磋商文件采购需求和评审标准要求提供。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p>
          <w:p>
            <w:pPr>
              <w:snapToGrid w:val="0"/>
              <w:spacing w:line="360" w:lineRule="auto"/>
              <w:jc w:val="left"/>
              <w:rPr>
                <w:rFonts w:hint="eastAsia" w:cs="宋体" w:asciiTheme="minorEastAsia" w:hAnsiTheme="minorEastAsia" w:eastAsiaTheme="minorEastAsia"/>
                <w:b/>
                <w:color w:val="auto"/>
                <w:kern w:val="0"/>
                <w:sz w:val="24"/>
                <w:highlight w:val="none"/>
                <w:lang w:val="zh-CN"/>
              </w:rPr>
            </w:pPr>
            <w:r>
              <w:rPr>
                <w:rFonts w:hint="eastAsia" w:asciiTheme="minorEastAsia" w:hAnsiTheme="minorEastAsia" w:eastAsiaTheme="minorEastAsia" w:cstheme="minorEastAsia"/>
                <w:b/>
                <w:bCs/>
                <w:color w:val="auto"/>
                <w:kern w:val="0"/>
                <w:sz w:val="24"/>
                <w:szCs w:val="24"/>
                <w:highlight w:val="none"/>
                <w:lang w:eastAsia="zh-CN"/>
              </w:rPr>
              <w:t>注：报价时均不能超过预算单价，否则响应无效。</w:t>
            </w:r>
          </w:p>
          <w:p>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pPr>
              <w:spacing w:line="360" w:lineRule="auto"/>
              <w:ind w:firstLine="482" w:firstLineChars="200"/>
              <w:rPr>
                <w:rFonts w:ascii="宋体" w:hAnsi="宋体" w:cs="宋体"/>
                <w:color w:val="auto"/>
                <w:kern w:val="0"/>
                <w:sz w:val="24"/>
                <w:highlight w:val="none"/>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pPr>
              <w:spacing w:line="360" w:lineRule="auto"/>
              <w:ind w:firstLine="482" w:firstLineChars="200"/>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最后报价属于磋商文件规定的政府采购异常低价情形之一，且供应商不能提供书面说明、证明材料，或者提供的书面说明、证明材料不能证明其报价合理性的;</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pPr>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pPr>
              <w:pStyle w:val="32"/>
              <w:spacing w:line="360" w:lineRule="auto"/>
              <w:rPr>
                <w:rFonts w:hint="eastAsia"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rPr>
              <w:t>：</w:t>
            </w:r>
            <w:r>
              <w:rPr>
                <w:rFonts w:hint="eastAsia" w:hAnsi="宋体" w:cs="宋体"/>
                <w:color w:val="auto"/>
                <w:kern w:val="28"/>
                <w:sz w:val="24"/>
                <w:highlight w:val="none"/>
              </w:rPr>
              <w:t>备份响应文件送达地点：</w:t>
            </w:r>
            <w:r>
              <w:rPr>
                <w:rFonts w:hint="eastAsia" w:hAnsi="宋体" w:cs="宋体"/>
                <w:color w:val="auto"/>
                <w:sz w:val="24"/>
                <w:highlight w:val="none"/>
                <w:u w:val="single"/>
              </w:rPr>
              <w:t xml:space="preserve">         </w:t>
            </w:r>
            <w:r>
              <w:rPr>
                <w:rFonts w:hint="eastAsia" w:hAnsi="宋体" w:cs="宋体"/>
                <w:color w:val="auto"/>
                <w:kern w:val="28"/>
                <w:sz w:val="24"/>
                <w:highlight w:val="none"/>
              </w:rPr>
              <w:t>；备份响应文件签收人员联系电话：</w:t>
            </w:r>
            <w:r>
              <w:rPr>
                <w:rFonts w:hint="eastAsia" w:hAnsi="宋体" w:cs="宋体"/>
                <w:color w:val="auto"/>
                <w:sz w:val="24"/>
                <w:highlight w:val="none"/>
                <w:u w:val="single"/>
              </w:rPr>
              <w:t xml:space="preserve">        </w:t>
            </w:r>
            <w:r>
              <w:rPr>
                <w:rFonts w:hint="eastAsia" w:hAnsi="宋体" w:cs="宋体"/>
                <w:color w:val="auto"/>
                <w:sz w:val="24"/>
                <w:highlight w:val="none"/>
              </w:rPr>
              <w:t>。</w:t>
            </w:r>
            <w:r>
              <w:rPr>
                <w:rFonts w:hint="eastAsia" w:hAnsi="宋体" w:cs="宋体"/>
                <w:b/>
                <w:color w:val="auto"/>
                <w:sz w:val="24"/>
                <w:highlight w:val="none"/>
              </w:rPr>
              <w:t>采购人、采购代理机构不强制或变相强制磋商供应商提交备份响应文件。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restart"/>
            <w:tcBorders>
              <w:top w:val="single" w:color="auto" w:sz="4" w:space="0"/>
              <w:left w:val="single" w:color="000000" w:sz="8"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vMerge w:val="continue"/>
            <w:tcBorders>
              <w:left w:val="single" w:color="000000" w:sz="8" w:space="0"/>
              <w:bottom w:val="single" w:color="auto" w:sz="4" w:space="0"/>
              <w:right w:val="single" w:color="000000" w:sz="2" w:space="0"/>
            </w:tcBorders>
            <w:vAlign w:val="center"/>
          </w:tcPr>
          <w:p>
            <w:pPr>
              <w:snapToGrid w:val="0"/>
              <w:spacing w:line="360" w:lineRule="auto"/>
              <w:jc w:val="center"/>
              <w:rPr>
                <w:rFonts w:hint="eastAsia" w:cs="宋体" w:asciiTheme="minorEastAsia" w:hAnsiTheme="minorEastAsia" w:eastAsiaTheme="minorEastAsia"/>
                <w:color w:val="auto"/>
                <w:sz w:val="24"/>
                <w:highlight w:val="none"/>
              </w:rPr>
            </w:pPr>
          </w:p>
        </w:tc>
        <w:tc>
          <w:tcPr>
            <w:tcW w:w="1843" w:type="dxa"/>
            <w:vMerge w:val="continue"/>
            <w:tcBorders>
              <w:left w:val="single" w:color="000000" w:sz="2" w:space="0"/>
              <w:bottom w:val="single" w:color="auto" w:sz="4" w:space="0"/>
              <w:right w:val="single" w:color="000000" w:sz="8" w:space="0"/>
            </w:tcBorders>
            <w:vAlign w:val="center"/>
          </w:tcPr>
          <w:p>
            <w:pPr>
              <w:snapToGrid w:val="0"/>
              <w:spacing w:line="360" w:lineRule="auto"/>
              <w:jc w:val="center"/>
              <w:rPr>
                <w:rFonts w:hint="eastAsia" w:cs="宋体" w:asciiTheme="minorEastAsia" w:hAnsiTheme="minorEastAsia" w:eastAsiaTheme="minorEastAsia"/>
                <w:b/>
                <w:color w:val="auto"/>
                <w:sz w:val="24"/>
                <w:highlight w:val="none"/>
              </w:rPr>
            </w:pPr>
          </w:p>
        </w:tc>
        <w:tc>
          <w:tcPr>
            <w:tcW w:w="6095" w:type="dxa"/>
            <w:tcBorders>
              <w:top w:val="single" w:color="000000" w:sz="8" w:space="0"/>
              <w:left w:val="single" w:color="000000" w:sz="2" w:space="0"/>
              <w:bottom w:val="single" w:color="auto" w:sz="4" w:space="0"/>
              <w:right w:val="single" w:color="000000" w:sz="8" w:space="0"/>
            </w:tcBorders>
            <w:vAlign w:val="center"/>
          </w:tcPr>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pPr>
              <w:spacing w:line="360" w:lineRule="auto"/>
              <w:rPr>
                <w:rFonts w:hint="eastAsia"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86" w:hRule="atLeast"/>
          <w:tblHeader/>
        </w:trPr>
        <w:tc>
          <w:tcPr>
            <w:tcW w:w="62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解释权</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pPr>
        <w:snapToGrid w:val="0"/>
        <w:jc w:val="center"/>
        <w:rPr>
          <w:rFonts w:hint="eastAsia" w:cs="仿宋_GB2312" w:asciiTheme="minorEastAsia" w:hAnsiTheme="minorEastAsia" w:eastAsiaTheme="minorEastAsia"/>
          <w:b/>
          <w:color w:val="auto"/>
          <w:sz w:val="32"/>
          <w:szCs w:val="20"/>
          <w:highlight w:val="none"/>
        </w:rPr>
      </w:pPr>
    </w:p>
    <w:p>
      <w:pPr>
        <w:adjustRightInd/>
        <w:spacing w:line="360" w:lineRule="auto"/>
        <w:ind w:firstLine="3845" w:firstLineChars="1197"/>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pPr>
        <w:snapToGrid w:val="0"/>
        <w:spacing w:line="360" w:lineRule="auto"/>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pPr>
        <w:snapToGrid w:val="0"/>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pPr>
        <w:spacing w:line="360" w:lineRule="auto"/>
        <w:ind w:firstLine="480" w:firstLineChars="200"/>
        <w:rPr>
          <w:rFonts w:hint="eastAsia" w:asciiTheme="minorEastAsia" w:hAnsiTheme="minorEastAsia" w:eastAsiaTheme="minorEastAsia"/>
          <w:color w:val="auto"/>
          <w:sz w:val="24"/>
          <w:highlight w:val="none"/>
        </w:rPr>
      </w:pP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pPr>
        <w:snapToGrid w:val="0"/>
        <w:spacing w:line="360" w:lineRule="auto"/>
        <w:ind w:firstLine="480" w:firstLineChars="200"/>
        <w:jc w:val="left"/>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pPr>
        <w:adjustRightInd/>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pPr>
        <w:spacing w:line="360" w:lineRule="auto"/>
        <w:ind w:firstLine="480" w:firstLineChars="200"/>
        <w:rPr>
          <w:rFonts w:hint="eastAsia"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pPr>
        <w:pStyle w:val="394"/>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pPr>
        <w:pStyle w:val="394"/>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pPr>
        <w:tabs>
          <w:tab w:val="left" w:pos="378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pPr>
        <w:pStyle w:val="32"/>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pPr>
        <w:spacing w:line="360" w:lineRule="auto"/>
        <w:jc w:val="center"/>
        <w:rPr>
          <w:rFonts w:hint="eastAsia" w:cs="仿宋_GB2312" w:asciiTheme="minorEastAsia" w:hAnsiTheme="minorEastAsia" w:eastAsiaTheme="minorEastAsia"/>
          <w:b/>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pPr>
        <w:pStyle w:val="394"/>
        <w:spacing w:before="0"/>
        <w:ind w:firstLine="0" w:firstLineChars="0"/>
        <w:rPr>
          <w:rFonts w:hint="eastAsia"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2.实施本国产品标准及相关政策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本国产品应当符合以下条件：（一）在中国境内生产；（二）在中国境内生产的组件成本占比达到规定比例；（三）特定产品的关键组件、关键工序符合相关要求。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本国产品标准的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对本国产品的支持政策：政府采购活动中既有本国产品又有非本国产品参与竞争的，依法对本国产品给予价格评审优惠，对本国产品的报价给予20%的价格扣除，用扣除后的价格参与评审。仅有本国产品参与竞争的，不执行本国产品价格扣除政策。</w:t>
      </w:r>
    </w:p>
    <w:p>
      <w:pPr>
        <w:spacing w:line="360" w:lineRule="auto"/>
        <w:ind w:firstLine="480" w:firstLineChars="200"/>
        <w:rPr>
          <w:color w:val="auto"/>
          <w:highlight w:val="none"/>
        </w:rPr>
      </w:pPr>
      <w:r>
        <w:rPr>
          <w:rFonts w:hint="eastAsia" w:ascii="宋体" w:hAnsi="宋体" w:cs="宋体"/>
          <w:color w:val="auto"/>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前述全部产品是指货物或服务采购项目或采购包中包含的全部货物、服务产品。</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供应商应提供的证明文件：供应商拟享受该政策的，应当对其提供的产品出具《关于符合本国产品标准的声明函》（样式见附件6）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供应商未出具《关于符合本国产品标准的声明函》或财政部会同有关部门规定的有关证明文件的，该产品视为非本国产品，不能享受价格扣除。</w:t>
      </w:r>
    </w:p>
    <w:p>
      <w:pPr>
        <w:spacing w:line="360" w:lineRule="auto"/>
        <w:ind w:firstLine="480" w:firstLineChars="200"/>
        <w:rPr>
          <w:color w:val="auto"/>
          <w:highlight w:val="none"/>
        </w:rPr>
      </w:pPr>
      <w:r>
        <w:rPr>
          <w:rFonts w:hint="eastAsia" w:ascii="宋体" w:hAnsi="宋体" w:cs="宋体"/>
          <w:color w:val="auto"/>
          <w:sz w:val="24"/>
          <w:highlight w:val="none"/>
        </w:rPr>
        <w:t>当采购项目或者采购包中含有多种产品时，供应商拟享受该政策的，除了对其提供的产品出具《关于符合本国产品标准的声明函》或财政部会同有关部门规定的有关证明文件外，还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样式见附件7）。</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对于未预留份额专门面向中小企业采购的采购项目，以及预留份额项目中的非预留部分采购包，供应商提供的产品同时满足《国务院办公厅关于在政府采购中实施本国产品标准及相关政策的通知》（国办发〔2025〕34号）和《政府采购促进中小企业发展管理办法》（财库〔2020〕46号）有关规定的，在原报价基础上叠加享受本国产品价格扣除和小微企业产品价格扣除政策。</w:t>
      </w:r>
    </w:p>
    <w:p>
      <w:pPr>
        <w:spacing w:line="360" w:lineRule="auto"/>
        <w:rPr>
          <w:rFonts w:hint="eastAsia" w:asciiTheme="minorEastAsia" w:hAnsiTheme="minorEastAsia" w:eastAsiaTheme="minorEastAsia"/>
          <w:b/>
          <w:color w:val="auto"/>
          <w:sz w:val="24"/>
          <w:highlight w:val="none"/>
        </w:rPr>
      </w:pPr>
      <w:r>
        <w:rPr>
          <w:rFonts w:hint="eastAsia" w:ascii="宋体" w:hAnsi="宋体" w:cs="宋体"/>
          <w:color w:val="auto"/>
          <w:sz w:val="24"/>
          <w:highlight w:val="none"/>
        </w:rPr>
        <w:t>2.6成交供应商提供的《声明函》或有关证明文件应当随成交结果同时公告。其他未尽事宜按照《国务院办公厅关于在政府采购中实施本国产品标准及相关政策的通知》（国办发〔2025〕34号）执行。</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3</w:t>
      </w:r>
      <w:r>
        <w:rPr>
          <w:rFonts w:hint="eastAsia" w:asciiTheme="minorEastAsia" w:hAnsiTheme="minorEastAsia" w:eastAsiaTheme="minorEastAsia"/>
          <w:b/>
          <w:color w:val="auto"/>
          <w:sz w:val="24"/>
          <w:highlight w:val="none"/>
        </w:rPr>
        <w:t>.支持绿色发展</w:t>
      </w:r>
    </w:p>
    <w:p>
      <w:pPr>
        <w:spacing w:line="360" w:lineRule="auto"/>
        <w:ind w:firstLine="480" w:firstLineChars="200"/>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.2</w:t>
      </w:r>
      <w:r>
        <w:rPr>
          <w:rFonts w:hint="eastAsia" w:ascii="宋体" w:hAnsi="宋体" w:cs="宋体"/>
          <w:color w:val="auto"/>
          <w:sz w:val="24"/>
          <w:highlight w:val="none"/>
        </w:rPr>
        <w:t>纳入政府采购管理的修缮、装修类项目采购建材的，鼓励采购人将绿色建材性能、指标等作为实质性条件纳入采购文件和合同，具体性能指标要求参考相关绿色建材政府采购需求标准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cs="宋体" w:asciiTheme="minorEastAsia" w:hAnsiTheme="minorEastAsia" w:eastAsiaTheme="minorEastAsia"/>
          <w:color w:val="auto"/>
          <w:sz w:val="24"/>
          <w:highlight w:val="none"/>
          <w:lang w:val="en-US" w:eastAsia="zh-CN"/>
        </w:rPr>
        <w:t>3</w:t>
      </w:r>
      <w:r>
        <w:rPr>
          <w:rFonts w:hint="eastAsia" w:cs="宋体" w:asciiTheme="minorEastAsia" w:hAnsiTheme="minorEastAsia" w:eastAsiaTheme="minorEastAsia"/>
          <w:color w:val="auto"/>
          <w:sz w:val="24"/>
          <w:highlight w:val="none"/>
        </w:rPr>
        <w:t>.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鼓励采购人优先采购秸秆环保板材等资源综合利用产品。鼓励采购人优先采购绿色物流配送服务、提供新能源交通工具的租赁服务。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ascii="宋体" w:hAnsi="宋体" w:cs="宋体"/>
          <w:color w:val="auto"/>
          <w:sz w:val="24"/>
          <w:highlight w:val="none"/>
        </w:rPr>
        <w:t xml:space="preserve">.4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鼓励供应商在参加政府采购过程中开展绿色设计、选择绿色材料、打造绿色制造工艺、开展绿色运输、做好废弃产品回收处理，实现产品全周期的绿色环保。鼓励采购人对其提高预付款比例、免收履约保证金。</w:t>
      </w:r>
    </w:p>
    <w:p>
      <w:pPr>
        <w:pStyle w:val="32"/>
        <w:spacing w:line="360" w:lineRule="auto"/>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lang w:val="en-US" w:eastAsia="zh-CN"/>
        </w:rPr>
        <w:t>4</w:t>
      </w:r>
      <w:r>
        <w:rPr>
          <w:rFonts w:hint="eastAsia" w:asciiTheme="minorEastAsia" w:hAnsiTheme="minorEastAsia" w:eastAsiaTheme="minorEastAsia"/>
          <w:b/>
          <w:color w:val="auto"/>
          <w:sz w:val="24"/>
          <w:szCs w:val="24"/>
          <w:highlight w:val="none"/>
        </w:rPr>
        <w:t>.支持中小企业发展。</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.1中小企业，是指在中华人民共和国境内依法设立，依据国务院批准的中小企业划分标准确定的中型企业、小型企业和微型企业，但与大企业的负责人为同一人，或者与大企业存在直接控股、管理关系的除外。</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bCs/>
          <w:color w:val="auto"/>
          <w:sz w:val="24"/>
          <w:highlight w:val="none"/>
          <w:lang w:val="en-US" w:eastAsia="zh-CN"/>
        </w:rPr>
        <w:t>4</w:t>
      </w:r>
      <w:r>
        <w:rPr>
          <w:rFonts w:cs="宋体" w:asciiTheme="minorEastAsia" w:hAnsiTheme="minorEastAsia" w:eastAsiaTheme="minorEastAsia"/>
          <w:bCs/>
          <w:color w:val="auto"/>
          <w:sz w:val="24"/>
          <w:highlight w:val="none"/>
        </w:rPr>
        <w:t>.2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5符合《关于政府采购支持监狱企业发展有关问题的通知》（财库〔2014〕68号）规定的监狱企业并提供由省级以上监狱管理局、戒毒管理局（含新疆生产建设兵团）出具的属于监狱企业证明文件的，视同为小型、微型企业。</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lang w:val="en-US" w:eastAsia="zh-CN"/>
        </w:rPr>
        <w:t>4</w:t>
      </w:r>
      <w:r>
        <w:rPr>
          <w:rFonts w:hint="eastAsia" w:cs="宋体" w:asciiTheme="minorEastAsia" w:hAnsiTheme="minorEastAsia" w:eastAsiaTheme="minorEastAsia"/>
          <w:color w:val="auto"/>
          <w:sz w:val="24"/>
          <w:highlight w:val="none"/>
        </w:rPr>
        <w:t>.7中小企业享受扶持政策获得政府采购合同的，小微企业不得将合同分包给大中型企业，中型企业不得将合同分包给大型企业。</w:t>
      </w:r>
    </w:p>
    <w:p>
      <w:pPr>
        <w:spacing w:line="360" w:lineRule="auto"/>
        <w:rPr>
          <w:rFonts w:hint="eastAsia" w:ascii="宋体" w:hAnsi="宋体" w:cs="宋体"/>
          <w:b/>
          <w:color w:val="auto"/>
          <w:sz w:val="24"/>
          <w:highlight w:val="none"/>
        </w:rPr>
      </w:pPr>
      <w:r>
        <w:rPr>
          <w:rFonts w:hint="eastAsia" w:cs="宋体" w:asciiTheme="minorEastAsia" w:hAnsiTheme="minorEastAsia" w:eastAsiaTheme="minorEastAsia"/>
          <w:b/>
          <w:color w:val="auto"/>
          <w:sz w:val="24"/>
          <w:highlight w:val="none"/>
          <w:lang w:val="en-US" w:eastAsia="zh-CN"/>
        </w:rPr>
        <w:t>5</w:t>
      </w:r>
      <w:r>
        <w:rPr>
          <w:rFonts w:hint="eastAsia" w:cs="宋体" w:asciiTheme="minorEastAsia" w:hAnsiTheme="minorEastAsia" w:eastAsiaTheme="minorEastAsia"/>
          <w:b/>
          <w:color w:val="auto"/>
          <w:sz w:val="24"/>
          <w:highlight w:val="none"/>
        </w:rPr>
        <w:t>.</w:t>
      </w:r>
      <w:r>
        <w:rPr>
          <w:rFonts w:hint="eastAsia" w:ascii="宋体" w:hAnsi="宋体" w:cs="宋体"/>
          <w:b/>
          <w:color w:val="auto"/>
          <w:sz w:val="24"/>
          <w:highlight w:val="none"/>
        </w:rPr>
        <w:t>平等对待内外资企业</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pPr>
        <w:pStyle w:val="632"/>
        <w:ind w:firstLine="0"/>
        <w:rPr>
          <w:rFonts w:hint="eastAsia"/>
          <w:b/>
          <w:bCs/>
          <w:color w:val="auto"/>
          <w:highlight w:val="none"/>
        </w:rPr>
      </w:pPr>
      <w:r>
        <w:rPr>
          <w:rFonts w:hint="eastAsia" w:cs="宋体" w:asciiTheme="minorEastAsia" w:hAnsiTheme="minorEastAsia" w:eastAsiaTheme="minorEastAsia"/>
          <w:b/>
          <w:color w:val="auto"/>
          <w:highlight w:val="none"/>
          <w:lang w:val="en-US" w:eastAsia="zh-CN"/>
        </w:rPr>
        <w:t>6</w:t>
      </w:r>
      <w:r>
        <w:rPr>
          <w:rFonts w:hint="eastAsia" w:cs="宋体" w:asciiTheme="minorEastAsia" w:hAnsiTheme="minorEastAsia" w:eastAsiaTheme="minorEastAsia"/>
          <w:b/>
          <w:color w:val="auto"/>
          <w:highlight w:val="none"/>
        </w:rPr>
        <w:t>.</w:t>
      </w:r>
      <w:r>
        <w:rPr>
          <w:rFonts w:hint="eastAsia"/>
          <w:b/>
          <w:color w:val="auto"/>
          <w:highlight w:val="none"/>
        </w:rPr>
        <w:t>平等对待符合条件的破产重整企业</w:t>
      </w:r>
    </w:p>
    <w:p>
      <w:pPr>
        <w:pStyle w:val="632"/>
        <w:rPr>
          <w:rFonts w:hint="eastAsia"/>
          <w:color w:val="auto"/>
          <w:highlight w:val="none"/>
        </w:rPr>
      </w:pPr>
      <w:r>
        <w:rPr>
          <w:rFonts w:hint="eastAsia" w:cs="宋体"/>
          <w:color w:val="auto"/>
          <w:highlight w:val="none"/>
        </w:rPr>
        <w:t>平等对待符合条件的破产重整企业，切实保障企业公平竞争，平等维护企业的合法利益。</w:t>
      </w:r>
    </w:p>
    <w:p>
      <w:pPr>
        <w:spacing w:line="360" w:lineRule="auto"/>
        <w:ind w:firstLine="480" w:firstLineChars="200"/>
        <w:rPr>
          <w:rFonts w:hint="eastAsia" w:asciiTheme="minorEastAsia" w:hAnsiTheme="minorEastAsia" w:eastAsiaTheme="minorEastAsia"/>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询问联系部门：北海市政府采购中心采购一科，联系电话：0779-</w:t>
      </w:r>
      <w:r>
        <w:rPr>
          <w:rFonts w:hint="eastAsia" w:asciiTheme="minorEastAsia" w:hAnsiTheme="minorEastAsia" w:eastAsiaTheme="minorEastAsia"/>
          <w:color w:val="auto"/>
          <w:sz w:val="24"/>
          <w:highlight w:val="none"/>
          <w:lang w:val="en-US" w:eastAsia="zh-CN"/>
        </w:rPr>
        <w:t>3071101</w:t>
      </w:r>
      <w:r>
        <w:rPr>
          <w:rFonts w:hint="eastAsia" w:asciiTheme="minorEastAsia" w:hAnsiTheme="minorEastAsia" w:eastAsiaTheme="minorEastAsia"/>
          <w:color w:val="auto"/>
          <w:sz w:val="24"/>
          <w:highlight w:val="none"/>
          <w:lang w:val="zh-CN"/>
        </w:rPr>
        <w:t>，地址：北海市海城区陈文村北路7号市直机关第三办公区2号楼一层。</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 xml:space="preserve">质疑联系部门：北海市政府采购中心监督科，联系电话：0779-3960826，地址：北海市海城区陈文村北路7号市直机关第三办公区2号楼一层。 </w:t>
      </w:r>
    </w:p>
    <w:p>
      <w:pPr>
        <w:spacing w:line="360" w:lineRule="auto"/>
        <w:ind w:firstLine="480" w:firstLineChars="200"/>
        <w:rPr>
          <w:rFonts w:hint="eastAsia"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投诉联系部门：北海市财政局，联系电话：0779-3063975，地址：广西壮族自治区北海市海城区北部湾西路19号。</w:t>
      </w:r>
    </w:p>
    <w:p>
      <w:pPr>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pPr>
        <w:autoSpaceDE w:val="0"/>
        <w:autoSpaceDN w:val="0"/>
        <w:spacing w:line="360" w:lineRule="auto"/>
        <w:ind w:firstLine="480" w:firstLineChars="200"/>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pPr>
        <w:pStyle w:val="15"/>
        <w:spacing w:line="360" w:lineRule="auto"/>
        <w:ind w:firstLine="434" w:firstLineChars="181"/>
        <w:rPr>
          <w:rFonts w:hint="eastAsia"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pPr>
        <w:widowControl/>
        <w:adjustRightInd/>
        <w:jc w:val="center"/>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pPr>
              <w:pStyle w:val="32"/>
              <w:spacing w:line="360" w:lineRule="auto"/>
              <w:jc w:val="center"/>
              <w:rPr>
                <w:rFonts w:hint="eastAsia" w:asciiTheme="minorEastAsia" w:hAnsiTheme="minorEastAsia" w:eastAsiaTheme="minorEastAsia"/>
                <w:color w:val="auto"/>
                <w:sz w:val="24"/>
                <w:highlight w:val="none"/>
              </w:rPr>
            </w:pP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pPr>
              <w:pStyle w:val="32"/>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pPr>
              <w:pStyle w:val="32"/>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pPr>
        <w:pStyle w:val="32"/>
        <w:spacing w:line="360" w:lineRule="auto"/>
        <w:ind w:firstLine="482" w:firstLineChars="200"/>
        <w:rPr>
          <w:rFonts w:hint="eastAsia"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pPr>
        <w:pStyle w:val="32"/>
        <w:tabs>
          <w:tab w:val="left" w:pos="426"/>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pPr>
        <w:pStyle w:val="32"/>
        <w:spacing w:line="360" w:lineRule="auto"/>
        <w:ind w:firstLine="482"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pPr>
        <w:pStyle w:val="32"/>
        <w:spacing w:line="360" w:lineRule="auto"/>
        <w:ind w:firstLine="482" w:firstLineChars="200"/>
        <w:rPr>
          <w:rFonts w:hint="eastAsia" w:asciiTheme="minorEastAsia" w:hAnsiTheme="minorEastAsia" w:eastAsiaTheme="minorEastAsia"/>
          <w:b/>
          <w:color w:val="auto"/>
          <w:sz w:val="24"/>
          <w:highlight w:val="none"/>
        </w:rPr>
      </w:pP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pPr>
        <w:autoSpaceDE w:val="0"/>
        <w:autoSpaceDN w:val="0"/>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pPr>
        <w:pStyle w:val="32"/>
        <w:tabs>
          <w:tab w:val="left" w:pos="840"/>
        </w:tabs>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pPr>
        <w:pStyle w:val="32"/>
        <w:spacing w:line="360" w:lineRule="auto"/>
        <w:ind w:firstLine="480" w:firstLineChars="20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pPr>
        <w:pStyle w:val="394"/>
        <w:snapToGrid w:val="0"/>
        <w:spacing w:before="0"/>
        <w:ind w:firstLine="48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pPr>
        <w:pStyle w:val="394"/>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pPr>
        <w:pStyle w:val="394"/>
        <w:snapToGrid w:val="0"/>
        <w:spacing w:before="0"/>
        <w:ind w:firstLine="480"/>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pPr>
        <w:pStyle w:val="394"/>
        <w:snapToGrid w:val="0"/>
        <w:spacing w:before="0"/>
        <w:ind w:firstLine="482"/>
        <w:rPr>
          <w:rFonts w:hint="eastAsia"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pPr>
        <w:pStyle w:val="22"/>
        <w:rPr>
          <w:rFonts w:hint="eastAsia"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w:t>
      </w:r>
      <w:r>
        <w:rPr>
          <w:rFonts w:hint="eastAsia" w:hAnsi="宋体" w:cs="宋体"/>
          <w:b/>
          <w:color w:val="auto"/>
          <w:sz w:val="24"/>
          <w:szCs w:val="24"/>
          <w:highlight w:val="none"/>
        </w:rPr>
        <w:t>具体标注由采购人根据项目需要确定。</w:t>
      </w:r>
      <w:r>
        <w:rPr>
          <w:rFonts w:hint="eastAsia" w:asciiTheme="minorEastAsia" w:hAnsiTheme="minorEastAsia" w:eastAsiaTheme="minorEastAsia"/>
          <w:color w:val="auto"/>
          <w:sz w:val="24"/>
          <w:highlight w:val="none"/>
        </w:rPr>
        <w:t>相关格式见磋商文件第七部分）：</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▲（1）响应函</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（2）资格文件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▲A、</w:t>
      </w:r>
      <w:r>
        <w:rPr>
          <w:rFonts w:hint="eastAsia" w:cs="宋体" w:asciiTheme="minorEastAsia" w:hAnsiTheme="minorEastAsia" w:eastAsiaTheme="minorEastAsia"/>
          <w:color w:val="auto"/>
          <w:sz w:val="24"/>
          <w:highlight w:val="none"/>
        </w:rPr>
        <w:t>符合参加政府采购活动应当具备的一般条件的承诺函（</w:t>
      </w:r>
      <w:r>
        <w:rPr>
          <w:rFonts w:hint="eastAsia" w:asciiTheme="minorEastAsia" w:hAnsiTheme="minorEastAsia" w:eastAsiaTheme="minorEastAsia"/>
          <w:color w:val="auto"/>
          <w:sz w:val="24"/>
          <w:highlight w:val="none"/>
        </w:rPr>
        <w:t>如以联合体形式参加政府采购活动的，</w:t>
      </w:r>
      <w:r>
        <w:rPr>
          <w:rFonts w:hint="eastAsia" w:cs="Arial" w:asciiTheme="minorEastAsia" w:hAnsiTheme="minorEastAsia" w:eastAsiaTheme="minorEastAsia"/>
          <w:color w:val="auto"/>
          <w:sz w:val="24"/>
          <w:highlight w:val="none"/>
        </w:rPr>
        <w:t>联合体各方均应提交该承诺函</w:t>
      </w:r>
      <w:r>
        <w:rPr>
          <w:rFonts w:hint="eastAsia" w:cs="宋体" w:asciiTheme="minorEastAsia" w:hAnsiTheme="minorEastAsia" w:eastAsiaTheme="minorEastAsia"/>
          <w:color w:val="auto"/>
          <w:sz w:val="24"/>
          <w:highlight w:val="none"/>
        </w:rPr>
        <w:t>）；</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B、</w:t>
      </w:r>
      <w:r>
        <w:rPr>
          <w:rFonts w:hint="eastAsia" w:cs="Arial" w:asciiTheme="minorEastAsia" w:hAnsiTheme="minorEastAsia" w:eastAsiaTheme="minorEastAsia"/>
          <w:color w:val="auto"/>
          <w:sz w:val="24"/>
          <w:highlight w:val="none"/>
        </w:rPr>
        <w:t>联合协议</w:t>
      </w:r>
      <w:r>
        <w:rPr>
          <w:rFonts w:hint="eastAsia" w:cs="仿宋_GB2312" w:asciiTheme="minorEastAsia" w:hAnsiTheme="minorEastAsia" w:eastAsiaTheme="minorEastAsia"/>
          <w:color w:val="auto"/>
          <w:sz w:val="24"/>
          <w:highlight w:val="none"/>
        </w:rPr>
        <w:t>（如果有）；</w:t>
      </w:r>
    </w:p>
    <w:p>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C</w:t>
      </w:r>
      <w:r>
        <w:rPr>
          <w:rFonts w:hint="eastAsia" w:asciiTheme="minorEastAsia" w:hAnsiTheme="minorEastAsia" w:eastAsiaTheme="minorEastAsia"/>
          <w:color w:val="auto"/>
          <w:sz w:val="24"/>
          <w:highlight w:val="none"/>
        </w:rPr>
        <w:t>、</w:t>
      </w:r>
      <w:r>
        <w:rPr>
          <w:rFonts w:hint="eastAsia" w:cs="宋体" w:asciiTheme="minorEastAsia" w:hAnsiTheme="minorEastAsia" w:eastAsiaTheme="minorEastAsia"/>
          <w:color w:val="auto"/>
          <w:sz w:val="24"/>
          <w:highlight w:val="none"/>
        </w:rPr>
        <w:t>落实政府采购政策需满足的资格要求</w:t>
      </w:r>
      <w:r>
        <w:rPr>
          <w:rFonts w:hint="eastAsia" w:cs="宋体" w:asciiTheme="minorEastAsia" w:hAnsiTheme="minorEastAsia" w:eastAsiaTheme="minorEastAsia"/>
          <w:snapToGrid w:val="0"/>
          <w:color w:val="auto"/>
          <w:kern w:val="28"/>
          <w:sz w:val="24"/>
          <w:highlight w:val="none"/>
        </w:rPr>
        <w:t>（</w:t>
      </w:r>
      <w:r>
        <w:rPr>
          <w:rFonts w:hint="eastAsia" w:cs="宋体" w:asciiTheme="minorEastAsia" w:hAnsiTheme="minorEastAsia" w:eastAsiaTheme="minorEastAsia"/>
          <w:snapToGrid w:val="0"/>
          <w:color w:val="auto"/>
          <w:kern w:val="28"/>
          <w:sz w:val="24"/>
          <w:highlight w:val="none"/>
          <w:lang w:eastAsia="zh-CN"/>
        </w:rPr>
        <w:t>《中小企业声明函》</w:t>
      </w:r>
      <w:r>
        <w:rPr>
          <w:rFonts w:hint="eastAsia" w:cs="宋体" w:asciiTheme="minorEastAsia" w:hAnsiTheme="minorEastAsia" w:eastAsiaTheme="minorEastAsia"/>
          <w:snapToGrid w:val="0"/>
          <w:color w:val="auto"/>
          <w:kern w:val="28"/>
          <w:sz w:val="24"/>
          <w:highlight w:val="none"/>
        </w:rPr>
        <w:t>)；</w:t>
      </w:r>
    </w:p>
    <w:p>
      <w:pPr>
        <w:pStyle w:val="32"/>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D、符合特定资格条件的有关证明材料（如果有）。</w:t>
      </w:r>
      <w:r>
        <w:rPr>
          <w:rFonts w:hint="eastAsia" w:cs="仿宋_GB2312" w:asciiTheme="minorEastAsia" w:hAnsiTheme="minorEastAsia" w:eastAsiaTheme="minorEastAsia"/>
          <w:color w:val="auto"/>
          <w:sz w:val="24"/>
          <w:highlight w:val="none"/>
        </w:rPr>
        <w:tab/>
      </w:r>
      <w:r>
        <w:rPr>
          <w:rFonts w:cs="仿宋_GB2312" w:asciiTheme="minorEastAsia" w:hAnsiTheme="minorEastAsia" w:eastAsiaTheme="minorEastAsia"/>
          <w:color w:val="auto"/>
          <w:sz w:val="24"/>
          <w:highlight w:val="none"/>
        </w:rPr>
        <w:t xml:space="preserve"> </w:t>
      </w:r>
    </w:p>
    <w:p>
      <w:pPr>
        <w:pStyle w:val="32"/>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hint="eastAsia" w:hAnsi="宋体" w:cs="宋体"/>
          <w:color w:val="auto"/>
          <w:sz w:val="24"/>
          <w:highlight w:val="none"/>
        </w:rPr>
        <w:t>授权委托书或法定代表人（单位负责人、自然人本人）身份证明；</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szCs w:val="24"/>
          <w:highlight w:val="none"/>
        </w:rPr>
        <w:t>（4）</w:t>
      </w:r>
      <w:r>
        <w:rPr>
          <w:rFonts w:hint="eastAsia" w:cs="宋体" w:asciiTheme="minorEastAsia" w:hAnsiTheme="minorEastAsia" w:eastAsiaTheme="minorEastAsia"/>
          <w:color w:val="auto"/>
          <w:sz w:val="24"/>
          <w:highlight w:val="none"/>
        </w:rPr>
        <w:t>分包意向协议</w:t>
      </w:r>
      <w:r>
        <w:rPr>
          <w:rFonts w:hint="eastAsia" w:cs="宋体" w:asciiTheme="minorEastAsia" w:hAnsiTheme="minorEastAsia" w:eastAsiaTheme="minorEastAsia"/>
          <w:snapToGrid w:val="0"/>
          <w:color w:val="auto"/>
          <w:kern w:val="28"/>
          <w:sz w:val="24"/>
          <w:highlight w:val="none"/>
        </w:rPr>
        <w:t>（如果有)</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（5）所有资信文件</w:t>
      </w:r>
      <w:r>
        <w:rPr>
          <w:rFonts w:hint="eastAsia" w:cs="宋体" w:asciiTheme="minorEastAsia" w:hAnsiTheme="minorEastAsia" w:eastAsiaTheme="minorEastAsia"/>
          <w:color w:val="auto"/>
          <w:kern w:val="0"/>
          <w:sz w:val="24"/>
          <w:highlight w:val="none"/>
        </w:rPr>
        <w:t>（如果有）；</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宋体" w:asciiTheme="minorEastAsia" w:hAnsiTheme="minorEastAsia" w:eastAsiaTheme="minorEastAsia"/>
          <w:color w:val="auto"/>
          <w:kern w:val="0"/>
          <w:sz w:val="24"/>
          <w:highlight w:val="none"/>
        </w:rPr>
        <w:t>（6）</w:t>
      </w:r>
      <w:r>
        <w:rPr>
          <w:rFonts w:hint="eastAsia" w:asciiTheme="minorEastAsia" w:hAnsiTheme="minorEastAsia" w:eastAsiaTheme="minorEastAsia"/>
          <w:color w:val="auto"/>
          <w:sz w:val="24"/>
          <w:highlight w:val="none"/>
        </w:rPr>
        <w:t>响应截止时间近三年以来供应商的主要业绩证明材料（联合体响应的，联合体各方分别提供与联合体协议中规定的分工内容相应的业绩证明材料，业绩数量以提供材料较少的一方为准；以分包方式履行政府采购合同的，还需提供其项目采购人同意分包的证明材料。)；</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snapToGrid w:val="0"/>
          <w:color w:val="auto"/>
          <w:sz w:val="24"/>
          <w:highlight w:val="none"/>
        </w:rPr>
        <w:t>（7）</w:t>
      </w:r>
      <w:r>
        <w:rPr>
          <w:rFonts w:hint="eastAsia" w:asciiTheme="minorEastAsia" w:hAnsiTheme="minorEastAsia" w:eastAsiaTheme="minorEastAsia"/>
          <w:color w:val="auto"/>
          <w:kern w:val="0"/>
          <w:sz w:val="24"/>
          <w:highlight w:val="none"/>
          <w:lang w:val="zh-CN"/>
        </w:rPr>
        <w:t>关于对磋商文件中有关条款的拒绝声明 (如果有)</w:t>
      </w:r>
      <w:r>
        <w:rPr>
          <w:rFonts w:hint="eastAsia" w:asciiTheme="minorEastAsia" w:hAnsiTheme="minorEastAsia" w:eastAsiaTheme="minorEastAsia"/>
          <w:color w:val="auto"/>
          <w:sz w:val="24"/>
          <w:highlight w:val="none"/>
          <w:lang w:val="zh-CN"/>
        </w:rPr>
        <w:t xml:space="preserve"> ；</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（8）</w:t>
      </w:r>
      <w:r>
        <w:rPr>
          <w:rFonts w:hint="eastAsia" w:asciiTheme="minorEastAsia" w:hAnsiTheme="minorEastAsia" w:eastAsiaTheme="minorEastAsia"/>
          <w:color w:val="auto"/>
          <w:kern w:val="0"/>
          <w:sz w:val="24"/>
          <w:highlight w:val="none"/>
          <w:lang w:val="zh-CN"/>
        </w:rPr>
        <w:t>认为需要的其他商务文件或说明 (如果有) ；</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kern w:val="0"/>
          <w:sz w:val="24"/>
          <w:highlight w:val="none"/>
          <w:lang w:val="zh-CN"/>
        </w:rPr>
        <w:t>（9）</w:t>
      </w:r>
      <w:r>
        <w:rPr>
          <w:rFonts w:hint="eastAsia" w:asciiTheme="minorEastAsia" w:hAnsiTheme="minorEastAsia" w:eastAsiaTheme="minorEastAsia"/>
          <w:color w:val="auto"/>
          <w:sz w:val="24"/>
          <w:highlight w:val="none"/>
          <w:lang w:val="zh-CN"/>
        </w:rPr>
        <w:t>技术解决方案</w:t>
      </w:r>
      <w:r>
        <w:rPr>
          <w:rFonts w:hint="eastAsia" w:cs="仿宋_GB2312" w:asciiTheme="minorEastAsia" w:hAnsiTheme="minorEastAsia" w:eastAsiaTheme="minorEastAsia"/>
          <w:color w:val="auto"/>
          <w:sz w:val="24"/>
          <w:highlight w:val="none"/>
        </w:rPr>
        <w:t>（如果有）</w:t>
      </w:r>
      <w:r>
        <w:rPr>
          <w:rFonts w:hint="eastAsia" w:asciiTheme="minorEastAsia" w:hAnsiTheme="minorEastAsia" w:eastAsiaTheme="minorEastAsia"/>
          <w:color w:val="auto"/>
          <w:sz w:val="24"/>
          <w:highlight w:val="none"/>
          <w:lang w:val="zh-CN"/>
        </w:rPr>
        <w:t>。可以是针对本项目的完整技术解决方案和实施方案；详细阐述项目方案的实现思路及关键技术；符合本项目对当前和未来发展的要求；以及对功能设计和实施计划的建议；</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（10）组织实施方案</w:t>
      </w:r>
      <w:r>
        <w:rPr>
          <w:rFonts w:hint="eastAsia" w:cs="仿宋_GB2312" w:asciiTheme="minorEastAsia" w:hAnsiTheme="minorEastAsia" w:eastAsiaTheme="minorEastAsia"/>
          <w:color w:val="auto"/>
          <w:sz w:val="24"/>
          <w:highlight w:val="none"/>
        </w:rPr>
        <w:t>（如果有）</w:t>
      </w:r>
      <w:r>
        <w:rPr>
          <w:rFonts w:hint="eastAsia" w:asciiTheme="minorEastAsia" w:hAnsiTheme="minorEastAsia" w:eastAsiaTheme="minorEastAsia"/>
          <w:color w:val="auto"/>
          <w:kern w:val="0"/>
          <w:sz w:val="24"/>
          <w:highlight w:val="none"/>
          <w:lang w:val="zh-CN"/>
        </w:rPr>
        <w:t>。</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本项目详细工作实施组织方案，包括(但不限于)以下内容：组织机构、工作时间进度表、工作程序和步骤、管理和协调方法、关键步骤的思路和要点；</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（11）售后服务方案。</w:t>
      </w:r>
      <w:r>
        <w:rPr>
          <w:rFonts w:hint="eastAsia" w:asciiTheme="minorEastAsia" w:hAnsiTheme="minorEastAsia" w:eastAsiaTheme="minorEastAsia"/>
          <w:color w:val="auto"/>
          <w:sz w:val="24"/>
          <w:highlight w:val="none"/>
          <w:lang w:val="zh-CN"/>
        </w:rPr>
        <w:t>可以是</w:t>
      </w:r>
      <w:r>
        <w:rPr>
          <w:rFonts w:hint="eastAsia" w:asciiTheme="minorEastAsia" w:hAnsiTheme="minorEastAsia" w:eastAsiaTheme="minorEastAsia"/>
          <w:color w:val="auto"/>
          <w:kern w:val="0"/>
          <w:sz w:val="24"/>
          <w:highlight w:val="none"/>
          <w:lang w:val="zh-CN"/>
        </w:rPr>
        <w:t>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（12）项目小组人员名单</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每个专业人员的情况和人员数应该明确表示，明确各阶段投入人数；在提交的响应文件中安排的人员，须为公司的固定职员；每个参加项目人员的履历表应随响应文件一并提交，主要内容包括学历、技术职称、工作特长、经验与业绩(包括从事相关项目的经验，该人员参与的时间以及在项目中的责任)，</w:t>
      </w:r>
      <w:r>
        <w:rPr>
          <w:rFonts w:hint="eastAsia" w:cs="仿宋_GB2312" w:asciiTheme="minorEastAsia" w:hAnsiTheme="minorEastAsia" w:eastAsiaTheme="minorEastAsia"/>
          <w:color w:val="auto"/>
          <w:kern w:val="0"/>
          <w:sz w:val="24"/>
          <w:highlight w:val="none"/>
          <w:lang w:val="zh-CN"/>
        </w:rPr>
        <w:t>资质情况等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lang w:val="zh-CN"/>
        </w:rPr>
        <w:t>（13）优惠条件及特殊承诺</w:t>
      </w:r>
      <w:r>
        <w:rPr>
          <w:rFonts w:hint="eastAsia" w:cs="仿宋_GB2312" w:asciiTheme="minorEastAsia" w:hAnsiTheme="minorEastAsia" w:eastAsiaTheme="minorEastAsia"/>
          <w:color w:val="auto"/>
          <w:kern w:val="0"/>
          <w:sz w:val="24"/>
          <w:highlight w:val="none"/>
          <w:lang w:val="zh-CN"/>
        </w:rPr>
        <w:t>（如果有）</w:t>
      </w:r>
      <w:r>
        <w:rPr>
          <w:rFonts w:hint="eastAsia" w:asciiTheme="minorEastAsia" w:hAnsiTheme="minorEastAsia" w:eastAsiaTheme="minorEastAsia"/>
          <w:color w:val="auto"/>
          <w:kern w:val="0"/>
          <w:sz w:val="24"/>
          <w:highlight w:val="none"/>
          <w:lang w:val="zh-CN"/>
        </w:rPr>
        <w:t>；</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（14）</w:t>
      </w:r>
      <w:r>
        <w:rPr>
          <w:rFonts w:hint="eastAsia" w:cs="仿宋_GB2312" w:asciiTheme="minorEastAsia" w:hAnsiTheme="minorEastAsia" w:eastAsiaTheme="minorEastAsia"/>
          <w:color w:val="auto"/>
          <w:kern w:val="0"/>
          <w:sz w:val="24"/>
          <w:highlight w:val="none"/>
          <w:lang w:val="zh-CN"/>
        </w:rPr>
        <w:t>培训计划（如果有）；</w:t>
      </w:r>
    </w:p>
    <w:p>
      <w:pPr>
        <w:pStyle w:val="32"/>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kern w:val="0"/>
          <w:sz w:val="24"/>
          <w:highlight w:val="none"/>
        </w:rPr>
        <w:t>（15）随机特殊工具和</w:t>
      </w:r>
      <w:r>
        <w:rPr>
          <w:rFonts w:hint="eastAsia" w:asciiTheme="minorEastAsia" w:hAnsiTheme="minorEastAsia" w:eastAsiaTheme="minorEastAsia"/>
          <w:color w:val="auto"/>
          <w:kern w:val="0"/>
          <w:sz w:val="24"/>
          <w:highlight w:val="none"/>
          <w:lang w:val="zh-CN"/>
        </w:rPr>
        <w:t>备品备件清单（含随机自带的备品备件和质保期后供采购人选择的备品备件及配套零部件，明细备品备件及价格，且供货价格不高于成交价格；成交货物设备应提供易损部件的备件和整机备品）（如果有）；</w:t>
      </w:r>
    </w:p>
    <w:p>
      <w:pPr>
        <w:pStyle w:val="32"/>
        <w:spacing w:line="360" w:lineRule="auto"/>
        <w:ind w:firstLine="480" w:firstLineChars="200"/>
        <w:rPr>
          <w:rFonts w:cs="仿宋_GB2312" w:asciiTheme="minorEastAsia" w:hAnsiTheme="minorEastAsia" w:eastAsiaTheme="minorEastAsia"/>
          <w:color w:val="auto"/>
          <w:kern w:val="0"/>
          <w:sz w:val="24"/>
          <w:szCs w:val="24"/>
          <w:highlight w:val="none"/>
          <w:lang w:val="zh-CN"/>
        </w:rPr>
      </w:pP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6）</w:t>
      </w:r>
      <w:r>
        <w:rPr>
          <w:rFonts w:hint="eastAsia" w:cs="仿宋_GB2312" w:asciiTheme="minorEastAsia" w:hAnsiTheme="minorEastAsia" w:eastAsiaTheme="minorEastAsia"/>
          <w:color w:val="auto"/>
          <w:kern w:val="0"/>
          <w:sz w:val="24"/>
          <w:szCs w:val="24"/>
          <w:highlight w:val="none"/>
          <w:lang w:val="zh-CN"/>
        </w:rPr>
        <w:t>供应商认为需要的其他技术文件或说明（如果有）；</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7）</w:t>
      </w:r>
      <w:r>
        <w:rPr>
          <w:rFonts w:hint="eastAsia" w:cs="仿宋_GB2312" w:asciiTheme="minorEastAsia" w:hAnsiTheme="minorEastAsia" w:eastAsiaTheme="minorEastAsia"/>
          <w:color w:val="auto"/>
          <w:kern w:val="0"/>
          <w:sz w:val="24"/>
          <w:highlight w:val="none"/>
          <w:lang w:val="zh-CN"/>
        </w:rPr>
        <w:t>政府采购供应商廉洁自律承诺书；</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asciiTheme="minorEastAsia" w:hAnsiTheme="minorEastAsia" w:eastAsiaTheme="minorEastAsia"/>
          <w:color w:val="auto"/>
          <w:sz w:val="24"/>
          <w:szCs w:val="24"/>
          <w:highlight w:val="none"/>
        </w:rPr>
        <w:t>1</w:t>
      </w:r>
      <w:r>
        <w:rPr>
          <w:rFonts w:hint="eastAsia" w:asciiTheme="minorEastAsia" w:hAnsiTheme="minorEastAsia" w:eastAsiaTheme="minorEastAsia"/>
          <w:color w:val="auto"/>
          <w:sz w:val="24"/>
          <w:szCs w:val="24"/>
          <w:highlight w:val="none"/>
        </w:rPr>
        <w:t>8）</w:t>
      </w:r>
      <w:r>
        <w:rPr>
          <w:rFonts w:hint="eastAsia" w:cs="仿宋_GB2312" w:asciiTheme="minorEastAsia" w:hAnsiTheme="minorEastAsia" w:eastAsiaTheme="minorEastAsia"/>
          <w:color w:val="auto"/>
          <w:kern w:val="0"/>
          <w:sz w:val="24"/>
          <w:highlight w:val="none"/>
          <w:lang w:val="zh-CN"/>
        </w:rPr>
        <w:t>承诺函；</w:t>
      </w:r>
    </w:p>
    <w:p>
      <w:pPr>
        <w:pStyle w:val="32"/>
        <w:spacing w:line="360" w:lineRule="auto"/>
        <w:ind w:firstLine="480" w:firstLineChars="200"/>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▲（19）商务、服务（技术）响应、偏离情况说明表；</w:t>
      </w:r>
    </w:p>
    <w:p>
      <w:pPr>
        <w:pStyle w:val="32"/>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r>
        <w:rPr>
          <w:rFonts w:hint="eastAsia" w:asciiTheme="minorEastAsia" w:hAnsiTheme="minorEastAsia" w:eastAsiaTheme="minorEastAsia"/>
          <w:color w:val="auto"/>
          <w:sz w:val="24"/>
          <w:szCs w:val="24"/>
          <w:highlight w:val="none"/>
        </w:rPr>
        <w:t>各轮报价的审查要求均按照最后报价的要求执行</w:t>
      </w:r>
      <w:r>
        <w:rPr>
          <w:rFonts w:hint="eastAsia" w:cs="仿宋_GB2312" w:asciiTheme="minorEastAsia" w:hAnsiTheme="minorEastAsia" w:eastAsiaTheme="minorEastAsia"/>
          <w:color w:val="auto"/>
          <w:kern w:val="0"/>
          <w:sz w:val="24"/>
          <w:highlight w:val="none"/>
          <w:lang w:val="zh-CN"/>
        </w:rPr>
        <w:t>）</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pPr>
        <w:spacing w:line="360" w:lineRule="auto"/>
        <w:ind w:firstLine="480" w:firstLineChars="20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pPr>
        <w:spacing w:line="360" w:lineRule="auto"/>
        <w:ind w:firstLine="480" w:firstLineChars="20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pPr>
        <w:pStyle w:val="394"/>
        <w:snapToGrid w:val="0"/>
        <w:spacing w:before="0"/>
        <w:ind w:firstLine="48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pPr>
        <w:pStyle w:val="394"/>
        <w:snapToGrid w:val="0"/>
        <w:spacing w:before="0"/>
        <w:ind w:firstLine="480"/>
        <w:rPr>
          <w:rFonts w:hint="eastAsia"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pPr>
        <w:pStyle w:val="394"/>
        <w:snapToGrid w:val="0"/>
        <w:spacing w:before="0"/>
        <w:ind w:firstLine="480"/>
        <w:rPr>
          <w:rFonts w:hint="eastAsia"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pPr>
        <w:pStyle w:val="394"/>
        <w:spacing w:before="0"/>
        <w:ind w:firstLine="0" w:firstLineChars="0"/>
        <w:rPr>
          <w:rFonts w:hint="eastAsia" w:cs="仿宋_GB2312" w:asciiTheme="minorEastAsia" w:hAnsiTheme="minorEastAsia" w:eastAsiaTheme="minorEastAsia"/>
          <w:b/>
          <w:color w:val="auto"/>
          <w:szCs w:val="24"/>
          <w:highlight w:val="none"/>
        </w:rPr>
      </w:pPr>
    </w:p>
    <w:p>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pPr>
        <w:pStyle w:val="394"/>
        <w:ind w:firstLine="480"/>
        <w:rPr>
          <w:rFonts w:hint="eastAsia"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2.备份响应文件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pPr>
        <w:pStyle w:val="32"/>
        <w:spacing w:line="360" w:lineRule="auto"/>
        <w:ind w:firstLine="480"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pPr>
        <w:spacing w:line="360" w:lineRule="auto"/>
        <w:rPr>
          <w:rFonts w:hint="eastAsia"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pPr>
        <w:widowControl/>
        <w:snapToGrid w:val="0"/>
        <w:spacing w:line="360" w:lineRule="auto"/>
        <w:ind w:firstLine="470" w:firstLineChars="196"/>
        <w:rPr>
          <w:rFonts w:hint="eastAsia" w:ascii="宋体" w:hAnsi="宋体" w:cs="宋体"/>
          <w:strike/>
          <w:snapToGrid w:val="0"/>
          <w:color w:val="auto"/>
          <w:kern w:val="28"/>
          <w:sz w:val="24"/>
          <w:szCs w:val="20"/>
          <w:highlight w:val="none"/>
        </w:rPr>
      </w:pPr>
      <w:r>
        <w:rPr>
          <w:rFonts w:hint="eastAsia" w:ascii="宋体" w:hAnsi="宋体" w:cs="宋体"/>
          <w:strike w:val="0"/>
          <w:snapToGrid w:val="0"/>
          <w:color w:val="auto"/>
          <w:kern w:val="28"/>
          <w:sz w:val="24"/>
          <w:szCs w:val="20"/>
          <w:highlight w:val="none"/>
          <w:lang w:eastAsia="zh-CN"/>
        </w:rPr>
        <w:t>本项目不收取磋商保证金。</w:t>
      </w:r>
    </w:p>
    <w:p>
      <w:pPr>
        <w:pStyle w:val="32"/>
        <w:spacing w:line="360" w:lineRule="auto"/>
        <w:ind w:firstLine="360" w:firstLineChars="150"/>
        <w:rPr>
          <w:rFonts w:hint="eastAsia" w:cs="仿宋_GB2312" w:asciiTheme="minorEastAsia" w:hAnsiTheme="minorEastAsia" w:eastAsiaTheme="minorEastAsia"/>
          <w:color w:val="auto"/>
          <w:sz w:val="24"/>
          <w:szCs w:val="24"/>
          <w:highlight w:val="none"/>
        </w:rPr>
      </w:pP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pPr>
        <w:pStyle w:val="32"/>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pPr>
        <w:pStyle w:val="32"/>
        <w:spacing w:line="360" w:lineRule="auto"/>
        <w:ind w:firstLine="482" w:firstLineChars="200"/>
        <w:rPr>
          <w:rFonts w:hint="eastAsia"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pPr>
        <w:pStyle w:val="394"/>
        <w:spacing w:before="0"/>
        <w:ind w:firstLine="0" w:firstLineChars="0"/>
        <w:rPr>
          <w:rFonts w:hint="eastAsia"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9"/>
          <w:rFonts w:hint="eastAsia" w:asciiTheme="minorEastAsia" w:hAnsiTheme="minorEastAsia" w:eastAsiaTheme="minorEastAsia"/>
          <w:snapToGrid/>
          <w:color w:val="auto"/>
          <w:sz w:val="24"/>
          <w:szCs w:val="24"/>
          <w:highlight w:val="none"/>
        </w:rPr>
        <w:t>www.creditchina.gov.cn</w:t>
      </w:r>
      <w:r>
        <w:rPr>
          <w:rStyle w:val="69"/>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pPr>
        <w:pStyle w:val="394"/>
        <w:spacing w:before="0"/>
        <w:ind w:firstLine="480"/>
        <w:rPr>
          <w:rFonts w:hint="eastAsia"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32"/>
        <w:spacing w:line="360" w:lineRule="auto"/>
        <w:rPr>
          <w:rFonts w:hint="eastAsia" w:cs="仿宋_GB2312" w:asciiTheme="minorEastAsia" w:hAnsiTheme="minorEastAsia" w:eastAsiaTheme="minorEastAsia"/>
          <w:b/>
          <w:color w:val="auto"/>
          <w:sz w:val="24"/>
          <w:szCs w:val="24"/>
          <w:highlight w:val="none"/>
        </w:rPr>
      </w:pPr>
    </w:p>
    <w:p>
      <w:pPr>
        <w:adjustRightInd/>
        <w:spacing w:line="360" w:lineRule="auto"/>
        <w:jc w:val="center"/>
        <w:outlineLvl w:val="1"/>
        <w:rPr>
          <w:rFonts w:hint="eastAsia"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pPr>
        <w:snapToGrid w:val="0"/>
        <w:spacing w:line="360" w:lineRule="auto"/>
        <w:rPr>
          <w:rFonts w:hint="eastAsia"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pPr>
        <w:pStyle w:val="32"/>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szCs w:val="24"/>
          <w:highlight w:val="none"/>
        </w:rPr>
        <w:t>1.1最后报价一览表；</w:t>
      </w:r>
    </w:p>
    <w:p>
      <w:pPr>
        <w:snapToGrid w:val="0"/>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highlight w:val="none"/>
        </w:rPr>
        <w:t>1.2中小企业声明函（如果有）</w:t>
      </w:r>
      <w:r>
        <w:rPr>
          <w:rFonts w:hint="eastAsia" w:ascii="宋体" w:hAnsi="宋体" w:cs="宋体"/>
          <w:color w:val="auto"/>
          <w:sz w:val="24"/>
          <w:highlight w:val="none"/>
        </w:rPr>
        <w:t>；</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1.3关于符合本国产品标准的声明函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 xml:space="preserve"> ；</w:t>
      </w:r>
    </w:p>
    <w:p>
      <w:pPr>
        <w:pStyle w:val="32"/>
        <w:snapToGrid w:val="0"/>
        <w:spacing w:line="360" w:lineRule="auto"/>
        <w:ind w:firstLine="480" w:firstLineChars="200"/>
        <w:rPr>
          <w:rFonts w:hint="eastAsia" w:cs="仿宋_GB2312" w:asciiTheme="minorEastAsia" w:hAnsiTheme="minorEastAsia" w:eastAsiaTheme="minorEastAsia"/>
          <w:color w:val="auto"/>
          <w:sz w:val="24"/>
          <w:szCs w:val="24"/>
          <w:highlight w:val="none"/>
        </w:rPr>
      </w:pPr>
      <w:r>
        <w:rPr>
          <w:rFonts w:hint="eastAsia" w:ascii="宋体" w:hAnsi="宋体" w:cs="宋体"/>
          <w:color w:val="auto"/>
          <w:sz w:val="24"/>
          <w:highlight w:val="none"/>
        </w:rPr>
        <w:t>1.4关于符合本国产品标准的产品成本之和占所提供的全部产品成本之和的比例达到80%以上的声明函</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pPr>
        <w:adjustRightInd/>
        <w:spacing w:line="360" w:lineRule="auto"/>
        <w:jc w:val="center"/>
        <w:rPr>
          <w:rFonts w:hint="eastAsia" w:cs="仿宋_GB2312" w:asciiTheme="minorEastAsia" w:hAnsiTheme="minorEastAsia" w:eastAsiaTheme="minorEastAsia"/>
          <w:b/>
          <w:color w:val="auto"/>
          <w:sz w:val="32"/>
          <w:szCs w:val="20"/>
          <w:highlight w:val="none"/>
        </w:rPr>
      </w:pPr>
    </w:p>
    <w:p>
      <w:pPr>
        <w:adjustRightInd/>
        <w:spacing w:line="360" w:lineRule="auto"/>
        <w:jc w:val="center"/>
        <w:outlineLvl w:val="1"/>
        <w:rPr>
          <w:rFonts w:hint="eastAsia"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pPr>
        <w:pStyle w:val="394"/>
        <w:spacing w:before="0"/>
        <w:ind w:firstLine="0" w:firstLineChars="0"/>
        <w:rPr>
          <w:rFonts w:hint="eastAsia"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pPr>
        <w:pStyle w:val="394"/>
        <w:spacing w:before="0"/>
        <w:ind w:firstLine="0" w:firstLineChars="0"/>
        <w:rPr>
          <w:rFonts w:hint="eastAsia"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pPr>
        <w:pStyle w:val="394"/>
        <w:spacing w:before="0"/>
        <w:ind w:firstLine="0" w:firstLineChars="0"/>
        <w:rPr>
          <w:rFonts w:hint="eastAsia"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pPr>
        <w:adjustRightInd/>
        <w:spacing w:line="360" w:lineRule="auto"/>
        <w:jc w:val="center"/>
        <w:rPr>
          <w:rFonts w:hint="eastAsia" w:cs="仿宋_GB2312" w:asciiTheme="minorEastAsia" w:hAnsiTheme="minorEastAsia" w:eastAsiaTheme="minorEastAsia"/>
          <w:color w:val="auto"/>
          <w:sz w:val="24"/>
          <w:highlight w:val="none"/>
        </w:rPr>
      </w:pPr>
    </w:p>
    <w:p>
      <w:pPr>
        <w:adjustRightInd/>
        <w:spacing w:line="360" w:lineRule="auto"/>
        <w:jc w:val="center"/>
        <w:outlineLvl w:val="1"/>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pPr>
        <w:pStyle w:val="32"/>
        <w:spacing w:line="360" w:lineRule="auto"/>
        <w:rPr>
          <w:rFonts w:hint="eastAsia"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pPr>
        <w:pStyle w:val="32"/>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pPr>
        <w:spacing w:line="360" w:lineRule="auto"/>
        <w:ind w:firstLine="480" w:firstLineChars="200"/>
        <w:rPr>
          <w:rFonts w:hint="eastAsia"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18" w:name="_Hlk101184471"/>
      <w:r>
        <w:rPr>
          <w:rFonts w:hint="eastAsia" w:cs="宋体" w:asciiTheme="minorEastAsia" w:hAnsiTheme="minorEastAsia" w:eastAsiaTheme="minorEastAsia"/>
          <w:color w:val="auto"/>
          <w:sz w:val="24"/>
          <w:highlight w:val="none"/>
        </w:rPr>
        <w:t>评审专家抽取规则、</w:t>
      </w:r>
      <w:bookmarkEnd w:id="18"/>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pPr>
        <w:spacing w:line="360" w:lineRule="auto"/>
        <w:ind w:firstLine="480" w:firstLineChars="200"/>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pPr>
        <w:widowControl/>
        <w:shd w:val="clear" w:color="auto" w:fill="FFFFFF"/>
        <w:spacing w:line="360" w:lineRule="auto"/>
        <w:ind w:firstLine="480"/>
        <w:jc w:val="left"/>
        <w:rPr>
          <w:rFonts w:hint="eastAsia"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pPr>
        <w:pStyle w:val="394"/>
        <w:snapToGrid w:val="0"/>
        <w:spacing w:before="0"/>
        <w:ind w:firstLine="480"/>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360" w:lineRule="auto"/>
        <w:ind w:firstLine="465" w:firstLineChars="194"/>
        <w:rPr>
          <w:rFonts w:hint="eastAsia"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pPr>
        <w:pStyle w:val="394"/>
        <w:snapToGrid w:val="0"/>
        <w:spacing w:before="0" w:after="120"/>
        <w:ind w:firstLine="480"/>
        <w:rPr>
          <w:rFonts w:hint="eastAsia"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pPr>
        <w:pStyle w:val="394"/>
        <w:snapToGrid w:val="0"/>
        <w:spacing w:before="0"/>
        <w:ind w:firstLine="480"/>
        <w:rPr>
          <w:rFonts w:hint="eastAsia" w:ascii="宋体" w:hAnsi="宋体" w:cs="宋体"/>
          <w:color w:val="auto"/>
          <w:highlight w:val="none"/>
        </w:rPr>
      </w:pPr>
      <w:r>
        <w:rPr>
          <w:rFonts w:hint="eastAsia" w:ascii="宋体" w:hAnsi="宋体" w:cs="宋体"/>
          <w:color w:val="auto"/>
          <w:highlight w:val="none"/>
        </w:rPr>
        <w:t>2.7政采贷</w:t>
      </w:r>
    </w:p>
    <w:p>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人签订《政府采购合同》，并将金融机构监管账户设定为合同收款账户。其中，需北海市小微企业融资担保有限公司提供担保增信的，还需北海市小微企业融资担保有限公司进行保前独立评审。</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（五）按期还款。供应商获得贷款后应自觉履行政府采购合同，合同履行完毕后，采购人根据合同约定时间和账户信息，严格按照财政资金管理的相关规定，及时将资金支付到采购合同收款账户。</w:t>
      </w:r>
    </w:p>
    <w:p>
      <w:pPr>
        <w:snapToGrid w:val="0"/>
        <w:spacing w:line="360" w:lineRule="auto"/>
        <w:ind w:firstLine="240" w:firstLineChars="100"/>
        <w:rPr>
          <w:rFonts w:hint="eastAsia"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pPr>
        <w:snapToGrid w:val="0"/>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pPr>
        <w:pStyle w:val="632"/>
        <w:rPr>
          <w:rFonts w:hint="eastAsia"/>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pPr>
        <w:autoSpaceDE w:val="0"/>
        <w:autoSpaceDN w:val="0"/>
        <w:adjustRightInd/>
        <w:snapToGrid w:val="0"/>
        <w:spacing w:line="360" w:lineRule="auto"/>
        <w:ind w:firstLine="480" w:firstLineChars="200"/>
        <w:textAlignment w:val="bottom"/>
        <w:rPr>
          <w:rFonts w:hint="eastAsia"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pPr>
        <w:snapToGrid w:val="0"/>
        <w:spacing w:line="360" w:lineRule="auto"/>
        <w:ind w:firstLine="482"/>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流程简介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货物类1年</w:t>
            </w:r>
          </w:p>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服务类3年</w:t>
            </w:r>
          </w:p>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pPr>
              <w:snapToGrid w:val="0"/>
              <w:spacing w:line="360" w:lineRule="auto"/>
              <w:jc w:val="center"/>
              <w:rPr>
                <w:rFonts w:hint="eastAsia"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pPr>
              <w:snapToGrid w:val="0"/>
              <w:spacing w:line="360" w:lineRule="auto"/>
              <w:jc w:val="left"/>
              <w:rPr>
                <w:rFonts w:hint="eastAsia" w:ascii="宋体" w:hAnsi="宋体"/>
                <w:color w:val="auto"/>
                <w:kern w:val="0"/>
                <w:sz w:val="24"/>
                <w:szCs w:val="20"/>
                <w:highlight w:val="none"/>
              </w:rPr>
            </w:pPr>
          </w:p>
        </w:tc>
        <w:tc>
          <w:tcPr>
            <w:tcW w:w="993" w:type="dxa"/>
            <w:vAlign w:val="center"/>
          </w:tcPr>
          <w:p>
            <w:pPr>
              <w:snapToGrid w:val="0"/>
              <w:spacing w:line="360" w:lineRule="auto"/>
              <w:jc w:val="center"/>
              <w:rPr>
                <w:rFonts w:hint="eastAsia" w:ascii="宋体" w:hAnsi="宋体"/>
                <w:color w:val="auto"/>
                <w:kern w:val="0"/>
                <w:sz w:val="24"/>
                <w:szCs w:val="20"/>
                <w:highlight w:val="none"/>
              </w:rPr>
            </w:pPr>
          </w:p>
        </w:tc>
        <w:tc>
          <w:tcPr>
            <w:tcW w:w="850" w:type="dxa"/>
            <w:vAlign w:val="center"/>
          </w:tcPr>
          <w:p>
            <w:pPr>
              <w:snapToGrid w:val="0"/>
              <w:spacing w:line="360" w:lineRule="auto"/>
              <w:jc w:val="center"/>
              <w:rPr>
                <w:rFonts w:hint="eastAsia" w:ascii="宋体" w:hAnsi="宋体"/>
                <w:color w:val="auto"/>
                <w:kern w:val="0"/>
                <w:sz w:val="24"/>
                <w:szCs w:val="20"/>
                <w:highlight w:val="none"/>
              </w:rPr>
            </w:pPr>
          </w:p>
        </w:tc>
        <w:tc>
          <w:tcPr>
            <w:tcW w:w="3366" w:type="dxa"/>
            <w:vAlign w:val="center"/>
          </w:tcPr>
          <w:p>
            <w:pPr>
              <w:snapToGrid w:val="0"/>
              <w:spacing w:line="360" w:lineRule="auto"/>
              <w:jc w:val="left"/>
              <w:rPr>
                <w:rFonts w:hint="eastAsia"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pPr>
        <w:pStyle w:val="632"/>
        <w:rPr>
          <w:rFonts w:hint="eastAsia"/>
          <w:color w:val="auto"/>
          <w:highlight w:val="none"/>
        </w:rPr>
      </w:pPr>
      <w:r>
        <w:rPr>
          <w:rFonts w:hint="eastAsia"/>
          <w:color w:val="auto"/>
          <w:highlight w:val="none"/>
        </w:rPr>
        <w:t>注：表中联系电话、授信金额、授信期限、最低利率等信息可能动态更新，仅供参考，具体以办理时相关银行公布的为准。</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pPr>
        <w:pStyle w:val="632"/>
        <w:rPr>
          <w:rFonts w:hint="eastAsia" w:eastAsia="宋体"/>
          <w:color w:val="auto"/>
          <w:highlight w:val="none"/>
          <w:lang w:eastAsia="zh-CN"/>
        </w:rPr>
      </w:pPr>
      <w:r>
        <w:rPr>
          <w:rFonts w:hint="eastAsia" w:cs="宋体"/>
          <w:color w:val="auto"/>
          <w:kern w:val="0"/>
          <w:sz w:val="24"/>
          <w:highlight w:val="none"/>
          <w:lang w:eastAsia="zh-CN"/>
        </w:rPr>
        <w:t>本项目不收取履约保证金。成交供应商未按合同约定履行合同义务，给采购人造成损失的，按实际损失进行赔偿。</w:t>
      </w:r>
    </w:p>
    <w:p>
      <w:pPr>
        <w:pStyle w:val="632"/>
        <w:ind w:firstLine="0"/>
        <w:rPr>
          <w:rFonts w:hint="eastAsia" w:eastAsia="宋体"/>
          <w:color w:val="auto"/>
          <w:highlight w:val="none"/>
          <w:lang w:eastAsia="zh-CN"/>
        </w:rPr>
      </w:pPr>
      <w:r>
        <w:rPr>
          <w:b/>
          <w:bCs/>
          <w:color w:val="auto"/>
          <w:highlight w:val="none"/>
        </w:rPr>
        <w:t>4.</w:t>
      </w:r>
      <w:r>
        <w:rPr>
          <w:rFonts w:hint="eastAsia"/>
          <w:b/>
          <w:bCs/>
          <w:color w:val="auto"/>
          <w:highlight w:val="none"/>
        </w:rPr>
        <w:t>预付款</w:t>
      </w:r>
    </w:p>
    <w:p>
      <w:pPr>
        <w:adjustRightInd/>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自签订合同后(待财政资金到位后)7个日历日内支付合同价款50%预付款，剩余50%合同价款于所有设备/服务验收合格后，(待财政资金到位后),中标人开具合法合规发票，采购人自收到发票后30个日历日内按政府采购程序办理付款手续，本项目不计息。</w:t>
      </w:r>
    </w:p>
    <w:p>
      <w:pPr>
        <w:tabs>
          <w:tab w:val="left" w:pos="0"/>
        </w:tabs>
        <w:spacing w:line="360" w:lineRule="auto"/>
        <w:ind w:firstLine="480" w:firstLineChars="200"/>
        <w:rPr>
          <w:rFonts w:hint="eastAsia"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pPr>
        <w:pStyle w:val="24"/>
        <w:spacing w:line="360" w:lineRule="auto"/>
        <w:ind w:firstLine="0" w:firstLineChars="0"/>
        <w:rPr>
          <w:rFonts w:hint="eastAsia"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snapToGrid w:val="0"/>
        <w:spacing w:line="360" w:lineRule="auto"/>
        <w:jc w:val="center"/>
        <w:rPr>
          <w:rFonts w:hint="eastAsia" w:cs="仿宋_GB2312" w:asciiTheme="minorEastAsia" w:hAnsiTheme="minorEastAsia" w:eastAsiaTheme="minorEastAsia"/>
          <w:b/>
          <w:color w:val="auto"/>
          <w:sz w:val="36"/>
          <w:szCs w:val="36"/>
          <w:highlight w:val="none"/>
        </w:rPr>
      </w:pPr>
    </w:p>
    <w:p>
      <w:pPr>
        <w:snapToGrid w:val="0"/>
        <w:spacing w:line="360" w:lineRule="auto"/>
        <w:jc w:val="center"/>
        <w:outlineLvl w:val="1"/>
        <w:rPr>
          <w:rFonts w:hint="eastAsia"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pPr>
        <w:tabs>
          <w:tab w:val="left" w:pos="0"/>
        </w:tabs>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pPr>
        <w:tabs>
          <w:tab w:val="left" w:pos="0"/>
        </w:tabs>
        <w:spacing w:line="360" w:lineRule="auto"/>
        <w:ind w:firstLine="480"/>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pPr>
        <w:tabs>
          <w:tab w:val="left" w:pos="0"/>
        </w:tabs>
        <w:spacing w:line="360" w:lineRule="auto"/>
        <w:rPr>
          <w:rFonts w:hint="eastAsia"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19" w:name="_Hlt74730295"/>
      <w:bookmarkEnd w:id="19"/>
      <w:bookmarkStart w:id="20" w:name="_Hlt75236011"/>
      <w:bookmarkEnd w:id="20"/>
      <w:bookmarkStart w:id="21" w:name="_Hlt74707468"/>
      <w:bookmarkEnd w:id="21"/>
      <w:bookmarkStart w:id="22" w:name="_Hlt75236101"/>
      <w:bookmarkEnd w:id="22"/>
      <w:bookmarkStart w:id="23" w:name="_Hlt74714665"/>
      <w:bookmarkEnd w:id="23"/>
      <w:bookmarkStart w:id="24" w:name="_Hlt75236290"/>
      <w:bookmarkEnd w:id="24"/>
      <w:bookmarkStart w:id="25" w:name="_Hlt68057669"/>
      <w:bookmarkEnd w:id="25"/>
      <w:bookmarkStart w:id="26" w:name="_Hlt74729768"/>
      <w:bookmarkEnd w:id="26"/>
      <w:bookmarkStart w:id="27" w:name="_Hlt68072990"/>
      <w:bookmarkEnd w:id="27"/>
      <w:bookmarkStart w:id="28" w:name="第三部分"/>
      <w:bookmarkStart w:id="29" w:name="_Toc164416483"/>
    </w:p>
    <w:p>
      <w:pPr>
        <w:snapToGrid w:val="0"/>
        <w:spacing w:line="360" w:lineRule="auto"/>
        <w:ind w:left="120" w:leftChars="57" w:firstLine="482" w:firstLineChars="150"/>
        <w:jc w:val="center"/>
        <w:outlineLvl w:val="1"/>
        <w:rPr>
          <w:rFonts w:hint="eastAsia" w:ascii="宋体" w:hAnsi="宋体" w:cs="宋体"/>
          <w:b/>
          <w:color w:val="auto"/>
          <w:sz w:val="32"/>
          <w:highlight w:val="none"/>
        </w:rPr>
      </w:pPr>
      <w:r>
        <w:rPr>
          <w:rFonts w:hint="eastAsia" w:ascii="宋体" w:hAnsi="宋体" w:cs="宋体"/>
          <w:b/>
          <w:color w:val="auto"/>
          <w:sz w:val="32"/>
          <w:highlight w:val="none"/>
        </w:rPr>
        <w:t>十五、代理费用的收取标准和方式</w:t>
      </w:r>
    </w:p>
    <w:p>
      <w:pPr>
        <w:pStyle w:val="24"/>
        <w:spacing w:line="360" w:lineRule="auto"/>
        <w:ind w:firstLine="0" w:firstLineChars="0"/>
        <w:rPr>
          <w:rFonts w:hint="eastAsia" w:cs="宋体"/>
          <w:b/>
          <w:color w:val="auto"/>
          <w:highlight w:val="none"/>
        </w:rPr>
      </w:pPr>
      <w:r>
        <w:rPr>
          <w:rFonts w:hint="eastAsia" w:cs="宋体"/>
          <w:b/>
          <w:color w:val="auto"/>
          <w:highlight w:val="none"/>
        </w:rPr>
        <w:t>1.代理费用的收取标准和方式（适用于收取代理费用的采购代理机构，本中心不收取代理费用。）</w:t>
      </w:r>
    </w:p>
    <w:p>
      <w:pPr>
        <w:snapToGrid w:val="0"/>
        <w:spacing w:line="360" w:lineRule="auto"/>
        <w:ind w:firstLine="723" w:firstLineChars="200"/>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adjustRightInd/>
        <w:spacing w:line="360" w:lineRule="auto"/>
        <w:jc w:val="center"/>
        <w:outlineLvl w:val="0"/>
        <w:rPr>
          <w:rFonts w:hint="eastAsia" w:cs="仿宋_GB2312" w:asciiTheme="minorEastAsia" w:hAnsiTheme="minorEastAsia" w:eastAsiaTheme="minorEastAsia"/>
          <w:b/>
          <w:color w:val="auto"/>
          <w:sz w:val="36"/>
          <w:szCs w:val="36"/>
          <w:highlight w:val="none"/>
        </w:rPr>
      </w:pPr>
      <w:bookmarkStart w:id="30" w:name="_Toc13197"/>
      <w:bookmarkStart w:id="31" w:name="_Toc25691"/>
      <w:r>
        <w:rPr>
          <w:rFonts w:hint="eastAsia" w:cs="仿宋_GB2312" w:asciiTheme="minorEastAsia" w:hAnsiTheme="minorEastAsia" w:eastAsiaTheme="minorEastAsia"/>
          <w:b/>
          <w:color w:val="auto"/>
          <w:sz w:val="36"/>
          <w:szCs w:val="36"/>
          <w:highlight w:val="none"/>
        </w:rPr>
        <w:t>第四部分  采购需求</w:t>
      </w:r>
      <w:bookmarkEnd w:id="30"/>
      <w:bookmarkEnd w:id="31"/>
    </w:p>
    <w:p>
      <w:pPr>
        <w:rPr>
          <w:color w:val="auto"/>
          <w:highlight w:val="none"/>
        </w:rPr>
      </w:pPr>
    </w:p>
    <w:p>
      <w:pPr>
        <w:keepNext w:val="0"/>
        <w:keepLines w:val="0"/>
        <w:pageBreakBefore w:val="0"/>
        <w:widowControl w:val="0"/>
        <w:kinsoku/>
        <w:wordWrap/>
        <w:overflowPunct/>
        <w:topLinePunct w:val="0"/>
        <w:autoSpaceDE/>
        <w:autoSpaceDN/>
        <w:bidi w:val="0"/>
        <w:adjustRightInd w:val="0"/>
        <w:snapToGrid/>
        <w:ind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rPr>
        <w:t>说明：</w:t>
      </w:r>
      <w:r>
        <w:rPr>
          <w:rFonts w:hint="eastAsia" w:asciiTheme="minorEastAsia" w:hAnsiTheme="minorEastAsia" w:eastAsiaTheme="minorEastAsia" w:cstheme="minorEastAsia"/>
          <w:color w:val="auto"/>
          <w:kern w:val="0"/>
          <w:sz w:val="24"/>
          <w:szCs w:val="24"/>
          <w:highlight w:val="none"/>
        </w:rPr>
        <w:t>“实质性要求”是指采购需求中标注“▲”的条款或者不能负偏离的条款或者已经指明不满足按响应文件按无效处理的条款，若有一项负偏离，响应文件按无效处理，标注“★”的技术条款系指与项目实际紧密相关的功能条款、技术指标，将作为</w:t>
      </w:r>
      <w:r>
        <w:rPr>
          <w:rFonts w:hint="eastAsia" w:asciiTheme="minorEastAsia" w:hAnsiTheme="minorEastAsia" w:eastAsiaTheme="minorEastAsia" w:cstheme="minorEastAsia"/>
          <w:color w:val="auto"/>
          <w:kern w:val="0"/>
          <w:sz w:val="24"/>
          <w:szCs w:val="24"/>
          <w:highlight w:val="none"/>
          <w:lang w:val="en-US" w:eastAsia="zh-CN"/>
        </w:rPr>
        <w:t>产品</w:t>
      </w:r>
      <w:r>
        <w:rPr>
          <w:rFonts w:hint="eastAsia" w:asciiTheme="minorEastAsia" w:hAnsiTheme="minorEastAsia" w:eastAsiaTheme="minorEastAsia" w:cstheme="minorEastAsia"/>
          <w:color w:val="auto"/>
          <w:kern w:val="0"/>
          <w:sz w:val="24"/>
          <w:szCs w:val="24"/>
          <w:highlight w:val="none"/>
        </w:rPr>
        <w:t>性能评审依据。</w:t>
      </w:r>
    </w:p>
    <w:p>
      <w:pPr>
        <w:keepNext w:val="0"/>
        <w:keepLines w:val="0"/>
        <w:pageBreakBefore w:val="0"/>
        <w:widowControl w:val="0"/>
        <w:kinsoku/>
        <w:wordWrap/>
        <w:overflowPunct/>
        <w:topLinePunct w:val="0"/>
        <w:autoSpaceDE/>
        <w:autoSpaceDN/>
        <w:bidi w:val="0"/>
        <w:adjustRightInd w:val="0"/>
        <w:snapToGrid/>
        <w:ind w:firstLine="482" w:firstLineChars="200"/>
        <w:textAlignment w:val="auto"/>
        <w:rPr>
          <w:rFonts w:hint="eastAsia" w:eastAsiaTheme="minorEastAsia"/>
          <w:b/>
          <w:bCs/>
          <w:highlight w:val="none"/>
          <w:lang w:eastAsia="zh-CN"/>
        </w:rPr>
      </w:pPr>
      <w:r>
        <w:rPr>
          <w:rFonts w:hint="eastAsia" w:asciiTheme="minorEastAsia" w:hAnsiTheme="minorEastAsia" w:eastAsiaTheme="minorEastAsia" w:cstheme="minorEastAsia"/>
          <w:b/>
          <w:bCs/>
          <w:color w:val="auto"/>
          <w:kern w:val="0"/>
          <w:sz w:val="24"/>
          <w:szCs w:val="24"/>
          <w:highlight w:val="none"/>
          <w:lang w:eastAsia="zh-CN"/>
        </w:rPr>
        <w:t>注：报价时均不能超过预算单价，否则响应无效。</w:t>
      </w:r>
    </w:p>
    <w:tbl>
      <w:tblPr>
        <w:tblStyle w:val="61"/>
        <w:tblW w:w="95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2"/>
        <w:gridCol w:w="758"/>
        <w:gridCol w:w="476"/>
        <w:gridCol w:w="476"/>
        <w:gridCol w:w="5580"/>
        <w:gridCol w:w="972"/>
        <w:gridCol w:w="9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9577" w:type="dxa"/>
            <w:gridSpan w:val="7"/>
            <w:vAlign w:val="center"/>
          </w:tcPr>
          <w:p>
            <w:pPr>
              <w:tabs>
                <w:tab w:val="left" w:pos="180"/>
                <w:tab w:val="left" w:pos="1620"/>
              </w:tabs>
              <w:spacing w:line="32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一、采购内容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序号</w:t>
            </w:r>
          </w:p>
        </w:tc>
        <w:tc>
          <w:tcPr>
            <w:tcW w:w="758" w:type="dxa"/>
            <w:tcBorders>
              <w:left w:val="single" w:color="auto" w:sz="4" w:space="0"/>
            </w:tcBorders>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w:t>
            </w:r>
          </w:p>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名称</w:t>
            </w:r>
          </w:p>
        </w:tc>
        <w:tc>
          <w:tcPr>
            <w:tcW w:w="476" w:type="dxa"/>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476" w:type="dxa"/>
            <w:vAlign w:val="center"/>
          </w:tcPr>
          <w:p>
            <w:pPr>
              <w:tabs>
                <w:tab w:val="left" w:pos="180"/>
                <w:tab w:val="left" w:pos="1620"/>
              </w:tabs>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580" w:type="dxa"/>
            <w:vAlign w:val="center"/>
          </w:tcPr>
          <w:p>
            <w:pPr>
              <w:widowControl/>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xml:space="preserve">详细技术参数及配备要求  </w:t>
            </w:r>
          </w:p>
        </w:tc>
        <w:tc>
          <w:tcPr>
            <w:tcW w:w="972" w:type="dxa"/>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单价（元）</w:t>
            </w:r>
          </w:p>
        </w:tc>
        <w:tc>
          <w:tcPr>
            <w:tcW w:w="973" w:type="dxa"/>
            <w:vAlign w:val="center"/>
          </w:tcPr>
          <w:p>
            <w:pPr>
              <w:widowControl/>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总价（元）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758" w:type="dxa"/>
            <w:tcBorders>
              <w:left w:val="single" w:color="auto" w:sz="4" w:space="0"/>
            </w:tcBorders>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《计算机视觉应用开发》新形态教材建设</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5580" w:type="dxa"/>
            <w:vAlign w:val="center"/>
          </w:tcPr>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一、H5数字教材及数智化资源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H5数字教材以数字化技术为载体，融合微仿真、微视频、微动画、嵌入式作业等</w:t>
            </w:r>
            <w:r>
              <w:rPr>
                <w:rFonts w:hint="eastAsia" w:ascii="宋体" w:hAnsi="宋体" w:eastAsia="宋体" w:cs="宋体"/>
                <w:b/>
                <w:bCs/>
                <w:color w:val="auto"/>
                <w:kern w:val="0"/>
                <w:sz w:val="21"/>
                <w:szCs w:val="21"/>
                <w:highlight w:val="none"/>
                <w:lang w:bidi="ar"/>
              </w:rPr>
              <w:t>数智化</w:t>
            </w:r>
            <w:r>
              <w:rPr>
                <w:rFonts w:hint="eastAsia" w:ascii="宋体" w:hAnsi="宋体" w:eastAsia="宋体" w:cs="宋体"/>
                <w:color w:val="auto"/>
                <w:kern w:val="0"/>
                <w:sz w:val="21"/>
                <w:szCs w:val="21"/>
                <w:highlight w:val="none"/>
                <w:lang w:bidi="ar"/>
              </w:rPr>
              <w:t>资源，以H5页面形式展示和应用。H5数字教材可支撑教学中的“教、学、练”多个环节，形成“学、练、测、评”一体化全新数字化教材，满足课堂教学、学生自主学习、理论和实践融合学习等各类应用场景，实现闭环教学，减轻教学负担，提升教学效果。H5数字化教材支持电脑、手机、平板等多终端访问，随时随地使用、学习。</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数智化</w:t>
            </w:r>
            <w:r>
              <w:rPr>
                <w:rFonts w:hint="eastAsia" w:ascii="宋体" w:hAnsi="宋体" w:eastAsia="宋体" w:cs="宋体"/>
                <w:color w:val="auto"/>
                <w:kern w:val="0"/>
                <w:sz w:val="21"/>
                <w:szCs w:val="21"/>
                <w:highlight w:val="none"/>
                <w:lang w:bidi="ar"/>
              </w:rPr>
              <w:t>资源可聚焦人工智能、计算机应用技术专业岗位群核心能力培养，紧扣北海/北部湾数字产业发展需求，以计算机视觉技术全流程应用为主线，系统涵盖数字图像处理基础、图像运算、色彩空间与几何变换、形态学操作、图像梯度与边缘检测、图像金字塔、图像轮廓、图像分割与提取、视频处理等</w:t>
            </w:r>
            <w:r>
              <w:rPr>
                <w:rFonts w:hint="eastAsia" w:ascii="宋体" w:hAnsi="宋体" w:eastAsia="宋体" w:cs="宋体"/>
                <w:b/>
                <w:bCs/>
                <w:color w:val="auto"/>
                <w:kern w:val="0"/>
                <w:sz w:val="21"/>
                <w:szCs w:val="21"/>
                <w:highlight w:val="none"/>
                <w:lang w:bidi="ar"/>
              </w:rPr>
              <w:t>知识点</w:t>
            </w:r>
            <w:r>
              <w:rPr>
                <w:rFonts w:hint="eastAsia" w:ascii="宋体" w:hAnsi="宋体" w:eastAsia="宋体" w:cs="宋体"/>
                <w:color w:val="auto"/>
                <w:kern w:val="0"/>
                <w:sz w:val="21"/>
                <w:szCs w:val="21"/>
                <w:highlight w:val="none"/>
                <w:lang w:bidi="ar"/>
              </w:rPr>
              <w:t>内容。</w:t>
            </w:r>
            <w:r>
              <w:rPr>
                <w:rFonts w:hint="eastAsia" w:ascii="宋体" w:hAnsi="宋体" w:eastAsia="宋体" w:cs="宋体"/>
                <w:b/>
                <w:bCs/>
                <w:color w:val="auto"/>
                <w:kern w:val="0"/>
                <w:sz w:val="21"/>
                <w:szCs w:val="21"/>
                <w:highlight w:val="none"/>
                <w:lang w:bidi="ar"/>
              </w:rPr>
              <w:t>可参考</w:t>
            </w:r>
            <w:r>
              <w:rPr>
                <w:rFonts w:hint="eastAsia" w:ascii="宋体" w:hAnsi="宋体" w:eastAsia="宋体" w:cs="宋体"/>
                <w:color w:val="auto"/>
                <w:kern w:val="0"/>
                <w:sz w:val="21"/>
                <w:szCs w:val="21"/>
                <w:highlight w:val="none"/>
                <w:lang w:bidi="ar"/>
              </w:rPr>
              <w:t>OpenCV、PyTorch等主流工具实操规范</w:t>
            </w:r>
            <w:r>
              <w:rPr>
                <w:rFonts w:hint="eastAsia" w:ascii="宋体" w:hAnsi="宋体" w:eastAsia="宋体" w:cs="宋体"/>
                <w:b/>
                <w:bCs/>
                <w:color w:val="auto"/>
                <w:kern w:val="0"/>
                <w:sz w:val="21"/>
                <w:szCs w:val="21"/>
                <w:highlight w:val="none"/>
                <w:lang w:bidi="ar"/>
              </w:rPr>
              <w:t>资料制作资源</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尽量</w:t>
            </w:r>
            <w:r>
              <w:rPr>
                <w:rFonts w:hint="eastAsia" w:ascii="宋体" w:hAnsi="宋体" w:eastAsia="宋体" w:cs="宋体"/>
                <w:i w:val="0"/>
                <w:iCs w:val="0"/>
                <w:color w:val="auto"/>
                <w:kern w:val="0"/>
                <w:sz w:val="21"/>
                <w:szCs w:val="21"/>
                <w:highlight w:val="none"/>
                <w:u w:val="none"/>
                <w:lang w:val="en-US" w:eastAsia="zh-CN" w:bidi="ar"/>
              </w:rPr>
              <w:t>结合深度学习图像算法（yolov8以上版本，包含模型部署的讲解），</w:t>
            </w:r>
            <w:r>
              <w:rPr>
                <w:rFonts w:hint="eastAsia" w:ascii="宋体" w:hAnsi="宋体" w:eastAsia="宋体" w:cs="宋体"/>
                <w:color w:val="auto"/>
                <w:kern w:val="0"/>
                <w:sz w:val="21"/>
                <w:szCs w:val="21"/>
                <w:highlight w:val="none"/>
                <w:lang w:bidi="ar"/>
              </w:rPr>
              <w:t>培养学生计算机视觉算法实现、项目开发、系统部署能力，适配人工智能训练师、计算机程序设计员等岗位需求。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（一）微仿真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微仿真主要用于教材中原理类、结构认知类、体系架构类等知识的讲解和交互，通过微仿真交互并结合教材理论讲解，学生能够更加透彻理解知识，提升学习效果。</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1.数量不少于20个。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2.技术要求：</w:t>
            </w:r>
            <w:r>
              <w:rPr>
                <w:rFonts w:hint="eastAsia" w:ascii="宋体" w:hAnsi="宋体" w:eastAsia="宋体" w:cs="宋体"/>
                <w:color w:val="auto"/>
                <w:kern w:val="0"/>
                <w:sz w:val="21"/>
                <w:szCs w:val="21"/>
                <w:highlight w:val="none"/>
                <w:lang w:bidi="ar"/>
              </w:rPr>
              <w:br w:type="textWrapping"/>
            </w:r>
            <w:r>
              <w:rPr>
                <w:rFonts w:hint="eastAsia" w:asciiTheme="minorEastAsia" w:hAnsiTheme="minorEastAsia" w:eastAsiaTheme="minorEastAsia" w:cstheme="minorEastAsia"/>
                <w:color w:val="auto"/>
                <w:kern w:val="0"/>
                <w:sz w:val="24"/>
                <w:szCs w:val="24"/>
                <w:highlight w:val="none"/>
              </w:rPr>
              <w:t>★</w:t>
            </w:r>
            <w:r>
              <w:rPr>
                <w:rFonts w:hint="eastAsia" w:ascii="宋体" w:hAnsi="宋体" w:eastAsia="宋体" w:cs="宋体"/>
                <w:color w:val="auto"/>
                <w:kern w:val="0"/>
                <w:sz w:val="21"/>
                <w:szCs w:val="21"/>
                <w:highlight w:val="none"/>
                <w:lang w:bidi="ar"/>
              </w:rPr>
              <w:t>（1）轻量化三维微模型构建：通过三维建模软件实现 “微体量还原”：在还原设备核心形态的基础上，去除冗余细节（如非关键纹理、次要结构），构建轻量化虚拟微模型，确保模型体积小、加载快，适配“微仿真”运行需求。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微量级交互资源嵌入：交互模块以微量级文件形式直接嵌入数字教材，无需额外下载安装，资源体积控制在低占用范围（不影响教材阅读流畅度），支持用户随时随地利用碎片化时间，边阅读边完成“微交互操作”（微仿真单次交互时长≤5 分钟）与练习。</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Theme="minorEastAsia" w:hAnsiTheme="minorEastAsia" w:eastAsiaTheme="minorEastAsia" w:cstheme="minorEastAsia"/>
                <w:color w:val="auto"/>
                <w:kern w:val="0"/>
                <w:sz w:val="24"/>
                <w:szCs w:val="24"/>
                <w:highlight w:val="none"/>
              </w:rPr>
              <w:t>★</w:t>
            </w:r>
            <w:r>
              <w:rPr>
                <w:rFonts w:hint="eastAsia" w:ascii="宋体" w:hAnsi="宋体" w:eastAsia="宋体" w:cs="宋体"/>
                <w:color w:val="auto"/>
                <w:kern w:val="0"/>
                <w:sz w:val="21"/>
                <w:szCs w:val="21"/>
                <w:highlight w:val="none"/>
                <w:lang w:bidi="ar"/>
              </w:rPr>
              <w:t>（3）微操作化友好交互设计：采用“微步骤操作逻辑”，仅通过点击、拖拽、放大缩小等类型的10步以内的简单操作即可完成微仿真交互学习，无需复杂流程或操作方法，操作反馈即时呈现，降低学习门槛，实现“微操作即见效果”。</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Theme="minorEastAsia" w:hAnsiTheme="minorEastAsia" w:eastAsiaTheme="minorEastAsia" w:cstheme="minorEastAsia"/>
                <w:color w:val="auto"/>
                <w:kern w:val="0"/>
                <w:sz w:val="24"/>
                <w:szCs w:val="24"/>
                <w:highlight w:val="none"/>
              </w:rPr>
              <w:t>★</w:t>
            </w:r>
            <w:r>
              <w:rPr>
                <w:rFonts w:hint="eastAsia" w:ascii="宋体" w:hAnsi="宋体" w:eastAsia="宋体" w:cs="宋体"/>
                <w:color w:val="auto"/>
                <w:kern w:val="0"/>
                <w:sz w:val="21"/>
                <w:szCs w:val="21"/>
                <w:highlight w:val="none"/>
                <w:lang w:bidi="ar"/>
              </w:rPr>
              <w:t>（4）微单元化原理可视化呈现：将抽象复杂的知识原理拆解为“微单元化步骤”</w:t>
            </w:r>
            <w:r>
              <w:rPr>
                <w:rFonts w:hint="eastAsia" w:ascii="宋体" w:hAnsi="宋体" w:eastAsia="宋体" w:cs="宋体"/>
                <w:i w:val="0"/>
                <w:iCs w:val="0"/>
                <w:color w:val="auto"/>
                <w:kern w:val="0"/>
                <w:sz w:val="21"/>
                <w:szCs w:val="21"/>
                <w:highlight w:val="none"/>
                <w:u w:val="none"/>
                <w:lang w:val="en-US" w:eastAsia="zh-CN" w:bidi="ar"/>
              </w:rPr>
              <w:t>（如算法原理）</w:t>
            </w:r>
            <w:r>
              <w:rPr>
                <w:rFonts w:hint="eastAsia" w:ascii="宋体" w:hAnsi="宋体" w:eastAsia="宋体" w:cs="宋体"/>
                <w:color w:val="auto"/>
                <w:kern w:val="0"/>
                <w:sz w:val="21"/>
                <w:szCs w:val="21"/>
                <w:highlight w:val="none"/>
                <w:lang w:bidi="ar"/>
              </w:rPr>
              <w:t>，通过动态演示逐个呈现微单元逻辑，把宏观原理转化为可视化的“微过程”，帮助学习者聚焦每个知识点细节，理解本质。</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Theme="minorEastAsia" w:hAnsiTheme="minorEastAsia" w:eastAsiaTheme="minorEastAsia" w:cstheme="minorEastAsia"/>
                <w:color w:val="auto"/>
                <w:kern w:val="0"/>
                <w:sz w:val="24"/>
                <w:szCs w:val="24"/>
                <w:highlight w:val="none"/>
              </w:rPr>
              <w:t>★</w:t>
            </w:r>
            <w:r>
              <w:rPr>
                <w:rFonts w:hint="eastAsia" w:ascii="宋体" w:hAnsi="宋体" w:eastAsia="宋体" w:cs="宋体"/>
                <w:color w:val="auto"/>
                <w:kern w:val="0"/>
                <w:sz w:val="21"/>
                <w:szCs w:val="21"/>
                <w:highlight w:val="none"/>
                <w:lang w:bidi="ar"/>
              </w:rPr>
              <w:t>（5）微尺度化结构观察功能：可实现放大缩小、360 度角度旋转、微组件爆炸图、高亮透明聚焦等功能，可根据知识点精准匹配对应功能，让学习者清晰观察设备微观结构细节。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（6）跨终端轻量化兼容适配：支持电脑、手机等多终端 “轻量化运行”，保障仿真交互流畅度与画面清晰度，适配“碎片化学习、移动学习”等小微场景。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（1）网页在线开发。需是通过浏览器运行的虚拟仿真软件开发工具，无需安装任何软件或插件，直接使用浏览器打开网页即可打开虚拟仿真软件，进行虚拟资源的编辑开发工作。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跨平台运行。无论是苹果MacOS系统，微软Windows系统，还是iOS和Android等手机系统，只要浏览器支持WebGL，即可直接运行虚拟仿真开发平台。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（3）支持在线发布。需支持在线一键发布产品，发布后即可通过网页使用。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（4）支持离线发布。需支持发布为离线资源，可部署到用户自己的服务器进行使用。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（5）在线表格编辑器。需支持表格数据在线编辑，支持撤销和重做、格式刷、字体、字号、加粗、斜体、字体颜色、背景色、对齐、搜索和替换等编辑功能。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在线资源库，与编辑工具双向对接。提供在线资源库，可共享模型、UI、图片、材质、全息模型等资源，支持一键导入到虚拟仿真编辑工具中编辑和使用。同时，在虚拟仿真编辑工具中编辑的场景资源也可以一键导入到资源库中进行分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协同交替开发：需支持异地用户无需拷贝数据即可方便实现多人多角色的协同开发。同一个项目中，用户A开发完相关功能后，无需拷贝数据即可将项目工程传递至用户B处，进行其他功能的开发处理。同理，可继续传递至其他用户处，进行项目的交替开发。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（8）引擎中英文切换：用户可点击引擎项目工程中中英文切换按钮，可一键将工具界面相关文字内容切换为英文显示，再次点击，切换为中文。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（二）微动画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微动画主要解决传统教学中“抽象难理解、静态难感知、复杂难拆解”等知识学习痛点，针对一些无法观察、缺乏感知的知识难点进行补充讲解。</w:t>
            </w:r>
            <w:r>
              <w:rPr>
                <w:rFonts w:hint="eastAsia" w:ascii="宋体" w:hAnsi="宋体" w:eastAsia="宋体" w:cs="宋体"/>
                <w:i w:val="0"/>
                <w:iCs w:val="0"/>
                <w:color w:val="auto"/>
                <w:kern w:val="0"/>
                <w:sz w:val="21"/>
                <w:szCs w:val="21"/>
                <w:highlight w:val="none"/>
                <w:u w:val="none"/>
                <w:lang w:val="en-US" w:eastAsia="zh-CN" w:bidi="ar"/>
              </w:rPr>
              <w:t>比如内容：彩色图像的构成讲解、RGB 图像与灰度图像在计算机中的表示。</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color w:val="auto"/>
                <w:kern w:val="0"/>
                <w:sz w:val="21"/>
                <w:szCs w:val="21"/>
                <w:highlight w:val="none"/>
                <w:lang w:bidi="ar"/>
              </w:rPr>
              <w:t>1.微动画资源总数不少10个，时长为10-15秒。</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2.动画的技术要求：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（1）格式：MP4格式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（2）分辨率：不低于640*480</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（3）内容要求：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①知识点内容正确，无科学性和知识性错误，动画中文字、符号、单位和公式符号符合国家标准，文字符号等信息具有良好识读性。</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②内容符合我国法律法规，尊重民族风俗习惯，不存在版权争议，一个动画完成一个独立设备（装置）的展示，或一个知识点原理、流程的剖析，以动画方式展示工作原理和流程。</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③动画根据给定材料或教学大纲设计，符合教学内容表现需求。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④动画开始有醒目标题，能够快速体现动画内容</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（4）画面要求：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①画面清晰简洁美观，画面要素构图合理，色彩运用合理统一。</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②所有文字符号图表等关键信息使用准确规范，且与整体画面协调。</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③动画演播过程流畅自然，节奏恰当，除特殊情况外，静止画面时间不超过5秒钟，帧和帧之间有较强的关联性。</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④画面特效设计突出教学性，不会喧宾夺主或造成负面干扰。</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⑤动画表现形式丰富，避免出现无表现力的片段。</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（5）音频要求：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①动画配音应清晰、无噪音，声音悦耳，音量适中，动画无声音缺陷（噪声、失真、杂音、音量忽大忽小等），应根据动画案例中的实际情况挑选合适的配音。</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②配音与画面同步，无提前出现或延迟，动画背景音乐与课程内容相吻合，音量大小适中。</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（6）字幕要求：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①字幕不出现繁体字、异体字(国家规定的除外）、错别字，清晰美观，能正确有效地传达信息。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②字幕字体清晰，大小合适，识读性良好，不使用异型字体。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③每屏只有一行字幕且保持每屏字幕出现位置一致。</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④字幕与画面及音频同步，无提前出现或延迟。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（三）微视频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微视频主要应用于重难点知识讲解，为再次明晰教材关键知识点提供拓展讲解，微视频聚焦单个颗粒化的知识节点，对教材内容进行深度剖析。必做知识点包括：彩色图像的构成讲解、RGB 图像与灰度图像在计算机中的表示。</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 微视频资源总量不少于15个，单条时长控制在 30-90 秒，以视频化形式精准呈现核心知识点，可与题库、微仿真资源联动融合，有效提升学习的趣味性与实效性。</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2.视频资源技术要求：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（1）格式：MP4格式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 xml:space="preserve">（2）分辨率：不低于640*480 </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（3）码率：不低于1024Kbps</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（4）视频帧率：不低于15帧/秒</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（5）声音：如有声音，音频比特率为44kbps以上，采样率为44～128KHz，双声道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（6）选题设计：依合同附件知识点清单或双方协商的知识点清单进行开发</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（7）内容设计：教学内容逻辑清晰，无冗余；教学内容讲解清楚、透彻，前后衔接顺畅，无跳跃感</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（8）画面：视频图像清晰，转场过渡顺畅自然；画面协调，色彩搭配合理，转场过渡顺畅自然，无明显抖动，风格、基调与脚本要求一致</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（9）解说：为标准普通话（语言类教学除外），吐字清晰</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（10）文本错误率：错字率在1‰以下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（四）嵌入式作业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设计制作课程相关嵌入式作业（题库），</w:t>
            </w:r>
            <w:r>
              <w:rPr>
                <w:rFonts w:hint="eastAsia" w:ascii="宋体" w:hAnsi="宋体" w:eastAsia="宋体" w:cs="宋体"/>
                <w:b/>
                <w:bCs/>
                <w:color w:val="auto"/>
                <w:kern w:val="0"/>
                <w:sz w:val="21"/>
                <w:szCs w:val="21"/>
                <w:highlight w:val="none"/>
                <w:lang w:bidi="ar"/>
              </w:rPr>
              <w:t>课程题目数量不少于300道</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嵌入式作业类型丰富，包含单选、多选、判断、填空等多样题目类型，题目直接嵌入在数字教材章节中，学生可随学随考，答题后，即刻弹出对本题的评判及分析，进一步帮助学生巩固知识学习内容和效果。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（五）岗位作业交互式视频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1.系统架构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用B/S浏览器服务器架构，使用时下主流的Vue.js框架和ElementUI组件库进行开发，在无需专用客户端支持的情况下，仅使用浏览器即可完成内容的浏览，阿里OSS提供存储支持。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2.内容与数量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制作课程相关的岗位作业</w:t>
            </w:r>
            <w:r>
              <w:rPr>
                <w:rFonts w:hint="eastAsia" w:ascii="宋体" w:hAnsi="宋体" w:eastAsia="宋体" w:cs="宋体"/>
                <w:b/>
                <w:bCs/>
                <w:color w:val="auto"/>
                <w:kern w:val="0"/>
                <w:sz w:val="21"/>
                <w:szCs w:val="21"/>
                <w:highlight w:val="none"/>
                <w:lang w:bidi="ar"/>
              </w:rPr>
              <w:t>指导交互式资源，课程时长不少于30分钟。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3.功能参数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（1）资源特色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以企业实际岗位需求为核心导向，融合现场实拍与交互设计两大核心优势，侧重作业内容的准确性与学习过程的互动性，适配企业岗位技能培训的场景需求。（注：涉及拍摄的内容，供应商需按照采购人提供的拍摄场地与拍摄环境进行拍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（2）资源播放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资源为浏览器网页播放的交互式视频，联网打开后可进行视频观看以及交互答题等课程互动。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（3）制作流程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1）与企业负责人对接：主动与企业相关负责人建立沟通对接机制，明确岗位作业指导书的制作目标、核心需求与应用场景；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2）沟通确认岗位作业内容：深入沟通企业具体岗位的作业流程、操作规范、关键要点等核心内容，确保对作业内容的理解准确无误；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3）按照企业标准化作业内容撰写脚本：依据确认后的岗位作业内容，结合标准化制作规范，撰写详细的视频脚本，明确画面呈现、解说内容等；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4）双方沟通确认脚本内容：将撰写完成的脚本提交给企业负责人，进行双向沟通确认，根据反馈意见进行修改完善，达成共识；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5）根据脚本内容现场拍摄：按照最终确认的脚本，前往企业现场进行实景拍摄，确保拍摄画面清晰、内容真实还原岗位作业场景；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6）视频剪辑：对现场拍摄的素材进行后期剪辑处理，去除冗余内容，调整画面节奏，保证视频内容紧凑、流畅；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7）视频包装：对剪辑后的视频进行包装处理，包括添加必要的标识、字幕、背景音乐等，提升视频的专业性与可读性；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8）设计交互内容及形式：基于视频核心内容，设计适配岗位培训需求的交互内容与形式，确保交互设计贴合学习目标；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9）制作交互点：根据设计方案，在视频中精准设置交互点，确保交互功能正常实现，且不影响视频的正常播放流程。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可选用的交互形式有：文字答题、图片答题、图中寻宝、热点拓展、拖拽拼图等。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1）采用通用MP4格式，确保跨平台兼容性；采用H.264编码标准，保证视频压缩效率与画质平衡，避免因编码级别过低导致播放设备兼容性问题。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2）严格遵循16:9宽屏比例制作，符合主流显示设备标准；基础分辨率不低于 1280×720（720P）</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3）最低码率不低于1024Kbps，720P 分辨率建议码率控制在2000-4000Kbps，保证画面细节清晰且文件体积适中，便于存储与传输，帧率不低于25帧/秒，符合国内视频播放标准，画面流畅自然，无卡顿、拖影现象。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4）音频编码采用 AAC 编码格式，确保音频音质清晰，兼容性强；音频比特率不低于44Kbps，建议控制在128-320Kbps，保证解说、背景音乐、音效层次分明，无杂音、失真现象。采用双声道，左声道与右声道音量平衡，确保不同位置播放时听觉体验一致，声音与画面严格同步，同步误差不超过±100ms，避免出现“口型对不上”“音效延迟”等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5）视频播放过程中无明显抖动、跳跃、卡顿现象，画面色彩无突变，无明显噪点。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6）解说采用标准普通话解说，发音准确（无方言、口音），吐字清晰，语速适中，避免过快或过慢影响理解，解说音频无杂音、底噪、爆音，音量稳定，与背景音乐、音效的音量比例协调。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7）字幕采用易读性强的字体，如 “微软雅黑”“思源黑体”，避免使用艺术字、草书等难以识别的字体；字幕停留时间需与解说同步，避免快速闪现、跳跃等突兀效果，与画面节奏保持一致；字幕内容需与解说完全一致，无错别字、漏字、多字，标点符号使用规范，符合书面语表达习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8）交互页面弹出时间点及交互数量设置合理，交互点不得打断正常学习；交互内容有趣且形式丰富，交互形式不限于文字选择、图片选择、拖拽匹配等；交互内容必须基于视频本身，不得超纲。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9）视频资源中应标有相应版权方的水印标识，水印需贯穿视频全程，无缺失、模糊现象，确保每帧画面均能清晰识别版权信息，防止盗版侵权。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1）项目管理：需支持新建项目、编辑项目、删除项目、更新程序等功能；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新建项目：通过点击新建项目按钮，即可创建一个新项目。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编辑项目：包括项目封面上传，项目名称，项目描述，项目标签，分享到作品指定发布平台、保存项目信息;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删除项目：点击对应项目上的删除按钮，二次确认后即可完全删除对应项目。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更新程序：通过对比项目版本号，如发现程序有更新，则弹窗显示最新版本的更新内容，用户自行选择是否更新；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文件夹管理：交互式媒体引擎支持文件夹创建，项目可移动至指定文件夹，对项目进行分类管理。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分享：①将项目发布为普通产品链接，通过链接进入制作完成的交互式媒体产品；②若产品大数据面板功能开启，则可在此处点击大数据面板按钮，查看数据信息。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2）剧情上传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①树状逻辑剧情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可以自由地创建视频播放逻辑，按实际需求生成对应的视频逻辑分支，方便表达主题。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②丰富的多媒体资源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创建逻辑分支时可以自由地选择上传的媒体资源，包括：视频，图片，以及360全景照片，且支持同一个项目上传多种资源，混排上传。通过多元化的媒体形式更好的服务项目教学目标，创建身临其境的教学环境。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③媒体资源删除或替换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上传的媒体资源支持同类型资源快速删除替换，在不影响内部游戏的情况下，更换基底视频，操作灵活。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④剧情分支问题设置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在上传完分支剧情素材后，可以编辑设置分支问题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（六）课程知识图谱</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需根据课程教学内容、教材、学材等，</w:t>
            </w:r>
            <w:r>
              <w:rPr>
                <w:rFonts w:hint="eastAsia" w:ascii="宋体" w:hAnsi="宋体" w:eastAsia="宋体" w:cs="宋体"/>
                <w:b/>
                <w:bCs/>
                <w:color w:val="auto"/>
                <w:kern w:val="0"/>
                <w:sz w:val="21"/>
                <w:szCs w:val="21"/>
                <w:highlight w:val="none"/>
                <w:lang w:bidi="ar"/>
              </w:rPr>
              <w:t>使用AI智能体自动生成课程知识图谱，不少于60个知识点</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（七）课程思政案例集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课程思政案例集需是以数字化技术为载体，融合图片、视频等多媒体资源，以H5页面形式展示和应用，是融合专业教学与思政教育，系统化整合各类思政教学案例的专业教学资源集，仅供老师用于课程教学辅助使用，不用于出版。其内容需立足职业院校专业教学需求，以专业技术技能实践为核心载体，将思政教育与专业课程深度融合，挖掘专业领域内的思政元素，通过典型、真实的行业案例，助力学生在掌握专业本领的同时，树立正确的职业观、价值观，养成契合行业要求的职业素养与家国担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课程思政案例集的整体架构需包含课程思政总目标、课程思政映射表、核心教学案例等3大模块；</w:t>
            </w:r>
            <w:r>
              <w:rPr>
                <w:rFonts w:hint="eastAsia" w:ascii="宋体" w:hAnsi="宋体" w:eastAsia="宋体" w:cs="宋体"/>
                <w:b/>
                <w:bCs/>
                <w:color w:val="auto"/>
                <w:kern w:val="0"/>
                <w:sz w:val="21"/>
                <w:szCs w:val="21"/>
                <w:highlight w:val="none"/>
                <w:lang w:bidi="ar"/>
              </w:rPr>
              <w:t>其中核心教学案例不少于20个，案例配套图片不少于10张，视频不少于20分钟</w:t>
            </w:r>
            <w:r>
              <w:rPr>
                <w:rFonts w:hint="eastAsia" w:ascii="宋体" w:hAnsi="宋体" w:eastAsia="宋体" w:cs="宋体"/>
                <w:color w:val="auto"/>
                <w:kern w:val="0"/>
                <w:sz w:val="21"/>
                <w:szCs w:val="21"/>
                <w:highlight w:val="none"/>
                <w:lang w:bidi="ar"/>
              </w:rPr>
              <w:t>；案例内容围绕行业实际痛点、真实项目/人物实践展开，明确思政认知、情感、行为目标，同时精准对接专业教材知识点，既为教师提供现成的课程思政教学设计、课堂教学实施参考，降低思政融入专业教学的难度，也能让学生在专业学习中直观感受思政内涵，实现思政教育与专业教学的有机融合、同向同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1.图片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课程思政案例集配套图片不少于10张（图片可来源于网络）</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图片资源技术要求：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（1）文件格式：为PNG、JPG，透明素材统一为 PNG；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（2）分辨率：不低于640*480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（3）大小限制：单张≤2MB，大幅场景图≤5MB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（4）色彩模式：RGB，画面清晰无偏色、噪点，文字类配图可清晰识别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课程思政案例集配套视频不少于20分钟（视频可来源于网络）</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视频资源技术要求：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（1）格式：MP4格式（AVC或H.264编码）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（2）分辨率：不低于640*480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（3）码率：不低于1024Kbps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（4）视频帧率：不低于15帧/秒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（5）声音：如有声音，音频比特率为44kbps以上，采样率为44～128KHz，双声道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（6）时长：平均时长不少于1分钟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（7）画面：视频图像清晰，转场过渡顺畅自然；画面协调，色彩搭配合理，转场过渡顺畅自然，无明显抖动，风格、基调与脚本要求一致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（8）文本错误率：错字率在1‰以下</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八</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智能体模块</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伴学智能体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（1）核心功能</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基于教材内容构建课程专属语义向量库，支持上下文相关的精准问答；</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在练习或输入过程中实时识别概念混淆、公式误用等错误，并给出情境化纠错提示。</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（2）典型应用场景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学生可随时就当前学习内容提问，获得简明、准确的解释；</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解题时若步骤出错，系统即时指出错误原因，而非仅判对错；</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评价智能体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（1）核心功能</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持续采集学生在教材中的学习行为（如阅读、问答、练习、修正等）；</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基于行为数据生成个体知识掌握画像。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（2）典型应用场景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为学生生成短板预警，并推荐下一步学习内容；</w:t>
            </w:r>
          </w:p>
          <w:p>
            <w:pPr>
              <w:keepNext w:val="0"/>
              <w:keepLines w:val="0"/>
              <w:pageBreakBefore w:val="0"/>
              <w:widowControl/>
              <w:kinsoku/>
              <w:wordWrap/>
              <w:overflowPunct/>
              <w:topLinePunct w:val="0"/>
              <w:autoSpaceDE/>
              <w:autoSpaceDN/>
              <w:bidi w:val="0"/>
              <w:adjustRightInd w:val="0"/>
              <w:snapToGrid w:val="0"/>
              <w:spacing w:line="360" w:lineRule="auto"/>
              <w:jc w:val="left"/>
              <w:outlineLvl w:val="9"/>
              <w:rPr>
                <w:rFonts w:hint="eastAsia" w:ascii="宋体" w:hAnsi="宋体" w:eastAsia="宋体" w:cs="宋体"/>
                <w:b/>
                <w:bCs/>
                <w:color w:val="auto"/>
                <w:sz w:val="21"/>
                <w:szCs w:val="21"/>
                <w:highlight w:val="none"/>
              </w:rPr>
            </w:pPr>
            <w:r>
              <w:rPr>
                <w:rFonts w:hint="eastAsia" w:ascii="宋体" w:hAnsi="宋体" w:eastAsia="宋体" w:cs="宋体"/>
                <w:color w:val="auto"/>
                <w:kern w:val="0"/>
                <w:sz w:val="21"/>
                <w:szCs w:val="21"/>
                <w:highlight w:val="none"/>
                <w:lang w:bidi="ar"/>
              </w:rPr>
              <w:t>将评估从“结果打分”转变为“过程导航”，驱动教学持续优化。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二、数字教材出版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应商负责联系出版社（需为“百强”出版社），由出版社负责整合《计算机视觉应用开发》课程的数字资源，确保数字资源的版权清晰、内容优质；供应商负责教材的选题申报、审校、编辑加工、版式设计及最终出版发布，确保出版物符合国家相关法律法规及出版质量标准。</w:t>
            </w:r>
          </w:p>
        </w:tc>
        <w:tc>
          <w:tcPr>
            <w:tcW w:w="97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200000</w:t>
            </w:r>
          </w:p>
        </w:tc>
        <w:tc>
          <w:tcPr>
            <w:tcW w:w="97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2</w:t>
            </w:r>
          </w:p>
        </w:tc>
        <w:tc>
          <w:tcPr>
            <w:tcW w:w="758" w:type="dxa"/>
            <w:tcBorders>
              <w:left w:val="single" w:color="auto" w:sz="4" w:space="0"/>
            </w:tcBorders>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《物联网设备安装与调试》新形态教材建设</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5580" w:type="dxa"/>
            <w:vAlign w:val="center"/>
          </w:tcPr>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一、数智化资源包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本教材需聚焦物联网应用技术、智能制造、电子信息工程技术专业岗位群核心能力培养，立足北海港口经济、海洋产业、乡村振兴发展需求，以物联网设备全流程装调为主线，系统涵盖物联网设备基础与工具使用、照明与报警装置安装调试、农业气象站与温湿度控制系统、智能家居与综合系统调试等核心内容。融入物联网安装调试员职业证书考点，结合北海港口物联网设备、海洋生态监测传感网、北部湾渔村智慧养殖等本地场景，培养学生物联网设备接线、组网配置、调试优化、故障排查能力，适配物联网安装调试员、电子设备装调员等岗位需求。若提供企业真实相关案例资料，可按照标准资源规格进行参考制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（一）微仿真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微仿真主要用于教材中原理类、结构认知类、体系架构类等知识的讲解和交互，通过微仿真交互并结合教材理论讲解，学生能够更加透彻理解知识，提升学习效果。</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b/>
                <w:bCs/>
                <w:color w:val="auto"/>
                <w:kern w:val="0"/>
                <w:sz w:val="21"/>
                <w:szCs w:val="21"/>
                <w:highlight w:val="none"/>
                <w:lang w:bidi="ar"/>
              </w:rPr>
              <w:t>数量不少于20个。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（1）轻量化三维微模型构建：通过三维建模软件实现 “微体量还原”：在还原设备核心形态的基础上，去除冗余细节（如非关键纹理、次要结构），构建轻量化虚拟微模型，确保模型体积小、加载快，适配“微仿真”运行需求。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微量级交互资源嵌入：交互模块以微量级文件形式直接嵌入数字教材，无需额外下载安装，资源体积控制在低占用范围（不影响教材阅读流畅度），支持用户随时随地利用碎片化时间，边阅读边完成“微交互操作”（微仿真单次交互时长≤5 分钟）与练习。</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微操作化友好交互设计：采用“微步骤操作逻辑”，仅通过点击、拖拽、放大缩小等类型的10步以内的简单操作即可完成微仿真交互学习，无需复杂流程或操作方法，操作反馈即时呈现，降低学习门槛，实现“微操作即见效果”。</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微单元化原理可视化呈现：将抽象复杂的知识原理拆解为“微单元化步骤”，逐步演示，通过动态演示逐个呈现微单元逻辑，把宏观原理转化为可视化的“微过程”，帮助学习者聚焦每个知识点细节，理解本质。</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（5）微尺度化结构观察功能：可实现放大缩小、360 度角度旋转、微组件爆炸图、高亮透明聚焦等功能，可根据知识点精准匹配对应功能，让学习者清晰观察设备微观结构细节。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（6）跨终端轻量化兼容适配：支持电脑、手机等多终端 “轻量化运行”，保障仿真交互流畅度与画面清晰度，适配“碎片化学习、移动学习”等小微场景。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（1）网页在线开发。需是通过浏览器运行的虚拟仿真软件开发工具，无需安装任何软件或插件，直接使用浏览器打开网页即可打开虚拟仿真软件，进行虚拟资源的编辑开发工作。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（2）跨平台运行。无论是苹果MacOS系统，微软Windows系统，还是iOS和Android等手机系统，只要浏览器支持WebGL，即可直接运行虚拟仿真开发平台。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（3）支持在线发布。需支持在线一键发布产品，发布后即可通过网页使用。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（4）支持离线发布。需支持发布为离线资源，可部署到用户自己的服务器进行使用。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（5）在线表格编辑器。需支持表格数据在线编辑，支持撤销和重做、格式刷、字体、字号、加粗、斜体、字体颜色、背景色、对齐、搜索和替换等编辑功能。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在线资源库，与编辑工具双向对接。提供在线资源库，可共享模型、UI、图片、材质、全息模型等资源，支持一键导入到虚拟仿真编辑工具中编辑和使用。同时，在虚拟仿真编辑工具中编辑的场景资源也可以一键导入到资源库中进行分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协同交替开发：需支持异地用户无需拷贝数据即可方便实现多人多角色的协同开发。同一个项目中，用户A开发完相关功能后，无需拷贝数据即可将项目工程传递至用户B处，进行其他功能的开发处理。同理，可继续传递至其他用户处，进行项目的交替开发。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（8）引擎中英文切换：用户可点击引擎项目工程中中英文切换按钮，可一键将工具界面相关文字内容切换为英文显示，再次点击，切换为中文。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（二）微动画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微动画主要解决传统教学中“抽象难理解、静态难感知、复杂难拆解”等知识学习痛点，针对一些无法观察、缺乏感知的知识难点进行补充讲解。</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1.微动画资源</w:t>
            </w:r>
            <w:r>
              <w:rPr>
                <w:rFonts w:hint="eastAsia" w:ascii="宋体" w:hAnsi="宋体" w:eastAsia="宋体" w:cs="宋体"/>
                <w:b/>
                <w:bCs/>
                <w:color w:val="auto"/>
                <w:kern w:val="0"/>
                <w:sz w:val="21"/>
                <w:szCs w:val="21"/>
                <w:highlight w:val="none"/>
                <w:lang w:bidi="ar"/>
              </w:rPr>
              <w:t>总数不少10个，时长为10-15秒。</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2.动画的技术要求：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（1）格式：MP4格式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（2）分辨率：不低于640*480</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（3）内容要求：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①知识点内容正确，无科学性和知识性错误，动画中文字、符号、单位和公式符号符合国家标准，文字符号等信息具有良好识读性。</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②内容符合我国法律法规，尊重民族风俗习惯，不存在版权争议，一个动画完成一个独立设备（装置）的展示，或一个知识点原理、流程的剖析，以动画方式展示工作原理和流程。</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③动画根据给定材料或教学大纲设计，符合教学内容表现需求。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④动画开始有醒目标题，能够快速体现动画内容</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（4）画面要求：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①画面清晰简洁美观，画面要素构图合理，色彩运用合理统一。</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②所有文字符号图表等关键信息使用准确规范，且与整体画面协调。</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③动画演播过程流畅自然，节奏恰当，除特殊情况外，静止画面时间不超过5秒钟，帧和帧之间有较强的关联性。</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④画面特效设计突出教学性，不会喧宾夺主或造成负面干扰。</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⑤动画表现形式丰富，避免出现无表现力的片段。</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（5）音频要求：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①动画配音应清晰、无噪音，声音悦耳，音量适中，动画无声音缺陷（噪声、失真、杂音、音量忽大忽小等），应根据动画案例中的实际情况挑选合适的配音。</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②配音与画面同步，无提前出现或延迟，动画背景音乐与课程内容相吻合，音量大小适中。</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（6）字幕要求：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①字幕不出现繁体字、异体字(国家规定的除外）、错别字，清晰美观，能正确有效地传达信息。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②字幕字体清晰，大小合适，识读性良好，不使用异型字体。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③每屏只有一行字幕且保持每屏字幕出现位置一致。</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④字幕与画面及音频同步，无提前出现或延迟。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（三）微视频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微视频主要应用于重难点知识讲解，为再次明晰教材关键知识点提供拓展讲解，微视频聚焦单个颗粒化的知识节点，对教材内容进行深度剖析。</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 微视频资源总量</w:t>
            </w:r>
            <w:r>
              <w:rPr>
                <w:rFonts w:hint="eastAsia" w:ascii="宋体" w:hAnsi="宋体" w:eastAsia="宋体" w:cs="宋体"/>
                <w:b/>
                <w:bCs/>
                <w:color w:val="auto"/>
                <w:kern w:val="0"/>
                <w:sz w:val="21"/>
                <w:szCs w:val="21"/>
                <w:highlight w:val="none"/>
                <w:lang w:bidi="ar"/>
              </w:rPr>
              <w:t>不少于15个，单条时长控制在 30-90 秒</w:t>
            </w:r>
            <w:r>
              <w:rPr>
                <w:rFonts w:hint="eastAsia" w:ascii="宋体" w:hAnsi="宋体" w:eastAsia="宋体" w:cs="宋体"/>
                <w:color w:val="auto"/>
                <w:kern w:val="0"/>
                <w:sz w:val="21"/>
                <w:szCs w:val="21"/>
                <w:highlight w:val="none"/>
                <w:lang w:bidi="ar"/>
              </w:rPr>
              <w:t>，以视频化形式精准呈现核心知识点，可与题库、微仿真资源联动融合，有效提升学习的趣味性与实效性。</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2.视频资源技术要求：</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（1）格式：MP4格式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（2）分辨率：不低于640*480 </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（3）码率：不低于1024Kbps</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（4）视频帧率：不低于15帧/秒</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（5）声音：如有声音，音频比特率为44kbps以上，采样率为44～128KHz，双声道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（6）选题设计：依合同附件知识点清单或双方协商的知识点清单进行开发</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（7）内容设计：教学内容逻辑清晰，无冗余；教学内容讲解清楚、透彻，前后衔接顺畅，无跳跃感</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（8）画面：视频图像清晰，转场过渡顺畅自然；画面协调，色彩搭配合理，转场过渡顺畅自然，无明显抖动，风格、基调与脚本要求一致</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（9）解说：为标准普通话（语言类教学除外），吐字清晰</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（10）文本错误率：错字率在1‰以下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（四）嵌入式作业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嵌入式作业类型丰富，包含单选、多选、判断、填空等多样题目类型，总数根据教材情况设置</w:t>
            </w:r>
            <w:r>
              <w:rPr>
                <w:rFonts w:hint="eastAsia" w:ascii="宋体" w:hAnsi="宋体" w:eastAsia="宋体" w:cs="宋体"/>
                <w:b/>
                <w:bCs/>
                <w:color w:val="auto"/>
                <w:kern w:val="0"/>
                <w:sz w:val="21"/>
                <w:szCs w:val="21"/>
                <w:highlight w:val="none"/>
                <w:lang w:val="en-US" w:eastAsia="zh-CN" w:bidi="ar"/>
              </w:rPr>
              <w:t>不少于</w:t>
            </w:r>
            <w:r>
              <w:rPr>
                <w:rFonts w:hint="eastAsia" w:ascii="宋体" w:hAnsi="宋体" w:eastAsia="宋体" w:cs="宋体"/>
                <w:b/>
                <w:bCs/>
                <w:color w:val="auto"/>
                <w:kern w:val="0"/>
                <w:sz w:val="21"/>
                <w:szCs w:val="21"/>
                <w:highlight w:val="none"/>
                <w:lang w:bidi="ar"/>
              </w:rPr>
              <w:t>300道</w:t>
            </w:r>
            <w:r>
              <w:rPr>
                <w:rFonts w:hint="eastAsia" w:ascii="宋体" w:hAnsi="宋体" w:eastAsia="宋体" w:cs="宋体"/>
                <w:color w:val="auto"/>
                <w:kern w:val="0"/>
                <w:sz w:val="21"/>
                <w:szCs w:val="21"/>
                <w:highlight w:val="none"/>
                <w:lang w:bidi="ar"/>
              </w:rPr>
              <w:t>。题目直接嵌入在数字教材章节中，学生可随学随考，答题后，即刻弹出对本题的评判及分析，进一步帮助学生巩固知识学习内容和效果。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（五）岗位作业交互式视频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1.系统架构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用B/S浏览器服务器架构，使用时下主流的Vue.js框架和ElementUI组件库进行开发，在无需专用客户端支持的情况下，仅使用浏览器即可完成内容的浏览，阿里OSS提供存储支持。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2.内容与数量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制作课程相关的岗位作业</w:t>
            </w:r>
            <w:r>
              <w:rPr>
                <w:rFonts w:hint="eastAsia" w:ascii="宋体" w:hAnsi="宋体" w:eastAsia="宋体" w:cs="宋体"/>
                <w:b/>
                <w:bCs/>
                <w:color w:val="auto"/>
                <w:kern w:val="0"/>
                <w:sz w:val="21"/>
                <w:szCs w:val="21"/>
                <w:highlight w:val="none"/>
                <w:lang w:bidi="ar"/>
              </w:rPr>
              <w:t>指导交互式资源，课程时长不少于30分钟。</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3.功能参数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（1）资源特色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以企业实际岗位需求为核心导向，融合现场实拍与交互设计两大核心优势，侧重作业内容的准确性与学习过程的互动性，适配企业岗位技能培训的场景需求。（注：涉及拍摄的内容，供应商需按照采购人提供的拍摄场地与拍摄环境进行拍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（2）资源播放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资源为浏览器网页播放的交互式视频，联网打开后可进行视频观看以及交互答题等课程互动。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（3）制作流程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1）与企业负责人对接：主动与企业相关负责人建立沟通对接机制，明确岗位作业指导书的制作目标、核心需求与应用场景；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2）沟通确认岗位作业内容：深入沟通企业具体岗位的作业流程、操作规范、关键要点等核心内容，确保对作业内容的理解准确无误；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3）按照企业标准化作业内容撰写脚本：依据确认后的岗位作业内容，结合标准化制作规范，撰写详细的视频脚本，明确画面呈现、解说内容等；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4）双方沟通确认脚本内容：将撰写完成的脚本提交给企业负责人，进行双向沟通确认，根据反馈意见进行修改完善，达成共识；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5）根据脚本内容现场拍摄：按照最终确认的脚本，前往企业现场进行实景拍摄，确保拍摄画面清晰、内容真实还原岗位作业场景；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6）视频剪辑：对现场拍摄的素材进行后期剪辑处理，去除冗余内容，调整画面节奏，保证视频内容紧凑、流畅；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7）视频包装：对剪辑后的视频进行包装处理，包括添加必要的标识、字幕、背景音乐等，提升视频的专业性与可读性；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8）设计交互内容及形式：基于视频核心内容，设计适配岗位培训需求的交互内容与形式，确保交互设计贴合学习目标；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9）制作交互点：根据设计方案，在视频中精准设置交互点，确保交互功能正常实现，且不影响视频的正常播放流程。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可选用的交互形式有：文字答题、图片答题、图中寻宝、热点拓展、拖拽拼图等。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1）采用通用MP4格式，确保跨平台兼容性；采用H.264编码标准，保证视频压缩效率与画质平衡，避免因编码级别过低导致播放设备兼容性问题。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2）严格遵循16:9宽屏比例制作，符合主流显示设备标准；基础分辨率不低于 1280×720（720P）</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3）最低码率不低于1024Kbps，720P 分辨率建议码率控制在2000-4000Kbps，保证画面细节清晰且文件体积适中，便于存储与传输，帧率不低于25帧/秒，符合国内视频播放标准，画面流畅自然，无卡顿、拖影现象。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4）音频编码采用 AAC 编码格式，确保音频音质清晰，兼容性强；音频比特率不低于44Kbps，建议控制在128-320Kbps，保证解说、背景音乐、音效层次分明，无杂音、失真现象。采用双声道，左声道与右声道音量平衡，确保不同位置播放时听觉体验一致，声音与画面严格同步，同步误差不超过±100ms，避免出现“口型对不上”“音效延迟”等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5）视频播放过程中无明显抖动、跳跃、卡顿现象，画面色彩无突变，无明显噪点。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6）解说采用标准普通话解说，发音准确（无方言、口音），吐字清晰，语速适中，避免过快或过慢影响理解，解说音频无杂音、底噪、爆音，音量稳定，与背景音乐、音效的音量比例协调。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7）字幕采用易读性强的字体，如 “微软雅黑”“思源黑体”，避免使用艺术字、草书等难以识别的字体；字幕停留时间需与解说同步，避免快速闪现、跳跃等突兀效果，与画面节奏保持一致；字幕内容需与解说完全一致，无错别字、漏字、多字，标点符号使用规范，符合书面语表达习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8）交互页面弹出时间点及交互数量设置合理，交互点不得打断正常学习；交互内容有趣且形式丰富，交互形式不限于文字选择、图片选择、拖拽匹配等；交互内容必须基于视频本身，不得超纲。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9）视频资源中应标有相应版权方的水印标识，水印需贯穿视频全程，无缺失、模糊现象，确保每帧画面均能清晰识别版权信息，防止盗版侵权。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1）项目管理：需支持新建项目、编辑项目、删除项目、更新程序等功能；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新建项目：通过点击新建项目按钮，即可创建一个新项目。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编辑项目：包括项目封面上传，项目名称，项目描述，项目标签，分享到作品指定发布平台、保存项目信息;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删除项目：点击对应项目上的删除按钮，二次确认后即可完全删除对应项目。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更新程序：通过对比项目版本号，如发现程序有更新，则弹窗显示最新版本的更新内容，用户自行选择是否更新；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文件夹管理：交互式媒体引擎支持文件夹创建，项目可移动至指定文件夹，对项目进行分类管理。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分享：①将项目发布为普通产品链接，通过链接进入制作完成的交互式媒体产品；②若产品大数据面板功能开启，则可在此处点击大数据面板按钮，查看数据信息。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2）剧情上传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①树状逻辑剧情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可以自由地创建视频播放逻辑，按实际需求生成对应的视频逻辑分支，方便表达主题。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②丰富的多媒体资源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创建逻辑分支时可以自由地选择上传的媒体资源，包括：视频，图片，以及360全景照片，且支持同一个项目上传多种资源，混排上传。通过多元化的媒体形式更好的服务项目教学目标，创建身临其境的教学环境。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③媒体资源删除或替换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上传的媒体资源支持同类型资源快速删除替换，在不影响内部游戏的情况下，更换基底视频，操作灵活。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④剧情分支问题设置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在上传完分支剧情素材后，可以编辑设置分支问题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（六）课程知识图谱</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需根据课程教学内容、教材、学材等，</w:t>
            </w:r>
            <w:r>
              <w:rPr>
                <w:rFonts w:hint="eastAsia" w:ascii="宋体" w:hAnsi="宋体" w:eastAsia="宋体" w:cs="宋体"/>
                <w:b/>
                <w:bCs/>
                <w:color w:val="auto"/>
                <w:kern w:val="0"/>
                <w:sz w:val="21"/>
                <w:szCs w:val="21"/>
                <w:highlight w:val="none"/>
                <w:lang w:bidi="ar"/>
              </w:rPr>
              <w:t>使用AI智能体自动生成课程知识图谱，不少于60个知识点。</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（七）课程思政案例集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课程思政案例集需是以数字化技术为载体，融合图片、视频等多媒体资源，以H5页面形式展示和应用，是融合专业教学与思政教育，系统化整合各类思政教学案例的专业教学资源集，仅供老师用于课程教学辅助使用，不用于出版。其内容需立足职业院校专业教学需求，以专业技术技能实践为核心载体，将思政教育与专业课程深度融合，挖掘专业领域内的思政元素，通过典型、真实的行业案例，助力学生在掌握专业本领的同时，树立正确的职业观、价值观，养成契合行业要求的职业素养与家国担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课程思政案例集的整体架构需包含</w:t>
            </w:r>
            <w:r>
              <w:rPr>
                <w:rFonts w:hint="eastAsia" w:ascii="宋体" w:hAnsi="宋体" w:eastAsia="宋体" w:cs="宋体"/>
                <w:b/>
                <w:bCs/>
                <w:color w:val="auto"/>
                <w:kern w:val="0"/>
                <w:sz w:val="21"/>
                <w:szCs w:val="21"/>
                <w:highlight w:val="none"/>
                <w:lang w:bidi="ar"/>
              </w:rPr>
              <w:t>课程思政总目标、课程思政映射表、核心教学案例等3大模块；其中核心教学案例不少于20个，案例配套图片不少于10张，视频不少于20分钟</w:t>
            </w:r>
            <w:r>
              <w:rPr>
                <w:rFonts w:hint="eastAsia" w:ascii="宋体" w:hAnsi="宋体" w:eastAsia="宋体" w:cs="宋体"/>
                <w:color w:val="auto"/>
                <w:kern w:val="0"/>
                <w:sz w:val="21"/>
                <w:szCs w:val="21"/>
                <w:highlight w:val="none"/>
                <w:lang w:bidi="ar"/>
              </w:rPr>
              <w:t>；案例内容围绕行业实际痛点、真实项目/人物实践展开，明确思政认知、情感、行为目标，同时精准对接专业教材知识点，既为教师提供现成的课程思政教学设计、课堂教学实施参考，降低思政融入专业教学的难度，也能让学生在专业学习中直观感受思政内涵，实现思政教育与专业教学的有机融合、同向同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1.图片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课程思政案例集配套图片不少于10张（图片可来源于网络）：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图片资源技术要求：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（1）文件格式：为PNG、JPG，透明素材统一为 PNG；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（2）分辨率：不低于640*480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（3）大小限制：单张≤2MB，大幅场景图≤5MB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（4）色彩模式：RGB，画面清晰无偏色、噪点，文字类配图可清晰识别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课程思政案例集配套视频不少于20分钟（视频可来源于网络）：</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视频资源技术要求：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（1）格式：MP4格式（AVC或H.264编码）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（2）分辨率：不低于640*480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（3）码率：不低于1024Kbps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（4）视频帧率：不低于15帧/秒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（5）声音：如有声音，音频比特率为44kbps以上，采样率为44～128KHz，双声道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（6）时长：平均时长不少于1分钟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（7）画面：视频图像清晰，转场过渡顺畅自然；画面协调，色彩搭配合理，转场过渡顺畅自然，无明显抖动，风格、基调与脚本要求一致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（8）文本错误率：错字率在1‰以下</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八</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智能体模块</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伴学智能体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（1）核心功能</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基于教材内容构建课程专属语义向量库，支持上下文相关的精准问答；</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在练习或输入过程中实时识别概念混淆、公式误用等错误，并给出情境化纠错提示。</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（2）典型应用场景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学生可随时就当前学习内容提问，获得简明、准确的解释；</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解题时若步骤出错，系统即时指出错误原因，而非仅判对错；</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评价智能体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（1）核心功能</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持续采集学生在教材中的学习行为（如阅读、问答、练习、修正等）；</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基于行为数据生成个体知识掌握画像。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（2）典型应用场景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为学生生成短板预警，并推荐下一步学习内容；</w:t>
            </w:r>
          </w:p>
          <w:p>
            <w:pPr>
              <w:keepNext w:val="0"/>
              <w:keepLines w:val="0"/>
              <w:pageBreakBefore w:val="0"/>
              <w:widowControl/>
              <w:kinsoku/>
              <w:wordWrap/>
              <w:overflowPunct/>
              <w:topLinePunct w:val="0"/>
              <w:autoSpaceDE/>
              <w:autoSpaceDN/>
              <w:bidi w:val="0"/>
              <w:adjustRightInd w:val="0"/>
              <w:snapToGrid w:val="0"/>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将评估从“结果打分”转变为“过程导航”，驱动教学持续优化。</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二、数字教材出版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应商负责联系出版社（需为“百强”出版社），由出版社负责整合《物联网设备安装与调试》课程的数字资源，确保数字资源的版权清晰、内容优质；供应商负责教材的选题申报、审校、编辑加工、版式设计及最终出版发布，确保出版物符合国家相关法律法规及出版质量标准。</w:t>
            </w:r>
          </w:p>
        </w:tc>
        <w:tc>
          <w:tcPr>
            <w:tcW w:w="97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200000</w:t>
            </w:r>
          </w:p>
        </w:tc>
        <w:tc>
          <w:tcPr>
            <w:tcW w:w="97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3</w:t>
            </w:r>
          </w:p>
        </w:tc>
        <w:tc>
          <w:tcPr>
            <w:tcW w:w="758" w:type="dxa"/>
            <w:tcBorders>
              <w:left w:val="single" w:color="auto" w:sz="4" w:space="0"/>
            </w:tcBorders>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《数据安全与灾备管理》新形态教材建设</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5580" w:type="dxa"/>
            <w:vAlign w:val="center"/>
          </w:tcPr>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一、数智化资源包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本教材需聚焦网络空间安全、计算机应用技术、物联网应用技术专业岗位群核心能力培养，参考广西“中国 - 东盟信息港”、北海政务数据安全、广西智慧港口数据安全发展需求资料，合理融入国家 “十五五”国民经济和社会发展规划中”容灾备份体系建设”趋势的部分内容，以数据安全与灾备全流程管理为主线，涵盖数据存储基础、存储核心技术、数据灾备与恢复技术、虚拟化与云灾备、大数据存储安全、灾备系统设计与运维、数据安全合规、</w:t>
            </w:r>
            <w:r>
              <w:rPr>
                <w:rFonts w:hint="eastAsia" w:ascii="宋体" w:hAnsi="宋体" w:eastAsia="宋体" w:cs="宋体"/>
                <w:i w:val="0"/>
                <w:iCs w:val="0"/>
                <w:color w:val="auto"/>
                <w:kern w:val="0"/>
                <w:sz w:val="21"/>
                <w:szCs w:val="21"/>
                <w:highlight w:val="none"/>
                <w:u w:val="none"/>
                <w:lang w:val="en-US" w:eastAsia="zh-CN" w:bidi="ar"/>
              </w:rPr>
              <w:t>AI工具辅助数据安全与灾备、</w:t>
            </w:r>
            <w:r>
              <w:rPr>
                <w:rFonts w:hint="eastAsia" w:ascii="宋体" w:hAnsi="宋体" w:eastAsia="宋体" w:cs="宋体"/>
                <w:color w:val="auto"/>
                <w:kern w:val="0"/>
                <w:sz w:val="21"/>
                <w:szCs w:val="21"/>
                <w:highlight w:val="none"/>
                <w:lang w:bidi="ar"/>
              </w:rPr>
              <w:t>职业证书与岗位对接等知识点内容。参考数据安全工程师、网络安全运维员职业证书考点，广西政务数据灾备、北海企业云灾备、北部湾港口数据安全防护等资料制作资源，培养学生数据存储配置、灾备方案设计、数据恢复、安全合规运维能力，适配数据安全工程师、网络安全运维员、云安全工程师等岗位需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（一）微仿真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微仿真主要用于教材中原理类、结构认知类、体系架构类等知识的讲解和交互，通过微仿真交互并结合教材理论讲解，学生能够更加透彻理解知识，提升学习效果。</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r>
              <w:rPr>
                <w:rFonts w:hint="eastAsia" w:ascii="宋体" w:hAnsi="宋体" w:eastAsia="宋体" w:cs="宋体"/>
                <w:b/>
                <w:bCs/>
                <w:color w:val="auto"/>
                <w:kern w:val="0"/>
                <w:sz w:val="21"/>
                <w:szCs w:val="21"/>
                <w:highlight w:val="none"/>
                <w:lang w:bidi="ar"/>
              </w:rPr>
              <w:t>数量不少于20个。</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（1）轻量化三维微模型构建：通过三维建模软件实现 “微体量还原”：在还原设备核心形态的基础上，去除冗余细节（如非关键纹理、次要结构），构建轻量化虚拟微模型，确保模型体积小、加载快，适配“微仿真”运行需求。模拟二维平面数据安全与灾备环境页面（如数据泄露、备份故障、云灾备部署、AI 异常检测等），以动态可视化形式呈现技术原理（如存储架构、灾备流程等）。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微量级交互资源嵌入：交互模块以微量级文件形式直接嵌入数字教材，无需额外下载安装，资源体积控制在低占用范围（不影响教材阅读流畅度），支持用户随时随地利用碎片化时间，边阅读边完成“微交互操作”（微仿真单次交互时长≤5 分钟）与练习。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微操作化友好交互设计：采用“微步骤操作逻辑”，仅通过点击、拖拽、放大缩小等类型的10步以内的简单操作即可完成微仿真交互学习，无需复杂流程或操作方法，操作反馈即时呈现，降低学习门槛，实现“微操作即见效果”。模拟二维平面操作环境页面（如模拟存储设备、灾备软件、云平台等），让学习者手动完成关键操作（如数据备份配置、灾备恢复演练、异常攻击拦截等），实现交互设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微单元化原理可视化呈现：将抽象复杂的知识原理拆解为“微单元化步骤”，逐步演示，通过动态演示逐个呈现微单元逻辑，把宏观原理转化为可视化的“微过程”，帮助学习者聚焦每个知识点细节，理解本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（5）微尺度化结构观察功能：可实现放大缩小、360 度角度旋转、微组件爆炸图、高亮透明聚焦等功能，可根据知识点精准匹配对应功能，让学习者清晰观察设备微观结构细节。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（6）跨终端轻量化兼容适配：支持电脑、手机等多终端 “轻量化运行”，保障仿真交互流畅度与画面清晰度，适配“碎片化学习、移动学习”等小微场景。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（1）网页在线开发。需是通过浏览器运行的虚拟仿真软件开发工具，无需安装任何软件或插件，直接使用浏览器打开网页即可打开虚拟仿真软件，进行虚拟资源的编辑开发工作。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（2）跨平台运行。无论是苹果MacOS系统，微软Windows系统，还是iOS和Android等手机系统，只要浏览器支持WebGL，即可直接运行虚拟仿真开发平台。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（3）支持在线发布。需支持在线一键发布产品，发布后即可通过网页使用。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（4）支持离线发布。需支持发布为离线资源，可部署到用户自己的服务器进行使用。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（5）在线表格编辑器。需支持表格数据在线编辑，支持撤销和重做、格式刷、字体、字号、加粗、斜体、字体颜色、背景色、对齐、搜索和替换等编辑功能。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在线资源库，与编辑工具双向对接。提供在线资源库，可共享模型、UI、图片、材质、全息模型等资源，支持一键导入到虚拟仿真编辑工具中编辑和使用。同时，在虚拟仿真编辑工具中编辑的场景资源也可以一键导入到资源库中进行分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7）协同交替开发：需支持异地用户无需拷贝数据即可方便实现多人多角色的协同开发。同一个项目中，用户A开发完相关功能后，无需拷贝数据即可将项目工程传递至用户B处，进行其他功能的开发处理。同理，可继续传递至其他用户处，进行项目的交替开发。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（8）引擎中英文切换：用户可点击引擎项目工程中中英文切换按钮，可一键将工具界面相关文字内容切换为英文显示，再次点击，切换为中文。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（二）微动画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微动画主要解决传统教学中“抽象难理解、静态难感知、复杂难拆解”等知识学习痛点，针对一些无法观察、缺乏感知的知识难点进行补充讲解。</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1.微动画资源总数不少10个，时长为10-15秒。</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2.动画的技术要求：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（1）格式：MP4格式</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（2）分辨率：不低于640*480</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（3）内容要求：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①知识点内容正确，无科学性和知识性错误，动画中文字、符号、单位和公式符号符合国家标准，文字符号等信息具有良好识读性。</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②内容符合我国法律法规，尊重民族风俗习惯，不存在版权争议，一个动画完成一个独立设备（装置）的展示，或一个知识点原理、流程的剖析，以动画方式展示工作原理和流程。</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③动画根据给定材料或教学大纲设计，符合教学内容表现需求。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④动画开始有醒目标题，能够快速体现动画内容</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（4）画面要求：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①画面清晰简洁美观，画面要素构图合理，色彩运用合理统一。</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②所有文字符号图表等关键信息使用准确规范，且与整体画面协调。</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③动画演播过程流畅自然，节奏恰当，除特殊情况外，静止画面时间不超过5秒钟，帧和帧之间有较强的关联性。</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④画面特效设计突出教学性，不会喧宾夺主或造成负面干扰。</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⑤动画表现形式丰富，避免出现无表现力的片段。</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（5）音频要求：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①动画配音应清晰、无噪音，声音悦耳，音量适中，动画无声音缺陷（噪声、失真、杂音、音量忽大忽小等），应根据动画案例中的实际情况挑选合适的配音。</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②配音与画面同步，无提前出现或延迟，动画背景音乐与课程内容相吻合，音量大小适中。</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（6）字幕要求：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①字幕不出现繁体字、异体字(国家规定的除外）、错别字，清晰美观，能正确有效地传达信息。</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②字幕字体清晰，大小合适，识读性良好，不使用异型字体。</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③每屏只有一行字幕且保持每屏字幕出现位置一致。</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④字幕与画面及音频同步，无提前出现或延迟。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（三）微视频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微视频主要应用于重难点知识讲解，为再次明晰教材关键知识点提供拓展讲解，微视频聚焦单个颗粒化的知识节点，对教材内容进行深度剖析。</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 微视频资源总量不少于15个，单条时长控制在 30-90 秒，以视频化形式精准呈现核心知识点，可与题库、微仿真资源联动融合，有效提升学习的趣味性与实效性。</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2.视频资源技术要求：</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（1）格式：MP4格式</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（2）分辨率：不低于640*480 </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（3）码率：不低于1024Kbps</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（4）视频帧率：不低于15帧/秒</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（5）声音：如有声音，音频比特率为44kbps以上，采样率为44～128KHz，双声道</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（6）选题设计：依合同附件知识点清单或双方协商的知识点清单进行开发</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（7）内容设计：教学内容逻辑清晰，无冗余；教学内容讲解清楚、透彻，前后衔接顺畅，无跳跃感</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（8）画面：视频图像清晰，转场过渡顺畅自然；画面协调，色彩搭配合理，转场过渡顺畅自然，无明显抖动，风格、基调与脚本要求一致</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（9）解说：为标准普通话（语言类教学除外），吐字清晰</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（10）文本错误率：错字率在1‰以下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（四）嵌入式作业</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嵌入式作业类型丰富，包含单选、多选、判断、填空等多样题目类型，总数根据教材情况设置</w:t>
            </w:r>
            <w:r>
              <w:rPr>
                <w:rFonts w:hint="eastAsia" w:ascii="宋体" w:hAnsi="宋体" w:eastAsia="宋体" w:cs="宋体"/>
                <w:b/>
                <w:bCs/>
                <w:color w:val="auto"/>
                <w:kern w:val="0"/>
                <w:sz w:val="21"/>
                <w:szCs w:val="21"/>
                <w:highlight w:val="none"/>
                <w:lang w:val="en-US" w:eastAsia="zh-CN" w:bidi="ar"/>
              </w:rPr>
              <w:t>不少于</w:t>
            </w:r>
            <w:r>
              <w:rPr>
                <w:rFonts w:hint="eastAsia" w:ascii="宋体" w:hAnsi="宋体" w:eastAsia="宋体" w:cs="宋体"/>
                <w:b/>
                <w:bCs/>
                <w:color w:val="auto"/>
                <w:kern w:val="0"/>
                <w:sz w:val="21"/>
                <w:szCs w:val="21"/>
                <w:highlight w:val="none"/>
                <w:lang w:bidi="ar"/>
              </w:rPr>
              <w:t>300道</w:t>
            </w:r>
            <w:r>
              <w:rPr>
                <w:rFonts w:hint="eastAsia" w:ascii="宋体" w:hAnsi="宋体" w:eastAsia="宋体" w:cs="宋体"/>
                <w:color w:val="auto"/>
                <w:kern w:val="0"/>
                <w:sz w:val="21"/>
                <w:szCs w:val="21"/>
                <w:highlight w:val="none"/>
                <w:lang w:bidi="ar"/>
              </w:rPr>
              <w:t>。题目直接嵌入在数字教材章节中，学生可随学随考，答题后，即刻弹出对本题的评判及分析，进一步帮助学生巩固知识学习内容和效果。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（五）岗位作业交互式视频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1.系统架构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用B/S浏览器服务器架构，使用时下主流的Vue.js框架和ElementUI组件库进行开发，在无需专用客户端支持的情况下，仅使用浏览器即可完成内容的浏览，阿里OSS提供存储支持。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2.内容与数量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制作课程相关的岗位作业</w:t>
            </w:r>
            <w:r>
              <w:rPr>
                <w:rFonts w:hint="eastAsia" w:ascii="宋体" w:hAnsi="宋体" w:eastAsia="宋体" w:cs="宋体"/>
                <w:b/>
                <w:bCs/>
                <w:color w:val="auto"/>
                <w:kern w:val="0"/>
                <w:sz w:val="21"/>
                <w:szCs w:val="21"/>
                <w:highlight w:val="none"/>
                <w:lang w:bidi="ar"/>
              </w:rPr>
              <w:t>指导交互式资源，课程时长不少于30分钟。</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3.功能参数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（1）资源特色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以企业实际岗位需求为核心导向，融合现场实拍与交互设计两大核心优势，侧重作业内容的准确性与学习过程的互动性，适配企业岗位技能培训的场景需求。（注：涉及拍摄的内容，供应商需按照采购人提供的拍摄场地与拍摄环境进行拍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（2）资源播放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资源为浏览器网页播放的交互式视频，联网打开后可进行视频观看以及交互答题等课程互动。</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（3）制作流程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1）与企业负责人对接：主动与企业相关负责人建立沟通对接机制，明确岗位作业指导书的制作目标、核心需求与应用场景；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2）沟通确认岗位作业内容：深入沟通企业具体岗位的作业流程、操作规范、关键要点等核心内容，确保对作业内容的理解准确无误；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3）按照企业标准化作业内容撰写脚本：依据确认后的岗位作业内容，结合标准化制作规范，撰写详细的视频脚本，明确画面呈现、解说内容等；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4）双方沟通确认脚本内容：将撰写完成的脚本提交给企业负责人，进行双向沟通确认，根据反馈意见进行修改完善，达成共识；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5）根据脚本内容现场拍摄：按照最终确认的脚本，前往企业现场进行实景拍摄，确保拍摄画面清晰、内容真实还原岗位作业场景；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6）视频剪辑：对现场拍摄的素材进行后期剪辑处理，去除冗余内容，调整画面节奏，保证视频内容紧凑、流畅；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7）视频包装：对剪辑后的视频进行包装处理，包括添加必要的标识、字幕、背景音乐等，提升视频的专业性与可读性；</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8）设计交互内容及形式：基于视频核心内容，设计适配岗位培训需求的交互内容与形式，确保交互设计贴合学习目标；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9）制作交互点：根据设计方案，在视频中精准设置交互点，确保交互功能正常实现，且不影响视频的正常播放流程。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可选用的交互形式有：文字答题、图片答题、图中寻宝、热点拓展、拖拽拼图等。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1）采用通用MP4格式，确保跨平台兼容性；采用H.264编码标准，保证视频压缩效率与画质平衡，避免因编码级别过低导致播放设备兼容性问题。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2）严格遵循16:9宽屏比例制作，符合主流显示设备标准；基础分辨率不低于 1280×720（720P）</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3）最低码率不低于1024Kbps，720P 分辨率建议码率控制在2000-4000Kbps，保证画面细节清晰且文件体积适中，便于存储与传输，帧率不低于25帧/秒，符合国内视频播放标准，画面流畅自然，无卡顿、拖影现象。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4）音频编码采用 AAC 编码格式，确保音频音质清晰，兼容性强；音频比特率不低于44Kbps，建议控制在128-320Kbps，保证解说、背景音乐、音效层次分明，无杂音、失真现象。采用双声道，左声道与右声道音量平衡，确保不同位置播放时听觉体验一致，声音与画面严格同步，同步误差不超过±100ms，避免出现“口型对不上”“音效延迟”等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5）视频播放过程中无明显抖动、跳跃、卡顿现象，画面色彩无突变，无明显噪点。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6）解说采用标准普通话解说，发音准确（无方言、口音），吐字清晰，语速适中，避免过快或过慢影响理解，解说音频无杂音、底噪、爆音，音量稳定，与背景音乐、音效的音量比例协调。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7）字幕采用易读性强的字体，如 “微软雅黑”“思源黑体”，避免使用艺术字、草书等难以识别的字体；字幕停留时间需与解说同步，避免快速闪现、跳跃等突兀效果，与画面节奏保持一致；字幕内容需与解说完全一致，无错别字、漏字、多字，标点符号使用规范，符合书面语表达习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8）交互页面弹出时间点及交互数量设置合理，交互点不得打断正常学习；交互内容有趣且形式丰富，交互形式不限于文字选择、图片选择、拖拽匹配等；交互内容必须基于视频本身，不得超纲。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9）视频资源中应标有相应版权方的水印标识，水印需贯穿视频全程，无缺失、模糊现象，确保每帧画面均能清晰识别版权信息，防止盗版侵权。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1）项目管理：需支持新建项目、编辑项目、删除项目、更新程序等功能；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新建项目：通过点击新建项目按钮，即可创建一个新项目。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编辑项目：包括项目封面上传，项目名称，项目描述，项目标签，分享到作品指定发布平台、保存项目信息;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删除项目：点击对应项目上的删除按钮，二次确认后即可完全删除对应项目。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更新程序：通过对比项目版本号，如发现程序有更新，则弹窗显示最新版本的更新内容，用户自行选择是否更新；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文件夹管理：交互式媒体引擎支持文件夹创建，项目可移动至指定文件夹，对项目进行分类管理。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分享：①将项目发布为普通产品链接，通过链接进入制作完成的交互式媒体产品；②若产品大数据面板功能开启，则可在此处点击大数据面板按钮，查看数据信息。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2）剧情上传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①树状逻辑剧情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可以自由地创建视频播放逻辑，按实际需求生成对应的视频逻辑分支，方便表达主题。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②丰富的多媒体资源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创建逻辑分支时可以自由地选择上传的媒体资源，包括：视频，图片，以及360全景照片，且支持同一个项目上传多种资源，混排上传。通过多元化的媒体形式更好的服务项目教学目标，创建身临其境的教学环境。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③媒体资源删除或替换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上传的媒体资源支持同类型资源快速删除替换，在不影响内部游戏的情况下，更换基底视频，操作灵活。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④剧情分支问题设置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在上传完分支剧情素材后，可以编辑设置分支问题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（六）课程知识图谱</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需根据课程教学内容、教材、学材等，</w:t>
            </w:r>
            <w:r>
              <w:rPr>
                <w:rFonts w:hint="eastAsia" w:ascii="宋体" w:hAnsi="宋体" w:eastAsia="宋体" w:cs="宋体"/>
                <w:b/>
                <w:bCs/>
                <w:color w:val="auto"/>
                <w:kern w:val="0"/>
                <w:sz w:val="21"/>
                <w:szCs w:val="21"/>
                <w:highlight w:val="none"/>
                <w:lang w:bidi="ar"/>
              </w:rPr>
              <w:t>使用AI智能体自动生成课程知识图谱，不少于60个知识点。</w:t>
            </w:r>
            <w:r>
              <w:rPr>
                <w:rFonts w:hint="eastAsia" w:ascii="宋体" w:hAnsi="宋体" w:eastAsia="宋体" w:cs="宋体"/>
                <w:b/>
                <w:bCs/>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（七）课程思政案例集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课程思政案例集需是以数字化技术为载体，融合图片、视频等多媒体资源，以H5页面形式展示和应用，是融合专业教学与思政教育，系统化整合各类思政教学案例的专业教学资源集，仅供老师用于课程教学辅助使用，不用于出版。其内容需立足职业院校专业教学需求，以专业技术技能实践为核心载体，将思政教育与专业课程深度融合，挖掘专业领域内的思政元素，通过典型、真实的行业案例，助力学生在掌握专业本领的同时，树立正确的职业观、价值观，养成契合行业要求的职业素养与家国担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课程思政案例集的整体架构需包含课程思政总目标、课程思政映射表、核心教学案例等3大模块；其中核心教学案例不少于20个，案例配套图片不少于10张，视频不少于20分钟；案例内容围绕行业实际痛点、真实项目/人物实践展开，明确思政认知、情感、行为目标，同时精准对接专业教材知识点，既为教师提供现成的课程思政教学设计、课堂教学实施参考，降低思政融入专业教学的难度，也能让学生在专业学习中直观感受思政内涵，实现思政教育与专业教学的有机融合、同向同行。</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1.图片</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课程思政案例集配套图片不少于10张（图片可来源于网络）</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图片资源技术要求：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（1）文件格式：为PNG、JPG，透明素材统一为 PNG；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（2）分辨率：不低于640*480</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（3）大小限制：单张≤2MB，大幅场景图≤5MB</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（4）色彩模式：RGB，画面清晰无偏色、噪点，文字类配图可清晰识别</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2.视频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b/>
                <w:bCs/>
                <w:color w:val="auto"/>
                <w:kern w:val="0"/>
                <w:sz w:val="21"/>
                <w:szCs w:val="21"/>
                <w:highlight w:val="none"/>
                <w:lang w:bidi="ar"/>
              </w:rPr>
              <w:t>课程思政案例集配套视频不少于20分钟（视频可来源于网络）</w:t>
            </w:r>
            <w:r>
              <w:rPr>
                <w:rFonts w:hint="eastAsia" w:ascii="宋体" w:hAnsi="宋体" w:eastAsia="宋体" w:cs="宋体"/>
                <w:color w:val="auto"/>
                <w:kern w:val="0"/>
                <w:sz w:val="21"/>
                <w:szCs w:val="21"/>
                <w:highlight w:val="none"/>
                <w:lang w:bidi="ar"/>
              </w:rPr>
              <w:t xml:space="preserve">：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视频资源技术要求：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（1）格式：MP4格式（AVC或H.264编码）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 xml:space="preserve">（2）分辨率：不低于640*480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（3）码率：不低于1024Kbps</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（4）视频帧率：不低于15帧/秒</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（5）声音：如有声音，音频比特率为44kbps以上，采样率为44～128KHz，双声道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（6）时长：平均时长不少于1分钟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（7）画面：视频图像清晰，转场过渡顺畅自然；画面协调，色彩搭配合理，转场过渡顺畅自然，无明显抖动，风格、基调与脚本要求一致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（8）文本错误率：错字率在1‰以下</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八</w:t>
            </w: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智能体模块</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 伴学智能体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（1）核心功能</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基于教材内容构建课程专属语义向量库，支持上下文相关的精准问答；</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在练习或输入过程中实时识别概念混淆、公式误用等错误，并给出情境化纠错提示。</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（2）典型应用场景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学生可随时就当前学习内容提问，获得简明、准确的解释；</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解题时若步骤出错，系统即时指出错误原因，而非仅判对错；</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评价智能体</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（1）核心功能</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持续采集学生在教材中的学习行为（如阅读、问答、练习、修正等）；</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基于行为数据生成个体知识掌握画像。</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（2）典型应用场景</w:t>
            </w:r>
          </w:p>
          <w:p>
            <w:pPr>
              <w:keepNext w:val="0"/>
              <w:keepLines w:val="0"/>
              <w:pageBreakBefore w:val="0"/>
              <w:widowControl/>
              <w:kinsoku/>
              <w:wordWrap/>
              <w:overflowPunct/>
              <w:topLinePunct w:val="0"/>
              <w:autoSpaceDE/>
              <w:autoSpaceDN/>
              <w:bidi w:val="0"/>
              <w:spacing w:line="360" w:lineRule="auto"/>
              <w:jc w:val="left"/>
              <w:textAlignment w:val="center"/>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为学生生成短板预警，并推荐下一步学习内容；</w:t>
            </w:r>
          </w:p>
          <w:p>
            <w:pPr>
              <w:keepNext w:val="0"/>
              <w:keepLines w:val="0"/>
              <w:pageBreakBefore w:val="0"/>
              <w:widowControl/>
              <w:kinsoku/>
              <w:wordWrap/>
              <w:overflowPunct/>
              <w:topLinePunct w:val="0"/>
              <w:autoSpaceDE/>
              <w:autoSpaceDN/>
              <w:bidi w:val="0"/>
              <w:spacing w:line="360" w:lineRule="auto"/>
              <w:jc w:val="left"/>
              <w:outlineLvl w:val="9"/>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将评估从“结果打分”转变为“过程导航”，驱动教学持续优化。</w:t>
            </w:r>
          </w:p>
          <w:p>
            <w:pPr>
              <w:keepNext w:val="0"/>
              <w:keepLines w:val="0"/>
              <w:pageBreakBefore w:val="0"/>
              <w:widowControl/>
              <w:kinsoku/>
              <w:wordWrap/>
              <w:overflowPunct/>
              <w:topLinePunct w:val="0"/>
              <w:autoSpaceDE/>
              <w:autoSpaceDN/>
              <w:bidi w:val="0"/>
              <w:adjustRightInd w:val="0"/>
              <w:snapToGrid w:val="0"/>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0"/>
                <w:sz w:val="21"/>
                <w:szCs w:val="21"/>
                <w:highlight w:val="none"/>
                <w:lang w:bidi="ar"/>
              </w:rPr>
              <w:t>二、数字教材出版</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供应商负责联系出版社（需为“百强”出版社），由出版社负责整合《数据安全与灾备管理》课程的数字资源，确保数字资源的版权清晰、内容优质；供应商负责教材的选题申报、审校、编辑加工、版式设计及最终出版发布，确保出版物符合国家相关法律法规及出版质量标准。</w:t>
            </w:r>
          </w:p>
        </w:tc>
        <w:tc>
          <w:tcPr>
            <w:tcW w:w="972" w:type="dxa"/>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200000</w:t>
            </w:r>
          </w:p>
        </w:tc>
        <w:tc>
          <w:tcPr>
            <w:tcW w:w="973" w:type="dxa"/>
            <w:vAlign w:val="center"/>
          </w:tcPr>
          <w:p>
            <w:pPr>
              <w:keepNext w:val="0"/>
              <w:keepLines w:val="0"/>
              <w:widowControl/>
              <w:suppressLineNumbers w:val="0"/>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200000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4</w:t>
            </w:r>
          </w:p>
        </w:tc>
        <w:tc>
          <w:tcPr>
            <w:tcW w:w="758" w:type="dxa"/>
            <w:tcBorders>
              <w:left w:val="single" w:color="auto" w:sz="4" w:space="0"/>
            </w:tcBorders>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《C语言程序设计》课程资源开发</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5580" w:type="dxa"/>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bidi="ar"/>
              </w:rPr>
              <w:t>系统架构</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用B/S浏览器服务器架构，使用时下主流的Vue.js框架和ElementUI组件库进行开发，在无需专用客户端支持的情况下，仅使用浏览器即可完成内容的浏览，阿里OSS提供存储支持。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2.功能参数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（1）资源特色</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以数字人技术为核心支撑，聚焦标准化、高效化内容产出，支持真人克隆音色解说与精准口型同步效果，适配快速批量制作的应用场景。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（2）交互式AI拍课播放</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资源为</w:t>
            </w:r>
            <w:r>
              <w:rPr>
                <w:rFonts w:hint="eastAsia" w:ascii="宋体" w:hAnsi="宋体" w:eastAsia="宋体" w:cs="宋体"/>
                <w:b/>
                <w:bCs/>
                <w:color w:val="auto"/>
                <w:kern w:val="0"/>
                <w:sz w:val="21"/>
                <w:szCs w:val="21"/>
                <w:highlight w:val="none"/>
                <w:lang w:bidi="ar"/>
              </w:rPr>
              <w:t>浏览器网页播放的交互式视频</w:t>
            </w:r>
            <w:r>
              <w:rPr>
                <w:rFonts w:hint="eastAsia" w:ascii="宋体" w:hAnsi="宋体" w:eastAsia="宋体" w:cs="宋体"/>
                <w:color w:val="auto"/>
                <w:kern w:val="0"/>
                <w:sz w:val="21"/>
                <w:szCs w:val="21"/>
                <w:highlight w:val="none"/>
                <w:lang w:bidi="ar"/>
              </w:rPr>
              <w:t>，联网打开后可进行</w:t>
            </w:r>
            <w:r>
              <w:rPr>
                <w:rFonts w:hint="eastAsia" w:ascii="宋体" w:hAnsi="宋体" w:eastAsia="宋体" w:cs="宋体"/>
                <w:b/>
                <w:bCs/>
                <w:color w:val="auto"/>
                <w:kern w:val="0"/>
                <w:sz w:val="21"/>
                <w:szCs w:val="21"/>
                <w:highlight w:val="none"/>
                <w:lang w:bidi="ar"/>
              </w:rPr>
              <w:t>视频观看以及交互答题等课程互动</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（3）内容与数量</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val="en-US" w:eastAsia="zh-CN" w:bidi="ar"/>
              </w:rPr>
              <w:t xml:space="preserve">  </w:t>
            </w:r>
            <w:r>
              <w:rPr>
                <w:rFonts w:hint="eastAsia" w:ascii="宋体" w:hAnsi="宋体" w:eastAsia="宋体" w:cs="宋体"/>
                <w:color w:val="auto"/>
                <w:kern w:val="0"/>
                <w:sz w:val="21"/>
                <w:szCs w:val="21"/>
                <w:highlight w:val="none"/>
                <w:lang w:bidi="ar"/>
              </w:rPr>
              <w:t>选取合适的知识点，制作《C语言程序设计》课程的交互式</w:t>
            </w:r>
            <w:r>
              <w:rPr>
                <w:rFonts w:hint="eastAsia" w:ascii="宋体" w:hAnsi="宋体" w:eastAsia="宋体" w:cs="宋体"/>
                <w:color w:val="auto"/>
                <w:kern w:val="0"/>
                <w:sz w:val="21"/>
                <w:szCs w:val="21"/>
                <w:highlight w:val="none"/>
                <w:lang w:val="en-US" w:eastAsia="zh-CN" w:bidi="ar"/>
              </w:rPr>
              <w:t>视频</w:t>
            </w:r>
            <w:r>
              <w:rPr>
                <w:rFonts w:hint="eastAsia" w:ascii="宋体" w:hAnsi="宋体" w:eastAsia="宋体" w:cs="宋体"/>
                <w:b/>
                <w:bCs/>
                <w:color w:val="auto"/>
                <w:kern w:val="0"/>
                <w:sz w:val="21"/>
                <w:szCs w:val="21"/>
                <w:highlight w:val="none"/>
                <w:lang w:bidi="ar"/>
              </w:rPr>
              <w:t>，课程交互式</w:t>
            </w:r>
            <w:r>
              <w:rPr>
                <w:rFonts w:hint="eastAsia" w:ascii="宋体" w:hAnsi="宋体" w:eastAsia="宋体" w:cs="宋体"/>
                <w:b/>
                <w:bCs/>
                <w:color w:val="auto"/>
                <w:kern w:val="0"/>
                <w:sz w:val="21"/>
                <w:szCs w:val="21"/>
                <w:highlight w:val="none"/>
                <w:lang w:val="en-US" w:eastAsia="zh-CN" w:bidi="ar"/>
              </w:rPr>
              <w:t>视频</w:t>
            </w:r>
            <w:r>
              <w:rPr>
                <w:rFonts w:hint="eastAsia" w:ascii="宋体" w:hAnsi="宋体" w:eastAsia="宋体" w:cs="宋体"/>
                <w:b/>
                <w:bCs/>
                <w:color w:val="auto"/>
                <w:kern w:val="0"/>
                <w:sz w:val="21"/>
                <w:szCs w:val="21"/>
                <w:highlight w:val="none"/>
                <w:lang w:bidi="ar"/>
              </w:rPr>
              <w:t>数量不少于35</w:t>
            </w:r>
            <w:r>
              <w:rPr>
                <w:rFonts w:hint="eastAsia" w:ascii="宋体" w:hAnsi="宋体" w:eastAsia="宋体" w:cs="宋体"/>
                <w:b/>
                <w:bCs/>
                <w:color w:val="auto"/>
                <w:kern w:val="0"/>
                <w:sz w:val="21"/>
                <w:szCs w:val="21"/>
                <w:highlight w:val="none"/>
                <w:lang w:val="en-US" w:eastAsia="zh-CN" w:bidi="ar"/>
              </w:rPr>
              <w:t>个</w:t>
            </w:r>
            <w:r>
              <w:rPr>
                <w:rFonts w:hint="eastAsia" w:ascii="宋体" w:hAnsi="宋体" w:eastAsia="宋体" w:cs="宋体"/>
                <w:b/>
                <w:bCs/>
                <w:color w:val="auto"/>
                <w:kern w:val="0"/>
                <w:sz w:val="21"/>
                <w:szCs w:val="21"/>
                <w:highlight w:val="none"/>
                <w:lang w:bidi="ar"/>
              </w:rPr>
              <w:t>，每</w:t>
            </w:r>
            <w:r>
              <w:rPr>
                <w:rFonts w:hint="eastAsia" w:ascii="宋体" w:hAnsi="宋体" w:eastAsia="宋体" w:cs="宋体"/>
                <w:b/>
                <w:bCs/>
                <w:color w:val="auto"/>
                <w:kern w:val="0"/>
                <w:sz w:val="21"/>
                <w:szCs w:val="21"/>
                <w:highlight w:val="none"/>
                <w:lang w:val="en-US" w:eastAsia="zh-CN" w:bidi="ar"/>
              </w:rPr>
              <w:t>个</w:t>
            </w:r>
            <w:r>
              <w:rPr>
                <w:rFonts w:hint="eastAsia" w:ascii="宋体" w:hAnsi="宋体" w:eastAsia="宋体" w:cs="宋体"/>
                <w:b/>
                <w:bCs/>
                <w:color w:val="auto"/>
                <w:kern w:val="0"/>
                <w:sz w:val="21"/>
                <w:szCs w:val="21"/>
                <w:highlight w:val="none"/>
                <w:lang w:bidi="ar"/>
              </w:rPr>
              <w:t>时长在5－10分钟</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（4）制作流程</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1）标准化脚本撰写：依据既定规范与需求，完成内容脚本的撰写工作，确保脚本逻辑清晰、内容完整；</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2）数字人训练：针对数字人进行专项训练，使其具备符合要求的形象呈现与语言表达基础能力；</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3）数字人对口型：基于已完成的脚本与训练后的数字人，进行口型匹配调试，确保数字人口型与解说内容精准对应；</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4）PPT 制作：根据脚本内容设计制作配套 PPT，保证 PPT 内容与视频主题高度契合，视觉呈现简洁明了；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5）视频合成：将数字人画面、PPT 内容等相关素材进行整合合成，形成初步视频成品；</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6）视频包装：对合成后的视频进行后期包装处理，包括片头片尾设计、LOGO 添加等，提升视频整体质感。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7）交互式课程：将视频上传至专用编辑器，添加热点、游戏及问答等交互功能。具体交互形式根据课程内容选取适当的形式进行添加，以完成知识表达为核心。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可选用的交互形式有：文字答题、图片答题、图中寻宝、热点拓展、拖拽拼图等。</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（5）技术要求</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1）采用通用MP4格式，确保跨平台兼容性；采用H.264编码标准，保证视频压缩效率与画质平衡，避免因编码级别过低导致播放设备兼容性问题。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2）严格遵循16:9宽屏比例制作，符合主流显示设备标准；基础分辨率不低于 1280×720（720P）</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3）最低码率不低于1024Kbps，720P 分辨率建议码率控制在2000-4000Kbps，保证画面细节清晰且文件体积适中，便于存储与传输，帧率不低于25帧/秒，符合国内视频播放标准，画面流畅自然，无卡顿、拖影现象。</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4）音频编码采用 AAC 编码格式，确保音频音质清晰，兼容性强；音频比特率不低于44Kbps，建议控制在128-320Kbps，保证解说、背景音乐、音效层次分明，无杂音、失真现象。采用双声道，左声道与右声道音量平衡，确保不同位置播放时听觉体验一致，声音与画面严格同步，同步误差不超过±100ms，避免出现“口型对不上”“音效延迟”等问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5）视频播放过程中无明显抖动、跳跃、卡顿现象，画面色彩无突变，无明显噪点。</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6）数字人采用真人克隆音色的标准普通话解说，发音清晰准确，吐字清晰，语速适中，避免过快或过慢影响理解，解说音频无杂音、底噪、爆音，音量稳定，与背景音乐、音效的音量比例协调。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字幕采用易读性强的字体，如“微软雅黑”“思源黑体”，避免使用艺术字、草书等难以识别的字体；字幕停留时间需与解说同步，避免快速闪现、跳跃等突兀效果，与画面节奏保持一致；字幕内容需与解说完全一致，无错别字、漏字、多字，标点符号使用规范，符合书面语表达习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8）视频资源中应标有相应版权方的水印标识，水印需贯穿视频全程，无缺失、模糊现象，确保每帧画面均能清晰识别版权信息，防止盗版侵权。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9）选题设计：依合同附件知识点清单或双方协商的知识点清单进行开发</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10）内容设计：教学内容逻辑清晰，无冗余；教学内容讲解清楚、透彻，前后衔接顺畅，无跳跃感。</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（6）编辑模块</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1）项目管理：支持新建项目、编辑项目、删除项目、更新程序等功能；</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新建项目：通过点击新建项目按钮，即可创建一个新项目。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编辑项目：包括项目封面上传，项目名称，项目描述，项目标签，分享到作品指定发布平台、保存项目信息;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删除项目：点击对应项目上的删除按钮，二次确认后即可完全删除对应项目。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更新程序：通过对比项目版本号，如发现程序有更新，则弹窗显示最新版本的更新内容，用户自行选择是否更新；</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文件夹管理：交互式媒体引擎支持文件夹创建，项目可移动至指定文件夹，对项目进行分类管理。</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分享：①将项目发布为普通产品链接，通过链接进入制作完成的交互式媒体产品；②若产品大数据面板功能开启，则可在此处点击大数据面板按钮，查看数据信息。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2）剧情上传</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①树状逻辑剧情</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可以自由地创建视频播放逻辑，按实际需求生成对应的视频逻辑分支，方便表达主题。</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②丰富的多媒体资源</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创建逻辑分支时可以自由地选择上传的媒体资源，包括：视频，图片，以及360全景照片，且支持同一个项目上传多种资源，混排上传。通过多元化的媒体形式更好的服务项目教学目标，创建身临其境的教学环境。</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③媒体资源删除或替换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上传的媒体资源支持同类型资源快速删除替换，在不影响内部游戏的情况下，更换基底视频，操作灵活。</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④剧情分支问题设置</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在上传完分支剧情素材后，可以编辑设置分支问题。</w:t>
            </w:r>
          </w:p>
        </w:tc>
        <w:tc>
          <w:tcPr>
            <w:tcW w:w="972"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108000</w:t>
            </w:r>
          </w:p>
        </w:tc>
        <w:tc>
          <w:tcPr>
            <w:tcW w:w="973" w:type="dxa"/>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i w:val="0"/>
                <w:iCs w:val="0"/>
                <w:color w:val="000000"/>
                <w:kern w:val="0"/>
                <w:sz w:val="22"/>
                <w:szCs w:val="22"/>
                <w:u w:val="none"/>
                <w:lang w:val="en-US" w:eastAsia="zh-CN" w:bidi="ar"/>
              </w:rPr>
              <w:t>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5</w:t>
            </w:r>
          </w:p>
        </w:tc>
        <w:tc>
          <w:tcPr>
            <w:tcW w:w="758" w:type="dxa"/>
            <w:tcBorders>
              <w:left w:val="single" w:color="auto" w:sz="4" w:space="0"/>
            </w:tcBorders>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《职业形象与礼仪》东盟国际课程开发</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558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一、课程美观化升级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（一）改造方式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对课程PPT实施系统性美观化升级，搭建兼具“国际服务+跨文化交流”核心特征的统一视觉风格体系，优化整体版式结构与信息层级排布，依托图示化表达、主题情境图片、标准化流程图等多元形式，全面提升课堂信息传递效率，实现课程整体呈现专业化、国际化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（二）升级效果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视觉元素统一化：整体视觉体系全程贴合课程主题风格，保障视觉呈现与内容调性高度契合，强化学习代入感；以职业形象与礼仪课程为核心，适配科技感视觉设计，助力学习者快速进入对应学习情境，夯实学习沉浸感。</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版式设计规范化：采用科学配比的图文排版模式，提升课程页面整体美观度，杜绝大段文字堆砌、内容排布杂乱问题，通过图文联动的呈现形式，优化信息传导路径，全面提升知识传达效率。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内容表达可视化：搭建层级清晰、逻辑顺畅的视觉框架，借助标准化标题层级、专属颜色标注突出核心知识点与重点内容，便于受众快速抓取学习重点；合理运用适配图片、专业图表、规范动画等可视化载体，将抽象课程内容具象化，降低知识理解难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二、资源交互化改造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（一）交互式微课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遵循“交互式+双语化”双轨并行升级路径，对课程核心知识点开展碎片化重构，打造单课时3-5分钟标准化交互式微课，全系列微课嵌入交互点总量不低于150个。在视频核心教学节点，精准嵌入选择题、情境判断题、礼仪规范匹配题等交互模块，搭建即时反馈、强化巩固的学习机制，夯实学习效果。同步完成微课中英双语字幕、专业配音升级，结合东盟区域教学与培训需求，重点补充英语及基础东南亚商务用语表达，全面提升课程国际传播能力与跨区域使用适配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（二）H5交互式微动画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针对礼仪规范、仪态动作、服务流程等抽象性强、难以标准化落地的课程内容，专项开发H5交互式微动画，整体资源有效时长不低于100分钟。涵盖标准站姿与行姿分解演示、餐饮全流程服务、国际商务名片交换礼仪等典型教学场景，通过分步骤拆解演示、自主交互控制的呈现形式，方便学习者反复观看、模仿练习，精准掌握各类动作、流程规范，强化标准化礼仪素养。</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三、国际化（双语翻译）升级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贴合职业教育国际化人才培养核心目标，依托课程现有核心教学内容，紧扣东盟区域服务业发展特性，开展课程轻量化国际化升级改造。全程保留原有课程教学体系、考核结构不变，聚焦强化学习者跨文化职业素养与国际服务能力，实现课程教学维度与适配范围双重升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（一）对接国际服务规范与跨文化礼仪标准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系统梳理国际通用职业礼仪规范，精准提炼东盟国家商务交往、旅游接待、餐饮服务等高频场景的行为准则，将各类礼仪规范的文化共性、场景差异要点，全面融入课程内容、教学情境、学习任务及典型案例提示中。助力学生在原有礼仪知识体系基础上，深度理解不同文化背景下的行为规范差异，全面提升跨文化服务适应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（二）推进双语轻量化适配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围绕课程核心专业术语、礼仪表达、服务用语、典型沟通场景，完成中英双语标准化标注，搭建规范统一的课程双语表达体系；依托AI智能技术，对现有微课资源开展双语升级改造，实现中文教学视频英文版本全自动转化，同步完成英文配音、双语字幕生成、配音口型精准同步处理，无需教师重新录制课程资源。在保障教学连续性的前提下，全面满足国际化教学、跨区域培训需求，提升课程资源对外推广与适用价值。</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afterAutospacing="0" w:line="360" w:lineRule="auto"/>
              <w:ind w:leftChars="0" w:firstLine="420" w:firstLineChars="200"/>
              <w:jc w:val="left"/>
              <w:textAlignment w:val="auto"/>
              <w:outlineLvl w:val="9"/>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通过上述全方位改造，课程可在原有教学结构稳定的基础上，完成从“国内通用礼仪教学”到“面向东盟的跨文化职业礼仪课程”的转型，全面提升课程国际适配能力与行业推广价值。</w:t>
            </w:r>
          </w:p>
        </w:tc>
        <w:tc>
          <w:tcPr>
            <w:tcW w:w="97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c>
          <w:tcPr>
            <w:tcW w:w="97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342" w:type="dxa"/>
            <w:tcBorders>
              <w:right w:val="single" w:color="auto" w:sz="4" w:space="0"/>
            </w:tcBorders>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6</w:t>
            </w:r>
          </w:p>
        </w:tc>
        <w:tc>
          <w:tcPr>
            <w:tcW w:w="758" w:type="dxa"/>
            <w:tcBorders>
              <w:left w:val="single" w:color="auto" w:sz="4" w:space="0"/>
            </w:tcBorders>
            <w:vAlign w:val="center"/>
          </w:tcPr>
          <w:p>
            <w:pPr>
              <w:widowControl/>
              <w:adjustRightInd w:val="0"/>
              <w:snapToGrid w:val="0"/>
              <w:jc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《桂菜滨海菜制作》东盟国际课程开发</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门</w:t>
            </w:r>
          </w:p>
        </w:tc>
        <w:tc>
          <w:tcPr>
            <w:tcW w:w="476" w:type="dxa"/>
            <w:vAlign w:val="center"/>
          </w:tcPr>
          <w:p>
            <w:pPr>
              <w:widowControl/>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1</w:t>
            </w:r>
          </w:p>
        </w:tc>
        <w:tc>
          <w:tcPr>
            <w:tcW w:w="5580" w:type="dxa"/>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pacing w:afterAutospacing="0" w:line="360" w:lineRule="auto"/>
              <w:ind w:leftChars="0"/>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sz w:val="21"/>
                <w:szCs w:val="21"/>
                <w:highlight w:val="none"/>
              </w:rPr>
              <w:t>一</w:t>
            </w:r>
            <w:r>
              <w:rPr>
                <w:rFonts w:hint="eastAsia" w:ascii="宋体" w:hAnsi="宋体" w:eastAsia="宋体" w:cs="宋体"/>
                <w:b w:val="0"/>
                <w:bCs w:val="0"/>
                <w:color w:val="auto"/>
                <w:kern w:val="0"/>
                <w:sz w:val="21"/>
                <w:szCs w:val="21"/>
                <w:highlight w:val="none"/>
                <w:lang w:val="en-US" w:eastAsia="zh-CN" w:bidi="ar"/>
              </w:rPr>
              <w:t>、课程美观化升级</w:t>
            </w:r>
          </w:p>
          <w:p>
            <w:pPr>
              <w:keepNext w:val="0"/>
              <w:keepLines w:val="0"/>
              <w:pageBreakBefore w:val="0"/>
              <w:widowControl/>
              <w:numPr>
                <w:ilvl w:val="2"/>
                <w:numId w:val="0"/>
              </w:numPr>
              <w:suppressLineNumbers w:val="0"/>
              <w:tabs>
                <w:tab w:val="left" w:pos="900"/>
              </w:tabs>
              <w:kinsoku/>
              <w:wordWrap/>
              <w:overflowPunct/>
              <w:topLinePunct w:val="0"/>
              <w:autoSpaceDE/>
              <w:autoSpaceDN/>
              <w:bidi w:val="0"/>
              <w:adjustRightInd/>
              <w:spacing w:afterAutospacing="0" w:line="360" w:lineRule="auto"/>
              <w:ind w:leftChars="0"/>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（一）改造方式</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实施课程PPT专项美化升级工程，全程贴合职业形象与礼仪课程主题调性，优化整体版式架构，搭建层级清晰的视觉逻辑体系，综合运用适配性图片、可视化图表、规范化动画等多媒体形式，聚焦课程核心内容高效传递，实现视觉呈现与教学内容的深度契合。</w:t>
            </w:r>
          </w:p>
          <w:p>
            <w:pPr>
              <w:keepNext w:val="0"/>
              <w:keepLines w:val="0"/>
              <w:pageBreakBefore w:val="0"/>
              <w:widowControl/>
              <w:numPr>
                <w:ilvl w:val="2"/>
                <w:numId w:val="0"/>
              </w:numPr>
              <w:suppressLineNumbers w:val="0"/>
              <w:tabs>
                <w:tab w:val="left" w:pos="900"/>
              </w:tabs>
              <w:kinsoku/>
              <w:wordWrap/>
              <w:overflowPunct/>
              <w:topLinePunct w:val="0"/>
              <w:autoSpaceDE/>
              <w:autoSpaceDN/>
              <w:bidi w:val="0"/>
              <w:adjustRightInd/>
              <w:spacing w:afterAutospacing="0" w:line="360" w:lineRule="auto"/>
              <w:ind w:leftChars="0"/>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（二）升级效果参数</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视觉元素统一化：整体视觉体系严格匹配课程主题内核，保障视觉风格与内容调性高度统一，强化学习代入感。以主题场景化设计为核心，例如围绕智慧仓配主题，采用标准化科技感视觉风格，助力学习者快速进入对应学习情境，提升学习沉浸度。</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2.版式设计规范化：采用科学合理的图文配比排版模式，全面提升课程页面美观度，杜绝大段文字堆砌、内容杂乱等问题，通过图文联动、疏密有致的版式布局，优化信息传递路径，提升知识接收与传达效率。</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内容表达可视化：搭建层级分明的视觉逻辑框架，通过标准化标题层级、专属颜色标注等形式，突出课程核心知识点与关键内容；合理适配图片、图表、动画等可视化载体，将抽象教学内容具象化，例如依托流程图直观呈现仓配作业全流程、通过动态动画演示设备运行原理，强化知识理解度。</w:t>
            </w:r>
          </w:p>
          <w:p>
            <w:pPr>
              <w:keepNext w:val="0"/>
              <w:keepLines w:val="0"/>
              <w:pageBreakBefore w:val="0"/>
              <w:widowControl/>
              <w:suppressLineNumbers w:val="0"/>
              <w:tabs>
                <w:tab w:val="left" w:pos="432"/>
              </w:tabs>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二、资源交互化改造</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依托课程现有数字化教学资源开展二次开发，无需全新搭建基础素材，以菜肴制作实操核心知识点为核心导向，搭建涵盖微仿真资源、交互式岗位作业指导书、交互式动画等内容的交互式学习矩阵，破解传统教学资源单向输出、学习者被动接收的学习痛点，构建边学边练、即时反馈、闭环管控的新型学习模式，资源规划方案可结合实际教学需求灵活调整优化。</w:t>
            </w:r>
          </w:p>
          <w:p>
            <w:pPr>
              <w:keepNext w:val="0"/>
              <w:keepLines w:val="0"/>
              <w:pageBreakBefore w:val="0"/>
              <w:widowControl/>
              <w:numPr>
                <w:ilvl w:val="2"/>
                <w:numId w:val="0"/>
              </w:numPr>
              <w:suppressLineNumbers w:val="0"/>
              <w:tabs>
                <w:tab w:val="left" w:pos="900"/>
              </w:tabs>
              <w:kinsoku/>
              <w:wordWrap/>
              <w:overflowPunct/>
              <w:topLinePunct w:val="0"/>
              <w:autoSpaceDE/>
              <w:autoSpaceDN/>
              <w:bidi w:val="0"/>
              <w:adjustRightInd/>
              <w:spacing w:afterAutospacing="0" w:line="360" w:lineRule="auto"/>
              <w:ind w:leftChars="0"/>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（一）交互式媒体（动画/视频/微课）</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资源开发基础：以现有教学视频、实操演示视频、职业技能大赛实操片段、教学动画等原生素材为基础，开展精细化剪辑精简、分段拆解打包处理，打造体系化交互式媒体资源，全资源嵌入交互点总量不低于150个。</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交互功能配置：在素材核心教学节点嵌入暂停提问、选项答题、实操判断等标准化交互环节，设置答题校验机制，答对方可推进学习进程；同步配套即时解析、错题自动归集功能，将传统单向视频转化为可互动、可测评、可复盘的多元化学习载体。</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标准化微课建设：针对各类典型菜品，开发专属标准化制作微课视频，全程嵌入步骤排序、关键点判断、操作规范校验等交互式学习模块，全面提升学习者课堂参与度与实操掌握度；所有微课统一配置中英双语字幕，结合东盟市场培训需求，同步补充专业英文烹饪术语及行业表达，适配国际化培训教学场景。</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4.交互式动画开发：针对火候变化、调味渗透、核心烹饪原理等复杂且难以直观观测的工艺流程，转化为标准化交互式动画进行可视化呈现，将抽象工艺原理具象化，助力学习者深度掌握烹饪核心技艺原理。</w:t>
            </w:r>
          </w:p>
          <w:p>
            <w:pPr>
              <w:keepNext w:val="0"/>
              <w:keepLines w:val="0"/>
              <w:pageBreakBefore w:val="0"/>
              <w:widowControl/>
              <w:numPr>
                <w:ilvl w:val="2"/>
                <w:numId w:val="0"/>
              </w:numPr>
              <w:suppressLineNumbers w:val="0"/>
              <w:tabs>
                <w:tab w:val="left" w:pos="900"/>
              </w:tabs>
              <w:kinsoku/>
              <w:wordWrap/>
              <w:overflowPunct/>
              <w:topLinePunct w:val="0"/>
              <w:autoSpaceDE/>
              <w:autoSpaceDN/>
              <w:bidi w:val="0"/>
              <w:adjustRightInd/>
              <w:spacing w:afterAutospacing="0" w:line="360" w:lineRule="auto"/>
              <w:ind w:leftChars="0"/>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（二）交互式岗位作业指导书</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1.建设范围：紧扣课程对应餐饮行业就业需求，编制系列化交互式岗位作业指导书，覆盖桂菜厨师、滨海菜厨师等核心岗位，单岗位指导书有效时长不低于30分钟。</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2.核心内容构成：单份岗位指导书完整涵盖岗位职责、标准操作步骤、成品质量标准、作业安全规范四大核心模块。</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3.交互与场景配置：融合360°交互全景实拍技术，1:1还原真实岗位作业场景；内嵌知识点考核、操作流程匹配排序、规范校验等交互功能，兼具学生校内岗位实操训练指导、企业员工岗前培训双重用途，实现学、练、考、用全流程一体化衔接。</w:t>
            </w:r>
          </w:p>
          <w:p>
            <w:pPr>
              <w:keepNext w:val="0"/>
              <w:keepLines w:val="0"/>
              <w:pageBreakBefore w:val="0"/>
              <w:widowControl/>
              <w:suppressLineNumbers w:val="0"/>
              <w:tabs>
                <w:tab w:val="left" w:pos="432"/>
              </w:tabs>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三、国际化（双语翻译）升级</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贴合职业教育国际化人才培养核心目标，依托课程现有桂菜、滨海菜制作核心教学内容，紧扣中国—东盟餐饮文化交流及技能专项培训需求，开展课程轻量化国际化升级改造，全程保留原有教学体系、技能考核标准不变，重点强化课程国际传播能力与跨区域培训适配能力。</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（一）对接国际行业规范标准</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结合国际餐饮行业通用操作规范、行业标准，对食材标准化处理、烹饪作业流程、食品安全管控要求、厨房操作规范等内容进行系统化梳理、标准化界定，将相关规范标准融入课程操作提示、各类教学资源当中，助力学习者在掌握传统烹饪技艺的基础上，树立契合国际餐饮行业要求的规范意识，掌握标准化作业流程。</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（二）双语轻量化适配改造</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1.专业术语双语构建：围绕课程核心教学内容，对食材名称、烹饪技法、操作步骤、核心控制要点等内容开展中英双语标准化标注，搭建规范化、统一化餐饮专业术语体系。</w:t>
            </w:r>
          </w:p>
          <w:p>
            <w:pPr>
              <w:keepNext w:val="0"/>
              <w:keepLines w:val="0"/>
              <w:pageBreakBefore w:val="0"/>
              <w:widowControl/>
              <w:suppressLineNumbers w:val="0"/>
              <w:kinsoku/>
              <w:wordWrap/>
              <w:overflowPunct/>
              <w:topLinePunct w:val="0"/>
              <w:autoSpaceDE/>
              <w:autoSpaceDN/>
              <w:bidi w:val="0"/>
              <w:adjustRightInd/>
              <w:spacing w:afterAutospacing="0" w:line="360" w:lineRule="auto"/>
              <w:jc w:val="left"/>
              <w:outlineLvl w:val="9"/>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2.视频资源双语升级：依托AI智能技术，对现有教学视频开展双语化改造，完成英文配音、双语字幕精准生成、配音口型同步适配等工作，无需重复拍摄教学视频，全面提升课程资源国际传播效率与应用范围，满足东盟区域教学、技能培训多元化使用需求。</w:t>
            </w:r>
          </w:p>
        </w:tc>
        <w:tc>
          <w:tcPr>
            <w:tcW w:w="972"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c>
          <w:tcPr>
            <w:tcW w:w="973" w:type="dxa"/>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i w:val="0"/>
                <w:iCs w:val="0"/>
                <w:color w:val="000000"/>
                <w:kern w:val="0"/>
                <w:sz w:val="22"/>
                <w:szCs w:val="22"/>
                <w:u w:val="none"/>
                <w:lang w:val="en-US" w:eastAsia="zh-CN" w:bidi="ar"/>
              </w:rPr>
              <w:t>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577" w:type="dxa"/>
            <w:gridSpan w:val="7"/>
            <w:vAlign w:val="center"/>
          </w:tcPr>
          <w:p>
            <w:pPr>
              <w:spacing w:line="40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9577" w:type="dxa"/>
            <w:gridSpan w:val="7"/>
            <w:vAlign w:val="center"/>
          </w:tcPr>
          <w:p>
            <w:pPr>
              <w:widowControl/>
              <w:adjustRightInd w:val="0"/>
              <w:snapToGrid w:val="0"/>
              <w:spacing w:line="360" w:lineRule="auto"/>
              <w:ind w:firstLine="424" w:firstLineChars="202"/>
              <w:jc w:val="left"/>
              <w:rPr>
                <w:rFonts w:ascii="宋体" w:hAnsi="Calibri" w:cs="宋体"/>
                <w:color w:val="auto"/>
                <w:kern w:val="0"/>
                <w:sz w:val="21"/>
                <w:szCs w:val="21"/>
                <w:highlight w:val="none"/>
              </w:rPr>
            </w:pPr>
            <w:r>
              <w:rPr>
                <w:rFonts w:ascii="宋体" w:hAnsi="宋体" w:cs="宋体"/>
                <w:color w:val="auto"/>
                <w:kern w:val="0"/>
                <w:sz w:val="21"/>
                <w:szCs w:val="21"/>
                <w:highlight w:val="none"/>
              </w:rPr>
              <w:t>1</w:t>
            </w:r>
            <w:r>
              <w:rPr>
                <w:rFonts w:hint="eastAsia" w:ascii="宋体" w:hAnsi="宋体" w:cs="宋体"/>
                <w:color w:val="auto"/>
                <w:kern w:val="0"/>
                <w:sz w:val="21"/>
                <w:szCs w:val="21"/>
                <w:highlight w:val="none"/>
              </w:rPr>
              <w:t>．交付时间：</w:t>
            </w:r>
            <w:bookmarkStart w:id="32" w:name="OLE_LINK2"/>
            <w:r>
              <w:rPr>
                <w:rFonts w:hint="eastAsia" w:ascii="宋体" w:hAnsi="宋体" w:cs="宋体"/>
                <w:color w:val="auto"/>
                <w:kern w:val="0"/>
                <w:sz w:val="21"/>
                <w:szCs w:val="21"/>
                <w:highlight w:val="none"/>
                <w:lang w:val="en-US" w:eastAsia="zh-CN"/>
              </w:rPr>
              <w:t>2026年9月15日前</w:t>
            </w:r>
            <w:r>
              <w:rPr>
                <w:rFonts w:hint="eastAsia" w:ascii="宋体" w:hAnsi="宋体" w:cs="宋体"/>
                <w:color w:val="auto"/>
                <w:kern w:val="0"/>
                <w:sz w:val="21"/>
                <w:szCs w:val="21"/>
                <w:highlight w:val="none"/>
              </w:rPr>
              <w:t>全部安装调试完毕，经验收合格并交付使用</w:t>
            </w:r>
            <w:bookmarkEnd w:id="32"/>
            <w:r>
              <w:rPr>
                <w:rFonts w:hint="eastAsia" w:ascii="宋体" w:hAnsi="宋体" w:cs="宋体"/>
                <w:color w:val="auto"/>
                <w:kern w:val="0"/>
                <w:sz w:val="21"/>
                <w:szCs w:val="21"/>
                <w:highlight w:val="none"/>
              </w:rPr>
              <w:t>。</w:t>
            </w:r>
          </w:p>
          <w:p>
            <w:pPr>
              <w:widowControl/>
              <w:adjustRightInd w:val="0"/>
              <w:snapToGrid w:val="0"/>
              <w:spacing w:line="360" w:lineRule="auto"/>
              <w:ind w:firstLine="424" w:firstLineChars="202"/>
              <w:jc w:val="left"/>
              <w:rPr>
                <w:rFonts w:ascii="宋体" w:hAnsi="Calibri" w:cs="宋体"/>
                <w:color w:val="auto"/>
                <w:kern w:val="0"/>
                <w:sz w:val="21"/>
                <w:szCs w:val="21"/>
                <w:highlight w:val="none"/>
              </w:rPr>
            </w:pPr>
            <w:r>
              <w:rPr>
                <w:rFonts w:ascii="宋体" w:hAnsi="宋体" w:cs="宋体"/>
                <w:color w:val="auto"/>
                <w:kern w:val="0"/>
                <w:sz w:val="21"/>
                <w:szCs w:val="21"/>
                <w:highlight w:val="none"/>
              </w:rPr>
              <w:t>2</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服务</w:t>
            </w:r>
            <w:r>
              <w:rPr>
                <w:rFonts w:hint="eastAsia" w:ascii="宋体" w:hAnsi="宋体" w:cs="宋体"/>
                <w:color w:val="auto"/>
                <w:kern w:val="0"/>
                <w:sz w:val="21"/>
                <w:szCs w:val="21"/>
                <w:highlight w:val="none"/>
              </w:rPr>
              <w:t>地点：</w:t>
            </w:r>
            <w:r>
              <w:rPr>
                <w:rFonts w:hint="eastAsia" w:ascii="宋体" w:hAnsi="宋体" w:eastAsia="宋体" w:cs="宋体"/>
                <w:b w:val="0"/>
                <w:bCs w:val="0"/>
                <w:color w:val="auto"/>
                <w:sz w:val="21"/>
                <w:szCs w:val="21"/>
                <w:highlight w:val="none"/>
                <w:lang w:eastAsia="zh-CN"/>
              </w:rPr>
              <w:t>北海职业学院</w:t>
            </w:r>
            <w:r>
              <w:rPr>
                <w:rFonts w:hint="eastAsia" w:ascii="宋体" w:hAnsi="宋体" w:cs="宋体"/>
                <w:b w:val="0"/>
                <w:bCs w:val="0"/>
                <w:color w:val="auto"/>
                <w:sz w:val="21"/>
                <w:szCs w:val="21"/>
                <w:highlight w:val="none"/>
                <w:lang w:eastAsia="zh-CN"/>
              </w:rPr>
              <w:t>内</w:t>
            </w:r>
            <w:r>
              <w:rPr>
                <w:rFonts w:hint="eastAsia" w:ascii="宋体" w:hAnsi="宋体" w:eastAsia="宋体" w:cs="宋体"/>
                <w:b w:val="0"/>
                <w:bCs w:val="0"/>
                <w:color w:val="auto"/>
                <w:sz w:val="21"/>
                <w:szCs w:val="21"/>
                <w:highlight w:val="none"/>
              </w:rPr>
              <w:t>。</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cs="宋体"/>
                <w:color w:val="auto"/>
                <w:kern w:val="0"/>
                <w:sz w:val="21"/>
                <w:szCs w:val="21"/>
                <w:highlight w:val="none"/>
              </w:rPr>
            </w:pPr>
            <w:r>
              <w:rPr>
                <w:rFonts w:ascii="宋体" w:hAnsi="宋体" w:cs="宋体"/>
                <w:color w:val="auto"/>
                <w:kern w:val="0"/>
                <w:sz w:val="21"/>
                <w:szCs w:val="21"/>
                <w:highlight w:val="none"/>
              </w:rPr>
              <w:t>3</w:t>
            </w:r>
            <w:r>
              <w:rPr>
                <w:rFonts w:hint="eastAsia" w:ascii="宋体" w:hAnsi="宋体" w:cs="宋体"/>
                <w:color w:val="auto"/>
                <w:kern w:val="0"/>
                <w:sz w:val="21"/>
                <w:szCs w:val="21"/>
                <w:highlight w:val="none"/>
              </w:rPr>
              <w:t>．付款时间和方式：</w:t>
            </w:r>
            <w:bookmarkStart w:id="33" w:name="OLE_LINK4"/>
            <w:r>
              <w:rPr>
                <w:rFonts w:hint="eastAsia" w:ascii="宋体" w:hAnsi="宋体" w:eastAsia="宋体" w:cs="宋体"/>
                <w:i w:val="0"/>
                <w:iCs w:val="0"/>
                <w:color w:val="auto"/>
                <w:kern w:val="0"/>
                <w:sz w:val="21"/>
                <w:szCs w:val="21"/>
                <w:highlight w:val="none"/>
                <w:u w:val="none"/>
                <w:lang w:val="en-US" w:eastAsia="zh-CN" w:bidi="ar"/>
              </w:rPr>
              <w:t>自签订合同后(待财政资金到位后)7个日历日内支付合同价款50%预付款，剩余50%合同价款于所有设备/服务验收合格后，(待财政资金到位后),中标人开具合法合规发票，采购人自收到发票后30个日历日内按政府采购程序办理付款手续，本项目不计息。</w:t>
            </w:r>
            <w:bookmarkEnd w:id="33"/>
          </w:p>
          <w:p>
            <w:pPr>
              <w:widowControl/>
              <w:adjustRightInd w:val="0"/>
              <w:snapToGrid w:val="0"/>
              <w:spacing w:line="360" w:lineRule="auto"/>
              <w:ind w:firstLine="424" w:firstLineChars="202"/>
              <w:jc w:val="left"/>
              <w:rPr>
                <w:rFonts w:ascii="宋体" w:hAnsi="Calibri" w:cs="宋体"/>
                <w:color w:val="auto"/>
                <w:kern w:val="0"/>
                <w:sz w:val="21"/>
                <w:szCs w:val="21"/>
                <w:highlight w:val="none"/>
              </w:rPr>
            </w:pPr>
            <w:r>
              <w:rPr>
                <w:rFonts w:hint="eastAsia" w:ascii="宋体" w:hAnsi="宋体" w:cs="宋体"/>
                <w:color w:val="auto"/>
                <w:kern w:val="0"/>
                <w:sz w:val="21"/>
                <w:szCs w:val="21"/>
                <w:highlight w:val="none"/>
              </w:rPr>
              <w:t>4.</w:t>
            </w:r>
            <w:r>
              <w:rPr>
                <w:rFonts w:ascii="宋体" w:hAnsi="宋体" w:cs="宋体"/>
                <w:color w:val="auto"/>
                <w:kern w:val="0"/>
                <w:sz w:val="21"/>
                <w:szCs w:val="21"/>
                <w:highlight w:val="none"/>
              </w:rPr>
              <w:t xml:space="preserve"> </w:t>
            </w:r>
            <w:r>
              <w:rPr>
                <w:rFonts w:hint="eastAsia" w:ascii="宋体" w:hAnsi="宋体" w:cs="宋体"/>
                <w:color w:val="auto"/>
                <w:kern w:val="0"/>
                <w:sz w:val="21"/>
                <w:szCs w:val="21"/>
                <w:highlight w:val="none"/>
              </w:rPr>
              <w:t>保修和服务要求：</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（1）质保期：自交付验收通过之日起1年</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在质保期内，课程运行出现故障，接到采购人处理问题通知后，技术工程师必须2小时内采取相应响应措施；无法在4小时内解决的，应在6小时内派出专业人员进行技术支持，8小时内解决一般性故障并恢复课程运行，终身提供免费技术支持。</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（3）成交供应商能提供7×24响应服务，通过远程、上门服务、电话、E-mail等方式为用户提供终身完善的售后技术咨询服务。</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（4）在质保期内，如果成交供应商产品技术升级，成交供应商应及时通知采购人，如采购人有相应要求，成交供应商应对采购人进行升级服务。 </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ascii="宋体" w:hAnsi="Calibri" w:cs="宋体"/>
                <w:color w:val="auto"/>
                <w:kern w:val="0"/>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 xml:space="preserve"> </w:t>
            </w:r>
            <w:r>
              <w:rPr>
                <w:rFonts w:hint="eastAsia" w:ascii="宋体" w:hAnsi="宋体" w:cs="宋体"/>
                <w:color w:val="auto"/>
                <w:kern w:val="0"/>
                <w:sz w:val="21"/>
                <w:szCs w:val="21"/>
                <w:highlight w:val="none"/>
                <w:lang w:val="en-US" w:eastAsia="zh-CN"/>
              </w:rPr>
              <w:t>5</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val="en-US" w:eastAsia="zh-CN"/>
              </w:rPr>
              <w:t>验收标准</w:t>
            </w:r>
            <w:r>
              <w:rPr>
                <w:rFonts w:hint="eastAsia" w:ascii="宋体" w:hAnsi="宋体" w:cs="宋体"/>
                <w:color w:val="auto"/>
                <w:kern w:val="0"/>
                <w:sz w:val="21"/>
                <w:szCs w:val="21"/>
                <w:highlight w:val="none"/>
              </w:rPr>
              <w:t>：</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本项目执行国家相关标准、行业标准、地方标准或者其他标准、规范。如具体采购需求与标准、规范不一致的，高于标准、规范的按具体采购需求执行；低于标准、规范的按标准、规范执行。供应商所提供的系统必须是全新、完好、无破损、未经使用的，在正常安装、使用和保养条件下，其使用寿命期内各项指标均达到质量要求。</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产品到货后，采购人现场根据竞争性磋商文件要求及响应文件承诺逐条对应进行核验（含测试或试运行演示），核验不合格的，采购人有权不予验收，同时报相关监督管理部门，由此造成采购人经济损失的由成交供应商负责承担全部赔偿责任。</w:t>
            </w:r>
          </w:p>
          <w:p>
            <w:pPr>
              <w:keepNext w:val="0"/>
              <w:keepLines w:val="0"/>
              <w:pageBreakBefore w:val="0"/>
              <w:widowControl/>
              <w:suppressLineNumbers w:val="0"/>
              <w:kinsoku/>
              <w:wordWrap/>
              <w:overflowPunct/>
              <w:topLinePunct w:val="0"/>
              <w:autoSpaceDE/>
              <w:autoSpaceDN/>
              <w:bidi w:val="0"/>
              <w:adjustRightInd w:val="0"/>
              <w:snapToGrid/>
              <w:spacing w:line="400" w:lineRule="exact"/>
              <w:ind w:firstLine="420" w:firstLineChars="200"/>
              <w:jc w:val="left"/>
              <w:textAlignment w:val="top"/>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（3）因产品质量问题发生争议的，应邀请国家认可的质量检测机构对产品质量进行鉴定。</w:t>
            </w:r>
          </w:p>
          <w:p>
            <w:pPr>
              <w:spacing w:line="40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i w:val="0"/>
                <w:iCs w:val="0"/>
                <w:color w:val="auto"/>
                <w:kern w:val="0"/>
                <w:sz w:val="21"/>
                <w:szCs w:val="21"/>
                <w:highlight w:val="none"/>
                <w:u w:val="none"/>
                <w:lang w:val="en-US" w:eastAsia="zh-CN" w:bidi="ar"/>
              </w:rPr>
              <w:t>（4）相关检验检测和验收费用全部由成交供应商承担。</w:t>
            </w:r>
          </w:p>
        </w:tc>
      </w:tr>
    </w:tbl>
    <w:p>
      <w:pPr>
        <w:widowControl/>
        <w:adjustRightInd/>
        <w:jc w:val="left"/>
        <w:rPr>
          <w:rFonts w:hint="eastAsia" w:cs="仿宋_GB2312" w:asciiTheme="minorEastAsia" w:hAnsiTheme="minorEastAsia" w:eastAsiaTheme="minorEastAsia"/>
          <w:b/>
          <w:color w:val="auto"/>
          <w:sz w:val="24"/>
          <w:szCs w:val="24"/>
          <w:highlight w:val="none"/>
        </w:rPr>
      </w:pPr>
      <w:r>
        <w:rPr>
          <w:rFonts w:cs="仿宋_GB2312" w:asciiTheme="minorEastAsia" w:hAnsiTheme="minorEastAsia" w:eastAsiaTheme="minorEastAsia"/>
          <w:b/>
          <w:color w:val="auto"/>
          <w:sz w:val="24"/>
          <w:szCs w:val="24"/>
          <w:highlight w:val="none"/>
        </w:rPr>
        <w:br w:type="page"/>
      </w:r>
    </w:p>
    <w:p>
      <w:pPr>
        <w:adjustRightInd/>
        <w:spacing w:line="360" w:lineRule="auto"/>
        <w:jc w:val="center"/>
        <w:outlineLvl w:val="0"/>
        <w:rPr>
          <w:rFonts w:hint="eastAsia" w:ascii="宋体" w:hAnsi="宋体" w:cs="宋体"/>
          <w:b/>
          <w:color w:val="auto"/>
          <w:sz w:val="32"/>
          <w:szCs w:val="20"/>
          <w:highlight w:val="none"/>
        </w:rPr>
      </w:pPr>
      <w:bookmarkStart w:id="34" w:name="_Toc5537"/>
      <w:bookmarkStart w:id="35" w:name="_Toc30958"/>
      <w:r>
        <w:rPr>
          <w:rFonts w:hint="eastAsia" w:cs="仿宋_GB2312" w:asciiTheme="minorEastAsia" w:hAnsiTheme="minorEastAsia" w:eastAsiaTheme="minorEastAsia"/>
          <w:b/>
          <w:color w:val="auto"/>
          <w:sz w:val="36"/>
          <w:szCs w:val="36"/>
          <w:highlight w:val="none"/>
        </w:rPr>
        <w:t xml:space="preserve">第五部分  </w:t>
      </w:r>
      <w:bookmarkEnd w:id="28"/>
      <w:bookmarkEnd w:id="29"/>
      <w:bookmarkStart w:id="36" w:name="第四部分"/>
      <w:r>
        <w:rPr>
          <w:rFonts w:hint="eastAsia" w:cs="仿宋_GB2312" w:asciiTheme="minorEastAsia" w:hAnsiTheme="minorEastAsia" w:eastAsiaTheme="minorEastAsia"/>
          <w:b/>
          <w:color w:val="auto"/>
          <w:sz w:val="36"/>
          <w:szCs w:val="36"/>
          <w:highlight w:val="none"/>
        </w:rPr>
        <w:t>评审方法及评审标准</w:t>
      </w:r>
      <w:bookmarkEnd w:id="34"/>
      <w:bookmarkEnd w:id="35"/>
    </w:p>
    <w:p>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一、评审方法</w:t>
      </w: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（一）本项目评审方法采用综合评分法。</w:t>
      </w:r>
    </w:p>
    <w:p>
      <w:pPr>
        <w:pStyle w:val="56"/>
        <w:ind w:firstLine="480" w:firstLineChars="200"/>
        <w:jc w:val="both"/>
        <w:rPr>
          <w:rFonts w:hint="eastAsia" w:asciiTheme="minorEastAsia" w:hAnsiTheme="minorEastAsia" w:eastAsiaTheme="minorEastAsia" w:cstheme="minorEastAsia"/>
          <w:b w:val="0"/>
          <w:color w:val="auto"/>
          <w:kern w:val="2"/>
          <w:szCs w:val="24"/>
          <w:highlight w:val="none"/>
          <w:lang w:val="en-US"/>
        </w:rPr>
      </w:pPr>
      <w:r>
        <w:rPr>
          <w:rFonts w:hint="eastAsia" w:asciiTheme="minorEastAsia" w:hAnsiTheme="minorEastAsia" w:eastAsiaTheme="minorEastAsia" w:cstheme="minorEastAsia"/>
          <w:b w:val="0"/>
          <w:color w:val="auto"/>
          <w:kern w:val="2"/>
          <w:szCs w:val="24"/>
          <w:highlight w:val="none"/>
          <w:lang w:val="en-US"/>
        </w:rPr>
        <w:t>（二）计分办法（按四舍五入取至百分位）：</w:t>
      </w:r>
    </w:p>
    <w:tbl>
      <w:tblPr>
        <w:tblStyle w:val="61"/>
        <w:tblW w:w="9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89"/>
        <w:gridCol w:w="7181"/>
        <w:gridCol w:w="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序号</w:t>
            </w:r>
          </w:p>
        </w:tc>
        <w:tc>
          <w:tcPr>
            <w:tcW w:w="1089"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评审分项</w:t>
            </w:r>
          </w:p>
        </w:tc>
        <w:tc>
          <w:tcPr>
            <w:tcW w:w="71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评审因素</w:t>
            </w:r>
          </w:p>
        </w:tc>
        <w:tc>
          <w:tcPr>
            <w:tcW w:w="87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1</w:t>
            </w:r>
          </w:p>
        </w:tc>
        <w:tc>
          <w:tcPr>
            <w:tcW w:w="1089"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bCs/>
                <w:color w:val="auto"/>
                <w:kern w:val="0"/>
                <w:sz w:val="21"/>
                <w:szCs w:val="21"/>
                <w:highlight w:val="none"/>
              </w:rPr>
            </w:pPr>
            <w:r>
              <w:rPr>
                <w:rFonts w:hint="eastAsia" w:ascii="宋体" w:hAnsi="宋体" w:cs="宋体"/>
                <w:b/>
                <w:bCs/>
                <w:color w:val="auto"/>
                <w:kern w:val="0"/>
                <w:sz w:val="21"/>
                <w:szCs w:val="21"/>
                <w:highlight w:val="none"/>
              </w:rPr>
              <w:t>价格分</w:t>
            </w:r>
          </w:p>
        </w:tc>
        <w:tc>
          <w:tcPr>
            <w:tcW w:w="7181" w:type="dxa"/>
            <w:noWrap w:val="0"/>
            <w:vAlign w:val="center"/>
          </w:tcPr>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eastAsia="宋体"/>
                <w:color w:val="auto"/>
                <w:highlight w:val="none"/>
                <w:lang w:eastAsia="zh-CN"/>
              </w:rPr>
            </w:pPr>
            <w:r>
              <w:rPr>
                <w:rFonts w:hint="eastAsia"/>
                <w:color w:val="auto"/>
                <w:highlight w:val="none"/>
              </w:rPr>
              <w:t>有效磋商报价的最低价作为评标基准价，其最低报价为满分；按［磋商</w:t>
            </w:r>
            <w:r>
              <w:rPr>
                <w:rFonts w:hint="eastAsia" w:ascii="Times New Roman" w:hAnsi="Times New Roman" w:eastAsia="宋体" w:cs="Times New Roman"/>
                <w:color w:val="auto"/>
                <w:highlight w:val="none"/>
              </w:rPr>
              <w:t>报价得分=（基准价/最后报价）×</w:t>
            </w:r>
            <w:r>
              <w:rPr>
                <w:rFonts w:hint="eastAsia" w:cs="Times New Roman"/>
                <w:color w:val="auto"/>
                <w:highlight w:val="none"/>
                <w:lang w:val="en-US" w:eastAsia="zh-CN"/>
              </w:rPr>
              <w:t>3</w:t>
            </w:r>
            <w:r>
              <w:rPr>
                <w:rFonts w:hint="eastAsia" w:ascii="Times New Roman" w:hAnsi="Times New Roman" w:eastAsia="宋体" w:cs="Times New Roman"/>
                <w:color w:val="auto"/>
                <w:highlight w:val="none"/>
              </w:rPr>
              <w:t>0分</w:t>
            </w:r>
            <w:r>
              <w:rPr>
                <w:rFonts w:hint="eastAsia"/>
                <w:color w:val="auto"/>
                <w:highlight w:val="none"/>
              </w:rPr>
              <w:t>］的计算公式计算。</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color w:val="auto"/>
                <w:highlight w:val="none"/>
              </w:rPr>
            </w:pPr>
            <w:r>
              <w:rPr>
                <w:rFonts w:hint="eastAsia"/>
                <w:color w:val="auto"/>
                <w:highlight w:val="none"/>
              </w:rPr>
              <w:t>评审过程中，不得去掉报价中的最高报价和最低报价。</w:t>
            </w:r>
          </w:p>
          <w:p>
            <w:pPr>
              <w:keepNext w:val="0"/>
              <w:keepLines w:val="0"/>
              <w:pageBreakBefore w:val="0"/>
              <w:widowControl/>
              <w:kinsoku/>
              <w:wordWrap/>
              <w:overflowPunct/>
              <w:topLinePunct w:val="0"/>
              <w:autoSpaceDE/>
              <w:autoSpaceDN/>
              <w:bidi w:val="0"/>
              <w:adjustRightInd w:val="0"/>
              <w:snapToGrid/>
              <w:spacing w:line="360" w:lineRule="auto"/>
              <w:ind w:firstLine="420" w:firstLineChars="200"/>
              <w:jc w:val="left"/>
              <w:textAlignment w:val="auto"/>
              <w:rPr>
                <w:rFonts w:hint="eastAsia"/>
                <w:color w:val="auto"/>
                <w:highlight w:val="none"/>
              </w:rPr>
            </w:pPr>
            <w:r>
              <w:rPr>
                <w:rFonts w:hint="eastAsia"/>
                <w:color w:val="auto"/>
                <w:highlight w:val="none"/>
              </w:rPr>
              <w:t>按照《财政部、司法部关于政府采购支持监狱企业发展有关问题的通知》（财库〔2014〕68号）的规定，监狱企业视同小型、微型企业。监狱企业参加政府采购活动时，应当提供由省级以上监狱管理局、戒毒管理局（含新疆生产建设兵团）出具的属于监狱企业的证明文件。监狱企业属于小型、微型企业的，不重复享受政策。</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420" w:firstLineChars="200"/>
              <w:rPr>
                <w:rFonts w:hint="eastAsia" w:ascii="宋体" w:hAnsi="宋体" w:eastAsia="宋体" w:cs="宋体"/>
                <w:bCs/>
                <w:color w:val="auto"/>
                <w:sz w:val="21"/>
                <w:szCs w:val="21"/>
                <w:highlight w:val="none"/>
                <w:u w:val="single"/>
                <w:lang w:val="en-US" w:eastAsia="zh-CN"/>
              </w:rPr>
            </w:pPr>
            <w:r>
              <w:rPr>
                <w:rFonts w:hint="eastAsia"/>
                <w:color w:val="auto"/>
                <w:highlight w:val="none"/>
              </w:rPr>
              <w:t>本项目既有本国产品又有非本国产品参与竞争的，依法对本国产品给予价格评审优惠，对本国产品的报价给予20%的价格扣除，用扣除后的价格参与评审。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c>
          <w:tcPr>
            <w:tcW w:w="87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30</w:t>
            </w:r>
            <w:r>
              <w:rPr>
                <w:rFonts w:hint="eastAsia" w:ascii="宋体" w:hAnsi="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9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w:t>
            </w:r>
          </w:p>
        </w:tc>
        <w:tc>
          <w:tcPr>
            <w:tcW w:w="1089"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技术分</w:t>
            </w:r>
          </w:p>
        </w:tc>
        <w:tc>
          <w:tcPr>
            <w:tcW w:w="7187"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评审因素</w:t>
            </w:r>
          </w:p>
        </w:tc>
        <w:tc>
          <w:tcPr>
            <w:tcW w:w="868"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2.1</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参数响应分</w:t>
            </w:r>
          </w:p>
        </w:tc>
        <w:tc>
          <w:tcPr>
            <w:tcW w:w="7181"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left"/>
              <w:rPr>
                <w:color w:val="auto"/>
                <w:sz w:val="21"/>
                <w:szCs w:val="21"/>
                <w:highlight w:val="none"/>
              </w:rPr>
            </w:pPr>
            <w:r>
              <w:rPr>
                <w:rFonts w:hint="eastAsia"/>
                <w:color w:val="auto"/>
                <w:sz w:val="21"/>
                <w:szCs w:val="21"/>
                <w:highlight w:val="none"/>
              </w:rPr>
              <w:t>供应商所提供产品技术参数满足招标文件采购清单中带“★”的技术参数要求的，每提供一项得</w:t>
            </w:r>
            <w:r>
              <w:rPr>
                <w:rFonts w:hint="eastAsia"/>
                <w:color w:val="auto"/>
                <w:sz w:val="21"/>
                <w:szCs w:val="21"/>
                <w:highlight w:val="none"/>
                <w:lang w:val="en-US" w:eastAsia="zh-CN"/>
              </w:rPr>
              <w:t>4</w:t>
            </w:r>
            <w:r>
              <w:rPr>
                <w:rFonts w:hint="eastAsia"/>
                <w:color w:val="auto"/>
                <w:sz w:val="21"/>
                <w:szCs w:val="21"/>
                <w:highlight w:val="none"/>
              </w:rPr>
              <w:t>分，满分</w:t>
            </w:r>
            <w:r>
              <w:rPr>
                <w:rFonts w:hint="eastAsia"/>
                <w:color w:val="auto"/>
                <w:sz w:val="21"/>
                <w:szCs w:val="21"/>
                <w:highlight w:val="none"/>
                <w:lang w:val="en-US" w:eastAsia="zh-CN"/>
              </w:rPr>
              <w:t>16</w:t>
            </w:r>
            <w:r>
              <w:rPr>
                <w:rFonts w:hint="eastAsia"/>
                <w:color w:val="auto"/>
                <w:sz w:val="21"/>
                <w:szCs w:val="21"/>
                <w:highlight w:val="none"/>
              </w:rPr>
              <w:t>分，不提供或不符合不得分。（须在</w:t>
            </w:r>
            <w:r>
              <w:rPr>
                <w:rFonts w:hint="eastAsia"/>
                <w:color w:val="auto"/>
                <w:sz w:val="21"/>
                <w:szCs w:val="21"/>
                <w:highlight w:val="none"/>
                <w:lang w:eastAsia="zh-CN"/>
              </w:rPr>
              <w:t>响应</w:t>
            </w:r>
            <w:r>
              <w:rPr>
                <w:rFonts w:hint="eastAsia"/>
                <w:color w:val="auto"/>
                <w:sz w:val="21"/>
                <w:szCs w:val="21"/>
                <w:highlight w:val="none"/>
              </w:rPr>
              <w:t>文件中提供所投产品对应软件功能截图）。</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2.2</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cs="宋体"/>
                <w:color w:val="auto"/>
                <w:sz w:val="21"/>
                <w:szCs w:val="21"/>
                <w:highlight w:val="none"/>
              </w:rPr>
            </w:pPr>
            <w:r>
              <w:rPr>
                <w:rFonts w:hint="eastAsia" w:ascii="宋体" w:hAnsi="宋体" w:cs="宋体"/>
                <w:color w:val="auto"/>
                <w:sz w:val="21"/>
                <w:szCs w:val="21"/>
                <w:highlight w:val="none"/>
              </w:rPr>
              <w:t>项目实施</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方案</w:t>
            </w:r>
            <w:r>
              <w:rPr>
                <w:rFonts w:hint="eastAsia" w:ascii="宋体" w:hAnsi="宋体" w:cs="宋体"/>
                <w:color w:val="auto"/>
                <w:sz w:val="21"/>
                <w:szCs w:val="21"/>
                <w:highlight w:val="none"/>
                <w:lang w:val="en-US" w:eastAsia="zh-CN"/>
              </w:rPr>
              <w:t>分</w:t>
            </w:r>
          </w:p>
        </w:tc>
        <w:tc>
          <w:tcPr>
            <w:tcW w:w="71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ascii="宋体" w:hAnsi="宋体" w:cs="宋体"/>
                <w:color w:val="auto"/>
                <w:sz w:val="21"/>
                <w:szCs w:val="21"/>
                <w:highlight w:val="none"/>
              </w:rPr>
            </w:pPr>
            <w:r>
              <w:rPr>
                <w:rFonts w:hint="eastAsia" w:ascii="宋体" w:hAnsi="宋体" w:cs="宋体"/>
                <w:color w:val="auto"/>
                <w:sz w:val="21"/>
                <w:szCs w:val="21"/>
                <w:highlight w:val="none"/>
              </w:rPr>
              <w:t>根据供应商对本项目整体管理方案和实施的科学性、可行性、先进性、合理性、完善程度进行整体评价，包括：a.项目实施计划；b.项目组织方式、人员安排与任务分工；c.项目进度控制；d.项目汇报沟通机制等。</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一档（8</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：方案详细、逻辑清晰，完全贴合本项目实际需求，各模块衔接顺畅，具备极强的科学性、可行性和先进性，能全面支撑项目高效落地，无任何明显疏漏。</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二档（4</w:t>
            </w:r>
            <w:r>
              <w:rPr>
                <w:rFonts w:hint="eastAsia" w:ascii="宋体" w:hAnsi="宋体" w:cs="宋体"/>
                <w:color w:val="auto"/>
                <w:sz w:val="21"/>
                <w:szCs w:val="21"/>
                <w:highlight w:val="none"/>
              </w:rPr>
              <w:t>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：方案内容简要、模块齐全，核心思路清晰，完全贴合本项目实际需求，但缺乏细节支撑，可操作性一般。</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三档（</w:t>
            </w:r>
            <w:r>
              <w:rPr>
                <w:rFonts w:hint="eastAsia" w:ascii="宋体" w:hAnsi="宋体" w:cs="宋体"/>
                <w:color w:val="auto"/>
                <w:sz w:val="21"/>
                <w:szCs w:val="21"/>
                <w:highlight w:val="none"/>
              </w:rPr>
              <w:t>2分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：方案内容简要，模块不完整，核心思路模糊，未结合本项目实际情况，无针对性措施，仅具备基础框架，无法支撑项目正常实施。</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四档（</w:t>
            </w:r>
            <w:r>
              <w:rPr>
                <w:rFonts w:hint="eastAsia" w:ascii="宋体" w:hAnsi="宋体" w:cs="宋体"/>
                <w:color w:val="auto"/>
                <w:sz w:val="21"/>
                <w:szCs w:val="21"/>
                <w:highlight w:val="none"/>
              </w:rPr>
              <w:t>0分</w:t>
            </w:r>
            <w:r>
              <w:rPr>
                <w:rFonts w:hint="eastAsia" w:ascii="宋体" w:hAnsi="宋体" w:cs="宋体"/>
                <w:color w:val="auto"/>
                <w:sz w:val="21"/>
                <w:szCs w:val="21"/>
                <w:highlight w:val="none"/>
                <w:lang w:val="en-US" w:eastAsia="zh-CN"/>
              </w:rPr>
              <w:t>）</w:t>
            </w:r>
            <w:r>
              <w:rPr>
                <w:rFonts w:hint="eastAsia" w:ascii="宋体" w:hAnsi="宋体" w:cs="宋体"/>
                <w:color w:val="auto"/>
                <w:sz w:val="21"/>
                <w:szCs w:val="21"/>
                <w:highlight w:val="none"/>
              </w:rPr>
              <w:t>：未提供任何项目整体管理方案及相关实施内容。</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2.3</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培训方案</w:t>
            </w:r>
            <w:r>
              <w:rPr>
                <w:rFonts w:hint="eastAsia" w:ascii="宋体" w:hAnsi="宋体" w:cs="宋体"/>
                <w:color w:val="auto"/>
                <w:sz w:val="21"/>
                <w:szCs w:val="21"/>
                <w:highlight w:val="none"/>
                <w:lang w:val="en-US" w:eastAsia="zh-CN"/>
              </w:rPr>
              <w:t>分</w:t>
            </w:r>
          </w:p>
        </w:tc>
        <w:tc>
          <w:tcPr>
            <w:tcW w:w="7181" w:type="dxa"/>
            <w:noWrap w:val="0"/>
            <w:vAlign w:val="center"/>
          </w:tcPr>
          <w:p>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针对本项目提供详细的人员培训方案（培训内容、次数、地点、人数等情况）。</w:t>
            </w:r>
            <w:r>
              <w:rPr>
                <w:rFonts w:hint="eastAsia" w:hAnsi="宋体" w:cs="宋体"/>
                <w:color w:val="auto"/>
                <w:kern w:val="2"/>
                <w:sz w:val="21"/>
                <w:szCs w:val="21"/>
                <w:highlight w:val="none"/>
                <w:lang w:val="en-US" w:eastAsia="zh-CN" w:bidi="ar-SA"/>
              </w:rPr>
              <w:t>一档（</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：方案科学、完整、合理，完全贴合本项目实际需求，明确包含培训内容（贴合项目</w:t>
            </w:r>
            <w:r>
              <w:rPr>
                <w:rFonts w:hint="eastAsia" w:hAnsi="宋体" w:cs="宋体"/>
                <w:color w:val="auto"/>
                <w:kern w:val="2"/>
                <w:sz w:val="21"/>
                <w:szCs w:val="21"/>
                <w:highlight w:val="none"/>
                <w:lang w:val="en-US" w:eastAsia="zh-CN" w:bidi="ar-SA"/>
              </w:rPr>
              <w:t>内容</w:t>
            </w:r>
            <w:r>
              <w:rPr>
                <w:rFonts w:hint="eastAsia" w:ascii="宋体" w:hAnsi="宋体" w:eastAsia="宋体" w:cs="宋体"/>
                <w:color w:val="auto"/>
                <w:kern w:val="2"/>
                <w:sz w:val="21"/>
                <w:szCs w:val="21"/>
                <w:highlight w:val="none"/>
                <w:lang w:val="en-US" w:eastAsia="zh-CN" w:bidi="ar-SA"/>
              </w:rPr>
              <w:t>）、培训次数（充足合理，明确时间时长）、培训地点（便捷适配）、培训人数（精准覆盖）；</w:t>
            </w:r>
            <w:r>
              <w:rPr>
                <w:rFonts w:hint="eastAsia" w:hAnsi="宋体" w:cs="宋体"/>
                <w:color w:val="auto"/>
                <w:kern w:val="2"/>
                <w:sz w:val="21"/>
                <w:szCs w:val="21"/>
                <w:highlight w:val="none"/>
                <w:lang w:val="en-US" w:eastAsia="zh-CN" w:bidi="ar-SA"/>
              </w:rPr>
              <w:t>方案</w:t>
            </w:r>
            <w:r>
              <w:rPr>
                <w:rFonts w:hint="eastAsia" w:ascii="宋体" w:hAnsi="宋体" w:eastAsia="宋体" w:cs="宋体"/>
                <w:color w:val="auto"/>
                <w:kern w:val="2"/>
                <w:sz w:val="21"/>
                <w:szCs w:val="21"/>
                <w:highlight w:val="none"/>
                <w:lang w:val="en-US" w:eastAsia="zh-CN" w:bidi="ar-SA"/>
              </w:rPr>
              <w:t>可直接落地。</w:t>
            </w:r>
          </w:p>
          <w:p>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二档（</w:t>
            </w:r>
            <w:r>
              <w:rPr>
                <w:rFonts w:hint="eastAsia"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分</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：方案科学、完整、合理性良好，基本贴合本项目需求，明确包含培训内容、次数、地点、人数核心信息，内容较详细但</w:t>
            </w:r>
            <w:r>
              <w:rPr>
                <w:rFonts w:hint="eastAsia" w:hAnsi="宋体" w:cs="宋体"/>
                <w:color w:val="auto"/>
                <w:kern w:val="2"/>
                <w:sz w:val="21"/>
                <w:szCs w:val="21"/>
                <w:highlight w:val="none"/>
                <w:lang w:val="en-US" w:eastAsia="zh-CN" w:bidi="ar-SA"/>
              </w:rPr>
              <w:t>不精准适配本项目内容</w:t>
            </w:r>
            <w:r>
              <w:rPr>
                <w:rFonts w:hint="eastAsia" w:ascii="宋体" w:hAnsi="宋体" w:eastAsia="宋体" w:cs="宋体"/>
                <w:color w:val="auto"/>
                <w:kern w:val="2"/>
                <w:sz w:val="21"/>
                <w:szCs w:val="21"/>
                <w:highlight w:val="none"/>
                <w:lang w:val="en-US" w:eastAsia="zh-CN" w:bidi="ar-SA"/>
              </w:rPr>
              <w:t>，次数/地点基本适配，人数无明显偏差；包含基础培训和考核，细节需完善。</w:t>
            </w:r>
          </w:p>
          <w:p>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rPr>
                <w:rFonts w:hint="eastAsia" w:ascii="宋体" w:hAnsi="宋体" w:eastAsia="宋体" w:cs="宋体"/>
                <w:color w:val="auto"/>
                <w:kern w:val="2"/>
                <w:sz w:val="21"/>
                <w:szCs w:val="21"/>
                <w:highlight w:val="none"/>
                <w:lang w:val="en-US" w:eastAsia="zh-CN" w:bidi="ar-SA"/>
              </w:rPr>
            </w:pPr>
            <w:r>
              <w:rPr>
                <w:rFonts w:hint="eastAsia" w:hAnsi="宋体" w:cs="宋体"/>
                <w:color w:val="auto"/>
                <w:kern w:val="2"/>
                <w:sz w:val="21"/>
                <w:szCs w:val="21"/>
                <w:highlight w:val="none"/>
                <w:lang w:val="en-US" w:eastAsia="zh-CN" w:bidi="ar-SA"/>
              </w:rPr>
              <w:t>三档（</w:t>
            </w:r>
            <w:r>
              <w:rPr>
                <w:rFonts w:hint="eastAsia" w:ascii="宋体" w:hAnsi="宋体" w:eastAsia="宋体" w:cs="宋体"/>
                <w:color w:val="auto"/>
                <w:kern w:val="2"/>
                <w:sz w:val="21"/>
                <w:szCs w:val="21"/>
                <w:highlight w:val="none"/>
                <w:lang w:val="en-US" w:eastAsia="zh-CN" w:bidi="ar-SA"/>
              </w:rPr>
              <w:t>1分</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：方案科学性、完整性、合理性一般，针对性较弱，仅简单提及培训内容、次数、地点、人数的大致方向，无具体细节（如无明确培训内容、未确定地点），可操作性差。</w:t>
            </w:r>
          </w:p>
          <w:p>
            <w:pPr>
              <w:pStyle w:val="5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auto"/>
              <w:ind w:left="0" w:leftChars="0" w:right="0" w:rightChars="0"/>
              <w:jc w:val="both"/>
              <w:rPr>
                <w:rFonts w:hint="eastAsia"/>
                <w:color w:val="auto"/>
                <w:sz w:val="21"/>
                <w:szCs w:val="21"/>
                <w:highlight w:val="none"/>
              </w:rPr>
            </w:pPr>
            <w:r>
              <w:rPr>
                <w:rFonts w:hint="eastAsia" w:hAnsi="宋体" w:cs="宋体"/>
                <w:color w:val="auto"/>
                <w:kern w:val="2"/>
                <w:sz w:val="21"/>
                <w:szCs w:val="21"/>
                <w:highlight w:val="none"/>
                <w:lang w:val="en-US" w:eastAsia="zh-CN" w:bidi="ar-SA"/>
              </w:rPr>
              <w:t>四档（</w:t>
            </w:r>
            <w:r>
              <w:rPr>
                <w:rFonts w:hint="eastAsia" w:ascii="宋体" w:hAnsi="宋体" w:eastAsia="宋体" w:cs="宋体"/>
                <w:color w:val="auto"/>
                <w:kern w:val="2"/>
                <w:sz w:val="21"/>
                <w:szCs w:val="21"/>
                <w:highlight w:val="none"/>
                <w:lang w:val="en-US" w:eastAsia="zh-CN" w:bidi="ar-SA"/>
              </w:rPr>
              <w:t>0分</w:t>
            </w:r>
            <w:r>
              <w:rPr>
                <w:rFonts w:hint="eastAsia"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：未提供任何针对本项目的人员培训方案及相关内容。</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rPr>
              <w:t>2.</w:t>
            </w:r>
            <w:r>
              <w:rPr>
                <w:rFonts w:hint="eastAsia" w:ascii="宋体" w:hAnsi="宋体" w:cs="宋体"/>
                <w:bCs/>
                <w:color w:val="auto"/>
                <w:kern w:val="0"/>
                <w:sz w:val="21"/>
                <w:szCs w:val="21"/>
                <w:highlight w:val="none"/>
                <w:lang w:val="en-US" w:eastAsia="zh-CN"/>
              </w:rPr>
              <w:t>4</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售后</w:t>
            </w:r>
            <w:r>
              <w:rPr>
                <w:rFonts w:hint="eastAsia" w:ascii="宋体" w:hAnsi="宋体" w:cs="宋体"/>
                <w:color w:val="auto"/>
                <w:sz w:val="21"/>
                <w:szCs w:val="21"/>
                <w:highlight w:val="none"/>
              </w:rPr>
              <w:t>服务方案</w:t>
            </w:r>
            <w:r>
              <w:rPr>
                <w:rFonts w:hint="eastAsia" w:ascii="宋体" w:hAnsi="宋体" w:cs="宋体"/>
                <w:color w:val="auto"/>
                <w:sz w:val="21"/>
                <w:szCs w:val="21"/>
                <w:highlight w:val="none"/>
                <w:lang w:val="en-US" w:eastAsia="zh-CN"/>
              </w:rPr>
              <w:t>分</w:t>
            </w:r>
          </w:p>
        </w:tc>
        <w:tc>
          <w:tcPr>
            <w:tcW w:w="71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针对售后服务方案进行评价，包括售后服务的响应程度、质量保证措施、服务方式等。</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一档（4</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：陈述完善、贴合用户需求，明确售后响应时效（紧急问题1小时内、一般问题24小时内）、</w:t>
            </w:r>
            <w:r>
              <w:rPr>
                <w:rFonts w:hint="eastAsia" w:ascii="宋体" w:hAnsi="宋体" w:cs="宋体"/>
                <w:color w:val="auto"/>
                <w:kern w:val="2"/>
                <w:sz w:val="21"/>
                <w:szCs w:val="21"/>
                <w:highlight w:val="none"/>
                <w:lang w:val="en-US" w:eastAsia="zh-CN" w:bidi="ar-SA"/>
              </w:rPr>
              <w:t>反映</w:t>
            </w:r>
            <w:r>
              <w:rPr>
                <w:rFonts w:hint="eastAsia" w:ascii="宋体" w:hAnsi="宋体" w:eastAsia="宋体" w:cs="宋体"/>
                <w:color w:val="auto"/>
                <w:kern w:val="2"/>
                <w:sz w:val="21"/>
                <w:szCs w:val="21"/>
                <w:highlight w:val="none"/>
                <w:lang w:val="en-US" w:eastAsia="zh-CN" w:bidi="ar-SA"/>
              </w:rPr>
              <w:t>渠道，质保期限清晰、有完整质保措施，服务方式多样适配，可按需提供个性化支持。</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二档（2</w:t>
            </w:r>
            <w:r>
              <w:rPr>
                <w:rFonts w:hint="eastAsia" w:ascii="宋体" w:hAnsi="宋体" w:eastAsia="宋体" w:cs="宋体"/>
                <w:color w:val="auto"/>
                <w:kern w:val="2"/>
                <w:sz w:val="21"/>
                <w:szCs w:val="21"/>
                <w:highlight w:val="none"/>
                <w:lang w:val="en-US" w:eastAsia="zh-CN" w:bidi="ar-SA"/>
              </w:rPr>
              <w:t>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：陈述较完善、基本贴合需求，明确售后响应时效（紧急问题2小时内、一般问题48小时内）和核心渠道，有基础质保措施和回访机制，明确核心服务方式，细节需完善。</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三档（</w:t>
            </w:r>
            <w:r>
              <w:rPr>
                <w:rFonts w:hint="eastAsia" w:ascii="宋体" w:hAnsi="宋体" w:eastAsia="宋体" w:cs="宋体"/>
                <w:color w:val="auto"/>
                <w:kern w:val="2"/>
                <w:sz w:val="21"/>
                <w:szCs w:val="21"/>
                <w:highlight w:val="none"/>
                <w:lang w:val="en-US" w:eastAsia="zh-CN" w:bidi="ar-SA"/>
              </w:rPr>
              <w:t>1分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：陈述简略、未全面考虑需求，未明确响应时效（无1小时/24小时等具体时间）和渠道，无具体质保期限及措施，未明确服务方式，可操作性差。</w:t>
            </w:r>
          </w:p>
          <w:p>
            <w:pPr>
              <w:pStyle w:val="72"/>
              <w:keepNext w:val="0"/>
              <w:keepLines w:val="0"/>
              <w:pageBreakBefore w:val="0"/>
              <w:kinsoku/>
              <w:wordWrap/>
              <w:overflowPunct/>
              <w:topLinePunct w:val="0"/>
              <w:autoSpaceDE/>
              <w:autoSpaceDN/>
              <w:bidi w:val="0"/>
              <w:spacing w:line="360" w:lineRule="auto"/>
              <w:ind w:left="0" w:leftChars="0" w:right="0" w:rightChars="0" w:firstLine="400" w:firstLineChars="200"/>
              <w:rPr>
                <w:color w:val="auto"/>
                <w:sz w:val="21"/>
                <w:szCs w:val="21"/>
                <w:highlight w:val="none"/>
              </w:rPr>
            </w:pPr>
            <w:r>
              <w:rPr>
                <w:rFonts w:hint="eastAsia" w:ascii="宋体" w:hAnsi="宋体" w:cs="宋体"/>
                <w:color w:val="auto"/>
                <w:kern w:val="2"/>
                <w:sz w:val="21"/>
                <w:szCs w:val="21"/>
                <w:highlight w:val="none"/>
                <w:lang w:val="en-US" w:eastAsia="zh-CN" w:bidi="ar-SA"/>
              </w:rPr>
              <w:t>四档（</w:t>
            </w:r>
            <w:r>
              <w:rPr>
                <w:rFonts w:hint="eastAsia" w:ascii="宋体" w:hAnsi="宋体" w:eastAsia="宋体" w:cs="宋体"/>
                <w:color w:val="auto"/>
                <w:kern w:val="2"/>
                <w:sz w:val="21"/>
                <w:szCs w:val="21"/>
                <w:highlight w:val="none"/>
                <w:lang w:val="en-US" w:eastAsia="zh-CN" w:bidi="ar-SA"/>
              </w:rPr>
              <w:t>0分</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：未提供任何针对本项目的售后服务方案及相关内容。</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2.5</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故障及应急处理方案方案</w:t>
            </w:r>
            <w:r>
              <w:rPr>
                <w:rFonts w:hint="eastAsia" w:ascii="宋体" w:hAnsi="宋体" w:cs="宋体"/>
                <w:color w:val="auto"/>
                <w:sz w:val="21"/>
                <w:szCs w:val="21"/>
                <w:highlight w:val="none"/>
                <w:lang w:val="en-US" w:eastAsia="zh-CN"/>
              </w:rPr>
              <w:t>分</w:t>
            </w:r>
          </w:p>
        </w:tc>
        <w:tc>
          <w:tcPr>
            <w:tcW w:w="71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color w:val="auto"/>
                <w:sz w:val="21"/>
                <w:szCs w:val="21"/>
                <w:highlight w:val="none"/>
              </w:rPr>
            </w:pPr>
            <w:r>
              <w:rPr>
                <w:rFonts w:hint="eastAsia"/>
                <w:color w:val="auto"/>
                <w:sz w:val="21"/>
                <w:szCs w:val="21"/>
                <w:highlight w:val="none"/>
              </w:rPr>
              <w:t>针对本项目提供详细的故障及应急处理方案，包括故障响应方式、应急处理方式等。</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rPr>
            </w:pPr>
            <w:r>
              <w:rPr>
                <w:rFonts w:hint="eastAsia"/>
                <w:color w:val="auto"/>
                <w:sz w:val="21"/>
                <w:szCs w:val="21"/>
                <w:highlight w:val="none"/>
                <w:lang w:val="en-US" w:eastAsia="zh-CN"/>
              </w:rPr>
              <w:t>一档（4</w:t>
            </w:r>
            <w:r>
              <w:rPr>
                <w:rFonts w:hint="eastAsia"/>
                <w:color w:val="auto"/>
                <w:sz w:val="21"/>
                <w:szCs w:val="21"/>
                <w:highlight w:val="none"/>
              </w:rPr>
              <w:t>分</w:t>
            </w:r>
            <w:r>
              <w:rPr>
                <w:rFonts w:hint="eastAsia"/>
                <w:color w:val="auto"/>
                <w:sz w:val="21"/>
                <w:szCs w:val="21"/>
                <w:highlight w:val="none"/>
                <w:lang w:val="en-US" w:eastAsia="zh-CN"/>
              </w:rPr>
              <w:t>）</w:t>
            </w:r>
            <w:r>
              <w:rPr>
                <w:rFonts w:hint="eastAsia"/>
                <w:color w:val="auto"/>
                <w:sz w:val="21"/>
                <w:szCs w:val="21"/>
                <w:highlight w:val="none"/>
              </w:rPr>
              <w:t>：方案非常细致、全面，故障处理预案准备充分，明确故障响应方式（含响应时效、渠道、责任人，紧急故障1小时内响应、一般故障24小时内响应），应急处理方式具体可落地，涵盖项目各类可能出现的故障</w:t>
            </w:r>
            <w:r>
              <w:rPr>
                <w:rFonts w:hint="eastAsia"/>
                <w:color w:val="auto"/>
                <w:sz w:val="21"/>
                <w:szCs w:val="21"/>
                <w:highlight w:val="none"/>
                <w:lang w:val="en-US" w:eastAsia="zh-CN"/>
              </w:rPr>
              <w:t>及处理方式</w:t>
            </w:r>
            <w:r>
              <w:rPr>
                <w:rFonts w:hint="eastAsia"/>
                <w:color w:val="auto"/>
                <w:sz w:val="21"/>
                <w:szCs w:val="21"/>
                <w:highlight w:val="none"/>
              </w:rPr>
              <w:t>。</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rPr>
            </w:pPr>
            <w:r>
              <w:rPr>
                <w:rFonts w:hint="eastAsia"/>
                <w:color w:val="auto"/>
                <w:sz w:val="21"/>
                <w:szCs w:val="21"/>
                <w:highlight w:val="none"/>
                <w:lang w:val="en-US" w:eastAsia="zh-CN"/>
              </w:rPr>
              <w:t>二档（2</w:t>
            </w:r>
            <w:r>
              <w:rPr>
                <w:rFonts w:hint="eastAsia"/>
                <w:color w:val="auto"/>
                <w:sz w:val="21"/>
                <w:szCs w:val="21"/>
                <w:highlight w:val="none"/>
              </w:rPr>
              <w:t>分</w:t>
            </w:r>
            <w:r>
              <w:rPr>
                <w:rFonts w:hint="eastAsia"/>
                <w:color w:val="auto"/>
                <w:sz w:val="21"/>
                <w:szCs w:val="21"/>
                <w:highlight w:val="none"/>
                <w:lang w:val="en-US" w:eastAsia="zh-CN"/>
              </w:rPr>
              <w:t>）</w:t>
            </w:r>
            <w:r>
              <w:rPr>
                <w:rFonts w:hint="eastAsia"/>
                <w:color w:val="auto"/>
                <w:sz w:val="21"/>
                <w:szCs w:val="21"/>
                <w:highlight w:val="none"/>
              </w:rPr>
              <w:t>：方案较细致、全面，故障处理预案准备较充分，明确故障响应方式（含基础响应时效、核心渠道），应急处理方式基本可行，覆盖项目主要常见故障，有基础处理流程，预案细节需完善。</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rPr>
            </w:pPr>
            <w:r>
              <w:rPr>
                <w:rFonts w:hint="eastAsia"/>
                <w:color w:val="auto"/>
                <w:sz w:val="21"/>
                <w:szCs w:val="21"/>
                <w:highlight w:val="none"/>
                <w:lang w:val="en-US" w:eastAsia="zh-CN"/>
              </w:rPr>
              <w:t>三档（</w:t>
            </w:r>
            <w:r>
              <w:rPr>
                <w:rFonts w:hint="eastAsia"/>
                <w:color w:val="auto"/>
                <w:sz w:val="21"/>
                <w:szCs w:val="21"/>
                <w:highlight w:val="none"/>
              </w:rPr>
              <w:t>1分</w:t>
            </w:r>
            <w:r>
              <w:rPr>
                <w:rFonts w:hint="eastAsia"/>
                <w:color w:val="auto"/>
                <w:sz w:val="21"/>
                <w:szCs w:val="21"/>
                <w:highlight w:val="none"/>
                <w:lang w:val="en-US" w:eastAsia="zh-CN"/>
              </w:rPr>
              <w:t>）</w:t>
            </w:r>
            <w:r>
              <w:rPr>
                <w:rFonts w:hint="eastAsia"/>
                <w:color w:val="auto"/>
                <w:sz w:val="21"/>
                <w:szCs w:val="21"/>
                <w:highlight w:val="none"/>
              </w:rPr>
              <w:t>：方案不够细致，故障处理预案准备不足，仅简单提及故障响应和应急处理，未明确响应时效、渠道及责任人，未覆盖主要故障类型，无具体处理流程和预案，可操作性差。</w:t>
            </w:r>
          </w:p>
          <w:p>
            <w:pPr>
              <w:pStyle w:val="72"/>
              <w:keepNext w:val="0"/>
              <w:keepLines w:val="0"/>
              <w:pageBreakBefore w:val="0"/>
              <w:kinsoku/>
              <w:wordWrap/>
              <w:overflowPunct/>
              <w:topLinePunct w:val="0"/>
              <w:autoSpaceDE/>
              <w:autoSpaceDN/>
              <w:bidi w:val="0"/>
              <w:spacing w:line="360" w:lineRule="auto"/>
              <w:ind w:left="0" w:leftChars="0" w:right="0" w:rightChars="0" w:firstLine="400" w:firstLineChars="200"/>
              <w:rPr>
                <w:color w:val="auto"/>
                <w:sz w:val="21"/>
                <w:szCs w:val="21"/>
                <w:highlight w:val="none"/>
              </w:rPr>
            </w:pPr>
            <w:r>
              <w:rPr>
                <w:rFonts w:hint="eastAsia"/>
                <w:color w:val="auto"/>
                <w:sz w:val="21"/>
                <w:szCs w:val="21"/>
                <w:highlight w:val="none"/>
                <w:lang w:val="en-US" w:eastAsia="zh-CN"/>
              </w:rPr>
              <w:t>四档（</w:t>
            </w:r>
            <w:r>
              <w:rPr>
                <w:rFonts w:hint="eastAsia"/>
                <w:color w:val="auto"/>
                <w:sz w:val="21"/>
                <w:szCs w:val="21"/>
                <w:highlight w:val="none"/>
              </w:rPr>
              <w:t>0分</w:t>
            </w:r>
            <w:r>
              <w:rPr>
                <w:rFonts w:hint="eastAsia"/>
                <w:color w:val="auto"/>
                <w:sz w:val="21"/>
                <w:szCs w:val="21"/>
                <w:highlight w:val="none"/>
                <w:lang w:val="en-US" w:eastAsia="zh-CN"/>
              </w:rPr>
              <w:t>）</w:t>
            </w:r>
            <w:r>
              <w:rPr>
                <w:rFonts w:hint="eastAsia"/>
                <w:color w:val="auto"/>
                <w:sz w:val="21"/>
                <w:szCs w:val="21"/>
                <w:highlight w:val="none"/>
              </w:rPr>
              <w:t>：未提供任何针对本项目的故障及应急处理方案及相关内容。</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eastAsia"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default" w:ascii="宋体" w:hAnsi="宋体" w:eastAsia="宋体" w:cs="宋体"/>
                <w:bCs/>
                <w:color w:val="auto"/>
                <w:kern w:val="0"/>
                <w:sz w:val="21"/>
                <w:szCs w:val="21"/>
                <w:highlight w:val="none"/>
                <w:lang w:val="en-US" w:eastAsia="zh-CN"/>
              </w:rPr>
            </w:pPr>
            <w:r>
              <w:rPr>
                <w:rFonts w:hint="eastAsia" w:ascii="宋体" w:hAnsi="宋体" w:cs="宋体"/>
                <w:bCs/>
                <w:color w:val="auto"/>
                <w:kern w:val="0"/>
                <w:sz w:val="21"/>
                <w:szCs w:val="21"/>
                <w:highlight w:val="none"/>
                <w:lang w:val="en-US" w:eastAsia="zh-CN"/>
              </w:rPr>
              <w:t>2.6</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演示分</w:t>
            </w:r>
          </w:p>
        </w:tc>
        <w:tc>
          <w:tcPr>
            <w:tcW w:w="71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一、演示微仿真编辑模块的以下内容：</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（1）网页在线开发。需是通过浏览器运行的虚拟仿真软件开发工具，无需安装任何软件或插件，直接使用浏览器打开网页即可打开虚拟仿真软件，进行虚拟资源的编辑开发工作。（3分）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2）协同交替开发：需支持异地用户无需拷贝数据即可方便实现多人多角色的协同开发。同一个项目中，用户A开发完相关功能后，无需拷贝数据即可将项目工程传递至用户B处，进行其他功能的开发处理。同理，可继续传递至其他用户处，进行项目的交替开发。（3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（3）引擎中英文切换：用户可点击引擎项目工程中中英文切换按钮，可一键将工具界面相关文字内容切换为英文显示，再次点击，切换为中文。（3分）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二、演示伴学智能体以下内容：</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（1）核心功能</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基于教材内容构建课程专属语义向量库，支持上下文相关的精准问答；（3分）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在练习或输入过程中实时识别概念混淆、公式误用等错误，并给出情境化纠错提示。</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（2）典型应用场景</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学生可随时就当前学习内容提问，获得简明、准确的解释；</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解题时若步骤出错，系统即时指出错误原因，而非仅判对错。（3分）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三、演示交互式AI拍课的以下功能：</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1.资源特色</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以数字人技术为核心支撑，聚焦标准化、高效化内容产出，支持真人克隆音色解说与精准口型同步效果，适配快速批量制作的应用场景。（3分）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2.交互式AI拍课播放</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资源为浏览器网页播放的交互式视频，联网打开后可进行视频观看以及交互答题等课程互动。（3分）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四、演示交互式AI拍课编辑模块的以下功能：</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1.树状逻辑剧情</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可以自由地创建视频播放逻辑，按实际需求生成对应的视频逻辑分支，方便表达主题。（3分）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2.丰富的多媒体资源</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创建逻辑分支时可以自由地选择上传的媒体资源，包括：视频，图片，以及360全景照片，且支持同一个项目上传多种资源，混排上传。通过多元化的媒体形式更好的服务项目教学目标，创建身临其境的教学环境。（3分）</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3.媒体资源删除或替换</w:t>
            </w:r>
          </w:p>
          <w:p>
            <w:pPr>
              <w:pStyle w:val="72"/>
              <w:keepNext w:val="0"/>
              <w:keepLines w:val="0"/>
              <w:pageBreakBefore w:val="0"/>
              <w:kinsoku/>
              <w:wordWrap/>
              <w:overflowPunct/>
              <w:topLinePunct w:val="0"/>
              <w:autoSpaceDE/>
              <w:autoSpaceDN/>
              <w:bidi w:val="0"/>
              <w:spacing w:line="360" w:lineRule="auto"/>
              <w:ind w:left="0" w:leftChars="0" w:right="0" w:rightChars="0"/>
              <w:rPr>
                <w:rFonts w:hint="eastAsia"/>
                <w:color w:val="auto"/>
                <w:sz w:val="21"/>
                <w:szCs w:val="21"/>
                <w:highlight w:val="none"/>
                <w:lang w:val="en-US" w:eastAsia="zh-CN"/>
              </w:rPr>
            </w:pPr>
            <w:r>
              <w:rPr>
                <w:rFonts w:hint="eastAsia"/>
                <w:color w:val="auto"/>
                <w:sz w:val="21"/>
                <w:szCs w:val="21"/>
                <w:highlight w:val="none"/>
                <w:lang w:val="en-US" w:eastAsia="zh-CN"/>
              </w:rPr>
              <w:t>上传的媒体资源支持同类型资源快速删除替换，在不影响内部游戏的情况下，更换基底视频，操作灵活。（3分）</w:t>
            </w:r>
          </w:p>
          <w:p>
            <w:pPr>
              <w:pStyle w:val="72"/>
              <w:keepNext w:val="0"/>
              <w:keepLines w:val="0"/>
              <w:pageBreakBefore w:val="0"/>
              <w:kinsoku/>
              <w:wordWrap/>
              <w:overflowPunct/>
              <w:topLinePunct w:val="0"/>
              <w:autoSpaceDE/>
              <w:autoSpaceDN/>
              <w:bidi w:val="0"/>
              <w:spacing w:line="360" w:lineRule="auto"/>
              <w:ind w:left="0" w:leftChars="0" w:right="0" w:rightChars="0" w:firstLine="400" w:firstLineChars="200"/>
              <w:rPr>
                <w:rFonts w:hint="default"/>
                <w:color w:val="auto"/>
                <w:sz w:val="21"/>
                <w:szCs w:val="21"/>
                <w:highlight w:val="none"/>
                <w:lang w:val="en-US" w:eastAsia="zh-CN"/>
              </w:rPr>
            </w:pPr>
            <w:r>
              <w:rPr>
                <w:rFonts w:hint="eastAsia"/>
                <w:color w:val="auto"/>
                <w:sz w:val="21"/>
                <w:szCs w:val="21"/>
                <w:highlight w:val="none"/>
                <w:lang w:val="en-US" w:eastAsia="zh-CN"/>
              </w:rPr>
              <w:t>演示全部满足上述功能要求，得30分；功能不满足要求或未提供演示或未采用系统形式演示的，对应分项不得分。</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90"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bCs/>
                <w:color w:val="auto"/>
                <w:kern w:val="0"/>
                <w:sz w:val="21"/>
                <w:szCs w:val="21"/>
                <w:highlight w:val="none"/>
              </w:rPr>
            </w:pPr>
            <w:r>
              <w:rPr>
                <w:rFonts w:hint="eastAsia" w:ascii="宋体" w:hAnsi="宋体" w:cs="宋体"/>
                <w:b/>
                <w:bCs/>
                <w:color w:val="auto"/>
                <w:kern w:val="0"/>
                <w:sz w:val="21"/>
                <w:szCs w:val="21"/>
                <w:highlight w:val="none"/>
              </w:rPr>
              <w:t>3</w:t>
            </w:r>
          </w:p>
        </w:tc>
        <w:tc>
          <w:tcPr>
            <w:tcW w:w="1089" w:type="dxa"/>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color w:val="auto"/>
                <w:sz w:val="21"/>
                <w:szCs w:val="21"/>
                <w:highlight w:val="none"/>
              </w:rPr>
            </w:pPr>
            <w:r>
              <w:rPr>
                <w:rFonts w:hint="eastAsia" w:ascii="宋体" w:hAnsi="宋体" w:cs="宋体"/>
                <w:b/>
                <w:bCs/>
                <w:color w:val="auto"/>
                <w:sz w:val="21"/>
                <w:szCs w:val="21"/>
                <w:highlight w:val="none"/>
              </w:rPr>
              <w:t>商务分</w:t>
            </w:r>
          </w:p>
        </w:tc>
        <w:tc>
          <w:tcPr>
            <w:tcW w:w="805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jc w:val="center"/>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690"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textAlignment w:val="baseline"/>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rPr>
              <w:t>3.</w:t>
            </w:r>
            <w:r>
              <w:rPr>
                <w:rFonts w:hint="eastAsia" w:ascii="宋体" w:hAnsi="宋体" w:cs="宋体"/>
                <w:bCs/>
                <w:color w:val="auto"/>
                <w:kern w:val="0"/>
                <w:sz w:val="21"/>
                <w:szCs w:val="21"/>
                <w:highlight w:val="none"/>
                <w:lang w:val="en-US" w:eastAsia="zh-CN"/>
              </w:rPr>
              <w:t>1</w:t>
            </w:r>
          </w:p>
        </w:tc>
        <w:tc>
          <w:tcPr>
            <w:tcW w:w="1089"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业绩分</w:t>
            </w:r>
          </w:p>
        </w:tc>
        <w:tc>
          <w:tcPr>
            <w:tcW w:w="7181" w:type="dxa"/>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outlineLvl w:val="1"/>
              <w:rPr>
                <w:rFonts w:ascii="宋体" w:hAnsi="宋体"/>
                <w:bCs/>
                <w:color w:val="auto"/>
                <w:kern w:val="0"/>
                <w:sz w:val="21"/>
                <w:szCs w:val="21"/>
                <w:highlight w:val="none"/>
              </w:rPr>
            </w:pPr>
            <w:r>
              <w:rPr>
                <w:rFonts w:hint="eastAsia" w:ascii="宋体" w:hAnsi="宋体"/>
                <w:bCs/>
                <w:color w:val="auto"/>
                <w:kern w:val="0"/>
                <w:sz w:val="21"/>
                <w:szCs w:val="21"/>
                <w:highlight w:val="none"/>
                <w:lang w:val="en-US" w:eastAsia="zh-CN" w:bidi="ar"/>
              </w:rPr>
              <w:t>供应商或产品制造商</w:t>
            </w:r>
            <w:r>
              <w:rPr>
                <w:rFonts w:hint="eastAsia" w:ascii="宋体" w:hAnsi="宋体"/>
                <w:bCs/>
                <w:color w:val="auto"/>
                <w:kern w:val="0"/>
                <w:sz w:val="21"/>
                <w:szCs w:val="21"/>
                <w:highlight w:val="none"/>
                <w:lang w:bidi="ar"/>
              </w:rPr>
              <w:t>自202</w:t>
            </w:r>
            <w:r>
              <w:rPr>
                <w:rFonts w:hint="eastAsia" w:ascii="宋体" w:hAnsi="宋体"/>
                <w:bCs/>
                <w:color w:val="auto"/>
                <w:kern w:val="0"/>
                <w:sz w:val="21"/>
                <w:szCs w:val="21"/>
                <w:highlight w:val="none"/>
                <w:lang w:val="en-US" w:eastAsia="zh-CN" w:bidi="ar"/>
              </w:rPr>
              <w:t>3</w:t>
            </w:r>
            <w:r>
              <w:rPr>
                <w:rFonts w:hint="eastAsia" w:ascii="宋体" w:hAnsi="宋体"/>
                <w:bCs/>
                <w:color w:val="auto"/>
                <w:kern w:val="0"/>
                <w:sz w:val="21"/>
                <w:szCs w:val="21"/>
                <w:highlight w:val="none"/>
                <w:lang w:bidi="ar"/>
              </w:rPr>
              <w:t>年1月1日</w:t>
            </w:r>
            <w:r>
              <w:rPr>
                <w:rFonts w:hint="eastAsia" w:ascii="Calibri" w:hAnsi="宋体" w:eastAsia="宋体" w:cs="Times New Roman"/>
                <w:b w:val="0"/>
                <w:bCs/>
                <w:color w:val="auto"/>
                <w:kern w:val="2"/>
                <w:sz w:val="21"/>
                <w:szCs w:val="21"/>
                <w:highlight w:val="none"/>
                <w:lang w:val="en-US" w:eastAsia="zh-CN" w:bidi="ar"/>
              </w:rPr>
              <w:t>以来具有类似项目业绩的</w:t>
            </w:r>
            <w:r>
              <w:rPr>
                <w:rFonts w:hint="eastAsia" w:ascii="宋体" w:hAnsi="宋体"/>
                <w:b w:val="0"/>
                <w:bCs/>
                <w:color w:val="auto"/>
                <w:kern w:val="0"/>
                <w:sz w:val="21"/>
                <w:szCs w:val="21"/>
                <w:highlight w:val="none"/>
                <w:lang w:bidi="ar"/>
              </w:rPr>
              <w:t>，</w:t>
            </w:r>
            <w:r>
              <w:rPr>
                <w:rFonts w:hint="eastAsia" w:ascii="宋体" w:hAnsi="宋体"/>
                <w:bCs/>
                <w:color w:val="auto"/>
                <w:kern w:val="0"/>
                <w:sz w:val="21"/>
                <w:szCs w:val="21"/>
                <w:highlight w:val="none"/>
                <w:lang w:bidi="ar"/>
              </w:rPr>
              <w:t>每提供一个得</w:t>
            </w:r>
            <w:r>
              <w:rPr>
                <w:rFonts w:hint="eastAsia" w:ascii="宋体" w:hAnsi="宋体"/>
                <w:bCs/>
                <w:color w:val="auto"/>
                <w:kern w:val="0"/>
                <w:sz w:val="21"/>
                <w:szCs w:val="21"/>
                <w:highlight w:val="none"/>
                <w:lang w:val="en-US" w:eastAsia="zh-CN" w:bidi="ar"/>
              </w:rPr>
              <w:t>2</w:t>
            </w:r>
            <w:r>
              <w:rPr>
                <w:rFonts w:hint="eastAsia" w:ascii="宋体" w:hAnsi="宋体"/>
                <w:bCs/>
                <w:color w:val="auto"/>
                <w:kern w:val="0"/>
                <w:sz w:val="21"/>
                <w:szCs w:val="21"/>
                <w:highlight w:val="none"/>
                <w:lang w:bidi="ar"/>
              </w:rPr>
              <w:t>分，满分</w:t>
            </w:r>
            <w:r>
              <w:rPr>
                <w:rFonts w:hint="eastAsia" w:ascii="宋体" w:hAnsi="宋体"/>
                <w:bCs/>
                <w:color w:val="auto"/>
                <w:kern w:val="0"/>
                <w:sz w:val="21"/>
                <w:szCs w:val="21"/>
                <w:highlight w:val="none"/>
                <w:lang w:val="en-US" w:eastAsia="zh-CN" w:bidi="ar"/>
              </w:rPr>
              <w:t>4</w:t>
            </w:r>
            <w:r>
              <w:rPr>
                <w:rFonts w:hint="eastAsia" w:ascii="宋体" w:hAnsi="宋体"/>
                <w:bCs/>
                <w:color w:val="auto"/>
                <w:kern w:val="0"/>
                <w:sz w:val="21"/>
                <w:szCs w:val="21"/>
                <w:highlight w:val="none"/>
                <w:lang w:bidi="ar"/>
              </w:rPr>
              <w:t>分。</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left"/>
              <w:rPr>
                <w:rFonts w:hint="eastAsia" w:ascii="宋体" w:hAnsi="宋体" w:cs="宋体"/>
                <w:color w:val="auto"/>
                <w:sz w:val="21"/>
                <w:szCs w:val="21"/>
                <w:highlight w:val="none"/>
                <w:lang w:bidi="ar"/>
              </w:rPr>
            </w:pPr>
            <w:r>
              <w:rPr>
                <w:rFonts w:hint="eastAsia" w:ascii="宋体" w:hAnsi="宋体"/>
                <w:b/>
                <w:bCs/>
                <w:color w:val="auto"/>
                <w:kern w:val="0"/>
                <w:sz w:val="21"/>
                <w:szCs w:val="21"/>
                <w:highlight w:val="none"/>
                <w:lang w:bidi="ar"/>
              </w:rPr>
              <w:t>注：需提供有效的</w:t>
            </w:r>
            <w:r>
              <w:rPr>
                <w:rFonts w:hint="eastAsia" w:ascii="宋体" w:hAnsi="宋体"/>
                <w:b/>
                <w:bCs/>
                <w:color w:val="auto"/>
                <w:kern w:val="0"/>
                <w:sz w:val="21"/>
                <w:szCs w:val="21"/>
                <w:highlight w:val="none"/>
                <w:lang w:val="en-US" w:eastAsia="zh-CN" w:bidi="ar"/>
              </w:rPr>
              <w:t>合同</w:t>
            </w:r>
            <w:r>
              <w:rPr>
                <w:rFonts w:hint="eastAsia" w:ascii="宋体" w:hAnsi="宋体"/>
                <w:b/>
                <w:bCs/>
                <w:color w:val="auto"/>
                <w:kern w:val="0"/>
                <w:sz w:val="21"/>
                <w:szCs w:val="21"/>
                <w:highlight w:val="none"/>
                <w:lang w:bidi="ar"/>
              </w:rPr>
              <w:t>复印件</w:t>
            </w:r>
            <w:r>
              <w:rPr>
                <w:rFonts w:hint="eastAsia" w:ascii="宋体" w:hAnsi="宋体" w:cs="宋体"/>
                <w:b/>
                <w:bCs/>
                <w:color w:val="auto"/>
                <w:kern w:val="0"/>
                <w:sz w:val="21"/>
                <w:szCs w:val="21"/>
                <w:highlight w:val="none"/>
                <w:lang w:bidi="ar"/>
              </w:rPr>
              <w:t>加盖供应商公章，未提供或提供的材料内容不满足要求的不予计分</w:t>
            </w:r>
            <w:r>
              <w:rPr>
                <w:rFonts w:hint="eastAsia" w:ascii="宋体" w:hAnsi="宋体"/>
                <w:b/>
                <w:bCs/>
                <w:color w:val="auto"/>
                <w:kern w:val="0"/>
                <w:sz w:val="21"/>
                <w:szCs w:val="21"/>
                <w:highlight w:val="none"/>
                <w:lang w:bidi="ar"/>
              </w:rPr>
              <w:t>。</w:t>
            </w:r>
          </w:p>
        </w:tc>
        <w:tc>
          <w:tcPr>
            <w:tcW w:w="874" w:type="dxa"/>
            <w:gridSpan w:val="2"/>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jc w:val="center"/>
              <w:textAlignment w:val="baseline"/>
              <w:rPr>
                <w:rFonts w:ascii="宋体" w:hAnsi="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cs="宋体"/>
                <w:color w:val="auto"/>
                <w:kern w:val="0"/>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960" w:type="dxa"/>
            <w:gridSpan w:val="3"/>
            <w:noWrap w:val="0"/>
            <w:vAlign w:val="center"/>
          </w:tcPr>
          <w:p>
            <w:pPr>
              <w:keepNext w:val="0"/>
              <w:keepLines w:val="0"/>
              <w:pageBreakBefore w:val="0"/>
              <w:kinsoku/>
              <w:wordWrap/>
              <w:overflowPunct/>
              <w:topLinePunct w:val="0"/>
              <w:autoSpaceDE/>
              <w:autoSpaceDN/>
              <w:bidi w:val="0"/>
              <w:adjustRightInd w:val="0"/>
              <w:snapToGrid w:val="0"/>
              <w:spacing w:line="360" w:lineRule="auto"/>
              <w:ind w:left="0" w:leftChars="0" w:right="0" w:rightChars="0"/>
              <w:rPr>
                <w:rFonts w:hint="eastAsia" w:ascii="宋体" w:hAnsi="宋体" w:cs="宋体"/>
                <w:bCs/>
                <w:color w:val="auto"/>
                <w:sz w:val="21"/>
                <w:szCs w:val="21"/>
                <w:highlight w:val="none"/>
              </w:rPr>
            </w:pPr>
            <w:r>
              <w:rPr>
                <w:rFonts w:hint="eastAsia" w:ascii="宋体" w:hAnsi="宋体" w:cs="宋体"/>
                <w:b/>
                <w:bCs/>
                <w:color w:val="auto"/>
                <w:sz w:val="21"/>
                <w:szCs w:val="21"/>
                <w:highlight w:val="none"/>
                <w:lang w:bidi="ar"/>
              </w:rPr>
              <w:t>总得分</w:t>
            </w:r>
            <w:r>
              <w:rPr>
                <w:rFonts w:ascii="宋体" w:hAnsi="宋体" w:cs="宋体"/>
                <w:b/>
                <w:bCs/>
                <w:color w:val="auto"/>
                <w:sz w:val="21"/>
                <w:szCs w:val="21"/>
                <w:highlight w:val="none"/>
                <w:lang w:bidi="ar"/>
              </w:rPr>
              <w:t>=1+2+3</w:t>
            </w:r>
          </w:p>
        </w:tc>
        <w:tc>
          <w:tcPr>
            <w:tcW w:w="874"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rPr>
                <w:rFonts w:ascii="宋体" w:hAnsi="宋体" w:cs="宋体"/>
                <w:color w:val="auto"/>
                <w:kern w:val="0"/>
                <w:sz w:val="21"/>
                <w:szCs w:val="21"/>
                <w:highlight w:val="none"/>
              </w:rPr>
            </w:pPr>
            <w:r>
              <w:rPr>
                <w:rFonts w:hint="eastAsia" w:ascii="宋体" w:hAnsi="宋体" w:cs="宋体"/>
                <w:color w:val="auto"/>
                <w:kern w:val="0"/>
                <w:sz w:val="21"/>
                <w:szCs w:val="21"/>
                <w:highlight w:val="none"/>
              </w:rPr>
              <w:t>100分</w:t>
            </w:r>
          </w:p>
        </w:tc>
      </w:tr>
    </w:tbl>
    <w:p>
      <w:pPr>
        <w:rPr>
          <w:rFonts w:hint="eastAsia"/>
          <w:color w:val="auto"/>
          <w:highlight w:val="none"/>
          <w:lang w:val="en-US"/>
        </w:rPr>
      </w:pP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（三）总得分为上述计分项的汇总。</w:t>
      </w:r>
    </w:p>
    <w:p>
      <w:pPr>
        <w:snapToGrid w:val="0"/>
        <w:spacing w:line="360" w:lineRule="auto"/>
        <w:ind w:firstLine="482"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lang w:eastAsia="zh-CN"/>
        </w:rPr>
        <w:t>二</w:t>
      </w:r>
      <w:r>
        <w:rPr>
          <w:rFonts w:hint="eastAsia" w:asciiTheme="minorEastAsia" w:hAnsiTheme="minorEastAsia" w:eastAsiaTheme="minorEastAsia" w:cstheme="minorEastAsia"/>
          <w:b/>
          <w:bCs/>
          <w:color w:val="auto"/>
          <w:sz w:val="24"/>
          <w:highlight w:val="none"/>
        </w:rPr>
        <w:t>、成交候选供应商推荐原则</w:t>
      </w:r>
    </w:p>
    <w:p>
      <w:pPr>
        <w:snapToGrid w:val="0"/>
        <w:spacing w:line="360" w:lineRule="auto"/>
        <w:ind w:firstLine="480" w:firstLineChars="200"/>
        <w:outlineLvl w:val="1"/>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磋商小组将根据得分由高到低排列次序（得分相同时，以磋商报价由低到高顺序排列；得分相同且磋商报价相同的，按技术指标优劣顺序排列）并推荐成交候选供应商。采购人应当确定评审委员会推荐排名第一的成交候选供应商为成交供应商。排名第一的成交候选供应商放弃成交、因不可抗力提出不能履行合同，或者磋商文件规定应当提交履约保证金而在规定的期限内未能提交的，采购人可以确定排名第二的成交候选供应商为成交供应商。排名第二的成交候选供应商因前款规定的同样原因不能签订合同的，采购人可以确定排名第三的成交候选供应商为成交供应商，其余以此类推。采购人也可以决定重新采购。</w:t>
      </w:r>
    </w:p>
    <w:p>
      <w:pPr>
        <w:snapToGrid w:val="0"/>
        <w:spacing w:line="360" w:lineRule="auto"/>
        <w:ind w:firstLine="480" w:firstLineChars="200"/>
        <w:outlineLvl w:val="1"/>
        <w:rPr>
          <w:color w:val="auto"/>
          <w:highlight w:val="none"/>
        </w:rPr>
      </w:pPr>
      <w:r>
        <w:rPr>
          <w:rFonts w:hint="eastAsia" w:asciiTheme="minorEastAsia" w:hAnsiTheme="minorEastAsia" w:eastAsiaTheme="minorEastAsia" w:cstheme="minorEastAsia"/>
          <w:color w:val="auto"/>
          <w:sz w:val="24"/>
          <w:highlight w:val="none"/>
        </w:rPr>
        <w:t>（二）磋商小组认为，某磋商供应商的磋商报价属于采购文件规定异常低价情况之一的，应要求其在规定的期限内提供书面文件予以解释说明，并提交相关证明材料，否则磋商无效。</w:t>
      </w:r>
    </w:p>
    <w:p>
      <w:pPr>
        <w:rPr>
          <w:color w:val="auto"/>
          <w:highlight w:val="none"/>
        </w:rPr>
      </w:pPr>
    </w:p>
    <w:p>
      <w:pPr>
        <w:snapToGrid w:val="0"/>
        <w:spacing w:line="360" w:lineRule="auto"/>
        <w:ind w:firstLine="400" w:firstLineChars="200"/>
        <w:rPr>
          <w:rFonts w:hint="eastAsia" w:ascii="宋体" w:hAnsi="宋体" w:cs="宋体"/>
          <w:color w:val="auto"/>
          <w:sz w:val="24"/>
          <w:highlight w:val="none"/>
        </w:rPr>
      </w:pPr>
      <w:r>
        <w:rPr>
          <w:rFonts w:hint="eastAsia" w:ascii="宋体" w:hAnsi="宋体" w:cs="宋体"/>
          <w:color w:val="auto"/>
          <w:sz w:val="20"/>
          <w:szCs w:val="20"/>
          <w:highlight w:val="none"/>
          <w:shd w:val="clear" w:color="auto" w:fill="FFFFFF"/>
        </w:rPr>
        <w:t> </w:t>
      </w: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供应商编制响应文件（商务技术文件部分）时，建议按此目录（序号和内容）提供评标标准相应的商务技术资料。</w:t>
      </w:r>
    </w:p>
    <w:p>
      <w:pPr>
        <w:adjustRightInd/>
        <w:spacing w:line="360" w:lineRule="auto"/>
        <w:ind w:firstLine="482" w:firstLineChars="200"/>
        <w:rPr>
          <w:rFonts w:hint="eastAsia" w:cs="Arial" w:asciiTheme="minorEastAsia" w:hAnsiTheme="minorEastAsia" w:eastAsiaTheme="minorEastAsia"/>
          <w:b/>
          <w:color w:val="auto"/>
          <w:kern w:val="0"/>
          <w:sz w:val="24"/>
          <w:highlight w:val="none"/>
        </w:rPr>
      </w:pPr>
    </w:p>
    <w:p>
      <w:pPr>
        <w:pStyle w:val="394"/>
        <w:spacing w:before="0"/>
        <w:ind w:firstLine="643"/>
        <w:jc w:val="center"/>
        <w:outlineLvl w:val="1"/>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pPr>
        <w:adjustRightInd/>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pPr>
        <w:adjustRightInd/>
        <w:spacing w:line="360" w:lineRule="auto"/>
        <w:rPr>
          <w:rFonts w:cs="Arial" w:asciiTheme="minorEastAsia" w:hAnsiTheme="minorEastAsia" w:eastAsiaTheme="minorEastAsia"/>
          <w:color w:val="auto"/>
          <w:kern w:val="0"/>
          <w:sz w:val="24"/>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pPr>
        <w:pStyle w:val="394"/>
        <w:spacing w:before="0"/>
        <w:ind w:firstLine="0" w:firstLineChars="0"/>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pPr>
        <w:snapToGrid w:val="0"/>
        <w:spacing w:line="360" w:lineRule="auto"/>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在政府采购活动中，磋商小组的组成人员与供应商有下列利害关系之一的，应当回避：</w:t>
      </w:r>
    </w:p>
    <w:p>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pPr>
        <w:pStyle w:val="394"/>
        <w:spacing w:before="0"/>
        <w:ind w:firstLine="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pPr>
        <w:pStyle w:val="394"/>
        <w:spacing w:before="0"/>
        <w:ind w:firstLine="480" w:firstLineChars="0"/>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pPr>
        <w:snapToGrid w:val="0"/>
        <w:spacing w:line="360" w:lineRule="auto"/>
        <w:ind w:left="120" w:leftChars="57" w:firstLine="482" w:firstLineChars="150"/>
        <w:jc w:val="center"/>
        <w:rPr>
          <w:rFonts w:cs="仿宋_GB2312" w:asciiTheme="minorEastAsia" w:hAnsiTheme="minorEastAsia" w:eastAsiaTheme="minorEastAsia"/>
          <w:b/>
          <w:color w:val="auto"/>
          <w:sz w:val="32"/>
          <w:highlight w:val="none"/>
        </w:rPr>
      </w:pPr>
    </w:p>
    <w:p>
      <w:pPr>
        <w:snapToGrid w:val="0"/>
        <w:spacing w:line="360" w:lineRule="auto"/>
        <w:ind w:left="120" w:leftChars="57" w:firstLine="482" w:firstLineChars="150"/>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1.磋商小组负责具体评审事务，并独立履行下列职责：</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pPr>
        <w:pStyle w:val="394"/>
        <w:spacing w:before="0"/>
        <w:ind w:firstLine="0" w:firstLineChars="0"/>
        <w:rPr>
          <w:rFonts w:cs="Arial" w:asciiTheme="minorEastAsia" w:hAnsiTheme="minorEastAsia" w:eastAsiaTheme="minorEastAsia"/>
          <w:b/>
          <w:color w:val="auto"/>
          <w:kern w:val="0"/>
          <w:szCs w:val="24"/>
          <w:highlight w:val="none"/>
        </w:rPr>
      </w:pPr>
      <w:r>
        <w:rPr>
          <w:rFonts w:hint="eastAsia" w:cs="Arial" w:asciiTheme="minorEastAsia" w:hAnsiTheme="minorEastAsia" w:eastAsiaTheme="minorEastAsia"/>
          <w:b/>
          <w:color w:val="auto"/>
          <w:kern w:val="0"/>
          <w:szCs w:val="24"/>
          <w:highlight w:val="none"/>
        </w:rPr>
        <w:t>2.磋商小组及其成员不得有下列行为：</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pPr>
        <w:pStyle w:val="394"/>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pPr>
        <w:pStyle w:val="394"/>
        <w:spacing w:before="0"/>
        <w:ind w:firstLine="0" w:firstLineChars="0"/>
        <w:rPr>
          <w:rFonts w:asciiTheme="minorEastAsia" w:hAnsiTheme="minorEastAsia" w:eastAsiaTheme="minorEastAsia"/>
          <w:b/>
          <w:color w:val="auto"/>
          <w:highlight w:val="none"/>
        </w:rPr>
      </w:pPr>
    </w:p>
    <w:p>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pPr>
        <w:pStyle w:val="394"/>
        <w:spacing w:before="0"/>
        <w:ind w:firstLine="472" w:firstLineChars="196"/>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pPr>
        <w:pStyle w:val="394"/>
        <w:spacing w:before="0"/>
        <w:ind w:firstLine="0" w:firstLineChars="0"/>
        <w:rPr>
          <w:rFonts w:asciiTheme="minorEastAsia" w:hAnsiTheme="minorEastAsia" w:eastAsiaTheme="minorEastAsia"/>
          <w:b/>
          <w:color w:val="auto"/>
          <w:highlight w:val="none"/>
        </w:rPr>
      </w:pPr>
    </w:p>
    <w:p>
      <w:pPr>
        <w:pStyle w:val="394"/>
        <w:spacing w:before="0"/>
        <w:ind w:firstLine="0" w:firstLineChars="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2.2大写金额和小写金额不一致的，以大写金额为准;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2.4总价金额与按单价汇总金额不一致的，以单价金额计算结果为准。</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3.政府采购异常低价审查：</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3.1按照《关于推动解决政府采购异常低价问题的通知》（财库〔2026〕2号）有关规定，本项目评审中出现下列情形之一的，磋商小组应当启动异常低价响应审查程序：</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（1）最后报价低于全部通过符合性审查供应商最后报价平均值50%的，即最后报价&lt;全部通过符合性审查供应商最后报价平均值×50%；</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（2）最后报价低于通过符合性审查的次低报价供应商最后报价50%的，即最后报价&lt;通过符合性审查的次低报价供应商最后报价×50%；</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（3）最后报价低于采购项目最高限价45%的，即最后报价&lt;采购项目最高限价×45%；</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（4）磋商小组基于专业判断，认为供应商报价过低，有可能影响产品质量或者不能诚信履约的其他情形。</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按照规定，采购人可以结合具体项目实际情况，提高上述第（1）项至第（3）项中启动异常低价响应审查的数值标准，但是最高不得超过65%，本项目采购人决定将上述（1）（2）（3）数值标准分别确定为</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50%</w:t>
      </w:r>
      <w:r>
        <w:rPr>
          <w:rFonts w:hint="eastAsia" w:ascii="宋体" w:hAnsi="宋体" w:cs="宋体"/>
          <w:color w:val="auto"/>
          <w:kern w:val="0"/>
          <w:szCs w:val="24"/>
          <w:highlight w:val="none"/>
        </w:rPr>
        <w:t>，</w:t>
      </w:r>
      <w:r>
        <w:rPr>
          <w:rFonts w:hint="eastAsia" w:ascii="宋体" w:hAnsi="宋体" w:cs="宋体"/>
          <w:color w:val="auto"/>
          <w:kern w:val="0"/>
          <w:szCs w:val="24"/>
          <w:highlight w:val="none"/>
          <w:u w:val="single"/>
        </w:rPr>
        <w:t>45%</w:t>
      </w:r>
      <w:r>
        <w:rPr>
          <w:rFonts w:hint="eastAsia" w:ascii="宋体" w:hAnsi="宋体" w:cs="宋体"/>
          <w:color w:val="auto"/>
          <w:kern w:val="0"/>
          <w:szCs w:val="24"/>
          <w:highlight w:val="none"/>
        </w:rPr>
        <w:t>。</w:t>
      </w:r>
      <w:r>
        <w:rPr>
          <w:rFonts w:hint="eastAsia" w:ascii="宋体" w:hAnsi="宋体" w:cs="宋体"/>
          <w:color w:val="auto"/>
          <w:kern w:val="0"/>
          <w:highlight w:val="none"/>
        </w:rPr>
        <w:t>采购项目未设定最高限价的，审查时取项目预算金额作为最高限价。</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磋商小组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谈判处理。</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pPr>
        <w:pStyle w:val="394"/>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异常低价响应审查的启动原因、审查意见和审查结果应当在评审报告中记录，并随供应商提供的相关书面说明及证明材料，以及磋商小组有关互联网浏览、查询历史一并归档。</w:t>
      </w:r>
    </w:p>
    <w:p>
      <w:pPr>
        <w:pStyle w:val="394"/>
        <w:spacing w:before="0"/>
        <w:ind w:firstLine="0" w:firstLineChars="0"/>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4.</w:t>
      </w:r>
      <w:r>
        <w:rPr>
          <w:rFonts w:hint="eastAsia" w:asciiTheme="minorEastAsia" w:hAnsiTheme="minorEastAsia" w:eastAsiaTheme="minorEastAsia"/>
          <w:b/>
          <w:color w:val="auto"/>
          <w:spacing w:val="20"/>
          <w:highlight w:val="none"/>
        </w:rPr>
        <w:t>响应无效</w:t>
      </w:r>
    </w:p>
    <w:p>
      <w:pPr>
        <w:pStyle w:val="24"/>
        <w:spacing w:line="360" w:lineRule="auto"/>
        <w:ind w:firstLine="600" w:firstLineChars="250"/>
        <w:rPr>
          <w:rFonts w:asciiTheme="minorEastAsia" w:hAnsiTheme="minorEastAsia" w:eastAsiaTheme="minorEastAsia"/>
          <w:color w:val="auto"/>
          <w:szCs w:val="21"/>
          <w:highlight w:val="none"/>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rPr>
        <w:t>：</w:t>
      </w:r>
    </w:p>
    <w:p>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4.1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4.2为采购项目提供整体设计、规范编制或者项目管理、监理、检测等服务的供应商再参加该采购项目的其他采购活动的； </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4.3供应商不具备磋商文件中规定的资格要求的（供应商未提供有效的资格证明文件的，视为供应商不具备磋商文件中规定的资格要求）；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4.4如以联合体形式参加政府采购活动的，联合协议不符合磋商文件规定的联合协议要求的；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4.5响应文件未按磋商文件的澄清、修改的内容编制，又不符合实质性要求的；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4.6响应文件组成漏项，内容不全或内容字迹模糊辨认不清的；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4.7响应文件中法人授权书所载内容与本项目内容有异的；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4.8响应文件未按照磋商文件要求签署、盖章的；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4.10响应文件含有采购人不能接受的附加条件的；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4.11响应文件中承诺的响应有效期少于磋商文件中载明的响应有效期的；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4.12供应商所投内容不符合磋商文件中实质性要求的；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4.13所提交的《最后报价一览表》中出现不是唯一的、有选择性的报价的;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4.14最后报价高于本项目采购预算或者最高限价的;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4.15《最后报价一览表》填写不完整或字迹不能辨认或有漏项的；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最后报价属于磋商文件规定的政府采购异常低价情形之一，且供应商不能提供书面说明、证明材料，或者提供的书面说明、证明材料不能证明其报价合理性的;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供应商对根据修正原则修正后的最后报价不确认的；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供应商提供虚假材料响应的（包括但不限于以下情节）；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.1使用伪造、变造的许可证件；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.2提供虚假的财务状况或者业绩；</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.3提供虚假的项目负责人或者主要技术人员简历、劳动关系证明；</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.4提供虚假的信用状况；</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.5其他弄虚作假的行为。</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供应商有恶意串通、妨碍其他供应商的竞争行为、损害采购人或者其他供应商的合法权益情形的。</w:t>
      </w:r>
    </w:p>
    <w:p>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有下列情形之一的，属于或视为恶意串通，其响应无效：</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.1供应商直接或者间接从采购人或者采购代理机构处获得其他供应商的相关情况并修改其响应文件；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.2供应商按照采购人或者采购代理机构的授意撤换、修改投标文件或者响应文件；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.3供应商之间协商报价、技术方案等投标文件或者响应文件的实质性内容；</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.4属于同一集团、协会、商会等组织成员的供应商按照该组织要求协同参加政府采购活动；</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.5供应商之间事先约定由某一特定供应商中标、成交；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.6供应商之间商定部分供应商放弃参加政府采购活动或者放弃中标、成交；</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.7供应商与采购人或者采购代理机构之间、供应商相互之间，为谋求特定供应商中标、成交或者排斥其他供应商的其他串通行为。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.8不同供应商的响应文件由同一单位或者个人编制；</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.9不同供应商委托同一单位或者个人办理响应事宜；</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.10不同供应商的响应文件载明的项目管理成员或者联系人员为同一人；</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4.1</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.11不同供应商的响应文件异常一致或者最后报价呈规律性差异。</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lang w:val="en-US" w:eastAsia="zh-CN"/>
        </w:rPr>
        <w:t>20</w:t>
      </w:r>
      <w:r>
        <w:rPr>
          <w:rFonts w:hint="eastAsia" w:asciiTheme="minorEastAsia" w:hAnsiTheme="minorEastAsia" w:eastAsiaTheme="minorEastAsia"/>
          <w:color w:val="auto"/>
          <w:sz w:val="24"/>
          <w:highlight w:val="none"/>
        </w:rPr>
        <w:t>供应商仅提交备份响应文件，没有在电子交易平台传输提交响应文件的，响应无效；</w:t>
      </w:r>
    </w:p>
    <w:p>
      <w:pPr>
        <w:pStyle w:val="632"/>
        <w:rPr>
          <w:rFonts w:cs="宋体"/>
          <w:color w:val="auto"/>
          <w:highlight w:val="none"/>
        </w:rPr>
      </w:pPr>
      <w:r>
        <w:rPr>
          <w:rFonts w:hint="eastAsia"/>
          <w:color w:val="auto"/>
          <w:highlight w:val="none"/>
        </w:rPr>
        <w:t>4.2</w:t>
      </w:r>
      <w:r>
        <w:rPr>
          <w:rFonts w:hint="eastAsia"/>
          <w:color w:val="auto"/>
          <w:highlight w:val="none"/>
          <w:lang w:val="en-US" w:eastAsia="zh-CN"/>
        </w:rPr>
        <w:t>1</w:t>
      </w:r>
      <w:r>
        <w:rPr>
          <w:rFonts w:hint="eastAsia" w:cs="宋体"/>
          <w:color w:val="auto"/>
          <w:highlight w:val="none"/>
        </w:rPr>
        <w:t>供应商存在下列情形之一且无法合理解释的：（1）不同供应商的电子响应文件上传计算机的网卡MAC 地址或硬盘序列号等硬件信息相同的；（2）上传的电子响应文件若出现使用本项目其他供应商的数字证书加密的，或者加盖本项目其他供应商的电子印章的；（3）不同供应商的响应文件的内容存在3 处（含）以上错误一致的；（4）不同供应商联系人为同一人或不同联系人的联系电话一致的。</w:t>
      </w:r>
    </w:p>
    <w:p>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法律、法规、规章（适用本市的）及省级以上规范性文件（适用本市的）规定的其他无效情形。</w:t>
      </w:r>
    </w:p>
    <w:p>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重新开展采购活动</w:t>
      </w:r>
    </w:p>
    <w:p>
      <w:pPr>
        <w:spacing w:line="360" w:lineRule="auto"/>
        <w:ind w:firstLine="407" w:firstLineChars="194"/>
        <w:rPr>
          <w:rFonts w:asciiTheme="minorEastAsia" w:hAnsiTheme="minorEastAsia" w:eastAsiaTheme="minorEastAsia"/>
          <w:color w:val="auto"/>
          <w:sz w:val="24"/>
          <w:szCs w:val="21"/>
          <w:highlight w:val="none"/>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6. 终止采购活动</w:t>
      </w:r>
    </w:p>
    <w:p>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pPr>
        <w:spacing w:line="360" w:lineRule="auto"/>
        <w:rPr>
          <w:rFonts w:cs="仿宋_GB2312"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 xml:space="preserve">. </w:t>
      </w: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pPr>
        <w:pStyle w:val="394"/>
        <w:spacing w:before="0"/>
        <w:ind w:firstLine="0" w:firstLineChars="0"/>
        <w:rPr>
          <w:rFonts w:cs="仿宋_GB2312" w:asciiTheme="minorEastAsia" w:hAnsiTheme="minorEastAsia" w:eastAsiaTheme="minorEastAsia"/>
          <w:b/>
          <w:color w:val="auto"/>
          <w:highlight w:val="none"/>
        </w:rPr>
      </w:pPr>
    </w:p>
    <w:p>
      <w:pPr>
        <w:snapToGrid w:val="0"/>
        <w:spacing w:line="360" w:lineRule="auto"/>
        <w:ind w:left="120" w:leftChars="57" w:firstLine="482" w:firstLineChars="150"/>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pPr>
        <w:widowControl/>
        <w:spacing w:line="360" w:lineRule="auto"/>
        <w:ind w:firstLine="480" w:firstLineChars="200"/>
        <w:rPr>
          <w:rFonts w:hint="eastAsia" w:cs="仿宋_GB2312" w:asciiTheme="minorEastAsia" w:hAnsiTheme="minorEastAsia" w:eastAsiaTheme="minorEastAsia"/>
          <w:color w:val="auto"/>
          <w:sz w:val="24"/>
          <w:highlight w:val="none"/>
        </w:rPr>
      </w:pP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spacing w:line="360" w:lineRule="auto"/>
        <w:jc w:val="center"/>
        <w:outlineLvl w:val="0"/>
        <w:rPr>
          <w:rFonts w:hint="eastAsia" w:cs="仿宋_GB2312" w:asciiTheme="minorEastAsia" w:hAnsiTheme="minorEastAsia" w:eastAsiaTheme="minorEastAsia"/>
          <w:b/>
          <w:color w:val="auto"/>
          <w:sz w:val="36"/>
          <w:szCs w:val="36"/>
          <w:highlight w:val="none"/>
        </w:rPr>
      </w:pPr>
      <w:bookmarkStart w:id="37" w:name="_Toc22193"/>
      <w:bookmarkStart w:id="38" w:name="_Toc30557"/>
      <w:r>
        <w:rPr>
          <w:rFonts w:hint="eastAsia" w:cs="仿宋_GB2312" w:asciiTheme="minorEastAsia" w:hAnsiTheme="minorEastAsia" w:eastAsiaTheme="minorEastAsia"/>
          <w:b/>
          <w:color w:val="auto"/>
          <w:sz w:val="36"/>
          <w:szCs w:val="36"/>
          <w:highlight w:val="none"/>
        </w:rPr>
        <w:t>第六部分</w:t>
      </w:r>
      <w:bookmarkEnd w:id="36"/>
      <w:r>
        <w:rPr>
          <w:rFonts w:hint="eastAsia" w:cs="仿宋_GB2312" w:asciiTheme="minorEastAsia" w:hAnsiTheme="minorEastAsia" w:eastAsiaTheme="minorEastAsia"/>
          <w:b/>
          <w:color w:val="auto"/>
          <w:sz w:val="36"/>
          <w:szCs w:val="36"/>
          <w:highlight w:val="none"/>
        </w:rPr>
        <w:t xml:space="preserve">  拟签订的合同文本</w:t>
      </w:r>
      <w:bookmarkEnd w:id="37"/>
      <w:bookmarkEnd w:id="38"/>
    </w:p>
    <w:p>
      <w:pPr>
        <w:spacing w:line="480" w:lineRule="auto"/>
        <w:jc w:val="center"/>
        <w:rPr>
          <w:rFonts w:hint="eastAsia" w:ascii="宋体" w:hAnsi="宋体" w:cs="宋体"/>
          <w:b/>
          <w:color w:val="auto"/>
          <w:sz w:val="24"/>
          <w:highlight w:val="none"/>
        </w:rPr>
      </w:pPr>
      <w:bookmarkStart w:id="39" w:name="第五部分"/>
      <w:bookmarkStart w:id="40" w:name="_Toc86217003"/>
    </w:p>
    <w:p>
      <w:pPr>
        <w:spacing w:line="480" w:lineRule="auto"/>
        <w:jc w:val="center"/>
        <w:rPr>
          <w:rFonts w:hint="eastAsia" w:ascii="宋体" w:hAnsi="宋体" w:cs="宋体"/>
          <w:b/>
          <w:color w:val="auto"/>
          <w:sz w:val="24"/>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pPr>
        <w:spacing w:line="480" w:lineRule="auto"/>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（服务类）</w:t>
      </w:r>
    </w:p>
    <w:p>
      <w:pPr>
        <w:pStyle w:val="283"/>
        <w:ind w:firstLine="2843" w:firstLineChars="1180"/>
        <w:rPr>
          <w:rFonts w:hint="eastAsia" w:ascii="宋体" w:hAnsi="宋体" w:cs="宋体"/>
          <w:b/>
          <w:color w:val="auto"/>
          <w:szCs w:val="24"/>
          <w:highlight w:val="none"/>
        </w:rPr>
      </w:pPr>
    </w:p>
    <w:p>
      <w:pPr>
        <w:pStyle w:val="24"/>
        <w:spacing w:after="120"/>
        <w:rPr>
          <w:rFonts w:hint="eastAsia"/>
          <w:color w:val="auto"/>
          <w:highlight w:val="none"/>
        </w:rPr>
      </w:pPr>
    </w:p>
    <w:p>
      <w:pPr>
        <w:pStyle w:val="24"/>
        <w:spacing w:after="120"/>
        <w:rPr>
          <w:rFonts w:hint="eastAsia"/>
          <w:color w:val="auto"/>
          <w:highlight w:val="none"/>
        </w:rPr>
      </w:pPr>
    </w:p>
    <w:p>
      <w:pPr>
        <w:adjustRightInd/>
        <w:spacing w:line="360" w:lineRule="auto"/>
        <w:ind w:left="1680" w:leftChars="800"/>
        <w:rPr>
          <w:color w:val="auto"/>
          <w:sz w:val="32"/>
          <w:szCs w:val="32"/>
          <w:highlight w:val="none"/>
        </w:rPr>
      </w:pPr>
      <w:r>
        <w:rPr>
          <w:rFonts w:hint="eastAsia" w:ascii="宋体" w:hAnsi="宋体" w:cs="宋体"/>
          <w:color w:val="auto"/>
          <w:kern w:val="0"/>
          <w:sz w:val="32"/>
          <w:szCs w:val="32"/>
          <w:highlight w:val="none"/>
        </w:rPr>
        <w:t>项目名称：</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合同编号：</w:t>
      </w:r>
      <w:r>
        <w:rPr>
          <w:color w:val="auto"/>
          <w:sz w:val="32"/>
          <w:szCs w:val="32"/>
          <w:highlight w:val="none"/>
          <w:u w:val="single"/>
        </w:rPr>
        <w:t xml:space="preserve">                             </w:t>
      </w:r>
    </w:p>
    <w:p>
      <w:pPr>
        <w:adjustRightInd/>
        <w:spacing w:line="360" w:lineRule="auto"/>
        <w:ind w:left="1680" w:leftChars="800"/>
        <w:rPr>
          <w:color w:val="auto"/>
          <w:sz w:val="32"/>
          <w:szCs w:val="32"/>
          <w:highlight w:val="none"/>
        </w:rPr>
      </w:pPr>
      <w:r>
        <w:rPr>
          <w:rFonts w:hint="eastAsia"/>
          <w:color w:val="auto"/>
          <w:sz w:val="32"/>
          <w:szCs w:val="32"/>
          <w:highlight w:val="none"/>
        </w:rPr>
        <w:t>甲</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adjustRightInd/>
        <w:spacing w:line="360" w:lineRule="auto"/>
        <w:ind w:left="1680" w:leftChars="800"/>
        <w:rPr>
          <w:color w:val="auto"/>
          <w:sz w:val="32"/>
          <w:szCs w:val="32"/>
          <w:highlight w:val="none"/>
          <w:u w:val="single"/>
        </w:rPr>
      </w:pPr>
      <w:r>
        <w:rPr>
          <w:rFonts w:hint="eastAsia"/>
          <w:color w:val="auto"/>
          <w:sz w:val="32"/>
          <w:szCs w:val="32"/>
          <w:highlight w:val="none"/>
        </w:rPr>
        <w:t>乙</w:t>
      </w:r>
      <w:r>
        <w:rPr>
          <w:color w:val="auto"/>
          <w:sz w:val="32"/>
          <w:szCs w:val="32"/>
          <w:highlight w:val="none"/>
        </w:rPr>
        <w:t xml:space="preserve">    </w:t>
      </w:r>
      <w:r>
        <w:rPr>
          <w:rFonts w:hint="eastAsia"/>
          <w:color w:val="auto"/>
          <w:sz w:val="32"/>
          <w:szCs w:val="32"/>
          <w:highlight w:val="none"/>
        </w:rPr>
        <w:t>方：</w:t>
      </w:r>
      <w:r>
        <w:rPr>
          <w:color w:val="auto"/>
          <w:sz w:val="32"/>
          <w:szCs w:val="32"/>
          <w:highlight w:val="none"/>
          <w:u w:val="single"/>
        </w:rPr>
        <w:t xml:space="preserve">                             </w:t>
      </w: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pStyle w:val="632"/>
        <w:rPr>
          <w:rFonts w:hint="eastAsia"/>
          <w:color w:val="auto"/>
          <w:highlight w:val="none"/>
        </w:rPr>
      </w:pPr>
    </w:p>
    <w:p>
      <w:pPr>
        <w:spacing w:line="360" w:lineRule="auto"/>
        <w:jc w:val="center"/>
        <w:outlineLvl w:val="1"/>
        <w:rPr>
          <w:rFonts w:ascii="宋体" w:hAnsi="宋体" w:cs="宋体"/>
          <w:b/>
          <w:color w:val="auto"/>
          <w:sz w:val="24"/>
          <w:highlight w:val="none"/>
        </w:rPr>
      </w:pPr>
      <w:bookmarkStart w:id="41" w:name="_Toc22209"/>
      <w:r>
        <w:rPr>
          <w:rFonts w:hint="eastAsia" w:ascii="宋体" w:hAnsi="宋体"/>
          <w:b/>
          <w:color w:val="auto"/>
          <w:sz w:val="24"/>
          <w:highlight w:val="none"/>
        </w:rPr>
        <w:t>第一节 政府采购合同协议书</w:t>
      </w:r>
      <w:bookmarkEnd w:id="41"/>
    </w:p>
    <w:p>
      <w:pPr>
        <w:spacing w:line="360" w:lineRule="auto"/>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成交供应商</w:t>
      </w:r>
      <w:r>
        <w:rPr>
          <w:rFonts w:hint="eastAsia" w:ascii="宋体" w:hAnsi="宋体"/>
          <w:color w:val="auto"/>
          <w:sz w:val="24"/>
          <w:highlight w:val="none"/>
        </w:rPr>
        <w:t>。现于</w:t>
      </w:r>
      <w:r>
        <w:rPr>
          <w:rFonts w:hint="eastAsia" w:ascii="宋体" w:hAnsi="宋体" w:cs="宋体"/>
          <w:color w:val="auto"/>
          <w:sz w:val="24"/>
          <w:highlight w:val="none"/>
        </w:rPr>
        <w:t>成交通知书</w:t>
      </w:r>
      <w:r>
        <w:rPr>
          <w:rFonts w:hint="eastAsia" w:ascii="宋体" w:hAnsi="宋体"/>
          <w:color w:val="auto"/>
          <w:sz w:val="24"/>
          <w:highlight w:val="none"/>
        </w:rPr>
        <w:t>发出之日起</w:t>
      </w:r>
      <w:r>
        <w:rPr>
          <w:rFonts w:hint="eastAsia" w:ascii="宋体" w:hAnsi="宋体"/>
          <w:color w:val="auto"/>
          <w:sz w:val="24"/>
          <w:highlight w:val="none"/>
          <w:u w:val="single"/>
        </w:rPr>
        <w:t>5</w:t>
      </w:r>
      <w:r>
        <w:rPr>
          <w:rFonts w:hint="eastAsia" w:ascii="宋体" w:hAnsi="宋体"/>
          <w:color w:val="auto"/>
          <w:sz w:val="24"/>
          <w:highlight w:val="none"/>
        </w:rPr>
        <w:t>个工作日内，按照采购文件确定的事项签订本合同。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w:t>
      </w:r>
      <w:r>
        <w:rPr>
          <w:rFonts w:hint="eastAsia" w:ascii="宋体" w:hAnsi="宋体"/>
          <w:color w:val="auto"/>
          <w:sz w:val="24"/>
          <w:highlight w:val="none"/>
          <w:u w:val="single"/>
        </w:rPr>
        <w:t>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pPr>
        <w:spacing w:line="360" w:lineRule="auto"/>
        <w:ind w:firstLine="482" w:firstLineChars="200"/>
        <w:rPr>
          <w:rFonts w:ascii="宋体" w:hAnsi="宋体"/>
          <w:color w:val="auto"/>
          <w:sz w:val="24"/>
          <w:highlight w:val="none"/>
        </w:rPr>
      </w:pPr>
      <w:bookmarkStart w:id="42" w:name="_Toc22967"/>
      <w:bookmarkStart w:id="43" w:name="_Toc28855"/>
      <w:bookmarkStart w:id="44" w:name="_Toc19273"/>
      <w:bookmarkStart w:id="45" w:name="_Toc15367"/>
      <w:bookmarkStart w:id="46"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42"/>
      <w:bookmarkEnd w:id="43"/>
      <w:bookmarkEnd w:id="44"/>
      <w:bookmarkEnd w:id="45"/>
      <w:bookmarkEnd w:id="4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pPr>
        <w:spacing w:line="360" w:lineRule="auto"/>
        <w:ind w:firstLine="482" w:firstLineChars="200"/>
        <w:rPr>
          <w:rFonts w:ascii="宋体" w:hAnsi="宋体"/>
          <w:b/>
          <w:color w:val="auto"/>
          <w:sz w:val="24"/>
          <w:highlight w:val="none"/>
        </w:rPr>
      </w:pPr>
      <w:bookmarkStart w:id="47" w:name="_Toc2918"/>
      <w:bookmarkStart w:id="48" w:name="_Toc6773"/>
      <w:bookmarkStart w:id="49" w:name="_Toc18585"/>
      <w:bookmarkStart w:id="50" w:name="_Toc22185"/>
      <w:bookmarkStart w:id="51" w:name="_Toc6311"/>
      <w:r>
        <w:rPr>
          <w:rFonts w:ascii="宋体" w:hAnsi="宋体"/>
          <w:b/>
          <w:color w:val="auto"/>
          <w:sz w:val="24"/>
          <w:highlight w:val="none"/>
        </w:rPr>
        <w:t xml:space="preserve">1.2 </w:t>
      </w:r>
      <w:r>
        <w:rPr>
          <w:rFonts w:hint="eastAsia" w:ascii="宋体" w:hAnsi="宋体"/>
          <w:b/>
          <w:color w:val="auto"/>
          <w:sz w:val="24"/>
          <w:highlight w:val="none"/>
        </w:rPr>
        <w:t>标的</w:t>
      </w:r>
      <w:bookmarkEnd w:id="47"/>
      <w:bookmarkEnd w:id="48"/>
      <w:bookmarkEnd w:id="49"/>
      <w:bookmarkEnd w:id="50"/>
      <w:bookmarkEnd w:id="51"/>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pPr>
        <w:pStyle w:val="630"/>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pPr>
        <w:spacing w:line="360" w:lineRule="auto"/>
        <w:ind w:firstLine="480" w:firstLineChars="200"/>
        <w:rPr>
          <w:rFonts w:ascii="宋体" w:hAnsi="宋体" w:cs="宋体"/>
          <w:color w:val="auto"/>
          <w:sz w:val="24"/>
          <w:highlight w:val="none"/>
          <w:u w:val="single"/>
        </w:rPr>
      </w:pPr>
      <w:bookmarkStart w:id="52" w:name="_Toc21124"/>
      <w:bookmarkStart w:id="53" w:name="_Toc13918"/>
      <w:bookmarkStart w:id="54" w:name="_Toc4929"/>
      <w:bookmarkStart w:id="55" w:name="_Toc1386"/>
      <w:bookmarkStart w:id="56" w:name="_Toc5635"/>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1.3 价款</w:t>
      </w:r>
      <w:bookmarkEnd w:id="52"/>
      <w:bookmarkEnd w:id="53"/>
      <w:bookmarkEnd w:id="54"/>
      <w:bookmarkEnd w:id="55"/>
      <w:bookmarkEnd w:id="56"/>
    </w:p>
    <w:p>
      <w:pPr>
        <w:spacing w:line="360" w:lineRule="auto"/>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pPr>
              <w:pStyle w:val="622"/>
              <w:spacing w:line="360" w:lineRule="auto"/>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pPr>
              <w:pStyle w:val="622"/>
              <w:spacing w:line="360" w:lineRule="auto"/>
              <w:jc w:val="center"/>
              <w:rPr>
                <w:rFonts w:hAnsi="宋体"/>
                <w:color w:val="auto"/>
                <w:sz w:val="24"/>
                <w:szCs w:val="24"/>
                <w:highlight w:val="none"/>
              </w:rPr>
            </w:pPr>
            <w:r>
              <w:rPr>
                <w:rFonts w:hAnsi="宋体"/>
                <w:color w:val="auto"/>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622"/>
              <w:spacing w:line="360" w:lineRule="auto"/>
              <w:ind w:firstLine="200"/>
              <w:jc w:val="center"/>
              <w:rPr>
                <w:rFonts w:hAnsi="宋体"/>
                <w:color w:val="auto"/>
                <w:sz w:val="24"/>
                <w:szCs w:val="24"/>
                <w:highlight w:val="none"/>
              </w:rPr>
            </w:pPr>
          </w:p>
        </w:tc>
        <w:tc>
          <w:tcPr>
            <w:tcW w:w="3402" w:type="dxa"/>
            <w:vAlign w:val="center"/>
          </w:tcPr>
          <w:p>
            <w:pPr>
              <w:pStyle w:val="622"/>
              <w:spacing w:line="360" w:lineRule="auto"/>
              <w:ind w:firstLine="200"/>
              <w:jc w:val="center"/>
              <w:rPr>
                <w:rFonts w:hAnsi="宋体"/>
                <w:color w:val="auto"/>
                <w:sz w:val="24"/>
                <w:szCs w:val="24"/>
                <w:highlight w:val="none"/>
              </w:rPr>
            </w:pPr>
          </w:p>
        </w:tc>
        <w:tc>
          <w:tcPr>
            <w:tcW w:w="2552" w:type="dxa"/>
            <w:vAlign w:val="center"/>
          </w:tcPr>
          <w:p>
            <w:pPr>
              <w:pStyle w:val="622"/>
              <w:spacing w:line="360" w:lineRule="auto"/>
              <w:ind w:firstLine="200"/>
              <w:jc w:val="center"/>
              <w:rPr>
                <w:rFonts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622"/>
              <w:spacing w:line="360" w:lineRule="auto"/>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pPr>
              <w:pStyle w:val="622"/>
              <w:spacing w:line="360" w:lineRule="auto"/>
              <w:ind w:firstLine="200"/>
              <w:jc w:val="center"/>
              <w:rPr>
                <w:rFonts w:hAnsi="宋体"/>
                <w:color w:val="auto"/>
                <w:sz w:val="24"/>
                <w:szCs w:val="24"/>
                <w:highlight w:val="none"/>
              </w:rPr>
            </w:pPr>
          </w:p>
        </w:tc>
      </w:tr>
    </w:tbl>
    <w:p>
      <w:pPr>
        <w:spacing w:line="360" w:lineRule="auto"/>
        <w:ind w:firstLine="480" w:firstLineChars="200"/>
        <w:rPr>
          <w:rFonts w:ascii="宋体" w:hAnsi="宋体"/>
          <w:color w:val="auto"/>
          <w:sz w:val="24"/>
          <w:highlight w:val="none"/>
        </w:rPr>
      </w:pPr>
      <w:bookmarkStart w:id="57" w:name="_Toc26916"/>
      <w:bookmarkStart w:id="58" w:name="_Toc30506"/>
      <w:bookmarkStart w:id="59" w:name="_Toc14993"/>
      <w:bookmarkStart w:id="60" w:name="_Toc30158"/>
      <w:bookmarkStart w:id="61" w:name="_Toc3654"/>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pPr>
        <w:pStyle w:val="632"/>
        <w:rPr>
          <w:color w:val="auto"/>
          <w:highlight w:val="none"/>
        </w:rPr>
      </w:pPr>
      <w:r>
        <w:rPr>
          <w:rFonts w:hint="eastAsia"/>
          <w:color w:val="auto"/>
          <w:highlight w:val="none"/>
        </w:rPr>
        <w:t>1.3.3其他计价方式：                   。</w:t>
      </w:r>
    </w:p>
    <w:bookmarkEnd w:id="57"/>
    <w:bookmarkEnd w:id="58"/>
    <w:bookmarkEnd w:id="59"/>
    <w:bookmarkEnd w:id="60"/>
    <w:bookmarkEnd w:id="61"/>
    <w:p>
      <w:pPr>
        <w:pStyle w:val="630"/>
        <w:spacing w:before="0" w:beforeAutospacing="0" w:after="0" w:afterAutospacing="0" w:line="360" w:lineRule="auto"/>
        <w:ind w:firstLine="480"/>
        <w:rPr>
          <w:b/>
          <w:color w:val="auto"/>
          <w:highlight w:val="none"/>
        </w:rPr>
      </w:pPr>
      <w:bookmarkStart w:id="62" w:name="_Toc10340"/>
      <w:bookmarkStart w:id="63" w:name="_Toc1814"/>
      <w:bookmarkStart w:id="64" w:name="_Toc22618"/>
      <w:bookmarkStart w:id="65" w:name="_Toc11108"/>
      <w:bookmarkStart w:id="66" w:name="_Toc3625"/>
      <w:bookmarkStart w:id="67" w:name="_Toc8772"/>
      <w:bookmarkStart w:id="68" w:name="_Toc31421"/>
      <w:bookmarkStart w:id="69" w:name="_Toc4760"/>
      <w:r>
        <w:rPr>
          <w:rFonts w:hint="eastAsia"/>
          <w:b/>
          <w:color w:val="auto"/>
          <w:highlight w:val="none"/>
        </w:rPr>
        <w:t>1.4履约保证金</w:t>
      </w:r>
    </w:p>
    <w:p>
      <w:pPr>
        <w:pStyle w:val="630"/>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32"/>
        <w:rPr>
          <w:color w:val="auto"/>
          <w:highlight w:val="none"/>
        </w:rPr>
      </w:pPr>
      <w:r>
        <w:rPr>
          <w:rFonts w:hint="eastAsia"/>
          <w:color w:val="auto"/>
          <w:highlight w:val="none"/>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1.5</w:t>
      </w:r>
      <w:bookmarkEnd w:id="62"/>
      <w:bookmarkEnd w:id="63"/>
      <w:bookmarkEnd w:id="64"/>
      <w:r>
        <w:rPr>
          <w:rFonts w:hint="eastAsia" w:ascii="宋体" w:hAnsi="宋体" w:cs="宋体"/>
          <w:b/>
          <w:color w:val="auto"/>
          <w:sz w:val="24"/>
          <w:highlight w:val="none"/>
        </w:rPr>
        <w:t>预付款</w:t>
      </w:r>
    </w:p>
    <w:p>
      <w:pPr>
        <w:pStyle w:val="630"/>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pPr>
        <w:pStyle w:val="630"/>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30"/>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color w:val="auto"/>
          <w:highlight w:val="none"/>
          <w:u w:val="single"/>
        </w:rPr>
        <w:t>合同专用条款</w:t>
      </w:r>
      <w:r>
        <w:rPr>
          <w:rFonts w:hint="eastAsia"/>
          <w:color w:val="auto"/>
          <w:highlight w:val="none"/>
          <w:u w:val="single"/>
        </w:rPr>
        <w:t xml:space="preserve">          </w:t>
      </w:r>
      <w:r>
        <w:rPr>
          <w:rFonts w:hint="eastAsia"/>
          <w:color w:val="auto"/>
          <w:highlight w:val="none"/>
        </w:rPr>
        <w:t>。</w:t>
      </w:r>
    </w:p>
    <w:p>
      <w:pPr>
        <w:pStyle w:val="630"/>
        <w:spacing w:before="0" w:beforeAutospacing="0" w:after="0" w:afterAutospacing="0" w:line="360" w:lineRule="auto"/>
        <w:ind w:firstLine="480"/>
        <w:rPr>
          <w:b/>
          <w:bCs/>
          <w:color w:val="auto"/>
          <w:highlight w:val="none"/>
        </w:rPr>
      </w:pPr>
      <w:r>
        <w:rPr>
          <w:rFonts w:hint="eastAsia"/>
          <w:b/>
          <w:bCs/>
          <w:color w:val="auto"/>
          <w:highlight w:val="none"/>
        </w:rPr>
        <w:t>1.6资金支付</w:t>
      </w:r>
    </w:p>
    <w:p>
      <w:pPr>
        <w:pStyle w:val="630"/>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65"/>
      <w:bookmarkEnd w:id="66"/>
      <w:bookmarkEnd w:id="67"/>
      <w:bookmarkEnd w:id="68"/>
      <w:bookmarkEnd w:id="69"/>
    </w:p>
    <w:p>
      <w:pPr>
        <w:spacing w:line="360" w:lineRule="auto"/>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0" w:firstLineChars="200"/>
        <w:rPr>
          <w:rFonts w:ascii="宋体" w:hAnsi="宋体"/>
          <w:bCs/>
          <w:color w:val="auto"/>
          <w:sz w:val="24"/>
          <w:highlight w:val="none"/>
        </w:rPr>
      </w:pPr>
      <w:bookmarkStart w:id="70" w:name="_Toc3079"/>
      <w:bookmarkStart w:id="71" w:name="_Toc8586"/>
      <w:bookmarkStart w:id="72" w:name="_Toc5698"/>
      <w:bookmarkStart w:id="73" w:name="_Toc2375"/>
      <w:bookmarkStart w:id="74" w:name="_Toc24662"/>
      <w:r>
        <w:rPr>
          <w:rFonts w:hint="eastAsia" w:ascii="宋体" w:hAnsi="宋体"/>
          <w:bCs/>
          <w:color w:val="auto"/>
          <w:sz w:val="24"/>
          <w:highlight w:val="none"/>
        </w:rPr>
        <w:t>1.7.4若服务</w:t>
      </w:r>
      <w:r>
        <w:rPr>
          <w:rFonts w:hint="eastAsia"/>
          <w:bCs/>
          <w:color w:val="auto"/>
          <w:sz w:val="24"/>
          <w:highlight w:val="none"/>
        </w:rPr>
        <w:t>涉及货物的，则货物的：</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w:t>
      </w:r>
    </w:p>
    <w:p>
      <w:pPr>
        <w:spacing w:line="360" w:lineRule="auto"/>
        <w:ind w:firstLine="482" w:firstLineChars="20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70"/>
      <w:bookmarkEnd w:id="71"/>
      <w:bookmarkEnd w:id="72"/>
      <w:bookmarkEnd w:id="73"/>
      <w:bookmarkEnd w:id="74"/>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pPr>
        <w:pStyle w:val="632"/>
        <w:rPr>
          <w:b/>
          <w:bCs/>
          <w:color w:val="auto"/>
          <w:highlight w:val="none"/>
        </w:rPr>
      </w:pPr>
      <w:r>
        <w:rPr>
          <w:rFonts w:hint="eastAsia"/>
          <w:color w:val="auto"/>
          <w:highlight w:val="none"/>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color w:val="auto"/>
          <w:highlight w:val="none"/>
          <w:u w:val="single"/>
        </w:rPr>
        <w:t xml:space="preserve">  0.0</w:t>
      </w:r>
      <w:r>
        <w:rPr>
          <w:rFonts w:hint="eastAsia"/>
          <w:color w:val="auto"/>
          <w:highlight w:val="none"/>
        </w:rPr>
        <w:t xml:space="preserve">5（可根据情况修改） </w:t>
      </w:r>
      <w:r>
        <w:rPr>
          <w:rFonts w:hint="eastAsia"/>
          <w:color w:val="auto"/>
          <w:highlight w:val="none"/>
          <w:u w:val="single"/>
        </w:rPr>
        <w:t xml:space="preserve">  </w:t>
      </w:r>
      <w:r>
        <w:rPr>
          <w:rFonts w:hint="eastAsia"/>
          <w:color w:val="auto"/>
          <w:highlight w:val="none"/>
        </w:rPr>
        <w:t>%计算，最高限额为本合同总价的</w:t>
      </w:r>
      <w:r>
        <w:rPr>
          <w:rFonts w:hint="eastAsia"/>
          <w:color w:val="auto"/>
          <w:highlight w:val="none"/>
          <w:u w:val="single"/>
        </w:rPr>
        <w:t xml:space="preserve">  20  </w:t>
      </w:r>
      <w:r>
        <w:rPr>
          <w:rFonts w:hint="eastAsia"/>
          <w:color w:val="auto"/>
          <w:highlight w:val="none"/>
        </w:rPr>
        <w:t>%；迟延交付货物的违约金计算数额达到前述最高限额之日起，甲方有权在要求乙方支付违约金的同时，书面通知乙方解除本合同；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pPr>
        <w:spacing w:line="360" w:lineRule="auto"/>
        <w:ind w:firstLine="480" w:firstLineChars="200"/>
        <w:rPr>
          <w:rFonts w:ascii="宋体" w:hAnsi="宋体" w:cs="宋体"/>
          <w:color w:val="auto"/>
          <w:sz w:val="24"/>
          <w:highlight w:val="none"/>
        </w:rPr>
      </w:pPr>
      <w:bookmarkStart w:id="75" w:name="_Toc18683"/>
      <w:bookmarkStart w:id="76" w:name="_Toc32454"/>
      <w:bookmarkStart w:id="77" w:name="_Toc9497"/>
      <w:bookmarkStart w:id="78" w:name="_Toc30329"/>
      <w:bookmarkStart w:id="79"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另有约定的，从其约定。</w:t>
      </w:r>
    </w:p>
    <w:bookmarkEnd w:id="75"/>
    <w:bookmarkEnd w:id="76"/>
    <w:bookmarkEnd w:id="77"/>
    <w:bookmarkEnd w:id="78"/>
    <w:bookmarkEnd w:id="79"/>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1.9合同争议的解决</w:t>
      </w:r>
    </w:p>
    <w:p>
      <w:pPr>
        <w:spacing w:line="360" w:lineRule="auto"/>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条款规定的方式解决：</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pPr>
        <w:spacing w:line="360" w:lineRule="auto"/>
        <w:ind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color w:val="auto"/>
          <w:sz w:val="24"/>
          <w:highlight w:val="none"/>
          <w:u w:val="single"/>
        </w:rPr>
        <w:t>合同专用条款</w:t>
      </w:r>
      <w:r>
        <w:rPr>
          <w:rFonts w:hint="eastAsia" w:ascii="宋体" w:hAnsi="宋体" w:cs="宋体"/>
          <w:color w:val="auto"/>
          <w:sz w:val="24"/>
          <w:highlight w:val="none"/>
        </w:rPr>
        <w:t>人民法院起诉。</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2.0 合同生效</w:t>
      </w:r>
    </w:p>
    <w:p>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pPr>
        <w:autoSpaceDE w:val="0"/>
        <w:autoSpaceDN w:val="0"/>
        <w:spacing w:line="360" w:lineRule="auto"/>
        <w:rPr>
          <w:rFonts w:ascii="宋体" w:hAnsi="宋体"/>
          <w:color w:val="auto"/>
          <w:sz w:val="24"/>
          <w:highlight w:val="none"/>
          <w:lang w:val="zh-CN"/>
        </w:rPr>
      </w:pPr>
    </w:p>
    <w:tbl>
      <w:tblPr>
        <w:tblStyle w:val="6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60"/>
        <w:gridCol w:w="2628"/>
        <w:gridCol w:w="2156"/>
        <w:gridCol w:w="230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甲方（采购人</w:t>
            </w:r>
            <w:r>
              <w:rPr>
                <w:rFonts w:hint="eastAsia" w:ascii="宋体" w:hAnsi="宋体"/>
                <w:color w:val="auto"/>
                <w:sz w:val="24"/>
                <w:highlight w:val="none"/>
              </w:rPr>
              <w:t>、受采购人委托签订合同的单位或</w:t>
            </w:r>
            <w:r>
              <w:rPr>
                <w:rFonts w:hint="eastAsia" w:ascii="Calibri" w:hAnsi="Calibri"/>
                <w:color w:val="auto"/>
                <w:sz w:val="24"/>
                <w:highlight w:val="none"/>
              </w:rPr>
              <w:t>采购文件约定的合同甲方）</w:t>
            </w:r>
          </w:p>
        </w:tc>
        <w:tc>
          <w:tcPr>
            <w:tcW w:w="2437"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单位名称（公章或合同章）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ind w:firstLine="115" w:firstLineChars="48"/>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436"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法定代表人</w:t>
            </w:r>
          </w:p>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或其委托代理人（签章）</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0" w:type="auto"/>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0" w:type="auto"/>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拥有者性别</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住</w:t>
            </w:r>
            <w:r>
              <w:rPr>
                <w:rFonts w:ascii="Calibri" w:hAnsi="Calibri"/>
                <w:color w:val="auto"/>
                <w:sz w:val="24"/>
                <w:highlight w:val="none"/>
              </w:rPr>
              <w:t xml:space="preserve">  </w:t>
            </w:r>
            <w:r>
              <w:rPr>
                <w:rFonts w:hint="eastAsia" w:ascii="Calibri" w:hAnsi="Calibri"/>
                <w:color w:val="auto"/>
                <w:sz w:val="24"/>
                <w:highlight w:val="none"/>
              </w:rPr>
              <w:t>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w:t>
            </w:r>
            <w:r>
              <w:rPr>
                <w:rFonts w:ascii="Calibri" w:hAnsi="Calibri"/>
                <w:color w:val="auto"/>
                <w:sz w:val="24"/>
                <w:highlight w:val="none"/>
              </w:rPr>
              <w:t xml:space="preserve"> </w:t>
            </w:r>
            <w:r>
              <w:rPr>
                <w:rFonts w:hint="eastAsia" w:ascii="Calibri" w:hAnsi="Calibri"/>
                <w:color w:val="auto"/>
                <w:sz w:val="24"/>
                <w:highlight w:val="none"/>
              </w:rPr>
              <w:t>系</w:t>
            </w:r>
            <w:r>
              <w:rPr>
                <w:rFonts w:ascii="Calibri" w:hAnsi="Calibri"/>
                <w:color w:val="auto"/>
                <w:sz w:val="24"/>
                <w:highlight w:val="none"/>
              </w:rPr>
              <w:t xml:space="preserve"> </w:t>
            </w:r>
            <w:r>
              <w:rPr>
                <w:rFonts w:hint="eastAsia" w:ascii="Calibri" w:hAnsi="Calibri"/>
                <w:color w:val="auto"/>
                <w:sz w:val="24"/>
                <w:highlight w:val="none"/>
              </w:rPr>
              <w:t>人</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联系电话</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通信地址</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邮政编码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电子邮箱</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统一社会信用代码</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开户名称</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开户银行</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ascii="Calibri" w:hAnsi="Calibri"/>
                <w:color w:val="auto"/>
                <w:sz w:val="24"/>
                <w:highlight w:val="none"/>
              </w:rPr>
            </w:pPr>
            <w:r>
              <w:rPr>
                <w:rFonts w:hint="eastAsia" w:ascii="Calibri" w:hAnsi="Calibri"/>
                <w:color w:val="auto"/>
                <w:sz w:val="24"/>
                <w:highlight w:val="none"/>
              </w:rPr>
              <w:t>银行账号</w:t>
            </w:r>
          </w:p>
        </w:tc>
        <w:tc>
          <w:tcPr>
            <w:tcW w:w="1259"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ascii="Calibri" w:hAnsi="Calibri"/>
                <w:color w:val="auto"/>
                <w:spacing w:val="20"/>
                <w:sz w:val="24"/>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ascii="Calibri" w:hAnsi="Calibri"/>
                <w:color w:val="auto"/>
                <w:spacing w:val="20"/>
                <w:sz w:val="24"/>
                <w:highlight w:val="none"/>
              </w:rPr>
            </w:pPr>
            <w:r>
              <w:rPr>
                <w:rFonts w:hint="eastAsia" w:ascii="宋体" w:hAnsi="宋体"/>
                <w:color w:val="auto"/>
                <w:sz w:val="24"/>
                <w:highlight w:val="none"/>
              </w:rPr>
              <w:t>注：涉及联合体或其他合同主体的信息应按上表格式加列。</w:t>
            </w:r>
          </w:p>
        </w:tc>
      </w:tr>
    </w:tbl>
    <w:p>
      <w:pPr>
        <w:widowControl/>
        <w:spacing w:line="360" w:lineRule="auto"/>
        <w:jc w:val="left"/>
        <w:rPr>
          <w:rFonts w:ascii="宋体" w:hAnsi="宋体"/>
          <w:b/>
          <w:color w:val="auto"/>
          <w:sz w:val="24"/>
          <w:highlight w:val="none"/>
        </w:rPr>
      </w:pPr>
    </w:p>
    <w:p>
      <w:pPr>
        <w:pStyle w:val="283"/>
        <w:spacing w:after="0"/>
        <w:ind w:firstLine="482"/>
        <w:jc w:val="center"/>
        <w:outlineLvl w:val="1"/>
        <w:rPr>
          <w:rFonts w:ascii="宋体" w:hAnsi="宋体"/>
          <w:b/>
          <w:color w:val="auto"/>
          <w:szCs w:val="24"/>
          <w:highlight w:val="none"/>
        </w:rPr>
      </w:pPr>
      <w:r>
        <w:rPr>
          <w:rFonts w:hint="eastAsia" w:ascii="宋体" w:hAnsi="宋体"/>
          <w:b/>
          <w:color w:val="auto"/>
          <w:szCs w:val="24"/>
          <w:highlight w:val="none"/>
        </w:rPr>
        <w:t>第二节</w:t>
      </w:r>
      <w:r>
        <w:rPr>
          <w:rFonts w:ascii="宋体" w:hAnsi="宋体"/>
          <w:b/>
          <w:color w:val="auto"/>
          <w:szCs w:val="24"/>
          <w:highlight w:val="none"/>
        </w:rPr>
        <w:t xml:space="preserve"> </w:t>
      </w:r>
      <w:r>
        <w:rPr>
          <w:rFonts w:hint="eastAsia" w:ascii="宋体" w:hAnsi="宋体"/>
          <w:b/>
          <w:color w:val="auto"/>
          <w:szCs w:val="24"/>
          <w:highlight w:val="none"/>
        </w:rPr>
        <w:t>合同一般条款</w:t>
      </w:r>
    </w:p>
    <w:p>
      <w:pPr>
        <w:spacing w:line="360" w:lineRule="auto"/>
        <w:ind w:firstLine="482" w:firstLineChars="200"/>
        <w:rPr>
          <w:rFonts w:ascii="宋体" w:hAnsi="宋体"/>
          <w:b/>
          <w:color w:val="auto"/>
          <w:sz w:val="24"/>
          <w:highlight w:val="none"/>
        </w:rPr>
      </w:pPr>
      <w:bookmarkStart w:id="80" w:name="_Toc19680"/>
      <w:bookmarkStart w:id="81" w:name="_Toc31297"/>
      <w:bookmarkStart w:id="82" w:name="_Toc5228"/>
      <w:bookmarkStart w:id="83" w:name="_Toc14021"/>
      <w:bookmarkStart w:id="84" w:name="_Toc25079"/>
      <w:r>
        <w:rPr>
          <w:rFonts w:ascii="宋体" w:hAnsi="宋体"/>
          <w:b/>
          <w:color w:val="auto"/>
          <w:sz w:val="24"/>
          <w:highlight w:val="none"/>
        </w:rPr>
        <w:t>2.1 定义</w:t>
      </w:r>
      <w:bookmarkEnd w:id="80"/>
      <w:bookmarkEnd w:id="81"/>
      <w:bookmarkEnd w:id="82"/>
      <w:bookmarkEnd w:id="83"/>
      <w:bookmarkEnd w:id="84"/>
    </w:p>
    <w:p>
      <w:pPr>
        <w:spacing w:line="360" w:lineRule="auto"/>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成交</w:t>
      </w:r>
      <w:r>
        <w:rPr>
          <w:rFonts w:ascii="宋体" w:hAnsi="宋体"/>
          <w:color w:val="auto"/>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pPr>
        <w:spacing w:line="360" w:lineRule="auto"/>
        <w:ind w:firstLine="482" w:firstLineChars="200"/>
        <w:rPr>
          <w:rFonts w:ascii="宋体" w:hAnsi="宋体"/>
          <w:b/>
          <w:color w:val="auto"/>
          <w:sz w:val="24"/>
          <w:highlight w:val="none"/>
        </w:rPr>
      </w:pPr>
      <w:bookmarkStart w:id="85" w:name="_Toc31402"/>
      <w:bookmarkStart w:id="86" w:name="_Toc23289"/>
      <w:bookmarkStart w:id="87" w:name="_Toc16752"/>
      <w:bookmarkStart w:id="88" w:name="_Toc19539"/>
      <w:bookmarkStart w:id="89" w:name="_Toc3769"/>
      <w:r>
        <w:rPr>
          <w:rFonts w:ascii="宋体" w:hAnsi="宋体"/>
          <w:b/>
          <w:color w:val="auto"/>
          <w:sz w:val="24"/>
          <w:highlight w:val="none"/>
        </w:rPr>
        <w:t>2.2 技术规范</w:t>
      </w:r>
      <w:bookmarkEnd w:id="85"/>
      <w:bookmarkEnd w:id="86"/>
      <w:bookmarkEnd w:id="87"/>
      <w:bookmarkEnd w:id="88"/>
      <w:bookmarkEnd w:id="89"/>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pPr>
        <w:spacing w:line="360" w:lineRule="auto"/>
        <w:ind w:firstLine="482" w:firstLineChars="200"/>
        <w:rPr>
          <w:rFonts w:ascii="宋体" w:hAnsi="宋体"/>
          <w:b/>
          <w:color w:val="auto"/>
          <w:sz w:val="24"/>
          <w:highlight w:val="none"/>
        </w:rPr>
      </w:pPr>
      <w:bookmarkStart w:id="90" w:name="_Toc12412"/>
      <w:bookmarkStart w:id="91" w:name="_Toc13673"/>
      <w:bookmarkStart w:id="92" w:name="_Toc27945"/>
      <w:bookmarkStart w:id="93" w:name="_Toc9161"/>
      <w:bookmarkStart w:id="94" w:name="_Toc4133"/>
      <w:r>
        <w:rPr>
          <w:rFonts w:ascii="宋体" w:hAnsi="宋体"/>
          <w:b/>
          <w:color w:val="auto"/>
          <w:sz w:val="24"/>
          <w:highlight w:val="none"/>
        </w:rPr>
        <w:t>2.3 知识产权</w:t>
      </w:r>
      <w:bookmarkEnd w:id="90"/>
      <w:bookmarkEnd w:id="91"/>
      <w:bookmarkEnd w:id="92"/>
      <w:bookmarkEnd w:id="93"/>
      <w:bookmarkEnd w:id="94"/>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pPr>
        <w:spacing w:line="360" w:lineRule="auto"/>
        <w:ind w:firstLine="482" w:firstLineChars="200"/>
        <w:rPr>
          <w:rFonts w:ascii="宋体" w:hAnsi="宋体"/>
          <w:b/>
          <w:color w:val="auto"/>
          <w:sz w:val="24"/>
          <w:highlight w:val="none"/>
        </w:rPr>
      </w:pPr>
      <w:bookmarkStart w:id="95" w:name="_Toc22011"/>
      <w:bookmarkStart w:id="96" w:name="_Toc31233"/>
      <w:bookmarkStart w:id="97" w:name="_Toc26555"/>
      <w:bookmarkStart w:id="98" w:name="_Toc15447"/>
      <w:bookmarkStart w:id="99" w:name="_Toc32670"/>
      <w:r>
        <w:rPr>
          <w:rFonts w:ascii="宋体" w:hAnsi="宋体"/>
          <w:b/>
          <w:color w:val="auto"/>
          <w:sz w:val="24"/>
          <w:highlight w:val="none"/>
        </w:rPr>
        <w:t>2.5 结算方式和付款条件</w:t>
      </w:r>
      <w:bookmarkEnd w:id="95"/>
      <w:bookmarkEnd w:id="96"/>
      <w:bookmarkEnd w:id="97"/>
      <w:bookmarkEnd w:id="98"/>
      <w:bookmarkEnd w:id="99"/>
    </w:p>
    <w:p>
      <w:pPr>
        <w:spacing w:line="360" w:lineRule="auto"/>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color w:val="auto"/>
          <w:sz w:val="24"/>
          <w:highlight w:val="none"/>
          <w:u w:val="single"/>
        </w:rPr>
        <w:t>合同专用条款</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00" w:name="_Toc16163"/>
      <w:bookmarkStart w:id="101" w:name="_Toc18990"/>
      <w:bookmarkStart w:id="102" w:name="_Toc30507"/>
      <w:bookmarkStart w:id="103" w:name="_Toc13154"/>
      <w:bookmarkStart w:id="104" w:name="_Toc13467"/>
      <w:r>
        <w:rPr>
          <w:rFonts w:ascii="宋体" w:hAnsi="宋体"/>
          <w:b/>
          <w:color w:val="auto"/>
          <w:sz w:val="24"/>
          <w:highlight w:val="none"/>
        </w:rPr>
        <w:t>2.6 技术资料和保密义务</w:t>
      </w:r>
      <w:bookmarkEnd w:id="100"/>
      <w:bookmarkEnd w:id="101"/>
      <w:bookmarkEnd w:id="102"/>
      <w:bookmarkEnd w:id="103"/>
      <w:bookmarkEnd w:id="104"/>
    </w:p>
    <w:p>
      <w:pPr>
        <w:spacing w:line="360" w:lineRule="auto"/>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pPr>
        <w:spacing w:line="360" w:lineRule="auto"/>
        <w:ind w:firstLine="482" w:firstLineChars="200"/>
        <w:rPr>
          <w:rFonts w:ascii="宋体" w:hAnsi="宋体"/>
          <w:b/>
          <w:color w:val="auto"/>
          <w:sz w:val="24"/>
          <w:highlight w:val="none"/>
        </w:rPr>
      </w:pPr>
      <w:bookmarkStart w:id="105"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105"/>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pPr>
        <w:spacing w:line="360" w:lineRule="auto"/>
        <w:ind w:firstLine="482" w:firstLineChars="200"/>
        <w:rPr>
          <w:rFonts w:ascii="宋体" w:hAnsi="宋体"/>
          <w:b/>
          <w:color w:val="auto"/>
          <w:sz w:val="24"/>
          <w:highlight w:val="none"/>
        </w:rPr>
      </w:pPr>
      <w:bookmarkStart w:id="106"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106"/>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pPr>
        <w:spacing w:line="360" w:lineRule="auto"/>
        <w:ind w:firstLine="482" w:firstLineChars="200"/>
        <w:rPr>
          <w:rFonts w:ascii="宋体" w:hAnsi="宋体"/>
          <w:b/>
          <w:color w:val="auto"/>
          <w:sz w:val="24"/>
          <w:highlight w:val="none"/>
        </w:rPr>
      </w:pPr>
      <w:bookmarkStart w:id="107"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107"/>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108" w:name="_Toc42"/>
      <w:bookmarkStart w:id="109" w:name="_Toc21830"/>
      <w:bookmarkStart w:id="110" w:name="_Toc23368"/>
      <w:bookmarkStart w:id="111" w:name="_Toc10663"/>
      <w:bookmarkStart w:id="112" w:name="_Toc26689"/>
      <w:r>
        <w:rPr>
          <w:rFonts w:ascii="宋体" w:hAnsi="宋体"/>
          <w:b/>
          <w:color w:val="auto"/>
          <w:sz w:val="24"/>
          <w:highlight w:val="none"/>
        </w:rPr>
        <w:t>2.10 合同转让和分包</w:t>
      </w:r>
      <w:bookmarkEnd w:id="108"/>
      <w:bookmarkEnd w:id="109"/>
      <w:bookmarkEnd w:id="110"/>
      <w:bookmarkEnd w:id="111"/>
      <w:bookmarkEnd w:id="112"/>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pPr>
        <w:spacing w:line="360" w:lineRule="auto"/>
        <w:ind w:firstLine="482" w:firstLineChars="200"/>
        <w:rPr>
          <w:rFonts w:ascii="宋体" w:hAnsi="宋体"/>
          <w:b/>
          <w:color w:val="auto"/>
          <w:sz w:val="24"/>
          <w:highlight w:val="none"/>
        </w:rPr>
      </w:pPr>
      <w:bookmarkStart w:id="113" w:name="_Toc32494"/>
      <w:bookmarkStart w:id="114" w:name="_Toc25571"/>
      <w:bookmarkStart w:id="115" w:name="_Toc4720"/>
      <w:bookmarkStart w:id="116" w:name="_Toc26633"/>
      <w:bookmarkStart w:id="117" w:name="_Toc14371"/>
      <w:r>
        <w:rPr>
          <w:rFonts w:ascii="宋体" w:hAnsi="宋体"/>
          <w:b/>
          <w:color w:val="auto"/>
          <w:sz w:val="24"/>
          <w:highlight w:val="none"/>
        </w:rPr>
        <w:t>2.11 不可抗力</w:t>
      </w:r>
      <w:bookmarkEnd w:id="113"/>
      <w:bookmarkEnd w:id="114"/>
      <w:bookmarkEnd w:id="115"/>
      <w:bookmarkEnd w:id="116"/>
      <w:bookmarkEnd w:id="117"/>
    </w:p>
    <w:p>
      <w:pPr>
        <w:spacing w:line="360" w:lineRule="auto"/>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18" w:name="_Toc23854"/>
      <w:bookmarkStart w:id="119" w:name="_Toc24465"/>
      <w:bookmarkStart w:id="120" w:name="_Toc25783"/>
      <w:bookmarkStart w:id="121" w:name="_Toc14115"/>
      <w:bookmarkStart w:id="122" w:name="_Toc3638"/>
      <w:r>
        <w:rPr>
          <w:rFonts w:ascii="宋体" w:hAnsi="宋体"/>
          <w:b/>
          <w:color w:val="auto"/>
          <w:sz w:val="24"/>
          <w:highlight w:val="none"/>
        </w:rPr>
        <w:t>2.12 税费</w:t>
      </w:r>
      <w:bookmarkEnd w:id="118"/>
      <w:bookmarkEnd w:id="119"/>
      <w:bookmarkEnd w:id="120"/>
      <w:bookmarkEnd w:id="121"/>
      <w:bookmarkEnd w:id="122"/>
    </w:p>
    <w:p>
      <w:pPr>
        <w:spacing w:line="360" w:lineRule="auto"/>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pPr>
        <w:spacing w:line="360" w:lineRule="auto"/>
        <w:ind w:firstLine="482" w:firstLineChars="200"/>
        <w:rPr>
          <w:rFonts w:ascii="宋体" w:hAnsi="宋体"/>
          <w:b/>
          <w:color w:val="auto"/>
          <w:sz w:val="24"/>
          <w:highlight w:val="none"/>
        </w:rPr>
      </w:pPr>
      <w:bookmarkStart w:id="123" w:name="_Toc26883"/>
      <w:bookmarkStart w:id="124" w:name="_Toc14814"/>
      <w:bookmarkStart w:id="125" w:name="_Toc7315"/>
      <w:bookmarkStart w:id="126" w:name="_Toc30105"/>
      <w:bookmarkStart w:id="127" w:name="_Toc25525"/>
      <w:r>
        <w:rPr>
          <w:rFonts w:ascii="宋体" w:hAnsi="宋体"/>
          <w:b/>
          <w:color w:val="auto"/>
          <w:sz w:val="24"/>
          <w:highlight w:val="none"/>
        </w:rPr>
        <w:t>2.13 乙方破产</w:t>
      </w:r>
      <w:bookmarkEnd w:id="123"/>
      <w:bookmarkEnd w:id="124"/>
      <w:bookmarkEnd w:id="125"/>
      <w:bookmarkEnd w:id="126"/>
      <w:bookmarkEnd w:id="127"/>
    </w:p>
    <w:p>
      <w:pPr>
        <w:spacing w:line="360" w:lineRule="auto"/>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28" w:name="_Toc2016"/>
      <w:bookmarkStart w:id="129" w:name="_Toc23323"/>
      <w:bookmarkStart w:id="130" w:name="_Toc1123"/>
      <w:r>
        <w:rPr>
          <w:rFonts w:ascii="宋体" w:hAnsi="宋体"/>
          <w:b/>
          <w:color w:val="auto"/>
          <w:sz w:val="24"/>
          <w:highlight w:val="none"/>
        </w:rPr>
        <w:t>2.14 合同中止、终止</w:t>
      </w:r>
      <w:bookmarkEnd w:id="128"/>
      <w:bookmarkEnd w:id="129"/>
      <w:bookmarkEnd w:id="130"/>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82" w:firstLineChars="200"/>
        <w:rPr>
          <w:rFonts w:ascii="宋体" w:hAnsi="宋体"/>
          <w:b/>
          <w:color w:val="auto"/>
          <w:sz w:val="24"/>
          <w:highlight w:val="none"/>
        </w:rPr>
      </w:pPr>
      <w:bookmarkStart w:id="131" w:name="_Toc17363"/>
      <w:bookmarkStart w:id="132" w:name="_Toc14525"/>
      <w:bookmarkStart w:id="133" w:name="_Toc1969"/>
      <w:r>
        <w:rPr>
          <w:rFonts w:ascii="宋体" w:hAnsi="宋体"/>
          <w:b/>
          <w:color w:val="auto"/>
          <w:sz w:val="24"/>
          <w:highlight w:val="none"/>
        </w:rPr>
        <w:t>2.15 检验和验收</w:t>
      </w:r>
      <w:bookmarkEnd w:id="131"/>
      <w:bookmarkEnd w:id="132"/>
      <w:bookmarkEnd w:id="133"/>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color w:val="auto"/>
          <w:sz w:val="24"/>
          <w:highlight w:val="none"/>
          <w:u w:val="single"/>
        </w:rPr>
        <w:t>合同专用条款</w:t>
      </w:r>
      <w:r>
        <w:rPr>
          <w:rFonts w:hint="eastAsia" w:ascii="宋体" w:hAnsi="宋体"/>
          <w:color w:val="auto"/>
          <w:sz w:val="24"/>
          <w:highlight w:val="none"/>
        </w:rPr>
        <w:t>。</w:t>
      </w:r>
    </w:p>
    <w:p>
      <w:pPr>
        <w:spacing w:line="360" w:lineRule="auto"/>
        <w:ind w:firstLine="482" w:firstLineChars="200"/>
        <w:rPr>
          <w:rFonts w:ascii="宋体" w:hAnsi="宋体"/>
          <w:b/>
          <w:color w:val="auto"/>
          <w:sz w:val="24"/>
          <w:highlight w:val="none"/>
        </w:rPr>
      </w:pPr>
      <w:bookmarkStart w:id="134" w:name="_Toc9808"/>
      <w:bookmarkStart w:id="135" w:name="_Toc31892"/>
      <w:bookmarkStart w:id="136" w:name="_Toc25198"/>
      <w:bookmarkStart w:id="137" w:name="_Toc2308"/>
      <w:bookmarkStart w:id="138" w:name="_Toc12666"/>
      <w:r>
        <w:rPr>
          <w:rFonts w:ascii="宋体" w:hAnsi="宋体"/>
          <w:b/>
          <w:color w:val="auto"/>
          <w:sz w:val="24"/>
          <w:highlight w:val="none"/>
        </w:rPr>
        <w:t>2.16 通知和送达</w:t>
      </w:r>
      <w:bookmarkEnd w:id="134"/>
      <w:bookmarkEnd w:id="135"/>
      <w:bookmarkEnd w:id="136"/>
      <w:bookmarkEnd w:id="137"/>
      <w:bookmarkEnd w:id="138"/>
    </w:p>
    <w:p>
      <w:pPr>
        <w:spacing w:line="360" w:lineRule="auto"/>
        <w:ind w:firstLine="480" w:firstLineChars="200"/>
        <w:rPr>
          <w:rFonts w:ascii="宋体" w:hAnsi="宋体"/>
          <w:color w:val="auto"/>
          <w:sz w:val="24"/>
          <w:highlight w:val="none"/>
        </w:rPr>
      </w:pPr>
      <w:bookmarkStart w:id="139" w:name="_Toc18401"/>
      <w:bookmarkStart w:id="140" w:name="_Toc27674"/>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139"/>
      <w:bookmarkEnd w:id="140"/>
    </w:p>
    <w:p>
      <w:pPr>
        <w:spacing w:line="360" w:lineRule="auto"/>
        <w:ind w:firstLine="482" w:firstLineChars="200"/>
        <w:rPr>
          <w:rFonts w:ascii="宋体" w:hAnsi="宋体"/>
          <w:b/>
          <w:color w:val="auto"/>
          <w:sz w:val="24"/>
          <w:highlight w:val="none"/>
        </w:rPr>
      </w:pPr>
      <w:bookmarkStart w:id="141" w:name="_Toc5063"/>
      <w:bookmarkStart w:id="142" w:name="_Toc20808"/>
      <w:bookmarkStart w:id="143" w:name="_Toc12254"/>
      <w:bookmarkStart w:id="144" w:name="_Toc28906"/>
      <w:bookmarkStart w:id="145"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141"/>
      <w:bookmarkEnd w:id="142"/>
      <w:bookmarkEnd w:id="143"/>
      <w:bookmarkEnd w:id="144"/>
      <w:bookmarkEnd w:id="145"/>
    </w:p>
    <w:p>
      <w:pPr>
        <w:spacing w:line="360" w:lineRule="auto"/>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2.18 计量单位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pPr>
        <w:spacing w:line="360" w:lineRule="auto"/>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pPr>
        <w:spacing w:line="360" w:lineRule="auto"/>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pPr>
        <w:spacing w:line="360" w:lineRule="auto"/>
        <w:jc w:val="center"/>
        <w:outlineLvl w:val="1"/>
        <w:rPr>
          <w:rFonts w:ascii="宋体" w:hAnsi="宋体" w:cs="宋体"/>
          <w:b/>
          <w:color w:val="auto"/>
          <w:sz w:val="24"/>
          <w:highlight w:val="none"/>
        </w:rPr>
      </w:pPr>
      <w:r>
        <w:rPr>
          <w:rFonts w:hint="eastAsia" w:ascii="宋体" w:hAnsi="宋体" w:cs="宋体"/>
          <w:color w:val="auto"/>
          <w:kern w:val="0"/>
          <w:highlight w:val="none"/>
        </w:rPr>
        <w:br w:type="page"/>
      </w:r>
      <w:r>
        <w:rPr>
          <w:rFonts w:hint="eastAsia" w:ascii="宋体" w:hAnsi="宋体" w:cs="宋体"/>
          <w:b/>
          <w:color w:val="auto"/>
          <w:sz w:val="24"/>
          <w:highlight w:val="none"/>
        </w:rPr>
        <w:t>第三节 合同专用条款</w:t>
      </w:r>
    </w:p>
    <w:p>
      <w:pPr>
        <w:spacing w:line="360" w:lineRule="auto"/>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pPr>
              <w:spacing w:line="360" w:lineRule="auto"/>
              <w:ind w:left="-420" w:leftChars="-200" w:right="-420" w:rightChars="-200" w:firstLine="480" w:firstLineChars="200"/>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pPr>
              <w:spacing w:line="360" w:lineRule="auto"/>
              <w:rPr>
                <w:rFonts w:ascii="宋体" w:hAnsi="宋体" w:cs="宋体"/>
                <w:color w:val="auto"/>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pPr>
              <w:spacing w:line="360" w:lineRule="auto"/>
              <w:rPr>
                <w:rFonts w:ascii="宋体" w:hAnsi="宋体" w:cs="宋体"/>
                <w:color w:val="auto"/>
                <w:sz w:val="24"/>
                <w:highlight w:val="none"/>
              </w:rPr>
            </w:pPr>
          </w:p>
        </w:tc>
      </w:tr>
    </w:tbl>
    <w:p>
      <w:pPr>
        <w:spacing w:line="360" w:lineRule="auto"/>
        <w:ind w:left="-420" w:leftChars="-200" w:right="-420" w:rightChars="-200" w:firstLine="480" w:firstLineChars="200"/>
        <w:rPr>
          <w:rFonts w:hint="eastAsia" w:ascii="宋体" w:hAnsi="宋体" w:cs="宋体"/>
          <w:color w:val="auto"/>
          <w:sz w:val="24"/>
          <w:highlight w:val="none"/>
        </w:rPr>
      </w:pPr>
    </w:p>
    <w:p>
      <w:pPr>
        <w:spacing w:line="360" w:lineRule="auto"/>
        <w:ind w:firstLine="562" w:firstLineChars="200"/>
        <w:jc w:val="center"/>
        <w:rPr>
          <w:rFonts w:hint="eastAsia" w:asciiTheme="minorEastAsia" w:hAnsiTheme="minorEastAsia" w:eastAsiaTheme="minorEastAsia"/>
          <w:b/>
          <w:color w:val="auto"/>
          <w:sz w:val="28"/>
          <w:szCs w:val="28"/>
          <w:highlight w:val="none"/>
        </w:rPr>
      </w:pPr>
    </w:p>
    <w:p>
      <w:pPr>
        <w:snapToGrid w:val="0"/>
        <w:spacing w:line="360" w:lineRule="auto"/>
        <w:jc w:val="center"/>
        <w:outlineLvl w:val="0"/>
        <w:rPr>
          <w:rFonts w:hint="eastAsia" w:cs="仿宋_GB2312" w:asciiTheme="minorEastAsia" w:hAnsiTheme="minorEastAsia" w:eastAsiaTheme="minorEastAsia"/>
          <w:b/>
          <w:color w:val="auto"/>
          <w:sz w:val="36"/>
          <w:szCs w:val="20"/>
          <w:highlight w:val="none"/>
        </w:rPr>
      </w:pPr>
      <w:bookmarkStart w:id="146" w:name="_Toc15409"/>
      <w:bookmarkStart w:id="147" w:name="_Toc17252"/>
      <w:r>
        <w:rPr>
          <w:rFonts w:hint="eastAsia" w:cs="仿宋_GB2312" w:asciiTheme="minorEastAsia" w:hAnsiTheme="minorEastAsia" w:eastAsiaTheme="minorEastAsia"/>
          <w:b/>
          <w:color w:val="auto"/>
          <w:sz w:val="36"/>
          <w:szCs w:val="20"/>
          <w:highlight w:val="none"/>
        </w:rPr>
        <w:t>第七部分</w:t>
      </w:r>
      <w:bookmarkEnd w:id="39"/>
      <w:r>
        <w:rPr>
          <w:rFonts w:hint="eastAsia" w:cs="仿宋_GB2312" w:asciiTheme="minorEastAsia" w:hAnsiTheme="minorEastAsia" w:eastAsiaTheme="minorEastAsia"/>
          <w:b/>
          <w:color w:val="auto"/>
          <w:sz w:val="36"/>
          <w:szCs w:val="20"/>
          <w:highlight w:val="none"/>
        </w:rPr>
        <w:t xml:space="preserve">  </w:t>
      </w:r>
      <w:bookmarkEnd w:id="40"/>
      <w:r>
        <w:rPr>
          <w:rFonts w:hint="eastAsia" w:cs="仿宋_GB2312" w:asciiTheme="minorEastAsia" w:hAnsiTheme="minorEastAsia" w:eastAsiaTheme="minorEastAsia"/>
          <w:b/>
          <w:color w:val="auto"/>
          <w:sz w:val="36"/>
          <w:szCs w:val="20"/>
          <w:highlight w:val="none"/>
        </w:rPr>
        <w:t>应提交的有关格式范例</w:t>
      </w:r>
      <w:bookmarkEnd w:id="146"/>
      <w:bookmarkEnd w:id="147"/>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pPr>
        <w:spacing w:line="360" w:lineRule="auto"/>
        <w:ind w:firstLine="480" w:firstLineChars="200"/>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b/>
          <w:color w:val="auto"/>
          <w:kern w:val="0"/>
          <w:sz w:val="36"/>
          <w:szCs w:val="36"/>
          <w:highlight w:val="none"/>
        </w:rPr>
      </w:pPr>
      <w:r>
        <w:rPr>
          <w:rFonts w:hint="eastAsia" w:cs="仿宋_GB2312" w:asciiTheme="minorEastAsia" w:hAnsiTheme="minorEastAsia" w:eastAsiaTheme="minorEastAsia"/>
          <w:b/>
          <w:color w:val="auto"/>
          <w:kern w:val="0"/>
          <w:sz w:val="36"/>
          <w:szCs w:val="36"/>
          <w:highlight w:val="none"/>
        </w:rPr>
        <w:t>目录</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▲（1）响应函……………………………………………………………………（页码）</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▲（2）资格文件…………………………………………………………………（页码）</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▲（3）法人授权书</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snapToGrid w:val="0"/>
        <w:spacing w:line="360" w:lineRule="auto"/>
        <w:ind w:left="479" w:leftChars="228"/>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sz w:val="24"/>
          <w:highlight w:val="none"/>
        </w:rPr>
        <w:t>（4）分包意向协议</w:t>
      </w:r>
      <w:r>
        <w:rPr>
          <w:rFonts w:hint="eastAsia"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highlight w:val="none"/>
        </w:rPr>
        <w:t>（页码）</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（5）所有资信文件（复印件）…………………………………………………（页码）</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（6）主要业绩证明</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（7）</w:t>
      </w:r>
      <w:r>
        <w:rPr>
          <w:rFonts w:hint="eastAsia" w:cs="仿宋_GB2312" w:asciiTheme="minorEastAsia" w:hAnsiTheme="minorEastAsia" w:eastAsiaTheme="minorEastAsia"/>
          <w:color w:val="auto"/>
          <w:highlight w:val="none"/>
          <w:lang w:val="zh-CN"/>
        </w:rPr>
        <w:t>关于对磋商文件中有关条款的拒绝声明……………</w:t>
      </w: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highlight w:val="none"/>
          <w:lang w:val="zh-CN"/>
        </w:rPr>
        <w:t>……………</w:t>
      </w:r>
      <w:r>
        <w:rPr>
          <w:rFonts w:hint="eastAsia" w:cs="仿宋_GB2312" w:asciiTheme="minorEastAsia" w:hAnsiTheme="minorEastAsia" w:eastAsiaTheme="minorEastAsia"/>
          <w:color w:val="auto"/>
          <w:highlight w:val="none"/>
        </w:rPr>
        <w:t>（页码）</w:t>
      </w:r>
    </w:p>
    <w:p>
      <w:pPr>
        <w:pStyle w:val="185"/>
        <w:spacing w:line="360" w:lineRule="auto"/>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（8）认为需要的其他商务文件或说明…………………………………………（页码）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（9）技术设计方案…………………………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（10</w:t>
      </w:r>
      <w:r>
        <w:rPr>
          <w:rFonts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rPr>
        <w:t>项目</w:t>
      </w:r>
      <w:r>
        <w:rPr>
          <w:rFonts w:cs="仿宋_GB2312" w:asciiTheme="minorEastAsia" w:hAnsiTheme="minorEastAsia" w:eastAsiaTheme="minorEastAsia"/>
          <w:color w:val="auto"/>
          <w:kern w:val="0"/>
          <w:sz w:val="24"/>
          <w:highlight w:val="none"/>
        </w:rPr>
        <w:t>实施方案……………………………</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w:t>
      </w:r>
      <w:r>
        <w:rPr>
          <w:rFonts w:cs="仿宋_GB2312" w:asciiTheme="minorEastAsia" w:hAnsiTheme="minorEastAsia" w:eastAsiaTheme="minorEastAsia"/>
          <w:color w:val="auto"/>
          <w:kern w:val="0"/>
          <w:sz w:val="24"/>
          <w:highlight w:val="none"/>
        </w:rPr>
        <w:t>1</w:t>
      </w:r>
      <w:r>
        <w:rPr>
          <w:rFonts w:hint="eastAsia" w:cs="仿宋_GB2312" w:asciiTheme="minorEastAsia" w:hAnsiTheme="minorEastAsia" w:eastAsiaTheme="minorEastAsia"/>
          <w:color w:val="auto"/>
          <w:kern w:val="0"/>
          <w:sz w:val="24"/>
          <w:highlight w:val="none"/>
        </w:rPr>
        <w:t>1</w:t>
      </w:r>
      <w:r>
        <w:rPr>
          <w:rFonts w:cs="仿宋_GB2312" w:asciiTheme="minorEastAsia" w:hAnsiTheme="minorEastAsia" w:eastAsiaTheme="minorEastAsia"/>
          <w:color w:val="auto"/>
          <w:kern w:val="0"/>
          <w:sz w:val="24"/>
          <w:highlight w:val="none"/>
        </w:rPr>
        <w:t>）售后服务方案…………………………</w:t>
      </w:r>
      <w:r>
        <w:rPr>
          <w:rFonts w:hint="eastAsia" w:cs="仿宋_GB2312" w:asciiTheme="minorEastAsia" w:hAnsiTheme="minorEastAsia" w:eastAsiaTheme="minorEastAsia"/>
          <w:color w:val="auto"/>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（12</w:t>
      </w:r>
      <w:r>
        <w:rPr>
          <w:rFonts w:cs="仿宋_GB2312" w:asciiTheme="minorEastAsia" w:hAnsiTheme="minorEastAsia" w:eastAsiaTheme="minorEastAsia"/>
          <w:color w:val="auto"/>
          <w:kern w:val="0"/>
          <w:sz w:val="24"/>
          <w:highlight w:val="none"/>
        </w:rPr>
        <w:t>）项目小组人员名单…</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（13）</w:t>
      </w:r>
      <w:r>
        <w:rPr>
          <w:rFonts w:hint="eastAsia" w:cs="仿宋_GB2312" w:asciiTheme="minorEastAsia" w:hAnsiTheme="minorEastAsia" w:eastAsiaTheme="minorEastAsia"/>
          <w:color w:val="auto"/>
          <w:kern w:val="0"/>
          <w:sz w:val="24"/>
          <w:highlight w:val="none"/>
          <w:lang w:val="zh-CN"/>
        </w:rPr>
        <w:t>优惠条件及特殊承诺………………………………………………………</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（14）</w:t>
      </w:r>
      <w:r>
        <w:rPr>
          <w:rFonts w:hint="eastAsia" w:cs="仿宋_GB2312" w:asciiTheme="minorEastAsia" w:hAnsiTheme="minorEastAsia" w:eastAsiaTheme="minorEastAsia"/>
          <w:color w:val="auto"/>
          <w:kern w:val="0"/>
          <w:sz w:val="24"/>
          <w:highlight w:val="none"/>
          <w:lang w:val="zh-CN"/>
        </w:rPr>
        <w:t>培训计划……………………………………………………………………</w:t>
      </w:r>
      <w:r>
        <w:rPr>
          <w:rFonts w:hint="eastAsia" w:cs="仿宋_GB2312" w:asciiTheme="minorEastAsia" w:hAnsiTheme="minorEastAsia" w:eastAsiaTheme="minorEastAsia"/>
          <w:color w:val="auto"/>
          <w:kern w:val="0"/>
          <w:sz w:val="24"/>
          <w:highlight w:val="none"/>
        </w:rPr>
        <w:t>（页码）</w:t>
      </w:r>
    </w:p>
    <w:p>
      <w:pPr>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（15）</w:t>
      </w:r>
      <w:r>
        <w:rPr>
          <w:rFonts w:hint="eastAsia" w:cs="仿宋_GB2312" w:asciiTheme="minorEastAsia" w:hAnsiTheme="minorEastAsia" w:eastAsiaTheme="minorEastAsia"/>
          <w:color w:val="auto"/>
          <w:sz w:val="24"/>
          <w:highlight w:val="none"/>
        </w:rPr>
        <w:t>随机特殊工具和备品备件清单</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spacing w:line="360" w:lineRule="auto"/>
        <w:ind w:firstLine="480"/>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（16）</w:t>
      </w:r>
      <w:r>
        <w:rPr>
          <w:rFonts w:hint="eastAsia" w:cs="仿宋_GB2312" w:asciiTheme="minorEastAsia" w:hAnsiTheme="minorEastAsia" w:eastAsiaTheme="minorEastAsia"/>
          <w:color w:val="auto"/>
          <w:kern w:val="0"/>
          <w:sz w:val="24"/>
          <w:highlight w:val="none"/>
          <w:lang w:val="zh-CN"/>
        </w:rPr>
        <w:t>认为需要的其他技术文件或说明…………………………………</w:t>
      </w:r>
      <w:bookmarkStart w:id="148" w:name="OLE_LINK1"/>
      <w:r>
        <w:rPr>
          <w:rFonts w:hint="eastAsia" w:cs="仿宋_GB2312" w:asciiTheme="minorEastAsia" w:hAnsiTheme="minorEastAsia" w:eastAsiaTheme="minorEastAsia"/>
          <w:color w:val="auto"/>
          <w:kern w:val="0"/>
          <w:sz w:val="24"/>
          <w:highlight w:val="none"/>
          <w:lang w:val="zh-CN"/>
        </w:rPr>
        <w:t>…</w:t>
      </w:r>
      <w:bookmarkEnd w:id="148"/>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rPr>
        <w:t>（页码）</w:t>
      </w:r>
    </w:p>
    <w:p>
      <w:pPr>
        <w:tabs>
          <w:tab w:val="left" w:pos="0"/>
        </w:tabs>
        <w:autoSpaceDE w:val="0"/>
        <w:autoSpaceDN w:val="0"/>
        <w:spacing w:line="360" w:lineRule="auto"/>
        <w:ind w:firstLine="42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highlight w:val="none"/>
        </w:rPr>
        <w:t>▲</w:t>
      </w:r>
      <w:r>
        <w:rPr>
          <w:rFonts w:hint="eastAsia" w:cs="仿宋_GB2312" w:asciiTheme="minorEastAsia" w:hAnsiTheme="minorEastAsia" w:eastAsiaTheme="minorEastAsia"/>
          <w:color w:val="auto"/>
          <w:kern w:val="0"/>
          <w:sz w:val="24"/>
          <w:highlight w:val="none"/>
        </w:rPr>
        <w:t>（17）</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cs="仿宋_GB2312" w:asciiTheme="minorEastAsia" w:hAnsiTheme="minorEastAsia" w:eastAsiaTheme="minorEastAsia"/>
          <w:color w:val="auto"/>
          <w:kern w:val="0"/>
          <w:sz w:val="24"/>
          <w:highlight w:val="none"/>
        </w:rPr>
        <w:t>（页码）</w:t>
      </w:r>
    </w:p>
    <w:p>
      <w:pPr>
        <w:pStyle w:val="632"/>
        <w:rPr>
          <w:rFonts w:hint="eastAsia" w:cs="宋体"/>
          <w:color w:val="auto"/>
          <w:highlight w:val="none"/>
        </w:rPr>
      </w:pPr>
      <w:r>
        <w:rPr>
          <w:rFonts w:hint="eastAsia" w:cs="仿宋_GB2312" w:asciiTheme="minorEastAsia" w:hAnsiTheme="minorEastAsia" w:eastAsiaTheme="minorEastAsia"/>
          <w:color w:val="auto"/>
          <w:highlight w:val="none"/>
        </w:rPr>
        <w:t>▲</w:t>
      </w:r>
      <w:r>
        <w:rPr>
          <w:rFonts w:hint="eastAsia" w:cs="宋体"/>
          <w:color w:val="auto"/>
          <w:highlight w:val="none"/>
          <w:lang w:val="zh-CN"/>
        </w:rPr>
        <w:t>（</w:t>
      </w:r>
      <w:r>
        <w:rPr>
          <w:rFonts w:hint="eastAsia" w:cs="宋体"/>
          <w:color w:val="auto"/>
          <w:highlight w:val="none"/>
        </w:rPr>
        <w:t>18</w:t>
      </w:r>
      <w:r>
        <w:rPr>
          <w:rFonts w:hint="eastAsia" w:cs="宋体"/>
          <w:color w:val="auto"/>
          <w:highlight w:val="none"/>
          <w:lang w:val="zh-CN"/>
        </w:rPr>
        <w:t>）承诺函</w:t>
      </w:r>
      <w:r>
        <w:rPr>
          <w:rFonts w:hint="eastAsia" w:cs="宋体"/>
          <w:color w:val="auto"/>
          <w:highlight w:val="none"/>
        </w:rPr>
        <w:t>………………………………………………………</w:t>
      </w:r>
      <w:r>
        <w:rPr>
          <w:rFonts w:hint="eastAsia" w:cs="仿宋_GB2312" w:asciiTheme="minorEastAsia" w:hAnsiTheme="minorEastAsia" w:eastAsiaTheme="minorEastAsia"/>
          <w:color w:val="auto"/>
          <w:kern w:val="0"/>
          <w:sz w:val="24"/>
          <w:highlight w:val="none"/>
          <w:lang w:val="zh-CN"/>
        </w:rPr>
        <w:t>…</w:t>
      </w:r>
      <w:r>
        <w:rPr>
          <w:rFonts w:hint="eastAsia" w:cs="宋体"/>
          <w:color w:val="auto"/>
          <w:highlight w:val="none"/>
        </w:rPr>
        <w:t>………（页码）</w:t>
      </w:r>
    </w:p>
    <w:p>
      <w:pPr>
        <w:pStyle w:val="632"/>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Cs w:val="24"/>
          <w:highlight w:val="none"/>
          <w:lang w:val="zh-CN"/>
        </w:rPr>
        <w:t>▲（1</w:t>
      </w:r>
      <w:r>
        <w:rPr>
          <w:rFonts w:hint="eastAsia" w:cs="仿宋_GB2312" w:asciiTheme="minorEastAsia" w:hAnsiTheme="minorEastAsia" w:eastAsiaTheme="minorEastAsia"/>
          <w:color w:val="auto"/>
          <w:szCs w:val="24"/>
          <w:highlight w:val="none"/>
        </w:rPr>
        <w:t>9</w:t>
      </w:r>
      <w:r>
        <w:rPr>
          <w:rFonts w:hint="eastAsia" w:cs="仿宋_GB2312" w:asciiTheme="minorEastAsia" w:hAnsiTheme="minorEastAsia" w:eastAsiaTheme="minorEastAsia"/>
          <w:color w:val="auto"/>
          <w:szCs w:val="24"/>
          <w:highlight w:val="none"/>
          <w:lang w:val="zh-CN"/>
        </w:rPr>
        <w:t>）商务、服务（技术）响应、偏离情况说明表……………</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Cs w:val="24"/>
          <w:highlight w:val="none"/>
          <w:lang w:val="zh-CN"/>
        </w:rPr>
        <w:t>………（页码）</w:t>
      </w:r>
    </w:p>
    <w:p>
      <w:pPr>
        <w:pStyle w:val="632"/>
        <w:rPr>
          <w:rFonts w:hint="eastAsia"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kern w:val="0"/>
          <w:sz w:val="24"/>
          <w:highlight w:val="none"/>
          <w:lang w:val="zh-CN"/>
        </w:rPr>
        <w:t>▲（20）初始报价表</w:t>
      </w:r>
      <w:r>
        <w:rPr>
          <w:rFonts w:hint="eastAsia" w:cs="仿宋_GB2312" w:asciiTheme="minorEastAsia" w:hAnsiTheme="minorEastAsia" w:eastAsiaTheme="minorEastAsia"/>
          <w:color w:val="auto"/>
          <w:szCs w:val="24"/>
          <w:highlight w:val="none"/>
          <w:lang w:val="zh-CN"/>
        </w:rPr>
        <w:t>……………………………………………………………（页码）</w:t>
      </w:r>
    </w:p>
    <w:p>
      <w:pPr>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b/>
          <w:bCs/>
          <w:color w:val="auto"/>
          <w:kern w:val="0"/>
          <w:sz w:val="24"/>
          <w:highlight w:val="none"/>
          <w:lang w:val="zh-CN"/>
        </w:rPr>
        <w:t>注：以上目录是编制供应商响应文件的基本格式要求，各供应商可根据自身情况进一步细化，其中标注“▲”为必须提供的材料。</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sz w:val="36"/>
          <w:szCs w:val="36"/>
          <w:highlight w:val="none"/>
        </w:rPr>
        <w:br w:type="page"/>
      </w: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(职务、职称)为全权代表，参加贵方组织的（项目名称）【项目编号：（采购编号）】的有关活动，并对此项目进行响应。为此：</w:t>
      </w:r>
    </w:p>
    <w:p>
      <w:pPr>
        <w:pStyle w:val="106"/>
        <w:numPr>
          <w:ilvl w:val="0"/>
          <w:numId w:val="7"/>
        </w:numPr>
        <w:snapToGrid w:val="0"/>
        <w:ind w:firstLineChars="0"/>
        <w:rPr>
          <w:rFonts w:hint="eastAsia"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我方承诺除响应文件列出的偏离外，我方响应磋商文件的全部要求。</w:t>
      </w:r>
    </w:p>
    <w:p>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保证遵守磋商文件中的其他有关规定。</w:t>
      </w:r>
    </w:p>
    <w:p>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pPr>
        <w:numPr>
          <w:ilvl w:val="0"/>
          <w:numId w:val="7"/>
        </w:numPr>
        <w:adjustRightInd/>
        <w:spacing w:line="360" w:lineRule="auto"/>
        <w:rPr>
          <w:rFonts w:hint="eastAsia" w:cs="仿宋_GB2312"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如我方成交，我方承诺：</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pPr>
        <w:snapToGrid w:val="0"/>
        <w:spacing w:line="360" w:lineRule="auto"/>
        <w:ind w:left="210" w:leftChars="10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pPr>
        <w:numPr>
          <w:ilvl w:val="0"/>
          <w:numId w:val="7"/>
        </w:numPr>
        <w:adjustRightInd/>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其他补充说明:                                        。</w:t>
      </w:r>
    </w:p>
    <w:p>
      <w:pPr>
        <w:autoSpaceDE w:val="0"/>
        <w:autoSpaceDN w:val="0"/>
        <w:spacing w:line="360" w:lineRule="auto"/>
        <w:ind w:firstLine="3960" w:firstLineChars="1650"/>
        <w:rPr>
          <w:rFonts w:hint="eastAsia" w:cs="仿宋_GB2312" w:asciiTheme="minorEastAsia" w:hAnsiTheme="minorEastAsia" w:eastAsiaTheme="minorEastAsia"/>
          <w:color w:val="auto"/>
          <w:kern w:val="0"/>
          <w:sz w:val="24"/>
          <w:highlight w:val="none"/>
          <w:lang w:val="zh-CN"/>
        </w:rPr>
      </w:pP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pStyle w:val="116"/>
        <w:keepNext w:val="0"/>
        <w:pageBreakBefore w:val="0"/>
        <w:tabs>
          <w:tab w:val="clear" w:pos="720"/>
        </w:tabs>
        <w:jc w:val="both"/>
        <w:outlineLvl w:val="9"/>
        <w:rPr>
          <w:rFonts w:hint="eastAsia" w:cs="仿宋_GB2312" w:asciiTheme="minorEastAsia" w:hAnsiTheme="minorEastAsia" w:eastAsiaTheme="minorEastAsia"/>
          <w:color w:val="auto"/>
          <w:sz w:val="24"/>
          <w:szCs w:val="24"/>
          <w:highlight w:val="none"/>
        </w:rPr>
      </w:pPr>
    </w:p>
    <w:p>
      <w:pPr>
        <w:spacing w:line="360" w:lineRule="auto"/>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18"/>
          <w:szCs w:val="18"/>
          <w:highlight w:val="none"/>
        </w:rPr>
      </w:pPr>
    </w:p>
    <w:p>
      <w:pPr>
        <w:spacing w:line="360" w:lineRule="auto"/>
        <w:rPr>
          <w:rFonts w:hint="eastAsia" w:cs="仿宋_GB2312" w:asciiTheme="minorEastAsia" w:hAnsiTheme="minorEastAsia" w:eastAsiaTheme="minorEastAsia"/>
          <w:color w:val="auto"/>
          <w:sz w:val="18"/>
          <w:szCs w:val="18"/>
          <w:highlight w:val="none"/>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rPr>
        <w:br w:type="page"/>
      </w:r>
      <w:r>
        <w:rPr>
          <w:rFonts w:hint="eastAsia" w:cs="仿宋_GB2312" w:asciiTheme="minorEastAsia" w:hAnsiTheme="minorEastAsia" w:eastAsiaTheme="minorEastAsia"/>
          <w:b/>
          <w:color w:val="auto"/>
          <w:kern w:val="0"/>
          <w:sz w:val="32"/>
          <w:szCs w:val="32"/>
          <w:highlight w:val="none"/>
          <w:lang w:val="zh-CN"/>
        </w:rPr>
        <w:t>二、资格文件</w:t>
      </w:r>
    </w:p>
    <w:p>
      <w:pPr>
        <w:pStyle w:val="106"/>
        <w:widowControl/>
        <w:tabs>
          <w:tab w:val="left" w:pos="1200"/>
          <w:tab w:val="left" w:pos="1560"/>
        </w:tabs>
        <w:adjustRightInd/>
        <w:ind w:left="1560" w:firstLine="0" w:firstLineChars="0"/>
        <w:jc w:val="left"/>
        <w:rPr>
          <w:rFonts w:hint="eastAsia" w:cs="仿宋_GB2312" w:asciiTheme="minorEastAsia" w:hAnsiTheme="minorEastAsia" w:eastAsiaTheme="minorEastAsia"/>
          <w:b/>
          <w:color w:val="auto"/>
          <w:sz w:val="30"/>
          <w:szCs w:val="30"/>
          <w:highlight w:val="none"/>
        </w:rPr>
      </w:pPr>
    </w:p>
    <w:p>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宋体" w:asciiTheme="minorEastAsia" w:hAnsiTheme="minorEastAsia" w:eastAsiaTheme="minorEastAsia"/>
          <w:b/>
          <w:color w:val="auto"/>
          <w:kern w:val="0"/>
          <w:sz w:val="32"/>
          <w:szCs w:val="32"/>
          <w:highlight w:val="none"/>
        </w:rPr>
        <w:t>A、符合参加政府采购活动应当具备的一般条件的承诺函</w:t>
      </w:r>
    </w:p>
    <w:p>
      <w:pPr>
        <w:snapToGrid w:val="0"/>
        <w:spacing w:line="360" w:lineRule="auto"/>
        <w:ind w:right="480"/>
        <w:jc w:val="center"/>
        <w:rPr>
          <w:rFonts w:hint="eastAsia" w:ascii="宋体" w:hAnsi="宋体" w:cs="宋体"/>
          <w:color w:val="auto"/>
          <w:sz w:val="24"/>
          <w:highlight w:val="none"/>
        </w:rPr>
      </w:pPr>
    </w:p>
    <w:p>
      <w:pPr>
        <w:snapToGrid w:val="0"/>
        <w:spacing w:line="360" w:lineRule="auto"/>
        <w:ind w:right="480"/>
        <w:jc w:val="center"/>
        <w:rPr>
          <w:rFonts w:hint="eastAsia" w:ascii="宋体" w:hAnsi="宋体" w:cs="宋体"/>
          <w:color w:val="auto"/>
          <w:sz w:val="24"/>
          <w:highlight w:val="none"/>
        </w:rPr>
      </w:pPr>
      <w:r>
        <w:rPr>
          <w:rFonts w:hint="eastAsia" w:ascii="宋体" w:hAnsi="宋体" w:cs="宋体"/>
          <w:color w:val="auto"/>
          <w:sz w:val="24"/>
          <w:highlight w:val="none"/>
        </w:rPr>
        <w:t>北海市政府采购供应商信用承诺函（格式）</w:t>
      </w:r>
    </w:p>
    <w:p>
      <w:pPr>
        <w:snapToGrid w:val="0"/>
        <w:spacing w:line="360" w:lineRule="auto"/>
        <w:rPr>
          <w:rFonts w:hint="eastAsia" w:ascii="宋体" w:hAnsi="宋体" w:cs="宋体"/>
          <w:color w:val="auto"/>
          <w:sz w:val="24"/>
          <w:highlight w:val="none"/>
        </w:rPr>
      </w:pP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（采购人）、（采购代理机构） ：</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供应商名称：</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统一社会信用代码：</w:t>
      </w:r>
    </w:p>
    <w:p>
      <w:pPr>
        <w:snapToGrid w:val="0"/>
        <w:spacing w:line="360" w:lineRule="auto"/>
        <w:ind w:right="480"/>
        <w:rPr>
          <w:rFonts w:hint="eastAsia" w:ascii="宋体" w:hAnsi="宋体" w:cs="宋体"/>
          <w:color w:val="auto"/>
          <w:sz w:val="24"/>
          <w:highlight w:val="none"/>
        </w:rPr>
      </w:pPr>
      <w:r>
        <w:rPr>
          <w:rFonts w:hint="eastAsia" w:ascii="宋体" w:hAnsi="宋体" w:cs="宋体"/>
          <w:color w:val="auto"/>
          <w:sz w:val="24"/>
          <w:highlight w:val="none"/>
        </w:rPr>
        <w:t>供应商地址：</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1.我单位具有符合采购文件资格要求独立承担民事责任的能力。</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2.我单位具有符合采购文件资格要求的财务状况报告。</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3.我单位具有符合采购文件资格要求的依法缴纳税收和社会保障记录的良好记录。</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4.我单位具有符合采购文件资格要求履行合同所必需的设备和专业技术能力。</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pPr>
        <w:snapToGrid w:val="0"/>
        <w:spacing w:line="360" w:lineRule="auto"/>
        <w:ind w:right="482" w:firstLine="480" w:firstLineChars="200"/>
        <w:rPr>
          <w:rFonts w:hint="eastAsia" w:ascii="宋体" w:hAnsi="宋体" w:cs="宋体"/>
          <w:color w:val="auto"/>
          <w:sz w:val="24"/>
          <w:highlight w:val="none"/>
        </w:rPr>
      </w:pPr>
      <w:r>
        <w:rPr>
          <w:rFonts w:hint="eastAsia" w:ascii="宋体" w:hAnsi="宋体" w:cs="宋体"/>
          <w:color w:val="auto"/>
          <w:sz w:val="24"/>
          <w:highlight w:val="none"/>
        </w:rPr>
        <w:t>若我单位承诺不实，自愿承担提供虚假材料谋取中标、成交的法律责任。</w:t>
      </w:r>
    </w:p>
    <w:p>
      <w:pPr>
        <w:snapToGrid w:val="0"/>
        <w:spacing w:line="360" w:lineRule="auto"/>
        <w:ind w:right="480"/>
        <w:rPr>
          <w:rFonts w:hint="eastAsia" w:ascii="宋体" w:hAnsi="宋体" w:cs="宋体"/>
          <w:color w:val="auto"/>
          <w:sz w:val="24"/>
          <w:highlight w:val="none"/>
        </w:rPr>
      </w:pP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磋商供应商名称（公章）：</w:t>
      </w:r>
    </w:p>
    <w:p>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法定代表人（负责人）或委托代理人(签名)：                          </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pPr>
        <w:snapToGrid w:val="0"/>
        <w:spacing w:line="360" w:lineRule="auto"/>
        <w:ind w:right="480"/>
        <w:rPr>
          <w:rFonts w:hint="eastAsia" w:ascii="宋体" w:hAnsi="宋体" w:cs="宋体"/>
          <w:color w:val="auto"/>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B、联合协议（如果有）</w:t>
      </w:r>
    </w:p>
    <w:p>
      <w:pPr>
        <w:widowControl/>
        <w:spacing w:line="360" w:lineRule="auto"/>
        <w:ind w:firstLine="482" w:firstLineChars="20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（以联合体形式响应的，提供联合协议；本项目不接受联合体响应或者供应商不以联合体形式响应的，则不需要提供）</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（联合体所有成员名称）</w:t>
      </w:r>
      <w:r>
        <w:rPr>
          <w:rFonts w:hint="eastAsia" w:cs="宋体" w:asciiTheme="minorEastAsia" w:hAnsiTheme="minorEastAsia" w:eastAsiaTheme="minorEastAsia"/>
          <w:color w:val="auto"/>
          <w:kern w:val="0"/>
          <w:sz w:val="24"/>
          <w:highlight w:val="none"/>
        </w:rPr>
        <w:t>自愿</w:t>
      </w:r>
      <w:r>
        <w:rPr>
          <w:rFonts w:hint="eastAsia" w:cs="宋体" w:asciiTheme="minorEastAsia" w:hAnsiTheme="minorEastAsia" w:eastAsiaTheme="minorEastAsia"/>
          <w:color w:val="auto"/>
          <w:kern w:val="0"/>
          <w:sz w:val="24"/>
          <w:highlight w:val="none"/>
          <w:lang w:val="zh-CN"/>
        </w:rPr>
        <w:t>组成一个联合体，以一个供应商的身份</w:t>
      </w:r>
      <w:r>
        <w:rPr>
          <w:rFonts w:hint="eastAsia" w:cs="宋体" w:asciiTheme="minorEastAsia" w:hAnsiTheme="minorEastAsia" w:eastAsiaTheme="minorEastAsia"/>
          <w:color w:val="auto"/>
          <w:kern w:val="0"/>
          <w:sz w:val="24"/>
          <w:highlight w:val="none"/>
        </w:rPr>
        <w:t>参加</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【项目编号：（采购编号）】响应</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一、各方一致决定，</w:t>
      </w:r>
      <w:r>
        <w:rPr>
          <w:rFonts w:hint="eastAsia" w:cs="宋体" w:asciiTheme="minorEastAsia" w:hAnsiTheme="minorEastAsia" w:eastAsiaTheme="minorEastAsia"/>
          <w:color w:val="auto"/>
          <w:kern w:val="0"/>
          <w:sz w:val="24"/>
          <w:highlight w:val="none"/>
          <w:u w:val="single"/>
        </w:rPr>
        <w:t>（某联合体成员名称）</w:t>
      </w:r>
      <w:r>
        <w:rPr>
          <w:rFonts w:hint="eastAsia" w:cs="宋体" w:asciiTheme="minorEastAsia" w:hAnsiTheme="minorEastAsia" w:eastAsiaTheme="minorEastAsia"/>
          <w:color w:val="auto"/>
          <w:kern w:val="0"/>
          <w:sz w:val="24"/>
          <w:highlight w:val="none"/>
        </w:rPr>
        <w:t>为联合体</w:t>
      </w:r>
      <w:r>
        <w:rPr>
          <w:rFonts w:hint="eastAsia" w:cs="宋体" w:asciiTheme="minorEastAsia" w:hAnsiTheme="minorEastAsia" w:eastAsiaTheme="minorEastAsia"/>
          <w:color w:val="auto"/>
          <w:kern w:val="0"/>
          <w:sz w:val="24"/>
          <w:highlight w:val="none"/>
          <w:lang w:val="zh-CN"/>
        </w:rPr>
        <w:t>牵头人</w:t>
      </w:r>
      <w:r>
        <w:rPr>
          <w:rFonts w:hint="eastAsia" w:cs="宋体" w:asciiTheme="minorEastAsia" w:hAnsiTheme="minorEastAsia" w:eastAsiaTheme="minorEastAsia"/>
          <w:color w:val="auto"/>
          <w:sz w:val="24"/>
          <w:highlight w:val="none"/>
        </w:rPr>
        <w:t>，代表所有联合体成员负责响应和合同实施阶段的主办、协调工作</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w:t>
      </w:r>
      <w:r>
        <w:rPr>
          <w:rFonts w:hint="eastAsia" w:cs="宋体" w:asciiTheme="minorEastAsia" w:hAnsiTheme="minorEastAsia" w:eastAsiaTheme="minorEastAsia"/>
          <w:color w:val="auto"/>
          <w:sz w:val="24"/>
          <w:highlight w:val="none"/>
        </w:rPr>
        <w:t>所有联合体成员各方签署授权书，授权书载明的</w:t>
      </w:r>
      <w:r>
        <w:rPr>
          <w:rFonts w:hint="eastAsia" w:cs="宋体" w:asciiTheme="minorEastAsia" w:hAnsiTheme="minorEastAsia" w:eastAsiaTheme="minorEastAsia"/>
          <w:color w:val="auto"/>
          <w:kern w:val="0"/>
          <w:sz w:val="24"/>
          <w:highlight w:val="none"/>
          <w:lang w:val="zh-CN"/>
        </w:rPr>
        <w:t>授权代表根据磋商文件规定及采购内容而对采购人、采购代理机构所作的任何合法承诺，包括书面澄清及相应等均对联合体各方产生约束力。</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三、本次联合响应中，分工如下：</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（联合体成员1）</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（联合体成员</w:t>
      </w:r>
      <w:r>
        <w:rPr>
          <w:rFonts w:cs="宋体" w:asciiTheme="minorEastAsia" w:hAnsiTheme="minorEastAsia" w:eastAsiaTheme="minorEastAsia"/>
          <w:color w:val="auto"/>
          <w:kern w:val="0"/>
          <w:sz w:val="24"/>
          <w:highlight w:val="none"/>
          <w:u w:val="single"/>
        </w:rPr>
        <w:t>2</w:t>
      </w:r>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lang w:val="zh-CN"/>
        </w:rPr>
        <w:t>承担的工作和义务为：</w:t>
      </w:r>
      <w:r>
        <w:rPr>
          <w:rFonts w:hint="eastAsia" w:cs="宋体" w:asciiTheme="minorEastAsia" w:hAnsiTheme="minorEastAsia" w:eastAsiaTheme="minorEastAsia"/>
          <w:color w:val="auto"/>
          <w:highlight w:val="none"/>
          <w:u w:val="single"/>
        </w:rPr>
        <w:t xml:space="preserve">             </w:t>
      </w: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四、联合体成员中小企业合同份额（如果有）。</w:t>
      </w:r>
    </w:p>
    <w:p>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w:t>
      </w:r>
      <w:r>
        <w:rPr>
          <w:rFonts w:hint="eastAsia" w:cs="宋体" w:asciiTheme="minorEastAsia" w:hAnsiTheme="minorEastAsia" w:eastAsiaTheme="minorEastAsia"/>
          <w:color w:val="auto"/>
          <w:kern w:val="0"/>
          <w:sz w:val="24"/>
          <w:highlight w:val="none"/>
          <w:u w:val="single"/>
        </w:rPr>
        <w:t>（</w:t>
      </w:r>
      <w:bookmarkStart w:id="149" w:name="_Hlk101131882"/>
      <w:r>
        <w:rPr>
          <w:rFonts w:hint="eastAsia" w:cs="宋体" w:asciiTheme="minorEastAsia" w:hAnsiTheme="minorEastAsia" w:eastAsiaTheme="minorEastAsia"/>
          <w:color w:val="auto"/>
          <w:kern w:val="0"/>
          <w:sz w:val="24"/>
          <w:highlight w:val="none"/>
          <w:u w:val="single"/>
        </w:rPr>
        <w:t>联合体成员X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w:t>
      </w:r>
      <w:bookmarkEnd w:id="149"/>
      <w:r>
        <w:rPr>
          <w:rFonts w:hint="eastAsia"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rPr>
        <w:t>提供的服务由小微企业承接，其合同份额占到合同总金额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w:t>
      </w:r>
      <w:bookmarkStart w:id="150" w:name="_Hlk101133598"/>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未预留份额专门面向中小企业采购的采购项目，以及预留份额中的非预留部分采购包，接受联合体响应的，联合协议约定小微企业的合同份额占到合同总金额30%以上的，</w:t>
      </w:r>
      <w:r>
        <w:rPr>
          <w:rFonts w:hint="eastAsia" w:ascii="宋体" w:hAnsi="宋体" w:cs="宋体"/>
          <w:b/>
          <w:color w:val="auto"/>
          <w:kern w:val="0"/>
          <w:sz w:val="24"/>
          <w:highlight w:val="none"/>
          <w:lang w:val="zh-CN"/>
        </w:rPr>
        <w:t>对联合体报价按评标标准确定的比例给予扣除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bookmarkEnd w:id="150"/>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w:t>
      </w:r>
      <w:bookmarkStart w:id="151" w:name="_Hlk101133173"/>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要求以联合体形式参加的项目或采购包，供应商按磋商文件第一部分竞争性磋商邀请公告申请人的资格要求中规定的联合协议中中小企业、小微企业合同金额应当达到的比例要求填写。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bookmarkEnd w:id="151"/>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五、如果成交，</w:t>
      </w:r>
      <w:r>
        <w:rPr>
          <w:rFonts w:hint="eastAsia" w:cs="宋体" w:asciiTheme="minorEastAsia" w:hAnsiTheme="minorEastAsia" w:eastAsiaTheme="minorEastAsia"/>
          <w:color w:val="auto"/>
          <w:sz w:val="24"/>
          <w:highlight w:val="none"/>
        </w:rPr>
        <w:t>联合体各成员方共同与采购人签订合同，并就采购合同约定的事项对采购人承担连带责任。</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六、有关本次联合响应的其他事宜：</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1、联合体各方不再单独参加或者与其他供应商另外组成联合体参加同一合同项下的政府采购活动。</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2、联合体中有同类资质的各方按照联合体分工承担相同工作的，按照资质等级较低的供应商确定资质等级。</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3、本协议提交采购人、采购代理机构后，联合体各方不得以任何形式对上述内容进行修改或撤销。</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firstLine="5040" w:firstLineChars="2100"/>
        <w:rPr>
          <w:rFonts w:hint="eastAsia" w:ascii="宋体" w:hAnsi="宋体" w:cs="宋体"/>
          <w:color w:val="auto"/>
          <w:kern w:val="0"/>
          <w:sz w:val="24"/>
          <w:highlight w:val="none"/>
          <w:lang w:val="zh-CN"/>
        </w:rPr>
      </w:pPr>
      <w:r>
        <w:rPr>
          <w:rStyle w:val="631"/>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Fonts w:hint="eastAsia" w:cs="宋体" w:asciiTheme="minorEastAsia" w:hAnsiTheme="minorEastAsia" w:eastAsiaTheme="minorEastAsia"/>
          <w:color w:val="auto"/>
          <w:kern w:val="0"/>
          <w:sz w:val="24"/>
          <w:highlight w:val="none"/>
          <w:lang w:val="zh-CN"/>
        </w:rPr>
      </w:pPr>
      <w:r>
        <w:rPr>
          <w:rStyle w:val="631"/>
          <w:rFonts w:hint="eastAsia"/>
          <w:color w:val="auto"/>
          <w:highlight w:val="none"/>
        </w:rPr>
        <w:t>法定代表人（负责人） (签名)：</w:t>
      </w:r>
    </w:p>
    <w:p>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jc w:val="righ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日期：  年  月   日</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注：按本格式和要求提供。</w:t>
      </w:r>
    </w:p>
    <w:p>
      <w:pPr>
        <w:snapToGrid w:val="0"/>
        <w:spacing w:line="360" w:lineRule="auto"/>
        <w:ind w:right="480"/>
        <w:jc w:val="center"/>
        <w:rPr>
          <w:rFonts w:hint="eastAsia" w:cs="仿宋_GB2312" w:asciiTheme="minorEastAsia" w:hAnsiTheme="minorEastAsia" w:eastAsiaTheme="minorEastAsia"/>
          <w:b/>
          <w:color w:val="auto"/>
          <w:sz w:val="32"/>
          <w:szCs w:val="32"/>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snapToGrid w:val="0"/>
        <w:spacing w:line="360" w:lineRule="auto"/>
        <w:ind w:right="48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sz w:val="32"/>
          <w:szCs w:val="32"/>
          <w:highlight w:val="none"/>
        </w:rPr>
        <w:t>C、</w:t>
      </w:r>
      <w:r>
        <w:rPr>
          <w:rFonts w:hint="eastAsia" w:cs="宋体" w:asciiTheme="minorEastAsia" w:hAnsiTheme="minorEastAsia" w:eastAsiaTheme="minorEastAsia"/>
          <w:b/>
          <w:color w:val="auto"/>
          <w:kern w:val="0"/>
          <w:sz w:val="32"/>
          <w:szCs w:val="32"/>
          <w:highlight w:val="none"/>
        </w:rPr>
        <w:t>落实政府采购政策需满足的资格要求</w:t>
      </w:r>
    </w:p>
    <w:p>
      <w:pPr>
        <w:spacing w:line="360" w:lineRule="auto"/>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（根据</w:t>
      </w:r>
      <w:r>
        <w:rPr>
          <w:rFonts w:hint="eastAsia" w:cs="宋体" w:asciiTheme="minorEastAsia" w:hAnsiTheme="minorEastAsia" w:eastAsiaTheme="minorEastAsia"/>
          <w:b/>
          <w:bCs/>
          <w:color w:val="auto"/>
          <w:sz w:val="24"/>
          <w:highlight w:val="none"/>
        </w:rPr>
        <w:t>磋商文件第一部分竞争性磋商邀请公告中</w:t>
      </w:r>
      <w:r>
        <w:rPr>
          <w:rFonts w:hint="eastAsia" w:cs="宋体" w:asciiTheme="minorEastAsia" w:hAnsiTheme="minorEastAsia" w:eastAsiaTheme="minorEastAsia"/>
          <w:color w:val="auto"/>
          <w:sz w:val="24"/>
          <w:highlight w:val="none"/>
        </w:rPr>
        <w:t>落实政府采购政策需满足的资格要求选择提供相应的材料；未要求的，无需提供）</w:t>
      </w:r>
    </w:p>
    <w:p>
      <w:pPr>
        <w:snapToGrid w:val="0"/>
        <w:spacing w:before="50" w:after="50"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a</w:t>
      </w:r>
      <w:r>
        <w:rPr>
          <w:rFonts w:hint="eastAsia" w:cs="宋体" w:asciiTheme="minorEastAsia" w:hAnsiTheme="minorEastAsia" w:eastAsiaTheme="minorEastAsia"/>
          <w:color w:val="auto"/>
          <w:sz w:val="24"/>
          <w:highlight w:val="none"/>
        </w:rPr>
        <w:t>.专门面向中小企业，服务全部由符合政策要求的中小企业（或小微企业）承接的，提供相应的中小企业声明函（附件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 xml:space="preserve">）。 </w:t>
      </w:r>
    </w:p>
    <w:p>
      <w:pPr>
        <w:widowControl/>
        <w:spacing w:line="360" w:lineRule="auto"/>
        <w:ind w:firstLine="480"/>
        <w:jc w:val="left"/>
        <w:rPr>
          <w:rFonts w:hint="eastAsia" w:cs="宋体" w:asciiTheme="minorEastAsia" w:hAnsiTheme="minorEastAsia" w:eastAsiaTheme="minorEastAsia"/>
          <w:color w:val="auto"/>
          <w:sz w:val="24"/>
          <w:highlight w:val="none"/>
        </w:rPr>
      </w:pPr>
    </w:p>
    <w:p>
      <w:pPr>
        <w:widowControl/>
        <w:spacing w:line="360" w:lineRule="auto"/>
        <w:ind w:firstLine="472" w:firstLineChars="196"/>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b.</w:t>
      </w:r>
      <w:r>
        <w:rPr>
          <w:rFonts w:hint="eastAsia" w:cs="宋体" w:asciiTheme="minorEastAsia" w:hAnsiTheme="minorEastAsia" w:eastAsiaTheme="minorEastAsia"/>
          <w:color w:val="auto"/>
          <w:sz w:val="24"/>
          <w:highlight w:val="none"/>
        </w:rPr>
        <w:t>要求以联合体形式参加的，提供联合协议和中小企业声明函（附件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），联合协议中中小企业合同金额应当达到竞争性磋商邀请公告载明的比例；如果供应商本身提供所有标的均由中小企业承接的，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视同符合了资格条件，无需再与其他中小企业组成联合体参加政府采购活动，无需提供联合协议。</w:t>
      </w:r>
    </w:p>
    <w:p>
      <w:pPr>
        <w:snapToGrid w:val="0"/>
        <w:spacing w:before="50" w:after="50" w:line="360" w:lineRule="auto"/>
        <w:jc w:val="cente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 xml:space="preserve">    </w:t>
      </w:r>
    </w:p>
    <w:p>
      <w:pPr>
        <w:spacing w:line="360" w:lineRule="auto"/>
        <w:ind w:firstLine="482"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c、</w:t>
      </w:r>
      <w:r>
        <w:rPr>
          <w:rFonts w:hint="eastAsia" w:cs="宋体" w:asciiTheme="minorEastAsia" w:hAnsiTheme="minorEastAsia" w:eastAsiaTheme="minorEastAsia"/>
          <w:color w:val="auto"/>
          <w:sz w:val="24"/>
          <w:highlight w:val="none"/>
        </w:rPr>
        <w:t>要求合同分包的，提供分包意向协议和中小企业声明函（附件</w:t>
      </w:r>
      <w:r>
        <w:rPr>
          <w:rFonts w:cs="宋体" w:asciiTheme="minorEastAsia" w:hAnsiTheme="minorEastAsia" w:eastAsiaTheme="minorEastAsia"/>
          <w:color w:val="auto"/>
          <w:sz w:val="24"/>
          <w:highlight w:val="none"/>
        </w:rPr>
        <w:t>5</w:t>
      </w:r>
      <w:r>
        <w:rPr>
          <w:rFonts w:hint="eastAsia" w:cs="宋体" w:asciiTheme="minorEastAsia" w:hAnsiTheme="minorEastAsia" w:eastAsiaTheme="minorEastAsia"/>
          <w:color w:val="auto"/>
          <w:sz w:val="24"/>
          <w:highlight w:val="none"/>
        </w:rPr>
        <w:t>），分包意向协议中中小企业合同金额应当达到竞争性磋商邀请公告载明的比例；如果供应商本身提供的所有标的均由中小企业承接的，</w:t>
      </w:r>
      <w:r>
        <w:rPr>
          <w:rFonts w:hint="eastAsia" w:ascii="宋体" w:hAnsi="宋体" w:cs="宋体"/>
          <w:color w:val="auto"/>
          <w:spacing w:val="8"/>
          <w:kern w:val="0"/>
          <w:sz w:val="24"/>
          <w:highlight w:val="none"/>
        </w:rPr>
        <w:t>并相应达到了前述比例要求，</w:t>
      </w:r>
      <w:r>
        <w:rPr>
          <w:rFonts w:hint="eastAsia" w:cs="宋体" w:asciiTheme="minorEastAsia" w:hAnsiTheme="minorEastAsia" w:eastAsiaTheme="minorEastAsia"/>
          <w:color w:val="auto"/>
          <w:sz w:val="24"/>
          <w:highlight w:val="none"/>
        </w:rPr>
        <w:t>视同符合了资格条件，无需再向中小企业分包，无需提供分包意向协议。</w:t>
      </w: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D、符合特定资格条件要求的资质文件（复印件）</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（由供应商根据“磋商文件第一部分”中“合格的供应商应具备的特定资格要求”编制；如果本项目没有设置特定资格条件，则不需要提供）</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snapToGrid w:val="0"/>
        <w:spacing w:line="360" w:lineRule="auto"/>
        <w:ind w:right="480"/>
        <w:jc w:val="center"/>
        <w:rPr>
          <w:rFonts w:hint="eastAsia" w:cs="仿宋_GB2312" w:asciiTheme="minorEastAsia" w:hAnsiTheme="minorEastAsia" w:eastAsiaTheme="minorEastAsia"/>
          <w:b/>
          <w:color w:val="auto"/>
          <w:kern w:val="0"/>
          <w:sz w:val="32"/>
          <w:szCs w:val="32"/>
          <w:highlight w:val="none"/>
          <w:lang w:val="zh-CN"/>
        </w:rPr>
        <w:sectPr>
          <w:footerReference r:id="rId7" w:type="default"/>
          <w:pgSz w:w="11906" w:h="16838"/>
          <w:pgMar w:top="1247" w:right="1418" w:bottom="1276" w:left="1418" w:header="851" w:footer="992" w:gutter="0"/>
          <w:pgNumType w:fmt="decimal" w:start="1"/>
          <w:cols w:space="720" w:num="1"/>
          <w:docGrid w:linePitch="312" w:charSpace="0"/>
        </w:sectPr>
      </w:pPr>
    </w:p>
    <w:p>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三、法人授权书</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兹委派我公司</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先生/女士(其在本公司的职务是：</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 xml:space="preserve"> ，联系电话：</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手机：</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传真：</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kern w:val="0"/>
          <w:sz w:val="24"/>
          <w:highlight w:val="none"/>
          <w:lang w:val="zh-CN"/>
        </w:rPr>
        <w:t>)，代表我公司全权处理</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政府采购响应的一切事项，若成交则全权代表本公司签订相关合同，并负责处理合同履行等事宜。</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本委托书有效期：自    年 月  日起至    年  月  日止。</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pacing w:line="360" w:lineRule="auto"/>
        <w:ind w:left="4649" w:leftChars="2214" w:firstLine="3600" w:firstLineChars="1500"/>
        <w:rPr>
          <w:rFonts w:hint="eastAsia" w:ascii="宋体" w:hAnsi="宋体" w:cs="宋体"/>
          <w:color w:val="auto"/>
          <w:sz w:val="24"/>
          <w:highlight w:val="none"/>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sz w:val="24"/>
          <w:highlight w:val="none"/>
        </w:rPr>
        <w:t>磋商供应商名称（公章）：</w:t>
      </w:r>
    </w:p>
    <w:p>
      <w:pPr>
        <w:snapToGrid w:val="0"/>
        <w:spacing w:line="360" w:lineRule="auto"/>
        <w:ind w:left="4649" w:leftChars="2214"/>
        <w:rPr>
          <w:rFonts w:hint="eastAsia" w:ascii="宋体" w:hAnsi="宋体" w:cs="宋体"/>
          <w:color w:val="auto"/>
          <w:kern w:val="0"/>
          <w:sz w:val="24"/>
          <w:highlight w:val="none"/>
        </w:rPr>
      </w:pPr>
      <w:r>
        <w:rPr>
          <w:rFonts w:hint="eastAsia" w:ascii="宋体" w:hAnsi="宋体" w:cs="宋体"/>
          <w:color w:val="auto"/>
          <w:sz w:val="24"/>
          <w:highlight w:val="none"/>
        </w:rPr>
        <w:t>法定代表人（负责人） (签名)：</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pPr>
        <w:snapToGrid w:val="0"/>
        <w:spacing w:line="360" w:lineRule="auto"/>
        <w:rPr>
          <w:rFonts w:hint="eastAsia" w:cs="仿宋_GB2312" w:asciiTheme="minorEastAsia" w:hAnsiTheme="minorEastAsia" w:eastAsiaTheme="minorEastAsia"/>
          <w:color w:val="auto"/>
          <w:kern w:val="0"/>
          <w:sz w:val="24"/>
          <w:highlight w:val="none"/>
          <w:lang w:val="zh-CN"/>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color w:val="auto"/>
          <w:kern w:val="0"/>
          <w:sz w:val="32"/>
          <w:szCs w:val="32"/>
          <w:highlight w:val="none"/>
          <w:lang w:val="zh-CN"/>
        </w:rPr>
        <w:t>联合体响应授权书（扫描件加盖上传单位电子签名）</w:t>
      </w:r>
    </w:p>
    <w:p>
      <w:pPr>
        <w:snapToGrid w:val="0"/>
        <w:spacing w:line="360" w:lineRule="auto"/>
        <w:jc w:val="center"/>
        <w:rPr>
          <w:rFonts w:hint="eastAsia" w:cs="仿宋_GB2312" w:asciiTheme="minorEastAsia" w:hAnsiTheme="minorEastAsia" w:eastAsiaTheme="minorEastAsia"/>
          <w:b/>
          <w:color w:val="auto"/>
          <w:kern w:val="0"/>
          <w:sz w:val="30"/>
          <w:szCs w:val="30"/>
          <w:highlight w:val="none"/>
          <w:lang w:val="zh-CN"/>
        </w:rPr>
      </w:pPr>
      <w:r>
        <w:rPr>
          <w:rFonts w:hint="eastAsia" w:cs="仿宋_GB2312" w:asciiTheme="minorEastAsia" w:hAnsiTheme="minorEastAsia" w:eastAsiaTheme="minorEastAsia"/>
          <w:b/>
          <w:color w:val="auto"/>
          <w:kern w:val="0"/>
          <w:sz w:val="30"/>
          <w:szCs w:val="30"/>
          <w:highlight w:val="none"/>
          <w:lang w:val="zh-CN"/>
        </w:rPr>
        <w:t>（适用于联合体响应）</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576"/>
        <w:rPr>
          <w:rFonts w:hint="eastAsia"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现</w:t>
      </w:r>
      <w:r>
        <w:rPr>
          <w:rFonts w:hint="eastAsia" w:cs="宋体" w:asciiTheme="minorEastAsia" w:hAnsiTheme="minorEastAsia" w:eastAsiaTheme="minorEastAsia"/>
          <w:color w:val="auto"/>
          <w:kern w:val="0"/>
          <w:sz w:val="24"/>
          <w:highlight w:val="none"/>
          <w:lang w:val="zh-CN"/>
        </w:rPr>
        <w:t>委托</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（姓名）为我方代理人（身份证号码：</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，手机：</w:t>
      </w:r>
      <w:r>
        <w:rPr>
          <w:rFonts w:hint="eastAsia" w:cs="宋体" w:asciiTheme="minorEastAsia" w:hAnsiTheme="minorEastAsia" w:eastAsiaTheme="minorEastAsia"/>
          <w:color w:val="auto"/>
          <w:kern w:val="0"/>
          <w:sz w:val="24"/>
          <w:highlight w:val="none"/>
          <w:u w:val="single"/>
          <w:lang w:val="zh-CN"/>
        </w:rPr>
        <w:t xml:space="preserve">          </w:t>
      </w:r>
      <w:r>
        <w:rPr>
          <w:rFonts w:hint="eastAsia" w:cs="宋体" w:asciiTheme="minorEastAsia" w:hAnsiTheme="minorEastAsia" w:eastAsiaTheme="minorEastAsia"/>
          <w:color w:val="auto"/>
          <w:kern w:val="0"/>
          <w:sz w:val="24"/>
          <w:highlight w:val="none"/>
          <w:lang w:val="zh-CN"/>
        </w:rPr>
        <w:t>），以我方名义处理</w:t>
      </w:r>
      <w:r>
        <w:rPr>
          <w:rFonts w:hint="eastAsia" w:cs="仿宋_GB2312" w:asciiTheme="minorEastAsia" w:hAnsiTheme="minorEastAsia" w:eastAsiaTheme="minorEastAsia"/>
          <w:color w:val="auto"/>
          <w:sz w:val="24"/>
          <w:highlight w:val="none"/>
        </w:rPr>
        <w:t>（项目名称）</w:t>
      </w:r>
      <w:r>
        <w:rPr>
          <w:rFonts w:hint="eastAsia" w:cs="仿宋_GB2312" w:asciiTheme="minorEastAsia" w:hAnsiTheme="minorEastAsia" w:eastAsiaTheme="minorEastAsia"/>
          <w:color w:val="auto"/>
          <w:kern w:val="0"/>
          <w:sz w:val="24"/>
          <w:highlight w:val="none"/>
          <w:lang w:val="zh-CN"/>
        </w:rPr>
        <w:t>【项目编号：（采购编号）】政府采购响应的一切事项，</w:t>
      </w:r>
      <w:r>
        <w:rPr>
          <w:rFonts w:hint="eastAsia" w:cs="宋体" w:asciiTheme="minorEastAsia" w:hAnsiTheme="minorEastAsia" w:eastAsiaTheme="minorEastAsia"/>
          <w:color w:val="auto"/>
          <w:kern w:val="0"/>
          <w:sz w:val="24"/>
          <w:highlight w:val="none"/>
          <w:lang w:val="zh-CN"/>
        </w:rPr>
        <w:t>其法律后果由我方承担</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本授权书有效期：自   年 月  日起至  年  月  日止。</w:t>
      </w:r>
    </w:p>
    <w:p>
      <w:pPr>
        <w:snapToGrid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特此告知。</w:t>
      </w:r>
    </w:p>
    <w:p>
      <w:pPr>
        <w:snapToGrid w:val="0"/>
        <w:spacing w:line="360" w:lineRule="auto"/>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p>
    <w:p>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联合体成员名称(公章)：</w:t>
      </w:r>
    </w:p>
    <w:p>
      <w:pPr>
        <w:snapToGrid w:val="0"/>
        <w:spacing w:line="360" w:lineRule="auto"/>
        <w:ind w:firstLine="5040" w:firstLineChars="2100"/>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firstLine="5040" w:firstLineChars="2100"/>
        <w:rPr>
          <w:rFonts w:hint="eastAsia" w:ascii="宋体" w:hAnsi="宋体" w:cs="宋体"/>
          <w:color w:val="auto"/>
          <w:kern w:val="0"/>
          <w:sz w:val="24"/>
          <w:highlight w:val="none"/>
          <w:lang w:val="zh-CN"/>
        </w:rPr>
      </w:pPr>
      <w:r>
        <w:rPr>
          <w:rStyle w:val="631"/>
          <w:rFonts w:hint="eastAsia"/>
          <w:color w:val="auto"/>
          <w:highlight w:val="none"/>
        </w:rPr>
        <w:t>联合体成</w:t>
      </w:r>
      <w:r>
        <w:rPr>
          <w:rFonts w:hint="eastAsia" w:ascii="宋体" w:hAnsi="宋体" w:cs="宋体"/>
          <w:color w:val="auto"/>
          <w:kern w:val="0"/>
          <w:sz w:val="24"/>
          <w:highlight w:val="none"/>
          <w:lang w:val="zh-CN"/>
        </w:rPr>
        <w:t>员名称(公章)：</w:t>
      </w:r>
    </w:p>
    <w:p>
      <w:pPr>
        <w:snapToGrid w:val="0"/>
        <w:spacing w:line="360" w:lineRule="auto"/>
        <w:ind w:firstLine="5040" w:firstLineChars="2100"/>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firstLine="5040" w:firstLineChars="21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napToGrid w:val="0"/>
        <w:spacing w:line="360" w:lineRule="auto"/>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br w:type="page"/>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0"/>
          <w:szCs w:val="30"/>
          <w:highlight w:val="none"/>
        </w:rPr>
        <w:t>授权代表的身份证（复印件）</w:t>
      </w:r>
    </w:p>
    <w:p>
      <w:pPr>
        <w:pStyle w:val="619"/>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授权代表身份证件扫描件：</w:t>
      </w: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619"/>
              <w:spacing w:line="360" w:lineRule="auto"/>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正面：                                 反面：</w:t>
            </w:r>
          </w:p>
          <w:p>
            <w:pPr>
              <w:pStyle w:val="619"/>
              <w:spacing w:line="360" w:lineRule="auto"/>
              <w:rPr>
                <w:rFonts w:hint="eastAsia" w:asciiTheme="minorEastAsia" w:hAnsiTheme="minorEastAsia" w:eastAsiaTheme="minorEastAsia"/>
                <w:bCs/>
                <w:color w:val="auto"/>
                <w:sz w:val="24"/>
                <w:highlight w:val="none"/>
              </w:rPr>
            </w:pPr>
          </w:p>
        </w:tc>
      </w:tr>
    </w:tbl>
    <w:p>
      <w:pPr>
        <w:snapToGrid w:val="0"/>
        <w:spacing w:line="360" w:lineRule="auto"/>
        <w:ind w:firstLine="576"/>
        <w:jc w:val="right"/>
        <w:rPr>
          <w:rFonts w:hint="eastAsia" w:cs="仿宋_GB2312" w:asciiTheme="minorEastAsia" w:hAnsiTheme="minorEastAsia" w:eastAsiaTheme="minorEastAsia"/>
          <w:color w:val="auto"/>
          <w:kern w:val="0"/>
          <w:sz w:val="24"/>
          <w:highlight w:val="none"/>
          <w:lang w:val="zh-CN"/>
        </w:rPr>
      </w:pPr>
    </w:p>
    <w:p>
      <w:pPr>
        <w:snapToGrid w:val="0"/>
        <w:spacing w:line="360" w:lineRule="auto"/>
        <w:ind w:firstLine="576"/>
        <w:jc w:val="center"/>
        <w:rPr>
          <w:rFonts w:hint="eastAsia" w:ascii="宋体" w:hAnsi="宋体" w:cs="宋体"/>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          </w:t>
      </w:r>
      <w:r>
        <w:rPr>
          <w:rFonts w:hint="eastAsia" w:ascii="宋体" w:hAnsi="宋体" w:cs="宋体"/>
          <w:color w:val="auto"/>
          <w:kern w:val="0"/>
          <w:sz w:val="24"/>
          <w:highlight w:val="none"/>
          <w:lang w:val="zh-CN"/>
        </w:rPr>
        <w:t xml:space="preserve">           磋商供应商名称(公章)：                              </w:t>
      </w:r>
    </w:p>
    <w:p>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pPr>
        <w:snapToGrid w:val="0"/>
        <w:spacing w:line="360" w:lineRule="auto"/>
        <w:ind w:firstLine="576"/>
        <w:jc w:val="center"/>
        <w:rPr>
          <w:rFonts w:hint="eastAsia" w:cs="仿宋_GB2312" w:asciiTheme="minorEastAsia" w:hAnsiTheme="minorEastAsia" w:eastAsiaTheme="minorEastAsia"/>
          <w:color w:val="auto"/>
          <w:sz w:val="28"/>
          <w:szCs w:val="28"/>
          <w:highlight w:val="none"/>
        </w:rPr>
      </w:pP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napToGrid w:val="0"/>
        <w:spacing w:line="360" w:lineRule="auto"/>
        <w:ind w:firstLine="0" w:firstLineChars="0"/>
        <w:jc w:val="center"/>
        <w:rPr>
          <w:rFonts w:hint="eastAsia" w:cs="宋体" w:asciiTheme="minorEastAsia" w:hAnsiTheme="minorEastAsia" w:eastAsiaTheme="minorEastAsia"/>
          <w:b/>
          <w:color w:val="auto"/>
          <w:kern w:val="0"/>
          <w:sz w:val="32"/>
          <w:szCs w:val="32"/>
          <w:highlight w:val="none"/>
        </w:rPr>
      </w:pPr>
      <w:r>
        <w:rPr>
          <w:rFonts w:hint="eastAsia" w:cs="仿宋_GB2312" w:asciiTheme="minorEastAsia" w:hAnsiTheme="minorEastAsia" w:eastAsiaTheme="minorEastAsia"/>
          <w:b/>
          <w:color w:val="auto"/>
          <w:kern w:val="0"/>
          <w:sz w:val="32"/>
          <w:szCs w:val="32"/>
          <w:highlight w:val="none"/>
          <w:lang w:val="zh-CN"/>
        </w:rPr>
        <w:t>四</w:t>
      </w:r>
      <w:r>
        <w:rPr>
          <w:rFonts w:hint="eastAsia" w:cs="仿宋_GB2312" w:asciiTheme="minorEastAsia" w:hAnsiTheme="minorEastAsia" w:eastAsiaTheme="minorEastAsia"/>
          <w:b/>
          <w:color w:val="auto"/>
          <w:sz w:val="32"/>
          <w:szCs w:val="32"/>
          <w:highlight w:val="none"/>
        </w:rPr>
        <w:t>、</w:t>
      </w:r>
      <w:r>
        <w:rPr>
          <w:rFonts w:hint="eastAsia" w:cs="宋体" w:asciiTheme="minorEastAsia" w:hAnsiTheme="minorEastAsia" w:eastAsiaTheme="minorEastAsia"/>
          <w:b/>
          <w:color w:val="auto"/>
          <w:kern w:val="0"/>
          <w:sz w:val="32"/>
          <w:szCs w:val="32"/>
          <w:highlight w:val="none"/>
        </w:rPr>
        <w:t>分包意向协议（如果有）</w:t>
      </w:r>
    </w:p>
    <w:p>
      <w:pPr>
        <w:widowControl/>
        <w:spacing w:line="360" w:lineRule="auto"/>
        <w:ind w:firstLine="120" w:firstLineChars="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b/>
          <w:color w:val="auto"/>
          <w:sz w:val="24"/>
          <w:highlight w:val="none"/>
        </w:rPr>
        <w:t>成交后以分包方式履行合同的，提供分包意向协议；采购人不同意分包或者供应商成交后不以分包方式履行合同的，则不需要提供。</w:t>
      </w:r>
      <w:r>
        <w:rPr>
          <w:rFonts w:hint="eastAsia" w:cs="宋体" w:asciiTheme="minorEastAsia" w:hAnsiTheme="minorEastAsia" w:eastAsiaTheme="minorEastAsia"/>
          <w:color w:val="auto"/>
          <w:sz w:val="24"/>
          <w:highlight w:val="none"/>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若成为</w:t>
      </w:r>
      <w:r>
        <w:rPr>
          <w:rFonts w:hint="eastAsia" w:cs="宋体" w:asciiTheme="minorEastAsia" w:hAnsiTheme="minorEastAsia" w:eastAsiaTheme="minorEastAsia"/>
          <w:color w:val="auto"/>
          <w:sz w:val="24"/>
          <w:highlight w:val="none"/>
        </w:rPr>
        <w:t>（项目名称）【项目编号：（采购编号）】</w:t>
      </w:r>
      <w:r>
        <w:rPr>
          <w:rFonts w:hint="eastAsia" w:cs="宋体" w:asciiTheme="minorEastAsia" w:hAnsiTheme="minorEastAsia" w:eastAsiaTheme="minorEastAsia"/>
          <w:color w:val="auto"/>
          <w:kern w:val="0"/>
          <w:sz w:val="24"/>
          <w:highlight w:val="none"/>
          <w:lang w:val="zh-CN"/>
        </w:rPr>
        <w:t>的成交供应商，将依法采取分包方式履行合同。</w:t>
      </w: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rPr>
        <w:t>与</w:t>
      </w:r>
      <w:r>
        <w:rPr>
          <w:rFonts w:hint="eastAsia" w:cs="宋体" w:asciiTheme="minorEastAsia" w:hAnsiTheme="minorEastAsia" w:eastAsiaTheme="minorEastAsia"/>
          <w:color w:val="auto"/>
          <w:kern w:val="0"/>
          <w:sz w:val="24"/>
          <w:highlight w:val="none"/>
          <w:u w:val="single"/>
        </w:rPr>
        <w:t>（所有分包供应商名称）</w:t>
      </w:r>
      <w:r>
        <w:rPr>
          <w:rFonts w:hint="eastAsia" w:cs="宋体" w:asciiTheme="minorEastAsia" w:hAnsiTheme="minorEastAsia" w:eastAsiaTheme="minorEastAsia"/>
          <w:color w:val="auto"/>
          <w:kern w:val="0"/>
          <w:sz w:val="24"/>
          <w:highlight w:val="none"/>
        </w:rPr>
        <w:t>达成分包意向协议</w:t>
      </w:r>
      <w:r>
        <w:rPr>
          <w:rFonts w:hint="eastAsia" w:cs="宋体" w:asciiTheme="minorEastAsia" w:hAnsiTheme="minorEastAsia" w:eastAsiaTheme="minorEastAsia"/>
          <w:color w:val="auto"/>
          <w:kern w:val="0"/>
          <w:sz w:val="24"/>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一、分包标的及数量</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u w:val="single"/>
        </w:rPr>
        <w:t>（供应商名称）</w:t>
      </w:r>
      <w:r>
        <w:rPr>
          <w:rFonts w:hint="eastAsia" w:cs="宋体" w:asciiTheme="minorEastAsia" w:hAnsiTheme="minorEastAsia" w:eastAsiaTheme="minorEastAsia"/>
          <w:color w:val="auto"/>
          <w:kern w:val="0"/>
          <w:sz w:val="24"/>
          <w:highlight w:val="none"/>
          <w:lang w:val="zh-CN"/>
        </w:rPr>
        <w:t>将</w:t>
      </w:r>
      <w:r>
        <w:rPr>
          <w:rFonts w:hint="eastAsia" w:cs="宋体" w:asciiTheme="minorEastAsia" w:hAnsiTheme="minorEastAsia" w:eastAsiaTheme="minorEastAsia"/>
          <w:color w:val="auto"/>
          <w:highlight w:val="none"/>
          <w:u w:val="single"/>
        </w:rPr>
        <w:t xml:space="preserve">  </w:t>
      </w:r>
      <w:r>
        <w:rPr>
          <w:rFonts w:cs="宋体" w:asciiTheme="minorEastAsia" w:hAnsiTheme="minorEastAsia" w:eastAsiaTheme="minorEastAsia"/>
          <w:color w:val="auto"/>
          <w:kern w:val="0"/>
          <w:sz w:val="24"/>
          <w:highlight w:val="none"/>
          <w:u w:val="single"/>
        </w:rPr>
        <w:t xml:space="preserve"> XX工作内容   </w:t>
      </w:r>
      <w:r>
        <w:rPr>
          <w:rFonts w:hint="eastAsia" w:cs="宋体" w:asciiTheme="minorEastAsia" w:hAnsiTheme="minorEastAsia" w:eastAsiaTheme="minorEastAsia"/>
          <w:color w:val="auto"/>
          <w:sz w:val="24"/>
          <w:highlight w:val="none"/>
        </w:rPr>
        <w:t>分包给</w:t>
      </w:r>
      <w:r>
        <w:rPr>
          <w:rFonts w:hint="eastAsia" w:cs="宋体" w:asciiTheme="minorEastAsia" w:hAnsiTheme="minorEastAsia" w:eastAsiaTheme="minorEastAsia"/>
          <w:color w:val="auto"/>
          <w:kern w:val="0"/>
          <w:sz w:val="24"/>
          <w:highlight w:val="none"/>
          <w:u w:val="single"/>
        </w:rPr>
        <w:t>（分包供应商1名称）</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u w:val="single"/>
        </w:rPr>
        <w:t>（分包供应商2名称），</w:t>
      </w:r>
      <w:r>
        <w:rPr>
          <w:rFonts w:hint="eastAsia" w:cs="宋体" w:asciiTheme="minorEastAsia" w:hAnsiTheme="minorEastAsia" w:eastAsiaTheme="minorEastAsia"/>
          <w:color w:val="auto"/>
          <w:kern w:val="0"/>
          <w:sz w:val="24"/>
          <w:highlight w:val="none"/>
          <w:lang w:val="zh-CN"/>
        </w:rPr>
        <w:t>具备承</w:t>
      </w:r>
      <w:r>
        <w:rPr>
          <w:rFonts w:hint="eastAsia" w:cs="宋体" w:asciiTheme="minorEastAsia" w:hAnsiTheme="minorEastAsia" w:eastAsiaTheme="minorEastAsia"/>
          <w:color w:val="auto"/>
          <w:kern w:val="0"/>
          <w:sz w:val="24"/>
          <w:highlight w:val="none"/>
        </w:rPr>
        <w:t>担</w:t>
      </w:r>
      <w:r>
        <w:rPr>
          <w:rFonts w:hint="eastAsia" w:cs="宋体" w:asciiTheme="minorEastAsia" w:hAnsiTheme="minorEastAsia" w:eastAsiaTheme="minorEastAsia"/>
          <w:color w:val="auto"/>
          <w:kern w:val="0"/>
          <w:sz w:val="24"/>
          <w:highlight w:val="none"/>
          <w:u w:val="single"/>
          <w:lang w:val="zh-CN"/>
        </w:rPr>
        <w:t>XX工作内容</w:t>
      </w:r>
      <w:r>
        <w:rPr>
          <w:rFonts w:hint="eastAsia" w:cs="宋体" w:asciiTheme="minorEastAsia" w:hAnsiTheme="minorEastAsia" w:eastAsiaTheme="minorEastAsia"/>
          <w:color w:val="auto"/>
          <w:kern w:val="0"/>
          <w:sz w:val="24"/>
          <w:highlight w:val="none"/>
          <w:lang w:val="zh-CN"/>
        </w:rPr>
        <w:t>相应资质条件且不得再次分包；</w:t>
      </w:r>
    </w:p>
    <w:p>
      <w:pPr>
        <w:pStyle w:val="632"/>
        <w:rPr>
          <w:rFonts w:hint="eastAsia"/>
          <w:color w:val="auto"/>
          <w:highlight w:val="none"/>
        </w:rPr>
      </w:pPr>
      <w:r>
        <w:rPr>
          <w:rFonts w:hint="eastAsia"/>
          <w:color w:val="auto"/>
          <w:highlight w:val="none"/>
        </w:rPr>
        <w:t>……</w:t>
      </w:r>
    </w:p>
    <w:p>
      <w:pPr>
        <w:ind w:firstLine="305"/>
        <w:rPr>
          <w:rFonts w:hint="eastAsia" w:asciiTheme="minorEastAsia" w:hAnsiTheme="minorEastAsia" w:eastAsiaTheme="minorEastAsia"/>
          <w:color w:val="auto"/>
          <w:highlight w:val="none"/>
        </w:rPr>
      </w:pPr>
      <w:r>
        <w:rPr>
          <w:rFonts w:hint="eastAsia" w:asciiTheme="minorEastAsia" w:hAnsiTheme="minorEastAsia" w:eastAsiaTheme="minorEastAsia"/>
          <w:color w:val="auto"/>
          <w:highlight w:val="none"/>
          <w:lang w:val="zh-CN"/>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二、分包供应商中小企业合同份额（如果有）</w:t>
      </w:r>
    </w:p>
    <w:p>
      <w:pPr>
        <w:snapToGrid w:val="0"/>
        <w:spacing w:line="360" w:lineRule="auto"/>
        <w:ind w:firstLine="576"/>
        <w:rPr>
          <w:rFonts w:hint="eastAsia" w:cs="宋体" w:asciiTheme="minorEastAsia" w:hAnsiTheme="minorEastAsia" w:eastAsiaTheme="minorEastAsia"/>
          <w:b/>
          <w:color w:val="auto"/>
          <w:kern w:val="0"/>
          <w:sz w:val="24"/>
          <w:highlight w:val="none"/>
          <w:lang w:val="zh-CN"/>
        </w:rPr>
      </w:pPr>
      <w:r>
        <w:rPr>
          <w:rFonts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color w:val="auto"/>
          <w:kern w:val="0"/>
          <w:sz w:val="24"/>
          <w:highlight w:val="none"/>
          <w:u w:val="single"/>
        </w:rPr>
        <w:t>（分包供应商X</w:t>
      </w:r>
      <w:r>
        <w:rPr>
          <w:rFonts w:cs="宋体" w:asciiTheme="minorEastAsia" w:hAnsiTheme="minorEastAsia" w:eastAsiaTheme="minorEastAsia"/>
          <w:color w:val="auto"/>
          <w:kern w:val="0"/>
          <w:sz w:val="24"/>
          <w:highlight w:val="none"/>
          <w:u w:val="single"/>
        </w:rPr>
        <w:t>,</w:t>
      </w:r>
      <w:r>
        <w:rPr>
          <w:rFonts w:hint="eastAsia" w:cs="宋体" w:asciiTheme="minorEastAsia" w:hAnsiTheme="minorEastAsia" w:eastAsiaTheme="minorEastAsia"/>
          <w:color w:val="auto"/>
          <w:kern w:val="0"/>
          <w:sz w:val="24"/>
          <w:highlight w:val="none"/>
          <w:u w:val="single"/>
        </w:rPr>
        <w:t>……）提供的服务全部由小微企业承接，</w:t>
      </w:r>
      <w:r>
        <w:rPr>
          <w:rFonts w:hint="eastAsia" w:cs="宋体" w:asciiTheme="minorEastAsia" w:hAnsiTheme="minorEastAsia" w:eastAsiaTheme="minorEastAsia"/>
          <w:color w:val="auto"/>
          <w:kern w:val="0"/>
          <w:sz w:val="24"/>
          <w:highlight w:val="none"/>
        </w:rPr>
        <w:t>其合同份额占到合同总金额</w:t>
      </w:r>
      <w:r>
        <w:rPr>
          <w:rFonts w:hint="eastAsia" w:cs="宋体" w:asciiTheme="minorEastAsia" w:hAnsiTheme="minorEastAsia" w:eastAsiaTheme="minorEastAsia"/>
          <w:color w:val="auto"/>
          <w:kern w:val="0"/>
          <w:sz w:val="24"/>
          <w:highlight w:val="none"/>
          <w:u w:val="single"/>
        </w:rPr>
        <w:t xml:space="preserve">     </w:t>
      </w:r>
      <w:r>
        <w:rPr>
          <w:rFonts w:hint="eastAsia" w:cs="宋体" w:asciiTheme="minorEastAsia" w:hAnsiTheme="minorEastAsia" w:eastAsiaTheme="minorEastAsia"/>
          <w:color w:val="auto"/>
          <w:kern w:val="0"/>
          <w:sz w:val="24"/>
          <w:highlight w:val="none"/>
        </w:rPr>
        <w:t>%以上</w:t>
      </w:r>
      <w:r>
        <w:rPr>
          <w:rFonts w:hint="eastAsia" w:cs="宋体" w:asciiTheme="minorEastAsia" w:hAnsiTheme="minorEastAsia" w:eastAsiaTheme="minorEastAsia"/>
          <w:color w:val="auto"/>
          <w:highlight w:val="none"/>
        </w:rPr>
        <w:t>。</w:t>
      </w:r>
      <w:r>
        <w:rPr>
          <w:rFonts w:hint="eastAsia" w:cs="宋体" w:asciiTheme="minorEastAsia" w:hAnsiTheme="minorEastAsia" w:eastAsiaTheme="minorEastAsia"/>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w:t>
      </w:r>
      <w:r>
        <w:rPr>
          <w:rFonts w:hint="eastAsia" w:ascii="宋体" w:hAnsi="宋体" w:cs="宋体"/>
          <w:b/>
          <w:color w:val="auto"/>
          <w:kern w:val="0"/>
          <w:sz w:val="24"/>
          <w:highlight w:val="none"/>
          <w:lang w:val="zh-CN"/>
        </w:rPr>
        <w:t>对大中型企业的报价按评标标准确定的比例给予扣除</w:t>
      </w:r>
      <w:r>
        <w:rPr>
          <w:rFonts w:hint="eastAsia" w:cs="宋体" w:asciiTheme="minorEastAsia" w:hAnsiTheme="minorEastAsia" w:eastAsiaTheme="minorEastAsia"/>
          <w:b/>
          <w:color w:val="auto"/>
          <w:kern w:val="0"/>
          <w:sz w:val="24"/>
          <w:highlight w:val="none"/>
          <w:lang w:val="zh-CN"/>
        </w:rPr>
        <w:t>。供应商</w:t>
      </w:r>
      <w:r>
        <w:rPr>
          <w:rFonts w:hint="eastAsia" w:cs="宋体" w:asciiTheme="minorEastAsia" w:hAnsiTheme="minorEastAsia" w:eastAsiaTheme="minorEastAsia"/>
          <w:b/>
          <w:color w:val="auto"/>
          <w:sz w:val="24"/>
          <w:highlight w:val="none"/>
        </w:rPr>
        <w:t>拟享受以上价格扣除政策的，填写有关内容。</w:t>
      </w:r>
      <w:r>
        <w:rPr>
          <w:rFonts w:hint="eastAsia" w:cs="宋体" w:asciiTheme="minorEastAsia" w:hAnsiTheme="minorEastAsia" w:eastAsiaTheme="minorEastAsia"/>
          <w:b/>
          <w:color w:val="auto"/>
          <w:kern w:val="0"/>
          <w:sz w:val="24"/>
          <w:highlight w:val="none"/>
          <w:lang w:val="zh-CN"/>
        </w:rPr>
        <w:t>）</w:t>
      </w:r>
    </w:p>
    <w:p>
      <w:pPr>
        <w:spacing w:line="360" w:lineRule="auto"/>
        <w:ind w:firstLine="480" w:firstLineChars="200"/>
        <w:rPr>
          <w:rFonts w:hint="eastAsia" w:cs="宋体" w:asciiTheme="minorEastAsia" w:hAnsiTheme="minorEastAsia" w:eastAsiaTheme="minorEastAsia"/>
          <w:b/>
          <w:bCs/>
          <w:color w:val="auto"/>
          <w:kern w:val="0"/>
          <w:sz w:val="24"/>
          <w:highlight w:val="none"/>
          <w:lang w:val="zh-CN"/>
        </w:rPr>
      </w:pPr>
      <w:r>
        <w:rPr>
          <w:rFonts w:hint="eastAsia" w:cs="宋体" w:asciiTheme="minorEastAsia" w:hAnsiTheme="minorEastAsia" w:eastAsiaTheme="minorEastAsia"/>
          <w:color w:val="auto"/>
          <w:sz w:val="24"/>
          <w:highlight w:val="none"/>
        </w:rPr>
        <w:t>2、中小企业合同金额达到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%，其中小微企业合同金额达到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sz w:val="24"/>
          <w:highlight w:val="none"/>
        </w:rPr>
        <w:t>要求合同分包形式参加的项目或采购包，供应商按磋商文件第一部分竞争性磋商邀请公告申请人的资格要求中规定的</w:t>
      </w:r>
      <w:r>
        <w:rPr>
          <w:rFonts w:hint="eastAsia" w:cs="宋体" w:asciiTheme="minorEastAsia" w:hAnsiTheme="minorEastAsia" w:eastAsiaTheme="minorEastAsia"/>
          <w:b/>
          <w:color w:val="auto"/>
          <w:kern w:val="0"/>
          <w:sz w:val="24"/>
          <w:highlight w:val="none"/>
          <w:lang w:val="zh-CN"/>
        </w:rPr>
        <w:t>分包意向协议</w:t>
      </w:r>
      <w:r>
        <w:rPr>
          <w:rFonts w:hint="eastAsia" w:cs="宋体" w:asciiTheme="minorEastAsia" w:hAnsiTheme="minorEastAsia" w:eastAsiaTheme="minorEastAsia"/>
          <w:b/>
          <w:bCs/>
          <w:color w:val="auto"/>
          <w:sz w:val="24"/>
          <w:highlight w:val="none"/>
        </w:rPr>
        <w:t>中中小企业、小微企业合同金额应当达到的比例要求填写。</w:t>
      </w:r>
      <w:r>
        <w:rPr>
          <w:rFonts w:hint="eastAsia" w:cs="宋体" w:asciiTheme="minorEastAsia" w:hAnsiTheme="minorEastAsia" w:eastAsiaTheme="minorEastAsia"/>
          <w:b/>
          <w:bCs/>
          <w:color w:val="auto"/>
          <w:kern w:val="0"/>
          <w:sz w:val="24"/>
          <w:highlight w:val="none"/>
          <w:lang w:val="zh-CN"/>
        </w:rPr>
        <w:t>）</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三、分包工作履行期限、地点、方式</w:t>
      </w:r>
    </w:p>
    <w:p>
      <w:pPr>
        <w:snapToGrid w:val="0"/>
        <w:spacing w:line="360" w:lineRule="auto"/>
        <w:ind w:firstLine="576"/>
        <w:rPr>
          <w:rFonts w:hint="eastAsia" w:cs="宋体" w:asciiTheme="minorEastAsia" w:hAnsiTheme="minorEastAsia" w:eastAsiaTheme="minorEastAsia"/>
          <w:color w:val="auto"/>
          <w:highlight w:val="none"/>
          <w:u w:val="single"/>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四、质量</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五、价款或者报酬</w:t>
      </w:r>
    </w:p>
    <w:p>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left="573" w:leftChars="273"/>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六、违约责任</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七、争议解决的办法</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highlight w:val="none"/>
          <w:u w:val="single"/>
        </w:rPr>
        <w:t xml:space="preserve">                                                                                  </w:t>
      </w:r>
    </w:p>
    <w:p>
      <w:pPr>
        <w:snapToGrid w:val="0"/>
        <w:spacing w:line="360" w:lineRule="auto"/>
        <w:ind w:firstLine="576"/>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八、其他</w:t>
      </w:r>
    </w:p>
    <w:p>
      <w:pPr>
        <w:snapToGrid w:val="0"/>
        <w:spacing w:line="360" w:lineRule="auto"/>
        <w:ind w:left="5520" w:hanging="5520" w:hanging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sz w:val="24"/>
          <w:highlight w:val="none"/>
        </w:rPr>
        <w:t>中小企业合同金额达到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%，小微企业合同金额达到</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lang w:val="zh-CN"/>
        </w:rPr>
        <w:t xml:space="preserve">  。                                           </w:t>
      </w:r>
    </w:p>
    <w:p>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p>
    <w:p>
      <w:pPr>
        <w:snapToGrid w:val="0"/>
        <w:spacing w:line="360" w:lineRule="auto"/>
        <w:ind w:left="4830" w:leftChars="2300" w:firstLine="720" w:firstLineChars="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磋商供应商名称(公章)：</w:t>
      </w:r>
    </w:p>
    <w:p>
      <w:pPr>
        <w:snapToGrid w:val="0"/>
        <w:spacing w:line="360" w:lineRule="auto"/>
        <w:jc w:val="right"/>
        <w:rPr>
          <w:rStyle w:val="631"/>
          <w:rFonts w:hint="eastAsia"/>
          <w:color w:val="auto"/>
          <w:highlight w:val="none"/>
        </w:rPr>
      </w:pPr>
      <w:r>
        <w:rPr>
          <w:rStyle w:val="631"/>
          <w:rFonts w:hint="eastAsia"/>
          <w:color w:val="auto"/>
          <w:highlight w:val="none"/>
        </w:rPr>
        <w:t>法定代表人（负责人） (签名)：</w:t>
      </w:r>
    </w:p>
    <w:p>
      <w:pPr>
        <w:snapToGrid w:val="0"/>
        <w:spacing w:line="360" w:lineRule="auto"/>
        <w:ind w:right="480" w:firstLine="5520" w:firstLineChars="2300"/>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分包供应商名称(公章)：</w:t>
      </w:r>
    </w:p>
    <w:p>
      <w:pPr>
        <w:snapToGrid w:val="0"/>
        <w:spacing w:line="360" w:lineRule="auto"/>
        <w:jc w:val="right"/>
        <w:rPr>
          <w:rFonts w:hint="eastAsia" w:cs="宋体" w:asciiTheme="minorEastAsia" w:hAnsiTheme="minorEastAsia" w:eastAsiaTheme="minorEastAsia"/>
          <w:color w:val="auto"/>
          <w:kern w:val="0"/>
          <w:sz w:val="24"/>
          <w:highlight w:val="none"/>
          <w:lang w:val="zh-CN"/>
        </w:rPr>
      </w:pPr>
      <w:r>
        <w:rPr>
          <w:rStyle w:val="631"/>
          <w:rFonts w:hint="eastAsia"/>
          <w:color w:val="auto"/>
          <w:highlight w:val="none"/>
        </w:rPr>
        <w:t>法定代表人（负责人） (签名)：</w:t>
      </w:r>
    </w:p>
    <w:p>
      <w:pPr>
        <w:snapToGrid w:val="0"/>
        <w:spacing w:line="360" w:lineRule="auto"/>
        <w:ind w:firstLine="5760" w:firstLineChars="2400"/>
        <w:rPr>
          <w:rFonts w:hint="eastAsia"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lang w:val="zh-CN"/>
        </w:rPr>
        <w:t>……</w:t>
      </w:r>
    </w:p>
    <w:p>
      <w:pPr>
        <w:spacing w:line="360" w:lineRule="auto"/>
        <w:jc w:val="center"/>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 xml:space="preserve">                                        日期：  年  月   日</w:t>
      </w:r>
    </w:p>
    <w:p>
      <w:pPr>
        <w:widowControl/>
        <w:adjustRightInd/>
        <w:jc w:val="left"/>
        <w:rPr>
          <w:rFonts w:hint="eastAsia"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kern w:val="0"/>
          <w:sz w:val="32"/>
          <w:szCs w:val="32"/>
          <w:highlight w:val="none"/>
          <w:lang w:val="zh-CN"/>
        </w:rPr>
        <w:t>五</w:t>
      </w:r>
      <w:r>
        <w:rPr>
          <w:rFonts w:hint="eastAsia" w:cs="仿宋_GB2312" w:asciiTheme="minorEastAsia" w:hAnsiTheme="minorEastAsia" w:eastAsiaTheme="minorEastAsia"/>
          <w:b/>
          <w:color w:val="auto"/>
          <w:sz w:val="32"/>
          <w:szCs w:val="32"/>
          <w:highlight w:val="none"/>
        </w:rPr>
        <w:t>、所有资信文件（复印件）</w:t>
      </w: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hint="eastAsia" w:cs="仿宋_GB2312" w:asciiTheme="minorEastAsia" w:hAnsiTheme="minorEastAsia" w:eastAsiaTheme="minorEastAsia"/>
          <w:b/>
          <w:color w:val="auto"/>
          <w:sz w:val="30"/>
          <w:szCs w:val="30"/>
          <w:highlight w:val="none"/>
        </w:rPr>
      </w:pPr>
    </w:p>
    <w:p>
      <w:pPr>
        <w:snapToGrid w:val="0"/>
        <w:spacing w:line="360" w:lineRule="auto"/>
        <w:ind w:firstLine="5160" w:firstLineChars="215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p>
    <w:p>
      <w:pPr>
        <w:snapToGrid w:val="0"/>
        <w:spacing w:line="360" w:lineRule="auto"/>
        <w:ind w:firstLine="5160" w:firstLineChars="215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 xml:space="preserve">：   年  </w:t>
      </w:r>
      <w:r>
        <w:rPr>
          <w:rFonts w:hint="eastAsia" w:cs="仿宋_GB2312" w:asciiTheme="minorEastAsia" w:hAnsiTheme="minorEastAsia" w:eastAsiaTheme="minorEastAsia"/>
          <w:color w:val="auto"/>
          <w:kern w:val="0"/>
          <w:sz w:val="24"/>
          <w:highlight w:val="none"/>
          <w:lang w:val="zh-CN"/>
        </w:rPr>
        <w:t>月</w:t>
      </w: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日</w:t>
      </w:r>
    </w:p>
    <w:p>
      <w:pPr>
        <w:spacing w:line="360" w:lineRule="auto"/>
        <w:jc w:val="center"/>
        <w:rPr>
          <w:rFonts w:hint="eastAsia" w:cs="仿宋_GB2312" w:asciiTheme="minorEastAsia" w:hAnsiTheme="minorEastAsia" w:eastAsiaTheme="minorEastAsia"/>
          <w:b/>
          <w:color w:val="auto"/>
          <w:kern w:val="0"/>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六</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主要业绩证明</w:t>
      </w:r>
    </w:p>
    <w:p>
      <w:pPr>
        <w:autoSpaceDE w:val="0"/>
        <w:autoSpaceDN w:val="0"/>
        <w:spacing w:line="360" w:lineRule="auto"/>
        <w:ind w:firstLine="120"/>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:相关项目建设业绩一览表</w:t>
      </w:r>
    </w:p>
    <w:tbl>
      <w:tblPr>
        <w:tblStyle w:val="61"/>
        <w:tblW w:w="9135" w:type="dxa"/>
        <w:tblInd w:w="108" w:type="dxa"/>
        <w:tblLayout w:type="fixed"/>
        <w:tblCellMar>
          <w:top w:w="0" w:type="dxa"/>
          <w:left w:w="108" w:type="dxa"/>
          <w:bottom w:w="0" w:type="dxa"/>
          <w:right w:w="108" w:type="dxa"/>
        </w:tblCellMar>
      </w:tblPr>
      <w:tblGrid>
        <w:gridCol w:w="1800"/>
        <w:gridCol w:w="951"/>
        <w:gridCol w:w="1356"/>
        <w:gridCol w:w="1143"/>
        <w:gridCol w:w="1155"/>
        <w:gridCol w:w="1515"/>
        <w:gridCol w:w="1215"/>
      </w:tblGrid>
      <w:tr>
        <w:tblPrEx>
          <w:tblCellMar>
            <w:top w:w="0" w:type="dxa"/>
            <w:left w:w="108" w:type="dxa"/>
            <w:bottom w:w="0" w:type="dxa"/>
            <w:right w:w="108" w:type="dxa"/>
          </w:tblCellMar>
        </w:tblPrEx>
        <w:trPr>
          <w:trHeight w:val="1177" w:hRule="atLeast"/>
        </w:trPr>
        <w:tc>
          <w:tcPr>
            <w:tcW w:w="180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项目名称</w:t>
            </w:r>
          </w:p>
        </w:tc>
        <w:tc>
          <w:tcPr>
            <w:tcW w:w="951"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类型</w:t>
            </w:r>
          </w:p>
        </w:tc>
        <w:tc>
          <w:tcPr>
            <w:tcW w:w="135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简要描述</w:t>
            </w:r>
          </w:p>
        </w:tc>
        <w:tc>
          <w:tcPr>
            <w:tcW w:w="1143"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资金</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（万元）</w:t>
            </w:r>
          </w:p>
        </w:tc>
        <w:tc>
          <w:tcPr>
            <w:tcW w:w="115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lang w:eastAsia="zh-CN"/>
              </w:rPr>
              <w:t>项目</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p>
        </w:tc>
        <w:tc>
          <w:tcPr>
            <w:tcW w:w="15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lang w:eastAsia="zh-CN"/>
              </w:rPr>
              <w:t>项目地址与业主</w:t>
            </w:r>
            <w:r>
              <w:rPr>
                <w:rFonts w:hint="eastAsia" w:cs="仿宋_GB2312" w:asciiTheme="minorEastAsia" w:hAnsiTheme="minorEastAsia" w:eastAsiaTheme="minorEastAsia"/>
                <w:color w:val="auto"/>
                <w:sz w:val="24"/>
                <w:highlight w:val="none"/>
              </w:rPr>
              <w:t>单位联系电话</w:t>
            </w:r>
          </w:p>
        </w:tc>
        <w:tc>
          <w:tcPr>
            <w:tcW w:w="121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所在页码</w:t>
            </w:r>
          </w:p>
        </w:tc>
      </w:tr>
      <w:tr>
        <w:tblPrEx>
          <w:tblCellMar>
            <w:top w:w="0" w:type="dxa"/>
            <w:left w:w="108" w:type="dxa"/>
            <w:bottom w:w="0" w:type="dxa"/>
            <w:right w:w="108" w:type="dxa"/>
          </w:tblCellMar>
        </w:tblPrEx>
        <w:trPr>
          <w:trHeight w:val="894"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20"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33"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r>
        <w:trPr>
          <w:trHeight w:val="927" w:hRule="atLeast"/>
        </w:trPr>
        <w:tc>
          <w:tcPr>
            <w:tcW w:w="180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951"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35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43"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15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5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c>
          <w:tcPr>
            <w:tcW w:w="121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cs="仿宋_GB2312" w:asciiTheme="minorEastAsia" w:hAnsiTheme="minorEastAsia" w:eastAsiaTheme="minorEastAsia"/>
                <w:color w:val="auto"/>
                <w:sz w:val="24"/>
                <w:highlight w:val="none"/>
              </w:rPr>
            </w:pPr>
          </w:p>
        </w:tc>
      </w:tr>
    </w:tbl>
    <w:p>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注：供应商可按上述的格式自行编制，须随表提交相应的合同复印件和用户单位验收证明并注明所在文件页码。</w:t>
      </w:r>
    </w:p>
    <w:p>
      <w:pPr>
        <w:autoSpaceDE w:val="0"/>
        <w:autoSpaceDN w:val="0"/>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5280" w:firstLineChars="2200"/>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七、关于</w:t>
      </w:r>
      <w:r>
        <w:rPr>
          <w:rFonts w:hint="eastAsia" w:cs="仿宋_GB2312" w:asciiTheme="minorEastAsia" w:hAnsiTheme="minorEastAsia" w:eastAsiaTheme="minorEastAsia"/>
          <w:b/>
          <w:color w:val="auto"/>
          <w:kern w:val="0"/>
          <w:sz w:val="32"/>
          <w:szCs w:val="32"/>
          <w:highlight w:val="none"/>
          <w:lang w:val="zh-CN"/>
        </w:rPr>
        <w:t>对磋商文件中有关条款的拒绝声明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hint="eastAsia" w:cs="仿宋_GB2312" w:asciiTheme="minorEastAsia" w:hAnsiTheme="minorEastAsia" w:eastAsiaTheme="minorEastAsia"/>
          <w:color w:val="auto"/>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八、认为需要的</w:t>
      </w:r>
      <w:r>
        <w:rPr>
          <w:rFonts w:hint="eastAsia" w:cs="仿宋_GB2312" w:asciiTheme="minorEastAsia" w:hAnsiTheme="minorEastAsia" w:eastAsiaTheme="minorEastAsia"/>
          <w:b/>
          <w:color w:val="auto"/>
          <w:kern w:val="0"/>
          <w:sz w:val="32"/>
          <w:szCs w:val="32"/>
          <w:highlight w:val="none"/>
          <w:lang w:val="zh-CN"/>
        </w:rPr>
        <w:t>其他商务文件或说明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rPr>
          <w:rFonts w:hint="eastAsia" w:cs="仿宋_GB2312" w:asciiTheme="minorEastAsia" w:hAnsiTheme="minorEastAsia" w:eastAsiaTheme="minorEastAsia"/>
          <w:b/>
          <w:bCs/>
          <w:color w:val="auto"/>
          <w:kern w:val="0"/>
          <w:sz w:val="24"/>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color w:val="auto"/>
          <w:highlight w:val="none"/>
        </w:rPr>
        <w:br w:type="page"/>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九、</w:t>
      </w:r>
      <w:r>
        <w:rPr>
          <w:rFonts w:hint="eastAsia" w:cs="仿宋_GB2312" w:asciiTheme="minorEastAsia" w:hAnsiTheme="minorEastAsia" w:eastAsiaTheme="minorEastAsia"/>
          <w:b/>
          <w:bCs/>
          <w:color w:val="auto"/>
          <w:sz w:val="32"/>
          <w:szCs w:val="32"/>
          <w:highlight w:val="none"/>
          <w:lang w:eastAsia="zh-CN"/>
        </w:rPr>
        <w:t>技术设计</w:t>
      </w:r>
      <w:r>
        <w:rPr>
          <w:rFonts w:hint="eastAsia" w:cs="仿宋_GB2312" w:asciiTheme="minorEastAsia" w:hAnsiTheme="minorEastAsia" w:eastAsiaTheme="minorEastAsia"/>
          <w:b/>
          <w:bCs/>
          <w:color w:val="auto"/>
          <w:sz w:val="32"/>
          <w:szCs w:val="32"/>
          <w:highlight w:val="none"/>
        </w:rPr>
        <w:t>方案</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spacing w:line="360" w:lineRule="auto"/>
        <w:jc w:val="center"/>
        <w:rPr>
          <w:rFonts w:hint="eastAsia" w:cs="仿宋_GB2312" w:asciiTheme="minorEastAsia" w:hAnsiTheme="minorEastAsia" w:eastAsiaTheme="minorEastAsia"/>
          <w:color w:val="auto"/>
          <w:sz w:val="24"/>
          <w:highlight w:val="none"/>
        </w:rPr>
      </w:pP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 xml:space="preserve">      磋商供应商名称(公章)：</w:t>
      </w:r>
    </w:p>
    <w:p>
      <w:pPr>
        <w:spacing w:line="360" w:lineRule="auto"/>
        <w:jc w:val="center"/>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法定代表人（负责人）或委托代理人(签名)：                          </w:t>
      </w: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hint="eastAsia"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bCs/>
          <w:color w:val="auto"/>
          <w:kern w:val="0"/>
          <w:sz w:val="24"/>
          <w:highlight w:val="none"/>
          <w:lang w:val="zh-CN"/>
        </w:rPr>
        <w:t xml:space="preserve">       </w:t>
      </w:r>
    </w:p>
    <w:p>
      <w:pPr>
        <w:spacing w:line="360" w:lineRule="auto"/>
        <w:ind w:firstLine="1333" w:firstLineChars="4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节能产品认证证书</w:t>
      </w:r>
    </w:p>
    <w:p>
      <w:pPr>
        <w:spacing w:line="360" w:lineRule="auto"/>
        <w:jc w:val="center"/>
        <w:rPr>
          <w:rFonts w:hint="eastAsia" w:asciiTheme="minorEastAsia" w:hAnsiTheme="minorEastAsia" w:eastAsiaTheme="minorEastAsia"/>
          <w:b/>
          <w:bCs/>
          <w:color w:val="auto"/>
          <w:sz w:val="24"/>
          <w:highlight w:val="none"/>
        </w:rPr>
      </w:pPr>
    </w:p>
    <w:p>
      <w:pPr>
        <w:spacing w:line="360" w:lineRule="auto"/>
        <w:ind w:firstLine="1000" w:firstLineChars="300"/>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环境标志产品认证证书</w:t>
      </w:r>
    </w:p>
    <w:p>
      <w:pPr>
        <w:autoSpaceDE w:val="0"/>
        <w:autoSpaceDN w:val="0"/>
        <w:spacing w:line="360" w:lineRule="auto"/>
        <w:rPr>
          <w:rFonts w:hint="eastAsia" w:cs="仿宋_GB2312" w:asciiTheme="minorEastAsia" w:hAnsiTheme="minorEastAsia" w:eastAsiaTheme="minorEastAsia"/>
          <w:b/>
          <w:color w:val="auto"/>
          <w:kern w:val="0"/>
          <w:sz w:val="28"/>
          <w:szCs w:val="28"/>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24"/>
          <w:highlight w:val="none"/>
          <w:lang w:val="zh-CN"/>
        </w:rPr>
      </w:pPr>
    </w:p>
    <w:p>
      <w:pPr>
        <w:tabs>
          <w:tab w:val="left" w:pos="2790"/>
          <w:tab w:val="left" w:pos="4230"/>
        </w:tabs>
        <w:autoSpaceDE w:val="0"/>
        <w:autoSpaceDN w:val="0"/>
        <w:spacing w:line="360" w:lineRule="auto"/>
        <w:ind w:right="1400"/>
        <w:jc w:val="center"/>
        <w:rPr>
          <w:rFonts w:hint="eastAsia" w:cs="仿宋_GB2312" w:asciiTheme="minorEastAsia" w:hAnsiTheme="minorEastAsia" w:eastAsiaTheme="minorEastAsia"/>
          <w:b/>
          <w:bCs/>
          <w:color w:val="auto"/>
          <w:kern w:val="0"/>
          <w:sz w:val="32"/>
          <w:szCs w:val="32"/>
          <w:highlight w:val="none"/>
          <w:lang w:val="zh-CN"/>
        </w:rPr>
      </w:pPr>
      <w:r>
        <w:rPr>
          <w:rFonts w:hint="eastAsia" w:cs="仿宋_GB2312" w:asciiTheme="minorEastAsia" w:hAnsiTheme="minorEastAsia" w:eastAsiaTheme="minorEastAsia"/>
          <w:b/>
          <w:bCs/>
          <w:color w:val="auto"/>
          <w:kern w:val="0"/>
          <w:sz w:val="32"/>
          <w:szCs w:val="32"/>
          <w:highlight w:val="none"/>
          <w:lang w:val="zh-CN"/>
        </w:rPr>
        <w:t>十、项目实施方案</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autoSpaceDE w:val="0"/>
        <w:autoSpaceDN w:val="0"/>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十一、售后服务方案</w:t>
      </w:r>
    </w:p>
    <w:p>
      <w:pPr>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w:t>
      </w:r>
      <w:r>
        <w:rPr>
          <w:rFonts w:hint="eastAsia" w:cs="仿宋_GB2312" w:asciiTheme="minorEastAsia" w:hAnsiTheme="minorEastAsia" w:eastAsiaTheme="minorEastAsia"/>
          <w:color w:val="auto"/>
          <w:kern w:val="0"/>
          <w:sz w:val="24"/>
          <w:highlight w:val="none"/>
        </w:rPr>
        <w:t>供应商</w:t>
      </w:r>
      <w:r>
        <w:rPr>
          <w:rFonts w:hint="eastAsia" w:cs="仿宋_GB2312" w:asciiTheme="minorEastAsia" w:hAnsiTheme="minorEastAsia" w:eastAsiaTheme="minorEastAsia"/>
          <w:color w:val="auto"/>
          <w:sz w:val="24"/>
          <w:highlight w:val="none"/>
        </w:rPr>
        <w:t>根据采购需求及磋商文件要求编制）</w:t>
      </w:r>
    </w:p>
    <w:p>
      <w:pPr>
        <w:autoSpaceDE w:val="0"/>
        <w:autoSpaceDN w:val="0"/>
        <w:spacing w:line="360" w:lineRule="auto"/>
        <w:rPr>
          <w:rFonts w:hint="eastAsia" w:cs="仿宋_GB2312" w:asciiTheme="minorEastAsia" w:hAnsiTheme="minorEastAsia" w:eastAsiaTheme="minorEastAsia"/>
          <w:color w:val="auto"/>
          <w:kern w:val="0"/>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bCs/>
          <w:color w:val="auto"/>
          <w:sz w:val="32"/>
          <w:szCs w:val="32"/>
          <w:highlight w:val="none"/>
        </w:rPr>
        <w:t>十二、项目小组人员名单</w:t>
      </w:r>
    </w:p>
    <w:p>
      <w:pPr>
        <w:spacing w:line="360" w:lineRule="auto"/>
        <w:jc w:val="center"/>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sz w:val="24"/>
          <w:highlight w:val="none"/>
        </w:rPr>
        <w:t>（由供应商根据采购需求及磋商文件要求编制）</w:t>
      </w:r>
    </w:p>
    <w:p>
      <w:pPr>
        <w:keepNext/>
        <w:autoSpaceDE w:val="0"/>
        <w:autoSpaceDN w:val="0"/>
        <w:spacing w:line="360" w:lineRule="auto"/>
        <w:ind w:firstLine="477"/>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附表:本项目的项目</w:t>
      </w:r>
      <w:r>
        <w:rPr>
          <w:rFonts w:hint="eastAsia" w:cs="仿宋_GB2312" w:asciiTheme="minorEastAsia" w:hAnsiTheme="minorEastAsia" w:eastAsiaTheme="minorEastAsia"/>
          <w:b/>
          <w:color w:val="auto"/>
          <w:sz w:val="24"/>
          <w:highlight w:val="none"/>
          <w:lang w:eastAsia="zh-CN"/>
        </w:rPr>
        <w:t>人员</w:t>
      </w:r>
      <w:r>
        <w:rPr>
          <w:rFonts w:hint="eastAsia" w:cs="仿宋_GB2312" w:asciiTheme="minorEastAsia" w:hAnsiTheme="minorEastAsia" w:eastAsiaTheme="minorEastAsia"/>
          <w:b/>
          <w:color w:val="auto"/>
          <w:sz w:val="24"/>
          <w:highlight w:val="none"/>
        </w:rPr>
        <w:t>情况表</w:t>
      </w:r>
    </w:p>
    <w:tbl>
      <w:tblPr>
        <w:tblStyle w:val="61"/>
        <w:tblW w:w="91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865"/>
        <w:gridCol w:w="2060"/>
        <w:gridCol w:w="1449"/>
        <w:gridCol w:w="1988"/>
        <w:gridCol w:w="188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姓名</w:t>
            </w:r>
          </w:p>
        </w:tc>
        <w:tc>
          <w:tcPr>
            <w:tcW w:w="865"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职务</w:t>
            </w:r>
          </w:p>
        </w:tc>
        <w:tc>
          <w:tcPr>
            <w:tcW w:w="206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专业技术资格</w:t>
            </w:r>
          </w:p>
        </w:tc>
        <w:tc>
          <w:tcPr>
            <w:tcW w:w="144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color w:val="auto"/>
                <w:szCs w:val="21"/>
                <w:highlight w:val="none"/>
              </w:rPr>
            </w:pPr>
            <w:r>
              <w:rPr>
                <w:rFonts w:hint="eastAsia" w:ascii="宋体" w:hAnsi="宋体" w:eastAsia="宋体" w:cs="宋体"/>
                <w:color w:val="auto"/>
                <w:szCs w:val="21"/>
                <w:highlight w:val="none"/>
              </w:rPr>
              <w:t>证书编号</w:t>
            </w:r>
          </w:p>
        </w:tc>
        <w:tc>
          <w:tcPr>
            <w:tcW w:w="198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参加本单位</w:t>
            </w:r>
          </w:p>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工作时间</w:t>
            </w:r>
          </w:p>
        </w:tc>
        <w:tc>
          <w:tcPr>
            <w:tcW w:w="1889"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after="50" w:line="360" w:lineRule="exact"/>
              <w:jc w:val="center"/>
              <w:rPr>
                <w:rFonts w:hint="eastAsia" w:ascii="宋体" w:hAnsi="宋体" w:cs="宋体"/>
                <w:bCs/>
                <w:color w:val="auto"/>
                <w:szCs w:val="21"/>
                <w:highlight w:val="none"/>
              </w:rPr>
            </w:pPr>
            <w:r>
              <w:rPr>
                <w:rFonts w:hint="eastAsia" w:ascii="宋体" w:hAnsi="宋体" w:eastAsia="宋体" w:cs="宋体"/>
                <w:bCs/>
                <w:color w:val="auto"/>
                <w:szCs w:val="21"/>
                <w:highlight w:val="none"/>
              </w:rPr>
              <w:t>劳动合同编号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88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865"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2060"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44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988"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c>
          <w:tcPr>
            <w:tcW w:w="1889" w:type="dxa"/>
            <w:tcBorders>
              <w:top w:val="single" w:color="auto" w:sz="4" w:space="0"/>
              <w:left w:val="single" w:color="auto" w:sz="4" w:space="0"/>
              <w:bottom w:val="single" w:color="auto" w:sz="4" w:space="0"/>
              <w:right w:val="single" w:color="auto" w:sz="4" w:space="0"/>
            </w:tcBorders>
          </w:tcPr>
          <w:p>
            <w:pPr>
              <w:snapToGrid w:val="0"/>
              <w:spacing w:before="156" w:beforeLines="50" w:after="50" w:line="360" w:lineRule="exact"/>
              <w:rPr>
                <w:rFonts w:hint="eastAsia" w:ascii="宋体" w:hAnsi="宋体" w:cs="宋体"/>
                <w:color w:val="auto"/>
                <w:szCs w:val="21"/>
                <w:highlight w:val="none"/>
              </w:rPr>
            </w:pPr>
          </w:p>
        </w:tc>
      </w:tr>
    </w:tbl>
    <w:p>
      <w:pPr>
        <w:pStyle w:val="56"/>
        <w:rPr>
          <w:rFonts w:hint="eastAsia"/>
          <w:color w:val="auto"/>
          <w:highlight w:val="none"/>
        </w:rPr>
      </w:pPr>
    </w:p>
    <w:p>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24"/>
          <w:highlight w:val="none"/>
        </w:rPr>
        <w:br w:type="page"/>
      </w:r>
      <w:r>
        <w:rPr>
          <w:rFonts w:hint="eastAsia" w:cs="仿宋_GB2312" w:asciiTheme="minorEastAsia" w:hAnsiTheme="minorEastAsia" w:eastAsiaTheme="minorEastAsia"/>
          <w:b/>
          <w:color w:val="auto"/>
          <w:kern w:val="0"/>
          <w:sz w:val="32"/>
          <w:szCs w:val="32"/>
          <w:highlight w:val="none"/>
          <w:lang w:val="zh-CN"/>
        </w:rPr>
        <w:t>十三</w:t>
      </w:r>
      <w:r>
        <w:rPr>
          <w:rFonts w:hint="eastAsia" w:cs="仿宋_GB2312" w:asciiTheme="minorEastAsia" w:hAnsiTheme="minorEastAsia" w:eastAsiaTheme="minorEastAsia"/>
          <w:b/>
          <w:bCs/>
          <w:color w:val="auto"/>
          <w:sz w:val="32"/>
          <w:szCs w:val="32"/>
          <w:highlight w:val="none"/>
        </w:rPr>
        <w:t>、</w:t>
      </w:r>
      <w:r>
        <w:rPr>
          <w:rFonts w:hint="eastAsia" w:cs="仿宋_GB2312" w:asciiTheme="minorEastAsia" w:hAnsiTheme="minorEastAsia" w:eastAsiaTheme="minorEastAsia"/>
          <w:b/>
          <w:color w:val="auto"/>
          <w:kern w:val="0"/>
          <w:sz w:val="32"/>
          <w:szCs w:val="32"/>
          <w:highlight w:val="none"/>
          <w:lang w:val="zh-CN"/>
        </w:rPr>
        <w:t>优惠条件及特殊承诺</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jc w:val="center"/>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b/>
          <w:bCs/>
          <w:color w:val="auto"/>
          <w:sz w:val="24"/>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十四、</w:t>
      </w:r>
      <w:r>
        <w:rPr>
          <w:rFonts w:hint="eastAsia" w:cs="仿宋_GB2312" w:asciiTheme="minorEastAsia" w:hAnsiTheme="minorEastAsia" w:eastAsiaTheme="minorEastAsia"/>
          <w:b/>
          <w:color w:val="auto"/>
          <w:kern w:val="0"/>
          <w:sz w:val="32"/>
          <w:szCs w:val="32"/>
          <w:highlight w:val="none"/>
          <w:lang w:val="zh-CN"/>
        </w:rPr>
        <w:t>培训计划</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keepNext/>
        <w:autoSpaceDE w:val="0"/>
        <w:autoSpaceDN w:val="0"/>
        <w:spacing w:line="360" w:lineRule="auto"/>
        <w:ind w:firstLine="477"/>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附表: 培训日程及费用</w:t>
      </w:r>
    </w:p>
    <w:tbl>
      <w:tblPr>
        <w:tblStyle w:val="61"/>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trPr>
          <w:trHeight w:val="1013" w:hRule="atLeast"/>
        </w:trPr>
        <w:tc>
          <w:tcPr>
            <w:tcW w:w="1806" w:type="dxa"/>
            <w:tcBorders>
              <w:top w:val="single" w:color="auto" w:sz="6" w:space="0"/>
              <w:left w:val="single" w:color="auto" w:sz="6" w:space="0"/>
              <w:bottom w:val="nil"/>
              <w:right w:val="nil"/>
            </w:tcBorders>
            <w:shd w:val="pct10" w:color="auto" w:fill="auto"/>
            <w:vAlign w:val="center"/>
          </w:tcPr>
          <w:p>
            <w:pPr>
              <w:tabs>
                <w:tab w:val="center" w:pos="169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pPr>
              <w:tabs>
                <w:tab w:val="center" w:pos="1028"/>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pPr>
              <w:tabs>
                <w:tab w:val="center" w:pos="595"/>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pPr>
              <w:tabs>
                <w:tab w:val="center" w:pos="520"/>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pPr>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课程费用</w:t>
            </w:r>
          </w:p>
        </w:tc>
      </w:tr>
      <w:tr>
        <w:tblPrEx>
          <w:tblCellMar>
            <w:top w:w="0" w:type="dxa"/>
            <w:left w:w="120" w:type="dxa"/>
            <w:bottom w:w="0" w:type="dxa"/>
            <w:right w:w="120" w:type="dxa"/>
          </w:tblCellMar>
        </w:tblPrEx>
        <w:trPr>
          <w:trHeight w:val="398" w:hRule="atLeast"/>
        </w:trP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nil"/>
              <w:right w:val="nil"/>
            </w:tcBorders>
          </w:tcPr>
          <w:p>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254" w:type="dxa"/>
            <w:tcBorders>
              <w:top w:val="single" w:color="auto" w:sz="6" w:space="0"/>
              <w:left w:val="single" w:color="auto" w:sz="6" w:space="0"/>
              <w:bottom w:val="nil"/>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nil"/>
              <w:right w:val="nil"/>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nil"/>
              <w:right w:val="nil"/>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nil"/>
              <w:right w:val="nil"/>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nil"/>
              <w:right w:val="nil"/>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nil"/>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r>
        <w:tc>
          <w:tcPr>
            <w:tcW w:w="1806" w:type="dxa"/>
            <w:tcBorders>
              <w:top w:val="single" w:color="auto" w:sz="6" w:space="0"/>
              <w:left w:val="single" w:color="auto" w:sz="6" w:space="0"/>
              <w:bottom w:val="single" w:color="auto" w:sz="6" w:space="0"/>
              <w:right w:val="single" w:color="auto" w:sz="6" w:space="0"/>
            </w:tcBorders>
            <w:vAlign w:val="center"/>
          </w:tcPr>
          <w:p>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pPr>
              <w:tabs>
                <w:tab w:val="left" w:pos="440"/>
                <w:tab w:val="left" w:pos="1154"/>
                <w:tab w:val="left" w:pos="1936"/>
                <w:tab w:val="left" w:pos="2368"/>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pPr>
              <w:tabs>
                <w:tab w:val="left" w:pos="7"/>
              </w:tabs>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pPr>
              <w:suppressAutoHyphens/>
              <w:autoSpaceDE w:val="0"/>
              <w:autoSpaceDN w:val="0"/>
              <w:spacing w:line="360" w:lineRule="auto"/>
              <w:rPr>
                <w:rFonts w:hint="eastAsia" w:cs="仿宋_GB2312" w:asciiTheme="minorEastAsia" w:hAnsiTheme="minorEastAsia" w:eastAsiaTheme="minorEastAsia"/>
                <w:color w:val="auto"/>
                <w:sz w:val="24"/>
                <w:highlight w:val="none"/>
              </w:rPr>
            </w:pPr>
          </w:p>
        </w:tc>
      </w:tr>
    </w:tbl>
    <w:p>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注解:A</w:t>
      </w:r>
      <w:r>
        <w:rPr>
          <w:rFonts w:hint="eastAsia" w:cs="仿宋_GB2312" w:asciiTheme="minorEastAsia" w:hAnsiTheme="minorEastAsia" w:eastAsiaTheme="minorEastAsia"/>
          <w:color w:val="auto"/>
          <w:sz w:val="24"/>
          <w:highlight w:val="none"/>
        </w:rPr>
        <w:tab/>
      </w:r>
      <w:r>
        <w:rPr>
          <w:rFonts w:hint="eastAsia" w:cs="仿宋_GB2312" w:asciiTheme="minorEastAsia" w:hAnsiTheme="minorEastAsia" w:eastAsiaTheme="minorEastAsia"/>
          <w:color w:val="auto"/>
          <w:sz w:val="24"/>
          <w:highlight w:val="none"/>
        </w:rPr>
        <w:t>课程清单按时间顺序排列，并提供以下详细资料：</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课程概要</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课程目的</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教学方式</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先决条件</w:t>
      </w:r>
    </w:p>
    <w:p>
      <w:pPr>
        <w:numPr>
          <w:ilvl w:val="0"/>
          <w:numId w:val="8"/>
        </w:numPr>
        <w:tabs>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ind w:left="480" w:hanging="48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教材目录</w:t>
      </w:r>
    </w:p>
    <w:p>
      <w:pPr>
        <w:autoSpaceDE w:val="0"/>
        <w:autoSpaceDN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B  按照附表A提供授课教师的简历</w:t>
      </w:r>
    </w:p>
    <w:p>
      <w:pPr>
        <w:autoSpaceDE w:val="0"/>
        <w:autoSpaceDN w:val="0"/>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注：须随表提交相应的证书复印件并注明所在响应文件页码。</w:t>
      </w:r>
    </w:p>
    <w:p>
      <w:pPr>
        <w:autoSpaceDE w:val="0"/>
        <w:autoSpaceDN w:val="0"/>
        <w:spacing w:line="360" w:lineRule="auto"/>
        <w:rPr>
          <w:rFonts w:hint="eastAsia" w:cs="仿宋_GB2312" w:asciiTheme="minorEastAsia" w:hAnsiTheme="minorEastAsia" w:eastAsiaTheme="minorEastAsia"/>
          <w:b/>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十五、随机特殊工具和备品备件清单</w:t>
      </w:r>
    </w:p>
    <w:tbl>
      <w:tblPr>
        <w:tblStyle w:val="6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900"/>
        <w:gridCol w:w="1800"/>
        <w:gridCol w:w="2880"/>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名称</w:t>
            </w:r>
          </w:p>
        </w:tc>
        <w:tc>
          <w:tcPr>
            <w:tcW w:w="190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品牌</w:t>
            </w:r>
          </w:p>
        </w:tc>
        <w:tc>
          <w:tcPr>
            <w:tcW w:w="180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制造厂/原产地</w:t>
            </w:r>
          </w:p>
        </w:tc>
        <w:tc>
          <w:tcPr>
            <w:tcW w:w="2880"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规格型号</w:t>
            </w:r>
          </w:p>
        </w:tc>
        <w:tc>
          <w:tcPr>
            <w:tcW w:w="1332" w:type="dxa"/>
            <w:vAlign w:val="center"/>
          </w:tcPr>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数 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8"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9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80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2880" w:type="dxa"/>
          </w:tcPr>
          <w:p>
            <w:pPr>
              <w:pStyle w:val="32"/>
              <w:spacing w:line="360" w:lineRule="auto"/>
              <w:jc w:val="center"/>
              <w:rPr>
                <w:rFonts w:hint="eastAsia" w:cs="仿宋_GB2312" w:asciiTheme="minorEastAsia" w:hAnsiTheme="minorEastAsia" w:eastAsiaTheme="minorEastAsia"/>
                <w:color w:val="auto"/>
                <w:sz w:val="24"/>
                <w:highlight w:val="none"/>
              </w:rPr>
            </w:pPr>
          </w:p>
        </w:tc>
        <w:tc>
          <w:tcPr>
            <w:tcW w:w="1332" w:type="dxa"/>
          </w:tcPr>
          <w:p>
            <w:pPr>
              <w:pStyle w:val="32"/>
              <w:spacing w:line="360" w:lineRule="auto"/>
              <w:jc w:val="center"/>
              <w:rPr>
                <w:rFonts w:hint="eastAsia" w:cs="仿宋_GB2312" w:asciiTheme="minorEastAsia" w:hAnsiTheme="minorEastAsia" w:eastAsiaTheme="minorEastAsia"/>
                <w:color w:val="auto"/>
                <w:sz w:val="24"/>
                <w:highlight w:val="none"/>
              </w:rPr>
            </w:pPr>
          </w:p>
        </w:tc>
      </w:tr>
    </w:tbl>
    <w:p>
      <w:pPr>
        <w:spacing w:line="360" w:lineRule="auto"/>
        <w:ind w:firstLine="470" w:firstLineChars="196"/>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注：随机特殊工具和备品备件是指供应商在供货时免费赠送给采购人的工具及零配件，以备用。</w:t>
      </w:r>
    </w:p>
    <w:p>
      <w:pPr>
        <w:spacing w:line="360" w:lineRule="auto"/>
        <w:ind w:firstLine="480" w:firstLineChars="200"/>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color w:val="auto"/>
          <w:kern w:val="0"/>
          <w:sz w:val="24"/>
          <w:highlight w:val="none"/>
        </w:rPr>
      </w:pPr>
    </w:p>
    <w:p>
      <w:pPr>
        <w:spacing w:line="360" w:lineRule="auto"/>
        <w:jc w:val="center"/>
        <w:rPr>
          <w:rFonts w:hint="eastAsia" w:cs="仿宋_GB2312" w:asciiTheme="minorEastAsia" w:hAnsiTheme="minorEastAsia" w:eastAsiaTheme="minorEastAsia"/>
          <w:b/>
          <w:color w:val="auto"/>
          <w:kern w:val="0"/>
          <w:sz w:val="32"/>
          <w:szCs w:val="32"/>
          <w:highlight w:val="none"/>
          <w:lang w:val="zh-CN"/>
        </w:rPr>
      </w:pPr>
      <w:r>
        <w:rPr>
          <w:rFonts w:hint="eastAsia" w:cs="仿宋_GB2312" w:asciiTheme="minorEastAsia" w:hAnsiTheme="minorEastAsia" w:eastAsiaTheme="minorEastAsia"/>
          <w:b/>
          <w:bCs/>
          <w:color w:val="auto"/>
          <w:sz w:val="32"/>
          <w:szCs w:val="32"/>
          <w:highlight w:val="none"/>
        </w:rPr>
        <w:t>十六、认为需求的</w:t>
      </w:r>
      <w:r>
        <w:rPr>
          <w:rFonts w:hint="eastAsia" w:cs="仿宋_GB2312" w:asciiTheme="minorEastAsia" w:hAnsiTheme="minorEastAsia" w:eastAsiaTheme="minorEastAsia"/>
          <w:b/>
          <w:color w:val="auto"/>
          <w:kern w:val="0"/>
          <w:sz w:val="32"/>
          <w:szCs w:val="32"/>
          <w:highlight w:val="none"/>
          <w:lang w:val="zh-CN"/>
        </w:rPr>
        <w:t>其他技术文件或说明</w:t>
      </w:r>
    </w:p>
    <w:p>
      <w:pPr>
        <w:spacing w:line="360" w:lineRule="auto"/>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（由供应商根据采购需求自行编制）</w:t>
      </w:r>
    </w:p>
    <w:p>
      <w:pPr>
        <w:spacing w:line="360" w:lineRule="auto"/>
        <w:rPr>
          <w:rFonts w:hint="eastAsia" w:cs="仿宋_GB2312" w:asciiTheme="minorEastAsia" w:hAnsiTheme="minorEastAsia" w:eastAsiaTheme="minorEastAsia"/>
          <w:color w:val="auto"/>
          <w:sz w:val="24"/>
          <w:highlight w:val="none"/>
        </w:rPr>
      </w:pPr>
    </w:p>
    <w:p>
      <w:pPr>
        <w:autoSpaceDE w:val="0"/>
        <w:autoSpaceDN w:val="0"/>
        <w:spacing w:line="360" w:lineRule="auto"/>
        <w:ind w:firstLine="4560" w:firstLineChars="19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kern w:val="0"/>
          <w:sz w:val="24"/>
          <w:highlight w:val="none"/>
        </w:rPr>
        <w:t xml:space="preserve">：                       </w:t>
      </w:r>
    </w:p>
    <w:p>
      <w:pPr>
        <w:spacing w:line="360" w:lineRule="auto"/>
        <w:rPr>
          <w:rFonts w:hint="eastAsia"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color w:val="auto"/>
          <w:kern w:val="0"/>
          <w:sz w:val="24"/>
          <w:highlight w:val="none"/>
        </w:rPr>
        <w:t xml:space="preserve">                                      日期：  年  月   日</w:t>
      </w:r>
    </w:p>
    <w:p>
      <w:pPr>
        <w:spacing w:line="360" w:lineRule="auto"/>
        <w:jc w:val="center"/>
        <w:rPr>
          <w:rFonts w:hint="eastAsia" w:cs="仿宋_GB2312" w:asciiTheme="minorEastAsia" w:hAnsiTheme="minorEastAsia" w:eastAsiaTheme="minorEastAsia"/>
          <w:b/>
          <w:bCs/>
          <w:color w:val="auto"/>
          <w:sz w:val="32"/>
          <w:szCs w:val="32"/>
          <w:highlight w:val="none"/>
        </w:rPr>
      </w:pPr>
    </w:p>
    <w:p>
      <w:pPr>
        <w:tabs>
          <w:tab w:val="left" w:pos="0"/>
        </w:tabs>
        <w:autoSpaceDE w:val="0"/>
        <w:autoSpaceDN w:val="0"/>
        <w:spacing w:line="360" w:lineRule="auto"/>
        <w:ind w:firstLine="2409" w:firstLineChars="800"/>
        <w:rPr>
          <w:rFonts w:hint="eastAsia" w:cs="仿宋_GB2312" w:asciiTheme="minorEastAsia" w:hAnsiTheme="minorEastAsia" w:eastAsiaTheme="minorEastAsia"/>
          <w:b/>
          <w:bCs/>
          <w:color w:val="auto"/>
          <w:sz w:val="30"/>
          <w:szCs w:val="30"/>
          <w:highlight w:val="none"/>
        </w:rPr>
      </w:pPr>
    </w:p>
    <w:p>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p>
    <w:p>
      <w:pPr>
        <w:widowControl/>
        <w:adjustRightInd/>
        <w:jc w:val="left"/>
        <w:rPr>
          <w:rFonts w:hint="eastAsia" w:cs="仿宋_GB2312" w:asciiTheme="minorEastAsia" w:hAnsiTheme="minorEastAsia" w:eastAsiaTheme="minorEastAsia"/>
          <w:b/>
          <w:bCs/>
          <w:color w:val="auto"/>
          <w:sz w:val="30"/>
          <w:szCs w:val="30"/>
          <w:highlight w:val="none"/>
        </w:rPr>
      </w:pPr>
      <w:r>
        <w:rPr>
          <w:rFonts w:cs="仿宋_GB2312" w:asciiTheme="minorEastAsia" w:hAnsiTheme="minorEastAsia" w:eastAsiaTheme="minorEastAsia"/>
          <w:b/>
          <w:bCs/>
          <w:color w:val="auto"/>
          <w:sz w:val="30"/>
          <w:szCs w:val="30"/>
          <w:highlight w:val="none"/>
        </w:rPr>
        <w:br w:type="page"/>
      </w:r>
    </w:p>
    <w:p>
      <w:pPr>
        <w:tabs>
          <w:tab w:val="left" w:pos="0"/>
        </w:tabs>
        <w:autoSpaceDE w:val="0"/>
        <w:autoSpaceDN w:val="0"/>
        <w:spacing w:line="360" w:lineRule="auto"/>
        <w:jc w:val="center"/>
        <w:rPr>
          <w:rFonts w:hint="eastAsia"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rPr>
        <w:t>十七、</w:t>
      </w:r>
      <w:r>
        <w:rPr>
          <w:rFonts w:hint="eastAsia" w:cs="宋体" w:asciiTheme="minorEastAsia" w:hAnsiTheme="minorEastAsia" w:eastAsiaTheme="minorEastAsia"/>
          <w:b/>
          <w:color w:val="auto"/>
          <w:kern w:val="0"/>
          <w:sz w:val="32"/>
          <w:szCs w:val="32"/>
          <w:highlight w:val="none"/>
          <w:lang w:val="zh-CN"/>
        </w:rPr>
        <w:t>政府采购供应商廉洁自律承诺书</w:t>
      </w:r>
    </w:p>
    <w:p>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pPr>
        <w:autoSpaceDE w:val="0"/>
        <w:autoSpaceDN w:val="0"/>
        <w:spacing w:line="360" w:lineRule="auto"/>
        <w:ind w:left="2" w:leftChars="1"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pPr>
        <w:autoSpaceDE w:val="0"/>
        <w:autoSpaceDN w:val="0"/>
        <w:spacing w:line="360" w:lineRule="auto"/>
        <w:ind w:firstLine="480" w:firstLineChars="20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left="2"/>
        <w:jc w:val="left"/>
        <w:rPr>
          <w:rFonts w:hint="eastAsia" w:cs="仿宋_GB2312" w:asciiTheme="minorEastAsia" w:hAnsiTheme="minorEastAsia" w:eastAsiaTheme="minorEastAsia"/>
          <w:color w:val="auto"/>
          <w:kern w:val="0"/>
          <w:sz w:val="24"/>
          <w:highlight w:val="none"/>
          <w:lang w:val="zh-CN"/>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hint="eastAsia" w:cs="仿宋_GB2312" w:asciiTheme="minorEastAsia" w:hAnsiTheme="minorEastAsia" w:eastAsiaTheme="minorEastAsia"/>
          <w:b/>
          <w:color w:val="auto"/>
          <w:sz w:val="36"/>
          <w:szCs w:val="36"/>
          <w:highlight w:val="none"/>
        </w:rPr>
      </w:pPr>
    </w:p>
    <w:p>
      <w:pPr>
        <w:widowControl/>
        <w:adjustRightInd/>
        <w:jc w:val="left"/>
        <w:rPr>
          <w:rFonts w:hint="eastAsia"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pPr>
        <w:jc w:val="center"/>
        <w:rPr>
          <w:rFonts w:hint="eastAsia"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rPr>
        <w:t>十八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pPr>
        <w:widowControl/>
        <w:adjustRightInd/>
        <w:ind w:firstLine="640" w:firstLineChars="200"/>
        <w:jc w:val="left"/>
        <w:rPr>
          <w:rFonts w:hint="eastAsia" w:ascii="宋体" w:hAnsi="宋体" w:cs="宋体"/>
          <w:color w:val="auto"/>
          <w:kern w:val="0"/>
          <w:sz w:val="32"/>
          <w:szCs w:val="21"/>
          <w:highlight w:val="none"/>
        </w:rPr>
      </w:pPr>
    </w:p>
    <w:p>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我方作为本次采购项目的磋商供应商，根据磋商文件要求，现郑重承诺如下：</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pPr>
        <w:widowControl/>
        <w:adjustRightInd/>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我方对上述承诺的内容事项真实性负责。如经查实上述承诺的内容事项存在虚假，我方愿意接受以提供虚假材料谋取成交追究法律责任。</w:t>
      </w:r>
    </w:p>
    <w:p>
      <w:pPr>
        <w:widowControl/>
        <w:adjustRightInd/>
        <w:spacing w:line="360" w:lineRule="auto"/>
        <w:ind w:firstLine="480" w:firstLineChars="200"/>
        <w:jc w:val="left"/>
        <w:rPr>
          <w:rFonts w:hint="eastAsia" w:ascii="宋体" w:hAnsi="宋体" w:cs="宋体"/>
          <w:color w:val="auto"/>
          <w:kern w:val="0"/>
          <w:sz w:val="24"/>
          <w:highlight w:val="none"/>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jc w:val="center"/>
        <w:rPr>
          <w:rFonts w:hint="eastAsia" w:ascii="宋体" w:hAnsi="宋体" w:cs="宋体"/>
          <w:b/>
          <w:bCs/>
          <w:color w:val="auto"/>
          <w:sz w:val="24"/>
          <w:highlight w:val="none"/>
        </w:rPr>
      </w:pPr>
    </w:p>
    <w:p>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pageBreakBefore w:val="0"/>
        <w:tabs>
          <w:tab w:val="clear" w:pos="720"/>
        </w:tabs>
        <w:ind w:firstLine="640"/>
        <w:outlineLvl w:val="9"/>
        <w:rPr>
          <w:rFonts w:hint="eastAsia" w:cs="仿宋_GB2312" w:asciiTheme="minorEastAsia" w:hAnsiTheme="minorEastAsia" w:eastAsiaTheme="minorEastAsia"/>
          <w:bCs/>
          <w:color w:val="auto"/>
          <w:sz w:val="30"/>
          <w:szCs w:val="30"/>
          <w:highlight w:val="none"/>
        </w:rPr>
      </w:pPr>
    </w:p>
    <w:p>
      <w:pPr>
        <w:pStyle w:val="116"/>
        <w:keepNext w:val="0"/>
        <w:keepLines w:val="0"/>
        <w:pageBreakBefore w:val="0"/>
        <w:widowControl w:val="0"/>
        <w:tabs>
          <w:tab w:val="clear" w:pos="720"/>
        </w:tabs>
        <w:kinsoku/>
        <w:wordWrap/>
        <w:overflowPunct/>
        <w:topLinePunct w:val="0"/>
        <w:autoSpaceDE/>
        <w:autoSpaceDN/>
        <w:bidi w:val="0"/>
        <w:adjustRightInd w:val="0"/>
        <w:snapToGrid/>
        <w:ind w:firstLine="640"/>
        <w:textAlignment w:val="auto"/>
        <w:outlineLvl w:val="9"/>
        <w:rPr>
          <w:rFonts w:hint="eastAsia" w:ascii="宋体" w:hAnsi="宋体" w:eastAsia="宋体" w:cs="宋体"/>
          <w:color w:val="auto"/>
          <w:kern w:val="0"/>
          <w:sz w:val="32"/>
          <w:szCs w:val="21"/>
          <w:highlight w:val="none"/>
        </w:rPr>
      </w:pPr>
    </w:p>
    <w:p>
      <w:pPr>
        <w:pStyle w:val="116"/>
        <w:keepNext w:val="0"/>
        <w:keepLines w:val="0"/>
        <w:pageBreakBefore w:val="0"/>
        <w:widowControl w:val="0"/>
        <w:tabs>
          <w:tab w:val="clear" w:pos="720"/>
        </w:tabs>
        <w:kinsoku/>
        <w:wordWrap/>
        <w:overflowPunct/>
        <w:topLinePunct w:val="0"/>
        <w:autoSpaceDE/>
        <w:autoSpaceDN/>
        <w:bidi w:val="0"/>
        <w:adjustRightInd w:val="0"/>
        <w:snapToGrid/>
        <w:ind w:firstLine="641"/>
        <w:textAlignment w:val="auto"/>
        <w:outlineLvl w:val="9"/>
        <w:rPr>
          <w:rFonts w:ascii="宋体"/>
          <w:color w:val="auto"/>
          <w:spacing w:val="6"/>
          <w:sz w:val="32"/>
          <w:szCs w:val="32"/>
          <w:highlight w:val="none"/>
        </w:rPr>
      </w:pPr>
      <w:bookmarkStart w:id="152" w:name="_Toc27084"/>
      <w:bookmarkStart w:id="153" w:name="_Toc8706"/>
      <w:r>
        <w:rPr>
          <w:rFonts w:hint="eastAsia" w:ascii="宋体" w:hAnsi="宋体" w:eastAsia="宋体" w:cs="宋体"/>
          <w:color w:val="auto"/>
          <w:kern w:val="0"/>
          <w:sz w:val="32"/>
          <w:szCs w:val="21"/>
          <w:highlight w:val="none"/>
        </w:rPr>
        <w:t>十九、商务、服务（技术）响应、偏离情况说明表</w:t>
      </w:r>
      <w:bookmarkEnd w:id="152"/>
      <w:bookmarkEnd w:id="153"/>
    </w:p>
    <w:p>
      <w:pPr>
        <w:spacing w:line="300" w:lineRule="auto"/>
        <w:rPr>
          <w:rFonts w:ascii="宋体"/>
          <w:color w:val="auto"/>
          <w:szCs w:val="21"/>
          <w:highlight w:val="none"/>
        </w:rPr>
      </w:pPr>
    </w:p>
    <w:p>
      <w:pPr>
        <w:spacing w:line="500" w:lineRule="exact"/>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p>
    <w:p>
      <w:pPr>
        <w:spacing w:line="50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spacing w:line="500" w:lineRule="exact"/>
        <w:rPr>
          <w:rFonts w:hint="eastAsia" w:asciiTheme="minorEastAsia" w:hAnsiTheme="minorEastAsia" w:eastAsiaTheme="minorEastAsia" w:cstheme="minorEastAsia"/>
          <w:color w:val="auto"/>
          <w:sz w:val="24"/>
          <w:highlight w:val="none"/>
        </w:rPr>
      </w:pPr>
    </w:p>
    <w:tbl>
      <w:tblPr>
        <w:tblStyle w:val="6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竞争性磋商文件要求</w:t>
            </w:r>
          </w:p>
        </w:tc>
        <w:tc>
          <w:tcPr>
            <w:tcW w:w="2945"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竞争性磋商响应文件具体响应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val="en-US" w:eastAsia="zh-CN"/>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服务交付时间及地点</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付款条件</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服务要求</w:t>
            </w: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pPr>
              <w:snapToGrid w:val="0"/>
              <w:spacing w:line="300" w:lineRule="auto"/>
              <w:jc w:val="center"/>
              <w:rPr>
                <w:rFonts w:hint="eastAsia" w:asciiTheme="minorEastAsia" w:hAnsiTheme="minorEastAsia" w:eastAsiaTheme="minorEastAsia" w:cstheme="minorEastAsia"/>
                <w:color w:val="auto"/>
                <w:sz w:val="24"/>
                <w:highlight w:val="none"/>
              </w:rPr>
            </w:pPr>
          </w:p>
        </w:tc>
      </w:tr>
    </w:tbl>
    <w:p>
      <w:pPr>
        <w:snapToGrid w:val="0"/>
        <w:spacing w:line="360" w:lineRule="exact"/>
        <w:rPr>
          <w:rFonts w:hint="eastAsia" w:asciiTheme="minorEastAsia" w:hAnsiTheme="minorEastAsia" w:eastAsiaTheme="minorEastAsia" w:cstheme="minorEastAsia"/>
          <w:color w:val="auto"/>
          <w:sz w:val="24"/>
          <w:highlight w:val="none"/>
        </w:rPr>
      </w:pPr>
    </w:p>
    <w:p>
      <w:pPr>
        <w:snapToGrid w:val="0"/>
        <w:spacing w:line="36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说明：1.应写明竞争性磋商响应文件对商务与服务技术要求的响应和偏离情况</w:t>
      </w:r>
      <w:r>
        <w:rPr>
          <w:rFonts w:hint="eastAsia" w:asciiTheme="minorEastAsia" w:hAnsiTheme="minorEastAsia" w:eastAsiaTheme="minorEastAsia" w:cstheme="minorEastAsia"/>
          <w:bCs/>
          <w:color w:val="auto"/>
          <w:sz w:val="24"/>
          <w:highlight w:val="none"/>
        </w:rPr>
        <w:t>；</w:t>
      </w:r>
    </w:p>
    <w:p>
      <w:pPr>
        <w:spacing w:line="360" w:lineRule="exact"/>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2.应对照竞争性磋商文件“第四部分  采购需求”，逐条说明所提供服务已对竞争性磋商文件的商务、服务、技术要求做出了实质性的响应，并申明与采购项目要求的响应和偏离。特别对有具体商务、服务、技术要求的，磋商供应商必须提供对应的详细应答。如果仅注明“符合”、“满足”或简单复制竞争性磋商文件要求，将导致磋商被拒绝。</w:t>
      </w:r>
    </w:p>
    <w:p>
      <w:pPr>
        <w:spacing w:line="360" w:lineRule="exact"/>
        <w:rPr>
          <w:rFonts w:hint="eastAsia" w:asciiTheme="minorEastAsia" w:hAnsiTheme="minorEastAsia" w:eastAsiaTheme="minorEastAsia" w:cstheme="minorEastAsia"/>
          <w:color w:val="auto"/>
          <w:sz w:val="24"/>
          <w:highlight w:val="none"/>
        </w:rPr>
      </w:pPr>
    </w:p>
    <w:p>
      <w:pPr>
        <w:spacing w:line="360" w:lineRule="exact"/>
        <w:ind w:firstLine="3480" w:firstLineChars="1450"/>
        <w:rPr>
          <w:rFonts w:hint="eastAsia" w:asciiTheme="minorEastAsia" w:hAnsiTheme="minorEastAsia" w:eastAsiaTheme="minorEastAsia" w:cstheme="minorEastAsia"/>
          <w:color w:val="auto"/>
          <w:sz w:val="24"/>
          <w:highlight w:val="none"/>
        </w:rPr>
      </w:pPr>
    </w:p>
    <w:p>
      <w:pPr>
        <w:spacing w:line="360" w:lineRule="exact"/>
        <w:ind w:firstLine="3480" w:firstLineChars="14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法定代表人(负责人)或委托代理人签名: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16"/>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pPr>
        <w:pStyle w:val="116"/>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u w:val="single"/>
        </w:rPr>
        <w:t xml:space="preserve">       </w:t>
      </w:r>
      <w:bookmarkStart w:id="154" w:name="_Toc13302"/>
      <w:bookmarkStart w:id="155" w:name="_Toc32297"/>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日</w:t>
      </w:r>
      <w:bookmarkEnd w:id="154"/>
      <w:bookmarkEnd w:id="155"/>
    </w:p>
    <w:p>
      <w:pPr>
        <w:pStyle w:val="116"/>
        <w:keepNext w:val="0"/>
        <w:pageBreakBefore w:val="0"/>
        <w:tabs>
          <w:tab w:val="clear" w:pos="720"/>
        </w:tabs>
        <w:ind w:firstLine="640"/>
        <w:outlineLvl w:val="9"/>
        <w:rPr>
          <w:rFonts w:hint="eastAsia" w:asciiTheme="minorEastAsia" w:hAnsiTheme="minorEastAsia" w:eastAsiaTheme="minorEastAsia" w:cstheme="minorEastAsia"/>
          <w:color w:val="auto"/>
          <w:sz w:val="24"/>
          <w:szCs w:val="24"/>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二十</w:t>
      </w:r>
      <w:r>
        <w:rPr>
          <w:rFonts w:hint="eastAsia" w:ascii="宋体" w:hAnsi="宋体" w:cs="宋体"/>
          <w:b/>
          <w:color w:val="auto"/>
          <w:kern w:val="0"/>
          <w:sz w:val="32"/>
          <w:szCs w:val="32"/>
          <w:highlight w:val="none"/>
        </w:rPr>
        <w:t>、</w:t>
      </w:r>
      <w:r>
        <w:rPr>
          <w:rFonts w:hint="eastAsia" w:ascii="宋体" w:hAnsi="宋体" w:cs="宋体"/>
          <w:b/>
          <w:bCs/>
          <w:color w:val="auto"/>
          <w:sz w:val="32"/>
          <w:szCs w:val="32"/>
          <w:highlight w:val="none"/>
        </w:rPr>
        <w:t>初始报价表</w:t>
      </w:r>
    </w:p>
    <w:p>
      <w:pPr>
        <w:pStyle w:val="632"/>
        <w:jc w:val="center"/>
        <w:rPr>
          <w:rFonts w:asciiTheme="minorEastAsia" w:hAnsiTheme="minorEastAsia" w:eastAsiaTheme="minorEastAsia"/>
          <w:color w:val="auto"/>
          <w:kern w:val="2"/>
          <w:szCs w:val="24"/>
          <w:highlight w:val="none"/>
        </w:rPr>
      </w:pPr>
      <w:r>
        <w:rPr>
          <w:rFonts w:hint="eastAsia" w:asciiTheme="minorEastAsia" w:hAnsiTheme="minorEastAsia" w:eastAsiaTheme="minorEastAsia"/>
          <w:color w:val="auto"/>
          <w:kern w:val="2"/>
          <w:szCs w:val="24"/>
          <w:highlight w:val="none"/>
        </w:rPr>
        <w:t>（初始报价表格式参照第八部分  最后报价格式）</w:t>
      </w:r>
    </w:p>
    <w:p>
      <w:pPr>
        <w:pStyle w:val="116"/>
        <w:keepNext w:val="0"/>
        <w:pageBreakBefore w:val="0"/>
        <w:tabs>
          <w:tab w:val="clear" w:pos="720"/>
        </w:tabs>
        <w:ind w:firstLine="0"/>
        <w:jc w:val="left"/>
        <w:outlineLvl w:val="9"/>
        <w:rPr>
          <w:rFonts w:hint="eastAsia" w:asciiTheme="minorEastAsia" w:hAnsiTheme="minorEastAsia" w:eastAsiaTheme="minorEastAsia" w:cstheme="minorEastAsia"/>
          <w:color w:val="auto"/>
          <w:sz w:val="24"/>
          <w:szCs w:val="24"/>
          <w:highlight w:val="none"/>
        </w:rPr>
        <w:sectPr>
          <w:headerReference r:id="rId9" w:type="first"/>
          <w:footerReference r:id="rId12" w:type="first"/>
          <w:headerReference r:id="rId8" w:type="default"/>
          <w:footerReference r:id="rId10" w:type="default"/>
          <w:footerReference r:id="rId11" w:type="even"/>
          <w:pgSz w:w="11906" w:h="16838"/>
          <w:pgMar w:top="1247" w:right="1418" w:bottom="1276" w:left="1418" w:header="851" w:footer="992" w:gutter="0"/>
          <w:pgNumType w:fmt="decimal"/>
          <w:cols w:space="720" w:num="1"/>
          <w:titlePg/>
          <w:docGrid w:linePitch="312" w:charSpace="0"/>
        </w:sectPr>
      </w:pPr>
    </w:p>
    <w:p>
      <w:pPr>
        <w:pStyle w:val="394"/>
        <w:ind w:firstLine="0" w:firstLineChars="0"/>
        <w:jc w:val="center"/>
        <w:outlineLvl w:val="0"/>
        <w:rPr>
          <w:rFonts w:hint="eastAsia" w:cs="仿宋_GB2312" w:asciiTheme="minorEastAsia" w:hAnsiTheme="minorEastAsia" w:eastAsiaTheme="minorEastAsia"/>
          <w:b/>
          <w:color w:val="auto"/>
          <w:sz w:val="36"/>
          <w:szCs w:val="36"/>
          <w:highlight w:val="none"/>
        </w:rPr>
      </w:pPr>
      <w:bookmarkStart w:id="156" w:name="_Toc30004"/>
      <w:bookmarkStart w:id="157" w:name="_Toc24801"/>
      <w:r>
        <w:rPr>
          <w:rFonts w:hint="eastAsia" w:cs="仿宋_GB2312" w:asciiTheme="minorEastAsia" w:hAnsiTheme="minorEastAsia" w:eastAsiaTheme="minorEastAsia"/>
          <w:b/>
          <w:color w:val="auto"/>
          <w:sz w:val="36"/>
          <w:szCs w:val="36"/>
          <w:highlight w:val="none"/>
        </w:rPr>
        <w:t>第八部分  最后报价格式</w:t>
      </w:r>
      <w:bookmarkEnd w:id="156"/>
      <w:bookmarkEnd w:id="157"/>
    </w:p>
    <w:p>
      <w:pPr>
        <w:pStyle w:val="632"/>
        <w:jc w:val="center"/>
        <w:rPr>
          <w:rFonts w:hint="eastAsia"/>
          <w:b/>
          <w:color w:val="auto"/>
          <w:sz w:val="32"/>
          <w:szCs w:val="32"/>
          <w:highlight w:val="none"/>
        </w:rPr>
      </w:pPr>
      <w:r>
        <w:rPr>
          <w:rFonts w:hint="eastAsia"/>
          <w:b/>
          <w:color w:val="auto"/>
          <w:sz w:val="32"/>
          <w:szCs w:val="32"/>
          <w:highlight w:val="none"/>
        </w:rPr>
        <w:t>（一）报价一览表</w:t>
      </w:r>
    </w:p>
    <w:p>
      <w:pPr>
        <w:autoSpaceDE w:val="0"/>
        <w:autoSpaceDN w:val="0"/>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kern w:val="0"/>
          <w:sz w:val="24"/>
          <w:highlight w:val="none"/>
          <w:lang w:val="zh-CN"/>
        </w:rPr>
        <w:t>：</w:t>
      </w:r>
    </w:p>
    <w:p>
      <w:pPr>
        <w:spacing w:line="360" w:lineRule="auto"/>
        <w:ind w:firstLine="720"/>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按你方磋商文件要求，</w:t>
      </w:r>
      <w:r>
        <w:rPr>
          <w:rFonts w:hint="eastAsia" w:cs="仿宋_GB2312" w:asciiTheme="minorEastAsia" w:hAnsiTheme="minorEastAsia" w:eastAsiaTheme="minorEastAsia"/>
          <w:color w:val="auto"/>
          <w:sz w:val="24"/>
          <w:highlight w:val="none"/>
        </w:rPr>
        <w:t>我们即</w:t>
      </w:r>
      <w:r>
        <w:rPr>
          <w:rFonts w:hint="eastAsia" w:cs="仿宋_GB2312" w:asciiTheme="minorEastAsia" w:hAnsiTheme="minorEastAsia" w:eastAsiaTheme="minorEastAsia"/>
          <w:color w:val="auto"/>
          <w:kern w:val="0"/>
          <w:sz w:val="24"/>
          <w:highlight w:val="none"/>
          <w:lang w:val="zh-CN"/>
        </w:rPr>
        <w:t>本响应文件签字方，谨此向你方发出要约如下：如你方接受本响应，我方承诺按照如下最后报价一览表的价格完成</w:t>
      </w:r>
      <w:r>
        <w:rPr>
          <w:rFonts w:hint="eastAsia" w:cs="仿宋_GB2312" w:asciiTheme="minorEastAsia" w:hAnsiTheme="minorEastAsia" w:eastAsiaTheme="minorEastAsia"/>
          <w:color w:val="auto"/>
          <w:sz w:val="24"/>
          <w:highlight w:val="none"/>
        </w:rPr>
        <w:t>（项目名称）【项目编号：（采购编号）】</w:t>
      </w:r>
      <w:r>
        <w:rPr>
          <w:rFonts w:hint="eastAsia" w:cs="仿宋_GB2312" w:asciiTheme="minorEastAsia" w:hAnsiTheme="minorEastAsia" w:eastAsiaTheme="minorEastAsia"/>
          <w:color w:val="auto"/>
          <w:kern w:val="0"/>
          <w:sz w:val="24"/>
          <w:highlight w:val="none"/>
          <w:lang w:val="zh-CN"/>
        </w:rPr>
        <w:t>的实施。</w:t>
      </w:r>
    </w:p>
    <w:p>
      <w:pPr>
        <w:snapToGrid w:val="0"/>
        <w:spacing w:line="360" w:lineRule="auto"/>
        <w:ind w:left="480"/>
        <w:jc w:val="center"/>
        <w:rPr>
          <w:rFonts w:hint="eastAsia" w:cs="仿宋_GB2312" w:asciiTheme="minorEastAsia" w:hAnsiTheme="minorEastAsia" w:eastAsiaTheme="minorEastAsia"/>
          <w:b/>
          <w:color w:val="auto"/>
          <w:kern w:val="0"/>
          <w:sz w:val="24"/>
          <w:highlight w:val="none"/>
          <w:lang w:val="zh-CN"/>
        </w:rPr>
      </w:pPr>
      <w:r>
        <w:rPr>
          <w:rFonts w:hint="eastAsia" w:cs="仿宋_GB2312" w:asciiTheme="minorEastAsia" w:hAnsiTheme="minorEastAsia" w:eastAsiaTheme="minorEastAsia"/>
          <w:b/>
          <w:color w:val="auto"/>
          <w:kern w:val="0"/>
          <w:sz w:val="24"/>
          <w:highlight w:val="none"/>
          <w:lang w:val="zh-CN"/>
        </w:rPr>
        <w:t>报价一览表(单位均为人民币元)</w:t>
      </w:r>
    </w:p>
    <w:tbl>
      <w:tblPr>
        <w:tblStyle w:val="6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8"/>
        <w:gridCol w:w="2670"/>
        <w:gridCol w:w="2717"/>
        <w:gridCol w:w="2717"/>
        <w:gridCol w:w="3237"/>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372"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序号</w:t>
            </w:r>
          </w:p>
        </w:tc>
        <w:tc>
          <w:tcPr>
            <w:tcW w:w="857"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服务内容</w:t>
            </w:r>
          </w:p>
        </w:tc>
        <w:tc>
          <w:tcPr>
            <w:tcW w:w="872"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数量</w:t>
            </w:r>
          </w:p>
        </w:tc>
        <w:tc>
          <w:tcPr>
            <w:tcW w:w="872"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单位</w:t>
            </w:r>
          </w:p>
        </w:tc>
        <w:tc>
          <w:tcPr>
            <w:tcW w:w="1039"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金  额</w:t>
            </w:r>
          </w:p>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szCs w:val="24"/>
                <w:highlight w:val="none"/>
              </w:rPr>
              <w:t>（元）</w:t>
            </w:r>
          </w:p>
        </w:tc>
        <w:tc>
          <w:tcPr>
            <w:tcW w:w="985" w:type="pct"/>
            <w:vAlign w:val="center"/>
          </w:tcPr>
          <w:p>
            <w:pPr>
              <w:snapToGrid w:val="0"/>
              <w:spacing w:line="400" w:lineRule="exact"/>
              <w:jc w:val="center"/>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Cs/>
                <w:color w:val="auto"/>
                <w:kern w:val="0"/>
                <w:sz w:val="24"/>
                <w:highlight w:val="none"/>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3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857"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《计算机视觉应用开发》新形态教材建设</w:t>
            </w: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1039"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985" w:type="pct"/>
            <w:vAlign w:val="top"/>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857"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《物联网设备安装与调试》新形态教材建设</w:t>
            </w: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1039"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985" w:type="pct"/>
            <w:vAlign w:val="top"/>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857"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《数据安全与灾备管理》新形态教材建设</w:t>
            </w: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1039"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985" w:type="pct"/>
            <w:vAlign w:val="top"/>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w:t>
            </w:r>
          </w:p>
        </w:tc>
        <w:tc>
          <w:tcPr>
            <w:tcW w:w="857"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《C语言程序设计》课程资源开发</w:t>
            </w: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1039"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985" w:type="pct"/>
            <w:vAlign w:val="top"/>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w:t>
            </w:r>
          </w:p>
        </w:tc>
        <w:tc>
          <w:tcPr>
            <w:tcW w:w="857"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《职业形象与礼仪》东盟国际课程开发</w:t>
            </w: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1039" w:type="pct"/>
            <w:vAlign w:val="center"/>
          </w:tcPr>
          <w:p>
            <w:pPr>
              <w:snapToGrid w:val="0"/>
              <w:spacing w:line="400" w:lineRule="exact"/>
              <w:jc w:val="center"/>
              <w:rPr>
                <w:rFonts w:hint="default" w:asciiTheme="minorEastAsia" w:hAnsiTheme="minorEastAsia" w:eastAsiaTheme="minorEastAsia" w:cstheme="minorEastAsia"/>
                <w:color w:val="auto"/>
                <w:sz w:val="24"/>
                <w:szCs w:val="24"/>
                <w:highlight w:val="none"/>
                <w:lang w:val="en-US" w:eastAsia="zh-CN"/>
              </w:rPr>
            </w:pPr>
          </w:p>
        </w:tc>
        <w:tc>
          <w:tcPr>
            <w:tcW w:w="985" w:type="pct"/>
            <w:vAlign w:val="top"/>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3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w:t>
            </w:r>
          </w:p>
        </w:tc>
        <w:tc>
          <w:tcPr>
            <w:tcW w:w="857"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《桂菜滨海菜制作》东盟国际课程开发</w:t>
            </w: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872"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1039" w:type="pct"/>
            <w:vAlign w:val="center"/>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c>
          <w:tcPr>
            <w:tcW w:w="985" w:type="pct"/>
            <w:vAlign w:val="top"/>
          </w:tcPr>
          <w:p>
            <w:pPr>
              <w:snapToGrid w:val="0"/>
              <w:spacing w:line="400" w:lineRule="exact"/>
              <w:jc w:val="center"/>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000" w:type="pct"/>
            <w:gridSpan w:val="6"/>
            <w:vAlign w:val="center"/>
          </w:tcPr>
          <w:p>
            <w:pPr>
              <w:snapToGrid w:val="0"/>
              <w:spacing w:line="400" w:lineRule="exact"/>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人民币合计金额（大写）：                                 小写金额：</w:t>
            </w:r>
          </w:p>
        </w:tc>
      </w:tr>
    </w:tbl>
    <w:p>
      <w:pPr>
        <w:spacing w:line="360" w:lineRule="auto"/>
        <w:ind w:left="-2" w:leftChars="-1" w:firstLine="480" w:firstLineChars="200"/>
        <w:rPr>
          <w:rFonts w:hint="eastAsia" w:asciiTheme="minorEastAsia" w:hAnsiTheme="minorEastAsia" w:eastAsiaTheme="minorEastAsia" w:cstheme="minorEastAsia"/>
          <w:b/>
          <w:bCs/>
          <w:color w:val="auto"/>
          <w:kern w:val="0"/>
          <w:sz w:val="24"/>
          <w:szCs w:val="24"/>
          <w:highlight w:val="none"/>
          <w:lang w:eastAsia="zh-CN"/>
        </w:rPr>
      </w:pPr>
      <w:r>
        <w:rPr>
          <w:rFonts w:hint="eastAsia" w:cs="仿宋_GB2312" w:asciiTheme="minorEastAsia" w:hAnsiTheme="minorEastAsia" w:eastAsiaTheme="minorEastAsia"/>
          <w:color w:val="auto"/>
          <w:sz w:val="24"/>
          <w:highlight w:val="none"/>
        </w:rPr>
        <w:t>注：</w:t>
      </w:r>
      <w:r>
        <w:rPr>
          <w:rFonts w:hint="eastAsia" w:cs="仿宋_GB2312" w:asciiTheme="minorEastAsia" w:hAnsiTheme="minorEastAsia" w:eastAsiaTheme="minorEastAsia"/>
          <w:b/>
          <w:bCs/>
          <w:color w:val="auto"/>
          <w:kern w:val="0"/>
          <w:sz w:val="24"/>
          <w:highlight w:val="none"/>
          <w:lang w:val="zh-CN"/>
        </w:rPr>
        <w:t>1、报价时均不能超过预算单价，否则响应无效</w:t>
      </w:r>
      <w:r>
        <w:rPr>
          <w:rFonts w:hint="eastAsia" w:asciiTheme="minorEastAsia" w:hAnsiTheme="minorEastAsia" w:eastAsiaTheme="minorEastAsia" w:cstheme="minorEastAsia"/>
          <w:b/>
          <w:bCs/>
          <w:color w:val="auto"/>
          <w:kern w:val="0"/>
          <w:sz w:val="24"/>
          <w:szCs w:val="24"/>
          <w:highlight w:val="none"/>
          <w:lang w:eastAsia="zh-CN"/>
        </w:rPr>
        <w:t>。</w:t>
      </w:r>
    </w:p>
    <w:p>
      <w:pPr>
        <w:spacing w:line="360" w:lineRule="auto"/>
        <w:ind w:left="-2" w:leftChars="-1" w:firstLine="480" w:firstLineChars="200"/>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stheme="minorEastAsia"/>
          <w:b w:val="0"/>
          <w:bCs w:val="0"/>
          <w:color w:val="auto"/>
          <w:kern w:val="0"/>
          <w:sz w:val="24"/>
          <w:szCs w:val="24"/>
          <w:highlight w:val="none"/>
          <w:lang w:val="en-US" w:eastAsia="zh-CN"/>
        </w:rPr>
        <w:t>2、</w:t>
      </w:r>
      <w:r>
        <w:rPr>
          <w:rFonts w:hint="eastAsia" w:cs="宋体" w:asciiTheme="minorEastAsia" w:hAnsiTheme="minorEastAsia" w:eastAsiaTheme="minorEastAsia"/>
          <w:color w:val="auto"/>
          <w:kern w:val="0"/>
          <w:sz w:val="24"/>
          <w:highlight w:val="none"/>
          <w:lang w:val="zh-CN"/>
        </w:rPr>
        <w:t>供应商需按本表格式填写</w:t>
      </w: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响应文件含有采购人不能接受的附加条件，响应无效</w:t>
      </w:r>
      <w:r>
        <w:rPr>
          <w:rFonts w:hint="eastAsia" w:cs="仿宋_GB2312" w:asciiTheme="minorEastAsia" w:hAnsiTheme="minorEastAsia" w:eastAsiaTheme="minorEastAsia"/>
          <w:color w:val="auto"/>
          <w:kern w:val="0"/>
          <w:sz w:val="24"/>
          <w:highlight w:val="none"/>
          <w:lang w:val="zh-CN"/>
        </w:rPr>
        <w:t>。</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3</w:t>
      </w:r>
      <w:r>
        <w:rPr>
          <w:rFonts w:cs="仿宋_GB2312"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kern w:val="0"/>
          <w:sz w:val="24"/>
          <w:highlight w:val="none"/>
          <w:lang w:val="zh-CN"/>
        </w:rPr>
        <w:t>有关本项目实施所涉及的一切费用均计入报价。</w:t>
      </w:r>
      <w:r>
        <w:rPr>
          <w:rFonts w:hint="eastAsia" w:cs="宋体" w:asciiTheme="minorEastAsia" w:hAnsiTheme="minorEastAsia" w:eastAsiaTheme="minorEastAsia"/>
          <w:b/>
          <w:color w:val="auto"/>
          <w:kern w:val="0"/>
          <w:sz w:val="24"/>
          <w:highlight w:val="none"/>
          <w:lang w:val="zh-CN"/>
        </w:rPr>
        <w:t>采购人将以合同形式有偿取得货物或服务，不接受供应商给予的赠品、回扣或者与采购无关的其他商品、服务</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b/>
          <w:color w:val="auto"/>
          <w:kern w:val="0"/>
          <w:sz w:val="24"/>
          <w:highlight w:val="none"/>
          <w:lang w:val="zh-CN"/>
        </w:rPr>
        <w:t>不得出现“0元”“免费赠送”等形式的无偿报价，</w:t>
      </w:r>
      <w:r>
        <w:rPr>
          <w:rFonts w:hint="eastAsia" w:cs="宋体" w:asciiTheme="minorEastAsia" w:hAnsiTheme="minorEastAsia" w:eastAsiaTheme="minorEastAsia"/>
          <w:b/>
          <w:color w:val="auto"/>
          <w:kern w:val="0"/>
          <w:sz w:val="24"/>
          <w:highlight w:val="none"/>
        </w:rPr>
        <w:t>否则视为</w:t>
      </w:r>
      <w:r>
        <w:rPr>
          <w:rFonts w:hint="eastAsia" w:cs="宋体" w:asciiTheme="minorEastAsia" w:hAnsiTheme="minorEastAsia" w:eastAsiaTheme="minorEastAsia"/>
          <w:b/>
          <w:color w:val="auto"/>
          <w:sz w:val="24"/>
          <w:highlight w:val="none"/>
        </w:rPr>
        <w:t>最后报价文件含有采购人不能接受的附加条件，响应无效</w:t>
      </w:r>
      <w:r>
        <w:rPr>
          <w:rFonts w:hint="eastAsia" w:cs="宋体" w:asciiTheme="minorEastAsia" w:hAnsiTheme="minorEastAsia" w:eastAsiaTheme="minorEastAsia"/>
          <w:b/>
          <w:color w:val="auto"/>
          <w:kern w:val="0"/>
          <w:sz w:val="24"/>
          <w:highlight w:val="none"/>
          <w:lang w:val="zh-CN"/>
        </w:rPr>
        <w:t>；采购内容未包含在《最后报价一览表》名称栏中，供应商不能作出合理解释的，</w:t>
      </w:r>
      <w:r>
        <w:rPr>
          <w:rFonts w:hint="eastAsia" w:cs="宋体" w:asciiTheme="minorEastAsia" w:hAnsiTheme="minorEastAsia" w:eastAsiaTheme="minorEastAsia"/>
          <w:b/>
          <w:color w:val="auto"/>
          <w:kern w:val="0"/>
          <w:sz w:val="24"/>
          <w:highlight w:val="none"/>
        </w:rPr>
        <w:t>视为</w:t>
      </w:r>
      <w:r>
        <w:rPr>
          <w:rFonts w:hint="eastAsia" w:cs="宋体" w:asciiTheme="minorEastAsia" w:hAnsiTheme="minorEastAsia" w:eastAsiaTheme="minorEastAsia"/>
          <w:b/>
          <w:color w:val="auto"/>
          <w:sz w:val="24"/>
          <w:highlight w:val="none"/>
        </w:rPr>
        <w:t>响应文件含有采购人不能接受的附加条件的，响应无效。</w:t>
      </w:r>
    </w:p>
    <w:p>
      <w:pPr>
        <w:snapToGrid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、特别提示：采购代理机构将对项目名称和项目编号，成交供应商名称、地址和成交金额，</w:t>
      </w:r>
      <w:r>
        <w:rPr>
          <w:rFonts w:hint="eastAsia" w:cs="宋体" w:asciiTheme="minorEastAsia" w:hAnsiTheme="minorEastAsia" w:eastAsiaTheme="minorEastAsia"/>
          <w:color w:val="auto"/>
          <w:kern w:val="0"/>
          <w:sz w:val="24"/>
          <w:highlight w:val="none"/>
          <w:lang w:val="zh-CN"/>
        </w:rPr>
        <w:t>主要成交标的名称、服务范围、服务要求、服务时间、服务标准等予以公示</w:t>
      </w:r>
      <w:r>
        <w:rPr>
          <w:rFonts w:hint="eastAsia" w:cs="仿宋_GB2312" w:asciiTheme="minorEastAsia" w:hAnsiTheme="minorEastAsia" w:eastAsiaTheme="minorEastAsia"/>
          <w:color w:val="auto"/>
          <w:kern w:val="0"/>
          <w:sz w:val="24"/>
          <w:highlight w:val="none"/>
          <w:lang w:val="zh-CN"/>
        </w:rPr>
        <w:t>。</w:t>
      </w:r>
    </w:p>
    <w:p>
      <w:pPr>
        <w:spacing w:line="360" w:lineRule="auto"/>
        <w:ind w:firstLine="480" w:firstLineChars="200"/>
        <w:rPr>
          <w:rFonts w:cs="仿宋_GB2312" w:asciiTheme="minorEastAsia" w:hAnsiTheme="minorEastAsia" w:eastAsiaTheme="minorEastAsia"/>
          <w:color w:val="auto"/>
          <w:kern w:val="0"/>
          <w:sz w:val="24"/>
          <w:highlight w:val="none"/>
          <w:u w:val="single"/>
          <w:lang w:val="zh-CN"/>
        </w:rPr>
      </w:pPr>
      <w:r>
        <w:rPr>
          <w:rFonts w:hint="eastAsia" w:cs="仿宋_GB2312" w:asciiTheme="minorEastAsia" w:hAnsiTheme="minorEastAsia" w:eastAsiaTheme="minorEastAsia"/>
          <w:color w:val="auto"/>
          <w:kern w:val="0"/>
          <w:sz w:val="24"/>
          <w:szCs w:val="22"/>
          <w:highlight w:val="none"/>
          <w:lang w:val="en-US" w:eastAsia="zh-CN"/>
        </w:rPr>
        <w:t>5</w:t>
      </w:r>
      <w:r>
        <w:rPr>
          <w:rFonts w:cs="仿宋_GB2312" w:asciiTheme="minorEastAsia" w:hAnsiTheme="minorEastAsia" w:eastAsiaTheme="minorEastAsia"/>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符合磋商文件中列明的可享受中小企业扶持政策的供应商，请填写中小企业声明函。注：供应商</w:t>
      </w:r>
      <w:r>
        <w:rPr>
          <w:rFonts w:cs="仿宋_GB2312" w:asciiTheme="minorEastAsia" w:hAnsiTheme="minorEastAsia" w:eastAsiaTheme="minorEastAsia"/>
          <w:color w:val="auto"/>
          <w:kern w:val="0"/>
          <w:sz w:val="24"/>
          <w:highlight w:val="none"/>
          <w:lang w:val="zh-CN"/>
        </w:rPr>
        <w:t>提供</w:t>
      </w:r>
      <w:r>
        <w:rPr>
          <w:rFonts w:hint="eastAsia" w:cs="仿宋_GB2312" w:asciiTheme="minorEastAsia" w:hAnsiTheme="minorEastAsia" w:eastAsiaTheme="minorEastAsia"/>
          <w:color w:val="auto"/>
          <w:kern w:val="0"/>
          <w:sz w:val="24"/>
          <w:highlight w:val="none"/>
          <w:lang w:val="zh-CN"/>
        </w:rPr>
        <w:t>的中小企业</w:t>
      </w:r>
      <w:r>
        <w:rPr>
          <w:rFonts w:cs="仿宋_GB2312" w:asciiTheme="minorEastAsia" w:hAnsiTheme="minorEastAsia" w:eastAsiaTheme="minorEastAsia"/>
          <w:color w:val="auto"/>
          <w:kern w:val="0"/>
          <w:sz w:val="24"/>
          <w:highlight w:val="none"/>
          <w:lang w:val="zh-CN"/>
        </w:rPr>
        <w:t>声明函内容不实的，属于提供虚假材料谋取中标、成交，依照《中华人民共和国政府采购法》等国家有关规定追究相应责任。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6</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lang w:val="zh-CN"/>
        </w:rPr>
        <w:t>符合磋商文件中列明的可享受</w:t>
      </w:r>
      <w:r>
        <w:rPr>
          <w:rFonts w:hint="eastAsia" w:ascii="宋体" w:hAnsi="宋体" w:cs="宋体"/>
          <w:color w:val="auto"/>
          <w:sz w:val="24"/>
          <w:highlight w:val="none"/>
        </w:rPr>
        <w:t>本国产品标准及相关政策</w:t>
      </w:r>
      <w:r>
        <w:rPr>
          <w:rFonts w:hint="eastAsia" w:ascii="宋体" w:hAnsi="宋体" w:cs="宋体"/>
          <w:color w:val="auto"/>
          <w:kern w:val="0"/>
          <w:sz w:val="24"/>
          <w:highlight w:val="none"/>
          <w:lang w:val="zh-CN"/>
        </w:rPr>
        <w:t>的供应商，请填写</w:t>
      </w:r>
      <w:r>
        <w:rPr>
          <w:rFonts w:hint="eastAsia" w:ascii="宋体" w:hAnsi="宋体" w:cs="宋体"/>
          <w:color w:val="auto"/>
          <w:sz w:val="24"/>
          <w:highlight w:val="none"/>
        </w:rPr>
        <w:t>《关于符合本国产品标准的声明函》或出具财政部会同有关部门规定的有关证明文件。当采购项目或者采购包中含有多种产品，</w:t>
      </w:r>
      <w:r>
        <w:rPr>
          <w:rFonts w:hint="eastAsia" w:ascii="宋体" w:hAnsi="宋体" w:cs="宋体"/>
          <w:color w:val="auto"/>
          <w:kern w:val="0"/>
          <w:sz w:val="24"/>
          <w:highlight w:val="none"/>
          <w:lang w:val="zh-CN"/>
        </w:rPr>
        <w:t>供应商还</w:t>
      </w:r>
      <w:r>
        <w:rPr>
          <w:rFonts w:hint="eastAsia" w:ascii="宋体" w:hAnsi="宋体" w:cs="宋体"/>
          <w:color w:val="auto"/>
          <w:sz w:val="24"/>
          <w:highlight w:val="none"/>
        </w:rPr>
        <w:t>应当声明其为该采购项目或者采购包提供的符合本国产品标准的产品成本之和占该供应商提供的全部产品成本之和的比例达到80%以上，提供《关于符合本国产品标准的产品成本之和占所提供的全部产品成本之和的比例达到80%以上的声明函》。</w:t>
      </w:r>
      <w:r>
        <w:rPr>
          <w:rFonts w:hint="eastAsia" w:ascii="宋体" w:hAnsi="宋体" w:cs="宋体"/>
          <w:color w:val="auto"/>
          <w:kern w:val="0"/>
          <w:sz w:val="24"/>
          <w:highlight w:val="none"/>
          <w:lang w:val="zh-CN"/>
        </w:rPr>
        <w:t>注：供应商提供的</w:t>
      </w:r>
      <w:r>
        <w:rPr>
          <w:rFonts w:hint="eastAsia" w:ascii="宋体" w:hAnsi="宋体" w:cs="宋体"/>
          <w:color w:val="auto"/>
          <w:sz w:val="24"/>
          <w:highlight w:val="none"/>
        </w:rPr>
        <w:t>《声明函》</w:t>
      </w:r>
      <w:r>
        <w:rPr>
          <w:rFonts w:hint="eastAsia" w:ascii="宋体" w:hAnsi="宋体" w:cs="宋体"/>
          <w:color w:val="auto"/>
          <w:kern w:val="0"/>
          <w:sz w:val="24"/>
          <w:highlight w:val="none"/>
          <w:lang w:val="zh-CN"/>
        </w:rPr>
        <w:t>内容不实的，属于提供虚假材料谋取中标、成交，依照《中华人民共和国政府采购法》等国家有关规定追究相应责任。</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en-US" w:eastAsia="zh-CN"/>
        </w:rPr>
        <w:t>7</w:t>
      </w:r>
      <w:r>
        <w:rPr>
          <w:rFonts w:hint="eastAsia" w:ascii="宋体" w:hAnsi="宋体" w:cs="宋体"/>
          <w:color w:val="auto"/>
          <w:kern w:val="0"/>
          <w:sz w:val="24"/>
          <w:szCs w:val="22"/>
          <w:highlight w:val="none"/>
          <w:lang w:val="zh-CN"/>
        </w:rPr>
        <w:t>、</w:t>
      </w:r>
      <w:r>
        <w:rPr>
          <w:rFonts w:hint="eastAsia" w:ascii="宋体" w:hAnsi="宋体" w:cs="宋体"/>
          <w:color w:val="auto"/>
          <w:kern w:val="0"/>
          <w:sz w:val="24"/>
          <w:highlight w:val="none"/>
        </w:rPr>
        <w:t>最后报价属于磋商文件规定的政府采购异常低价情形之一，</w:t>
      </w:r>
      <w:r>
        <w:rPr>
          <w:rFonts w:hint="eastAsia" w:ascii="宋体" w:hAnsi="宋体" w:cs="宋体"/>
          <w:color w:val="auto"/>
          <w:kern w:val="0"/>
          <w:sz w:val="24"/>
          <w:highlight w:val="none"/>
          <w:lang w:val="zh-CN"/>
        </w:rPr>
        <w:t>供应商</w:t>
      </w:r>
      <w:r>
        <w:rPr>
          <w:rFonts w:hint="eastAsia" w:ascii="宋体" w:hAnsi="宋体" w:cs="宋体"/>
          <w:color w:val="auto"/>
          <w:kern w:val="0"/>
          <w:sz w:val="24"/>
          <w:highlight w:val="none"/>
        </w:rPr>
        <w:t>应当按照谈判小组的要求提供书面说明、证明材料。</w:t>
      </w:r>
      <w:r>
        <w:rPr>
          <w:rFonts w:hint="eastAsia" w:ascii="宋体" w:hAnsi="宋体" w:cs="宋体"/>
          <w:color w:val="auto"/>
          <w:kern w:val="0"/>
          <w:sz w:val="24"/>
          <w:highlight w:val="none"/>
          <w:lang w:val="zh-CN"/>
        </w:rPr>
        <w:t>供应商</w:t>
      </w:r>
      <w:r>
        <w:rPr>
          <w:rFonts w:hint="eastAsia" w:ascii="宋体" w:hAnsi="宋体" w:cs="宋体"/>
          <w:color w:val="auto"/>
          <w:kern w:val="0"/>
          <w:sz w:val="24"/>
          <w:highlight w:val="none"/>
        </w:rPr>
        <w:t>不能提供书面说明、证明材料，或者提供的书面说明、证明材料不能证明其报价合理性的，谈判无效</w:t>
      </w:r>
      <w:r>
        <w:rPr>
          <w:rFonts w:hint="eastAsia" w:ascii="宋体" w:hAnsi="宋体" w:cs="宋体"/>
          <w:color w:val="auto"/>
          <w:kern w:val="0"/>
          <w:sz w:val="24"/>
          <w:highlight w:val="none"/>
          <w:lang w:val="zh-CN"/>
        </w:rPr>
        <w:t>。</w:t>
      </w:r>
    </w:p>
    <w:p>
      <w:pPr>
        <w:pStyle w:val="56"/>
        <w:autoSpaceDE/>
        <w:autoSpaceDN/>
        <w:ind w:firstLine="482" w:firstLineChars="200"/>
        <w:jc w:val="both"/>
        <w:rPr>
          <w:rFonts w:hint="eastAsia" w:cs="仿宋_GB2312" w:asciiTheme="minorEastAsia" w:hAnsiTheme="minorEastAsia" w:eastAsiaTheme="minorEastAsia"/>
          <w:b w:val="0"/>
          <w:color w:val="auto"/>
          <w:szCs w:val="24"/>
          <w:highlight w:val="none"/>
          <w:lang w:val="zh-CN"/>
        </w:rPr>
      </w:pPr>
      <w:r>
        <w:rPr>
          <w:rFonts w:hint="eastAsia" w:ascii="宋体" w:hAnsi="宋体" w:cs="宋体"/>
          <w:color w:val="auto"/>
          <w:kern w:val="0"/>
          <w:sz w:val="24"/>
          <w:szCs w:val="22"/>
          <w:highlight w:val="none"/>
          <w:lang w:val="en-US" w:eastAsia="zh-CN"/>
        </w:rPr>
        <w:t>8</w:t>
      </w:r>
      <w:r>
        <w:rPr>
          <w:rFonts w:hint="eastAsia" w:ascii="宋体" w:hAnsi="宋体" w:cs="宋体"/>
          <w:color w:val="auto"/>
          <w:kern w:val="0"/>
          <w:sz w:val="24"/>
          <w:szCs w:val="22"/>
          <w:highlight w:val="none"/>
          <w:lang w:val="zh-CN"/>
        </w:rPr>
        <w:t>、</w:t>
      </w:r>
      <w:r>
        <w:rPr>
          <w:rFonts w:hint="eastAsia" w:cs="仿宋_GB2312" w:asciiTheme="minorEastAsia" w:hAnsiTheme="minorEastAsia" w:eastAsiaTheme="minorEastAsia"/>
          <w:color w:val="auto"/>
          <w:kern w:val="0"/>
          <w:sz w:val="24"/>
          <w:highlight w:val="none"/>
          <w:lang w:val="zh-CN"/>
        </w:rPr>
        <w:t>如有多轮报价，则每轮报价</w:t>
      </w:r>
      <w:r>
        <w:rPr>
          <w:rFonts w:hint="eastAsia" w:cs="宋体" w:asciiTheme="minorEastAsia" w:hAnsiTheme="minorEastAsia" w:eastAsiaTheme="minorEastAsia"/>
          <w:color w:val="auto"/>
          <w:kern w:val="0"/>
          <w:sz w:val="24"/>
          <w:highlight w:val="none"/>
          <w:lang w:val="zh-CN"/>
        </w:rPr>
        <w:t>供应商均</w:t>
      </w:r>
      <w:r>
        <w:rPr>
          <w:rFonts w:hint="eastAsia" w:ascii="宋体" w:hAnsi="宋体" w:cs="宋体"/>
          <w:color w:val="auto"/>
          <w:kern w:val="0"/>
          <w:sz w:val="24"/>
          <w:highlight w:val="none"/>
          <w:lang w:val="zh-CN"/>
        </w:rPr>
        <w:t>需按本表格式填写</w:t>
      </w:r>
      <w:r>
        <w:rPr>
          <w:rFonts w:cs="仿宋_GB2312" w:asciiTheme="minorEastAsia" w:hAnsiTheme="minorEastAsia" w:eastAsiaTheme="minorEastAsia"/>
          <w:color w:val="auto"/>
          <w:kern w:val="0"/>
          <w:sz w:val="24"/>
          <w:highlight w:val="none"/>
          <w:lang w:val="zh-CN"/>
        </w:rPr>
        <w:t>。</w:t>
      </w:r>
    </w:p>
    <w:p>
      <w:pPr>
        <w:spacing w:line="360" w:lineRule="auto"/>
        <w:ind w:right="-874" w:rightChars="-416"/>
        <w:rPr>
          <w:rFonts w:hint="eastAsia" w:cs="仿宋_GB2312" w:asciiTheme="minorEastAsia" w:hAnsiTheme="minorEastAsia" w:eastAsiaTheme="minorEastAsia"/>
          <w:color w:val="auto"/>
          <w:sz w:val="24"/>
          <w:highlight w:val="none"/>
        </w:rPr>
      </w:pPr>
    </w:p>
    <w:p>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 xml:space="preserve">磋商供应商名称(公章)： </w:t>
      </w:r>
    </w:p>
    <w:p>
      <w:pPr>
        <w:autoSpaceDE w:val="0"/>
        <w:autoSpaceDN w:val="0"/>
        <w:spacing w:line="360" w:lineRule="auto"/>
        <w:ind w:left="2" w:leftChars="1" w:firstLine="9456" w:firstLineChars="394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pPr>
        <w:spacing w:line="360" w:lineRule="auto"/>
        <w:ind w:left="4620" w:leftChars="2200" w:firstLine="4920" w:firstLineChars="205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pPr>
        <w:spacing w:line="360" w:lineRule="auto"/>
        <w:ind w:right="-874" w:rightChars="-416"/>
        <w:rPr>
          <w:rFonts w:hint="eastAsia" w:cs="仿宋_GB2312" w:asciiTheme="minorEastAsia" w:hAnsiTheme="minorEastAsia" w:eastAsiaTheme="minorEastAsia"/>
          <w:color w:val="auto"/>
          <w:kern w:val="0"/>
          <w:sz w:val="24"/>
          <w:highlight w:val="none"/>
          <w:lang w:val="zh-CN"/>
        </w:rPr>
        <w:sectPr>
          <w:pgSz w:w="16838" w:h="11906" w:orient="landscape"/>
          <w:pgMar w:top="1418" w:right="737" w:bottom="1418" w:left="737" w:header="851" w:footer="992" w:gutter="0"/>
          <w:pgNumType w:fmt="decimal"/>
          <w:cols w:space="720" w:num="1"/>
          <w:titlePg/>
          <w:docGrid w:linePitch="312" w:charSpace="0"/>
        </w:sectPr>
      </w:pPr>
    </w:p>
    <w:p>
      <w:pPr>
        <w:widowControl/>
        <w:adjustRightInd/>
        <w:jc w:val="center"/>
        <w:rPr>
          <w:rFonts w:hint="eastAsia" w:asciiTheme="minorEastAsia" w:hAnsiTheme="minorEastAsia" w:eastAsiaTheme="minorEastAsia"/>
          <w:b/>
          <w:color w:val="auto"/>
          <w:sz w:val="32"/>
          <w:szCs w:val="32"/>
          <w:highlight w:val="none"/>
        </w:rPr>
      </w:pPr>
      <w:r>
        <w:rPr>
          <w:rFonts w:hint="eastAsia" w:asciiTheme="minorEastAsia" w:hAnsiTheme="minorEastAsia" w:eastAsiaTheme="minorEastAsia"/>
          <w:b/>
          <w:color w:val="auto"/>
          <w:sz w:val="32"/>
          <w:szCs w:val="32"/>
          <w:highlight w:val="none"/>
        </w:rPr>
        <w:t>（二）中小企业声明函</w:t>
      </w:r>
      <w:bookmarkStart w:id="158" w:name="_Toc465665161"/>
      <w:r>
        <w:rPr>
          <w:rFonts w:hint="eastAsia" w:asciiTheme="minorEastAsia" w:hAnsiTheme="minorEastAsia" w:eastAsiaTheme="minorEastAsia"/>
          <w:b/>
          <w:color w:val="auto"/>
          <w:sz w:val="32"/>
          <w:szCs w:val="32"/>
          <w:highlight w:val="none"/>
        </w:rPr>
        <w:t>（</w:t>
      </w:r>
      <w:r>
        <w:rPr>
          <w:rFonts w:hint="eastAsia" w:asciiTheme="minorEastAsia" w:hAnsiTheme="minorEastAsia" w:eastAsiaTheme="minorEastAsia"/>
          <w:b/>
          <w:color w:val="auto"/>
          <w:sz w:val="32"/>
          <w:szCs w:val="32"/>
          <w:highlight w:val="none"/>
          <w:lang w:eastAsia="zh-CN"/>
        </w:rPr>
        <w:t>必须提供</w:t>
      </w:r>
      <w:r>
        <w:rPr>
          <w:rFonts w:hint="eastAsia" w:asciiTheme="minorEastAsia" w:hAnsiTheme="minorEastAsia" w:eastAsiaTheme="minorEastAsia"/>
          <w:b/>
          <w:color w:val="auto"/>
          <w:sz w:val="32"/>
          <w:szCs w:val="32"/>
          <w:highlight w:val="none"/>
        </w:rPr>
        <w:t>）</w:t>
      </w:r>
    </w:p>
    <w:p>
      <w:pPr>
        <w:widowControl/>
        <w:spacing w:line="360" w:lineRule="auto"/>
        <w:ind w:firstLine="120" w:firstLineChars="50"/>
        <w:jc w:val="left"/>
        <w:rPr>
          <w:rFonts w:hint="eastAsia" w:cs="宋体" w:asciiTheme="minorEastAsia" w:hAnsiTheme="minorEastAsia" w:eastAsiaTheme="minorEastAsia"/>
          <w:b/>
          <w:color w:val="auto"/>
          <w:sz w:val="24"/>
          <w:highlight w:val="none"/>
        </w:rPr>
      </w:pPr>
    </w:p>
    <w:p>
      <w:pPr>
        <w:widowControl/>
        <w:spacing w:line="360" w:lineRule="auto"/>
        <w:ind w:firstLine="120" w:firstLineChars="50"/>
        <w:jc w:val="left"/>
        <w:rPr>
          <w:rFonts w:hint="eastAsia"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 [</w:t>
      </w:r>
      <w:r>
        <w:rPr>
          <w:rFonts w:hint="eastAsia" w:cs="宋体" w:asciiTheme="minorEastAsia" w:hAnsiTheme="minorEastAsia" w:eastAsiaTheme="minorEastAsia"/>
          <w:b/>
          <w:bCs/>
          <w:color w:val="auto"/>
          <w:sz w:val="24"/>
          <w:highlight w:val="none"/>
        </w:rPr>
        <w:t>竞争性磋商邀请公告</w:t>
      </w:r>
      <w:r>
        <w:rPr>
          <w:rFonts w:hint="eastAsia" w:cs="宋体" w:asciiTheme="minorEastAsia" w:hAnsiTheme="minorEastAsia" w:eastAsiaTheme="minorEastAsia"/>
          <w:b/>
          <w:color w:val="auto"/>
          <w:sz w:val="24"/>
          <w:highlight w:val="none"/>
        </w:rPr>
        <w:t>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cs="宋体" w:asciiTheme="minorEastAsia" w:hAnsiTheme="minorEastAsia" w:eastAsiaTheme="minorEastAsia"/>
          <w:b/>
          <w:color w:val="auto"/>
          <w:sz w:val="24"/>
          <w:highlight w:val="none"/>
        </w:rPr>
        <w:t>5</w:t>
      </w:r>
      <w:r>
        <w:rPr>
          <w:rFonts w:hint="eastAsia" w:cs="宋体" w:asciiTheme="minorEastAsia" w:hAnsiTheme="minorEastAsia" w:eastAsiaTheme="minorEastAsia"/>
          <w:b/>
          <w:color w:val="auto"/>
          <w:sz w:val="24"/>
          <w:highlight w:val="none"/>
        </w:rPr>
        <w:t>）。]</w:t>
      </w:r>
    </w:p>
    <w:p>
      <w:pPr>
        <w:widowControl/>
        <w:adjustRightInd/>
        <w:jc w:val="center"/>
        <w:rPr>
          <w:rFonts w:hint="eastAsia" w:cs="仿宋_GB2312" w:asciiTheme="minorEastAsia" w:hAnsiTheme="minorEastAsia" w:eastAsiaTheme="minorEastAsia"/>
          <w:color w:val="auto"/>
          <w:sz w:val="24"/>
          <w:highlight w:val="none"/>
        </w:rPr>
      </w:pPr>
    </w:p>
    <w:p>
      <w:pPr>
        <w:widowControl/>
        <w:adjustRightInd/>
        <w:jc w:val="left"/>
        <w:rPr>
          <w:rFonts w:hint="eastAsia" w:cs="宋体" w:asciiTheme="minorEastAsia" w:hAnsiTheme="minorEastAsia" w:eastAsiaTheme="minorEastAsia"/>
          <w:b/>
          <w:color w:val="auto"/>
          <w:sz w:val="32"/>
          <w:szCs w:val="32"/>
          <w:highlight w:val="none"/>
        </w:rPr>
      </w:pPr>
      <w:r>
        <w:rPr>
          <w:rFonts w:cs="宋体" w:asciiTheme="minorEastAsia" w:hAnsiTheme="minorEastAsia" w:eastAsiaTheme="minorEastAsia"/>
          <w:b/>
          <w:color w:val="auto"/>
          <w:sz w:val="32"/>
          <w:szCs w:val="32"/>
          <w:highlight w:val="none"/>
        </w:rPr>
        <w:br w:type="page"/>
      </w:r>
    </w:p>
    <w:p>
      <w:pPr>
        <w:pStyle w:val="632"/>
        <w:rPr>
          <w:rFonts w:hint="eastAsia"/>
          <w:color w:val="auto"/>
          <w:highlight w:val="none"/>
        </w:rPr>
      </w:pPr>
      <w:r>
        <w:rPr>
          <w:rFonts w:hint="eastAsia"/>
          <w:color w:val="auto"/>
          <w:highlight w:val="none"/>
        </w:rPr>
        <w:t>附件</w:t>
      </w:r>
      <w:bookmarkEnd w:id="158"/>
    </w:p>
    <w:p>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附件1：质疑函范本及制作说明</w:t>
      </w:r>
    </w:p>
    <w:p>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pPr>
        <w:snapToGrid w:val="0"/>
        <w:spacing w:before="240" w:beforeLines="100"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地址：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pPr>
        <w:snapToGrid w:val="0"/>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pPr>
        <w:snapToGrid w:val="0"/>
        <w:spacing w:line="360" w:lineRule="auto"/>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pPr>
        <w:snapToGrid w:val="0"/>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质疑函制作说明：</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pPr>
        <w:widowControl/>
        <w:spacing w:line="360" w:lineRule="auto"/>
        <w:ind w:firstLine="600" w:firstLineChars="200"/>
        <w:jc w:val="left"/>
        <w:rPr>
          <w:rFonts w:hint="eastAsia" w:cs="仿宋_GB2312" w:asciiTheme="minorEastAsia" w:hAnsiTheme="minorEastAsia" w:eastAsiaTheme="minorEastAsia"/>
          <w:color w:val="auto"/>
          <w:sz w:val="30"/>
          <w:szCs w:val="30"/>
          <w:highlight w:val="none"/>
        </w:rPr>
      </w:pPr>
    </w:p>
    <w:p>
      <w:pPr>
        <w:spacing w:line="360" w:lineRule="auto"/>
        <w:jc w:val="left"/>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附件2：投诉书范本及制作说明</w:t>
      </w:r>
    </w:p>
    <w:p>
      <w:pPr>
        <w:spacing w:line="360" w:lineRule="auto"/>
        <w:jc w:val="center"/>
        <w:rPr>
          <w:rFonts w:hint="eastAsia" w:cs="仿宋_GB2312" w:asciiTheme="minorEastAsia" w:hAnsiTheme="minorEastAsia" w:eastAsiaTheme="minorEastAsia"/>
          <w:b/>
          <w:color w:val="auto"/>
          <w:sz w:val="24"/>
          <w:highlight w:val="none"/>
        </w:rPr>
      </w:pPr>
    </w:p>
    <w:p>
      <w:pPr>
        <w:spacing w:line="360" w:lineRule="auto"/>
        <w:jc w:val="center"/>
        <w:rPr>
          <w:rFonts w:hint="eastAsia"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tabs>
          <w:tab w:val="left" w:pos="6510"/>
        </w:tabs>
        <w:spacing w:line="360" w:lineRule="auto"/>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tabs>
          <w:tab w:val="left" w:pos="6510"/>
        </w:tabs>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pPr>
        <w:spacing w:line="360" w:lineRule="auto"/>
        <w:ind w:firstLine="480" w:firstLineChars="200"/>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ind w:firstLine="360" w:firstLineChars="15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pPr>
        <w:spacing w:line="360" w:lineRule="auto"/>
        <w:rPr>
          <w:rFonts w:hint="eastAsia"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pPr>
        <w:spacing w:line="360" w:lineRule="auto"/>
        <w:rPr>
          <w:rFonts w:hint="eastAsia"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签字(签章)：                   公章：                      </w:t>
      </w:r>
    </w:p>
    <w:p>
      <w:pPr>
        <w:spacing w:line="360" w:lineRule="auto"/>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日期：    </w:t>
      </w:r>
    </w:p>
    <w:p>
      <w:pPr>
        <w:spacing w:line="360" w:lineRule="auto"/>
        <w:rPr>
          <w:rFonts w:hint="eastAsia" w:cs="仿宋_GB2312" w:asciiTheme="minorEastAsia" w:hAnsiTheme="minorEastAsia" w:eastAsiaTheme="minorEastAsia"/>
          <w:b/>
          <w:color w:val="auto"/>
          <w:sz w:val="24"/>
          <w:highlight w:val="none"/>
        </w:rPr>
      </w:pPr>
    </w:p>
    <w:p>
      <w:pPr>
        <w:spacing w:line="360" w:lineRule="auto"/>
        <w:rPr>
          <w:rFonts w:hint="eastAsia" w:cs="仿宋_GB2312" w:asciiTheme="minorEastAsia" w:hAnsiTheme="minorEastAsia" w:eastAsiaTheme="minorEastAsia"/>
          <w:b/>
          <w:color w:val="auto"/>
          <w:sz w:val="24"/>
          <w:highlight w:val="none"/>
        </w:rPr>
      </w:pPr>
    </w:p>
    <w:p>
      <w:pPr>
        <w:spacing w:line="360" w:lineRule="auto"/>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投诉书制作说明：</w:t>
      </w:r>
    </w:p>
    <w:p>
      <w:pPr>
        <w:widowControl/>
        <w:spacing w:line="360" w:lineRule="auto"/>
        <w:ind w:firstLine="480" w:firstLineChars="200"/>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pPr>
        <w:widowControl/>
        <w:spacing w:line="360" w:lineRule="auto"/>
        <w:ind w:firstLine="480" w:firstLineChars="200"/>
        <w:jc w:val="left"/>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pPr>
        <w:widowControl/>
        <w:spacing w:line="360" w:lineRule="auto"/>
        <w:ind w:firstLine="480" w:firstLineChars="200"/>
        <w:jc w:val="left"/>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pPr>
        <w:rPr>
          <w:rFonts w:hint="eastAsia" w:cs="仿宋_GB2312" w:asciiTheme="minorEastAsia" w:hAnsiTheme="minorEastAsia" w:eastAsiaTheme="minorEastAsia"/>
          <w:b/>
          <w:color w:val="auto"/>
          <w:sz w:val="24"/>
          <w:highlight w:val="none"/>
        </w:rPr>
      </w:pPr>
    </w:p>
    <w:p>
      <w:pPr>
        <w:widowControl/>
        <w:adjustRightInd/>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pPr>
        <w:spacing w:line="360" w:lineRule="auto"/>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附件3：</w:t>
      </w:r>
    </w:p>
    <w:p>
      <w:pPr>
        <w:spacing w:line="360" w:lineRule="auto"/>
        <w:rPr>
          <w:rFonts w:hint="eastAsia" w:asciiTheme="minorEastAsia" w:hAnsiTheme="minorEastAsia" w:eastAsiaTheme="minorEastAsia"/>
          <w:b/>
          <w:color w:val="auto"/>
          <w:spacing w:val="6"/>
          <w:sz w:val="32"/>
          <w:szCs w:val="32"/>
          <w:highlight w:val="none"/>
        </w:rPr>
      </w:pPr>
    </w:p>
    <w:p>
      <w:pPr>
        <w:spacing w:line="360" w:lineRule="auto"/>
        <w:jc w:val="center"/>
        <w:rPr>
          <w:rFonts w:hint="eastAsia"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pPr>
        <w:spacing w:line="360" w:lineRule="auto"/>
        <w:rPr>
          <w:rFonts w:hint="eastAsia" w:asciiTheme="minorEastAsia" w:hAnsiTheme="minorEastAsia" w:eastAsiaTheme="minorEastAsia"/>
          <w:b/>
          <w:color w:val="auto"/>
          <w:spacing w:val="6"/>
          <w:sz w:val="30"/>
          <w:szCs w:val="30"/>
          <w:highlight w:val="none"/>
        </w:rPr>
      </w:pPr>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pPr>
        <w:spacing w:line="360" w:lineRule="auto"/>
        <w:ind w:firstLine="480" w:firstLineChars="200"/>
        <w:rPr>
          <w:rFonts w:hint="eastAsia" w:cs="仿宋_GB2312" w:asciiTheme="minorEastAsia" w:hAnsiTheme="minorEastAsia" w:eastAsiaTheme="minorEastAsia"/>
          <w:color w:val="auto"/>
          <w:sz w:val="24"/>
          <w:highlight w:val="none"/>
        </w:rPr>
      </w:pPr>
    </w:p>
    <w:p>
      <w:pPr>
        <w:spacing w:line="360" w:lineRule="auto"/>
        <w:ind w:firstLine="480" w:firstLineChars="200"/>
        <w:rPr>
          <w:rFonts w:hint="eastAsia" w:cs="仿宋_GB2312" w:asciiTheme="minorEastAsia" w:hAnsiTheme="minorEastAsia" w:eastAsiaTheme="minorEastAsia"/>
          <w:color w:val="auto"/>
          <w:sz w:val="24"/>
          <w:highlight w:val="none"/>
        </w:rPr>
      </w:pPr>
    </w:p>
    <w:p>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磋商供应商名称(公章)</w:t>
      </w:r>
      <w:r>
        <w:rPr>
          <w:rFonts w:hint="eastAsia" w:cs="仿宋_GB2312" w:asciiTheme="minorEastAsia" w:hAnsiTheme="minorEastAsia" w:eastAsiaTheme="minorEastAsia"/>
          <w:color w:val="auto"/>
          <w:sz w:val="24"/>
          <w:highlight w:val="none"/>
        </w:rPr>
        <w:t>：</w:t>
      </w:r>
    </w:p>
    <w:p>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 xml:space="preserve">       日  期：</w:t>
      </w:r>
    </w:p>
    <w:p>
      <w:pPr>
        <w:spacing w:line="360" w:lineRule="auto"/>
        <w:ind w:firstLine="480" w:firstLineChars="200"/>
        <w:rPr>
          <w:rFonts w:hint="eastAsia" w:cs="仿宋_GB2312" w:asciiTheme="minorEastAsia" w:hAnsiTheme="minorEastAsia" w:eastAsiaTheme="minorEastAsia"/>
          <w:color w:val="auto"/>
          <w:sz w:val="24"/>
          <w:highlight w:val="none"/>
        </w:rPr>
      </w:pPr>
    </w:p>
    <w:p>
      <w:pPr>
        <w:widowControl/>
        <w:adjustRightInd/>
        <w:jc w:val="left"/>
        <w:rPr>
          <w:rFonts w:hint="eastAsia"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pPr>
        <w:autoSpaceDE w:val="0"/>
        <w:autoSpaceDN w:val="0"/>
        <w:jc w:val="left"/>
        <w:rPr>
          <w:rFonts w:hint="eastAsia"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2"/>
          <w:szCs w:val="32"/>
          <w:highlight w:val="none"/>
        </w:rPr>
        <w:t>附件4：</w:t>
      </w:r>
    </w:p>
    <w:p>
      <w:pPr>
        <w:spacing w:line="360" w:lineRule="auto"/>
        <w:jc w:val="left"/>
        <w:rPr>
          <w:rFonts w:hint="eastAsia" w:cs="仿宋_GB2312" w:asciiTheme="minorEastAsia" w:hAnsiTheme="minorEastAsia" w:eastAsiaTheme="minorEastAsia"/>
          <w:b/>
          <w:color w:val="auto"/>
          <w:sz w:val="24"/>
          <w:highlight w:val="none"/>
        </w:rPr>
      </w:pPr>
    </w:p>
    <w:p>
      <w:pPr>
        <w:autoSpaceDE w:val="0"/>
        <w:autoSpaceDN w:val="0"/>
        <w:jc w:val="center"/>
        <w:rPr>
          <w:rFonts w:hint="eastAsia" w:asciiTheme="minorEastAsia" w:hAnsiTheme="minorEastAsia" w:eastAsiaTheme="minorEastAsia"/>
          <w:b/>
          <w:bCs/>
          <w:color w:val="auto"/>
          <w:sz w:val="32"/>
          <w:szCs w:val="32"/>
          <w:highlight w:val="none"/>
        </w:rPr>
      </w:pPr>
      <w:r>
        <w:rPr>
          <w:rFonts w:hint="eastAsia" w:asciiTheme="minorEastAsia" w:hAnsiTheme="minorEastAsia" w:eastAsiaTheme="minorEastAsia"/>
          <w:b/>
          <w:bCs/>
          <w:color w:val="auto"/>
          <w:sz w:val="32"/>
          <w:szCs w:val="32"/>
          <w:highlight w:val="none"/>
        </w:rPr>
        <w:t>业务专用章使用说明函</w:t>
      </w:r>
    </w:p>
    <w:p>
      <w:pPr>
        <w:autoSpaceDE w:val="0"/>
        <w:autoSpaceDN w:val="0"/>
        <w:jc w:val="center"/>
        <w:rPr>
          <w:rFonts w:hint="eastAsia" w:asciiTheme="minorEastAsia" w:hAnsiTheme="minorEastAsia" w:eastAsiaTheme="minorEastAsia"/>
          <w:b/>
          <w:bCs/>
          <w:color w:val="auto"/>
          <w:sz w:val="32"/>
          <w:szCs w:val="32"/>
          <w:highlight w:val="none"/>
        </w:rPr>
      </w:pPr>
    </w:p>
    <w:p>
      <w:pPr>
        <w:spacing w:line="360" w:lineRule="auto"/>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（采购人）、（采购代理机构）：</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我方</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w:t>
      </w:r>
      <w:r>
        <w:rPr>
          <w:rFonts w:hint="eastAsia" w:asciiTheme="minorEastAsia" w:hAnsiTheme="minorEastAsia" w:eastAsiaTheme="minorEastAsia"/>
          <w:color w:val="auto"/>
          <w:sz w:val="24"/>
          <w:highlight w:val="none"/>
        </w:rPr>
        <w:t>是中华人民共和国依法登记注册的合法企业，</w:t>
      </w:r>
      <w:r>
        <w:rPr>
          <w:rFonts w:hint="eastAsia" w:cs="宋体" w:asciiTheme="minorEastAsia" w:hAnsiTheme="minorEastAsia" w:eastAsiaTheme="minorEastAsia"/>
          <w:bCs/>
          <w:color w:val="auto"/>
          <w:sz w:val="24"/>
          <w:highlight w:val="none"/>
        </w:rPr>
        <w:t>在参加</w:t>
      </w:r>
      <w:r>
        <w:rPr>
          <w:rFonts w:hint="eastAsia" w:cs="仿宋_GB2312" w:asciiTheme="minorEastAsia" w:hAnsiTheme="minorEastAsia" w:eastAsiaTheme="minorEastAsia"/>
          <w:color w:val="auto"/>
          <w:sz w:val="24"/>
          <w:highlight w:val="none"/>
        </w:rPr>
        <w:t>贵方组织的（项目名称）【项目编号：（采购编号）】</w:t>
      </w:r>
      <w:r>
        <w:rPr>
          <w:rFonts w:hint="eastAsia" w:cs="宋体" w:asciiTheme="minorEastAsia" w:hAnsiTheme="minorEastAsia" w:eastAsiaTheme="minorEastAsia"/>
          <w:bCs/>
          <w:color w:val="auto"/>
          <w:sz w:val="24"/>
          <w:highlight w:val="none"/>
        </w:rPr>
        <w:t>采购活动中作如下说明：</w:t>
      </w:r>
      <w:r>
        <w:rPr>
          <w:rFonts w:hint="eastAsia" w:cs="宋体" w:asciiTheme="minorEastAsia" w:hAnsiTheme="minorEastAsia" w:eastAsiaTheme="minorEastAsia"/>
          <w:color w:val="auto"/>
          <w:sz w:val="24"/>
          <w:highlight w:val="none"/>
        </w:rPr>
        <w:t>我方所使用的“</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专用章”与法定名称章具有同等的法律效力，对使用“</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 xml:space="preserve">专用章”的行为予以完全承认，并愿意承担相应责任。   </w:t>
      </w:r>
    </w:p>
    <w:p>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特此说明。</w:t>
      </w: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firstLine="494"/>
        <w:rPr>
          <w:rFonts w:hint="eastAsia" w:cs="宋体" w:asciiTheme="minorEastAsia" w:hAnsiTheme="minorEastAsia" w:eastAsiaTheme="minorEastAsia"/>
          <w:color w:val="auto"/>
          <w:sz w:val="24"/>
          <w:highlight w:val="none"/>
        </w:rPr>
      </w:pPr>
    </w:p>
    <w:p>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供应商（法定名称章）：</w:t>
      </w:r>
    </w:p>
    <w:p>
      <w:pPr>
        <w:spacing w:line="360" w:lineRule="auto"/>
        <w:ind w:right="482" w:firstLine="4080" w:firstLineChars="17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日期：       年     月     日</w:t>
      </w:r>
    </w:p>
    <w:p>
      <w:pPr>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b/>
          <w:bCs/>
          <w:color w:val="auto"/>
          <w:sz w:val="24"/>
          <w:highlight w:val="none"/>
        </w:rPr>
        <w:t>附：</w:t>
      </w:r>
    </w:p>
    <w:p>
      <w:pPr>
        <w:spacing w:line="360" w:lineRule="auto"/>
        <w:rPr>
          <w:rFonts w:hint="eastAsia" w:asciiTheme="minorEastAsia" w:hAnsiTheme="minorEastAsia" w:eastAsiaTheme="minorEastAsia"/>
          <w:bCs/>
          <w:color w:val="auto"/>
          <w:sz w:val="24"/>
          <w:highlight w:val="none"/>
        </w:rPr>
      </w:pPr>
      <w:r>
        <w:rPr>
          <w:rFonts w:asciiTheme="minorEastAsia" w:hAnsiTheme="minorEastAsia" w:eastAsiaTheme="minorEastAsia"/>
          <w:color w:val="auto"/>
          <w:highlight w:val="none"/>
        </w:rPr>
        <mc:AlternateContent>
          <mc:Choice Requires="wps">
            <w:drawing>
              <wp:anchor distT="0" distB="0" distL="114300" distR="114300" simplePos="0" relativeHeight="251684864" behindDoc="1" locked="0" layoutInCell="1" allowOverlap="1">
                <wp:simplePos x="0" y="0"/>
                <wp:positionH relativeFrom="column">
                  <wp:posOffset>3034030</wp:posOffset>
                </wp:positionH>
                <wp:positionV relativeFrom="paragraph">
                  <wp:posOffset>356235</wp:posOffset>
                </wp:positionV>
                <wp:extent cx="2704465" cy="2253615"/>
                <wp:effectExtent l="13970" t="7620" r="5715" b="5715"/>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316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uZsmJTQCAAByBAAADgAAAGRycy9lMm9Eb2MueG1srVTB&#10;jtMwEL0j8Q+W7zRtaLts1HS1alWEtMBKCx/gOk5jYXvM2G1afgaJGx/B5yB+g4nTLd2Fwx7IwfJ4&#10;xs/z3sxkdrW3hu0UBg2u5KPBkDPlJFTabUr+8cPqxSvOQhSuEgacKvlBBX41f/5s1vpC5dCAqRQy&#10;AnGhaH3Jmxh9kWVBNsqKMACvHDlrQCsimbjJKhQtoVuT5cPhNGsBK48gVQh0uuyd/IiITwGEutZS&#10;LUFurXKxR0VlRCRKodE+8HnKtq6VjO/rOqjITMmJaUwrPUL7dbdm85koNih8o+UxBfGUFB5xskI7&#10;evQEtRRRsC3qv6CslggB6jiQYLOeSFKEWIyGj7S5a4RXiQtJHfxJ9PD/YOW73S0yXVEnUN2dsFTx&#10;X1+///zxjdEBqdP6UFDQnb/Fjl/wNyA/BeZg0Qi3UdeI0DZKVJTTqIvPHlzojEBX2bp9CxVhi22E&#10;JNS+RtsBkgRsn+pxONVD7SOTdJhfDMfj6YQzSb48n7ycjibpDVHcX/cY4msFlnWbkiMVPMGL3U2I&#10;XTqiuA9J6YPR1UobkwzcrBcG2U5Qc6zSd0QP52HGsbbkl5N8kpAf+MI5xDB9/4KwOtLMGG2JxnmQ&#10;cUfBOo16rddQHUgvhL5VaVBp0wB+4aylNi15+LwVqDgzbxxpfjkaj7u+TsZ4cpGTgeee9blHOElQ&#10;JY+c9dtF7Gdh61FvGnpplDg6uKY61Top2NWwz+qYLLViEvY4Nl2vn9sp6s+vYv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9ZAPP9gAAAAKAQAADwAAAAAAAAABACAAAAAiAAAAZHJzL2Rvd25yZXYu&#10;eG1sUEsBAhQAFAAAAAgAh07iQLmbJiU0AgAAcgQAAA4AAAAAAAAAAQAgAAAAJwEAAGRycy9lMm9E&#10;b2MueG1sUEsFBgAAAAAGAAYAWQEAAM0FAAAAAA==&#10;">
                <v:fill on="t" focussize="0,0"/>
                <v:stroke color="#000000" miterlimit="2" joinstyle="miter"/>
                <v:imagedata o:title=""/>
                <o:lock v:ext="edit" aspectratio="f"/>
              </v:rect>
            </w:pict>
          </mc:Fallback>
        </mc:AlternateContent>
      </w:r>
      <w:r>
        <w:rPr>
          <w:rFonts w:asciiTheme="minorEastAsia" w:hAnsiTheme="minorEastAsia" w:eastAsiaTheme="minorEastAsia"/>
          <w:color w:val="auto"/>
          <w:highlight w:val="none"/>
        </w:rPr>
        <mc:AlternateContent>
          <mc:Choice Requires="wps">
            <w:drawing>
              <wp:anchor distT="0" distB="0" distL="114300" distR="114300" simplePos="0" relativeHeight="251683840" behindDoc="1" locked="0" layoutInCell="1" allowOverlap="1">
                <wp:simplePos x="0" y="0"/>
                <wp:positionH relativeFrom="column">
                  <wp:posOffset>-91440</wp:posOffset>
                </wp:positionH>
                <wp:positionV relativeFrom="paragraph">
                  <wp:posOffset>384810</wp:posOffset>
                </wp:positionV>
                <wp:extent cx="2647950" cy="2253615"/>
                <wp:effectExtent l="12700" t="7620" r="6350" b="57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2pt;margin-top:30.3pt;height:177.45pt;width:208.5pt;z-index:-251632640;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Y9QhvDECAABwBAAADgAAAGRycy9lMm9Eb2MueG1srVTB&#10;jtMwEL0j8Q+W7zRtaLu0arpatSpCWmClhQ9wHaexsD1m7DYtP4PEjY/gcxC/wcRpS3fhsAdyiDyZ&#10;8fN7b8aZXe+tYTuFQYMr+KDX50w5CaV2m4J//LB68YqzEIUrhQGnCn5QgV/Pnz+bNX6qcqjBlAoZ&#10;gbgwbXzB6xj9NMuCrJUVoQdeOUpWgFZECnGTlSgaQrcmy/v9cdYAlh5BqhDo67JL8iMiPgUQqkpL&#10;tQS5tcrFDhWVEZEkhVr7wOeJbVUpGd9XVVCRmYKT0pjedAit1+07m8/EdIPC11oeKYinUHikyQrt&#10;6NAz1FJEwbao/4KyWiIEqGJPgs06IckRUjHoP/LmvhZeJS1kdfBn08P/g5XvdnfIdEmTwJkTlhr+&#10;6+v3nz++sUHrTePDlEru/R226oK/BfkpMAeLWriNukGEplaiJEapPnuwoQ0CbWXr5i2UBC22EZJN&#10;+wptC0gGsH3qxuHcDbWPTNLHfDy8moyoUZJyeT56OR6MWk6ZmJ62ewzxtQLL2kXBkdqd4MXuNsSu&#10;9FSS6IPR5UobkwLcrBcG2U7QaKzSc0QPl2XGsabgk1E+SsgPcuESop+ef0FYHenGGG1JxmWRcSTm&#10;5FHn9RrKA/mF0A0qXVNa1IBfOGtoSAsePm8FKs7MG0eeTwbDYTvVKRiOrnIK8DKzvswIJwmq4JGz&#10;brmI3U3YetSbmk4aJI0ObqhPlU4Otvw6VkeyNIipB8dL0076ZZyq/vwo5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YxHptgAAAAKAQAADwAAAAAAAAABACAAAAAiAAAAZHJzL2Rvd25yZXYueG1s&#10;UEsBAhQAFAAAAAgAh07iQGPUIbwxAgAAcAQAAA4AAAAAAAAAAQAgAAAAJwEAAGRycy9lMm9Eb2Mu&#10;eG1sUEsFBgAAAAAGAAYAWQEAAMoFAAAAAA==&#10;">
                <v:fill on="t" focussize="0,0"/>
                <v:stroke color="#000000" miterlimit="2" joinstyle="miter"/>
                <v:imagedata o:title=""/>
                <o:lock v:ext="edit" aspectratio="f"/>
              </v:rect>
            </w:pict>
          </mc:Fallback>
        </mc:AlternateContent>
      </w:r>
      <w:r>
        <w:rPr>
          <w:rFonts w:hint="eastAsia" w:cs="宋体" w:asciiTheme="minorEastAsia" w:hAnsiTheme="minorEastAsia" w:eastAsiaTheme="minorEastAsia"/>
          <w:color w:val="auto"/>
          <w:sz w:val="24"/>
          <w:highlight w:val="none"/>
        </w:rPr>
        <w:t>供应商法定名称章（印模）                供应商“</w:t>
      </w:r>
      <w:r>
        <w:rPr>
          <w:rFonts w:hint="eastAsia" w:cs="仿宋_GB2312" w:asciiTheme="minorEastAsia" w:hAnsiTheme="minorEastAsia" w:eastAsiaTheme="minorEastAsia"/>
          <w:color w:val="auto"/>
          <w:sz w:val="24"/>
          <w:highlight w:val="none"/>
        </w:rPr>
        <w:t>XX</w:t>
      </w:r>
      <w:r>
        <w:rPr>
          <w:rFonts w:hint="eastAsia" w:cs="宋体" w:asciiTheme="minorEastAsia" w:hAnsiTheme="minorEastAsia" w:eastAsiaTheme="minorEastAsia"/>
          <w:color w:val="auto"/>
          <w:sz w:val="24"/>
          <w:highlight w:val="none"/>
        </w:rPr>
        <w:t>专用章”（印模）</w:t>
      </w:r>
    </w:p>
    <w:p>
      <w:pPr>
        <w:widowControl/>
        <w:spacing w:line="360" w:lineRule="auto"/>
        <w:ind w:firstLine="480" w:firstLineChars="200"/>
        <w:jc w:val="left"/>
        <w:rPr>
          <w:rFonts w:hint="eastAsia" w:cs="宋体" w:asciiTheme="minorEastAsia" w:hAnsiTheme="minorEastAsia" w:eastAsiaTheme="minorEastAsia"/>
          <w:color w:val="auto"/>
          <w:kern w:val="0"/>
          <w:sz w:val="24"/>
          <w:highlight w:val="none"/>
        </w:rPr>
      </w:pPr>
    </w:p>
    <w:p>
      <w:pPr>
        <w:snapToGrid w:val="0"/>
        <w:spacing w:line="360" w:lineRule="auto"/>
        <w:jc w:val="center"/>
        <w:rPr>
          <w:rFonts w:hint="eastAsia" w:cs="仿宋_GB2312" w:asciiTheme="minorEastAsia" w:hAnsiTheme="minorEastAsia" w:eastAsiaTheme="minorEastAsia"/>
          <w:b/>
          <w:color w:val="auto"/>
          <w:sz w:val="24"/>
          <w:highlight w:val="none"/>
        </w:rPr>
      </w:pPr>
    </w:p>
    <w:p>
      <w:pPr>
        <w:widowControl/>
        <w:adjustRightInd/>
        <w:jc w:val="left"/>
        <w:rPr>
          <w:rFonts w:hint="eastAsia" w:cs="仿宋_GB2312" w:asciiTheme="minorEastAsia" w:hAnsiTheme="minorEastAsia" w:eastAsiaTheme="minorEastAsia"/>
          <w:b/>
          <w:color w:val="auto"/>
          <w:sz w:val="24"/>
          <w:highlight w:val="none"/>
        </w:rPr>
      </w:pPr>
      <w:r>
        <w:rPr>
          <w:rFonts w:cs="仿宋_GB2312" w:asciiTheme="minorEastAsia" w:hAnsiTheme="minorEastAsia" w:eastAsiaTheme="minorEastAsia"/>
          <w:b/>
          <w:color w:val="auto"/>
          <w:sz w:val="24"/>
          <w:highlight w:val="none"/>
        </w:rPr>
        <w:br w:type="page"/>
      </w:r>
    </w:p>
    <w:p>
      <w:pPr>
        <w:autoSpaceDE w:val="0"/>
        <w:autoSpaceDN w:val="0"/>
        <w:jc w:val="left"/>
        <w:rPr>
          <w:rFonts w:hint="eastAsia" w:cs="仿宋_GB2312"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szCs w:val="32"/>
          <w:highlight w:val="none"/>
        </w:rPr>
        <w:t>附件5：</w:t>
      </w:r>
    </w:p>
    <w:p>
      <w:pPr>
        <w:spacing w:line="360" w:lineRule="auto"/>
        <w:jc w:val="center"/>
        <w:rPr>
          <w:rFonts w:hint="eastAsia" w:cs="宋体" w:asciiTheme="minorEastAsia" w:hAnsiTheme="minorEastAsia" w:eastAsiaTheme="minorEastAsia"/>
          <w:b/>
          <w:color w:val="auto"/>
          <w:sz w:val="32"/>
          <w:szCs w:val="32"/>
          <w:highlight w:val="none"/>
        </w:rPr>
      </w:pPr>
    </w:p>
    <w:p>
      <w:pPr>
        <w:adjustRightInd/>
        <w:spacing w:line="360" w:lineRule="auto"/>
        <w:jc w:val="cente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pPr>
        <w:spacing w:line="360" w:lineRule="auto"/>
        <w:jc w:val="center"/>
        <w:rPr>
          <w:rFonts w:hint="eastAsia" w:cs="宋体" w:asciiTheme="minorEastAsia" w:hAnsiTheme="minorEastAsia" w:eastAsiaTheme="minorEastAsia"/>
          <w:b/>
          <w:color w:val="auto"/>
          <w:sz w:val="32"/>
          <w:szCs w:val="32"/>
          <w:highlight w:val="none"/>
        </w:rPr>
      </w:pPr>
    </w:p>
    <w:p>
      <w:pPr>
        <w:spacing w:line="360" w:lineRule="auto"/>
        <w:ind w:firstLine="360" w:firstLineChars="15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；承建（承接）企业为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pPr>
        <w:spacing w:line="360" w:lineRule="auto"/>
        <w:ind w:firstLine="480" w:firstLineChars="200"/>
        <w:jc w:val="left"/>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pPr>
        <w:spacing w:line="360" w:lineRule="auto"/>
        <w:ind w:right="1760"/>
        <w:jc w:val="right"/>
        <w:rPr>
          <w:rFonts w:hint="eastAsia" w:cs="宋体"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磋商供应商名称(公章)</w:t>
      </w:r>
      <w:r>
        <w:rPr>
          <w:rFonts w:hint="eastAsia" w:cs="宋体" w:asciiTheme="minorEastAsia" w:hAnsiTheme="minorEastAsia" w:eastAsiaTheme="minorEastAsia"/>
          <w:color w:val="auto"/>
          <w:sz w:val="24"/>
          <w:highlight w:val="none"/>
        </w:rPr>
        <w:t>：</w:t>
      </w:r>
    </w:p>
    <w:p>
      <w:pPr>
        <w:spacing w:line="360" w:lineRule="auto"/>
        <w:ind w:right="1120" w:firstLine="4680" w:firstLineChars="195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日 期：</w:t>
      </w:r>
    </w:p>
    <w:p>
      <w:pPr>
        <w:spacing w:line="360" w:lineRule="auto"/>
        <w:ind w:right="42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注：</w:t>
      </w:r>
    </w:p>
    <w:p>
      <w:pPr>
        <w:spacing w:line="360" w:lineRule="auto"/>
        <w:ind w:right="420"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pPr>
        <w:spacing w:line="360" w:lineRule="auto"/>
        <w:ind w:right="420" w:firstLine="720" w:firstLineChars="3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pPr>
        <w:spacing w:line="360" w:lineRule="auto"/>
        <w:rPr>
          <w:rFonts w:hint="eastAsia" w:cs="仿宋_GB2312" w:asciiTheme="minorEastAsia" w:hAnsiTheme="minorEastAsia" w:eastAsiaTheme="minorEastAsia"/>
          <w:b/>
          <w:color w:val="auto"/>
          <w:sz w:val="24"/>
          <w:highlight w:val="none"/>
        </w:rPr>
      </w:pPr>
    </w:p>
    <w:p>
      <w:pPr>
        <w:snapToGrid w:val="0"/>
        <w:spacing w:line="360" w:lineRule="auto"/>
        <w:jc w:val="left"/>
        <w:rPr>
          <w:rFonts w:ascii="宋体" w:hAnsi="宋体" w:cs="宋体"/>
          <w:b/>
          <w:color w:val="auto"/>
          <w:kern w:val="0"/>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ascii="宋体" w:hAnsi="宋体" w:cs="宋体"/>
          <w:b/>
          <w:color w:val="auto"/>
          <w:kern w:val="0"/>
          <w:sz w:val="32"/>
          <w:szCs w:val="32"/>
          <w:highlight w:val="none"/>
        </w:rPr>
        <w:t>附件6：关于符合本国产品标准的声明函</w:t>
      </w:r>
    </w:p>
    <w:p>
      <w:pPr>
        <w:spacing w:line="360" w:lineRule="auto"/>
        <w:jc w:val="center"/>
        <w:rPr>
          <w:rFonts w:ascii="宋体" w:hAnsi="宋体" w:cs="宋体"/>
          <w:color w:val="auto"/>
          <w:sz w:val="24"/>
          <w:highlight w:val="none"/>
          <w:u w:val="singl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关于符合本国产品标准的声明函</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本公司（单位）郑重声明，根据《国务院办公厅关于在政府采购中实施本国产品标准及相关政策的通知》（国办发〔2025〕34号）的规定，本公司（单位）提供的以下产品属于本国产品。具体情况如下：</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（产品名称1）</w:t>
      </w:r>
      <w:r>
        <w:rPr>
          <w:rFonts w:hint="eastAsia" w:ascii="宋体" w:hAnsi="宋体" w:cs="宋体"/>
          <w:color w:val="auto"/>
          <w:sz w:val="24"/>
          <w:highlight w:val="none"/>
        </w:rPr>
        <w:t>1，生产厂为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2，厂址为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3。</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4在中国境内生产。</w:t>
      </w:r>
      <w:r>
        <w:rPr>
          <w:rFonts w:hint="eastAsia" w:ascii="宋体" w:hAnsi="宋体" w:cs="宋体"/>
          <w:color w:val="auto"/>
          <w:sz w:val="24"/>
          <w:highlight w:val="none"/>
          <w:u w:val="single"/>
        </w:rPr>
        <w:t>（产品名称1）</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5在中国境内完成。</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，生产厂为</w:t>
      </w:r>
      <w:r>
        <w:rPr>
          <w:rFonts w:hint="eastAsia" w:ascii="宋体" w:hAnsi="宋体" w:cs="宋体"/>
          <w:color w:val="auto"/>
          <w:sz w:val="24"/>
          <w:highlight w:val="none"/>
          <w:u w:val="single"/>
        </w:rPr>
        <w:t>（厂名）</w:t>
      </w:r>
      <w:r>
        <w:rPr>
          <w:rFonts w:hint="eastAsia" w:ascii="宋体" w:hAnsi="宋体" w:cs="宋体"/>
          <w:color w:val="auto"/>
          <w:sz w:val="24"/>
          <w:highlight w:val="none"/>
        </w:rPr>
        <w:t>，厂址为</w:t>
      </w:r>
      <w:r>
        <w:rPr>
          <w:rFonts w:hint="eastAsia" w:ascii="宋体" w:hAnsi="宋体" w:cs="宋体"/>
          <w:color w:val="auto"/>
          <w:sz w:val="24"/>
          <w:highlight w:val="none"/>
          <w:u w:val="single"/>
        </w:rPr>
        <w:t>（生产厂址）</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的中国境内生产的组件成本占比≥</w:t>
      </w:r>
      <w:r>
        <w:rPr>
          <w:rFonts w:hint="eastAsia" w:ascii="宋体" w:hAnsi="宋体" w:cs="宋体"/>
          <w:color w:val="auto"/>
          <w:sz w:val="24"/>
          <w:highlight w:val="none"/>
          <w:u w:val="single"/>
        </w:rPr>
        <w:t>（规定比例）</w:t>
      </w:r>
      <w:r>
        <w:rPr>
          <w:rFonts w:hint="eastAsia" w:ascii="宋体" w:hAnsi="宋体" w:cs="宋体"/>
          <w:color w:val="auto"/>
          <w:sz w:val="24"/>
          <w:highlight w:val="none"/>
        </w:rPr>
        <w:t>。</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（关键组件）</w:t>
      </w:r>
      <w:r>
        <w:rPr>
          <w:rFonts w:hint="eastAsia" w:ascii="宋体" w:hAnsi="宋体" w:cs="宋体"/>
          <w:color w:val="auto"/>
          <w:sz w:val="24"/>
          <w:highlight w:val="none"/>
        </w:rPr>
        <w:t>在中国境内生产。</w:t>
      </w:r>
      <w:r>
        <w:rPr>
          <w:rFonts w:hint="eastAsia" w:ascii="宋体" w:hAnsi="宋体" w:cs="宋体"/>
          <w:color w:val="auto"/>
          <w:sz w:val="24"/>
          <w:highlight w:val="none"/>
          <w:u w:val="single"/>
        </w:rPr>
        <w:t>（产品名称2）</w:t>
      </w:r>
      <w:r>
        <w:rPr>
          <w:rFonts w:hint="eastAsia" w:ascii="宋体" w:hAnsi="宋体" w:cs="宋体"/>
          <w:color w:val="auto"/>
          <w:sz w:val="24"/>
          <w:highlight w:val="none"/>
        </w:rPr>
        <w:t>的</w:t>
      </w:r>
      <w:r>
        <w:rPr>
          <w:rFonts w:hint="eastAsia" w:ascii="宋体" w:hAnsi="宋体" w:cs="宋体"/>
          <w:color w:val="auto"/>
          <w:sz w:val="24"/>
          <w:highlight w:val="none"/>
          <w:u w:val="single"/>
        </w:rPr>
        <w:t>（关键工序）</w:t>
      </w:r>
      <w:r>
        <w:rPr>
          <w:rFonts w:hint="eastAsia" w:ascii="宋体" w:hAnsi="宋体" w:cs="宋体"/>
          <w:color w:val="auto"/>
          <w:sz w:val="24"/>
          <w:highlight w:val="none"/>
        </w:rPr>
        <w:t>在中国境内完成。</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1.产品如有型号，请在“产品名称”栏一并填写。</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2.生产厂名与厂址应与生产厂营业执照载明的相关信息保持一致。</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3.该产品的中国境内生产的组件成本占比相关要求实施前，“规定比例”栏可不填，下同。</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4.该产品的关键组件要求实施前，“关键组件”栏可不填，下同。</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5.该产品的关键工序要求实施前，“关键工序”栏可不填，下同。</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p>
    <w:p>
      <w:pPr>
        <w:snapToGrid w:val="0"/>
        <w:spacing w:line="360" w:lineRule="auto"/>
        <w:jc w:val="left"/>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附件7：关于符合本国产品标准的产品成本之和占提供的全部产品成本之和的比例达到80%以上的声明函</w:t>
      </w:r>
    </w:p>
    <w:p>
      <w:pPr>
        <w:spacing w:line="360" w:lineRule="auto"/>
        <w:jc w:val="center"/>
        <w:rPr>
          <w:rFonts w:ascii="宋体" w:hAnsi="宋体" w:cs="宋体"/>
          <w:b/>
          <w:color w:val="auto"/>
          <w:sz w:val="32"/>
          <w:szCs w:val="32"/>
          <w:highlight w:val="none"/>
        </w:rPr>
      </w:pP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关于符合本国产品标准的产品成本之和占所提供的全部产品成本之和的比例达到80%以上的声明函</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本公司（单位）郑重声明，根据《国务院办公厅关于在政府采购中实施本国产品标准及相关政策的通知》（国办发〔2025〕34号）的规定，本公司（单位）本次谈判所提供的符合本国产品标准的产品成本之和占我公司（单位）本次谈判所提供的全部产品（全部产品是指货物或服务采购项目或采购包中包含的全部货物、服务产品）成本之和的比例达到80%以上。</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本公司（单位）对上述声明内容的真实性负责。如有虚假，愿承担相应法律责任。</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jc w:val="right"/>
        <w:rPr>
          <w:rFonts w:ascii="宋体" w:hAnsi="宋体" w:cs="宋体"/>
          <w:color w:val="auto"/>
          <w:sz w:val="24"/>
          <w:highlight w:val="none"/>
        </w:rPr>
      </w:pPr>
      <w:r>
        <w:rPr>
          <w:rFonts w:hint="eastAsia" w:ascii="宋体" w:hAnsi="宋体" w:cs="宋体"/>
          <w:color w:val="auto"/>
          <w:sz w:val="24"/>
          <w:highlight w:val="none"/>
        </w:rPr>
        <w:t>公司（单位）名称（盖章）：　</w:t>
      </w:r>
      <w:r>
        <w:rPr>
          <w:rFonts w:ascii="宋体" w:hAnsi="宋体" w:cs="宋体"/>
          <w:color w:val="auto"/>
          <w:sz w:val="24"/>
          <w:highlight w:val="none"/>
        </w:rPr>
        <w:t>        </w:t>
      </w:r>
    </w:p>
    <w:p>
      <w:pPr>
        <w:spacing w:line="360" w:lineRule="auto"/>
        <w:ind w:right="180" w:firstLine="480" w:firstLineChars="200"/>
        <w:jc w:val="right"/>
        <w:rPr>
          <w:rFonts w:ascii="宋体" w:hAnsi="宋体" w:cs="宋体"/>
          <w:color w:val="auto"/>
          <w:sz w:val="24"/>
          <w:highlight w:val="none"/>
        </w:rPr>
      </w:pPr>
      <w:r>
        <w:rPr>
          <w:rFonts w:hint="eastAsia" w:ascii="宋体" w:hAnsi="宋体" w:cs="宋体"/>
          <w:color w:val="auto"/>
          <w:sz w:val="24"/>
          <w:highlight w:val="none"/>
        </w:rPr>
        <w:t>日期：</w:t>
      </w:r>
      <w:r>
        <w:rPr>
          <w:rFonts w:ascii="宋体" w:hAnsi="宋体" w:cs="宋体"/>
          <w:color w:val="auto"/>
          <w:sz w:val="24"/>
          <w:highlight w:val="none"/>
        </w:rPr>
        <w:t> </w:t>
      </w:r>
      <w:r>
        <w:rPr>
          <w:rFonts w:hint="eastAsia" w:ascii="宋体" w:hAnsi="宋体" w:cs="宋体"/>
          <w:color w:val="auto"/>
          <w:sz w:val="24"/>
          <w:highlight w:val="none"/>
        </w:rPr>
        <w:t xml:space="preserve">  </w:t>
      </w:r>
      <w:r>
        <w:rPr>
          <w:rFonts w:ascii="宋体" w:hAnsi="宋体" w:cs="宋体"/>
          <w:color w:val="auto"/>
          <w:sz w:val="24"/>
          <w:highlight w:val="none"/>
        </w:rPr>
        <w:t> </w:t>
      </w:r>
      <w:r>
        <w:rPr>
          <w:rFonts w:hint="eastAsia" w:ascii="宋体" w:hAnsi="宋体" w:cs="宋体"/>
          <w:color w:val="auto"/>
          <w:sz w:val="24"/>
          <w:highlight w:val="none"/>
        </w:rPr>
        <w:t>年 　</w:t>
      </w:r>
      <w:r>
        <w:rPr>
          <w:rFonts w:ascii="宋体" w:hAnsi="宋体" w:cs="宋体"/>
          <w:color w:val="auto"/>
          <w:sz w:val="24"/>
          <w:highlight w:val="none"/>
        </w:rPr>
        <w:t> </w:t>
      </w:r>
      <w:r>
        <w:rPr>
          <w:rFonts w:hint="eastAsia" w:ascii="宋体" w:hAnsi="宋体" w:cs="宋体"/>
          <w:color w:val="auto"/>
          <w:sz w:val="24"/>
          <w:highlight w:val="none"/>
        </w:rPr>
        <w:t xml:space="preserve">月　 </w:t>
      </w:r>
      <w:r>
        <w:rPr>
          <w:rFonts w:ascii="宋体" w:hAnsi="宋体" w:cs="宋体"/>
          <w:color w:val="auto"/>
          <w:sz w:val="24"/>
          <w:highlight w:val="none"/>
        </w:rPr>
        <w:t> </w:t>
      </w:r>
      <w:r>
        <w:rPr>
          <w:rFonts w:hint="eastAsia" w:ascii="宋体" w:hAnsi="宋体" w:cs="宋体"/>
          <w:color w:val="auto"/>
          <w:sz w:val="24"/>
          <w:highlight w:val="none"/>
        </w:rPr>
        <w:t>日</w:t>
      </w:r>
      <w:r>
        <w:rPr>
          <w:rFonts w:ascii="宋体" w:hAnsi="宋体" w:cs="宋体"/>
          <w:color w:val="auto"/>
          <w:sz w:val="24"/>
          <w:highlight w:val="none"/>
        </w:rPr>
        <w:t>         </w:t>
      </w:r>
    </w:p>
    <w:p>
      <w:pPr>
        <w:spacing w:line="360" w:lineRule="auto"/>
        <w:ind w:right="420" w:firstLine="480" w:firstLineChars="200"/>
        <w:rPr>
          <w:rFonts w:ascii="宋体" w:hAnsi="宋体" w:cs="宋体"/>
          <w:color w:val="auto"/>
          <w:sz w:val="24"/>
          <w:highlight w:val="none"/>
        </w:rPr>
      </w:pP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注：</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1.本声明函须同时提供关于符合本国产品标准的声明函或财政部会同有关部门规定的有关证明文件，否则不享受价格扣除政策。</w:t>
      </w:r>
    </w:p>
    <w:p>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rPr>
        <w:t>2.当采购项目或者采购包中含有多种产品，供应商拟享受该政策时提供。当采购项目或者采购包中仅含有单一产品时，无须提供本声明函。</w:t>
      </w:r>
    </w:p>
    <w:p>
      <w:pPr>
        <w:rPr>
          <w:rFonts w:hint="eastAsia"/>
          <w:color w:val="auto"/>
          <w:highlight w:val="none"/>
        </w:rPr>
      </w:pPr>
    </w:p>
    <w:sectPr>
      <w:pgSz w:w="11906" w:h="16838"/>
      <w:pgMar w:top="1247" w:right="1418" w:bottom="1276"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0"/>
    <w:family w:val="swiss"/>
    <w:pitch w:val="default"/>
    <w:sig w:usb0="00100003"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Segoe Print"/>
    <w:panose1 w:val="020B0502020202020204"/>
    <w:charset w:val="00"/>
    <w:family w:val="swiss"/>
    <w:pitch w:val="default"/>
    <w:sig w:usb0="00000000"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Lucida Sans Unicode">
    <w:panose1 w:val="020B0602030504020204"/>
    <w:charset w:val="00"/>
    <w:family w:val="auto"/>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57</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framePr w:wrap="around" w:vAnchor="text" w:hAnchor="margin" w:xAlign="right" w:y="1"/>
      <w:rPr>
        <w:rStyle w:val="65"/>
      </w:rPr>
    </w:pPr>
    <w:r>
      <w:fldChar w:fldCharType="begin"/>
    </w:r>
    <w:r>
      <w:rPr>
        <w:rStyle w:val="65"/>
      </w:rPr>
      <w:instrText xml:space="preserve">PAGE  </w:instrText>
    </w:r>
    <w:r>
      <w:fldChar w:fldCharType="end"/>
    </w:r>
  </w:p>
  <w:p>
    <w:pPr>
      <w:pStyle w:val="3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pPr>
                      <w:pStyle w:val="38"/>
                    </w:pPr>
                    <w:r>
                      <w:t xml:space="preserve">第 </w:t>
                    </w:r>
                    <w:r>
                      <w:fldChar w:fldCharType="begin"/>
                    </w:r>
                    <w:r>
                      <w:instrText xml:space="preserve"> PAGE  \* MERGEFORMAT </w:instrText>
                    </w:r>
                    <w:r>
                      <w:fldChar w:fldCharType="separate"/>
                    </w:r>
                    <w:r>
                      <w:t>56</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both"/>
      <w:rPr>
        <w:rFonts w:ascii="仿宋_GB2312" w:eastAsia="仿宋_GB2312"/>
        <w:b w:val="0"/>
        <w:sz w:val="21"/>
        <w:szCs w:val="21"/>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1"/>
      </w:pBdr>
      <w:jc w:val="both"/>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1">
    <w:nsid w:val="00000007"/>
    <w:multiLevelType w:val="multilevel"/>
    <w:tmpl w:val="00000007"/>
    <w:lvl w:ilvl="0" w:tentative="0">
      <w:start w:val="1"/>
      <w:numFmt w:val="bullet"/>
      <w:pStyle w:val="102"/>
      <w:lvlText w:val=""/>
      <w:lvlJc w:val="left"/>
      <w:pPr>
        <w:tabs>
          <w:tab w:val="left" w:pos="840"/>
        </w:tabs>
        <w:ind w:left="840" w:hanging="420"/>
      </w:pPr>
      <w:rPr>
        <w:rFonts w:hint="default" w:ascii="Wingdings" w:hAnsi="Wingdings"/>
      </w:rPr>
    </w:lvl>
    <w:lvl w:ilvl="1" w:tentative="0">
      <w:start w:val="1"/>
      <w:numFmt w:val="bullet"/>
      <w:pStyle w:val="85"/>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09"/>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2">
    <w:nsid w:val="0000000A"/>
    <w:multiLevelType w:val="multilevel"/>
    <w:tmpl w:val="0000000A"/>
    <w:lvl w:ilvl="0" w:tentative="0">
      <w:start w:val="1"/>
      <w:numFmt w:val="decimal"/>
      <w:pStyle w:val="4"/>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00000027"/>
    <w:multiLevelType w:val="singleLevel"/>
    <w:tmpl w:val="00000027"/>
    <w:lvl w:ilvl="0" w:tentative="0">
      <w:start w:val="0"/>
      <w:numFmt w:val="bullet"/>
      <w:lvlText w:val="*"/>
      <w:lvlJc w:val="left"/>
    </w:lvl>
  </w:abstractNum>
  <w:abstractNum w:abstractNumId="4">
    <w:nsid w:val="11744E57"/>
    <w:multiLevelType w:val="multilevel"/>
    <w:tmpl w:val="11744E57"/>
    <w:lvl w:ilvl="0" w:tentative="0">
      <w:start w:val="1"/>
      <w:numFmt w:val="decimal"/>
      <w:pStyle w:val="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5"/>
      <w:lvlText w:val="%1.%2.%3"/>
      <w:lvlJc w:val="left"/>
      <w:pPr>
        <w:tabs>
          <w:tab w:val="left" w:pos="900"/>
        </w:tabs>
        <w:ind w:left="900" w:hanging="720"/>
      </w:pPr>
    </w:lvl>
    <w:lvl w:ilvl="3" w:tentative="0">
      <w:start w:val="1"/>
      <w:numFmt w:val="decimal"/>
      <w:pStyle w:val="2"/>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4E8212DA"/>
    <w:multiLevelType w:val="singleLevel"/>
    <w:tmpl w:val="4E8212DA"/>
    <w:lvl w:ilvl="0" w:tentative="0">
      <w:start w:val="1"/>
      <w:numFmt w:val="decimal"/>
      <w:lvlText w:val="%1、"/>
      <w:lvlJc w:val="left"/>
      <w:pPr>
        <w:tabs>
          <w:tab w:val="left" w:pos="840"/>
        </w:tabs>
        <w:ind w:left="840" w:hanging="360"/>
      </w:pPr>
      <w:rPr>
        <w:rFonts w:hint="default"/>
      </w:rPr>
    </w:lvl>
  </w:abstractNum>
  <w:abstractNum w:abstractNumId="6">
    <w:nsid w:val="578B3BD2"/>
    <w:multiLevelType w:val="multilevel"/>
    <w:tmpl w:val="578B3BD2"/>
    <w:lvl w:ilvl="0" w:tentative="0">
      <w:start w:val="1"/>
      <w:numFmt w:val="decimal"/>
      <w:pStyle w:val="412"/>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7">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2"/>
  </w:num>
  <w:num w:numId="3">
    <w:abstractNumId w:val="0"/>
  </w:num>
  <w:num w:numId="4">
    <w:abstractNumId w:val="1"/>
  </w:num>
  <w:num w:numId="5">
    <w:abstractNumId w:val="6"/>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jZDdlZTgyNDM5MTU0YmM3NzA2Y2EwNTAxZDc0YmEifQ=="/>
  </w:docVars>
  <w:rsids>
    <w:rsidRoot w:val="00172A27"/>
    <w:rsid w:val="0000133D"/>
    <w:rsid w:val="0000488B"/>
    <w:rsid w:val="00005CAC"/>
    <w:rsid w:val="00005E5F"/>
    <w:rsid w:val="00006109"/>
    <w:rsid w:val="00006725"/>
    <w:rsid w:val="0000675E"/>
    <w:rsid w:val="00007CAA"/>
    <w:rsid w:val="00010FE9"/>
    <w:rsid w:val="0001122F"/>
    <w:rsid w:val="00012BE8"/>
    <w:rsid w:val="00013F31"/>
    <w:rsid w:val="000149B3"/>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37D30"/>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ED8"/>
    <w:rsid w:val="0009145F"/>
    <w:rsid w:val="00091B4E"/>
    <w:rsid w:val="00091D89"/>
    <w:rsid w:val="00092FE9"/>
    <w:rsid w:val="00094342"/>
    <w:rsid w:val="00094E92"/>
    <w:rsid w:val="000960BA"/>
    <w:rsid w:val="0009662A"/>
    <w:rsid w:val="000A1A52"/>
    <w:rsid w:val="000A1F98"/>
    <w:rsid w:val="000A23CE"/>
    <w:rsid w:val="000A2C30"/>
    <w:rsid w:val="000A49BB"/>
    <w:rsid w:val="000A4C67"/>
    <w:rsid w:val="000A5674"/>
    <w:rsid w:val="000A5A46"/>
    <w:rsid w:val="000B0E04"/>
    <w:rsid w:val="000B3E3E"/>
    <w:rsid w:val="000B4938"/>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273"/>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3A87"/>
    <w:rsid w:val="00114847"/>
    <w:rsid w:val="0011585B"/>
    <w:rsid w:val="00115B1A"/>
    <w:rsid w:val="001168F8"/>
    <w:rsid w:val="001224AB"/>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062"/>
    <w:rsid w:val="001524DC"/>
    <w:rsid w:val="001525E5"/>
    <w:rsid w:val="00153859"/>
    <w:rsid w:val="00153ED0"/>
    <w:rsid w:val="00155A91"/>
    <w:rsid w:val="00157432"/>
    <w:rsid w:val="00160BE5"/>
    <w:rsid w:val="00161185"/>
    <w:rsid w:val="00161853"/>
    <w:rsid w:val="00161C7D"/>
    <w:rsid w:val="00162E0E"/>
    <w:rsid w:val="00162FD8"/>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0E85"/>
    <w:rsid w:val="001C10BD"/>
    <w:rsid w:val="001C1B4A"/>
    <w:rsid w:val="001C1F01"/>
    <w:rsid w:val="001C2076"/>
    <w:rsid w:val="001C232F"/>
    <w:rsid w:val="001C31F5"/>
    <w:rsid w:val="001C44BC"/>
    <w:rsid w:val="001C5885"/>
    <w:rsid w:val="001C6698"/>
    <w:rsid w:val="001D1D55"/>
    <w:rsid w:val="001D21EF"/>
    <w:rsid w:val="001D330D"/>
    <w:rsid w:val="001D4AD3"/>
    <w:rsid w:val="001D5A94"/>
    <w:rsid w:val="001E1ABC"/>
    <w:rsid w:val="001E59FB"/>
    <w:rsid w:val="001E5AF5"/>
    <w:rsid w:val="001E787E"/>
    <w:rsid w:val="001F087C"/>
    <w:rsid w:val="001F0DA4"/>
    <w:rsid w:val="001F0FD1"/>
    <w:rsid w:val="001F1F18"/>
    <w:rsid w:val="001F2F92"/>
    <w:rsid w:val="001F6095"/>
    <w:rsid w:val="00200E37"/>
    <w:rsid w:val="00201EE3"/>
    <w:rsid w:val="00202D33"/>
    <w:rsid w:val="00202F99"/>
    <w:rsid w:val="00203BF7"/>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496B"/>
    <w:rsid w:val="00245269"/>
    <w:rsid w:val="00247422"/>
    <w:rsid w:val="00247B53"/>
    <w:rsid w:val="00247BA2"/>
    <w:rsid w:val="00251CB4"/>
    <w:rsid w:val="00252862"/>
    <w:rsid w:val="00252C7E"/>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C5F"/>
    <w:rsid w:val="00274C6D"/>
    <w:rsid w:val="0027500A"/>
    <w:rsid w:val="002751CA"/>
    <w:rsid w:val="0027544D"/>
    <w:rsid w:val="002778AB"/>
    <w:rsid w:val="002802A5"/>
    <w:rsid w:val="00281BCB"/>
    <w:rsid w:val="0028284D"/>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1F56"/>
    <w:rsid w:val="002C22FD"/>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C24"/>
    <w:rsid w:val="002F6EFF"/>
    <w:rsid w:val="002F7DF0"/>
    <w:rsid w:val="002F7FAF"/>
    <w:rsid w:val="00300AFA"/>
    <w:rsid w:val="00301A22"/>
    <w:rsid w:val="00302783"/>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3B6"/>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3D24"/>
    <w:rsid w:val="003944EA"/>
    <w:rsid w:val="00394639"/>
    <w:rsid w:val="003962E6"/>
    <w:rsid w:val="00396831"/>
    <w:rsid w:val="003A03EF"/>
    <w:rsid w:val="003A12B6"/>
    <w:rsid w:val="003A20D5"/>
    <w:rsid w:val="003A24CC"/>
    <w:rsid w:val="003A2EE8"/>
    <w:rsid w:val="003A373C"/>
    <w:rsid w:val="003A3E10"/>
    <w:rsid w:val="003A52DB"/>
    <w:rsid w:val="003A5378"/>
    <w:rsid w:val="003A5567"/>
    <w:rsid w:val="003A7E2B"/>
    <w:rsid w:val="003A7E40"/>
    <w:rsid w:val="003B0336"/>
    <w:rsid w:val="003B0A3A"/>
    <w:rsid w:val="003B4810"/>
    <w:rsid w:val="003B514E"/>
    <w:rsid w:val="003B5E0A"/>
    <w:rsid w:val="003B613B"/>
    <w:rsid w:val="003B6277"/>
    <w:rsid w:val="003B636A"/>
    <w:rsid w:val="003B6AF1"/>
    <w:rsid w:val="003B7D14"/>
    <w:rsid w:val="003C011C"/>
    <w:rsid w:val="003C435B"/>
    <w:rsid w:val="003C4EBE"/>
    <w:rsid w:val="003C685A"/>
    <w:rsid w:val="003C6B25"/>
    <w:rsid w:val="003C6E9C"/>
    <w:rsid w:val="003C781B"/>
    <w:rsid w:val="003C7F12"/>
    <w:rsid w:val="003D03D6"/>
    <w:rsid w:val="003D04C3"/>
    <w:rsid w:val="003D0952"/>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3696"/>
    <w:rsid w:val="00425724"/>
    <w:rsid w:val="00426B2C"/>
    <w:rsid w:val="00427FA8"/>
    <w:rsid w:val="004306D4"/>
    <w:rsid w:val="00432ECA"/>
    <w:rsid w:val="004357B1"/>
    <w:rsid w:val="00436CCE"/>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63E8"/>
    <w:rsid w:val="00457CF7"/>
    <w:rsid w:val="00457D37"/>
    <w:rsid w:val="00460E68"/>
    <w:rsid w:val="00461F80"/>
    <w:rsid w:val="0046240D"/>
    <w:rsid w:val="00462C96"/>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783"/>
    <w:rsid w:val="00492B76"/>
    <w:rsid w:val="0049333E"/>
    <w:rsid w:val="0049418F"/>
    <w:rsid w:val="00495DC6"/>
    <w:rsid w:val="00497AAD"/>
    <w:rsid w:val="00497D1A"/>
    <w:rsid w:val="00497EE7"/>
    <w:rsid w:val="004A1DBC"/>
    <w:rsid w:val="004A1EA7"/>
    <w:rsid w:val="004A2C96"/>
    <w:rsid w:val="004A4125"/>
    <w:rsid w:val="004A4689"/>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3BE2"/>
    <w:rsid w:val="004D54A4"/>
    <w:rsid w:val="004D557D"/>
    <w:rsid w:val="004D6F29"/>
    <w:rsid w:val="004D7974"/>
    <w:rsid w:val="004D7F9C"/>
    <w:rsid w:val="004D7FF2"/>
    <w:rsid w:val="004E1D6F"/>
    <w:rsid w:val="004E1F19"/>
    <w:rsid w:val="004E3A2A"/>
    <w:rsid w:val="004E3AB1"/>
    <w:rsid w:val="004E4003"/>
    <w:rsid w:val="004E6746"/>
    <w:rsid w:val="004E75C1"/>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27D0"/>
    <w:rsid w:val="00554C03"/>
    <w:rsid w:val="005550F9"/>
    <w:rsid w:val="0055525C"/>
    <w:rsid w:val="00556386"/>
    <w:rsid w:val="00556441"/>
    <w:rsid w:val="00561903"/>
    <w:rsid w:val="00561A9B"/>
    <w:rsid w:val="00562FB1"/>
    <w:rsid w:val="00563068"/>
    <w:rsid w:val="00563380"/>
    <w:rsid w:val="00564DA7"/>
    <w:rsid w:val="00564EFA"/>
    <w:rsid w:val="00565204"/>
    <w:rsid w:val="00565473"/>
    <w:rsid w:val="00565DAC"/>
    <w:rsid w:val="00565F0D"/>
    <w:rsid w:val="005662DC"/>
    <w:rsid w:val="00566329"/>
    <w:rsid w:val="005701C2"/>
    <w:rsid w:val="0057117C"/>
    <w:rsid w:val="005725F4"/>
    <w:rsid w:val="00573560"/>
    <w:rsid w:val="0057438C"/>
    <w:rsid w:val="00574E7B"/>
    <w:rsid w:val="00575D34"/>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97818"/>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D7EE1"/>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075B6"/>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1984"/>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38E9"/>
    <w:rsid w:val="006945A1"/>
    <w:rsid w:val="00694982"/>
    <w:rsid w:val="00695EAC"/>
    <w:rsid w:val="00697062"/>
    <w:rsid w:val="006971F8"/>
    <w:rsid w:val="00697D5F"/>
    <w:rsid w:val="006A060C"/>
    <w:rsid w:val="006A150D"/>
    <w:rsid w:val="006A1526"/>
    <w:rsid w:val="006A39D0"/>
    <w:rsid w:val="006A4321"/>
    <w:rsid w:val="006A5186"/>
    <w:rsid w:val="006A61EE"/>
    <w:rsid w:val="006B0580"/>
    <w:rsid w:val="006B0F30"/>
    <w:rsid w:val="006B1D06"/>
    <w:rsid w:val="006B2823"/>
    <w:rsid w:val="006B33DB"/>
    <w:rsid w:val="006B4CF8"/>
    <w:rsid w:val="006B5FBC"/>
    <w:rsid w:val="006B6ED2"/>
    <w:rsid w:val="006C0230"/>
    <w:rsid w:val="006C09CC"/>
    <w:rsid w:val="006C09F4"/>
    <w:rsid w:val="006C3EFE"/>
    <w:rsid w:val="006C53F3"/>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68D7"/>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0B39"/>
    <w:rsid w:val="00751073"/>
    <w:rsid w:val="00752188"/>
    <w:rsid w:val="0075281E"/>
    <w:rsid w:val="00752A7F"/>
    <w:rsid w:val="00752CC6"/>
    <w:rsid w:val="00754580"/>
    <w:rsid w:val="00754A29"/>
    <w:rsid w:val="00755BCF"/>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A6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4DDC"/>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035"/>
    <w:rsid w:val="0082417A"/>
    <w:rsid w:val="008241F0"/>
    <w:rsid w:val="0082427D"/>
    <w:rsid w:val="00824785"/>
    <w:rsid w:val="00824CB7"/>
    <w:rsid w:val="0082646C"/>
    <w:rsid w:val="008270CE"/>
    <w:rsid w:val="00827E2A"/>
    <w:rsid w:val="00827E3D"/>
    <w:rsid w:val="00830052"/>
    <w:rsid w:val="008300D0"/>
    <w:rsid w:val="0083257C"/>
    <w:rsid w:val="00832755"/>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474"/>
    <w:rsid w:val="008824DF"/>
    <w:rsid w:val="00884371"/>
    <w:rsid w:val="00884D47"/>
    <w:rsid w:val="00887392"/>
    <w:rsid w:val="00890C40"/>
    <w:rsid w:val="008911F7"/>
    <w:rsid w:val="00893F41"/>
    <w:rsid w:val="00894BBD"/>
    <w:rsid w:val="00894C79"/>
    <w:rsid w:val="0089558A"/>
    <w:rsid w:val="008972B6"/>
    <w:rsid w:val="008977E1"/>
    <w:rsid w:val="008A0115"/>
    <w:rsid w:val="008A2F5A"/>
    <w:rsid w:val="008A39EB"/>
    <w:rsid w:val="008A47CE"/>
    <w:rsid w:val="008A5CBF"/>
    <w:rsid w:val="008A6BAE"/>
    <w:rsid w:val="008A7350"/>
    <w:rsid w:val="008B16E6"/>
    <w:rsid w:val="008B18AA"/>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1CC"/>
    <w:rsid w:val="0090079D"/>
    <w:rsid w:val="00900D2C"/>
    <w:rsid w:val="00901F0E"/>
    <w:rsid w:val="0090408F"/>
    <w:rsid w:val="0090446A"/>
    <w:rsid w:val="00904DC3"/>
    <w:rsid w:val="00905469"/>
    <w:rsid w:val="0090629C"/>
    <w:rsid w:val="009065C6"/>
    <w:rsid w:val="00906EA2"/>
    <w:rsid w:val="00907278"/>
    <w:rsid w:val="009128B8"/>
    <w:rsid w:val="0091328F"/>
    <w:rsid w:val="00913B4A"/>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2DFE"/>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AA"/>
    <w:rsid w:val="00A33BDB"/>
    <w:rsid w:val="00A341AB"/>
    <w:rsid w:val="00A355F9"/>
    <w:rsid w:val="00A35AA9"/>
    <w:rsid w:val="00A364BC"/>
    <w:rsid w:val="00A3786A"/>
    <w:rsid w:val="00A402ED"/>
    <w:rsid w:val="00A40685"/>
    <w:rsid w:val="00A41123"/>
    <w:rsid w:val="00A41819"/>
    <w:rsid w:val="00A41C9A"/>
    <w:rsid w:val="00A42F49"/>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165"/>
    <w:rsid w:val="00A61B91"/>
    <w:rsid w:val="00A62864"/>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875B4"/>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B7EF8"/>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176"/>
    <w:rsid w:val="00B10B04"/>
    <w:rsid w:val="00B10CC6"/>
    <w:rsid w:val="00B11AE4"/>
    <w:rsid w:val="00B12082"/>
    <w:rsid w:val="00B13150"/>
    <w:rsid w:val="00B13389"/>
    <w:rsid w:val="00B1364C"/>
    <w:rsid w:val="00B141A5"/>
    <w:rsid w:val="00B14CC6"/>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38A1"/>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1C68"/>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7E1"/>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13F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5FA0"/>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6E64"/>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1209"/>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0130"/>
    <w:rsid w:val="00D01590"/>
    <w:rsid w:val="00D030C1"/>
    <w:rsid w:val="00D0336E"/>
    <w:rsid w:val="00D04F01"/>
    <w:rsid w:val="00D04F8B"/>
    <w:rsid w:val="00D054EF"/>
    <w:rsid w:val="00D05637"/>
    <w:rsid w:val="00D05BA9"/>
    <w:rsid w:val="00D06E71"/>
    <w:rsid w:val="00D0764E"/>
    <w:rsid w:val="00D07D82"/>
    <w:rsid w:val="00D1094E"/>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84"/>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3D18"/>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B69"/>
    <w:rsid w:val="00E97F7A"/>
    <w:rsid w:val="00EA0143"/>
    <w:rsid w:val="00EA089B"/>
    <w:rsid w:val="00EA2638"/>
    <w:rsid w:val="00EA2E21"/>
    <w:rsid w:val="00EA380C"/>
    <w:rsid w:val="00EA47B5"/>
    <w:rsid w:val="00EA4C84"/>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508"/>
    <w:rsid w:val="00F419B8"/>
    <w:rsid w:val="00F41C0F"/>
    <w:rsid w:val="00F41C84"/>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41D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106670C"/>
    <w:rsid w:val="01744613"/>
    <w:rsid w:val="02711604"/>
    <w:rsid w:val="02DA0C0E"/>
    <w:rsid w:val="03CF11DA"/>
    <w:rsid w:val="03DD35E4"/>
    <w:rsid w:val="057378BD"/>
    <w:rsid w:val="05B27812"/>
    <w:rsid w:val="065A6178"/>
    <w:rsid w:val="075562B7"/>
    <w:rsid w:val="07AF0834"/>
    <w:rsid w:val="07F6164B"/>
    <w:rsid w:val="087A1B7A"/>
    <w:rsid w:val="08D21C83"/>
    <w:rsid w:val="096B2097"/>
    <w:rsid w:val="0972606A"/>
    <w:rsid w:val="09D50CB5"/>
    <w:rsid w:val="0A5B7E63"/>
    <w:rsid w:val="0A945D6F"/>
    <w:rsid w:val="0AE55761"/>
    <w:rsid w:val="0BA332B2"/>
    <w:rsid w:val="0BFA648B"/>
    <w:rsid w:val="0C87121B"/>
    <w:rsid w:val="0DF702FE"/>
    <w:rsid w:val="0E3F698B"/>
    <w:rsid w:val="0EB70D70"/>
    <w:rsid w:val="0F21508F"/>
    <w:rsid w:val="0F4E5130"/>
    <w:rsid w:val="0F53276D"/>
    <w:rsid w:val="0F816ACD"/>
    <w:rsid w:val="0FB94501"/>
    <w:rsid w:val="10B047CF"/>
    <w:rsid w:val="10FC16EA"/>
    <w:rsid w:val="11235DD3"/>
    <w:rsid w:val="116E1628"/>
    <w:rsid w:val="117B2484"/>
    <w:rsid w:val="118963A1"/>
    <w:rsid w:val="127723A9"/>
    <w:rsid w:val="12FA3E4F"/>
    <w:rsid w:val="13072A44"/>
    <w:rsid w:val="145044FA"/>
    <w:rsid w:val="16304CE1"/>
    <w:rsid w:val="175245F6"/>
    <w:rsid w:val="1853528F"/>
    <w:rsid w:val="186742B0"/>
    <w:rsid w:val="187F096C"/>
    <w:rsid w:val="194D19D1"/>
    <w:rsid w:val="195245AB"/>
    <w:rsid w:val="19553D7C"/>
    <w:rsid w:val="19B97582"/>
    <w:rsid w:val="1A423204"/>
    <w:rsid w:val="1B2A271F"/>
    <w:rsid w:val="1B890139"/>
    <w:rsid w:val="1B8B1D3C"/>
    <w:rsid w:val="1C54348C"/>
    <w:rsid w:val="1D266CE1"/>
    <w:rsid w:val="1D3963AF"/>
    <w:rsid w:val="1E2E469B"/>
    <w:rsid w:val="1E714A66"/>
    <w:rsid w:val="1EA37918"/>
    <w:rsid w:val="1FE868A9"/>
    <w:rsid w:val="2030413F"/>
    <w:rsid w:val="211E26D6"/>
    <w:rsid w:val="21283D08"/>
    <w:rsid w:val="245F5FE8"/>
    <w:rsid w:val="24C80E51"/>
    <w:rsid w:val="25B440B3"/>
    <w:rsid w:val="25F9109D"/>
    <w:rsid w:val="26A12BEB"/>
    <w:rsid w:val="272917D9"/>
    <w:rsid w:val="27646D45"/>
    <w:rsid w:val="27EF325A"/>
    <w:rsid w:val="29376916"/>
    <w:rsid w:val="299A3DFB"/>
    <w:rsid w:val="2AA1365A"/>
    <w:rsid w:val="2BDC12DF"/>
    <w:rsid w:val="2BED32A2"/>
    <w:rsid w:val="2DD15014"/>
    <w:rsid w:val="2FD25781"/>
    <w:rsid w:val="30A945AA"/>
    <w:rsid w:val="313A5EF4"/>
    <w:rsid w:val="319C6071"/>
    <w:rsid w:val="32AD3F34"/>
    <w:rsid w:val="32DB72BE"/>
    <w:rsid w:val="32F01620"/>
    <w:rsid w:val="339431D7"/>
    <w:rsid w:val="33E05F0A"/>
    <w:rsid w:val="342E63AB"/>
    <w:rsid w:val="345D260B"/>
    <w:rsid w:val="363946D8"/>
    <w:rsid w:val="365302AE"/>
    <w:rsid w:val="372C30DF"/>
    <w:rsid w:val="37F142D2"/>
    <w:rsid w:val="38D83B85"/>
    <w:rsid w:val="390D6749"/>
    <w:rsid w:val="395C4605"/>
    <w:rsid w:val="39A13F14"/>
    <w:rsid w:val="3AEC1764"/>
    <w:rsid w:val="3C5F759A"/>
    <w:rsid w:val="3D5C78D4"/>
    <w:rsid w:val="3EE200D6"/>
    <w:rsid w:val="3FD23285"/>
    <w:rsid w:val="3FD933C3"/>
    <w:rsid w:val="3FFF72A6"/>
    <w:rsid w:val="406D527E"/>
    <w:rsid w:val="40E31020"/>
    <w:rsid w:val="427B11E7"/>
    <w:rsid w:val="42CF228D"/>
    <w:rsid w:val="42E1381E"/>
    <w:rsid w:val="4308762F"/>
    <w:rsid w:val="43845483"/>
    <w:rsid w:val="43FB717C"/>
    <w:rsid w:val="451E447A"/>
    <w:rsid w:val="45345B76"/>
    <w:rsid w:val="45C21136"/>
    <w:rsid w:val="47307808"/>
    <w:rsid w:val="481F77AE"/>
    <w:rsid w:val="486F747C"/>
    <w:rsid w:val="49637D2C"/>
    <w:rsid w:val="4ABD3B35"/>
    <w:rsid w:val="4B817020"/>
    <w:rsid w:val="4BD92FEA"/>
    <w:rsid w:val="4D861CF6"/>
    <w:rsid w:val="4DEF1265"/>
    <w:rsid w:val="4F103A13"/>
    <w:rsid w:val="4F726AF1"/>
    <w:rsid w:val="4FE53FC3"/>
    <w:rsid w:val="50D72F07"/>
    <w:rsid w:val="51A0432A"/>
    <w:rsid w:val="527140E5"/>
    <w:rsid w:val="5292508F"/>
    <w:rsid w:val="52A96B6F"/>
    <w:rsid w:val="546F3392"/>
    <w:rsid w:val="54E66210"/>
    <w:rsid w:val="550764A4"/>
    <w:rsid w:val="551926E0"/>
    <w:rsid w:val="561279B9"/>
    <w:rsid w:val="56515F3B"/>
    <w:rsid w:val="56965A34"/>
    <w:rsid w:val="571B638F"/>
    <w:rsid w:val="572B71CA"/>
    <w:rsid w:val="57A52F19"/>
    <w:rsid w:val="57DD3ED9"/>
    <w:rsid w:val="57E958DA"/>
    <w:rsid w:val="58AE4F0C"/>
    <w:rsid w:val="591848B1"/>
    <w:rsid w:val="59E50E60"/>
    <w:rsid w:val="5A2A7C7B"/>
    <w:rsid w:val="5AB23368"/>
    <w:rsid w:val="5BD2794E"/>
    <w:rsid w:val="5C80234E"/>
    <w:rsid w:val="5D575489"/>
    <w:rsid w:val="5E261785"/>
    <w:rsid w:val="5E4B7FE7"/>
    <w:rsid w:val="5FBD0BF3"/>
    <w:rsid w:val="5FCC5339"/>
    <w:rsid w:val="5FE70807"/>
    <w:rsid w:val="60514D80"/>
    <w:rsid w:val="607730D1"/>
    <w:rsid w:val="60E53485"/>
    <w:rsid w:val="61054A27"/>
    <w:rsid w:val="611D2366"/>
    <w:rsid w:val="6120147F"/>
    <w:rsid w:val="61C86CA3"/>
    <w:rsid w:val="62885958"/>
    <w:rsid w:val="63144820"/>
    <w:rsid w:val="633604BC"/>
    <w:rsid w:val="64CE2EAA"/>
    <w:rsid w:val="65A2127C"/>
    <w:rsid w:val="662E75B1"/>
    <w:rsid w:val="66342C2E"/>
    <w:rsid w:val="663E784C"/>
    <w:rsid w:val="685867EC"/>
    <w:rsid w:val="69773BA2"/>
    <w:rsid w:val="698517BE"/>
    <w:rsid w:val="69AA24B4"/>
    <w:rsid w:val="6A186C36"/>
    <w:rsid w:val="6A2D651C"/>
    <w:rsid w:val="6A5E3342"/>
    <w:rsid w:val="6B3107E7"/>
    <w:rsid w:val="6BC7252B"/>
    <w:rsid w:val="6C04327E"/>
    <w:rsid w:val="6D581C9A"/>
    <w:rsid w:val="6DF1176B"/>
    <w:rsid w:val="6E8E12EF"/>
    <w:rsid w:val="6FC57F47"/>
    <w:rsid w:val="71D43752"/>
    <w:rsid w:val="738C75EA"/>
    <w:rsid w:val="73DD6243"/>
    <w:rsid w:val="749C4185"/>
    <w:rsid w:val="75DA2C18"/>
    <w:rsid w:val="7688786B"/>
    <w:rsid w:val="775319EF"/>
    <w:rsid w:val="778A283C"/>
    <w:rsid w:val="77BE04D4"/>
    <w:rsid w:val="78F56773"/>
    <w:rsid w:val="790F1C77"/>
    <w:rsid w:val="7A67303B"/>
    <w:rsid w:val="7AAB1D04"/>
    <w:rsid w:val="7ABA4368"/>
    <w:rsid w:val="7B257FFD"/>
    <w:rsid w:val="7BCA1EEE"/>
    <w:rsid w:val="7C2B1DA5"/>
    <w:rsid w:val="7DF4317E"/>
    <w:rsid w:val="7E64308B"/>
    <w:rsid w:val="7F6E0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8"/>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5">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2">
    <w:name w:val="heading 4"/>
    <w:basedOn w:val="1"/>
    <w:next w:val="1"/>
    <w:link w:val="598"/>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2"/>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0"/>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0"/>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8"/>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2"/>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3"/>
    <w:qFormat/>
    <w:uiPriority w:val="99"/>
    <w:pPr>
      <w:jc w:val="left"/>
    </w:pPr>
  </w:style>
  <w:style w:type="paragraph" w:styleId="20">
    <w:name w:val="Salutation"/>
    <w:basedOn w:val="1"/>
    <w:next w:val="1"/>
    <w:link w:val="481"/>
    <w:qFormat/>
    <w:uiPriority w:val="0"/>
    <w:rPr>
      <w:rFonts w:ascii="仿宋_GB2312" w:eastAsia="仿宋_GB2312"/>
      <w:sz w:val="28"/>
      <w:szCs w:val="20"/>
    </w:rPr>
  </w:style>
  <w:style w:type="paragraph" w:styleId="21">
    <w:name w:val="Body Text 3"/>
    <w:basedOn w:val="1"/>
    <w:link w:val="580"/>
    <w:qFormat/>
    <w:uiPriority w:val="0"/>
    <w:pPr>
      <w:jc w:val="center"/>
    </w:pPr>
    <w:rPr>
      <w:szCs w:val="20"/>
    </w:rPr>
  </w:style>
  <w:style w:type="paragraph" w:styleId="22">
    <w:name w:val="Body Text"/>
    <w:basedOn w:val="1"/>
    <w:next w:val="23"/>
    <w:link w:val="511"/>
    <w:qFormat/>
    <w:uiPriority w:val="0"/>
    <w:pPr>
      <w:autoSpaceDE w:val="0"/>
      <w:autoSpaceDN w:val="0"/>
      <w:spacing w:line="360" w:lineRule="auto"/>
    </w:pPr>
    <w:rPr>
      <w:rFonts w:ascii="宋体"/>
      <w:sz w:val="24"/>
      <w:szCs w:val="21"/>
      <w:lang w:val="zh-CN"/>
    </w:rPr>
  </w:style>
  <w:style w:type="paragraph" w:styleId="23">
    <w:name w:val="Subtitle"/>
    <w:basedOn w:val="1"/>
    <w:next w:val="1"/>
    <w:link w:val="48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24">
    <w:name w:val="Body Text Indent"/>
    <w:basedOn w:val="1"/>
    <w:next w:val="1"/>
    <w:link w:val="474"/>
    <w:qFormat/>
    <w:uiPriority w:val="0"/>
    <w:pPr>
      <w:spacing w:line="480" w:lineRule="exact"/>
      <w:ind w:firstLine="480" w:firstLineChars="200"/>
    </w:pPr>
    <w:rPr>
      <w:rFonts w:ascii="宋体" w:hAnsi="宋体"/>
      <w:sz w:val="24"/>
    </w:rPr>
  </w:style>
  <w:style w:type="paragraph" w:styleId="25">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qFormat/>
    <w:uiPriority w:val="0"/>
    <w:pPr>
      <w:adjustRightInd/>
      <w:spacing w:line="360" w:lineRule="auto"/>
      <w:ind w:left="100" w:leftChars="200" w:hanging="200" w:hangingChars="200"/>
    </w:pPr>
    <w:rPr>
      <w:rFonts w:eastAsia="微软雅黑"/>
    </w:rPr>
  </w:style>
  <w:style w:type="paragraph" w:styleId="27">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570"/>
    <w:qFormat/>
    <w:uiPriority w:val="0"/>
    <w:pPr>
      <w:widowControl/>
      <w:adjustRightInd/>
      <w:ind w:firstLine="200" w:firstLineChars="200"/>
      <w:jc w:val="left"/>
    </w:pPr>
    <w:rPr>
      <w:rFonts w:ascii="宋体" w:hAnsi="宋体"/>
      <w:i/>
      <w:iCs/>
      <w:kern w:val="0"/>
      <w:sz w:val="24"/>
    </w:rPr>
  </w:style>
  <w:style w:type="paragraph" w:styleId="30">
    <w:name w:val="toc 5"/>
    <w:basedOn w:val="1"/>
    <w:next w:val="1"/>
    <w:qFormat/>
    <w:uiPriority w:val="0"/>
    <w:pPr>
      <w:ind w:left="1680" w:leftChars="800"/>
    </w:pPr>
  </w:style>
  <w:style w:type="paragraph" w:styleId="31">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488"/>
    <w:qFormat/>
    <w:uiPriority w:val="0"/>
    <w:rPr>
      <w:rFonts w:ascii="宋体" w:hAnsi="Courier New"/>
      <w:szCs w:val="20"/>
    </w:rPr>
  </w:style>
  <w:style w:type="paragraph" w:styleId="33">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qFormat/>
    <w:uiPriority w:val="0"/>
    <w:pPr>
      <w:ind w:left="2940" w:leftChars="1400"/>
    </w:pPr>
  </w:style>
  <w:style w:type="paragraph" w:styleId="35">
    <w:name w:val="Date"/>
    <w:basedOn w:val="1"/>
    <w:next w:val="1"/>
    <w:link w:val="597"/>
    <w:qFormat/>
    <w:uiPriority w:val="0"/>
    <w:pPr>
      <w:ind w:left="100" w:leftChars="2500"/>
    </w:pPr>
    <w:rPr>
      <w:rFonts w:ascii="宋体"/>
      <w:sz w:val="24"/>
      <w:szCs w:val="21"/>
      <w:lang w:val="zh-CN"/>
    </w:rPr>
  </w:style>
  <w:style w:type="paragraph" w:styleId="36">
    <w:name w:val="Body Text Indent 2"/>
    <w:basedOn w:val="1"/>
    <w:link w:val="502"/>
    <w:qFormat/>
    <w:uiPriority w:val="0"/>
    <w:pPr>
      <w:spacing w:line="360" w:lineRule="auto"/>
      <w:ind w:firstLine="601"/>
      <w:textAlignment w:val="baseline"/>
    </w:pPr>
    <w:rPr>
      <w:rFonts w:ascii="宋体"/>
      <w:kern w:val="0"/>
      <w:sz w:val="28"/>
      <w:szCs w:val="20"/>
    </w:rPr>
  </w:style>
  <w:style w:type="paragraph" w:styleId="37">
    <w:name w:val="Balloon Text"/>
    <w:basedOn w:val="1"/>
    <w:link w:val="614"/>
    <w:semiHidden/>
    <w:qFormat/>
    <w:uiPriority w:val="0"/>
    <w:rPr>
      <w:sz w:val="18"/>
      <w:szCs w:val="18"/>
    </w:rPr>
  </w:style>
  <w:style w:type="paragraph" w:styleId="38">
    <w:name w:val="footer"/>
    <w:basedOn w:val="1"/>
    <w:qFormat/>
    <w:uiPriority w:val="0"/>
    <w:pPr>
      <w:tabs>
        <w:tab w:val="center" w:pos="4153"/>
        <w:tab w:val="right" w:pos="8306"/>
      </w:tabs>
      <w:snapToGrid w:val="0"/>
      <w:jc w:val="left"/>
    </w:pPr>
    <w:rPr>
      <w:sz w:val="18"/>
      <w:szCs w:val="18"/>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0">
    <w:name w:val="Signature"/>
    <w:basedOn w:val="1"/>
    <w:link w:val="434"/>
    <w:qFormat/>
    <w:uiPriority w:val="0"/>
    <w:pPr>
      <w:spacing w:after="600" w:line="312" w:lineRule="atLeast"/>
      <w:jc w:val="center"/>
      <w:textAlignment w:val="baseline"/>
    </w:pPr>
    <w:rPr>
      <w:rFonts w:eastAsia="仿宋_GB2312"/>
      <w:kern w:val="0"/>
      <w:sz w:val="24"/>
      <w:szCs w:val="20"/>
    </w:rPr>
  </w:style>
  <w:style w:type="paragraph" w:styleId="41">
    <w:name w:val="toc 1"/>
    <w:basedOn w:val="1"/>
    <w:next w:val="1"/>
    <w:qFormat/>
    <w:uiPriority w:val="39"/>
  </w:style>
  <w:style w:type="paragraph" w:styleId="42">
    <w:name w:val="toc 4"/>
    <w:basedOn w:val="1"/>
    <w:next w:val="1"/>
    <w:qFormat/>
    <w:uiPriority w:val="0"/>
    <w:pPr>
      <w:ind w:left="1260" w:leftChars="600"/>
    </w:pPr>
  </w:style>
  <w:style w:type="paragraph" w:styleId="43">
    <w:name w:val="index heading"/>
    <w:basedOn w:val="1"/>
    <w:next w:val="44"/>
    <w:qFormat/>
    <w:uiPriority w:val="0"/>
    <w:pPr>
      <w:adjustRightInd/>
      <w:ind w:firstLine="200" w:firstLineChars="200"/>
    </w:pPr>
  </w:style>
  <w:style w:type="paragraph" w:styleId="44">
    <w:name w:val="index 1"/>
    <w:basedOn w:val="1"/>
    <w:next w:val="1"/>
    <w:qFormat/>
    <w:uiPriority w:val="0"/>
    <w:pPr>
      <w:adjustRightInd/>
      <w:spacing w:line="360" w:lineRule="auto"/>
      <w:ind w:firstLine="200" w:firstLineChars="200"/>
      <w:jc w:val="center"/>
    </w:pPr>
    <w:rPr>
      <w:sz w:val="24"/>
      <w:szCs w:val="20"/>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2"/>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7"/>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next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next w:val="1"/>
    <w:link w:val="544"/>
    <w:qFormat/>
    <w:uiPriority w:val="0"/>
    <w:pPr>
      <w:ind w:firstLine="420"/>
    </w:pPr>
    <w:rPr>
      <w:szCs w:val="20"/>
    </w:rPr>
  </w:style>
  <w:style w:type="paragraph" w:styleId="59">
    <w:name w:val="Body Text First Indent 2"/>
    <w:basedOn w:val="24"/>
    <w:next w:val="60"/>
    <w:link w:val="501"/>
    <w:qFormat/>
    <w:uiPriority w:val="0"/>
    <w:pPr>
      <w:adjustRightInd/>
      <w:spacing w:after="120"/>
      <w:ind w:left="420" w:leftChars="200" w:firstLine="210"/>
    </w:pPr>
  </w:style>
  <w:style w:type="paragraph" w:customStyle="1" w:styleId="60">
    <w:name w:val="Intense Quote"/>
    <w:basedOn w:val="1"/>
    <w:next w:val="1"/>
    <w:qFormat/>
    <w:uiPriority w:val="0"/>
    <w:pPr>
      <w:pBdr>
        <w:bottom w:val="single" w:color="4F81BD" w:sz="4" w:space="4"/>
      </w:pBdr>
      <w:spacing w:before="200" w:after="280"/>
      <w:ind w:left="936" w:right="936"/>
    </w:pPr>
    <w:rPr>
      <w:b/>
      <w:bCs/>
      <w:i/>
      <w:iCs/>
      <w:color w:val="4F81BD"/>
      <w:kern w:val="0"/>
      <w:sz w:val="20"/>
      <w:szCs w:val="20"/>
    </w:rPr>
  </w:style>
  <w:style w:type="table" w:styleId="62">
    <w:name w:val="Table Grid"/>
    <w:basedOn w:val="61"/>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22"/>
    <w:rPr>
      <w:b/>
      <w:bCs/>
    </w:rPr>
  </w:style>
  <w:style w:type="character" w:styleId="65">
    <w:name w:val="page number"/>
    <w:basedOn w:val="63"/>
    <w:qFormat/>
    <w:uiPriority w:val="0"/>
  </w:style>
  <w:style w:type="character" w:styleId="66">
    <w:name w:val="FollowedHyperlink"/>
    <w:qFormat/>
    <w:uiPriority w:val="0"/>
    <w:rPr>
      <w:rFonts w:ascii="Arial" w:hAnsi="Arial" w:eastAsia="黑体" w:cs="Arial"/>
      <w:snapToGrid w:val="0"/>
      <w:color w:val="000000"/>
      <w:kern w:val="0"/>
      <w:sz w:val="18"/>
      <w:szCs w:val="18"/>
      <w:u w:val="none"/>
    </w:rPr>
  </w:style>
  <w:style w:type="character" w:styleId="67">
    <w:name w:val="Emphasis"/>
    <w:qFormat/>
    <w:uiPriority w:val="0"/>
    <w:rPr>
      <w:color w:val="CC0033"/>
    </w:rPr>
  </w:style>
  <w:style w:type="character" w:styleId="68">
    <w:name w:val="line number"/>
    <w:basedOn w:val="63"/>
    <w:qFormat/>
    <w:uiPriority w:val="0"/>
  </w:style>
  <w:style w:type="character" w:styleId="69">
    <w:name w:val="Hyperlink"/>
    <w:qFormat/>
    <w:uiPriority w:val="99"/>
    <w:rPr>
      <w:rFonts w:ascii="Arial" w:hAnsi="Arial" w:eastAsia="黑体" w:cs="Arial"/>
      <w:snapToGrid w:val="0"/>
      <w:color w:val="000000"/>
      <w:kern w:val="0"/>
      <w:sz w:val="18"/>
      <w:szCs w:val="18"/>
      <w:u w:val="none"/>
    </w:rPr>
  </w:style>
  <w:style w:type="character" w:styleId="70">
    <w:name w:val="HTML Code"/>
    <w:qFormat/>
    <w:uiPriority w:val="0"/>
    <w:rPr>
      <w:rFonts w:ascii="黑体" w:hAnsi="Courier New" w:eastAsia="黑体" w:cs="楷体_GB2312"/>
      <w:sz w:val="20"/>
      <w:szCs w:val="20"/>
    </w:rPr>
  </w:style>
  <w:style w:type="character" w:styleId="71">
    <w:name w:val="annotation reference"/>
    <w:qFormat/>
    <w:uiPriority w:val="99"/>
    <w:rPr>
      <w:sz w:val="21"/>
      <w:szCs w:val="21"/>
    </w:rPr>
  </w:style>
  <w:style w:type="paragraph" w:customStyle="1" w:styleId="72">
    <w:name w:val="表格文字"/>
    <w:basedOn w:val="1"/>
    <w:qFormat/>
    <w:uiPriority w:val="0"/>
    <w:pPr>
      <w:adjustRightInd/>
      <w:ind w:firstLine="200" w:firstLineChars="200"/>
    </w:pPr>
    <w:rPr>
      <w:rFonts w:ascii="Arial" w:hAnsi="Arial"/>
      <w:spacing w:val="-5"/>
      <w:kern w:val="0"/>
      <w:sz w:val="24"/>
      <w:szCs w:val="20"/>
    </w:rPr>
  </w:style>
  <w:style w:type="paragraph" w:customStyle="1" w:styleId="7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
    <w:name w:val="冯"/>
    <w:basedOn w:val="1"/>
    <w:link w:val="515"/>
    <w:qFormat/>
    <w:uiPriority w:val="0"/>
    <w:pPr>
      <w:widowControl/>
      <w:adjustRightInd/>
      <w:spacing w:line="360" w:lineRule="auto"/>
      <w:ind w:firstLine="480" w:firstLineChars="200"/>
    </w:pPr>
    <w:rPr>
      <w:rFonts w:ascii="宋体" w:hAnsi="宋体"/>
      <w:color w:val="000000"/>
      <w:kern w:val="0"/>
      <w:sz w:val="24"/>
    </w:rPr>
  </w:style>
  <w:style w:type="paragraph" w:customStyle="1" w:styleId="75">
    <w:name w:val="样式3"/>
    <w:basedOn w:val="76"/>
    <w:qFormat/>
    <w:uiPriority w:val="0"/>
    <w:pPr>
      <w:tabs>
        <w:tab w:val="left" w:pos="2790"/>
        <w:tab w:val="left" w:pos="4230"/>
      </w:tabs>
      <w:spacing w:before="312" w:beforeLines="100"/>
      <w:jc w:val="left"/>
    </w:pPr>
  </w:style>
  <w:style w:type="paragraph" w:customStyle="1" w:styleId="7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7">
    <w:name w:val="P1"/>
    <w:basedOn w:val="1"/>
    <w:qFormat/>
    <w:uiPriority w:val="0"/>
    <w:pPr>
      <w:adjustRightInd/>
      <w:spacing w:line="288" w:lineRule="auto"/>
      <w:ind w:firstLine="425" w:firstLineChars="200"/>
    </w:pPr>
  </w:style>
  <w:style w:type="paragraph" w:customStyle="1" w:styleId="78">
    <w:name w:val="Char1 Char Char Char"/>
    <w:basedOn w:val="1"/>
    <w:qFormat/>
    <w:uiPriority w:val="0"/>
    <w:rPr>
      <w:rFonts w:ascii="Tahoma" w:hAnsi="Tahoma"/>
      <w:sz w:val="24"/>
      <w:szCs w:val="20"/>
    </w:rPr>
  </w:style>
  <w:style w:type="paragraph" w:customStyle="1" w:styleId="7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1">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
    <w:name w:val="样式7"/>
    <w:basedOn w:val="84"/>
    <w:next w:val="1"/>
    <w:qFormat/>
    <w:uiPriority w:val="0"/>
    <w:pPr>
      <w:spacing w:after="156" w:afterLines="50"/>
      <w:jc w:val="left"/>
      <w:outlineLvl w:val="3"/>
    </w:pPr>
    <w:rPr>
      <w:sz w:val="24"/>
      <w:szCs w:val="24"/>
    </w:rPr>
  </w:style>
  <w:style w:type="paragraph" w:customStyle="1" w:styleId="84">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5">
    <w:name w:val="Bulleted List"/>
    <w:basedOn w:val="1"/>
    <w:qFormat/>
    <w:uiPriority w:val="0"/>
    <w:pPr>
      <w:numPr>
        <w:ilvl w:val="1"/>
        <w:numId w:val="4"/>
      </w:numPr>
      <w:adjustRightInd/>
    </w:pPr>
  </w:style>
  <w:style w:type="paragraph" w:customStyle="1" w:styleId="86">
    <w:name w:val="Char3"/>
    <w:basedOn w:val="1"/>
    <w:qFormat/>
    <w:uiPriority w:val="0"/>
    <w:pPr>
      <w:adjustRightInd/>
    </w:pPr>
    <w:rPr>
      <w:rFonts w:ascii="仿宋_GB2312" w:eastAsia="仿宋_GB2312"/>
      <w:b/>
      <w:sz w:val="32"/>
      <w:szCs w:val="32"/>
    </w:rPr>
  </w:style>
  <w:style w:type="paragraph" w:customStyle="1" w:styleId="87">
    <w:name w:val="Char Char1 Char Char Char Char Char Char"/>
    <w:basedOn w:val="1"/>
    <w:qFormat/>
    <w:uiPriority w:val="0"/>
    <w:rPr>
      <w:rFonts w:ascii="仿宋_GB2312" w:eastAsia="仿宋_GB2312"/>
      <w:b/>
      <w:sz w:val="32"/>
      <w:szCs w:val="20"/>
    </w:rPr>
  </w:style>
  <w:style w:type="paragraph" w:customStyle="1" w:styleId="88">
    <w:name w:val="文本正文 Char"/>
    <w:basedOn w:val="1"/>
    <w:qFormat/>
    <w:uiPriority w:val="0"/>
    <w:pPr>
      <w:spacing w:line="360" w:lineRule="auto"/>
      <w:ind w:firstLine="200" w:firstLineChars="200"/>
    </w:pPr>
    <w:rPr>
      <w:kern w:val="0"/>
      <w:sz w:val="24"/>
      <w:szCs w:val="20"/>
    </w:rPr>
  </w:style>
  <w:style w:type="paragraph" w:customStyle="1" w:styleId="89">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3">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4">
    <w:name w:val="样式 标题 22h2L1 Heading 2H2sect 1.2H21sect 1.21H22sect 1.2..."/>
    <w:basedOn w:val="4"/>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5">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6">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8">
    <w:name w:val="Char1"/>
    <w:basedOn w:val="1"/>
    <w:qFormat/>
    <w:uiPriority w:val="0"/>
    <w:rPr>
      <w:rFonts w:ascii="仿宋_GB2312" w:eastAsia="仿宋_GB2312"/>
      <w:b/>
      <w:sz w:val="32"/>
      <w:szCs w:val="32"/>
    </w:rPr>
  </w:style>
  <w:style w:type="paragraph" w:customStyle="1" w:styleId="99">
    <w:name w:val="CM14"/>
    <w:basedOn w:val="100"/>
    <w:next w:val="100"/>
    <w:qFormat/>
    <w:uiPriority w:val="0"/>
    <w:pPr>
      <w:spacing w:after="68"/>
    </w:pPr>
    <w:rPr>
      <w:rFonts w:ascii="FHLHE E+ Futura Bk" w:eastAsia="FHLHE E+ Futura Bk" w:cs="Times New Roman"/>
      <w:color w:val="auto"/>
    </w:rPr>
  </w:style>
  <w:style w:type="paragraph" w:customStyle="1" w:styleId="100">
    <w:name w:val="Default"/>
    <w:link w:val="62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2">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3">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5">
    <w:name w:val="标书标题4"/>
    <w:basedOn w:val="2"/>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6">
    <w:name w:val="List Paragraph"/>
    <w:basedOn w:val="1"/>
    <w:qFormat/>
    <w:uiPriority w:val="0"/>
    <w:pPr>
      <w:spacing w:line="360" w:lineRule="auto"/>
      <w:ind w:firstLine="200" w:firstLineChars="200"/>
    </w:pPr>
    <w:rPr>
      <w:rFonts w:eastAsia="楷体_GB2312" w:cs="Lucida Sans"/>
      <w:sz w:val="24"/>
    </w:rPr>
  </w:style>
  <w:style w:type="paragraph" w:customStyle="1" w:styleId="10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8">
    <w:name w:val="Char2 Char Char Char"/>
    <w:basedOn w:val="1"/>
    <w:qFormat/>
    <w:uiPriority w:val="0"/>
    <w:rPr>
      <w:rFonts w:ascii="仿宋_GB2312" w:eastAsia="仿宋_GB2312"/>
      <w:b/>
      <w:sz w:val="32"/>
      <w:szCs w:val="32"/>
    </w:rPr>
  </w:style>
  <w:style w:type="paragraph" w:customStyle="1" w:styleId="1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0">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1">
    <w:name w:val="Char Char Char"/>
    <w:basedOn w:val="1"/>
    <w:qFormat/>
    <w:uiPriority w:val="0"/>
    <w:rPr>
      <w:rFonts w:ascii="Tahoma" w:hAnsi="Tahoma"/>
      <w:sz w:val="24"/>
      <w:szCs w:val="20"/>
    </w:rPr>
  </w:style>
  <w:style w:type="paragraph" w:customStyle="1" w:styleId="1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3">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4">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7">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9">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0">
    <w:name w:val="FA正文"/>
    <w:basedOn w:val="1"/>
    <w:qFormat/>
    <w:uiPriority w:val="0"/>
    <w:pPr>
      <w:spacing w:line="360" w:lineRule="auto"/>
      <w:ind w:firstLine="480" w:firstLineChars="200"/>
    </w:pPr>
    <w:rPr>
      <w:rFonts w:hAnsi="宋体"/>
      <w:sz w:val="24"/>
      <w:szCs w:val="20"/>
    </w:rPr>
  </w:style>
  <w:style w:type="paragraph" w:customStyle="1" w:styleId="121">
    <w:name w:val="MM Topic 4"/>
    <w:basedOn w:val="2"/>
    <w:qFormat/>
    <w:uiPriority w:val="0"/>
    <w:pPr>
      <w:numPr>
        <w:ilvl w:val="0"/>
        <w:numId w:val="0"/>
      </w:numPr>
      <w:tabs>
        <w:tab w:val="left" w:pos="2100"/>
        <w:tab w:val="clear" w:pos="864"/>
      </w:tabs>
      <w:adjustRightInd/>
      <w:ind w:left="2100" w:hanging="420"/>
    </w:pPr>
    <w:rPr>
      <w:lang w:val="en-US"/>
    </w:rPr>
  </w:style>
  <w:style w:type="paragraph" w:customStyle="1" w:styleId="122">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3">
    <w:name w:val="有符号正文"/>
    <w:basedOn w:val="1"/>
    <w:qFormat/>
    <w:uiPriority w:val="0"/>
    <w:pPr>
      <w:adjustRightInd/>
      <w:spacing w:line="400" w:lineRule="exact"/>
      <w:ind w:firstLine="200" w:firstLineChars="200"/>
    </w:pPr>
    <w:rPr>
      <w:rFonts w:ascii="Arial" w:hAnsi="Arial"/>
    </w:rPr>
  </w:style>
  <w:style w:type="paragraph" w:customStyle="1" w:styleId="12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5">
    <w:name w:val="默认段落字体 Para Char"/>
    <w:basedOn w:val="1"/>
    <w:qFormat/>
    <w:uiPriority w:val="0"/>
    <w:rPr>
      <w:rFonts w:ascii="Tahoma" w:hAnsi="Tahoma"/>
      <w:sz w:val="24"/>
      <w:szCs w:val="20"/>
    </w:rPr>
  </w:style>
  <w:style w:type="paragraph" w:customStyle="1" w:styleId="126">
    <w:name w:val="Char1 Char Char Char2"/>
    <w:basedOn w:val="1"/>
    <w:qFormat/>
    <w:uiPriority w:val="0"/>
    <w:pPr>
      <w:adjustRightInd/>
      <w:ind w:firstLine="200" w:firstLineChars="200"/>
    </w:pPr>
    <w:rPr>
      <w:rFonts w:ascii="Tahoma" w:hAnsi="Tahoma"/>
      <w:sz w:val="24"/>
      <w:szCs w:val="20"/>
    </w:rPr>
  </w:style>
  <w:style w:type="paragraph" w:customStyle="1" w:styleId="12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8">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9">
    <w:name w:val="注释"/>
    <w:basedOn w:val="1"/>
    <w:qFormat/>
    <w:uiPriority w:val="0"/>
    <w:pPr>
      <w:adjustRightInd/>
      <w:spacing w:line="360" w:lineRule="auto"/>
      <w:ind w:firstLine="480"/>
    </w:pPr>
    <w:rPr>
      <w:sz w:val="24"/>
    </w:rPr>
  </w:style>
  <w:style w:type="paragraph" w:customStyle="1" w:styleId="13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1">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2">
    <w:name w:val="trademark"/>
    <w:qFormat/>
    <w:uiPriority w:val="0"/>
    <w:pPr>
      <w:spacing w:after="60"/>
    </w:pPr>
    <w:rPr>
      <w:rFonts w:ascii="Futura Bk" w:hAnsi="Futura Bk" w:eastAsia="宋体" w:cs="Times New Roman"/>
      <w:sz w:val="15"/>
      <w:lang w:val="en-US" w:eastAsia="en-US" w:bidi="ar-SA"/>
    </w:rPr>
  </w:style>
  <w:style w:type="paragraph" w:customStyle="1" w:styleId="13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4">
    <w:name w:val="EB_表格"/>
    <w:basedOn w:val="1"/>
    <w:qFormat/>
    <w:uiPriority w:val="0"/>
    <w:pPr>
      <w:adjustRightInd/>
      <w:spacing w:line="300" w:lineRule="auto"/>
      <w:jc w:val="center"/>
    </w:pPr>
  </w:style>
  <w:style w:type="paragraph" w:customStyle="1" w:styleId="135">
    <w:name w:val="Char Char Char1 Char"/>
    <w:basedOn w:val="1"/>
    <w:qFormat/>
    <w:uiPriority w:val="0"/>
    <w:rPr>
      <w:szCs w:val="20"/>
    </w:rPr>
  </w:style>
  <w:style w:type="paragraph" w:customStyle="1" w:styleId="13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7">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8">
    <w:name w:val="章标题"/>
    <w:next w:val="1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3">
    <w:name w:val="表文字"/>
    <w:qFormat/>
    <w:uiPriority w:val="0"/>
    <w:rPr>
      <w:rFonts w:ascii="宋体" w:hAnsi="Times New Roman" w:eastAsia="宋体" w:cs="Times New Roman"/>
      <w:kern w:val="2"/>
      <w:lang w:val="en-US" w:eastAsia="zh-CN" w:bidi="ar-SA"/>
    </w:rPr>
  </w:style>
  <w:style w:type="paragraph" w:customStyle="1" w:styleId="14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7">
    <w:name w:val="列表内容"/>
    <w:basedOn w:val="1"/>
    <w:next w:val="1"/>
    <w:qFormat/>
    <w:uiPriority w:val="0"/>
    <w:pPr>
      <w:widowControl/>
      <w:tabs>
        <w:tab w:val="left" w:pos="840"/>
      </w:tabs>
      <w:ind w:left="840" w:hanging="420"/>
      <w:jc w:val="left"/>
    </w:pPr>
    <w:rPr>
      <w:kern w:val="0"/>
      <w:sz w:val="18"/>
    </w:rPr>
  </w:style>
  <w:style w:type="paragraph" w:customStyle="1" w:styleId="14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9">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0">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1">
    <w:name w:val="Char2 Char Char"/>
    <w:basedOn w:val="1"/>
    <w:qFormat/>
    <w:uiPriority w:val="0"/>
    <w:pPr>
      <w:adjustRightInd/>
    </w:pPr>
    <w:rPr>
      <w:rFonts w:ascii="Tahoma" w:hAnsi="Tahoma"/>
      <w:sz w:val="24"/>
      <w:szCs w:val="20"/>
    </w:rPr>
  </w:style>
  <w:style w:type="paragraph" w:customStyle="1" w:styleId="15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4">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6">
    <w:name w:val="Char Char1 Char Char Char"/>
    <w:basedOn w:val="1"/>
    <w:qFormat/>
    <w:uiPriority w:val="0"/>
    <w:rPr>
      <w:rFonts w:ascii="仿宋_GB2312" w:eastAsia="仿宋_GB2312"/>
      <w:b/>
      <w:sz w:val="32"/>
      <w:szCs w:val="20"/>
    </w:rPr>
  </w:style>
  <w:style w:type="paragraph" w:customStyle="1" w:styleId="15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8">
    <w:name w:val="WW-正文文字缩进 2"/>
    <w:basedOn w:val="1"/>
    <w:qFormat/>
    <w:uiPriority w:val="0"/>
    <w:pPr>
      <w:suppressAutoHyphens/>
      <w:adjustRightInd/>
      <w:ind w:firstLine="420"/>
    </w:pPr>
    <w:rPr>
      <w:kern w:val="1"/>
      <w:szCs w:val="20"/>
    </w:rPr>
  </w:style>
  <w:style w:type="paragraph" w:customStyle="1" w:styleId="15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0"/>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8"/>
    <w:qFormat/>
    <w:uiPriority w:val="0"/>
    <w:pPr>
      <w:tabs>
        <w:tab w:val="left" w:pos="2356"/>
      </w:tabs>
    </w:pPr>
  </w:style>
  <w:style w:type="paragraph" w:customStyle="1" w:styleId="171">
    <w:name w:val="样式 标题 4h4H4Fab-4T5Ref Heading 1rh1Heading sqlsect 1.2.3...."/>
    <w:basedOn w:val="2"/>
    <w:link w:val="558"/>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39"/>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39"/>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39"/>
    <w:qFormat/>
    <w:uiPriority w:val="0"/>
    <w:pPr>
      <w:numPr>
        <w:ilvl w:val="3"/>
        <w:numId w:val="4"/>
      </w:numPr>
      <w:tabs>
        <w:tab w:val="left" w:pos="1680"/>
      </w:tabs>
      <w:ind w:left="0"/>
      <w:outlineLvl w:val="3"/>
    </w:pPr>
  </w:style>
  <w:style w:type="paragraph" w:customStyle="1" w:styleId="175">
    <w:name w:val="一级条标题"/>
    <w:basedOn w:val="138"/>
    <w:next w:val="139"/>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5"/>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4"/>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2"/>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5"/>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2"/>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3"/>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2"/>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3"/>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3"/>
    <w:qFormat/>
    <w:uiPriority w:val="0"/>
    <w:pPr>
      <w:snapToGrid w:val="0"/>
      <w:spacing w:line="360" w:lineRule="auto"/>
    </w:pPr>
    <w:rPr>
      <w:rFonts w:ascii="宋体"/>
      <w:b/>
      <w:sz w:val="24"/>
      <w:szCs w:val="20"/>
    </w:rPr>
  </w:style>
  <w:style w:type="paragraph" w:customStyle="1" w:styleId="230">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1"/>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4"/>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6"/>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5"/>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1"/>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8"/>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0"/>
    <w:next w:val="100"/>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6"/>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28"/>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3"/>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4"/>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3"/>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4"/>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4"/>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6"/>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5"/>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5"/>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4"/>
    <w:next w:val="1"/>
    <w:qFormat/>
    <w:uiPriority w:val="0"/>
    <w:pPr>
      <w:numPr>
        <w:ilvl w:val="1"/>
        <w:numId w:val="5"/>
      </w:numPr>
      <w:tabs>
        <w:tab w:val="clear" w:pos="432"/>
      </w:tabs>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2"/>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16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1"/>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5"/>
    <w:qFormat/>
    <w:uiPriority w:val="0"/>
    <w:pPr>
      <w:numPr>
        <w:numId w:val="4"/>
      </w:numPr>
      <w:tabs>
        <w:tab w:val="left" w:pos="840"/>
        <w:tab w:val="left" w:pos="1680"/>
        <w:tab w:val="clear" w:pos="90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2"/>
    <w:link w:val="551"/>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39"/>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1"/>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4"/>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3"/>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6"/>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39"/>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 w:val="clear" w:pos="1008"/>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0"/>
    <w:basedOn w:val="1"/>
    <w:qFormat/>
    <w:uiPriority w:val="0"/>
    <w:pPr>
      <w:widowControl/>
    </w:pPr>
    <w:rPr>
      <w:kern w:val="0"/>
      <w:sz w:val="24"/>
      <w:szCs w:val="20"/>
    </w:rPr>
  </w:style>
  <w:style w:type="paragraph" w:customStyle="1" w:styleId="407">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8">
    <w:name w:val="b11_01b"/>
    <w:basedOn w:val="1"/>
    <w:next w:val="1"/>
    <w:link w:val="55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9">
    <w:name w:val="MM Topic 5"/>
    <w:basedOn w:val="6"/>
    <w:qFormat/>
    <w:uiPriority w:val="0"/>
    <w:pPr>
      <w:numPr>
        <w:numId w:val="4"/>
      </w:numPr>
      <w:tabs>
        <w:tab w:val="left" w:pos="840"/>
        <w:tab w:val="left" w:pos="2520"/>
        <w:tab w:val="clear" w:pos="1008"/>
      </w:tabs>
      <w:adjustRightInd/>
    </w:pPr>
  </w:style>
  <w:style w:type="paragraph" w:customStyle="1" w:styleId="410">
    <w:name w:val="样式 标题 3标题 3 Char第二层条h33Bold Headbh章标题1小标题level_3PIM 3..."/>
    <w:basedOn w:val="5"/>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2">
    <w:name w:val="数字标题1"/>
    <w:basedOn w:val="3"/>
    <w:next w:val="1"/>
    <w:qFormat/>
    <w:uiPriority w:val="0"/>
    <w:pPr>
      <w:numPr>
        <w:numId w:val="5"/>
      </w:numPr>
      <w:tabs>
        <w:tab w:val="left" w:pos="480"/>
        <w:tab w:val="clear" w:pos="432"/>
      </w:tabs>
    </w:pPr>
  </w:style>
  <w:style w:type="paragraph" w:customStyle="1" w:styleId="413">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4">
    <w:name w:val="标书标题3"/>
    <w:basedOn w:val="5"/>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6">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0">
    <w:name w:val="MM Topic 1"/>
    <w:basedOn w:val="3"/>
    <w:qFormat/>
    <w:uiPriority w:val="0"/>
    <w:pPr>
      <w:numPr>
        <w:numId w:val="0"/>
      </w:numPr>
      <w:tabs>
        <w:tab w:val="left" w:pos="840"/>
        <w:tab w:val="clear" w:pos="432"/>
      </w:tabs>
      <w:adjustRightInd/>
      <w:ind w:left="840" w:hanging="420"/>
    </w:pPr>
  </w:style>
  <w:style w:type="paragraph" w:customStyle="1" w:styleId="421">
    <w:name w:val="Char Char Char Char Char Char Char Char1"/>
    <w:basedOn w:val="1"/>
    <w:qFormat/>
    <w:uiPriority w:val="0"/>
    <w:pPr>
      <w:tabs>
        <w:tab w:val="left" w:pos="360"/>
      </w:tabs>
    </w:pPr>
    <w:rPr>
      <w:sz w:val="24"/>
      <w:szCs w:val="20"/>
    </w:rPr>
  </w:style>
  <w:style w:type="paragraph" w:customStyle="1" w:styleId="422">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3">
    <w:name w:val="Char3 Char Char Char1"/>
    <w:basedOn w:val="1"/>
    <w:qFormat/>
    <w:uiPriority w:val="0"/>
    <w:pPr>
      <w:widowControl/>
      <w:adjustRightInd/>
      <w:spacing w:after="160" w:line="240" w:lineRule="exact"/>
      <w:jc w:val="left"/>
    </w:pPr>
    <w:rPr>
      <w:szCs w:val="20"/>
    </w:rPr>
  </w:style>
  <w:style w:type="paragraph" w:customStyle="1" w:styleId="424">
    <w:name w:val="Char Char12"/>
    <w:basedOn w:val="1"/>
    <w:qFormat/>
    <w:uiPriority w:val="0"/>
    <w:pPr>
      <w:widowControl/>
      <w:spacing w:after="160" w:line="240" w:lineRule="exact"/>
      <w:jc w:val="left"/>
    </w:pPr>
    <w:rPr>
      <w:rFonts w:eastAsia="仿宋_GB2312"/>
      <w:sz w:val="28"/>
    </w:rPr>
  </w:style>
  <w:style w:type="paragraph" w:customStyle="1" w:styleId="42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6">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7">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8">
    <w:name w:val="单元格左对齐"/>
    <w:basedOn w:val="1"/>
    <w:qFormat/>
    <w:uiPriority w:val="0"/>
    <w:pPr>
      <w:adjustRightInd/>
      <w:spacing w:line="360" w:lineRule="auto"/>
    </w:pPr>
    <w:rPr>
      <w:sz w:val="24"/>
    </w:rPr>
  </w:style>
  <w:style w:type="paragraph" w:customStyle="1" w:styleId="429">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1">
    <w:name w:val="正文文本 Char"/>
    <w:qFormat/>
    <w:uiPriority w:val="0"/>
    <w:rPr>
      <w:rFonts w:eastAsia="宋体"/>
      <w:kern w:val="2"/>
      <w:sz w:val="24"/>
      <w:szCs w:val="24"/>
      <w:lang w:val="en-US" w:eastAsia="zh-CN" w:bidi="ar-SA"/>
    </w:rPr>
  </w:style>
  <w:style w:type="character" w:customStyle="1" w:styleId="432">
    <w:name w:val="myp1111"/>
    <w:qFormat/>
    <w:uiPriority w:val="0"/>
    <w:rPr>
      <w:rFonts w:hint="default" w:ascii="ˎ̥" w:hAnsi="ˎ̥"/>
      <w:color w:val="000000"/>
      <w:sz w:val="20"/>
      <w:szCs w:val="20"/>
      <w:u w:val="none"/>
    </w:rPr>
  </w:style>
  <w:style w:type="character" w:customStyle="1" w:styleId="433">
    <w:name w:val="mdeck"/>
    <w:qFormat/>
    <w:uiPriority w:val="0"/>
    <w:rPr>
      <w:rFonts w:ascii="仿宋_GB2312" w:eastAsia="微软雅黑"/>
      <w:b/>
      <w:kern w:val="2"/>
      <w:sz w:val="32"/>
      <w:szCs w:val="32"/>
      <w:lang w:val="en-US" w:eastAsia="zh-CN" w:bidi="ar-SA"/>
    </w:rPr>
  </w:style>
  <w:style w:type="character" w:customStyle="1" w:styleId="434">
    <w:name w:val="签名 字符"/>
    <w:link w:val="40"/>
    <w:qFormat/>
    <w:uiPriority w:val="0"/>
    <w:rPr>
      <w:rFonts w:eastAsia="仿宋_GB2312"/>
      <w:sz w:val="24"/>
    </w:rPr>
  </w:style>
  <w:style w:type="character" w:customStyle="1" w:styleId="435">
    <w:name w:val="tw4winMark"/>
    <w:qFormat/>
    <w:uiPriority w:val="0"/>
    <w:rPr>
      <w:rFonts w:ascii="Courier New" w:hAnsi="Courier New" w:cs="Courier New"/>
      <w:vanish/>
      <w:color w:val="800080"/>
      <w:sz w:val="24"/>
      <w:szCs w:val="24"/>
      <w:vertAlign w:val="subscript"/>
    </w:rPr>
  </w:style>
  <w:style w:type="character" w:customStyle="1" w:styleId="436">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7">
    <w:name w:val="Balloon Text Char"/>
    <w:semiHidden/>
    <w:qFormat/>
    <w:locked/>
    <w:uiPriority w:val="0"/>
    <w:rPr>
      <w:rFonts w:eastAsia="宋体"/>
      <w:kern w:val="2"/>
      <w:sz w:val="18"/>
      <w:szCs w:val="18"/>
      <w:lang w:val="en-US" w:eastAsia="zh-CN" w:bidi="ar-SA"/>
    </w:rPr>
  </w:style>
  <w:style w:type="character" w:customStyle="1" w:styleId="438">
    <w:name w:val="正文非缩进 Char"/>
    <w:qFormat/>
    <w:uiPriority w:val="0"/>
    <w:rPr>
      <w:rFonts w:ascii="宋体" w:eastAsia="宋体"/>
      <w:snapToGrid w:val="0"/>
      <w:color w:val="000000"/>
      <w:kern w:val="28"/>
      <w:sz w:val="28"/>
      <w:lang w:val="en-US" w:eastAsia="zh-CN" w:bidi="ar-SA"/>
    </w:rPr>
  </w:style>
  <w:style w:type="character" w:customStyle="1" w:styleId="439">
    <w:name w:val="此正文 Char"/>
    <w:link w:val="355"/>
    <w:qFormat/>
    <w:uiPriority w:val="0"/>
    <w:rPr>
      <w:kern w:val="2"/>
      <w:sz w:val="24"/>
      <w:szCs w:val="24"/>
    </w:rPr>
  </w:style>
  <w:style w:type="character" w:customStyle="1" w:styleId="440">
    <w:name w:val="Ò³Ã¼ Char Char"/>
    <w:qFormat/>
    <w:uiPriority w:val="0"/>
    <w:rPr>
      <w:rFonts w:eastAsia="宋体"/>
      <w:kern w:val="2"/>
      <w:sz w:val="18"/>
      <w:lang w:val="en-US" w:eastAsia="zh-CN" w:bidi="ar-SA"/>
    </w:rPr>
  </w:style>
  <w:style w:type="character" w:customStyle="1" w:styleId="441">
    <w:name w:val="style91"/>
    <w:qFormat/>
    <w:uiPriority w:val="0"/>
    <w:rPr>
      <w:color w:val="333333"/>
    </w:rPr>
  </w:style>
  <w:style w:type="character" w:customStyle="1" w:styleId="442">
    <w:name w:val="标书1 Char"/>
    <w:qFormat/>
    <w:uiPriority w:val="0"/>
    <w:rPr>
      <w:rFonts w:eastAsia="宋体"/>
      <w:b/>
      <w:bCs/>
      <w:kern w:val="44"/>
      <w:sz w:val="44"/>
      <w:szCs w:val="44"/>
      <w:lang w:val="en-US" w:eastAsia="zh-CN" w:bidi="ar-SA"/>
    </w:rPr>
  </w:style>
  <w:style w:type="character" w:customStyle="1" w:styleId="443">
    <w:name w:val="ca-131"/>
    <w:qFormat/>
    <w:uiPriority w:val="0"/>
    <w:rPr>
      <w:rFonts w:hint="eastAsia" w:ascii="仿宋_GB2312" w:eastAsia="仿宋_GB2312"/>
      <w:b/>
      <w:bCs/>
      <w:color w:val="000000"/>
      <w:spacing w:val="-20"/>
      <w:sz w:val="24"/>
      <w:szCs w:val="24"/>
    </w:rPr>
  </w:style>
  <w:style w:type="character" w:customStyle="1" w:styleId="444">
    <w:name w:val="标书正文格式 Char"/>
    <w:qFormat/>
    <w:uiPriority w:val="0"/>
    <w:rPr>
      <w:rFonts w:eastAsia="楷体_GB2312"/>
      <w:kern w:val="2"/>
      <w:sz w:val="24"/>
      <w:szCs w:val="24"/>
      <w:lang w:bidi="ar-SA"/>
    </w:rPr>
  </w:style>
  <w:style w:type="character" w:customStyle="1" w:styleId="445">
    <w:name w:val="Char Char6"/>
    <w:qFormat/>
    <w:uiPriority w:val="0"/>
    <w:rPr>
      <w:rFonts w:eastAsia="宋体"/>
      <w:kern w:val="2"/>
      <w:sz w:val="21"/>
      <w:szCs w:val="24"/>
      <w:lang w:val="en-US" w:eastAsia="zh-CN" w:bidi="ar-SA"/>
    </w:rPr>
  </w:style>
  <w:style w:type="character" w:customStyle="1" w:styleId="446">
    <w:name w:val="正文2 Char Char"/>
    <w:link w:val="394"/>
    <w:qFormat/>
    <w:uiPriority w:val="0"/>
    <w:rPr>
      <w:rFonts w:eastAsia="宋体"/>
      <w:kern w:val="2"/>
      <w:sz w:val="24"/>
      <w:lang w:val="en-US" w:eastAsia="zh-CN" w:bidi="ar-SA"/>
    </w:rPr>
  </w:style>
  <w:style w:type="character" w:customStyle="1" w:styleId="447">
    <w:name w:val="content"/>
    <w:qFormat/>
    <w:uiPriority w:val="0"/>
  </w:style>
  <w:style w:type="character" w:customStyle="1" w:styleId="448">
    <w:name w:val="正文文本 2 Char"/>
    <w:qFormat/>
    <w:uiPriority w:val="0"/>
    <w:rPr>
      <w:rFonts w:eastAsia="宋体"/>
      <w:kern w:val="2"/>
      <w:sz w:val="21"/>
      <w:szCs w:val="24"/>
      <w:lang w:val="en-US" w:eastAsia="zh-CN" w:bidi="ar-SA"/>
    </w:rPr>
  </w:style>
  <w:style w:type="character" w:customStyle="1" w:styleId="449">
    <w:name w:val="Heading 2 Hidden Char"/>
    <w:qFormat/>
    <w:uiPriority w:val="0"/>
    <w:rPr>
      <w:rFonts w:ascii="仿宋_GB2312" w:eastAsia="仿宋_GB2312"/>
      <w:b/>
      <w:bCs/>
      <w:kern w:val="2"/>
      <w:sz w:val="24"/>
      <w:szCs w:val="24"/>
      <w:lang w:val="zh-CN" w:eastAsia="zh-CN" w:bidi="ar-SA"/>
    </w:rPr>
  </w:style>
  <w:style w:type="character" w:customStyle="1" w:styleId="450">
    <w:name w:val="首行缩进 Char"/>
    <w:qFormat/>
    <w:uiPriority w:val="0"/>
    <w:rPr>
      <w:rFonts w:ascii="宋体" w:eastAsia="宋体"/>
      <w:kern w:val="2"/>
      <w:sz w:val="24"/>
      <w:lang w:val="en-US" w:eastAsia="zh-CN" w:bidi="ar-SA"/>
    </w:rPr>
  </w:style>
  <w:style w:type="character" w:customStyle="1" w:styleId="45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2">
    <w:name w:val="普通文字 Char Char1"/>
    <w:qFormat/>
    <w:uiPriority w:val="0"/>
    <w:rPr>
      <w:rFonts w:ascii="宋体" w:hAnsi="Courier New"/>
      <w:kern w:val="2"/>
      <w:sz w:val="21"/>
    </w:rPr>
  </w:style>
  <w:style w:type="character" w:customStyle="1" w:styleId="453">
    <w:name w:val="Footer-Even Char"/>
    <w:qFormat/>
    <w:uiPriority w:val="0"/>
    <w:rPr>
      <w:rFonts w:eastAsia="宋体"/>
      <w:kern w:val="2"/>
      <w:sz w:val="18"/>
      <w:lang w:val="en-US" w:eastAsia="zh-CN" w:bidi="ar-SA"/>
    </w:rPr>
  </w:style>
  <w:style w:type="character" w:customStyle="1" w:styleId="454">
    <w:name w:val="dandyren_title1"/>
    <w:qFormat/>
    <w:uiPriority w:val="0"/>
    <w:rPr>
      <w:b/>
      <w:bCs/>
      <w:color w:val="FF6633"/>
      <w:sz w:val="18"/>
      <w:szCs w:val="18"/>
    </w:rPr>
  </w:style>
  <w:style w:type="character" w:customStyle="1" w:styleId="455">
    <w:name w:val="标题 3 Char2"/>
    <w:qFormat/>
    <w:uiPriority w:val="0"/>
    <w:rPr>
      <w:rFonts w:eastAsia="宋体"/>
      <w:b/>
      <w:bCs/>
      <w:kern w:val="2"/>
      <w:sz w:val="32"/>
      <w:szCs w:val="32"/>
      <w:lang w:val="en-US" w:eastAsia="zh-CN" w:bidi="ar-SA"/>
    </w:rPr>
  </w:style>
  <w:style w:type="character" w:customStyle="1" w:styleId="456">
    <w:name w:val="gray6"/>
    <w:basedOn w:val="63"/>
    <w:qFormat/>
    <w:uiPriority w:val="0"/>
  </w:style>
  <w:style w:type="character" w:customStyle="1" w:styleId="457">
    <w:name w:val="标准正文格式 Char"/>
    <w:qFormat/>
    <w:uiPriority w:val="0"/>
    <w:rPr>
      <w:rFonts w:ascii="宋体" w:eastAsia="仿宋_GB2312" w:cs="宋体"/>
      <w:color w:val="000000"/>
      <w:sz w:val="24"/>
      <w:lang w:val="en-US" w:eastAsia="zh-CN" w:bidi="ar-SA"/>
    </w:rPr>
  </w:style>
  <w:style w:type="character" w:customStyle="1" w:styleId="458">
    <w:name w:val="Char Char3"/>
    <w:qFormat/>
    <w:uiPriority w:val="0"/>
    <w:rPr>
      <w:rFonts w:eastAsia="宋体"/>
      <w:kern w:val="2"/>
      <w:sz w:val="21"/>
      <w:szCs w:val="24"/>
      <w:lang w:val="en-US" w:eastAsia="zh-CN" w:bidi="ar-SA"/>
    </w:rPr>
  </w:style>
  <w:style w:type="character" w:customStyle="1" w:styleId="459">
    <w:name w:val="px14"/>
    <w:qFormat/>
    <w:uiPriority w:val="0"/>
    <w:rPr>
      <w:rFonts w:ascii="仿宋_GB2312" w:eastAsia="微软雅黑" w:cs="Times New Roman"/>
      <w:b/>
      <w:kern w:val="2"/>
      <w:sz w:val="32"/>
      <w:szCs w:val="32"/>
      <w:lang w:val="en-US" w:eastAsia="zh-CN" w:bidi="ar-SA"/>
    </w:rPr>
  </w:style>
  <w:style w:type="character" w:customStyle="1" w:styleId="460">
    <w:name w:val="txt"/>
    <w:qFormat/>
    <w:uiPriority w:val="0"/>
    <w:rPr>
      <w:rFonts w:ascii="仿宋_GB2312" w:eastAsia="微软雅黑"/>
      <w:b/>
      <w:kern w:val="2"/>
      <w:sz w:val="32"/>
      <w:szCs w:val="32"/>
      <w:lang w:val="en-US" w:eastAsia="zh-CN" w:bidi="ar-SA"/>
    </w:rPr>
  </w:style>
  <w:style w:type="character" w:customStyle="1" w:styleId="461">
    <w:name w:val="仿宋正文 Char"/>
    <w:link w:val="339"/>
    <w:qFormat/>
    <w:uiPriority w:val="0"/>
    <w:rPr>
      <w:rFonts w:ascii="仿宋_GB2312" w:eastAsia="仿宋_GB2312"/>
      <w:kern w:val="2"/>
      <w:sz w:val="24"/>
      <w:lang w:val="en-US" w:eastAsia="zh-CN" w:bidi="ar-SA"/>
    </w:rPr>
  </w:style>
  <w:style w:type="character" w:customStyle="1" w:styleId="462">
    <w:name w:val="Comment Text Char"/>
    <w:semiHidden/>
    <w:qFormat/>
    <w:locked/>
    <w:uiPriority w:val="0"/>
    <w:rPr>
      <w:rFonts w:ascii="宋体" w:hAnsi="宋体" w:eastAsia="宋体"/>
      <w:kern w:val="2"/>
      <w:sz w:val="24"/>
      <w:lang w:val="en-US" w:eastAsia="zh-CN" w:bidi="ar-SA"/>
    </w:rPr>
  </w:style>
  <w:style w:type="character" w:customStyle="1" w:styleId="463">
    <w:name w:val="tw4winExternal"/>
    <w:qFormat/>
    <w:uiPriority w:val="0"/>
    <w:rPr>
      <w:rFonts w:ascii="Courier New" w:hAnsi="Courier New" w:cs="Courier New"/>
      <w:color w:val="808080"/>
    </w:rPr>
  </w:style>
  <w:style w:type="character" w:customStyle="1" w:styleId="464">
    <w:name w:val="Char Char10"/>
    <w:semiHidden/>
    <w:qFormat/>
    <w:uiPriority w:val="0"/>
    <w:rPr>
      <w:rFonts w:ascii="宋体" w:hAnsi="宋体"/>
      <w:kern w:val="2"/>
      <w:sz w:val="21"/>
      <w:szCs w:val="24"/>
    </w:rPr>
  </w:style>
  <w:style w:type="character" w:customStyle="1" w:styleId="465">
    <w:name w:val="Bold"/>
    <w:qFormat/>
    <w:uiPriority w:val="0"/>
    <w:rPr>
      <w:rFonts w:ascii="Arial" w:hAnsi="Arial" w:eastAsia="黑体" w:cs="Times New Roman"/>
      <w:b/>
      <w:kern w:val="2"/>
      <w:sz w:val="32"/>
      <w:szCs w:val="32"/>
      <w:lang w:val="en-US" w:eastAsia="zh-CN" w:bidi="ar-SA"/>
    </w:rPr>
  </w:style>
  <w:style w:type="character" w:customStyle="1" w:styleId="466">
    <w:name w:val="Font Style82"/>
    <w:qFormat/>
    <w:uiPriority w:val="99"/>
    <w:rPr>
      <w:rFonts w:ascii="宋体" w:eastAsia="宋体" w:cs="宋体"/>
      <w:color w:val="000000"/>
      <w:sz w:val="14"/>
      <w:szCs w:val="14"/>
    </w:rPr>
  </w:style>
  <w:style w:type="character" w:customStyle="1" w:styleId="467">
    <w:name w:val="标题 2 Char"/>
    <w:qFormat/>
    <w:uiPriority w:val="0"/>
    <w:rPr>
      <w:rFonts w:ascii="Arial" w:hAnsi="Arial" w:eastAsia="黑体"/>
      <w:b/>
      <w:kern w:val="2"/>
      <w:sz w:val="32"/>
      <w:lang w:val="en-US" w:eastAsia="zh-CN"/>
    </w:rPr>
  </w:style>
  <w:style w:type="character" w:customStyle="1" w:styleId="468">
    <w:name w:val="h3 Char"/>
    <w:qFormat/>
    <w:uiPriority w:val="0"/>
    <w:rPr>
      <w:rFonts w:eastAsia="宋体"/>
      <w:b/>
      <w:kern w:val="2"/>
      <w:sz w:val="32"/>
      <w:lang w:val="en-US" w:eastAsia="zh-CN" w:bidi="ar-SA"/>
    </w:rPr>
  </w:style>
  <w:style w:type="character" w:customStyle="1" w:styleId="469">
    <w:name w:val="页眉 Char1"/>
    <w:qFormat/>
    <w:uiPriority w:val="0"/>
    <w:rPr>
      <w:rFonts w:eastAsia="宋体"/>
      <w:kern w:val="2"/>
      <w:sz w:val="18"/>
      <w:szCs w:val="18"/>
      <w:lang w:val="en-US" w:eastAsia="zh-CN" w:bidi="ar-SA"/>
    </w:rPr>
  </w:style>
  <w:style w:type="character" w:customStyle="1" w:styleId="470">
    <w:name w:val="标题 8 字符"/>
    <w:link w:val="9"/>
    <w:qFormat/>
    <w:uiPriority w:val="0"/>
    <w:rPr>
      <w:rFonts w:ascii="Arial" w:hAnsi="Arial" w:eastAsia="黑体"/>
      <w:kern w:val="2"/>
      <w:sz w:val="24"/>
      <w:szCs w:val="24"/>
    </w:rPr>
  </w:style>
  <w:style w:type="character" w:customStyle="1" w:styleId="471">
    <w:name w:val="冯广丽 Char"/>
    <w:link w:val="235"/>
    <w:qFormat/>
    <w:uiPriority w:val="0"/>
    <w:rPr>
      <w:rFonts w:ascii="宋体" w:hAnsi="宋体"/>
      <w:kern w:val="2"/>
      <w:sz w:val="24"/>
      <w:szCs w:val="22"/>
    </w:rPr>
  </w:style>
  <w:style w:type="character" w:customStyle="1" w:styleId="472">
    <w:name w:val="脚注文本 字符"/>
    <w:link w:val="47"/>
    <w:qFormat/>
    <w:uiPriority w:val="0"/>
    <w:rPr>
      <w:color w:val="0000FF"/>
      <w:sz w:val="21"/>
    </w:rPr>
  </w:style>
  <w:style w:type="character" w:customStyle="1" w:styleId="473">
    <w:name w:val="font12gray1"/>
    <w:qFormat/>
    <w:uiPriority w:val="0"/>
    <w:rPr>
      <w:rFonts w:ascii="仿宋_GB2312" w:eastAsia="微软雅黑"/>
      <w:b/>
      <w:spacing w:val="300"/>
      <w:kern w:val="2"/>
      <w:sz w:val="18"/>
      <w:szCs w:val="18"/>
      <w:lang w:val="en-US" w:eastAsia="zh-CN" w:bidi="ar-SA"/>
    </w:rPr>
  </w:style>
  <w:style w:type="character" w:customStyle="1" w:styleId="474">
    <w:name w:val="正文文本缩进 字符"/>
    <w:link w:val="24"/>
    <w:qFormat/>
    <w:uiPriority w:val="0"/>
    <w:rPr>
      <w:rFonts w:ascii="宋体" w:hAnsi="宋体"/>
      <w:kern w:val="2"/>
      <w:sz w:val="24"/>
      <w:szCs w:val="24"/>
    </w:rPr>
  </w:style>
  <w:style w:type="character" w:customStyle="1" w:styleId="475">
    <w:name w:val="方案正文 Char"/>
    <w:qFormat/>
    <w:uiPriority w:val="0"/>
    <w:rPr>
      <w:rFonts w:ascii="仿宋_GB2312" w:eastAsia="仿宋_GB2312"/>
      <w:b/>
      <w:color w:val="000000"/>
      <w:kern w:val="2"/>
      <w:sz w:val="24"/>
      <w:lang w:val="en-US" w:eastAsia="zh-CN" w:bidi="ar-SA"/>
    </w:rPr>
  </w:style>
  <w:style w:type="character" w:customStyle="1" w:styleId="476">
    <w:name w:val="Item List Char"/>
    <w:link w:val="262"/>
    <w:qFormat/>
    <w:uiPriority w:val="0"/>
    <w:rPr>
      <w:rFonts w:ascii="Arial"/>
      <w:bCs/>
      <w:sz w:val="21"/>
      <w:szCs w:val="21"/>
      <w:lang w:val="en-US" w:eastAsia="zh-CN" w:bidi="ar-SA"/>
    </w:rPr>
  </w:style>
  <w:style w:type="character" w:customStyle="1" w:styleId="477">
    <w:name w:val="Normal Indent Char Char"/>
    <w:qFormat/>
    <w:uiPriority w:val="0"/>
    <w:rPr>
      <w:rFonts w:eastAsia="宋体"/>
      <w:kern w:val="2"/>
      <w:sz w:val="21"/>
      <w:lang w:val="en-US" w:eastAsia="zh-CN" w:bidi="ar-SA"/>
    </w:rPr>
  </w:style>
  <w:style w:type="character" w:customStyle="1" w:styleId="478">
    <w:name w:val="t21"/>
    <w:qFormat/>
    <w:uiPriority w:val="0"/>
    <w:rPr>
      <w:rFonts w:ascii="仿宋_GB2312" w:eastAsia="微软雅黑"/>
      <w:b/>
      <w:kern w:val="2"/>
      <w:sz w:val="23"/>
      <w:szCs w:val="23"/>
      <w:lang w:val="en-US" w:eastAsia="zh-CN" w:bidi="ar-SA"/>
    </w:rPr>
  </w:style>
  <w:style w:type="character" w:customStyle="1" w:styleId="479">
    <w:name w:val="Char Char121"/>
    <w:qFormat/>
    <w:uiPriority w:val="0"/>
    <w:rPr>
      <w:rFonts w:ascii="仿宋_GB2312" w:eastAsia="仿宋_GB2312"/>
      <w:b/>
      <w:bCs/>
      <w:kern w:val="2"/>
      <w:sz w:val="24"/>
      <w:szCs w:val="24"/>
      <w:lang w:val="zh-CN" w:eastAsia="zh-CN" w:bidi="ar-SA"/>
    </w:rPr>
  </w:style>
  <w:style w:type="character" w:customStyle="1" w:styleId="480">
    <w:name w:val="标题 7 字符"/>
    <w:link w:val="8"/>
    <w:qFormat/>
    <w:uiPriority w:val="0"/>
    <w:rPr>
      <w:b/>
      <w:bCs/>
      <w:kern w:val="2"/>
      <w:sz w:val="24"/>
      <w:szCs w:val="24"/>
    </w:rPr>
  </w:style>
  <w:style w:type="character" w:customStyle="1" w:styleId="481">
    <w:name w:val="称呼 字符"/>
    <w:link w:val="20"/>
    <w:qFormat/>
    <w:uiPriority w:val="0"/>
    <w:rPr>
      <w:rFonts w:ascii="仿宋_GB2312" w:eastAsia="仿宋_GB2312"/>
      <w:kern w:val="2"/>
      <w:sz w:val="28"/>
    </w:rPr>
  </w:style>
  <w:style w:type="character" w:customStyle="1" w:styleId="482">
    <w:name w:val="正文 项目 Char"/>
    <w:qFormat/>
    <w:uiPriority w:val="0"/>
    <w:rPr>
      <w:rFonts w:ascii="仿宋_GB2312" w:hAnsi="仿宋_GB2312" w:eastAsia="仿宋_GB2312"/>
      <w:kern w:val="2"/>
      <w:sz w:val="24"/>
      <w:lang w:bidi="ar-SA"/>
    </w:rPr>
  </w:style>
  <w:style w:type="character" w:customStyle="1" w:styleId="483">
    <w:name w:val="普通文字 Char1"/>
    <w:qFormat/>
    <w:uiPriority w:val="0"/>
    <w:rPr>
      <w:rFonts w:ascii="宋体" w:hAnsi="Courier New" w:eastAsia="宋体"/>
      <w:kern w:val="2"/>
      <w:sz w:val="21"/>
      <w:lang w:val="en-US" w:eastAsia="zh-CN"/>
    </w:rPr>
  </w:style>
  <w:style w:type="character" w:customStyle="1" w:styleId="484">
    <w:name w:val="正文1 Char1"/>
    <w:qFormat/>
    <w:uiPriority w:val="0"/>
    <w:rPr>
      <w:rFonts w:ascii="仿宋_GB2312" w:hAnsi="Courier New" w:eastAsia="仿宋_GB2312"/>
      <w:kern w:val="28"/>
      <w:sz w:val="24"/>
      <w:szCs w:val="24"/>
    </w:rPr>
  </w:style>
  <w:style w:type="character" w:customStyle="1" w:styleId="485">
    <w:name w:val="hei16b1"/>
    <w:qFormat/>
    <w:uiPriority w:val="0"/>
    <w:rPr>
      <w:rFonts w:hint="default" w:ascii="Arial" w:hAnsi="Arial" w:cs="Arial"/>
      <w:b/>
      <w:bCs/>
      <w:color w:val="000000"/>
      <w:sz w:val="24"/>
      <w:szCs w:val="24"/>
    </w:rPr>
  </w:style>
  <w:style w:type="character" w:customStyle="1" w:styleId="486">
    <w:name w:val="c7 style3"/>
    <w:qFormat/>
    <w:uiPriority w:val="0"/>
  </w:style>
  <w:style w:type="character" w:customStyle="1" w:styleId="487">
    <w:name w:val="副标题 字符"/>
    <w:link w:val="23"/>
    <w:qFormat/>
    <w:uiPriority w:val="0"/>
    <w:rPr>
      <w:rFonts w:ascii="Arial" w:hAnsi="Arial" w:eastAsia="隶书"/>
      <w:b/>
      <w:bCs/>
      <w:kern w:val="28"/>
      <w:sz w:val="44"/>
      <w:szCs w:val="32"/>
      <w:lang w:val="en-US" w:eastAsia="zh-CN" w:bidi="ar-SA"/>
    </w:rPr>
  </w:style>
  <w:style w:type="character" w:customStyle="1" w:styleId="488">
    <w:name w:val="纯文本 字符"/>
    <w:link w:val="32"/>
    <w:qFormat/>
    <w:uiPriority w:val="0"/>
    <w:rPr>
      <w:rFonts w:ascii="宋体" w:hAnsi="Courier New" w:eastAsia="宋体" w:cs="Arial"/>
      <w:snapToGrid w:val="0"/>
      <w:kern w:val="2"/>
      <w:sz w:val="21"/>
      <w:szCs w:val="21"/>
      <w:lang w:val="en-US" w:eastAsia="zh-CN" w:bidi="ar-SA"/>
    </w:rPr>
  </w:style>
  <w:style w:type="character" w:customStyle="1" w:styleId="489">
    <w:name w:val="表正文 Char1"/>
    <w:qFormat/>
    <w:uiPriority w:val="0"/>
    <w:rPr>
      <w:rFonts w:ascii="宋体" w:eastAsia="宋体"/>
      <w:snapToGrid w:val="0"/>
      <w:color w:val="000000"/>
      <w:kern w:val="28"/>
      <w:sz w:val="28"/>
    </w:rPr>
  </w:style>
  <w:style w:type="character" w:customStyle="1" w:styleId="490">
    <w:name w:val="Char Char5"/>
    <w:qFormat/>
    <w:uiPriority w:val="0"/>
    <w:rPr>
      <w:rFonts w:ascii="宋体" w:hAnsi="Courier New" w:eastAsia="宋体"/>
      <w:kern w:val="2"/>
      <w:sz w:val="21"/>
      <w:lang w:val="en-US" w:eastAsia="zh-CN"/>
    </w:rPr>
  </w:style>
  <w:style w:type="character" w:customStyle="1" w:styleId="491">
    <w:name w:val="标题 1 Char Char"/>
    <w:qFormat/>
    <w:uiPriority w:val="0"/>
    <w:rPr>
      <w:rFonts w:hint="eastAsia" w:ascii="宋体" w:hAnsi="宋体" w:eastAsia="宋体"/>
      <w:b/>
      <w:spacing w:val="-2"/>
      <w:sz w:val="24"/>
      <w:lang w:val="en-US" w:eastAsia="zh-CN" w:bidi="ar-SA"/>
    </w:rPr>
  </w:style>
  <w:style w:type="character" w:customStyle="1" w:styleId="492">
    <w:name w:val="Char Char4"/>
    <w:qFormat/>
    <w:uiPriority w:val="0"/>
    <w:rPr>
      <w:rFonts w:eastAsia="宋体"/>
      <w:b/>
      <w:sz w:val="24"/>
      <w:lang w:val="en-GB" w:eastAsia="zh-CN" w:bidi="ar-SA"/>
    </w:rPr>
  </w:style>
  <w:style w:type="character" w:customStyle="1" w:styleId="493">
    <w:name w:val="zbggmain style9"/>
    <w:qFormat/>
    <w:uiPriority w:val="0"/>
  </w:style>
  <w:style w:type="character" w:customStyle="1" w:styleId="494">
    <w:name w:val="Header Char"/>
    <w:semiHidden/>
    <w:qFormat/>
    <w:locked/>
    <w:uiPriority w:val="0"/>
    <w:rPr>
      <w:rFonts w:eastAsia="宋体"/>
      <w:kern w:val="2"/>
      <w:sz w:val="18"/>
      <w:szCs w:val="18"/>
      <w:lang w:val="en-US" w:eastAsia="zh-CN" w:bidi="ar-SA"/>
    </w:rPr>
  </w:style>
  <w:style w:type="character" w:customStyle="1" w:styleId="495">
    <w:name w:val="样式 宋体"/>
    <w:qFormat/>
    <w:uiPriority w:val="0"/>
    <w:rPr>
      <w:rFonts w:ascii="宋体" w:hAnsi="宋体"/>
      <w:sz w:val="24"/>
    </w:rPr>
  </w:style>
  <w:style w:type="character" w:customStyle="1" w:styleId="496">
    <w:name w:val="哈哈正文 Char"/>
    <w:link w:val="313"/>
    <w:qFormat/>
    <w:uiPriority w:val="0"/>
    <w:rPr>
      <w:rFonts w:ascii="宋体" w:hAnsi="宋体" w:eastAsia="宋体"/>
      <w:kern w:val="2"/>
      <w:sz w:val="24"/>
      <w:lang w:bidi="ar-SA"/>
    </w:rPr>
  </w:style>
  <w:style w:type="character" w:customStyle="1" w:styleId="497">
    <w:name w:val="标题 Char"/>
    <w:qFormat/>
    <w:uiPriority w:val="0"/>
    <w:rPr>
      <w:rFonts w:eastAsia="宋体"/>
      <w:b/>
      <w:sz w:val="24"/>
      <w:lang w:val="en-GB" w:eastAsia="zh-CN" w:bidi="ar-SA"/>
    </w:rPr>
  </w:style>
  <w:style w:type="character" w:customStyle="1" w:styleId="498">
    <w:name w:val="纯文本 Char Char Char"/>
    <w:qFormat/>
    <w:uiPriority w:val="0"/>
    <w:rPr>
      <w:rFonts w:ascii="宋体" w:hAnsi="Courier New" w:eastAsia="宋体"/>
      <w:kern w:val="2"/>
      <w:sz w:val="21"/>
      <w:lang w:val="en-US" w:eastAsia="zh-CN" w:bidi="ar-SA"/>
    </w:rPr>
  </w:style>
  <w:style w:type="character" w:customStyle="1" w:styleId="499">
    <w:name w:val="正文 编号 Char"/>
    <w:qFormat/>
    <w:uiPriority w:val="0"/>
    <w:rPr>
      <w:rFonts w:ascii="仿宋_GB2312" w:hAnsi="仿宋_GB2312" w:eastAsia="仿宋_GB2312"/>
      <w:kern w:val="2"/>
      <w:sz w:val="24"/>
      <w:lang w:bidi="ar-SA"/>
    </w:rPr>
  </w:style>
  <w:style w:type="character" w:customStyle="1" w:styleId="500">
    <w:name w:val="插图说明 Char"/>
    <w:qFormat/>
    <w:uiPriority w:val="0"/>
    <w:rPr>
      <w:rFonts w:eastAsia="黑体"/>
      <w:sz w:val="24"/>
      <w:lang w:val="en-US" w:eastAsia="zh-CN"/>
    </w:rPr>
  </w:style>
  <w:style w:type="character" w:customStyle="1" w:styleId="501">
    <w:name w:val="正文文本首行缩进 2 字符"/>
    <w:link w:val="59"/>
    <w:qFormat/>
    <w:uiPriority w:val="0"/>
    <w:rPr>
      <w:rFonts w:ascii="宋体" w:hAnsi="宋体"/>
      <w:kern w:val="2"/>
      <w:sz w:val="21"/>
      <w:szCs w:val="24"/>
    </w:rPr>
  </w:style>
  <w:style w:type="character" w:customStyle="1" w:styleId="502">
    <w:name w:val="正文文本缩进 2 字符"/>
    <w:link w:val="36"/>
    <w:qFormat/>
    <w:uiPriority w:val="0"/>
    <w:rPr>
      <w:rFonts w:ascii="宋体"/>
      <w:sz w:val="28"/>
    </w:rPr>
  </w:style>
  <w:style w:type="character" w:customStyle="1" w:styleId="503">
    <w:name w:val="公文正文 Char"/>
    <w:qFormat/>
    <w:uiPriority w:val="0"/>
    <w:rPr>
      <w:rFonts w:ascii="仿宋_GB2312" w:eastAsia="仿宋_GB2312"/>
      <w:kern w:val="2"/>
      <w:sz w:val="24"/>
      <w:szCs w:val="24"/>
      <w:lang w:val="en-US" w:eastAsia="zh-CN" w:bidi="ar-SA"/>
    </w:rPr>
  </w:style>
  <w:style w:type="character" w:customStyle="1" w:styleId="504">
    <w:name w:val="Char Char41"/>
    <w:qFormat/>
    <w:uiPriority w:val="0"/>
    <w:rPr>
      <w:rFonts w:eastAsia="宋体"/>
      <w:b/>
      <w:sz w:val="24"/>
      <w:lang w:val="en-GB" w:eastAsia="zh-CN" w:bidi="ar-SA"/>
    </w:rPr>
  </w:style>
  <w:style w:type="character" w:customStyle="1" w:styleId="505">
    <w:name w:val="unnamed31"/>
    <w:qFormat/>
    <w:uiPriority w:val="0"/>
    <w:rPr>
      <w:rFonts w:ascii="Tahoma" w:hAnsi="Tahoma" w:eastAsia="宋体"/>
      <w:b/>
      <w:kern w:val="2"/>
      <w:sz w:val="24"/>
      <w:szCs w:val="32"/>
      <w:u w:val="none"/>
      <w:lang w:val="en-US" w:eastAsia="zh-CN" w:bidi="ar-SA"/>
    </w:rPr>
  </w:style>
  <w:style w:type="character" w:customStyle="1" w:styleId="506">
    <w:name w:val="Char Char91"/>
    <w:qFormat/>
    <w:uiPriority w:val="0"/>
    <w:rPr>
      <w:rFonts w:eastAsia="宋体"/>
      <w:kern w:val="2"/>
      <w:sz w:val="18"/>
      <w:szCs w:val="18"/>
      <w:lang w:val="en-US" w:eastAsia="zh-CN" w:bidi="ar-SA"/>
    </w:rPr>
  </w:style>
  <w:style w:type="character" w:customStyle="1" w:styleId="507">
    <w:name w:val="Footer-Even Char1"/>
    <w:qFormat/>
    <w:uiPriority w:val="0"/>
    <w:rPr>
      <w:rFonts w:eastAsia="宋体"/>
      <w:kern w:val="2"/>
      <w:sz w:val="18"/>
      <w:szCs w:val="18"/>
      <w:lang w:val="en-US" w:eastAsia="zh-CN" w:bidi="ar-SA"/>
    </w:rPr>
  </w:style>
  <w:style w:type="character" w:customStyle="1" w:styleId="508">
    <w:name w:val="gf正文1 Char"/>
    <w:qFormat/>
    <w:uiPriority w:val="0"/>
    <w:rPr>
      <w:rFonts w:ascii="宋体" w:hAnsi="宋体" w:eastAsia="宋体" w:cs="宋体"/>
      <w:kern w:val="2"/>
      <w:sz w:val="24"/>
      <w:szCs w:val="24"/>
      <w:lang w:val="en-US" w:eastAsia="zh-CN" w:bidi="ar-SA"/>
    </w:rPr>
  </w:style>
  <w:style w:type="character" w:customStyle="1" w:styleId="509">
    <w:name w:val="javascript"/>
    <w:qFormat/>
    <w:uiPriority w:val="0"/>
  </w:style>
  <w:style w:type="character" w:customStyle="1" w:styleId="510">
    <w:name w:val="列出段落 Char"/>
    <w:qFormat/>
    <w:uiPriority w:val="34"/>
    <w:rPr>
      <w:rFonts w:eastAsia="楷体_GB2312" w:cs="Lucida Sans"/>
      <w:kern w:val="2"/>
      <w:sz w:val="24"/>
      <w:szCs w:val="24"/>
      <w:lang w:val="en-US" w:eastAsia="zh-CN" w:bidi="ar-SA"/>
    </w:rPr>
  </w:style>
  <w:style w:type="character" w:customStyle="1" w:styleId="511">
    <w:name w:val="正文文本 字符"/>
    <w:link w:val="22"/>
    <w:qFormat/>
    <w:uiPriority w:val="0"/>
    <w:rPr>
      <w:rFonts w:ascii="宋体" w:hAnsi="Arial" w:eastAsia="宋体" w:cs="Arial"/>
      <w:snapToGrid w:val="0"/>
      <w:kern w:val="2"/>
      <w:sz w:val="24"/>
      <w:szCs w:val="21"/>
      <w:lang w:val="zh-CN" w:eastAsia="zh-CN" w:bidi="ar-SA"/>
    </w:rPr>
  </w:style>
  <w:style w:type="character" w:customStyle="1" w:styleId="512">
    <w:name w:val="标书表格字体格式 Char"/>
    <w:qFormat/>
    <w:uiPriority w:val="0"/>
    <w:rPr>
      <w:kern w:val="2"/>
      <w:sz w:val="21"/>
      <w:szCs w:val="24"/>
      <w:lang w:bidi="ar-SA"/>
    </w:rPr>
  </w:style>
  <w:style w:type="character" w:customStyle="1" w:styleId="513">
    <w:name w:val="普通文字 Char3"/>
    <w:qFormat/>
    <w:uiPriority w:val="0"/>
    <w:rPr>
      <w:rFonts w:ascii="宋体" w:hAnsi="Courier New" w:eastAsia="宋体"/>
      <w:kern w:val="2"/>
      <w:sz w:val="21"/>
      <w:lang w:val="en-US" w:eastAsia="zh-CN" w:bidi="ar-SA"/>
    </w:rPr>
  </w:style>
  <w:style w:type="character" w:customStyle="1" w:styleId="514">
    <w:name w:val="h Char Char1"/>
    <w:qFormat/>
    <w:uiPriority w:val="0"/>
    <w:rPr>
      <w:rFonts w:eastAsia="宋体"/>
      <w:kern w:val="2"/>
      <w:sz w:val="18"/>
      <w:szCs w:val="18"/>
      <w:lang w:val="en-US" w:eastAsia="zh-CN" w:bidi="ar-SA"/>
    </w:rPr>
  </w:style>
  <w:style w:type="character" w:customStyle="1" w:styleId="515">
    <w:name w:val="冯 Char"/>
    <w:link w:val="74"/>
    <w:qFormat/>
    <w:uiPriority w:val="0"/>
    <w:rPr>
      <w:rFonts w:ascii="宋体" w:hAnsi="宋体"/>
      <w:color w:val="000000"/>
      <w:sz w:val="24"/>
      <w:szCs w:val="24"/>
    </w:rPr>
  </w:style>
  <w:style w:type="character" w:customStyle="1" w:styleId="516">
    <w:name w:val="highlight1"/>
    <w:qFormat/>
    <w:uiPriority w:val="0"/>
    <w:rPr>
      <w:rFonts w:ascii="仿宋_GB2312" w:eastAsia="微软雅黑"/>
      <w:b/>
      <w:kern w:val="2"/>
      <w:sz w:val="23"/>
      <w:szCs w:val="23"/>
      <w:lang w:val="en-US" w:eastAsia="zh-CN" w:bidi="ar-SA"/>
    </w:rPr>
  </w:style>
  <w:style w:type="character" w:customStyle="1" w:styleId="517">
    <w:name w:val="样式6 Char"/>
    <w:qFormat/>
    <w:uiPriority w:val="0"/>
    <w:rPr>
      <w:rFonts w:ascii="仿宋_GB2312" w:hAnsi="宋体" w:eastAsia="仿宋_GB2312"/>
      <w:b/>
      <w:bCs/>
      <w:kern w:val="2"/>
      <w:sz w:val="24"/>
      <w:szCs w:val="24"/>
      <w:lang w:val="en-US" w:eastAsia="zh-CN" w:bidi="ar-SA"/>
    </w:rPr>
  </w:style>
  <w:style w:type="character" w:customStyle="1" w:styleId="518">
    <w:name w:val="标题 9 字符"/>
    <w:link w:val="10"/>
    <w:qFormat/>
    <w:uiPriority w:val="0"/>
    <w:rPr>
      <w:rFonts w:ascii="Arial" w:hAnsi="Arial" w:eastAsia="黑体"/>
      <w:kern w:val="2"/>
      <w:sz w:val="21"/>
      <w:szCs w:val="21"/>
    </w:rPr>
  </w:style>
  <w:style w:type="character" w:customStyle="1" w:styleId="519">
    <w:name w:val="md"/>
    <w:basedOn w:val="63"/>
    <w:qFormat/>
    <w:uiPriority w:val="0"/>
  </w:style>
  <w:style w:type="character" w:customStyle="1" w:styleId="520">
    <w:name w:val="myp11"/>
    <w:qFormat/>
    <w:uiPriority w:val="0"/>
    <w:rPr>
      <w:rFonts w:ascii="仿宋_GB2312" w:eastAsia="微软雅黑"/>
      <w:b/>
      <w:kern w:val="2"/>
      <w:sz w:val="32"/>
      <w:szCs w:val="32"/>
      <w:lang w:val="en-US" w:eastAsia="zh-CN" w:bidi="ar-SA"/>
    </w:rPr>
  </w:style>
  <w:style w:type="character" w:customStyle="1" w:styleId="521">
    <w:name w:val="Ò³Ã¼ Char Char1"/>
    <w:qFormat/>
    <w:uiPriority w:val="0"/>
    <w:rPr>
      <w:rFonts w:eastAsia="宋体"/>
      <w:kern w:val="2"/>
      <w:sz w:val="18"/>
      <w:szCs w:val="18"/>
      <w:lang w:val="en-US" w:eastAsia="zh-CN" w:bidi="ar-SA"/>
    </w:rPr>
  </w:style>
  <w:style w:type="character" w:customStyle="1" w:styleId="522">
    <w:name w:val="tw4winTerm"/>
    <w:qFormat/>
    <w:uiPriority w:val="0"/>
    <w:rPr>
      <w:color w:val="0000FF"/>
    </w:rPr>
  </w:style>
  <w:style w:type="character" w:customStyle="1" w:styleId="523">
    <w:name w:val="表格 Char Char"/>
    <w:qFormat/>
    <w:uiPriority w:val="0"/>
    <w:rPr>
      <w:rFonts w:ascii="宋体" w:hAnsi="宋体" w:eastAsia="宋体"/>
      <w:lang w:bidi="ar-SA"/>
    </w:rPr>
  </w:style>
  <w:style w:type="character" w:customStyle="1" w:styleId="524">
    <w:name w:val="样式8 Char"/>
    <w:qFormat/>
    <w:uiPriority w:val="0"/>
    <w:rPr>
      <w:rFonts w:ascii="仿宋_GB2312" w:hAnsi="宋体" w:eastAsia="仿宋_GB2312"/>
      <w:b/>
      <w:bCs/>
      <w:kern w:val="2"/>
      <w:sz w:val="24"/>
      <w:szCs w:val="24"/>
    </w:rPr>
  </w:style>
  <w:style w:type="character" w:customStyle="1" w:styleId="525">
    <w:name w:val="样式5 Char"/>
    <w:qFormat/>
    <w:uiPriority w:val="0"/>
    <w:rPr>
      <w:rFonts w:ascii="仿宋_GB2312" w:hAnsi="仿宋" w:eastAsia="仿宋_GB2312"/>
      <w:kern w:val="2"/>
      <w:sz w:val="24"/>
      <w:szCs w:val="24"/>
    </w:rPr>
  </w:style>
  <w:style w:type="character" w:customStyle="1" w:styleId="526">
    <w:name w:val="页脚 Char1"/>
    <w:qFormat/>
    <w:uiPriority w:val="0"/>
    <w:rPr>
      <w:rFonts w:eastAsia="宋体"/>
      <w:kern w:val="2"/>
      <w:sz w:val="18"/>
      <w:szCs w:val="18"/>
      <w:lang w:val="en-US" w:eastAsia="zh-CN" w:bidi="ar-SA"/>
    </w:rPr>
  </w:style>
  <w:style w:type="character" w:customStyle="1" w:styleId="527">
    <w:name w:val="tw4winJump"/>
    <w:qFormat/>
    <w:uiPriority w:val="0"/>
    <w:rPr>
      <w:rFonts w:ascii="Courier New" w:hAnsi="Courier New" w:cs="Courier New"/>
      <w:color w:val="008080"/>
    </w:rPr>
  </w:style>
  <w:style w:type="character" w:customStyle="1" w:styleId="528">
    <w:name w:val="批注文字 Char"/>
    <w:qFormat/>
    <w:uiPriority w:val="99"/>
    <w:rPr>
      <w:kern w:val="2"/>
      <w:sz w:val="21"/>
      <w:szCs w:val="24"/>
    </w:rPr>
  </w:style>
  <w:style w:type="character" w:customStyle="1" w:styleId="529">
    <w:name w:val="Char Char122"/>
    <w:qFormat/>
    <w:uiPriority w:val="0"/>
    <w:rPr>
      <w:rFonts w:ascii="仿宋_GB2312" w:eastAsia="仿宋_GB2312"/>
      <w:b/>
      <w:bCs/>
      <w:kern w:val="2"/>
      <w:sz w:val="24"/>
      <w:szCs w:val="24"/>
      <w:lang w:val="zh-CN" w:eastAsia="zh-CN" w:bidi="ar-SA"/>
    </w:rPr>
  </w:style>
  <w:style w:type="character" w:customStyle="1" w:styleId="530">
    <w:name w:val="No Spacing Char"/>
    <w:link w:val="169"/>
    <w:qFormat/>
    <w:uiPriority w:val="1"/>
    <w:rPr>
      <w:rFonts w:ascii="Calibri" w:hAnsi="Calibri"/>
      <w:sz w:val="22"/>
      <w:szCs w:val="22"/>
      <w:lang w:val="en-US" w:eastAsia="zh-CN" w:bidi="ar-SA"/>
    </w:rPr>
  </w:style>
  <w:style w:type="character" w:customStyle="1" w:styleId="531">
    <w:name w:val="Char Char21"/>
    <w:qFormat/>
    <w:uiPriority w:val="0"/>
    <w:rPr>
      <w:rFonts w:ascii="宋体" w:hAnsi="Courier New" w:eastAsia="宋体"/>
      <w:kern w:val="2"/>
      <w:sz w:val="21"/>
      <w:lang w:val="en-US" w:eastAsia="zh-CN" w:bidi="ar-SA"/>
    </w:rPr>
  </w:style>
  <w:style w:type="character" w:customStyle="1" w:styleId="532">
    <w:name w:val="Char Char8"/>
    <w:qFormat/>
    <w:uiPriority w:val="0"/>
    <w:rPr>
      <w:rFonts w:eastAsia="宋体"/>
      <w:b/>
      <w:sz w:val="24"/>
      <w:lang w:val="en-GB" w:eastAsia="zh-CN"/>
    </w:rPr>
  </w:style>
  <w:style w:type="character" w:customStyle="1" w:styleId="533">
    <w:name w:val="font21"/>
    <w:qFormat/>
    <w:uiPriority w:val="0"/>
    <w:rPr>
      <w:rFonts w:hint="eastAsia" w:ascii="宋体" w:hAnsi="宋体" w:eastAsia="宋体"/>
      <w:kern w:val="2"/>
      <w:sz w:val="28"/>
      <w:szCs w:val="28"/>
      <w:lang w:val="en-US" w:eastAsia="zh-CN" w:bidi="ar-SA"/>
    </w:rPr>
  </w:style>
  <w:style w:type="character" w:customStyle="1" w:styleId="534">
    <w:name w:val="正文2 Char"/>
    <w:qFormat/>
    <w:uiPriority w:val="0"/>
    <w:rPr>
      <w:rFonts w:eastAsia="宋体"/>
      <w:kern w:val="2"/>
      <w:sz w:val="24"/>
      <w:lang w:val="en-US" w:eastAsia="zh-CN" w:bidi="ar-SA"/>
    </w:rPr>
  </w:style>
  <w:style w:type="character" w:customStyle="1" w:styleId="535">
    <w:name w:val="big1"/>
    <w:qFormat/>
    <w:uiPriority w:val="0"/>
    <w:rPr>
      <w:rFonts w:hint="eastAsia" w:ascii="宋体" w:hAnsi="宋体" w:eastAsia="宋体"/>
      <w:color w:val="333333"/>
      <w:sz w:val="22"/>
      <w:szCs w:val="22"/>
    </w:rPr>
  </w:style>
  <w:style w:type="character" w:customStyle="1" w:styleId="536">
    <w:name w:val="Body Text(ch) Char Char"/>
    <w:qFormat/>
    <w:uiPriority w:val="0"/>
    <w:rPr>
      <w:rFonts w:ascii="宋体"/>
      <w:kern w:val="2"/>
      <w:sz w:val="24"/>
      <w:szCs w:val="21"/>
      <w:lang w:val="zh-CN"/>
    </w:rPr>
  </w:style>
  <w:style w:type="character" w:customStyle="1" w:styleId="537">
    <w:name w:val="blue1"/>
    <w:basedOn w:val="63"/>
    <w:qFormat/>
    <w:uiPriority w:val="0"/>
  </w:style>
  <w:style w:type="character" w:customStyle="1" w:styleId="538">
    <w:name w:val="正文 项目2 Char"/>
    <w:basedOn w:val="482"/>
    <w:qFormat/>
    <w:uiPriority w:val="0"/>
    <w:rPr>
      <w:rFonts w:ascii="仿宋_GB2312" w:hAnsi="仿宋_GB2312" w:eastAsia="仿宋_GB2312"/>
      <w:kern w:val="2"/>
      <w:sz w:val="24"/>
      <w:lang w:bidi="ar-SA"/>
    </w:rPr>
  </w:style>
  <w:style w:type="character" w:customStyle="1" w:styleId="539">
    <w:name w:val="solutionfonts"/>
    <w:qFormat/>
    <w:uiPriority w:val="0"/>
  </w:style>
  <w:style w:type="character" w:customStyle="1" w:styleId="540">
    <w:name w:val="Char Char81"/>
    <w:qFormat/>
    <w:uiPriority w:val="0"/>
    <w:rPr>
      <w:rFonts w:eastAsia="宋体"/>
      <w:b/>
      <w:sz w:val="24"/>
      <w:lang w:val="en-GB" w:eastAsia="zh-CN"/>
    </w:rPr>
  </w:style>
  <w:style w:type="character" w:customStyle="1" w:styleId="541">
    <w:name w:val="Char Char2"/>
    <w:qFormat/>
    <w:uiPriority w:val="0"/>
    <w:rPr>
      <w:rFonts w:eastAsia="宋体"/>
      <w:b/>
      <w:bCs/>
      <w:kern w:val="2"/>
      <w:sz w:val="21"/>
      <w:szCs w:val="24"/>
      <w:lang w:val="en-US" w:eastAsia="zh-CN" w:bidi="ar-SA"/>
    </w:rPr>
  </w:style>
  <w:style w:type="character" w:customStyle="1" w:styleId="542">
    <w:name w:val="HTML 预设格式 字符"/>
    <w:link w:val="54"/>
    <w:qFormat/>
    <w:uiPriority w:val="0"/>
    <w:rPr>
      <w:rFonts w:ascii="黑体" w:hAnsi="Courier New" w:eastAsia="黑体"/>
    </w:rPr>
  </w:style>
  <w:style w:type="character" w:customStyle="1" w:styleId="543">
    <w:name w:val="Heading 7 Char"/>
    <w:qFormat/>
    <w:locked/>
    <w:uiPriority w:val="0"/>
    <w:rPr>
      <w:rFonts w:ascii="宋体" w:hAnsi="宋体" w:eastAsia="宋体"/>
      <w:b/>
      <w:bCs/>
      <w:kern w:val="2"/>
      <w:sz w:val="24"/>
      <w:szCs w:val="24"/>
      <w:lang w:val="en-US" w:eastAsia="zh-CN" w:bidi="ar-SA"/>
    </w:rPr>
  </w:style>
  <w:style w:type="character" w:customStyle="1" w:styleId="544">
    <w:name w:val="正文文本首行缩进 字符"/>
    <w:link w:val="58"/>
    <w:qFormat/>
    <w:uiPriority w:val="0"/>
    <w:rPr>
      <w:rFonts w:ascii="宋体"/>
      <w:kern w:val="2"/>
      <w:sz w:val="24"/>
      <w:lang w:val="zh-CN"/>
    </w:rPr>
  </w:style>
  <w:style w:type="character" w:customStyle="1" w:styleId="545">
    <w:name w:val="标题 2 Char Char"/>
    <w:qFormat/>
    <w:uiPriority w:val="0"/>
    <w:rPr>
      <w:rFonts w:ascii="楷体_GB2312" w:hAnsi="Arial" w:eastAsia="楷体_GB2312"/>
      <w:b/>
      <w:bCs/>
      <w:kern w:val="2"/>
      <w:sz w:val="24"/>
      <w:szCs w:val="32"/>
      <w:lang w:val="en-US" w:eastAsia="zh-CN" w:bidi="ar-SA"/>
    </w:rPr>
  </w:style>
  <w:style w:type="character" w:customStyle="1" w:styleId="546">
    <w:name w:val="pt141"/>
    <w:qFormat/>
    <w:uiPriority w:val="0"/>
    <w:rPr>
      <w:color w:val="330066"/>
      <w:sz w:val="22"/>
      <w:szCs w:val="22"/>
    </w:rPr>
  </w:style>
  <w:style w:type="character" w:customStyle="1" w:styleId="547">
    <w:name w:val="h Char Char"/>
    <w:qFormat/>
    <w:uiPriority w:val="0"/>
    <w:rPr>
      <w:rFonts w:eastAsia="宋体"/>
      <w:kern w:val="2"/>
      <w:sz w:val="18"/>
      <w:lang w:val="en-US" w:eastAsia="zh-CN" w:bidi="ar-SA"/>
    </w:rPr>
  </w:style>
  <w:style w:type="character" w:customStyle="1" w:styleId="548">
    <w:name w:val="标题 1 字符"/>
    <w:link w:val="3"/>
    <w:qFormat/>
    <w:uiPriority w:val="0"/>
    <w:rPr>
      <w:b/>
      <w:bCs/>
      <w:kern w:val="44"/>
      <w:sz w:val="44"/>
      <w:szCs w:val="44"/>
    </w:rPr>
  </w:style>
  <w:style w:type="character" w:customStyle="1" w:styleId="549">
    <w:name w:val="页眉 Char"/>
    <w:qFormat/>
    <w:uiPriority w:val="0"/>
    <w:rPr>
      <w:rFonts w:eastAsia="仿宋_GB2312"/>
      <w:kern w:val="2"/>
      <w:sz w:val="18"/>
      <w:lang w:val="en-US" w:eastAsia="zh-CN"/>
    </w:rPr>
  </w:style>
  <w:style w:type="character" w:customStyle="1" w:styleId="550">
    <w:name w:val="b11_01b Char"/>
    <w:link w:val="408"/>
    <w:qFormat/>
    <w:uiPriority w:val="0"/>
    <w:rPr>
      <w:rFonts w:ascii="Verdana" w:hAnsi="Verdana"/>
      <w:b/>
      <w:bCs/>
      <w:color w:val="4A82CA"/>
      <w:sz w:val="17"/>
      <w:szCs w:val="17"/>
    </w:rPr>
  </w:style>
  <w:style w:type="character" w:customStyle="1" w:styleId="551">
    <w:name w:val="标题4-dyf Char"/>
    <w:link w:val="347"/>
    <w:qFormat/>
    <w:uiPriority w:val="0"/>
    <w:rPr>
      <w:rFonts w:ascii="Cambria" w:hAnsi="Cambria"/>
      <w:b/>
      <w:bCs/>
      <w:color w:val="000000"/>
      <w:kern w:val="2"/>
      <w:sz w:val="21"/>
      <w:szCs w:val="21"/>
    </w:rPr>
  </w:style>
  <w:style w:type="character" w:customStyle="1" w:styleId="552">
    <w:name w:val="批注主题 Char"/>
    <w:qFormat/>
    <w:uiPriority w:val="0"/>
    <w:rPr>
      <w:rFonts w:eastAsia="宋体"/>
      <w:b/>
      <w:bCs/>
      <w:kern w:val="2"/>
      <w:sz w:val="21"/>
      <w:szCs w:val="24"/>
      <w:lang w:val="en-US" w:eastAsia="zh-CN" w:bidi="ar-SA"/>
    </w:rPr>
  </w:style>
  <w:style w:type="character" w:customStyle="1" w:styleId="55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4">
    <w:name w:val="正文首行缩进两字 Char"/>
    <w:qFormat/>
    <w:uiPriority w:val="0"/>
    <w:rPr>
      <w:sz w:val="24"/>
      <w:szCs w:val="24"/>
      <w:lang w:val="en-US" w:eastAsia="zh-CN" w:bidi="ar-SA"/>
    </w:rPr>
  </w:style>
  <w:style w:type="character" w:customStyle="1" w:styleId="555">
    <w:name w:val="Char Char51"/>
    <w:qFormat/>
    <w:uiPriority w:val="0"/>
    <w:rPr>
      <w:rFonts w:ascii="宋体" w:hAnsi="Courier New" w:eastAsia="宋体"/>
      <w:kern w:val="2"/>
      <w:sz w:val="21"/>
      <w:lang w:val="en-US" w:eastAsia="zh-CN"/>
    </w:rPr>
  </w:style>
  <w:style w:type="character" w:customStyle="1" w:styleId="556">
    <w:name w:val="带编号样式 Char"/>
    <w:qFormat/>
    <w:uiPriority w:val="0"/>
    <w:rPr>
      <w:rFonts w:ascii="仿宋_GB2312" w:eastAsia="仿宋_GB2312"/>
      <w:color w:val="000000"/>
      <w:sz w:val="24"/>
      <w:lang w:bidi="ar-SA"/>
    </w:rPr>
  </w:style>
  <w:style w:type="character" w:customStyle="1" w:styleId="557">
    <w:name w:val="样式4 Char"/>
    <w:qFormat/>
    <w:uiPriority w:val="0"/>
    <w:rPr>
      <w:rFonts w:ascii="仿宋_GB2312" w:hAnsi="仿宋" w:eastAsia="仿宋_GB2312"/>
      <w:b/>
      <w:kern w:val="2"/>
      <w:sz w:val="32"/>
      <w:szCs w:val="32"/>
      <w:lang w:bidi="ar-SA"/>
    </w:rPr>
  </w:style>
  <w:style w:type="character" w:customStyle="1" w:styleId="558">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59">
    <w:name w:val="PI Char"/>
    <w:qFormat/>
    <w:uiPriority w:val="0"/>
    <w:rPr>
      <w:rFonts w:ascii="宋体" w:hAnsi="宋体" w:eastAsia="宋体"/>
      <w:kern w:val="2"/>
      <w:sz w:val="24"/>
      <w:szCs w:val="24"/>
      <w:lang w:val="en-US" w:eastAsia="zh-CN" w:bidi="ar-SA"/>
    </w:rPr>
  </w:style>
  <w:style w:type="character" w:customStyle="1" w:styleId="560">
    <w:name w:val="Char Char111"/>
    <w:qFormat/>
    <w:locked/>
    <w:uiPriority w:val="0"/>
    <w:rPr>
      <w:rFonts w:ascii="宋体" w:hAnsi="宋体" w:eastAsia="宋体"/>
      <w:b/>
      <w:kern w:val="2"/>
      <w:sz w:val="24"/>
      <w:szCs w:val="24"/>
      <w:lang w:val="en-US" w:eastAsia="zh-CN" w:bidi="ar-SA"/>
    </w:rPr>
  </w:style>
  <w:style w:type="character" w:customStyle="1" w:styleId="561">
    <w:name w:val="Document Map Char"/>
    <w:semiHidden/>
    <w:qFormat/>
    <w:locked/>
    <w:uiPriority w:val="0"/>
    <w:rPr>
      <w:rFonts w:eastAsia="宋体"/>
      <w:kern w:val="2"/>
      <w:sz w:val="21"/>
      <w:szCs w:val="24"/>
      <w:lang w:val="en-US" w:eastAsia="zh-CN" w:bidi="ar-SA"/>
    </w:rPr>
  </w:style>
  <w:style w:type="character" w:customStyle="1" w:styleId="562">
    <w:name w:val="正文文本缩进 Char"/>
    <w:qFormat/>
    <w:uiPriority w:val="0"/>
    <w:rPr>
      <w:rFonts w:ascii="宋体" w:hAnsi="宋体"/>
      <w:kern w:val="2"/>
      <w:sz w:val="24"/>
      <w:szCs w:val="24"/>
    </w:rPr>
  </w:style>
  <w:style w:type="character" w:customStyle="1" w:styleId="563">
    <w:name w:val="文本正文 Char Char"/>
    <w:qFormat/>
    <w:locked/>
    <w:uiPriority w:val="0"/>
    <w:rPr>
      <w:sz w:val="24"/>
      <w:lang w:bidi="ar-SA"/>
    </w:rPr>
  </w:style>
  <w:style w:type="character" w:customStyle="1" w:styleId="564">
    <w:name w:val="样式7 Char"/>
    <w:qFormat/>
    <w:uiPriority w:val="0"/>
    <w:rPr>
      <w:rFonts w:ascii="仿宋_GB2312" w:hAnsi="仿宋" w:eastAsia="仿宋_GB2312"/>
      <w:b/>
      <w:kern w:val="2"/>
      <w:sz w:val="24"/>
      <w:szCs w:val="24"/>
    </w:rPr>
  </w:style>
  <w:style w:type="character" w:customStyle="1" w:styleId="565">
    <w:name w:val="样式3 Char"/>
    <w:basedOn w:val="566"/>
    <w:qFormat/>
    <w:uiPriority w:val="0"/>
    <w:rPr>
      <w:rFonts w:ascii="仿宋_GB2312" w:hAnsi="仿宋" w:eastAsia="仿宋_GB2312" w:cs="仿宋_GB2312"/>
      <w:sz w:val="32"/>
      <w:szCs w:val="30"/>
      <w:lang w:val="zh-CN"/>
    </w:rPr>
  </w:style>
  <w:style w:type="character" w:customStyle="1" w:styleId="566">
    <w:name w:val="样式2 Char"/>
    <w:qFormat/>
    <w:uiPriority w:val="0"/>
    <w:rPr>
      <w:rFonts w:ascii="仿宋_GB2312" w:hAnsi="仿宋" w:eastAsia="仿宋_GB2312" w:cs="仿宋_GB2312"/>
      <w:b/>
      <w:bCs/>
      <w:sz w:val="32"/>
      <w:szCs w:val="30"/>
      <w:lang w:val="zh-CN"/>
    </w:rPr>
  </w:style>
  <w:style w:type="character" w:customStyle="1" w:styleId="567">
    <w:name w:val="二级标题 Char Char"/>
    <w:qFormat/>
    <w:uiPriority w:val="0"/>
    <w:rPr>
      <w:rFonts w:ascii="宋体" w:hAnsi="宋体" w:eastAsia="宋体"/>
      <w:b/>
      <w:snapToGrid w:val="0"/>
      <w:kern w:val="2"/>
      <w:sz w:val="24"/>
      <w:szCs w:val="24"/>
      <w:lang w:val="en-US" w:eastAsia="zh-CN" w:bidi="ar-SA"/>
    </w:rPr>
  </w:style>
  <w:style w:type="character" w:customStyle="1" w:styleId="568">
    <w:name w:val="Table Text Char1"/>
    <w:qFormat/>
    <w:uiPriority w:val="0"/>
    <w:rPr>
      <w:rFonts w:eastAsia="宋体"/>
      <w:sz w:val="24"/>
      <w:szCs w:val="24"/>
      <w:lang w:val="en-US" w:eastAsia="zh-CN" w:bidi="ar-SA"/>
    </w:rPr>
  </w:style>
  <w:style w:type="character" w:customStyle="1" w:styleId="569">
    <w:name w:val="shadow11"/>
    <w:qFormat/>
    <w:uiPriority w:val="0"/>
    <w:rPr>
      <w:color w:val="000000"/>
      <w:sz w:val="21"/>
    </w:rPr>
  </w:style>
  <w:style w:type="character" w:customStyle="1" w:styleId="570">
    <w:name w:val="HTML 地址 字符"/>
    <w:link w:val="29"/>
    <w:qFormat/>
    <w:uiPriority w:val="0"/>
    <w:rPr>
      <w:rFonts w:ascii="宋体" w:hAnsi="宋体"/>
      <w:i/>
      <w:iCs/>
      <w:sz w:val="24"/>
      <w:szCs w:val="24"/>
    </w:rPr>
  </w:style>
  <w:style w:type="character" w:customStyle="1" w:styleId="571">
    <w:name w:val="Char Char22"/>
    <w:qFormat/>
    <w:uiPriority w:val="0"/>
    <w:rPr>
      <w:rFonts w:eastAsia="宋体"/>
      <w:b/>
      <w:bCs/>
      <w:kern w:val="2"/>
      <w:sz w:val="21"/>
      <w:szCs w:val="24"/>
      <w:lang w:val="en-US" w:eastAsia="zh-CN" w:bidi="ar-SA"/>
    </w:rPr>
  </w:style>
  <w:style w:type="character" w:customStyle="1" w:styleId="572">
    <w:name w:val="标题 5 字符"/>
    <w:link w:val="6"/>
    <w:qFormat/>
    <w:uiPriority w:val="0"/>
    <w:rPr>
      <w:b/>
      <w:bCs/>
      <w:kern w:val="2"/>
      <w:sz w:val="28"/>
      <w:szCs w:val="28"/>
    </w:rPr>
  </w:style>
  <w:style w:type="character" w:customStyle="1" w:styleId="573">
    <w:name w:val="h3 Char1"/>
    <w:qFormat/>
    <w:uiPriority w:val="0"/>
    <w:rPr>
      <w:rFonts w:eastAsia="宋体"/>
      <w:b/>
      <w:bCs/>
      <w:kern w:val="2"/>
      <w:sz w:val="32"/>
      <w:szCs w:val="32"/>
      <w:lang w:bidi="ar-SA"/>
    </w:rPr>
  </w:style>
  <w:style w:type="character" w:customStyle="1" w:styleId="574">
    <w:name w:val="FA正文 Char Char"/>
    <w:qFormat/>
    <w:uiPriority w:val="0"/>
    <w:rPr>
      <w:rFonts w:hAnsi="宋体"/>
      <w:kern w:val="2"/>
      <w:sz w:val="24"/>
      <w:lang w:bidi="ar-SA"/>
    </w:rPr>
  </w:style>
  <w:style w:type="character" w:customStyle="1" w:styleId="575">
    <w:name w:val="Char Char7"/>
    <w:semiHidden/>
    <w:qFormat/>
    <w:uiPriority w:val="0"/>
    <w:rPr>
      <w:rFonts w:eastAsia="宋体"/>
      <w:kern w:val="2"/>
      <w:sz w:val="21"/>
      <w:szCs w:val="24"/>
      <w:lang w:val="en-US" w:eastAsia="zh-CN" w:bidi="ar-SA"/>
    </w:rPr>
  </w:style>
  <w:style w:type="character" w:customStyle="1" w:styleId="576">
    <w:name w:val="hui"/>
    <w:basedOn w:val="63"/>
    <w:qFormat/>
    <w:uiPriority w:val="0"/>
  </w:style>
  <w:style w:type="character" w:customStyle="1" w:styleId="577">
    <w:name w:val="正文缩进 Char"/>
    <w:qFormat/>
    <w:uiPriority w:val="0"/>
    <w:rPr>
      <w:rFonts w:eastAsia="宋体"/>
      <w:kern w:val="2"/>
      <w:sz w:val="21"/>
      <w:lang w:val="en-US" w:eastAsia="zh-CN"/>
    </w:rPr>
  </w:style>
  <w:style w:type="character" w:customStyle="1" w:styleId="578">
    <w:name w:val="正文1 Char"/>
    <w:qFormat/>
    <w:uiPriority w:val="0"/>
    <w:rPr>
      <w:rFonts w:ascii="宋体" w:eastAsia="宋体"/>
      <w:snapToGrid w:val="0"/>
      <w:color w:val="000000"/>
      <w:kern w:val="28"/>
      <w:sz w:val="28"/>
      <w:lang w:val="en-US" w:eastAsia="zh-CN" w:bidi="ar-SA"/>
    </w:rPr>
  </w:style>
  <w:style w:type="character" w:customStyle="1" w:styleId="579">
    <w:name w:val="Char Char61"/>
    <w:qFormat/>
    <w:uiPriority w:val="0"/>
    <w:rPr>
      <w:rFonts w:eastAsia="宋体"/>
      <w:kern w:val="2"/>
      <w:sz w:val="21"/>
      <w:szCs w:val="24"/>
      <w:lang w:val="en-US" w:eastAsia="zh-CN" w:bidi="ar-SA"/>
    </w:rPr>
  </w:style>
  <w:style w:type="character" w:customStyle="1" w:styleId="580">
    <w:name w:val="正文文本 3 字符"/>
    <w:link w:val="21"/>
    <w:qFormat/>
    <w:uiPriority w:val="0"/>
    <w:rPr>
      <w:kern w:val="2"/>
      <w:sz w:val="21"/>
    </w:rPr>
  </w:style>
  <w:style w:type="character" w:customStyle="1" w:styleId="581">
    <w:name w:val="message1"/>
    <w:qFormat/>
    <w:uiPriority w:val="0"/>
    <w:rPr>
      <w:rFonts w:hint="default" w:ascii="Tahoma" w:hAnsi="Tahoma" w:cs="Tahoma"/>
      <w:sz w:val="18"/>
      <w:szCs w:val="18"/>
    </w:rPr>
  </w:style>
  <w:style w:type="character" w:customStyle="1" w:styleId="582">
    <w:name w:val="DO_NOT_TRANSLATE"/>
    <w:qFormat/>
    <w:uiPriority w:val="0"/>
    <w:rPr>
      <w:rFonts w:ascii="Courier New" w:hAnsi="Courier New" w:cs="Courier New"/>
      <w:color w:val="800000"/>
    </w:rPr>
  </w:style>
  <w:style w:type="character" w:customStyle="1" w:styleId="583">
    <w:name w:val="unnamed11"/>
    <w:qFormat/>
    <w:uiPriority w:val="0"/>
    <w:rPr>
      <w:sz w:val="20"/>
      <w:szCs w:val="20"/>
    </w:rPr>
  </w:style>
  <w:style w:type="character" w:customStyle="1" w:styleId="584">
    <w:name w:val="tw4winInternal"/>
    <w:qFormat/>
    <w:uiPriority w:val="0"/>
    <w:rPr>
      <w:rFonts w:ascii="Courier New" w:hAnsi="Courier New" w:cs="Courier New"/>
      <w:color w:val="FF0000"/>
    </w:rPr>
  </w:style>
  <w:style w:type="character" w:customStyle="1" w:styleId="585">
    <w:name w:val="正文（缩进2汉字） Char"/>
    <w:link w:val="326"/>
    <w:qFormat/>
    <w:uiPriority w:val="0"/>
    <w:rPr>
      <w:rFonts w:ascii="宋体"/>
    </w:rPr>
  </w:style>
  <w:style w:type="character" w:customStyle="1" w:styleId="586">
    <w:name w:val="页脚 Char"/>
    <w:qFormat/>
    <w:uiPriority w:val="0"/>
    <w:rPr>
      <w:rFonts w:eastAsia="仿宋_GB2312"/>
      <w:kern w:val="2"/>
      <w:sz w:val="18"/>
      <w:lang w:val="en-US" w:eastAsia="zh-CN"/>
    </w:rPr>
  </w:style>
  <w:style w:type="character" w:customStyle="1" w:styleId="587">
    <w:name w:val="正文文本缩进 3 字符"/>
    <w:link w:val="50"/>
    <w:qFormat/>
    <w:uiPriority w:val="0"/>
    <w:rPr>
      <w:kern w:val="2"/>
      <w:sz w:val="24"/>
    </w:rPr>
  </w:style>
  <w:style w:type="character" w:customStyle="1" w:styleId="588">
    <w:name w:val="正文缩进 Char1"/>
    <w:qFormat/>
    <w:uiPriority w:val="0"/>
    <w:rPr>
      <w:rFonts w:ascii="宋体" w:eastAsia="宋体"/>
      <w:snapToGrid w:val="0"/>
      <w:color w:val="000000"/>
      <w:kern w:val="28"/>
      <w:sz w:val="28"/>
      <w:lang w:val="en-US" w:eastAsia="zh-CN" w:bidi="ar-SA"/>
    </w:rPr>
  </w:style>
  <w:style w:type="character" w:customStyle="1" w:styleId="589">
    <w:name w:val="style36"/>
    <w:basedOn w:val="63"/>
    <w:qFormat/>
    <w:uiPriority w:val="0"/>
  </w:style>
  <w:style w:type="character" w:customStyle="1" w:styleId="590">
    <w:name w:val="hui3"/>
    <w:qFormat/>
    <w:uiPriority w:val="0"/>
    <w:rPr>
      <w:color w:val="333333"/>
    </w:rPr>
  </w:style>
  <w:style w:type="character" w:customStyle="1" w:styleId="591">
    <w:name w:val="apple-converted-space"/>
    <w:qFormat/>
    <w:uiPriority w:val="0"/>
  </w:style>
  <w:style w:type="character" w:customStyle="1" w:styleId="592">
    <w:name w:val="文档结构图 Char"/>
    <w:qFormat/>
    <w:uiPriority w:val="0"/>
    <w:rPr>
      <w:rFonts w:eastAsia="宋体"/>
      <w:kern w:val="2"/>
      <w:sz w:val="21"/>
      <w:szCs w:val="24"/>
      <w:lang w:val="en-US" w:eastAsia="zh-CN" w:bidi="ar-SA"/>
    </w:rPr>
  </w:style>
  <w:style w:type="character" w:customStyle="1" w:styleId="593">
    <w:name w:val="正文非缩进 Char3"/>
    <w:qFormat/>
    <w:uiPriority w:val="0"/>
    <w:rPr>
      <w:rFonts w:ascii="宋体" w:eastAsia="宋体"/>
      <w:snapToGrid w:val="0"/>
      <w:color w:val="000000"/>
      <w:kern w:val="28"/>
      <w:sz w:val="28"/>
      <w:lang w:val="en-US" w:eastAsia="zh-CN" w:bidi="ar-SA"/>
    </w:rPr>
  </w:style>
  <w:style w:type="character" w:customStyle="1" w:styleId="594">
    <w:name w:val="dectext1"/>
    <w:qFormat/>
    <w:uiPriority w:val="0"/>
    <w:rPr>
      <w:rFonts w:ascii="宋体" w:hAnsi="宋体" w:eastAsia="宋体"/>
      <w:color w:val="333333"/>
      <w:sz w:val="21"/>
      <w:szCs w:val="21"/>
      <w:u w:val="none"/>
    </w:rPr>
  </w:style>
  <w:style w:type="character" w:customStyle="1" w:styleId="595">
    <w:name w:val="副标题 Char1"/>
    <w:qFormat/>
    <w:uiPriority w:val="0"/>
    <w:rPr>
      <w:rFonts w:ascii="Cambria" w:hAnsi="Cambria" w:eastAsia="宋体" w:cs="Times New Roman"/>
      <w:b/>
      <w:bCs/>
      <w:snapToGrid w:val="0"/>
      <w:kern w:val="28"/>
      <w:sz w:val="32"/>
      <w:szCs w:val="32"/>
    </w:rPr>
  </w:style>
  <w:style w:type="character" w:customStyle="1" w:styleId="596">
    <w:name w:val="f141"/>
    <w:qFormat/>
    <w:uiPriority w:val="0"/>
    <w:rPr>
      <w:rFonts w:ascii="Tahoma" w:hAnsi="Tahoma" w:eastAsia="宋体"/>
      <w:b/>
      <w:kern w:val="2"/>
      <w:sz w:val="21"/>
      <w:szCs w:val="21"/>
      <w:lang w:val="en-US" w:eastAsia="zh-CN" w:bidi="ar-SA"/>
    </w:rPr>
  </w:style>
  <w:style w:type="character" w:customStyle="1" w:styleId="597">
    <w:name w:val="日期 字符"/>
    <w:link w:val="35"/>
    <w:qFormat/>
    <w:uiPriority w:val="0"/>
    <w:rPr>
      <w:rFonts w:ascii="宋体"/>
      <w:kern w:val="2"/>
      <w:sz w:val="24"/>
      <w:szCs w:val="21"/>
      <w:lang w:val="zh-CN"/>
    </w:rPr>
  </w:style>
  <w:style w:type="character" w:customStyle="1" w:styleId="598">
    <w:name w:val="标题 4 字符"/>
    <w:link w:val="2"/>
    <w:qFormat/>
    <w:uiPriority w:val="0"/>
    <w:rPr>
      <w:rFonts w:ascii="Arial" w:hAnsi="Arial" w:eastAsia="黑体"/>
      <w:b/>
      <w:bCs/>
      <w:kern w:val="2"/>
      <w:sz w:val="28"/>
      <w:szCs w:val="28"/>
      <w:lang w:val="zh-CN"/>
    </w:rPr>
  </w:style>
  <w:style w:type="character" w:customStyle="1" w:styleId="599">
    <w:name w:val="链接"/>
    <w:qFormat/>
    <w:uiPriority w:val="0"/>
    <w:rPr>
      <w:color w:val="0000FF"/>
      <w:sz w:val="21"/>
      <w:szCs w:val="21"/>
      <w:u w:val="single"/>
    </w:rPr>
  </w:style>
  <w:style w:type="character" w:customStyle="1" w:styleId="600">
    <w:name w:val="正文首行缩进 Char Char Char Char Char Char"/>
    <w:qFormat/>
    <w:uiPriority w:val="0"/>
    <w:rPr>
      <w:rFonts w:ascii="宋体" w:eastAsia="宋体"/>
      <w:kern w:val="2"/>
      <w:sz w:val="24"/>
      <w:lang w:val="zh-CN" w:bidi="ar-SA"/>
    </w:rPr>
  </w:style>
  <w:style w:type="character" w:customStyle="1" w:styleId="601">
    <w:name w:val="tw4winError"/>
    <w:qFormat/>
    <w:uiPriority w:val="0"/>
    <w:rPr>
      <w:rFonts w:ascii="Courier New" w:hAnsi="Courier New" w:cs="Courier New"/>
      <w:color w:val="00FF00"/>
      <w:sz w:val="40"/>
      <w:szCs w:val="40"/>
    </w:rPr>
  </w:style>
  <w:style w:type="character" w:customStyle="1" w:styleId="602">
    <w:name w:val="Used by Word for text of Help footnotes Char Char"/>
    <w:semiHidden/>
    <w:qFormat/>
    <w:uiPriority w:val="0"/>
    <w:rPr>
      <w:rFonts w:ascii="Times New Roman" w:hAnsi="Times New Roman" w:eastAsia="宋体" w:cs="Times New Roman"/>
      <w:sz w:val="20"/>
      <w:szCs w:val="20"/>
    </w:rPr>
  </w:style>
  <w:style w:type="character" w:customStyle="1" w:styleId="603">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4">
    <w:name w:val="表正文 Char"/>
    <w:qFormat/>
    <w:uiPriority w:val="0"/>
    <w:rPr>
      <w:rFonts w:ascii="宋体" w:eastAsia="宋体"/>
      <w:snapToGrid w:val="0"/>
      <w:color w:val="000000"/>
      <w:kern w:val="28"/>
      <w:sz w:val="28"/>
      <w:lang w:val="en-US" w:eastAsia="zh-CN" w:bidi="ar-SA"/>
    </w:rPr>
  </w:style>
  <w:style w:type="character" w:customStyle="1" w:styleId="605">
    <w:name w:val="普通文字 Char1 Char"/>
    <w:qFormat/>
    <w:uiPriority w:val="0"/>
    <w:rPr>
      <w:rFonts w:ascii="宋体" w:hAnsi="Courier New" w:eastAsia="宋体"/>
      <w:kern w:val="2"/>
      <w:sz w:val="21"/>
      <w:szCs w:val="24"/>
      <w:lang w:val="en-US" w:eastAsia="zh-CN" w:bidi="ar-SA"/>
    </w:rPr>
  </w:style>
  <w:style w:type="character" w:customStyle="1" w:styleId="606">
    <w:name w:val="pt9"/>
    <w:qFormat/>
    <w:uiPriority w:val="0"/>
    <w:rPr>
      <w:rFonts w:ascii="仿宋_GB2312" w:eastAsia="微软雅黑"/>
      <w:b/>
      <w:kern w:val="2"/>
      <w:sz w:val="32"/>
      <w:szCs w:val="32"/>
      <w:lang w:val="en-US" w:eastAsia="zh-CN" w:bidi="ar-SA"/>
    </w:rPr>
  </w:style>
  <w:style w:type="character" w:customStyle="1" w:styleId="607">
    <w:name w:val="large1"/>
    <w:qFormat/>
    <w:uiPriority w:val="0"/>
    <w:rPr>
      <w:rFonts w:hint="eastAsia" w:ascii="宋体" w:hAnsi="宋体" w:eastAsia="宋体"/>
      <w:sz w:val="21"/>
      <w:szCs w:val="21"/>
    </w:rPr>
  </w:style>
  <w:style w:type="character" w:customStyle="1" w:styleId="608">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09">
    <w:name w:val="标题 4 Char1"/>
    <w:semiHidden/>
    <w:qFormat/>
    <w:uiPriority w:val="9"/>
    <w:rPr>
      <w:rFonts w:ascii="Cambria" w:hAnsi="Cambria" w:eastAsia="宋体" w:cs="Times New Roman"/>
      <w:b/>
      <w:bCs/>
      <w:kern w:val="2"/>
      <w:sz w:val="28"/>
      <w:szCs w:val="28"/>
    </w:rPr>
  </w:style>
  <w:style w:type="character" w:customStyle="1" w:styleId="610">
    <w:name w:val="tw4winPopup"/>
    <w:qFormat/>
    <w:uiPriority w:val="0"/>
    <w:rPr>
      <w:rFonts w:ascii="Courier New" w:hAnsi="Courier New" w:cs="Courier New"/>
      <w:color w:val="008000"/>
    </w:rPr>
  </w:style>
  <w:style w:type="character" w:customStyle="1" w:styleId="611">
    <w:name w:val="标题 6 字符"/>
    <w:link w:val="7"/>
    <w:qFormat/>
    <w:uiPriority w:val="0"/>
    <w:rPr>
      <w:rFonts w:ascii="Arial" w:hAnsi="Arial" w:eastAsia="黑体"/>
      <w:b/>
      <w:bCs/>
      <w:kern w:val="2"/>
      <w:sz w:val="24"/>
      <w:szCs w:val="24"/>
    </w:rPr>
  </w:style>
  <w:style w:type="character" w:customStyle="1" w:styleId="612">
    <w:name w:val="正文缩进 字符"/>
    <w:link w:val="15"/>
    <w:qFormat/>
    <w:uiPriority w:val="0"/>
    <w:rPr>
      <w:rFonts w:ascii="宋体" w:eastAsia="宋体"/>
      <w:snapToGrid w:val="0"/>
      <w:color w:val="000000"/>
      <w:kern w:val="28"/>
      <w:sz w:val="28"/>
      <w:lang w:val="en-US" w:eastAsia="zh-CN" w:bidi="ar-SA"/>
    </w:rPr>
  </w:style>
  <w:style w:type="character" w:customStyle="1" w:styleId="613">
    <w:name w:val="批注文字 字符"/>
    <w:link w:val="19"/>
    <w:qFormat/>
    <w:uiPriority w:val="99"/>
    <w:rPr>
      <w:kern w:val="2"/>
      <w:sz w:val="21"/>
      <w:szCs w:val="24"/>
    </w:rPr>
  </w:style>
  <w:style w:type="character" w:customStyle="1" w:styleId="614">
    <w:name w:val="批注框文本 字符"/>
    <w:link w:val="37"/>
    <w:semiHidden/>
    <w:qFormat/>
    <w:uiPriority w:val="0"/>
    <w:rPr>
      <w:kern w:val="2"/>
      <w:sz w:val="18"/>
      <w:szCs w:val="18"/>
    </w:rPr>
  </w:style>
  <w:style w:type="character" w:customStyle="1" w:styleId="615">
    <w:name w:val="Footer Char"/>
    <w:qFormat/>
    <w:locked/>
    <w:uiPriority w:val="0"/>
    <w:rPr>
      <w:rFonts w:eastAsia="宋体"/>
      <w:kern w:val="2"/>
      <w:sz w:val="18"/>
      <w:lang w:val="en-US" w:eastAsia="zh-CN" w:bidi="ar-SA"/>
    </w:rPr>
  </w:style>
  <w:style w:type="paragraph" w:customStyle="1" w:styleId="616">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7">
    <w:name w:val="索引 11"/>
    <w:basedOn w:val="1"/>
    <w:next w:val="1"/>
    <w:qFormat/>
    <w:uiPriority w:val="0"/>
    <w:pPr>
      <w:adjustRightInd/>
      <w:spacing w:line="360" w:lineRule="auto"/>
    </w:pPr>
    <w:rPr>
      <w:rFonts w:ascii="仿宋_GB2312" w:eastAsia="仿宋_GB2312"/>
      <w:sz w:val="24"/>
      <w:szCs w:val="20"/>
    </w:rPr>
  </w:style>
  <w:style w:type="paragraph" w:customStyle="1" w:styleId="618">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9">
    <w:name w:val="纯文本_0_0"/>
    <w:basedOn w:val="1"/>
    <w:link w:val="620"/>
    <w:qFormat/>
    <w:uiPriority w:val="0"/>
    <w:pPr>
      <w:adjustRightInd/>
    </w:pPr>
    <w:rPr>
      <w:rFonts w:ascii="宋体" w:hAnsi="Courier New"/>
      <w:szCs w:val="21"/>
    </w:rPr>
  </w:style>
  <w:style w:type="character" w:customStyle="1" w:styleId="620">
    <w:name w:val="纯文本 Char_0"/>
    <w:link w:val="619"/>
    <w:qFormat/>
    <w:uiPriority w:val="0"/>
    <w:rPr>
      <w:rFonts w:ascii="宋体" w:hAnsi="Courier New"/>
      <w:kern w:val="2"/>
      <w:sz w:val="21"/>
      <w:szCs w:val="21"/>
      <w:lang w:val="en-US" w:eastAsia="zh-CN"/>
    </w:rPr>
  </w:style>
  <w:style w:type="character" w:customStyle="1" w:styleId="621">
    <w:name w:val="纯文本 Char1"/>
    <w:link w:val="622"/>
    <w:qFormat/>
    <w:uiPriority w:val="0"/>
    <w:rPr>
      <w:rFonts w:ascii="宋体" w:hAnsi="Courier New"/>
    </w:rPr>
  </w:style>
  <w:style w:type="paragraph" w:customStyle="1" w:styleId="622">
    <w:name w:val="纯文本1"/>
    <w:basedOn w:val="1"/>
    <w:link w:val="621"/>
    <w:qFormat/>
    <w:uiPriority w:val="0"/>
    <w:pPr>
      <w:adjustRightInd/>
    </w:pPr>
    <w:rPr>
      <w:rFonts w:ascii="宋体" w:hAnsi="Courier New"/>
      <w:kern w:val="0"/>
      <w:sz w:val="20"/>
      <w:szCs w:val="20"/>
    </w:rPr>
  </w:style>
  <w:style w:type="paragraph" w:customStyle="1" w:styleId="623">
    <w:name w:val="Char Char Char Char Char Char Char2"/>
    <w:basedOn w:val="1"/>
    <w:qFormat/>
    <w:uiPriority w:val="0"/>
    <w:rPr>
      <w:rFonts w:ascii="仿宋_GB2312" w:eastAsia="仿宋_GB2312"/>
      <w:b/>
      <w:sz w:val="32"/>
      <w:szCs w:val="32"/>
    </w:rPr>
  </w:style>
  <w:style w:type="paragraph" w:customStyle="1" w:styleId="624">
    <w:name w:val="Char Char1 Char Char Char Char Char Char2"/>
    <w:basedOn w:val="1"/>
    <w:qFormat/>
    <w:uiPriority w:val="0"/>
    <w:rPr>
      <w:rFonts w:ascii="仿宋_GB2312" w:eastAsia="仿宋_GB2312"/>
      <w:b/>
      <w:sz w:val="32"/>
      <w:szCs w:val="20"/>
    </w:rPr>
  </w:style>
  <w:style w:type="paragraph" w:customStyle="1" w:styleId="625">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6">
    <w:name w:val="Default Char"/>
    <w:link w:val="100"/>
    <w:qFormat/>
    <w:uiPriority w:val="0"/>
    <w:rPr>
      <w:rFonts w:ascii="仿宋_GB2312" w:eastAsia="仿宋_GB2312" w:cs="仿宋_GB2312"/>
      <w:color w:val="000000"/>
      <w:sz w:val="24"/>
      <w:szCs w:val="24"/>
    </w:rPr>
  </w:style>
  <w:style w:type="paragraph" w:customStyle="1" w:styleId="62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8">
    <w:name w:val="font61"/>
    <w:basedOn w:val="63"/>
    <w:qFormat/>
    <w:uiPriority w:val="0"/>
    <w:rPr>
      <w:rFonts w:hint="eastAsia" w:ascii="仿宋" w:hAnsi="仿宋" w:eastAsia="仿宋" w:cs="仿宋"/>
      <w:snapToGrid w:val="0"/>
      <w:color w:val="000000"/>
      <w:kern w:val="0"/>
      <w:sz w:val="20"/>
      <w:szCs w:val="20"/>
      <w:u w:val="none"/>
    </w:rPr>
  </w:style>
  <w:style w:type="character" w:customStyle="1" w:styleId="629">
    <w:name w:val="font11"/>
    <w:basedOn w:val="63"/>
    <w:qFormat/>
    <w:uiPriority w:val="0"/>
    <w:rPr>
      <w:rFonts w:hint="default" w:ascii="Times New Roman" w:hAnsi="Times New Roman" w:eastAsia="黑体" w:cs="Times New Roman"/>
      <w:snapToGrid w:val="0"/>
      <w:color w:val="000000"/>
      <w:kern w:val="0"/>
      <w:sz w:val="22"/>
      <w:szCs w:val="22"/>
      <w:u w:val="none"/>
    </w:rPr>
  </w:style>
  <w:style w:type="paragraph" w:customStyle="1" w:styleId="630">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1">
    <w:name w:val="*正文 Char"/>
    <w:link w:val="632"/>
    <w:qFormat/>
    <w:locked/>
    <w:uiPriority w:val="0"/>
    <w:rPr>
      <w:rFonts w:ascii="宋体" w:hAnsi="宋体"/>
      <w:sz w:val="24"/>
    </w:rPr>
  </w:style>
  <w:style w:type="paragraph" w:customStyle="1" w:styleId="632">
    <w:name w:val="*正文"/>
    <w:basedOn w:val="1"/>
    <w:link w:val="631"/>
    <w:qFormat/>
    <w:uiPriority w:val="0"/>
    <w:pPr>
      <w:snapToGrid w:val="0"/>
      <w:spacing w:line="360" w:lineRule="auto"/>
      <w:ind w:firstLine="482"/>
      <w:jc w:val="left"/>
    </w:pPr>
    <w:rPr>
      <w:rFonts w:ascii="宋体" w:hAnsi="宋体"/>
      <w:kern w:val="0"/>
      <w:sz w:val="24"/>
      <w:szCs w:val="20"/>
    </w:rPr>
  </w:style>
  <w:style w:type="character" w:customStyle="1" w:styleId="633">
    <w:name w:val="正文文本缩进 Char3"/>
    <w:qFormat/>
    <w:uiPriority w:val="0"/>
    <w:rPr>
      <w:rFonts w:ascii="宋体" w:hAnsi="宋体"/>
      <w:kern w:val="2"/>
      <w:sz w:val="24"/>
      <w:szCs w:val="24"/>
    </w:rPr>
  </w:style>
  <w:style w:type="table" w:customStyle="1" w:styleId="634">
    <w:name w:val="网格型1"/>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网格型2"/>
    <w:basedOn w:val="6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6">
    <w:name w:val="_Style 6"/>
    <w:basedOn w:val="1"/>
    <w:qFormat/>
    <w:uiPriority w:val="34"/>
    <w:pPr>
      <w:adjustRightInd/>
      <w:ind w:firstLine="420" w:firstLineChars="200"/>
    </w:pPr>
    <w:rPr>
      <w:rFonts w:eastAsia="仿宋_GB2312"/>
      <w:sz w:val="28"/>
    </w:rPr>
  </w:style>
  <w:style w:type="character" w:customStyle="1" w:styleId="637">
    <w:name w:val="font01"/>
    <w:basedOn w:val="63"/>
    <w:qFormat/>
    <w:uiPriority w:val="0"/>
    <w:rPr>
      <w:rFonts w:hint="eastAsia" w:ascii="宋体" w:hAnsi="宋体" w:eastAsia="宋体" w:cs="宋体"/>
      <w:color w:val="000000"/>
      <w:sz w:val="22"/>
      <w:szCs w:val="22"/>
      <w:u w:val="none"/>
    </w:rPr>
  </w:style>
  <w:style w:type="paragraph" w:customStyle="1" w:styleId="638">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639">
    <w:name w:val="BodyText"/>
    <w:basedOn w:val="1"/>
    <w:next w:val="1"/>
    <w:qFormat/>
    <w:uiPriority w:val="0"/>
    <w:pPr>
      <w:textAlignment w:val="baseline"/>
    </w:pPr>
    <w:rPr>
      <w:sz w:val="32"/>
    </w:rPr>
  </w:style>
  <w:style w:type="paragraph" w:customStyle="1" w:styleId="640">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41">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9987</Words>
  <Characters>10622</Characters>
  <Lines>2108</Lines>
  <Paragraphs>1996</Paragraphs>
  <TotalTime>76</TotalTime>
  <ScaleCrop>false</ScaleCrop>
  <LinksUpToDate>false</LinksUpToDate>
  <CharactersWithSpaces>10914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2025-09-16T11:38:00Z</dcterms:created>
  <dc:creator>北海市政府采购中心</dc:creator>
  <cp:lastModifiedBy>wwwww</cp:lastModifiedBy>
  <cp:lastPrinted>2026-05-22T01:11:39Z</cp:lastPrinted>
  <dcterms:modified xsi:type="dcterms:W3CDTF">2026-05-22T03:47:43Z</dcterms:modified>
  <dc:title>北海市政府采购中心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B01FFFD96A99467B86771B85277DB79C_13</vt:lpwstr>
  </property>
  <property fmtid="{D5CDD505-2E9C-101B-9397-08002B2CF9AE}" pid="4" name="KSOTemplateDocerSaveRecord">
    <vt:lpwstr>eyJoZGlkIjoiYWE0MTY0NjlmMjAwNDI5MjliZjdjNzhlNTQxNWNiYjUifQ==</vt:lpwstr>
  </property>
</Properties>
</file>